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0" w:type="pct"/>
        <w:tblLayout w:type="fixed"/>
        <w:tblCellMar>
          <w:left w:w="0" w:type="dxa"/>
          <w:right w:w="0" w:type="dxa"/>
        </w:tblCellMar>
        <w:tblLook w:val="0000" w:firstRow="0" w:lastRow="0" w:firstColumn="0" w:lastColumn="0" w:noHBand="0" w:noVBand="0"/>
      </w:tblPr>
      <w:tblGrid>
        <w:gridCol w:w="2788"/>
        <w:gridCol w:w="520"/>
        <w:gridCol w:w="1066"/>
        <w:gridCol w:w="1188"/>
        <w:gridCol w:w="939"/>
        <w:gridCol w:w="1115"/>
        <w:gridCol w:w="1115"/>
        <w:gridCol w:w="927"/>
      </w:tblGrid>
      <w:tr w:rsidR="00FC10AC" w:rsidRPr="00EF1091" w14:paraId="1AEDE305" w14:textId="77777777" w:rsidTr="00527DF5">
        <w:trPr>
          <w:trHeight w:val="225"/>
        </w:trPr>
        <w:tc>
          <w:tcPr>
            <w:tcW w:w="3366" w:type="pct"/>
            <w:gridSpan w:val="5"/>
            <w:tcBorders>
              <w:top w:val="nil"/>
              <w:left w:val="nil"/>
              <w:bottom w:val="nil"/>
              <w:right w:val="nil"/>
            </w:tcBorders>
            <w:shd w:val="clear" w:color="auto" w:fill="auto"/>
            <w:vAlign w:val="bottom"/>
          </w:tcPr>
          <w:p w14:paraId="3B26E538" w14:textId="77777777" w:rsidR="00FC10AC" w:rsidRPr="00EF1091" w:rsidRDefault="00FC10AC" w:rsidP="00FC10AC">
            <w:pPr>
              <w:rPr>
                <w:rFonts w:ascii="Arial" w:hAnsi="Arial" w:cs="Arial"/>
                <w:sz w:val="18"/>
                <w:szCs w:val="18"/>
              </w:rPr>
            </w:pPr>
            <w:bookmarkStart w:id="0" w:name="_GoBack"/>
            <w:bookmarkEnd w:id="0"/>
            <w:r w:rsidRPr="00EF1091">
              <w:rPr>
                <w:rFonts w:ascii="Arial" w:hAnsi="Arial" w:cs="Arial"/>
                <w:b/>
                <w:sz w:val="18"/>
                <w:szCs w:val="18"/>
              </w:rPr>
              <w:t>Consolidated income statement</w:t>
            </w:r>
          </w:p>
        </w:tc>
        <w:tc>
          <w:tcPr>
            <w:tcW w:w="1634" w:type="pct"/>
            <w:gridSpan w:val="3"/>
            <w:tcBorders>
              <w:top w:val="nil"/>
              <w:left w:val="nil"/>
              <w:bottom w:val="nil"/>
              <w:right w:val="nil"/>
            </w:tcBorders>
            <w:shd w:val="clear" w:color="auto" w:fill="auto"/>
            <w:noWrap/>
            <w:vAlign w:val="bottom"/>
          </w:tcPr>
          <w:p w14:paraId="5E346404" w14:textId="77777777" w:rsidR="00FC10AC" w:rsidRPr="00EF1091" w:rsidRDefault="00FC10AC">
            <w:pPr>
              <w:jc w:val="right"/>
              <w:rPr>
                <w:rFonts w:ascii="Arial" w:hAnsi="Arial" w:cs="Arial"/>
                <w:sz w:val="18"/>
                <w:szCs w:val="18"/>
              </w:rPr>
            </w:pPr>
          </w:p>
        </w:tc>
      </w:tr>
      <w:tr w:rsidR="00FC10AC" w:rsidRPr="00EF1091" w14:paraId="2BA1A317" w14:textId="77777777" w:rsidTr="00527DF5">
        <w:trPr>
          <w:trHeight w:val="225"/>
        </w:trPr>
        <w:tc>
          <w:tcPr>
            <w:tcW w:w="3366" w:type="pct"/>
            <w:gridSpan w:val="5"/>
            <w:tcBorders>
              <w:top w:val="nil"/>
              <w:left w:val="nil"/>
              <w:bottom w:val="nil"/>
              <w:right w:val="nil"/>
            </w:tcBorders>
            <w:shd w:val="clear" w:color="auto" w:fill="auto"/>
            <w:vAlign w:val="bottom"/>
          </w:tcPr>
          <w:p w14:paraId="332AEA12" w14:textId="77777777" w:rsidR="00FC10AC" w:rsidRPr="00AE24A9" w:rsidRDefault="00E336D0" w:rsidP="00AB5777">
            <w:pPr>
              <w:rPr>
                <w:rFonts w:ascii="Arial" w:hAnsi="Arial" w:cs="Arial"/>
                <w:sz w:val="18"/>
                <w:szCs w:val="18"/>
              </w:rPr>
            </w:pPr>
            <w:r w:rsidRPr="00AE24A9">
              <w:rPr>
                <w:rFonts w:ascii="Arial" w:hAnsi="Arial" w:cs="Arial"/>
                <w:sz w:val="18"/>
                <w:szCs w:val="18"/>
              </w:rPr>
              <w:t>Y</w:t>
            </w:r>
            <w:r w:rsidR="00FC10AC" w:rsidRPr="00AE24A9">
              <w:rPr>
                <w:rFonts w:ascii="Arial" w:hAnsi="Arial" w:cs="Arial"/>
                <w:sz w:val="18"/>
                <w:szCs w:val="18"/>
              </w:rPr>
              <w:t xml:space="preserve">ear ended </w:t>
            </w:r>
            <w:r w:rsidR="00F25CDE">
              <w:rPr>
                <w:rFonts w:ascii="Arial" w:hAnsi="Arial" w:cs="Arial"/>
                <w:sz w:val="18"/>
                <w:szCs w:val="18"/>
              </w:rPr>
              <w:t>3</w:t>
            </w:r>
            <w:r w:rsidR="00FC37BE">
              <w:rPr>
                <w:rFonts w:ascii="Arial" w:hAnsi="Arial" w:cs="Arial"/>
                <w:sz w:val="18"/>
                <w:szCs w:val="18"/>
              </w:rPr>
              <w:t>1</w:t>
            </w:r>
            <w:r w:rsidR="00AB5777">
              <w:rPr>
                <w:rFonts w:ascii="Arial" w:hAnsi="Arial" w:cs="Arial"/>
                <w:sz w:val="18"/>
                <w:szCs w:val="18"/>
              </w:rPr>
              <w:t xml:space="preserve"> </w:t>
            </w:r>
            <w:r w:rsidR="00F25CDE">
              <w:rPr>
                <w:rFonts w:ascii="Arial" w:hAnsi="Arial" w:cs="Arial"/>
                <w:sz w:val="18"/>
                <w:szCs w:val="18"/>
              </w:rPr>
              <w:t>January</w:t>
            </w:r>
            <w:r w:rsidR="00AB5777">
              <w:rPr>
                <w:rFonts w:ascii="Arial" w:hAnsi="Arial" w:cs="Arial"/>
                <w:sz w:val="18"/>
                <w:szCs w:val="18"/>
              </w:rPr>
              <w:t xml:space="preserve"> </w:t>
            </w:r>
            <w:r w:rsidR="001A1B04">
              <w:rPr>
                <w:rFonts w:ascii="Arial" w:hAnsi="Arial" w:cs="Arial"/>
                <w:sz w:val="18"/>
                <w:szCs w:val="18"/>
              </w:rPr>
              <w:t>201</w:t>
            </w:r>
            <w:r w:rsidR="003E10CE">
              <w:rPr>
                <w:rFonts w:ascii="Arial" w:hAnsi="Arial" w:cs="Arial"/>
                <w:sz w:val="18"/>
                <w:szCs w:val="18"/>
              </w:rPr>
              <w:t>9</w:t>
            </w:r>
          </w:p>
        </w:tc>
        <w:tc>
          <w:tcPr>
            <w:tcW w:w="1634" w:type="pct"/>
            <w:gridSpan w:val="3"/>
            <w:tcBorders>
              <w:top w:val="nil"/>
              <w:left w:val="nil"/>
              <w:bottom w:val="nil"/>
              <w:right w:val="nil"/>
            </w:tcBorders>
            <w:shd w:val="clear" w:color="auto" w:fill="auto"/>
            <w:noWrap/>
            <w:vAlign w:val="bottom"/>
          </w:tcPr>
          <w:p w14:paraId="1062714F" w14:textId="77777777" w:rsidR="00FC10AC" w:rsidRPr="00EF1091" w:rsidRDefault="00FC10AC">
            <w:pPr>
              <w:jc w:val="right"/>
              <w:rPr>
                <w:rFonts w:ascii="Arial" w:hAnsi="Arial" w:cs="Arial"/>
                <w:sz w:val="18"/>
                <w:szCs w:val="18"/>
              </w:rPr>
            </w:pPr>
          </w:p>
        </w:tc>
      </w:tr>
      <w:tr w:rsidR="00FC10AC" w:rsidRPr="00EF1091" w14:paraId="121383CB" w14:textId="77777777" w:rsidTr="00527DF5">
        <w:trPr>
          <w:trHeight w:val="225"/>
        </w:trPr>
        <w:tc>
          <w:tcPr>
            <w:tcW w:w="1444" w:type="pct"/>
            <w:tcBorders>
              <w:top w:val="nil"/>
              <w:left w:val="nil"/>
              <w:bottom w:val="nil"/>
              <w:right w:val="nil"/>
            </w:tcBorders>
            <w:shd w:val="clear" w:color="auto" w:fill="auto"/>
            <w:vAlign w:val="bottom"/>
          </w:tcPr>
          <w:p w14:paraId="72FA7674" w14:textId="77777777" w:rsidR="00FC10AC" w:rsidRPr="00EF1091" w:rsidRDefault="00FC10AC">
            <w:pPr>
              <w:rPr>
                <w:rFonts w:ascii="Arial" w:hAnsi="Arial" w:cs="Arial"/>
                <w:sz w:val="18"/>
                <w:szCs w:val="18"/>
              </w:rPr>
            </w:pPr>
          </w:p>
        </w:tc>
        <w:tc>
          <w:tcPr>
            <w:tcW w:w="269" w:type="pct"/>
            <w:tcBorders>
              <w:top w:val="nil"/>
              <w:left w:val="nil"/>
              <w:bottom w:val="nil"/>
              <w:right w:val="nil"/>
            </w:tcBorders>
            <w:shd w:val="clear" w:color="auto" w:fill="auto"/>
            <w:noWrap/>
            <w:vAlign w:val="bottom"/>
          </w:tcPr>
          <w:p w14:paraId="0D9F3CD3" w14:textId="77777777" w:rsidR="00FC10AC" w:rsidRPr="00EF1091" w:rsidRDefault="00FC10AC">
            <w:pPr>
              <w:jc w:val="center"/>
              <w:rPr>
                <w:rFonts w:ascii="Arial" w:hAnsi="Arial" w:cs="Arial"/>
                <w:sz w:val="18"/>
                <w:szCs w:val="18"/>
              </w:rPr>
            </w:pPr>
          </w:p>
        </w:tc>
        <w:tc>
          <w:tcPr>
            <w:tcW w:w="1652" w:type="pct"/>
            <w:gridSpan w:val="3"/>
            <w:tcBorders>
              <w:top w:val="nil"/>
              <w:left w:val="nil"/>
              <w:right w:val="nil"/>
            </w:tcBorders>
            <w:shd w:val="clear" w:color="auto" w:fill="auto"/>
            <w:noWrap/>
            <w:vAlign w:val="bottom"/>
          </w:tcPr>
          <w:p w14:paraId="30ED27B8" w14:textId="77777777" w:rsidR="00FC10AC" w:rsidRPr="00EF1091" w:rsidRDefault="00FC10AC">
            <w:pPr>
              <w:jc w:val="right"/>
              <w:rPr>
                <w:rFonts w:ascii="Arial" w:hAnsi="Arial" w:cs="Arial"/>
                <w:sz w:val="18"/>
                <w:szCs w:val="18"/>
              </w:rPr>
            </w:pPr>
          </w:p>
        </w:tc>
        <w:tc>
          <w:tcPr>
            <w:tcW w:w="1634" w:type="pct"/>
            <w:gridSpan w:val="3"/>
            <w:tcBorders>
              <w:top w:val="nil"/>
              <w:left w:val="nil"/>
              <w:right w:val="nil"/>
            </w:tcBorders>
            <w:shd w:val="clear" w:color="auto" w:fill="auto"/>
            <w:noWrap/>
            <w:vAlign w:val="bottom"/>
          </w:tcPr>
          <w:p w14:paraId="1519991C" w14:textId="77777777" w:rsidR="00FC10AC" w:rsidRPr="00EF1091" w:rsidRDefault="00FC10AC" w:rsidP="007037C1">
            <w:pPr>
              <w:ind w:right="92"/>
              <w:jc w:val="right"/>
              <w:rPr>
                <w:rFonts w:ascii="Arial" w:hAnsi="Arial" w:cs="Arial"/>
                <w:sz w:val="18"/>
                <w:szCs w:val="18"/>
              </w:rPr>
            </w:pPr>
          </w:p>
        </w:tc>
      </w:tr>
      <w:tr w:rsidR="00C43AE3" w:rsidRPr="00281AF4" w14:paraId="06DADFB8" w14:textId="77777777" w:rsidTr="00527DF5">
        <w:trPr>
          <w:trHeight w:val="225"/>
        </w:trPr>
        <w:tc>
          <w:tcPr>
            <w:tcW w:w="1444" w:type="pct"/>
            <w:tcBorders>
              <w:top w:val="nil"/>
              <w:left w:val="nil"/>
              <w:bottom w:val="nil"/>
              <w:right w:val="nil"/>
            </w:tcBorders>
            <w:shd w:val="clear" w:color="auto" w:fill="auto"/>
            <w:vAlign w:val="bottom"/>
          </w:tcPr>
          <w:p w14:paraId="11B3B434" w14:textId="77777777" w:rsidR="00C43AE3" w:rsidRPr="00D83C7E" w:rsidRDefault="00C43AE3" w:rsidP="00D83C7E">
            <w:pPr>
              <w:rPr>
                <w:rFonts w:ascii="Arial" w:hAnsi="Arial" w:cs="Arial"/>
                <w:sz w:val="18"/>
                <w:szCs w:val="18"/>
              </w:rPr>
            </w:pPr>
          </w:p>
        </w:tc>
        <w:tc>
          <w:tcPr>
            <w:tcW w:w="269" w:type="pct"/>
            <w:tcBorders>
              <w:top w:val="nil"/>
              <w:left w:val="nil"/>
              <w:bottom w:val="nil"/>
              <w:right w:val="nil"/>
            </w:tcBorders>
            <w:shd w:val="clear" w:color="auto" w:fill="auto"/>
            <w:noWrap/>
            <w:vAlign w:val="bottom"/>
          </w:tcPr>
          <w:p w14:paraId="3614DDDF" w14:textId="77777777" w:rsidR="00C43AE3" w:rsidRPr="00D83C7E" w:rsidRDefault="00C43AE3" w:rsidP="00D83C7E">
            <w:pPr>
              <w:rPr>
                <w:rFonts w:ascii="Arial" w:hAnsi="Arial" w:cs="Arial"/>
                <w:sz w:val="18"/>
                <w:szCs w:val="18"/>
              </w:rPr>
            </w:pPr>
          </w:p>
        </w:tc>
        <w:tc>
          <w:tcPr>
            <w:tcW w:w="552" w:type="pct"/>
            <w:tcBorders>
              <w:top w:val="nil"/>
              <w:left w:val="nil"/>
              <w:bottom w:val="single" w:sz="4" w:space="0" w:color="auto"/>
              <w:right w:val="nil"/>
            </w:tcBorders>
            <w:shd w:val="clear" w:color="auto" w:fill="auto"/>
            <w:noWrap/>
            <w:vAlign w:val="bottom"/>
          </w:tcPr>
          <w:p w14:paraId="59908994" w14:textId="77777777" w:rsidR="00C43AE3" w:rsidRPr="00D83C7E" w:rsidRDefault="00C43AE3" w:rsidP="001131B4">
            <w:pPr>
              <w:ind w:right="92"/>
              <w:jc w:val="right"/>
              <w:rPr>
                <w:rFonts w:ascii="Arial" w:hAnsi="Arial" w:cs="Arial"/>
                <w:sz w:val="18"/>
                <w:szCs w:val="18"/>
              </w:rPr>
            </w:pPr>
          </w:p>
        </w:tc>
        <w:tc>
          <w:tcPr>
            <w:tcW w:w="615" w:type="pct"/>
            <w:tcBorders>
              <w:top w:val="nil"/>
              <w:left w:val="nil"/>
              <w:bottom w:val="single" w:sz="4" w:space="0" w:color="auto"/>
              <w:right w:val="nil"/>
            </w:tcBorders>
            <w:shd w:val="clear" w:color="auto" w:fill="auto"/>
            <w:noWrap/>
            <w:vAlign w:val="bottom"/>
          </w:tcPr>
          <w:p w14:paraId="18FADD3E" w14:textId="77777777" w:rsidR="00C43AE3" w:rsidRPr="00D83C7E" w:rsidRDefault="00C43AE3" w:rsidP="001131B4">
            <w:pPr>
              <w:ind w:right="92"/>
              <w:jc w:val="right"/>
              <w:rPr>
                <w:rFonts w:ascii="Arial" w:hAnsi="Arial" w:cs="Arial"/>
                <w:sz w:val="18"/>
                <w:szCs w:val="18"/>
              </w:rPr>
            </w:pPr>
          </w:p>
        </w:tc>
        <w:tc>
          <w:tcPr>
            <w:tcW w:w="485" w:type="pct"/>
            <w:tcBorders>
              <w:top w:val="nil"/>
              <w:left w:val="nil"/>
              <w:bottom w:val="single" w:sz="4" w:space="0" w:color="auto"/>
              <w:right w:val="nil"/>
            </w:tcBorders>
            <w:shd w:val="clear" w:color="auto" w:fill="auto"/>
            <w:noWrap/>
            <w:vAlign w:val="bottom"/>
          </w:tcPr>
          <w:p w14:paraId="6B064B45" w14:textId="77777777" w:rsidR="00C43AE3" w:rsidRPr="00D83C7E" w:rsidRDefault="00C43AE3" w:rsidP="00512EED">
            <w:pPr>
              <w:ind w:right="92"/>
              <w:jc w:val="right"/>
              <w:rPr>
                <w:rFonts w:ascii="Arial" w:hAnsi="Arial" w:cs="Arial"/>
                <w:sz w:val="18"/>
                <w:szCs w:val="18"/>
              </w:rPr>
            </w:pPr>
            <w:r w:rsidRPr="00D83C7E">
              <w:rPr>
                <w:rFonts w:ascii="Arial" w:hAnsi="Arial" w:cs="Arial"/>
                <w:sz w:val="18"/>
                <w:szCs w:val="18"/>
              </w:rPr>
              <w:t>20</w:t>
            </w:r>
            <w:r>
              <w:rPr>
                <w:rFonts w:ascii="Arial" w:hAnsi="Arial" w:cs="Arial"/>
                <w:sz w:val="18"/>
                <w:szCs w:val="18"/>
              </w:rPr>
              <w:t>1</w:t>
            </w:r>
            <w:r w:rsidR="003E10CE">
              <w:rPr>
                <w:rFonts w:ascii="Arial" w:hAnsi="Arial" w:cs="Arial"/>
                <w:sz w:val="18"/>
                <w:szCs w:val="18"/>
              </w:rPr>
              <w:t>8</w:t>
            </w:r>
            <w:r>
              <w:rPr>
                <w:rFonts w:ascii="Arial" w:hAnsi="Arial" w:cs="Arial"/>
                <w:sz w:val="18"/>
                <w:szCs w:val="18"/>
              </w:rPr>
              <w:t>/1</w:t>
            </w:r>
            <w:r w:rsidR="003E10CE">
              <w:rPr>
                <w:rFonts w:ascii="Arial" w:hAnsi="Arial" w:cs="Arial"/>
                <w:sz w:val="18"/>
                <w:szCs w:val="18"/>
              </w:rPr>
              <w:t>9</w:t>
            </w:r>
          </w:p>
        </w:tc>
        <w:tc>
          <w:tcPr>
            <w:tcW w:w="1634" w:type="pct"/>
            <w:gridSpan w:val="3"/>
            <w:tcBorders>
              <w:top w:val="nil"/>
              <w:left w:val="nil"/>
              <w:bottom w:val="single" w:sz="4" w:space="0" w:color="auto"/>
              <w:right w:val="nil"/>
            </w:tcBorders>
            <w:shd w:val="clear" w:color="auto" w:fill="auto"/>
            <w:noWrap/>
            <w:vAlign w:val="bottom"/>
          </w:tcPr>
          <w:p w14:paraId="6B82754C" w14:textId="77777777" w:rsidR="00C43AE3" w:rsidRPr="00281AF4" w:rsidRDefault="000864B4" w:rsidP="00512EED">
            <w:pPr>
              <w:ind w:right="92"/>
              <w:jc w:val="right"/>
              <w:rPr>
                <w:rFonts w:ascii="Arial" w:hAnsi="Arial" w:cs="Arial"/>
                <w:sz w:val="18"/>
                <w:szCs w:val="18"/>
              </w:rPr>
            </w:pPr>
            <w:r w:rsidRPr="00D83C7E">
              <w:rPr>
                <w:rFonts w:ascii="Arial" w:hAnsi="Arial" w:cs="Arial"/>
                <w:sz w:val="18"/>
                <w:szCs w:val="18"/>
              </w:rPr>
              <w:t>20</w:t>
            </w:r>
            <w:r w:rsidR="0011413D">
              <w:rPr>
                <w:rFonts w:ascii="Arial" w:hAnsi="Arial" w:cs="Arial"/>
                <w:sz w:val="18"/>
                <w:szCs w:val="18"/>
              </w:rPr>
              <w:t>1</w:t>
            </w:r>
            <w:r w:rsidR="003E10CE">
              <w:rPr>
                <w:rFonts w:ascii="Arial" w:hAnsi="Arial" w:cs="Arial"/>
                <w:sz w:val="18"/>
                <w:szCs w:val="18"/>
              </w:rPr>
              <w:t>7</w:t>
            </w:r>
            <w:r>
              <w:rPr>
                <w:rFonts w:ascii="Arial" w:hAnsi="Arial" w:cs="Arial"/>
                <w:sz w:val="18"/>
                <w:szCs w:val="18"/>
              </w:rPr>
              <w:t>/1</w:t>
            </w:r>
            <w:r w:rsidR="003E10CE">
              <w:rPr>
                <w:rFonts w:ascii="Arial" w:hAnsi="Arial" w:cs="Arial"/>
                <w:sz w:val="18"/>
                <w:szCs w:val="18"/>
              </w:rPr>
              <w:t>8</w:t>
            </w:r>
          </w:p>
        </w:tc>
      </w:tr>
      <w:tr w:rsidR="00D83C7E" w:rsidRPr="00D83C7E" w14:paraId="51C623B5" w14:textId="77777777" w:rsidTr="00527DF5">
        <w:trPr>
          <w:trHeight w:val="225"/>
        </w:trPr>
        <w:tc>
          <w:tcPr>
            <w:tcW w:w="1444" w:type="pct"/>
            <w:tcBorders>
              <w:top w:val="nil"/>
              <w:left w:val="nil"/>
              <w:bottom w:val="nil"/>
              <w:right w:val="nil"/>
            </w:tcBorders>
            <w:shd w:val="clear" w:color="auto" w:fill="auto"/>
            <w:vAlign w:val="bottom"/>
          </w:tcPr>
          <w:p w14:paraId="15C55A1B" w14:textId="77777777" w:rsidR="00D83C7E" w:rsidRPr="00D83C7E" w:rsidRDefault="00D83C7E">
            <w:pPr>
              <w:rPr>
                <w:rFonts w:ascii="Arial" w:hAnsi="Arial" w:cs="Arial"/>
                <w:sz w:val="18"/>
                <w:szCs w:val="18"/>
              </w:rPr>
            </w:pPr>
          </w:p>
        </w:tc>
        <w:tc>
          <w:tcPr>
            <w:tcW w:w="269" w:type="pct"/>
            <w:tcBorders>
              <w:top w:val="nil"/>
              <w:left w:val="nil"/>
              <w:bottom w:val="nil"/>
              <w:right w:val="nil"/>
            </w:tcBorders>
            <w:shd w:val="clear" w:color="auto" w:fill="auto"/>
            <w:noWrap/>
            <w:vAlign w:val="bottom"/>
          </w:tcPr>
          <w:p w14:paraId="4F1E837E" w14:textId="77777777" w:rsidR="00D83C7E" w:rsidRPr="00D83C7E" w:rsidRDefault="00D83C7E">
            <w:pPr>
              <w:jc w:val="center"/>
              <w:rPr>
                <w:rFonts w:ascii="Arial" w:hAnsi="Arial" w:cs="Arial"/>
                <w:sz w:val="18"/>
                <w:szCs w:val="18"/>
              </w:rPr>
            </w:pPr>
          </w:p>
        </w:tc>
        <w:tc>
          <w:tcPr>
            <w:tcW w:w="552" w:type="pct"/>
            <w:tcBorders>
              <w:top w:val="single" w:sz="4" w:space="0" w:color="auto"/>
              <w:left w:val="nil"/>
              <w:bottom w:val="nil"/>
              <w:right w:val="nil"/>
            </w:tcBorders>
            <w:shd w:val="clear" w:color="auto" w:fill="auto"/>
            <w:noWrap/>
            <w:vAlign w:val="bottom"/>
          </w:tcPr>
          <w:p w14:paraId="60A74FC3" w14:textId="77777777"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Before</w:t>
            </w:r>
          </w:p>
        </w:tc>
        <w:tc>
          <w:tcPr>
            <w:tcW w:w="615" w:type="pct"/>
            <w:tcBorders>
              <w:top w:val="single" w:sz="4" w:space="0" w:color="auto"/>
              <w:left w:val="nil"/>
              <w:bottom w:val="nil"/>
              <w:right w:val="nil"/>
            </w:tcBorders>
            <w:shd w:val="clear" w:color="auto" w:fill="auto"/>
            <w:noWrap/>
            <w:vAlign w:val="bottom"/>
          </w:tcPr>
          <w:p w14:paraId="0DABE7A0" w14:textId="77777777"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Exceptional</w:t>
            </w:r>
          </w:p>
        </w:tc>
        <w:tc>
          <w:tcPr>
            <w:tcW w:w="485" w:type="pct"/>
            <w:tcBorders>
              <w:top w:val="single" w:sz="4" w:space="0" w:color="auto"/>
              <w:left w:val="nil"/>
              <w:bottom w:val="nil"/>
              <w:right w:val="nil"/>
            </w:tcBorders>
            <w:shd w:val="clear" w:color="auto" w:fill="auto"/>
            <w:noWrap/>
            <w:vAlign w:val="bottom"/>
          </w:tcPr>
          <w:p w14:paraId="16E19B4D" w14:textId="77777777" w:rsidR="00D83C7E" w:rsidRPr="00D83C7E" w:rsidRDefault="00D83C7E" w:rsidP="00FC10AC">
            <w:pPr>
              <w:ind w:right="92"/>
              <w:jc w:val="right"/>
              <w:rPr>
                <w:rFonts w:ascii="Arial" w:hAnsi="Arial" w:cs="Arial"/>
                <w:sz w:val="18"/>
                <w:szCs w:val="18"/>
              </w:rPr>
            </w:pPr>
          </w:p>
        </w:tc>
        <w:tc>
          <w:tcPr>
            <w:tcW w:w="577" w:type="pct"/>
            <w:tcBorders>
              <w:top w:val="single" w:sz="4" w:space="0" w:color="auto"/>
              <w:left w:val="nil"/>
              <w:bottom w:val="nil"/>
              <w:right w:val="nil"/>
            </w:tcBorders>
            <w:shd w:val="clear" w:color="auto" w:fill="auto"/>
            <w:noWrap/>
            <w:vAlign w:val="bottom"/>
          </w:tcPr>
          <w:p w14:paraId="680F98F6" w14:textId="77777777"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Before</w:t>
            </w:r>
          </w:p>
        </w:tc>
        <w:tc>
          <w:tcPr>
            <w:tcW w:w="577" w:type="pct"/>
            <w:tcBorders>
              <w:top w:val="single" w:sz="4" w:space="0" w:color="auto"/>
              <w:left w:val="nil"/>
              <w:bottom w:val="nil"/>
              <w:right w:val="nil"/>
            </w:tcBorders>
            <w:shd w:val="clear" w:color="auto" w:fill="auto"/>
            <w:noWrap/>
            <w:vAlign w:val="bottom"/>
          </w:tcPr>
          <w:p w14:paraId="396BF3DA" w14:textId="77777777"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Exceptional</w:t>
            </w:r>
          </w:p>
        </w:tc>
        <w:tc>
          <w:tcPr>
            <w:tcW w:w="480" w:type="pct"/>
            <w:tcBorders>
              <w:top w:val="single" w:sz="4" w:space="0" w:color="auto"/>
              <w:left w:val="nil"/>
              <w:bottom w:val="nil"/>
              <w:right w:val="nil"/>
            </w:tcBorders>
            <w:shd w:val="clear" w:color="auto" w:fill="auto"/>
            <w:noWrap/>
            <w:vAlign w:val="bottom"/>
          </w:tcPr>
          <w:p w14:paraId="7D76CDE7" w14:textId="77777777" w:rsidR="00D83C7E" w:rsidRPr="00D83C7E" w:rsidRDefault="00D83C7E" w:rsidP="00FC10AC">
            <w:pPr>
              <w:ind w:right="92"/>
              <w:jc w:val="right"/>
              <w:rPr>
                <w:rFonts w:ascii="Arial" w:hAnsi="Arial" w:cs="Arial"/>
                <w:sz w:val="18"/>
                <w:szCs w:val="18"/>
              </w:rPr>
            </w:pPr>
          </w:p>
        </w:tc>
      </w:tr>
      <w:tr w:rsidR="00D83C7E" w:rsidRPr="00D83C7E" w14:paraId="09A462C4" w14:textId="77777777" w:rsidTr="00527DF5">
        <w:trPr>
          <w:trHeight w:val="225"/>
        </w:trPr>
        <w:tc>
          <w:tcPr>
            <w:tcW w:w="1444" w:type="pct"/>
            <w:tcBorders>
              <w:top w:val="nil"/>
              <w:left w:val="nil"/>
              <w:right w:val="nil"/>
            </w:tcBorders>
            <w:shd w:val="clear" w:color="auto" w:fill="auto"/>
            <w:vAlign w:val="bottom"/>
          </w:tcPr>
          <w:p w14:paraId="3954BC48" w14:textId="77777777" w:rsidR="00D83C7E" w:rsidRPr="00D83C7E" w:rsidRDefault="00D83C7E">
            <w:pPr>
              <w:rPr>
                <w:rFonts w:ascii="Arial" w:hAnsi="Arial" w:cs="Arial"/>
                <w:sz w:val="18"/>
                <w:szCs w:val="18"/>
              </w:rPr>
            </w:pPr>
          </w:p>
        </w:tc>
        <w:tc>
          <w:tcPr>
            <w:tcW w:w="269" w:type="pct"/>
            <w:tcBorders>
              <w:top w:val="nil"/>
              <w:left w:val="nil"/>
              <w:right w:val="nil"/>
            </w:tcBorders>
            <w:shd w:val="clear" w:color="auto" w:fill="auto"/>
            <w:noWrap/>
            <w:vAlign w:val="bottom"/>
          </w:tcPr>
          <w:p w14:paraId="02C7F4B8" w14:textId="77777777" w:rsidR="00D83C7E" w:rsidRPr="00D83C7E" w:rsidRDefault="00D83C7E">
            <w:pPr>
              <w:jc w:val="center"/>
              <w:rPr>
                <w:rFonts w:ascii="Arial" w:hAnsi="Arial" w:cs="Arial"/>
                <w:sz w:val="18"/>
                <w:szCs w:val="18"/>
              </w:rPr>
            </w:pPr>
          </w:p>
        </w:tc>
        <w:tc>
          <w:tcPr>
            <w:tcW w:w="552" w:type="pct"/>
            <w:tcBorders>
              <w:top w:val="nil"/>
              <w:left w:val="nil"/>
              <w:right w:val="nil"/>
            </w:tcBorders>
            <w:shd w:val="clear" w:color="auto" w:fill="auto"/>
            <w:noWrap/>
            <w:vAlign w:val="bottom"/>
          </w:tcPr>
          <w:p w14:paraId="4C03F329" w14:textId="77777777"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exceptional</w:t>
            </w:r>
          </w:p>
        </w:tc>
        <w:tc>
          <w:tcPr>
            <w:tcW w:w="615" w:type="pct"/>
            <w:tcBorders>
              <w:top w:val="nil"/>
              <w:left w:val="nil"/>
              <w:right w:val="nil"/>
            </w:tcBorders>
            <w:shd w:val="clear" w:color="auto" w:fill="auto"/>
            <w:vAlign w:val="bottom"/>
          </w:tcPr>
          <w:p w14:paraId="4E944E34" w14:textId="77777777"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items</w:t>
            </w:r>
          </w:p>
        </w:tc>
        <w:tc>
          <w:tcPr>
            <w:tcW w:w="485" w:type="pct"/>
            <w:tcBorders>
              <w:top w:val="nil"/>
              <w:left w:val="nil"/>
              <w:right w:val="nil"/>
            </w:tcBorders>
            <w:shd w:val="clear" w:color="auto" w:fill="auto"/>
            <w:noWrap/>
            <w:vAlign w:val="bottom"/>
          </w:tcPr>
          <w:p w14:paraId="2A88F75C" w14:textId="77777777" w:rsidR="00D83C7E" w:rsidRPr="00D83C7E" w:rsidRDefault="00D83C7E" w:rsidP="00FC10AC">
            <w:pPr>
              <w:ind w:right="92"/>
              <w:jc w:val="right"/>
              <w:rPr>
                <w:rFonts w:ascii="Arial" w:hAnsi="Arial" w:cs="Arial"/>
                <w:sz w:val="18"/>
                <w:szCs w:val="18"/>
              </w:rPr>
            </w:pPr>
          </w:p>
        </w:tc>
        <w:tc>
          <w:tcPr>
            <w:tcW w:w="577" w:type="pct"/>
            <w:tcBorders>
              <w:top w:val="nil"/>
              <w:left w:val="nil"/>
              <w:right w:val="nil"/>
            </w:tcBorders>
            <w:shd w:val="clear" w:color="auto" w:fill="auto"/>
            <w:noWrap/>
            <w:vAlign w:val="bottom"/>
          </w:tcPr>
          <w:p w14:paraId="63864F6C" w14:textId="77777777"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exceptional</w:t>
            </w:r>
          </w:p>
        </w:tc>
        <w:tc>
          <w:tcPr>
            <w:tcW w:w="577" w:type="pct"/>
            <w:tcBorders>
              <w:top w:val="nil"/>
              <w:left w:val="nil"/>
              <w:right w:val="nil"/>
            </w:tcBorders>
            <w:shd w:val="clear" w:color="auto" w:fill="auto"/>
            <w:vAlign w:val="bottom"/>
          </w:tcPr>
          <w:p w14:paraId="32A1DB9F" w14:textId="77777777"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items</w:t>
            </w:r>
          </w:p>
        </w:tc>
        <w:tc>
          <w:tcPr>
            <w:tcW w:w="480" w:type="pct"/>
            <w:tcBorders>
              <w:top w:val="nil"/>
              <w:left w:val="nil"/>
              <w:right w:val="nil"/>
            </w:tcBorders>
            <w:shd w:val="clear" w:color="auto" w:fill="auto"/>
            <w:noWrap/>
            <w:vAlign w:val="bottom"/>
          </w:tcPr>
          <w:p w14:paraId="06732022" w14:textId="77777777" w:rsidR="00D83C7E" w:rsidRPr="00D83C7E" w:rsidRDefault="00D83C7E" w:rsidP="00FC10AC">
            <w:pPr>
              <w:ind w:right="92"/>
              <w:jc w:val="right"/>
              <w:rPr>
                <w:rFonts w:ascii="Arial" w:hAnsi="Arial" w:cs="Arial"/>
                <w:sz w:val="18"/>
                <w:szCs w:val="18"/>
              </w:rPr>
            </w:pPr>
          </w:p>
        </w:tc>
      </w:tr>
      <w:tr w:rsidR="00D83C7E" w:rsidRPr="00D83C7E" w14:paraId="068DDBD7" w14:textId="77777777" w:rsidTr="00527DF5">
        <w:trPr>
          <w:trHeight w:val="225"/>
        </w:trPr>
        <w:tc>
          <w:tcPr>
            <w:tcW w:w="1444" w:type="pct"/>
            <w:tcBorders>
              <w:top w:val="nil"/>
              <w:left w:val="nil"/>
              <w:bottom w:val="single" w:sz="4" w:space="0" w:color="auto"/>
              <w:right w:val="nil"/>
            </w:tcBorders>
            <w:shd w:val="clear" w:color="auto" w:fill="auto"/>
            <w:vAlign w:val="bottom"/>
          </w:tcPr>
          <w:p w14:paraId="026DA557" w14:textId="77777777" w:rsidR="00D83C7E" w:rsidRPr="00D83C7E" w:rsidRDefault="00D83C7E">
            <w:pPr>
              <w:rPr>
                <w:rFonts w:ascii="Arial" w:hAnsi="Arial" w:cs="Arial"/>
                <w:sz w:val="18"/>
                <w:szCs w:val="18"/>
              </w:rPr>
            </w:pPr>
            <w:r w:rsidRPr="00D83C7E">
              <w:rPr>
                <w:rFonts w:ascii="Arial" w:hAnsi="Arial" w:cs="Arial"/>
                <w:sz w:val="18"/>
                <w:szCs w:val="18"/>
              </w:rPr>
              <w:t>£ millions</w:t>
            </w:r>
          </w:p>
        </w:tc>
        <w:tc>
          <w:tcPr>
            <w:tcW w:w="269" w:type="pct"/>
            <w:tcBorders>
              <w:top w:val="nil"/>
              <w:left w:val="nil"/>
              <w:bottom w:val="single" w:sz="4" w:space="0" w:color="auto"/>
              <w:right w:val="nil"/>
            </w:tcBorders>
            <w:shd w:val="clear" w:color="auto" w:fill="auto"/>
            <w:noWrap/>
            <w:vAlign w:val="bottom"/>
          </w:tcPr>
          <w:p w14:paraId="436CAD8F" w14:textId="77777777" w:rsidR="00D83C7E" w:rsidRPr="00D83C7E" w:rsidRDefault="00D83C7E" w:rsidP="00BB47E5">
            <w:pPr>
              <w:jc w:val="center"/>
              <w:rPr>
                <w:rFonts w:ascii="Arial" w:hAnsi="Arial" w:cs="Arial"/>
                <w:sz w:val="18"/>
                <w:szCs w:val="18"/>
              </w:rPr>
            </w:pPr>
            <w:r w:rsidRPr="00D83C7E">
              <w:rPr>
                <w:rFonts w:ascii="Arial" w:hAnsi="Arial" w:cs="Arial"/>
                <w:sz w:val="18"/>
                <w:szCs w:val="18"/>
              </w:rPr>
              <w:t>Notes</w:t>
            </w:r>
          </w:p>
        </w:tc>
        <w:tc>
          <w:tcPr>
            <w:tcW w:w="552" w:type="pct"/>
            <w:tcBorders>
              <w:top w:val="nil"/>
              <w:left w:val="nil"/>
              <w:bottom w:val="single" w:sz="4" w:space="0" w:color="auto"/>
              <w:right w:val="nil"/>
            </w:tcBorders>
            <w:shd w:val="clear" w:color="auto" w:fill="auto"/>
            <w:vAlign w:val="bottom"/>
          </w:tcPr>
          <w:p w14:paraId="3B4B0E35" w14:textId="77777777" w:rsidR="00D83C7E" w:rsidRPr="00D83C7E" w:rsidRDefault="006F6EDE" w:rsidP="00FC10AC">
            <w:pPr>
              <w:ind w:right="92"/>
              <w:jc w:val="right"/>
              <w:rPr>
                <w:rFonts w:ascii="Arial" w:hAnsi="Arial" w:cs="Arial"/>
                <w:sz w:val="18"/>
                <w:szCs w:val="18"/>
              </w:rPr>
            </w:pPr>
            <w:r>
              <w:rPr>
                <w:rFonts w:ascii="Arial" w:hAnsi="Arial" w:cs="Arial"/>
                <w:sz w:val="18"/>
                <w:szCs w:val="18"/>
              </w:rPr>
              <w:t>i</w:t>
            </w:r>
            <w:r w:rsidR="00D83C7E" w:rsidRPr="00D83C7E">
              <w:rPr>
                <w:rFonts w:ascii="Arial" w:hAnsi="Arial" w:cs="Arial"/>
                <w:sz w:val="18"/>
                <w:szCs w:val="18"/>
              </w:rPr>
              <w:t>tems</w:t>
            </w:r>
          </w:p>
        </w:tc>
        <w:tc>
          <w:tcPr>
            <w:tcW w:w="615" w:type="pct"/>
            <w:tcBorders>
              <w:top w:val="nil"/>
              <w:left w:val="nil"/>
              <w:bottom w:val="single" w:sz="4" w:space="0" w:color="auto"/>
              <w:right w:val="nil"/>
            </w:tcBorders>
            <w:shd w:val="clear" w:color="auto" w:fill="auto"/>
            <w:vAlign w:val="bottom"/>
          </w:tcPr>
          <w:p w14:paraId="496CEE21" w14:textId="77777777" w:rsidR="00D83C7E" w:rsidRPr="00D83C7E" w:rsidRDefault="00CD516C" w:rsidP="00FC10AC">
            <w:pPr>
              <w:ind w:right="92"/>
              <w:jc w:val="right"/>
              <w:rPr>
                <w:rFonts w:ascii="Arial" w:hAnsi="Arial" w:cs="Arial"/>
                <w:sz w:val="18"/>
                <w:szCs w:val="18"/>
              </w:rPr>
            </w:pPr>
            <w:r>
              <w:rPr>
                <w:rFonts w:ascii="Arial" w:hAnsi="Arial" w:cs="Arial"/>
                <w:sz w:val="18"/>
                <w:szCs w:val="18"/>
              </w:rPr>
              <w:t>(note 4</w:t>
            </w:r>
            <w:r w:rsidR="00D83C7E" w:rsidRPr="00D83C7E">
              <w:rPr>
                <w:rFonts w:ascii="Arial" w:hAnsi="Arial" w:cs="Arial"/>
                <w:sz w:val="18"/>
                <w:szCs w:val="18"/>
              </w:rPr>
              <w:t>)</w:t>
            </w:r>
          </w:p>
        </w:tc>
        <w:tc>
          <w:tcPr>
            <w:tcW w:w="485" w:type="pct"/>
            <w:tcBorders>
              <w:top w:val="nil"/>
              <w:left w:val="nil"/>
              <w:bottom w:val="single" w:sz="4" w:space="0" w:color="auto"/>
              <w:right w:val="nil"/>
            </w:tcBorders>
            <w:shd w:val="clear" w:color="auto" w:fill="auto"/>
            <w:vAlign w:val="bottom"/>
          </w:tcPr>
          <w:p w14:paraId="72F850E3" w14:textId="77777777" w:rsidR="00D83C7E" w:rsidRPr="00D83C7E" w:rsidRDefault="00F87634" w:rsidP="00FC10AC">
            <w:pPr>
              <w:ind w:right="92"/>
              <w:jc w:val="right"/>
              <w:rPr>
                <w:rFonts w:ascii="Arial" w:hAnsi="Arial" w:cs="Arial"/>
                <w:sz w:val="18"/>
                <w:szCs w:val="18"/>
              </w:rPr>
            </w:pPr>
            <w:r w:rsidRPr="00D83C7E">
              <w:rPr>
                <w:rFonts w:ascii="Arial" w:hAnsi="Arial" w:cs="Arial"/>
                <w:sz w:val="18"/>
                <w:szCs w:val="18"/>
              </w:rPr>
              <w:t>Total</w:t>
            </w:r>
          </w:p>
        </w:tc>
        <w:tc>
          <w:tcPr>
            <w:tcW w:w="577" w:type="pct"/>
            <w:tcBorders>
              <w:top w:val="nil"/>
              <w:left w:val="nil"/>
              <w:bottom w:val="single" w:sz="4" w:space="0" w:color="auto"/>
              <w:right w:val="nil"/>
            </w:tcBorders>
            <w:shd w:val="clear" w:color="auto" w:fill="auto"/>
            <w:vAlign w:val="bottom"/>
          </w:tcPr>
          <w:p w14:paraId="3B43F9B2" w14:textId="77777777" w:rsidR="00D83C7E" w:rsidRPr="00D83C7E" w:rsidRDefault="00D83C7E" w:rsidP="00FC10AC">
            <w:pPr>
              <w:ind w:right="92"/>
              <w:jc w:val="right"/>
              <w:rPr>
                <w:rFonts w:ascii="Arial" w:hAnsi="Arial" w:cs="Arial"/>
                <w:sz w:val="18"/>
                <w:szCs w:val="18"/>
              </w:rPr>
            </w:pPr>
            <w:r w:rsidRPr="00D83C7E">
              <w:rPr>
                <w:rFonts w:ascii="Arial" w:hAnsi="Arial" w:cs="Arial"/>
                <w:sz w:val="18"/>
                <w:szCs w:val="18"/>
              </w:rPr>
              <w:t>items</w:t>
            </w:r>
          </w:p>
        </w:tc>
        <w:tc>
          <w:tcPr>
            <w:tcW w:w="577" w:type="pct"/>
            <w:tcBorders>
              <w:top w:val="nil"/>
              <w:left w:val="nil"/>
              <w:bottom w:val="single" w:sz="4" w:space="0" w:color="auto"/>
              <w:right w:val="nil"/>
            </w:tcBorders>
            <w:shd w:val="clear" w:color="auto" w:fill="auto"/>
            <w:vAlign w:val="bottom"/>
          </w:tcPr>
          <w:p w14:paraId="39CEE46D" w14:textId="77777777" w:rsidR="00D83C7E" w:rsidRPr="00D83C7E" w:rsidRDefault="00CD516C" w:rsidP="00FC10AC">
            <w:pPr>
              <w:ind w:right="92"/>
              <w:jc w:val="right"/>
              <w:rPr>
                <w:rFonts w:ascii="Arial" w:hAnsi="Arial" w:cs="Arial"/>
                <w:sz w:val="18"/>
                <w:szCs w:val="18"/>
              </w:rPr>
            </w:pPr>
            <w:r>
              <w:rPr>
                <w:rFonts w:ascii="Arial" w:hAnsi="Arial" w:cs="Arial"/>
                <w:sz w:val="18"/>
                <w:szCs w:val="18"/>
              </w:rPr>
              <w:t>(note 4</w:t>
            </w:r>
            <w:r w:rsidR="00D83C7E" w:rsidRPr="00D83C7E">
              <w:rPr>
                <w:rFonts w:ascii="Arial" w:hAnsi="Arial" w:cs="Arial"/>
                <w:sz w:val="18"/>
                <w:szCs w:val="18"/>
              </w:rPr>
              <w:t>)</w:t>
            </w:r>
          </w:p>
        </w:tc>
        <w:tc>
          <w:tcPr>
            <w:tcW w:w="480" w:type="pct"/>
            <w:tcBorders>
              <w:top w:val="nil"/>
              <w:left w:val="nil"/>
              <w:bottom w:val="single" w:sz="4" w:space="0" w:color="auto"/>
              <w:right w:val="nil"/>
            </w:tcBorders>
            <w:shd w:val="clear" w:color="auto" w:fill="auto"/>
            <w:vAlign w:val="bottom"/>
          </w:tcPr>
          <w:p w14:paraId="511DFD5E" w14:textId="77777777" w:rsidR="00D83C7E" w:rsidRPr="00D83C7E" w:rsidRDefault="00F87634" w:rsidP="00FC10AC">
            <w:pPr>
              <w:ind w:right="92"/>
              <w:jc w:val="right"/>
              <w:rPr>
                <w:rFonts w:ascii="Arial" w:hAnsi="Arial" w:cs="Arial"/>
                <w:sz w:val="18"/>
                <w:szCs w:val="18"/>
              </w:rPr>
            </w:pPr>
            <w:r w:rsidRPr="00D83C7E">
              <w:rPr>
                <w:rFonts w:ascii="Arial" w:hAnsi="Arial" w:cs="Arial"/>
                <w:sz w:val="18"/>
                <w:szCs w:val="18"/>
              </w:rPr>
              <w:t>Total</w:t>
            </w:r>
          </w:p>
        </w:tc>
      </w:tr>
      <w:tr w:rsidR="003E10CE" w:rsidRPr="00EF1091" w14:paraId="5917B1A5" w14:textId="77777777" w:rsidTr="00527DF5">
        <w:trPr>
          <w:trHeight w:val="225"/>
        </w:trPr>
        <w:tc>
          <w:tcPr>
            <w:tcW w:w="1444" w:type="pct"/>
            <w:tcBorders>
              <w:top w:val="single" w:sz="4" w:space="0" w:color="auto"/>
              <w:left w:val="nil"/>
              <w:bottom w:val="nil"/>
              <w:right w:val="nil"/>
            </w:tcBorders>
            <w:shd w:val="clear" w:color="auto" w:fill="auto"/>
            <w:vAlign w:val="bottom"/>
          </w:tcPr>
          <w:p w14:paraId="0B376EAC" w14:textId="77777777" w:rsidR="003E10CE" w:rsidRPr="00EF1091" w:rsidRDefault="003E10CE" w:rsidP="003E10CE">
            <w:pPr>
              <w:rPr>
                <w:rFonts w:ascii="Arial" w:hAnsi="Arial" w:cs="Arial"/>
                <w:b/>
                <w:sz w:val="18"/>
                <w:szCs w:val="18"/>
              </w:rPr>
            </w:pPr>
            <w:r>
              <w:rPr>
                <w:rFonts w:ascii="Arial" w:hAnsi="Arial" w:cs="Arial"/>
                <w:b/>
                <w:sz w:val="18"/>
                <w:szCs w:val="18"/>
              </w:rPr>
              <w:t>Sales</w:t>
            </w:r>
          </w:p>
        </w:tc>
        <w:tc>
          <w:tcPr>
            <w:tcW w:w="269" w:type="pct"/>
            <w:tcBorders>
              <w:top w:val="single" w:sz="4" w:space="0" w:color="auto"/>
              <w:left w:val="nil"/>
              <w:bottom w:val="nil"/>
              <w:right w:val="nil"/>
            </w:tcBorders>
            <w:shd w:val="clear" w:color="auto" w:fill="auto"/>
            <w:noWrap/>
            <w:vAlign w:val="bottom"/>
          </w:tcPr>
          <w:p w14:paraId="689D6C5D" w14:textId="77777777" w:rsidR="003E10CE" w:rsidRPr="00EF1091" w:rsidRDefault="003E10CE" w:rsidP="003E10CE">
            <w:pPr>
              <w:jc w:val="center"/>
              <w:rPr>
                <w:rFonts w:ascii="Arial" w:hAnsi="Arial" w:cs="Arial"/>
                <w:sz w:val="18"/>
                <w:szCs w:val="18"/>
              </w:rPr>
            </w:pPr>
            <w:r>
              <w:rPr>
                <w:rFonts w:ascii="Arial" w:hAnsi="Arial" w:cs="Arial"/>
                <w:sz w:val="18"/>
                <w:szCs w:val="18"/>
              </w:rPr>
              <w:t>3</w:t>
            </w:r>
          </w:p>
        </w:tc>
        <w:tc>
          <w:tcPr>
            <w:tcW w:w="552" w:type="pct"/>
            <w:tcBorders>
              <w:top w:val="single" w:sz="4" w:space="0" w:color="auto"/>
              <w:left w:val="nil"/>
              <w:bottom w:val="nil"/>
              <w:right w:val="nil"/>
            </w:tcBorders>
            <w:shd w:val="clear" w:color="auto" w:fill="auto"/>
            <w:noWrap/>
          </w:tcPr>
          <w:p w14:paraId="7A53083E" w14:textId="77777777" w:rsidR="003E10CE" w:rsidRPr="00720267" w:rsidRDefault="003E10CE" w:rsidP="003E10CE">
            <w:pPr>
              <w:jc w:val="right"/>
              <w:rPr>
                <w:rFonts w:ascii="Arial" w:hAnsi="Arial" w:cs="Arial"/>
                <w:b/>
                <w:sz w:val="18"/>
                <w:szCs w:val="18"/>
              </w:rPr>
            </w:pPr>
            <w:r w:rsidRPr="00720267">
              <w:rPr>
                <w:rFonts w:ascii="Arial" w:hAnsi="Arial" w:cs="Arial"/>
                <w:b/>
                <w:sz w:val="18"/>
                <w:szCs w:val="18"/>
              </w:rPr>
              <w:t>11,6</w:t>
            </w:r>
            <w:r w:rsidR="00AE3D42" w:rsidRPr="00720267">
              <w:rPr>
                <w:rFonts w:ascii="Arial" w:hAnsi="Arial" w:cs="Arial"/>
                <w:b/>
                <w:sz w:val="18"/>
                <w:szCs w:val="18"/>
              </w:rPr>
              <w:t>8</w:t>
            </w:r>
            <w:r w:rsidRPr="00720267">
              <w:rPr>
                <w:rFonts w:ascii="Arial" w:hAnsi="Arial" w:cs="Arial"/>
                <w:b/>
                <w:sz w:val="18"/>
                <w:szCs w:val="18"/>
              </w:rPr>
              <w:t>5</w:t>
            </w:r>
          </w:p>
        </w:tc>
        <w:tc>
          <w:tcPr>
            <w:tcW w:w="615" w:type="pct"/>
            <w:tcBorders>
              <w:top w:val="single" w:sz="4" w:space="0" w:color="auto"/>
              <w:left w:val="nil"/>
              <w:bottom w:val="nil"/>
              <w:right w:val="nil"/>
            </w:tcBorders>
            <w:shd w:val="clear" w:color="auto" w:fill="auto"/>
            <w:noWrap/>
          </w:tcPr>
          <w:p w14:paraId="5E703845" w14:textId="77777777" w:rsidR="003E10CE" w:rsidRPr="00AC58B6" w:rsidRDefault="003E10CE" w:rsidP="003E10CE">
            <w:pPr>
              <w:jc w:val="right"/>
              <w:rPr>
                <w:rFonts w:ascii="Arial" w:hAnsi="Arial" w:cs="Arial"/>
                <w:b/>
                <w:sz w:val="18"/>
                <w:szCs w:val="18"/>
              </w:rPr>
            </w:pPr>
            <w:r w:rsidRPr="00AC58B6">
              <w:rPr>
                <w:rFonts w:ascii="Arial" w:hAnsi="Arial" w:cs="Arial"/>
                <w:b/>
                <w:sz w:val="18"/>
                <w:szCs w:val="18"/>
              </w:rPr>
              <w:t>–</w:t>
            </w:r>
          </w:p>
        </w:tc>
        <w:tc>
          <w:tcPr>
            <w:tcW w:w="485" w:type="pct"/>
            <w:tcBorders>
              <w:top w:val="single" w:sz="4" w:space="0" w:color="auto"/>
              <w:left w:val="nil"/>
              <w:bottom w:val="nil"/>
              <w:right w:val="nil"/>
            </w:tcBorders>
            <w:shd w:val="clear" w:color="auto" w:fill="auto"/>
            <w:noWrap/>
          </w:tcPr>
          <w:p w14:paraId="122B91C0" w14:textId="77777777" w:rsidR="003E10CE" w:rsidRPr="00AC58B6" w:rsidRDefault="003E10CE" w:rsidP="003E10CE">
            <w:pPr>
              <w:jc w:val="right"/>
              <w:rPr>
                <w:rFonts w:ascii="Arial" w:hAnsi="Arial" w:cs="Arial"/>
                <w:b/>
                <w:sz w:val="18"/>
                <w:szCs w:val="18"/>
              </w:rPr>
            </w:pPr>
            <w:r w:rsidRPr="00AC58B6">
              <w:rPr>
                <w:rFonts w:ascii="Arial" w:hAnsi="Arial" w:cs="Arial"/>
                <w:b/>
                <w:sz w:val="18"/>
                <w:szCs w:val="18"/>
              </w:rPr>
              <w:t>11,6</w:t>
            </w:r>
            <w:r w:rsidR="00720267" w:rsidRPr="00AC58B6">
              <w:rPr>
                <w:rFonts w:ascii="Arial" w:hAnsi="Arial" w:cs="Arial"/>
                <w:b/>
                <w:sz w:val="18"/>
                <w:szCs w:val="18"/>
              </w:rPr>
              <w:t>8</w:t>
            </w:r>
            <w:r w:rsidRPr="00AC58B6">
              <w:rPr>
                <w:rFonts w:ascii="Arial" w:hAnsi="Arial" w:cs="Arial"/>
                <w:b/>
                <w:sz w:val="18"/>
                <w:szCs w:val="18"/>
              </w:rPr>
              <w:t>5</w:t>
            </w:r>
          </w:p>
        </w:tc>
        <w:tc>
          <w:tcPr>
            <w:tcW w:w="577" w:type="pct"/>
            <w:tcBorders>
              <w:top w:val="single" w:sz="4" w:space="0" w:color="auto"/>
              <w:left w:val="nil"/>
              <w:bottom w:val="nil"/>
              <w:right w:val="nil"/>
            </w:tcBorders>
            <w:shd w:val="clear" w:color="auto" w:fill="auto"/>
            <w:noWrap/>
          </w:tcPr>
          <w:p w14:paraId="2C832EB2"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11,655</w:t>
            </w:r>
          </w:p>
        </w:tc>
        <w:tc>
          <w:tcPr>
            <w:tcW w:w="577" w:type="pct"/>
            <w:tcBorders>
              <w:top w:val="single" w:sz="4" w:space="0" w:color="auto"/>
              <w:left w:val="nil"/>
              <w:bottom w:val="nil"/>
              <w:right w:val="nil"/>
            </w:tcBorders>
            <w:shd w:val="clear" w:color="auto" w:fill="auto"/>
            <w:noWrap/>
          </w:tcPr>
          <w:p w14:paraId="3FA32221"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w:t>
            </w:r>
          </w:p>
        </w:tc>
        <w:tc>
          <w:tcPr>
            <w:tcW w:w="480" w:type="pct"/>
            <w:tcBorders>
              <w:top w:val="single" w:sz="4" w:space="0" w:color="auto"/>
              <w:left w:val="nil"/>
              <w:bottom w:val="nil"/>
              <w:right w:val="nil"/>
            </w:tcBorders>
            <w:shd w:val="clear" w:color="auto" w:fill="auto"/>
            <w:noWrap/>
          </w:tcPr>
          <w:p w14:paraId="7061200E"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11,655</w:t>
            </w:r>
          </w:p>
        </w:tc>
      </w:tr>
      <w:tr w:rsidR="003E10CE" w:rsidRPr="00EF1091" w14:paraId="7B2F2B1C" w14:textId="77777777" w:rsidTr="00527DF5">
        <w:trPr>
          <w:trHeight w:val="225"/>
        </w:trPr>
        <w:tc>
          <w:tcPr>
            <w:tcW w:w="1444" w:type="pct"/>
            <w:tcBorders>
              <w:top w:val="nil"/>
              <w:left w:val="nil"/>
              <w:bottom w:val="nil"/>
              <w:right w:val="nil"/>
            </w:tcBorders>
            <w:shd w:val="clear" w:color="auto" w:fill="auto"/>
            <w:vAlign w:val="bottom"/>
          </w:tcPr>
          <w:p w14:paraId="7D06EAD1" w14:textId="77777777" w:rsidR="003E10CE" w:rsidRPr="00EF1091" w:rsidRDefault="003E10CE" w:rsidP="003E10CE">
            <w:pPr>
              <w:rPr>
                <w:rFonts w:ascii="Arial" w:hAnsi="Arial" w:cs="Arial"/>
                <w:sz w:val="18"/>
                <w:szCs w:val="18"/>
              </w:rPr>
            </w:pPr>
            <w:r w:rsidRPr="00EF1091">
              <w:rPr>
                <w:rFonts w:ascii="Arial" w:hAnsi="Arial" w:cs="Arial"/>
                <w:sz w:val="18"/>
                <w:szCs w:val="18"/>
              </w:rPr>
              <w:t>Cost of sales</w:t>
            </w:r>
          </w:p>
        </w:tc>
        <w:tc>
          <w:tcPr>
            <w:tcW w:w="269" w:type="pct"/>
            <w:tcBorders>
              <w:top w:val="nil"/>
              <w:left w:val="nil"/>
              <w:bottom w:val="nil"/>
              <w:right w:val="nil"/>
            </w:tcBorders>
            <w:shd w:val="clear" w:color="auto" w:fill="auto"/>
            <w:noWrap/>
            <w:vAlign w:val="bottom"/>
          </w:tcPr>
          <w:p w14:paraId="0D6B5900" w14:textId="77777777" w:rsidR="003E10CE" w:rsidRPr="00EF1091" w:rsidRDefault="003E10CE" w:rsidP="003E10CE">
            <w:pPr>
              <w:jc w:val="center"/>
              <w:rPr>
                <w:rFonts w:ascii="Arial" w:hAnsi="Arial" w:cs="Arial"/>
                <w:sz w:val="18"/>
                <w:szCs w:val="18"/>
              </w:rPr>
            </w:pPr>
          </w:p>
        </w:tc>
        <w:tc>
          <w:tcPr>
            <w:tcW w:w="552" w:type="pct"/>
            <w:tcBorders>
              <w:top w:val="nil"/>
              <w:left w:val="nil"/>
              <w:bottom w:val="single" w:sz="4" w:space="0" w:color="auto"/>
              <w:right w:val="nil"/>
            </w:tcBorders>
            <w:shd w:val="clear" w:color="auto" w:fill="auto"/>
            <w:noWrap/>
          </w:tcPr>
          <w:p w14:paraId="6A421F40" w14:textId="77777777" w:rsidR="003E10CE" w:rsidRPr="00720267" w:rsidRDefault="003E10CE" w:rsidP="003E10CE">
            <w:pPr>
              <w:jc w:val="right"/>
              <w:rPr>
                <w:rFonts w:ascii="Arial" w:hAnsi="Arial" w:cs="Arial"/>
                <w:b/>
                <w:sz w:val="18"/>
                <w:szCs w:val="18"/>
              </w:rPr>
            </w:pPr>
            <w:r w:rsidRPr="00720267">
              <w:rPr>
                <w:rFonts w:ascii="Arial" w:hAnsi="Arial" w:cs="Arial"/>
                <w:b/>
                <w:sz w:val="18"/>
                <w:szCs w:val="18"/>
              </w:rPr>
              <w:t>(7,3</w:t>
            </w:r>
            <w:r w:rsidR="00720267" w:rsidRPr="00720267">
              <w:rPr>
                <w:rFonts w:ascii="Arial" w:hAnsi="Arial" w:cs="Arial"/>
                <w:b/>
                <w:sz w:val="18"/>
                <w:szCs w:val="18"/>
              </w:rPr>
              <w:t>76</w:t>
            </w:r>
            <w:r w:rsidRPr="00720267">
              <w:rPr>
                <w:rFonts w:ascii="Arial" w:hAnsi="Arial" w:cs="Arial"/>
                <w:b/>
                <w:sz w:val="18"/>
                <w:szCs w:val="18"/>
              </w:rPr>
              <w:t>)</w:t>
            </w:r>
          </w:p>
        </w:tc>
        <w:tc>
          <w:tcPr>
            <w:tcW w:w="615" w:type="pct"/>
            <w:tcBorders>
              <w:top w:val="nil"/>
              <w:left w:val="nil"/>
              <w:bottom w:val="single" w:sz="4" w:space="0" w:color="auto"/>
              <w:right w:val="nil"/>
            </w:tcBorders>
            <w:shd w:val="clear" w:color="auto" w:fill="auto"/>
            <w:noWrap/>
          </w:tcPr>
          <w:p w14:paraId="05B5DAAE" w14:textId="77777777" w:rsidR="003E10CE" w:rsidRPr="00AC58B6" w:rsidRDefault="003E10CE" w:rsidP="003E10CE">
            <w:pPr>
              <w:jc w:val="right"/>
              <w:rPr>
                <w:rFonts w:ascii="Arial" w:hAnsi="Arial" w:cs="Arial"/>
                <w:b/>
                <w:sz w:val="18"/>
                <w:szCs w:val="18"/>
              </w:rPr>
            </w:pPr>
            <w:r w:rsidRPr="00AC58B6">
              <w:rPr>
                <w:rFonts w:ascii="Arial" w:hAnsi="Arial" w:cs="Arial"/>
                <w:b/>
                <w:sz w:val="18"/>
                <w:szCs w:val="18"/>
              </w:rPr>
              <w:t>–</w:t>
            </w:r>
          </w:p>
        </w:tc>
        <w:tc>
          <w:tcPr>
            <w:tcW w:w="485" w:type="pct"/>
            <w:tcBorders>
              <w:top w:val="nil"/>
              <w:left w:val="nil"/>
              <w:bottom w:val="single" w:sz="4" w:space="0" w:color="auto"/>
              <w:right w:val="nil"/>
            </w:tcBorders>
            <w:shd w:val="clear" w:color="auto" w:fill="auto"/>
            <w:noWrap/>
          </w:tcPr>
          <w:p w14:paraId="2C93056D" w14:textId="77777777" w:rsidR="003E10CE" w:rsidRPr="00AC58B6" w:rsidRDefault="003E10CE" w:rsidP="003E10CE">
            <w:pPr>
              <w:jc w:val="right"/>
              <w:rPr>
                <w:rFonts w:ascii="Arial" w:hAnsi="Arial" w:cs="Arial"/>
                <w:b/>
                <w:sz w:val="18"/>
                <w:szCs w:val="18"/>
              </w:rPr>
            </w:pPr>
            <w:r w:rsidRPr="00AC58B6">
              <w:rPr>
                <w:rFonts w:ascii="Arial" w:hAnsi="Arial" w:cs="Arial"/>
                <w:b/>
                <w:sz w:val="18"/>
                <w:szCs w:val="18"/>
              </w:rPr>
              <w:t>(7,</w:t>
            </w:r>
            <w:r w:rsidR="00720267" w:rsidRPr="00AC58B6">
              <w:rPr>
                <w:rFonts w:ascii="Arial" w:hAnsi="Arial" w:cs="Arial"/>
                <w:b/>
                <w:sz w:val="18"/>
                <w:szCs w:val="18"/>
              </w:rPr>
              <w:t>376</w:t>
            </w:r>
            <w:r w:rsidRPr="00AC58B6">
              <w:rPr>
                <w:rFonts w:ascii="Arial" w:hAnsi="Arial" w:cs="Arial"/>
                <w:b/>
                <w:sz w:val="18"/>
                <w:szCs w:val="18"/>
              </w:rPr>
              <w:t>)</w:t>
            </w:r>
          </w:p>
        </w:tc>
        <w:tc>
          <w:tcPr>
            <w:tcW w:w="577" w:type="pct"/>
            <w:tcBorders>
              <w:top w:val="nil"/>
              <w:left w:val="nil"/>
              <w:bottom w:val="nil"/>
              <w:right w:val="nil"/>
            </w:tcBorders>
            <w:shd w:val="clear" w:color="auto" w:fill="auto"/>
            <w:noWrap/>
          </w:tcPr>
          <w:p w14:paraId="1F43F3A0"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(7,352)</w:t>
            </w:r>
          </w:p>
        </w:tc>
        <w:tc>
          <w:tcPr>
            <w:tcW w:w="577" w:type="pct"/>
            <w:tcBorders>
              <w:top w:val="nil"/>
              <w:left w:val="nil"/>
              <w:bottom w:val="nil"/>
              <w:right w:val="nil"/>
            </w:tcBorders>
            <w:shd w:val="clear" w:color="auto" w:fill="auto"/>
            <w:noWrap/>
          </w:tcPr>
          <w:p w14:paraId="0CE6107A"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w:t>
            </w:r>
          </w:p>
        </w:tc>
        <w:tc>
          <w:tcPr>
            <w:tcW w:w="480" w:type="pct"/>
            <w:tcBorders>
              <w:top w:val="nil"/>
              <w:left w:val="nil"/>
              <w:bottom w:val="nil"/>
              <w:right w:val="nil"/>
            </w:tcBorders>
            <w:shd w:val="clear" w:color="auto" w:fill="auto"/>
            <w:noWrap/>
          </w:tcPr>
          <w:p w14:paraId="7112D981"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(7,352)</w:t>
            </w:r>
          </w:p>
        </w:tc>
      </w:tr>
      <w:tr w:rsidR="003E10CE" w:rsidRPr="00EF1091" w14:paraId="4156021D" w14:textId="77777777" w:rsidTr="00527DF5">
        <w:trPr>
          <w:trHeight w:val="225"/>
        </w:trPr>
        <w:tc>
          <w:tcPr>
            <w:tcW w:w="1444" w:type="pct"/>
            <w:tcBorders>
              <w:top w:val="single" w:sz="4" w:space="0" w:color="auto"/>
              <w:left w:val="nil"/>
              <w:bottom w:val="nil"/>
              <w:right w:val="nil"/>
            </w:tcBorders>
            <w:shd w:val="clear" w:color="auto" w:fill="auto"/>
            <w:vAlign w:val="bottom"/>
          </w:tcPr>
          <w:p w14:paraId="5B95DE1C" w14:textId="77777777" w:rsidR="003E10CE" w:rsidRPr="00EF1091" w:rsidRDefault="003E10CE" w:rsidP="003E10CE">
            <w:pPr>
              <w:rPr>
                <w:rFonts w:ascii="Arial" w:hAnsi="Arial" w:cs="Arial"/>
                <w:b/>
                <w:sz w:val="18"/>
                <w:szCs w:val="18"/>
              </w:rPr>
            </w:pPr>
            <w:r w:rsidRPr="00EF1091">
              <w:rPr>
                <w:rFonts w:ascii="Arial" w:hAnsi="Arial" w:cs="Arial"/>
                <w:b/>
                <w:sz w:val="18"/>
                <w:szCs w:val="18"/>
              </w:rPr>
              <w:t>Gross profit</w:t>
            </w:r>
          </w:p>
        </w:tc>
        <w:tc>
          <w:tcPr>
            <w:tcW w:w="269" w:type="pct"/>
            <w:tcBorders>
              <w:top w:val="single" w:sz="4" w:space="0" w:color="auto"/>
              <w:left w:val="nil"/>
              <w:bottom w:val="nil"/>
              <w:right w:val="nil"/>
            </w:tcBorders>
            <w:shd w:val="clear" w:color="auto" w:fill="auto"/>
            <w:noWrap/>
            <w:vAlign w:val="bottom"/>
          </w:tcPr>
          <w:p w14:paraId="1F76CBA4" w14:textId="77777777" w:rsidR="003E10CE" w:rsidRPr="00EF1091" w:rsidRDefault="003E10CE" w:rsidP="003E10CE">
            <w:pPr>
              <w:jc w:val="center"/>
              <w:rPr>
                <w:rFonts w:ascii="Arial" w:hAnsi="Arial" w:cs="Arial"/>
                <w:sz w:val="18"/>
                <w:szCs w:val="18"/>
              </w:rPr>
            </w:pPr>
            <w:r w:rsidRPr="00EF1091">
              <w:rPr>
                <w:rFonts w:ascii="Arial" w:hAnsi="Arial" w:cs="Arial"/>
                <w:sz w:val="18"/>
                <w:szCs w:val="18"/>
              </w:rPr>
              <w:t> </w:t>
            </w:r>
          </w:p>
        </w:tc>
        <w:tc>
          <w:tcPr>
            <w:tcW w:w="552" w:type="pct"/>
            <w:tcBorders>
              <w:top w:val="single" w:sz="4" w:space="0" w:color="auto"/>
              <w:left w:val="nil"/>
              <w:bottom w:val="nil"/>
              <w:right w:val="nil"/>
            </w:tcBorders>
            <w:shd w:val="clear" w:color="auto" w:fill="auto"/>
            <w:noWrap/>
          </w:tcPr>
          <w:p w14:paraId="2B6F0289" w14:textId="77777777" w:rsidR="003E10CE" w:rsidRPr="00720267" w:rsidRDefault="003E10CE" w:rsidP="003E10CE">
            <w:pPr>
              <w:jc w:val="right"/>
              <w:rPr>
                <w:rFonts w:ascii="Arial" w:hAnsi="Arial" w:cs="Arial"/>
                <w:b/>
                <w:sz w:val="18"/>
                <w:szCs w:val="18"/>
              </w:rPr>
            </w:pPr>
            <w:r w:rsidRPr="00720267">
              <w:rPr>
                <w:rFonts w:ascii="Arial" w:hAnsi="Arial" w:cs="Arial"/>
                <w:b/>
                <w:sz w:val="18"/>
                <w:szCs w:val="18"/>
              </w:rPr>
              <w:t>4,30</w:t>
            </w:r>
            <w:r w:rsidR="00720267" w:rsidRPr="00720267">
              <w:rPr>
                <w:rFonts w:ascii="Arial" w:hAnsi="Arial" w:cs="Arial"/>
                <w:b/>
                <w:sz w:val="18"/>
                <w:szCs w:val="18"/>
              </w:rPr>
              <w:t>9</w:t>
            </w:r>
          </w:p>
        </w:tc>
        <w:tc>
          <w:tcPr>
            <w:tcW w:w="615" w:type="pct"/>
            <w:tcBorders>
              <w:top w:val="nil"/>
              <w:left w:val="nil"/>
              <w:bottom w:val="nil"/>
              <w:right w:val="nil"/>
            </w:tcBorders>
            <w:shd w:val="clear" w:color="auto" w:fill="auto"/>
            <w:noWrap/>
          </w:tcPr>
          <w:p w14:paraId="5CC0FED6" w14:textId="77777777" w:rsidR="003E10CE" w:rsidRPr="00AC58B6" w:rsidRDefault="003E10CE" w:rsidP="003E10CE">
            <w:pPr>
              <w:jc w:val="right"/>
              <w:rPr>
                <w:rFonts w:ascii="Arial" w:hAnsi="Arial" w:cs="Arial"/>
                <w:b/>
                <w:sz w:val="18"/>
                <w:szCs w:val="18"/>
              </w:rPr>
            </w:pPr>
            <w:r w:rsidRPr="00AC58B6">
              <w:rPr>
                <w:rFonts w:ascii="Arial" w:hAnsi="Arial" w:cs="Arial"/>
                <w:b/>
                <w:sz w:val="18"/>
                <w:szCs w:val="18"/>
              </w:rPr>
              <w:t>–</w:t>
            </w:r>
          </w:p>
        </w:tc>
        <w:tc>
          <w:tcPr>
            <w:tcW w:w="485" w:type="pct"/>
            <w:tcBorders>
              <w:top w:val="nil"/>
              <w:left w:val="nil"/>
              <w:bottom w:val="nil"/>
              <w:right w:val="nil"/>
            </w:tcBorders>
            <w:shd w:val="clear" w:color="auto" w:fill="auto"/>
            <w:noWrap/>
          </w:tcPr>
          <w:p w14:paraId="72FD3301" w14:textId="77777777" w:rsidR="003E10CE" w:rsidRPr="00AC58B6" w:rsidRDefault="003E10CE" w:rsidP="003E10CE">
            <w:pPr>
              <w:jc w:val="right"/>
              <w:rPr>
                <w:rFonts w:ascii="Arial" w:hAnsi="Arial" w:cs="Arial"/>
                <w:b/>
                <w:sz w:val="18"/>
                <w:szCs w:val="18"/>
              </w:rPr>
            </w:pPr>
            <w:r w:rsidRPr="00AC58B6">
              <w:rPr>
                <w:rFonts w:ascii="Arial" w:hAnsi="Arial" w:cs="Arial"/>
                <w:b/>
                <w:sz w:val="18"/>
                <w:szCs w:val="18"/>
              </w:rPr>
              <w:t>4,30</w:t>
            </w:r>
            <w:r w:rsidR="00720267" w:rsidRPr="00AC58B6">
              <w:rPr>
                <w:rFonts w:ascii="Arial" w:hAnsi="Arial" w:cs="Arial"/>
                <w:b/>
                <w:sz w:val="18"/>
                <w:szCs w:val="18"/>
              </w:rPr>
              <w:t>9</w:t>
            </w:r>
          </w:p>
        </w:tc>
        <w:tc>
          <w:tcPr>
            <w:tcW w:w="577" w:type="pct"/>
            <w:tcBorders>
              <w:top w:val="single" w:sz="4" w:space="0" w:color="auto"/>
              <w:left w:val="nil"/>
              <w:bottom w:val="nil"/>
              <w:right w:val="nil"/>
            </w:tcBorders>
            <w:shd w:val="clear" w:color="auto" w:fill="auto"/>
            <w:noWrap/>
          </w:tcPr>
          <w:p w14:paraId="769A9057"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4,303</w:t>
            </w:r>
          </w:p>
        </w:tc>
        <w:tc>
          <w:tcPr>
            <w:tcW w:w="577" w:type="pct"/>
            <w:tcBorders>
              <w:top w:val="single" w:sz="4" w:space="0" w:color="auto"/>
              <w:left w:val="nil"/>
              <w:bottom w:val="nil"/>
              <w:right w:val="nil"/>
            </w:tcBorders>
            <w:shd w:val="clear" w:color="auto" w:fill="auto"/>
            <w:noWrap/>
          </w:tcPr>
          <w:p w14:paraId="22A057DD"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w:t>
            </w:r>
          </w:p>
        </w:tc>
        <w:tc>
          <w:tcPr>
            <w:tcW w:w="480" w:type="pct"/>
            <w:tcBorders>
              <w:top w:val="single" w:sz="4" w:space="0" w:color="auto"/>
              <w:left w:val="nil"/>
              <w:bottom w:val="nil"/>
              <w:right w:val="nil"/>
            </w:tcBorders>
            <w:shd w:val="clear" w:color="auto" w:fill="auto"/>
            <w:noWrap/>
          </w:tcPr>
          <w:p w14:paraId="7C576F4E"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4,303</w:t>
            </w:r>
          </w:p>
        </w:tc>
      </w:tr>
      <w:tr w:rsidR="003E10CE" w:rsidRPr="00EF1091" w14:paraId="0655D208" w14:textId="77777777" w:rsidTr="00527DF5">
        <w:trPr>
          <w:trHeight w:val="225"/>
        </w:trPr>
        <w:tc>
          <w:tcPr>
            <w:tcW w:w="1444" w:type="pct"/>
            <w:tcBorders>
              <w:top w:val="nil"/>
              <w:left w:val="nil"/>
              <w:bottom w:val="nil"/>
              <w:right w:val="nil"/>
            </w:tcBorders>
            <w:shd w:val="clear" w:color="auto" w:fill="auto"/>
            <w:vAlign w:val="bottom"/>
          </w:tcPr>
          <w:p w14:paraId="1B9BF944" w14:textId="77777777" w:rsidR="003E10CE" w:rsidRPr="00EF1091" w:rsidRDefault="003E10CE" w:rsidP="003E10CE">
            <w:pPr>
              <w:rPr>
                <w:rFonts w:ascii="Arial" w:hAnsi="Arial" w:cs="Arial"/>
                <w:sz w:val="18"/>
                <w:szCs w:val="18"/>
              </w:rPr>
            </w:pPr>
            <w:r w:rsidRPr="00EF1091">
              <w:rPr>
                <w:rFonts w:ascii="Arial" w:hAnsi="Arial" w:cs="Arial"/>
                <w:sz w:val="18"/>
                <w:szCs w:val="18"/>
              </w:rPr>
              <w:t xml:space="preserve">Selling and distribution expenses </w:t>
            </w:r>
          </w:p>
        </w:tc>
        <w:tc>
          <w:tcPr>
            <w:tcW w:w="269" w:type="pct"/>
            <w:tcBorders>
              <w:top w:val="nil"/>
              <w:left w:val="nil"/>
              <w:bottom w:val="nil"/>
              <w:right w:val="nil"/>
            </w:tcBorders>
            <w:shd w:val="clear" w:color="auto" w:fill="auto"/>
            <w:noWrap/>
            <w:vAlign w:val="bottom"/>
          </w:tcPr>
          <w:p w14:paraId="49B65A4D" w14:textId="77777777" w:rsidR="003E10CE" w:rsidRPr="00EF1091" w:rsidRDefault="003E10CE" w:rsidP="003E10CE">
            <w:pPr>
              <w:jc w:val="center"/>
              <w:rPr>
                <w:rFonts w:ascii="Arial" w:hAnsi="Arial" w:cs="Arial"/>
                <w:sz w:val="18"/>
                <w:szCs w:val="18"/>
              </w:rPr>
            </w:pPr>
          </w:p>
        </w:tc>
        <w:tc>
          <w:tcPr>
            <w:tcW w:w="552" w:type="pct"/>
            <w:tcBorders>
              <w:top w:val="nil"/>
              <w:left w:val="nil"/>
              <w:bottom w:val="nil"/>
              <w:right w:val="nil"/>
            </w:tcBorders>
            <w:shd w:val="clear" w:color="auto" w:fill="auto"/>
            <w:noWrap/>
          </w:tcPr>
          <w:p w14:paraId="73B32971" w14:textId="77777777" w:rsidR="003E10CE" w:rsidRPr="00720267" w:rsidRDefault="003E10CE" w:rsidP="003E10CE">
            <w:pPr>
              <w:jc w:val="right"/>
              <w:rPr>
                <w:rFonts w:ascii="Arial" w:hAnsi="Arial" w:cs="Arial"/>
                <w:b/>
                <w:sz w:val="18"/>
                <w:szCs w:val="18"/>
              </w:rPr>
            </w:pPr>
            <w:r w:rsidRPr="00720267">
              <w:rPr>
                <w:rFonts w:ascii="Arial" w:hAnsi="Arial" w:cs="Arial"/>
                <w:b/>
                <w:sz w:val="18"/>
                <w:szCs w:val="18"/>
              </w:rPr>
              <w:t>(2,</w:t>
            </w:r>
            <w:r w:rsidR="00720267" w:rsidRPr="00720267">
              <w:rPr>
                <w:rFonts w:ascii="Arial" w:hAnsi="Arial" w:cs="Arial"/>
                <w:b/>
                <w:sz w:val="18"/>
                <w:szCs w:val="18"/>
              </w:rPr>
              <w:t>954</w:t>
            </w:r>
            <w:r w:rsidRPr="00720267">
              <w:rPr>
                <w:rFonts w:ascii="Arial" w:hAnsi="Arial" w:cs="Arial"/>
                <w:b/>
                <w:sz w:val="18"/>
                <w:szCs w:val="18"/>
              </w:rPr>
              <w:t>)</w:t>
            </w:r>
          </w:p>
        </w:tc>
        <w:tc>
          <w:tcPr>
            <w:tcW w:w="615" w:type="pct"/>
            <w:tcBorders>
              <w:top w:val="nil"/>
              <w:left w:val="nil"/>
              <w:bottom w:val="nil"/>
              <w:right w:val="nil"/>
            </w:tcBorders>
            <w:shd w:val="clear" w:color="auto" w:fill="auto"/>
            <w:noWrap/>
          </w:tcPr>
          <w:p w14:paraId="3B49BC5A" w14:textId="070689E3" w:rsidR="003E10CE" w:rsidRPr="00883E13" w:rsidRDefault="00476D80" w:rsidP="003E10CE">
            <w:pPr>
              <w:jc w:val="right"/>
              <w:rPr>
                <w:rFonts w:ascii="Arial" w:hAnsi="Arial" w:cs="Arial"/>
                <w:b/>
                <w:sz w:val="18"/>
                <w:szCs w:val="18"/>
              </w:rPr>
            </w:pPr>
            <w:r>
              <w:rPr>
                <w:rFonts w:ascii="Arial" w:hAnsi="Arial" w:cs="Arial"/>
                <w:b/>
                <w:sz w:val="18"/>
                <w:szCs w:val="18"/>
              </w:rPr>
              <w:t>(</w:t>
            </w:r>
            <w:r w:rsidR="00883E13" w:rsidRPr="00883E13">
              <w:rPr>
                <w:rFonts w:ascii="Arial" w:hAnsi="Arial" w:cs="Arial"/>
                <w:b/>
                <w:sz w:val="18"/>
                <w:szCs w:val="18"/>
              </w:rPr>
              <w:t>1</w:t>
            </w:r>
            <w:r w:rsidR="00945414">
              <w:rPr>
                <w:rFonts w:ascii="Arial" w:hAnsi="Arial" w:cs="Arial"/>
                <w:b/>
                <w:sz w:val="18"/>
                <w:szCs w:val="18"/>
              </w:rPr>
              <w:t>60</w:t>
            </w:r>
            <w:r>
              <w:rPr>
                <w:rFonts w:ascii="Arial" w:hAnsi="Arial" w:cs="Arial"/>
                <w:b/>
                <w:sz w:val="18"/>
                <w:szCs w:val="18"/>
              </w:rPr>
              <w:t>)</w:t>
            </w:r>
          </w:p>
        </w:tc>
        <w:tc>
          <w:tcPr>
            <w:tcW w:w="485" w:type="pct"/>
            <w:tcBorders>
              <w:top w:val="nil"/>
              <w:left w:val="nil"/>
              <w:bottom w:val="nil"/>
              <w:right w:val="nil"/>
            </w:tcBorders>
            <w:shd w:val="clear" w:color="auto" w:fill="auto"/>
            <w:noWrap/>
          </w:tcPr>
          <w:p w14:paraId="16CB9C8B" w14:textId="20E48B41" w:rsidR="003E10CE" w:rsidRPr="00883E13" w:rsidRDefault="003E10CE" w:rsidP="003E10CE">
            <w:pPr>
              <w:jc w:val="right"/>
              <w:rPr>
                <w:rFonts w:ascii="Arial" w:hAnsi="Arial" w:cs="Arial"/>
                <w:b/>
                <w:sz w:val="18"/>
                <w:szCs w:val="18"/>
              </w:rPr>
            </w:pPr>
            <w:r w:rsidRPr="00883E13">
              <w:rPr>
                <w:rFonts w:ascii="Arial" w:hAnsi="Arial" w:cs="Arial"/>
                <w:b/>
                <w:sz w:val="18"/>
                <w:szCs w:val="18"/>
              </w:rPr>
              <w:t>(</w:t>
            </w:r>
            <w:r w:rsidR="00883E13" w:rsidRPr="00883E13">
              <w:rPr>
                <w:rFonts w:ascii="Arial" w:hAnsi="Arial" w:cs="Arial"/>
                <w:b/>
                <w:sz w:val="18"/>
                <w:szCs w:val="18"/>
              </w:rPr>
              <w:t>3</w:t>
            </w:r>
            <w:r w:rsidRPr="00883E13">
              <w:rPr>
                <w:rFonts w:ascii="Arial" w:hAnsi="Arial" w:cs="Arial"/>
                <w:b/>
                <w:sz w:val="18"/>
                <w:szCs w:val="18"/>
              </w:rPr>
              <w:t>,</w:t>
            </w:r>
            <w:r w:rsidR="00945414">
              <w:rPr>
                <w:rFonts w:ascii="Arial" w:hAnsi="Arial" w:cs="Arial"/>
                <w:b/>
                <w:sz w:val="18"/>
                <w:szCs w:val="18"/>
              </w:rPr>
              <w:t>114</w:t>
            </w:r>
            <w:r w:rsidRPr="00883E13">
              <w:rPr>
                <w:rFonts w:ascii="Arial" w:hAnsi="Arial" w:cs="Arial"/>
                <w:b/>
                <w:sz w:val="18"/>
                <w:szCs w:val="18"/>
              </w:rPr>
              <w:t>)</w:t>
            </w:r>
          </w:p>
        </w:tc>
        <w:tc>
          <w:tcPr>
            <w:tcW w:w="577" w:type="pct"/>
            <w:tcBorders>
              <w:top w:val="nil"/>
              <w:left w:val="nil"/>
              <w:bottom w:val="nil"/>
              <w:right w:val="nil"/>
            </w:tcBorders>
            <w:shd w:val="clear" w:color="auto" w:fill="auto"/>
            <w:noWrap/>
          </w:tcPr>
          <w:p w14:paraId="1C413DCA"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(2,863)</w:t>
            </w:r>
          </w:p>
        </w:tc>
        <w:tc>
          <w:tcPr>
            <w:tcW w:w="577" w:type="pct"/>
            <w:tcBorders>
              <w:top w:val="nil"/>
              <w:left w:val="nil"/>
              <w:bottom w:val="nil"/>
              <w:right w:val="nil"/>
            </w:tcBorders>
            <w:shd w:val="clear" w:color="auto" w:fill="auto"/>
            <w:noWrap/>
          </w:tcPr>
          <w:p w14:paraId="0DEC3831"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14</w:t>
            </w:r>
          </w:p>
        </w:tc>
        <w:tc>
          <w:tcPr>
            <w:tcW w:w="480" w:type="pct"/>
            <w:tcBorders>
              <w:top w:val="nil"/>
              <w:left w:val="nil"/>
              <w:bottom w:val="nil"/>
              <w:right w:val="nil"/>
            </w:tcBorders>
            <w:shd w:val="clear" w:color="auto" w:fill="auto"/>
            <w:noWrap/>
          </w:tcPr>
          <w:p w14:paraId="3A34600E"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(2,849)</w:t>
            </w:r>
          </w:p>
        </w:tc>
      </w:tr>
      <w:tr w:rsidR="003E10CE" w:rsidRPr="00EF1091" w14:paraId="0A052C27" w14:textId="77777777" w:rsidTr="00527DF5">
        <w:trPr>
          <w:trHeight w:val="225"/>
        </w:trPr>
        <w:tc>
          <w:tcPr>
            <w:tcW w:w="1444" w:type="pct"/>
            <w:tcBorders>
              <w:top w:val="nil"/>
              <w:left w:val="nil"/>
              <w:bottom w:val="nil"/>
              <w:right w:val="nil"/>
            </w:tcBorders>
            <w:shd w:val="clear" w:color="auto" w:fill="auto"/>
            <w:vAlign w:val="bottom"/>
          </w:tcPr>
          <w:p w14:paraId="25672153" w14:textId="77777777" w:rsidR="003E10CE" w:rsidRPr="00EF1091" w:rsidRDefault="003E10CE" w:rsidP="003E10CE">
            <w:pPr>
              <w:rPr>
                <w:rFonts w:ascii="Arial" w:hAnsi="Arial" w:cs="Arial"/>
                <w:sz w:val="18"/>
                <w:szCs w:val="18"/>
              </w:rPr>
            </w:pPr>
            <w:r w:rsidRPr="00EF1091">
              <w:rPr>
                <w:rFonts w:ascii="Arial" w:hAnsi="Arial" w:cs="Arial"/>
                <w:sz w:val="18"/>
                <w:szCs w:val="18"/>
              </w:rPr>
              <w:t>Administrative expenses</w:t>
            </w:r>
          </w:p>
        </w:tc>
        <w:tc>
          <w:tcPr>
            <w:tcW w:w="269" w:type="pct"/>
            <w:tcBorders>
              <w:top w:val="nil"/>
              <w:left w:val="nil"/>
              <w:bottom w:val="nil"/>
              <w:right w:val="nil"/>
            </w:tcBorders>
            <w:shd w:val="clear" w:color="auto" w:fill="auto"/>
            <w:noWrap/>
            <w:vAlign w:val="bottom"/>
          </w:tcPr>
          <w:p w14:paraId="00762B46" w14:textId="77777777" w:rsidR="003E10CE" w:rsidRPr="00EF1091" w:rsidRDefault="003E10CE" w:rsidP="003E10CE">
            <w:pPr>
              <w:jc w:val="center"/>
              <w:rPr>
                <w:rFonts w:ascii="Arial" w:hAnsi="Arial" w:cs="Arial"/>
                <w:sz w:val="18"/>
                <w:szCs w:val="18"/>
              </w:rPr>
            </w:pPr>
          </w:p>
        </w:tc>
        <w:tc>
          <w:tcPr>
            <w:tcW w:w="552" w:type="pct"/>
            <w:tcBorders>
              <w:top w:val="nil"/>
              <w:left w:val="nil"/>
              <w:bottom w:val="nil"/>
              <w:right w:val="nil"/>
            </w:tcBorders>
            <w:shd w:val="clear" w:color="auto" w:fill="auto"/>
            <w:noWrap/>
          </w:tcPr>
          <w:p w14:paraId="5066BFCC" w14:textId="77777777" w:rsidR="003E10CE" w:rsidRPr="00720267" w:rsidRDefault="003E10CE" w:rsidP="003E10CE">
            <w:pPr>
              <w:jc w:val="right"/>
              <w:rPr>
                <w:rFonts w:ascii="Arial" w:hAnsi="Arial" w:cs="Arial"/>
                <w:b/>
                <w:sz w:val="18"/>
                <w:szCs w:val="18"/>
              </w:rPr>
            </w:pPr>
            <w:r w:rsidRPr="00720267">
              <w:rPr>
                <w:rFonts w:ascii="Arial" w:hAnsi="Arial" w:cs="Arial"/>
                <w:b/>
                <w:sz w:val="18"/>
                <w:szCs w:val="18"/>
              </w:rPr>
              <w:t>(</w:t>
            </w:r>
            <w:r w:rsidR="00720267" w:rsidRPr="00720267">
              <w:rPr>
                <w:rFonts w:ascii="Arial" w:hAnsi="Arial" w:cs="Arial"/>
                <w:b/>
                <w:sz w:val="18"/>
                <w:szCs w:val="18"/>
              </w:rPr>
              <w:t>804</w:t>
            </w:r>
            <w:r w:rsidRPr="00720267">
              <w:rPr>
                <w:rFonts w:ascii="Arial" w:hAnsi="Arial" w:cs="Arial"/>
                <w:b/>
                <w:sz w:val="18"/>
                <w:szCs w:val="18"/>
              </w:rPr>
              <w:t>)</w:t>
            </w:r>
          </w:p>
        </w:tc>
        <w:tc>
          <w:tcPr>
            <w:tcW w:w="615" w:type="pct"/>
            <w:tcBorders>
              <w:top w:val="nil"/>
              <w:left w:val="nil"/>
              <w:bottom w:val="nil"/>
              <w:right w:val="nil"/>
            </w:tcBorders>
            <w:shd w:val="clear" w:color="auto" w:fill="auto"/>
            <w:noWrap/>
          </w:tcPr>
          <w:p w14:paraId="10D8C4C3" w14:textId="77777777" w:rsidR="003E10CE" w:rsidRPr="00883E13" w:rsidRDefault="003E10CE" w:rsidP="003E10CE">
            <w:pPr>
              <w:jc w:val="right"/>
              <w:rPr>
                <w:rFonts w:ascii="Arial" w:hAnsi="Arial" w:cs="Arial"/>
                <w:b/>
                <w:sz w:val="18"/>
                <w:szCs w:val="18"/>
              </w:rPr>
            </w:pPr>
            <w:r w:rsidRPr="00883E13">
              <w:rPr>
                <w:rFonts w:ascii="Arial" w:hAnsi="Arial" w:cs="Arial"/>
                <w:b/>
                <w:sz w:val="18"/>
                <w:szCs w:val="18"/>
              </w:rPr>
              <w:t>(</w:t>
            </w:r>
            <w:r w:rsidR="00883E13" w:rsidRPr="00883E13">
              <w:rPr>
                <w:rFonts w:ascii="Arial" w:hAnsi="Arial" w:cs="Arial"/>
                <w:b/>
                <w:sz w:val="18"/>
                <w:szCs w:val="18"/>
              </w:rPr>
              <w:t>63</w:t>
            </w:r>
            <w:r w:rsidRPr="00883E13">
              <w:rPr>
                <w:rFonts w:ascii="Arial" w:hAnsi="Arial" w:cs="Arial"/>
                <w:b/>
                <w:sz w:val="18"/>
                <w:szCs w:val="18"/>
              </w:rPr>
              <w:t>)</w:t>
            </w:r>
          </w:p>
        </w:tc>
        <w:tc>
          <w:tcPr>
            <w:tcW w:w="485" w:type="pct"/>
            <w:tcBorders>
              <w:top w:val="nil"/>
              <w:left w:val="nil"/>
              <w:bottom w:val="nil"/>
              <w:right w:val="nil"/>
            </w:tcBorders>
            <w:shd w:val="clear" w:color="auto" w:fill="auto"/>
            <w:noWrap/>
          </w:tcPr>
          <w:p w14:paraId="67012F00" w14:textId="77777777" w:rsidR="003E10CE" w:rsidRPr="00883E13" w:rsidRDefault="003E10CE" w:rsidP="003E10CE">
            <w:pPr>
              <w:jc w:val="right"/>
              <w:rPr>
                <w:rFonts w:ascii="Arial" w:hAnsi="Arial" w:cs="Arial"/>
                <w:b/>
                <w:sz w:val="18"/>
                <w:szCs w:val="18"/>
              </w:rPr>
            </w:pPr>
            <w:r w:rsidRPr="00883E13">
              <w:rPr>
                <w:rFonts w:ascii="Arial" w:hAnsi="Arial" w:cs="Arial"/>
                <w:b/>
                <w:sz w:val="18"/>
                <w:szCs w:val="18"/>
              </w:rPr>
              <w:t>(</w:t>
            </w:r>
            <w:r w:rsidR="00883E13" w:rsidRPr="00883E13">
              <w:rPr>
                <w:rFonts w:ascii="Arial" w:hAnsi="Arial" w:cs="Arial"/>
                <w:b/>
                <w:sz w:val="18"/>
                <w:szCs w:val="18"/>
              </w:rPr>
              <w:t>867</w:t>
            </w:r>
            <w:r w:rsidRPr="00883E13">
              <w:rPr>
                <w:rFonts w:ascii="Arial" w:hAnsi="Arial" w:cs="Arial"/>
                <w:b/>
                <w:sz w:val="18"/>
                <w:szCs w:val="18"/>
              </w:rPr>
              <w:t>)</w:t>
            </w:r>
          </w:p>
        </w:tc>
        <w:tc>
          <w:tcPr>
            <w:tcW w:w="577" w:type="pct"/>
            <w:tcBorders>
              <w:top w:val="nil"/>
              <w:left w:val="nil"/>
              <w:bottom w:val="nil"/>
              <w:right w:val="nil"/>
            </w:tcBorders>
            <w:shd w:val="clear" w:color="auto" w:fill="auto"/>
            <w:noWrap/>
          </w:tcPr>
          <w:p w14:paraId="3374FBC0"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(782)</w:t>
            </w:r>
          </w:p>
        </w:tc>
        <w:tc>
          <w:tcPr>
            <w:tcW w:w="577" w:type="pct"/>
            <w:tcBorders>
              <w:top w:val="nil"/>
              <w:left w:val="nil"/>
              <w:bottom w:val="nil"/>
              <w:right w:val="nil"/>
            </w:tcBorders>
            <w:shd w:val="clear" w:color="auto" w:fill="auto"/>
            <w:noWrap/>
          </w:tcPr>
          <w:p w14:paraId="29EACC0B"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(15)</w:t>
            </w:r>
          </w:p>
        </w:tc>
        <w:tc>
          <w:tcPr>
            <w:tcW w:w="480" w:type="pct"/>
            <w:tcBorders>
              <w:top w:val="nil"/>
              <w:left w:val="nil"/>
              <w:bottom w:val="nil"/>
              <w:right w:val="nil"/>
            </w:tcBorders>
            <w:shd w:val="clear" w:color="auto" w:fill="auto"/>
            <w:noWrap/>
          </w:tcPr>
          <w:p w14:paraId="2FA28CED"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(797)</w:t>
            </w:r>
          </w:p>
        </w:tc>
      </w:tr>
      <w:tr w:rsidR="003E10CE" w:rsidRPr="00EF1091" w14:paraId="48672763" w14:textId="77777777" w:rsidTr="00527DF5">
        <w:trPr>
          <w:trHeight w:val="225"/>
        </w:trPr>
        <w:tc>
          <w:tcPr>
            <w:tcW w:w="1444" w:type="pct"/>
            <w:tcBorders>
              <w:top w:val="nil"/>
              <w:left w:val="nil"/>
              <w:bottom w:val="nil"/>
              <w:right w:val="nil"/>
            </w:tcBorders>
            <w:shd w:val="clear" w:color="auto" w:fill="auto"/>
            <w:vAlign w:val="bottom"/>
          </w:tcPr>
          <w:p w14:paraId="037B95A9" w14:textId="77777777" w:rsidR="003E10CE" w:rsidRPr="00EF1091" w:rsidRDefault="003E10CE" w:rsidP="003E10CE">
            <w:pPr>
              <w:rPr>
                <w:rFonts w:ascii="Arial" w:hAnsi="Arial" w:cs="Arial"/>
                <w:sz w:val="18"/>
                <w:szCs w:val="18"/>
              </w:rPr>
            </w:pPr>
            <w:r w:rsidRPr="00EF1091">
              <w:rPr>
                <w:rFonts w:ascii="Arial" w:hAnsi="Arial" w:cs="Arial"/>
                <w:sz w:val="18"/>
                <w:szCs w:val="18"/>
              </w:rPr>
              <w:t>Other income</w:t>
            </w:r>
          </w:p>
        </w:tc>
        <w:tc>
          <w:tcPr>
            <w:tcW w:w="269" w:type="pct"/>
            <w:tcBorders>
              <w:top w:val="nil"/>
              <w:left w:val="nil"/>
              <w:bottom w:val="nil"/>
              <w:right w:val="nil"/>
            </w:tcBorders>
            <w:shd w:val="clear" w:color="auto" w:fill="auto"/>
            <w:noWrap/>
            <w:vAlign w:val="bottom"/>
          </w:tcPr>
          <w:p w14:paraId="37291E6E" w14:textId="77777777" w:rsidR="003E10CE" w:rsidRPr="00EF1091" w:rsidRDefault="003E10CE" w:rsidP="003E10CE">
            <w:pPr>
              <w:jc w:val="center"/>
              <w:rPr>
                <w:rFonts w:ascii="Arial" w:hAnsi="Arial" w:cs="Arial"/>
                <w:sz w:val="18"/>
                <w:szCs w:val="18"/>
              </w:rPr>
            </w:pPr>
          </w:p>
        </w:tc>
        <w:tc>
          <w:tcPr>
            <w:tcW w:w="552" w:type="pct"/>
            <w:tcBorders>
              <w:top w:val="nil"/>
              <w:left w:val="nil"/>
              <w:bottom w:val="nil"/>
              <w:right w:val="nil"/>
            </w:tcBorders>
            <w:shd w:val="clear" w:color="auto" w:fill="auto"/>
            <w:noWrap/>
          </w:tcPr>
          <w:p w14:paraId="3F8137FB" w14:textId="77777777" w:rsidR="003E10CE" w:rsidRPr="00720267" w:rsidRDefault="003E10CE" w:rsidP="003E10CE">
            <w:pPr>
              <w:jc w:val="right"/>
              <w:rPr>
                <w:rFonts w:ascii="Arial" w:hAnsi="Arial" w:cs="Arial"/>
                <w:b/>
                <w:sz w:val="18"/>
                <w:szCs w:val="18"/>
              </w:rPr>
            </w:pPr>
            <w:r w:rsidRPr="00720267">
              <w:rPr>
                <w:rFonts w:ascii="Arial" w:hAnsi="Arial" w:cs="Arial"/>
                <w:b/>
                <w:sz w:val="18"/>
                <w:szCs w:val="18"/>
              </w:rPr>
              <w:t>2</w:t>
            </w:r>
            <w:r w:rsidR="00720267" w:rsidRPr="00720267">
              <w:rPr>
                <w:rFonts w:ascii="Arial" w:hAnsi="Arial" w:cs="Arial"/>
                <w:b/>
                <w:sz w:val="18"/>
                <w:szCs w:val="18"/>
              </w:rPr>
              <w:t>7</w:t>
            </w:r>
          </w:p>
        </w:tc>
        <w:tc>
          <w:tcPr>
            <w:tcW w:w="615" w:type="pct"/>
            <w:tcBorders>
              <w:top w:val="nil"/>
              <w:left w:val="nil"/>
              <w:bottom w:val="nil"/>
              <w:right w:val="nil"/>
            </w:tcBorders>
            <w:shd w:val="clear" w:color="auto" w:fill="auto"/>
            <w:noWrap/>
          </w:tcPr>
          <w:p w14:paraId="5B4D5FBD" w14:textId="77777777" w:rsidR="003E10CE" w:rsidRPr="00883E13" w:rsidRDefault="00883E13" w:rsidP="003E10CE">
            <w:pPr>
              <w:jc w:val="right"/>
              <w:rPr>
                <w:rFonts w:ascii="Arial" w:hAnsi="Arial" w:cs="Arial"/>
                <w:b/>
                <w:sz w:val="18"/>
                <w:szCs w:val="18"/>
              </w:rPr>
            </w:pPr>
            <w:r w:rsidRPr="00883E13">
              <w:rPr>
                <w:rFonts w:ascii="Arial" w:hAnsi="Arial" w:cs="Arial"/>
                <w:b/>
                <w:sz w:val="18"/>
                <w:szCs w:val="18"/>
              </w:rPr>
              <w:t>29</w:t>
            </w:r>
          </w:p>
        </w:tc>
        <w:tc>
          <w:tcPr>
            <w:tcW w:w="485" w:type="pct"/>
            <w:tcBorders>
              <w:top w:val="nil"/>
              <w:left w:val="nil"/>
              <w:bottom w:val="nil"/>
              <w:right w:val="nil"/>
            </w:tcBorders>
            <w:shd w:val="clear" w:color="auto" w:fill="auto"/>
            <w:noWrap/>
          </w:tcPr>
          <w:p w14:paraId="425EC168" w14:textId="77777777" w:rsidR="003E10CE" w:rsidRPr="00883E13" w:rsidRDefault="00883E13" w:rsidP="003E10CE">
            <w:pPr>
              <w:jc w:val="right"/>
              <w:rPr>
                <w:rFonts w:ascii="Arial" w:hAnsi="Arial" w:cs="Arial"/>
                <w:b/>
                <w:sz w:val="18"/>
                <w:szCs w:val="18"/>
              </w:rPr>
            </w:pPr>
            <w:r w:rsidRPr="00883E13">
              <w:rPr>
                <w:rFonts w:ascii="Arial" w:hAnsi="Arial" w:cs="Arial"/>
                <w:b/>
                <w:sz w:val="18"/>
                <w:szCs w:val="18"/>
              </w:rPr>
              <w:t>56</w:t>
            </w:r>
          </w:p>
        </w:tc>
        <w:tc>
          <w:tcPr>
            <w:tcW w:w="577" w:type="pct"/>
            <w:tcBorders>
              <w:top w:val="nil"/>
              <w:left w:val="nil"/>
              <w:bottom w:val="nil"/>
              <w:right w:val="nil"/>
            </w:tcBorders>
            <w:shd w:val="clear" w:color="auto" w:fill="auto"/>
            <w:noWrap/>
          </w:tcPr>
          <w:p w14:paraId="482E9443"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24</w:t>
            </w:r>
          </w:p>
        </w:tc>
        <w:tc>
          <w:tcPr>
            <w:tcW w:w="577" w:type="pct"/>
            <w:tcBorders>
              <w:top w:val="nil"/>
              <w:left w:val="nil"/>
              <w:bottom w:val="nil"/>
              <w:right w:val="nil"/>
            </w:tcBorders>
            <w:shd w:val="clear" w:color="auto" w:fill="auto"/>
            <w:noWrap/>
          </w:tcPr>
          <w:p w14:paraId="3DFAB43E"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1</w:t>
            </w:r>
          </w:p>
        </w:tc>
        <w:tc>
          <w:tcPr>
            <w:tcW w:w="480" w:type="pct"/>
            <w:tcBorders>
              <w:top w:val="nil"/>
              <w:left w:val="nil"/>
              <w:bottom w:val="nil"/>
              <w:right w:val="nil"/>
            </w:tcBorders>
            <w:shd w:val="clear" w:color="auto" w:fill="auto"/>
            <w:noWrap/>
          </w:tcPr>
          <w:p w14:paraId="55E1898F"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25</w:t>
            </w:r>
          </w:p>
        </w:tc>
      </w:tr>
      <w:tr w:rsidR="007B4AB4" w:rsidRPr="00EF1091" w14:paraId="1002103C" w14:textId="77777777" w:rsidTr="00527DF5">
        <w:trPr>
          <w:trHeight w:val="225"/>
        </w:trPr>
        <w:tc>
          <w:tcPr>
            <w:tcW w:w="1444" w:type="pct"/>
            <w:tcBorders>
              <w:top w:val="nil"/>
              <w:left w:val="nil"/>
              <w:bottom w:val="nil"/>
              <w:right w:val="nil"/>
            </w:tcBorders>
            <w:shd w:val="clear" w:color="auto" w:fill="auto"/>
            <w:vAlign w:val="bottom"/>
          </w:tcPr>
          <w:p w14:paraId="385EE525" w14:textId="77777777" w:rsidR="007B4AB4" w:rsidRPr="00EF1091" w:rsidRDefault="007B4AB4" w:rsidP="003E10CE">
            <w:pPr>
              <w:rPr>
                <w:rFonts w:ascii="Arial" w:hAnsi="Arial" w:cs="Arial"/>
                <w:sz w:val="18"/>
                <w:szCs w:val="18"/>
              </w:rPr>
            </w:pPr>
            <w:r>
              <w:rPr>
                <w:rFonts w:ascii="Arial" w:hAnsi="Arial" w:cs="Arial"/>
                <w:sz w:val="18"/>
                <w:szCs w:val="18"/>
              </w:rPr>
              <w:t>Other expenses</w:t>
            </w:r>
          </w:p>
        </w:tc>
        <w:tc>
          <w:tcPr>
            <w:tcW w:w="269" w:type="pct"/>
            <w:tcBorders>
              <w:top w:val="nil"/>
              <w:left w:val="nil"/>
              <w:bottom w:val="nil"/>
              <w:right w:val="nil"/>
            </w:tcBorders>
            <w:shd w:val="clear" w:color="auto" w:fill="auto"/>
            <w:noWrap/>
            <w:vAlign w:val="bottom"/>
          </w:tcPr>
          <w:p w14:paraId="2B8990AA" w14:textId="77777777" w:rsidR="007B4AB4" w:rsidRPr="00EF1091" w:rsidRDefault="007B4AB4" w:rsidP="003E10CE">
            <w:pPr>
              <w:jc w:val="center"/>
              <w:rPr>
                <w:rFonts w:ascii="Arial" w:hAnsi="Arial" w:cs="Arial"/>
                <w:sz w:val="18"/>
                <w:szCs w:val="18"/>
              </w:rPr>
            </w:pPr>
          </w:p>
        </w:tc>
        <w:tc>
          <w:tcPr>
            <w:tcW w:w="552" w:type="pct"/>
            <w:tcBorders>
              <w:top w:val="nil"/>
              <w:left w:val="nil"/>
              <w:bottom w:val="nil"/>
              <w:right w:val="nil"/>
            </w:tcBorders>
            <w:shd w:val="clear" w:color="auto" w:fill="auto"/>
            <w:noWrap/>
          </w:tcPr>
          <w:p w14:paraId="577F8387" w14:textId="77777777" w:rsidR="007B4AB4" w:rsidRPr="00720267" w:rsidRDefault="007B4AB4" w:rsidP="003E10CE">
            <w:pPr>
              <w:jc w:val="right"/>
              <w:rPr>
                <w:rFonts w:ascii="Arial" w:hAnsi="Arial" w:cs="Arial"/>
                <w:b/>
                <w:sz w:val="18"/>
                <w:szCs w:val="18"/>
              </w:rPr>
            </w:pPr>
            <w:r w:rsidRPr="00AC58B6">
              <w:rPr>
                <w:rFonts w:ascii="Arial" w:hAnsi="Arial" w:cs="Arial"/>
                <w:b/>
                <w:sz w:val="18"/>
                <w:szCs w:val="18"/>
              </w:rPr>
              <w:t>–</w:t>
            </w:r>
          </w:p>
        </w:tc>
        <w:tc>
          <w:tcPr>
            <w:tcW w:w="615" w:type="pct"/>
            <w:tcBorders>
              <w:top w:val="nil"/>
              <w:left w:val="nil"/>
              <w:bottom w:val="nil"/>
              <w:right w:val="nil"/>
            </w:tcBorders>
            <w:shd w:val="clear" w:color="auto" w:fill="auto"/>
            <w:noWrap/>
          </w:tcPr>
          <w:p w14:paraId="51E5AD9B" w14:textId="77777777" w:rsidR="007B4AB4" w:rsidRPr="00883E13" w:rsidRDefault="007B4AB4" w:rsidP="003E10CE">
            <w:pPr>
              <w:jc w:val="right"/>
              <w:rPr>
                <w:rFonts w:ascii="Arial" w:hAnsi="Arial" w:cs="Arial"/>
                <w:b/>
                <w:sz w:val="18"/>
                <w:szCs w:val="18"/>
              </w:rPr>
            </w:pPr>
            <w:r>
              <w:rPr>
                <w:rFonts w:ascii="Arial" w:hAnsi="Arial" w:cs="Arial"/>
                <w:b/>
                <w:sz w:val="18"/>
                <w:szCs w:val="18"/>
              </w:rPr>
              <w:t>(57)</w:t>
            </w:r>
          </w:p>
        </w:tc>
        <w:tc>
          <w:tcPr>
            <w:tcW w:w="485" w:type="pct"/>
            <w:tcBorders>
              <w:top w:val="nil"/>
              <w:left w:val="nil"/>
              <w:bottom w:val="nil"/>
              <w:right w:val="nil"/>
            </w:tcBorders>
            <w:shd w:val="clear" w:color="auto" w:fill="auto"/>
            <w:noWrap/>
          </w:tcPr>
          <w:p w14:paraId="7341EBCC" w14:textId="77777777" w:rsidR="007B4AB4" w:rsidRPr="00883E13" w:rsidRDefault="007B4AB4" w:rsidP="003E10CE">
            <w:pPr>
              <w:jc w:val="right"/>
              <w:rPr>
                <w:rFonts w:ascii="Arial" w:hAnsi="Arial" w:cs="Arial"/>
                <w:b/>
                <w:sz w:val="18"/>
                <w:szCs w:val="18"/>
              </w:rPr>
            </w:pPr>
            <w:r>
              <w:rPr>
                <w:rFonts w:ascii="Arial" w:hAnsi="Arial" w:cs="Arial"/>
                <w:b/>
                <w:sz w:val="18"/>
                <w:szCs w:val="18"/>
              </w:rPr>
              <w:t>(57)</w:t>
            </w:r>
          </w:p>
        </w:tc>
        <w:tc>
          <w:tcPr>
            <w:tcW w:w="577" w:type="pct"/>
            <w:tcBorders>
              <w:top w:val="nil"/>
              <w:left w:val="nil"/>
              <w:bottom w:val="nil"/>
              <w:right w:val="nil"/>
            </w:tcBorders>
            <w:shd w:val="clear" w:color="auto" w:fill="auto"/>
            <w:noWrap/>
          </w:tcPr>
          <w:p w14:paraId="42FFDECE" w14:textId="77777777" w:rsidR="007B4AB4" w:rsidRPr="003E10CE" w:rsidRDefault="007B4AB4" w:rsidP="003E10CE">
            <w:pPr>
              <w:jc w:val="right"/>
              <w:rPr>
                <w:rFonts w:ascii="Arial" w:hAnsi="Arial" w:cs="Arial"/>
                <w:sz w:val="18"/>
                <w:szCs w:val="18"/>
              </w:rPr>
            </w:pPr>
            <w:r w:rsidRPr="003E10CE">
              <w:rPr>
                <w:rFonts w:ascii="Arial" w:hAnsi="Arial" w:cs="Arial"/>
                <w:sz w:val="18"/>
                <w:szCs w:val="18"/>
              </w:rPr>
              <w:t>–</w:t>
            </w:r>
          </w:p>
        </w:tc>
        <w:tc>
          <w:tcPr>
            <w:tcW w:w="577" w:type="pct"/>
            <w:tcBorders>
              <w:top w:val="nil"/>
              <w:left w:val="nil"/>
              <w:bottom w:val="nil"/>
              <w:right w:val="nil"/>
            </w:tcBorders>
            <w:shd w:val="clear" w:color="auto" w:fill="auto"/>
            <w:noWrap/>
          </w:tcPr>
          <w:p w14:paraId="6D135BAD" w14:textId="77777777" w:rsidR="007B4AB4" w:rsidRPr="003E10CE" w:rsidRDefault="007B4AB4" w:rsidP="003E10CE">
            <w:pPr>
              <w:jc w:val="right"/>
              <w:rPr>
                <w:rFonts w:ascii="Arial" w:hAnsi="Arial" w:cs="Arial"/>
                <w:sz w:val="18"/>
                <w:szCs w:val="18"/>
              </w:rPr>
            </w:pPr>
            <w:r w:rsidRPr="003E10CE">
              <w:rPr>
                <w:rFonts w:ascii="Arial" w:hAnsi="Arial" w:cs="Arial"/>
                <w:sz w:val="18"/>
                <w:szCs w:val="18"/>
              </w:rPr>
              <w:t>–</w:t>
            </w:r>
          </w:p>
        </w:tc>
        <w:tc>
          <w:tcPr>
            <w:tcW w:w="480" w:type="pct"/>
            <w:tcBorders>
              <w:top w:val="nil"/>
              <w:left w:val="nil"/>
              <w:bottom w:val="nil"/>
              <w:right w:val="nil"/>
            </w:tcBorders>
            <w:shd w:val="clear" w:color="auto" w:fill="auto"/>
            <w:noWrap/>
          </w:tcPr>
          <w:p w14:paraId="1AB0E9B2" w14:textId="77777777" w:rsidR="007B4AB4" w:rsidRPr="003E10CE" w:rsidRDefault="007B4AB4" w:rsidP="003E10CE">
            <w:pPr>
              <w:jc w:val="right"/>
              <w:rPr>
                <w:rFonts w:ascii="Arial" w:hAnsi="Arial" w:cs="Arial"/>
                <w:sz w:val="18"/>
                <w:szCs w:val="18"/>
              </w:rPr>
            </w:pPr>
            <w:r w:rsidRPr="003E10CE">
              <w:rPr>
                <w:rFonts w:ascii="Arial" w:hAnsi="Arial" w:cs="Arial"/>
                <w:sz w:val="18"/>
                <w:szCs w:val="18"/>
              </w:rPr>
              <w:t>–</w:t>
            </w:r>
          </w:p>
        </w:tc>
      </w:tr>
      <w:tr w:rsidR="003E10CE" w:rsidRPr="00EF1091" w14:paraId="58A9B63F" w14:textId="77777777" w:rsidTr="00527DF5">
        <w:trPr>
          <w:trHeight w:val="450"/>
        </w:trPr>
        <w:tc>
          <w:tcPr>
            <w:tcW w:w="1444" w:type="pct"/>
            <w:tcBorders>
              <w:top w:val="nil"/>
              <w:left w:val="nil"/>
              <w:bottom w:val="nil"/>
              <w:right w:val="nil"/>
            </w:tcBorders>
            <w:shd w:val="clear" w:color="auto" w:fill="auto"/>
            <w:vAlign w:val="bottom"/>
          </w:tcPr>
          <w:p w14:paraId="3A35749C" w14:textId="77777777" w:rsidR="003E10CE" w:rsidRDefault="003E10CE" w:rsidP="003E10CE">
            <w:pPr>
              <w:rPr>
                <w:rFonts w:ascii="Arial" w:hAnsi="Arial" w:cs="Arial"/>
                <w:sz w:val="18"/>
                <w:szCs w:val="18"/>
              </w:rPr>
            </w:pPr>
            <w:r>
              <w:rPr>
                <w:rFonts w:ascii="Arial" w:hAnsi="Arial" w:cs="Arial"/>
                <w:sz w:val="18"/>
                <w:szCs w:val="18"/>
              </w:rPr>
              <w:t>Share of post-</w:t>
            </w:r>
            <w:r w:rsidRPr="00EF1091">
              <w:rPr>
                <w:rFonts w:ascii="Arial" w:hAnsi="Arial" w:cs="Arial"/>
                <w:sz w:val="18"/>
                <w:szCs w:val="18"/>
              </w:rPr>
              <w:t>tax results</w:t>
            </w:r>
          </w:p>
          <w:p w14:paraId="2FC761F5" w14:textId="77777777" w:rsidR="003E10CE" w:rsidRPr="00EF1091" w:rsidRDefault="003E10CE" w:rsidP="003E10CE">
            <w:pPr>
              <w:rPr>
                <w:rFonts w:ascii="Arial" w:hAnsi="Arial" w:cs="Arial"/>
                <w:sz w:val="18"/>
                <w:szCs w:val="18"/>
              </w:rPr>
            </w:pPr>
            <w:r w:rsidRPr="00EF1091">
              <w:rPr>
                <w:rFonts w:ascii="Arial" w:hAnsi="Arial" w:cs="Arial"/>
                <w:sz w:val="18"/>
                <w:szCs w:val="18"/>
              </w:rPr>
              <w:t>of joint ventures and associates</w:t>
            </w:r>
          </w:p>
        </w:tc>
        <w:tc>
          <w:tcPr>
            <w:tcW w:w="269" w:type="pct"/>
            <w:tcBorders>
              <w:top w:val="nil"/>
              <w:left w:val="nil"/>
              <w:bottom w:val="nil"/>
              <w:right w:val="nil"/>
            </w:tcBorders>
            <w:shd w:val="clear" w:color="auto" w:fill="auto"/>
            <w:vAlign w:val="bottom"/>
          </w:tcPr>
          <w:p w14:paraId="0F05D351" w14:textId="77777777" w:rsidR="003E10CE" w:rsidRPr="00EF1091" w:rsidRDefault="003E10CE" w:rsidP="003E10CE">
            <w:pPr>
              <w:jc w:val="center"/>
              <w:rPr>
                <w:rFonts w:ascii="Arial" w:hAnsi="Arial" w:cs="Arial"/>
                <w:sz w:val="18"/>
                <w:szCs w:val="18"/>
              </w:rPr>
            </w:pPr>
          </w:p>
        </w:tc>
        <w:tc>
          <w:tcPr>
            <w:tcW w:w="552" w:type="pct"/>
            <w:tcBorders>
              <w:top w:val="nil"/>
              <w:left w:val="nil"/>
              <w:bottom w:val="nil"/>
              <w:right w:val="nil"/>
            </w:tcBorders>
            <w:shd w:val="clear" w:color="auto" w:fill="auto"/>
            <w:noWrap/>
            <w:vAlign w:val="bottom"/>
          </w:tcPr>
          <w:p w14:paraId="6D887FB3" w14:textId="77777777" w:rsidR="003E10CE" w:rsidRPr="00720267" w:rsidRDefault="00720267" w:rsidP="003E10CE">
            <w:pPr>
              <w:jc w:val="right"/>
              <w:rPr>
                <w:rFonts w:ascii="Arial" w:hAnsi="Arial" w:cs="Arial"/>
                <w:b/>
                <w:sz w:val="18"/>
                <w:szCs w:val="18"/>
              </w:rPr>
            </w:pPr>
            <w:r w:rsidRPr="00720267">
              <w:rPr>
                <w:rFonts w:ascii="Arial" w:hAnsi="Arial" w:cs="Arial"/>
                <w:b/>
                <w:sz w:val="18"/>
                <w:szCs w:val="18"/>
              </w:rPr>
              <w:t>2</w:t>
            </w:r>
          </w:p>
        </w:tc>
        <w:tc>
          <w:tcPr>
            <w:tcW w:w="615" w:type="pct"/>
            <w:tcBorders>
              <w:top w:val="nil"/>
              <w:left w:val="nil"/>
              <w:bottom w:val="nil"/>
              <w:right w:val="nil"/>
            </w:tcBorders>
            <w:shd w:val="clear" w:color="auto" w:fill="auto"/>
            <w:noWrap/>
            <w:vAlign w:val="bottom"/>
          </w:tcPr>
          <w:p w14:paraId="2897D57D" w14:textId="77777777" w:rsidR="003E10CE" w:rsidRPr="00883E13" w:rsidRDefault="003E10CE" w:rsidP="003E10CE">
            <w:pPr>
              <w:jc w:val="right"/>
              <w:rPr>
                <w:rFonts w:ascii="Arial" w:hAnsi="Arial" w:cs="Arial"/>
                <w:b/>
                <w:sz w:val="18"/>
                <w:szCs w:val="18"/>
              </w:rPr>
            </w:pPr>
            <w:r w:rsidRPr="00883E13">
              <w:rPr>
                <w:rFonts w:ascii="Arial" w:hAnsi="Arial" w:cs="Arial"/>
                <w:b/>
                <w:sz w:val="18"/>
                <w:szCs w:val="18"/>
              </w:rPr>
              <w:t>–</w:t>
            </w:r>
          </w:p>
        </w:tc>
        <w:tc>
          <w:tcPr>
            <w:tcW w:w="485" w:type="pct"/>
            <w:tcBorders>
              <w:top w:val="nil"/>
              <w:left w:val="nil"/>
              <w:bottom w:val="nil"/>
              <w:right w:val="nil"/>
            </w:tcBorders>
            <w:shd w:val="clear" w:color="auto" w:fill="auto"/>
            <w:noWrap/>
            <w:vAlign w:val="bottom"/>
          </w:tcPr>
          <w:p w14:paraId="63E5DFC5" w14:textId="77777777" w:rsidR="003E10CE" w:rsidRPr="00883E13" w:rsidRDefault="00883E13" w:rsidP="003E10CE">
            <w:pPr>
              <w:jc w:val="right"/>
              <w:rPr>
                <w:rFonts w:ascii="Arial" w:hAnsi="Arial" w:cs="Arial"/>
                <w:b/>
                <w:sz w:val="18"/>
                <w:szCs w:val="18"/>
              </w:rPr>
            </w:pPr>
            <w:r w:rsidRPr="00883E13">
              <w:rPr>
                <w:rFonts w:ascii="Arial" w:hAnsi="Arial" w:cs="Arial"/>
                <w:b/>
                <w:sz w:val="18"/>
                <w:szCs w:val="18"/>
              </w:rPr>
              <w:t>2</w:t>
            </w:r>
          </w:p>
        </w:tc>
        <w:tc>
          <w:tcPr>
            <w:tcW w:w="577" w:type="pct"/>
            <w:tcBorders>
              <w:top w:val="nil"/>
              <w:left w:val="nil"/>
              <w:bottom w:val="nil"/>
              <w:right w:val="nil"/>
            </w:tcBorders>
            <w:shd w:val="clear" w:color="auto" w:fill="auto"/>
            <w:noWrap/>
            <w:vAlign w:val="bottom"/>
          </w:tcPr>
          <w:p w14:paraId="04C66DB9"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3</w:t>
            </w:r>
          </w:p>
        </w:tc>
        <w:tc>
          <w:tcPr>
            <w:tcW w:w="577" w:type="pct"/>
            <w:tcBorders>
              <w:top w:val="nil"/>
              <w:left w:val="nil"/>
              <w:bottom w:val="nil"/>
              <w:right w:val="nil"/>
            </w:tcBorders>
            <w:shd w:val="clear" w:color="auto" w:fill="auto"/>
            <w:noWrap/>
            <w:vAlign w:val="bottom"/>
          </w:tcPr>
          <w:p w14:paraId="4B6C0DED"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w:t>
            </w:r>
          </w:p>
        </w:tc>
        <w:tc>
          <w:tcPr>
            <w:tcW w:w="480" w:type="pct"/>
            <w:tcBorders>
              <w:top w:val="nil"/>
              <w:left w:val="nil"/>
              <w:bottom w:val="nil"/>
              <w:right w:val="nil"/>
            </w:tcBorders>
            <w:shd w:val="clear" w:color="auto" w:fill="auto"/>
            <w:noWrap/>
            <w:vAlign w:val="bottom"/>
          </w:tcPr>
          <w:p w14:paraId="0B5F0E06"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3</w:t>
            </w:r>
          </w:p>
        </w:tc>
      </w:tr>
      <w:tr w:rsidR="003E10CE" w:rsidRPr="00EF1091" w14:paraId="6426F277" w14:textId="77777777" w:rsidTr="00527DF5">
        <w:trPr>
          <w:trHeight w:val="225"/>
        </w:trPr>
        <w:tc>
          <w:tcPr>
            <w:tcW w:w="1444" w:type="pct"/>
            <w:tcBorders>
              <w:top w:val="single" w:sz="4" w:space="0" w:color="auto"/>
              <w:left w:val="nil"/>
              <w:bottom w:val="nil"/>
              <w:right w:val="nil"/>
            </w:tcBorders>
            <w:shd w:val="clear" w:color="auto" w:fill="auto"/>
            <w:vAlign w:val="bottom"/>
          </w:tcPr>
          <w:p w14:paraId="01C18654" w14:textId="77777777" w:rsidR="003E10CE" w:rsidRPr="00EF1091" w:rsidRDefault="003E10CE" w:rsidP="003E10CE">
            <w:pPr>
              <w:rPr>
                <w:rFonts w:ascii="Arial" w:hAnsi="Arial" w:cs="Arial"/>
                <w:b/>
                <w:bCs/>
                <w:sz w:val="18"/>
                <w:szCs w:val="18"/>
              </w:rPr>
            </w:pPr>
            <w:r w:rsidRPr="00EF1091">
              <w:rPr>
                <w:rFonts w:ascii="Arial" w:hAnsi="Arial" w:cs="Arial"/>
                <w:b/>
                <w:bCs/>
                <w:sz w:val="18"/>
                <w:szCs w:val="18"/>
              </w:rPr>
              <w:t xml:space="preserve">Operating profit </w:t>
            </w:r>
          </w:p>
        </w:tc>
        <w:tc>
          <w:tcPr>
            <w:tcW w:w="269" w:type="pct"/>
            <w:tcBorders>
              <w:top w:val="single" w:sz="4" w:space="0" w:color="auto"/>
              <w:left w:val="nil"/>
              <w:bottom w:val="nil"/>
              <w:right w:val="nil"/>
            </w:tcBorders>
            <w:shd w:val="clear" w:color="auto" w:fill="auto"/>
            <w:vAlign w:val="bottom"/>
          </w:tcPr>
          <w:p w14:paraId="784AE628" w14:textId="77777777" w:rsidR="003E10CE" w:rsidRPr="00EF1091" w:rsidRDefault="003E10CE" w:rsidP="003E10CE">
            <w:pPr>
              <w:jc w:val="center"/>
              <w:rPr>
                <w:rFonts w:ascii="Arial" w:hAnsi="Arial" w:cs="Arial"/>
                <w:sz w:val="18"/>
                <w:szCs w:val="18"/>
              </w:rPr>
            </w:pPr>
            <w:r w:rsidRPr="00EF1091">
              <w:rPr>
                <w:rFonts w:ascii="Arial" w:hAnsi="Arial" w:cs="Arial"/>
                <w:sz w:val="18"/>
                <w:szCs w:val="18"/>
              </w:rPr>
              <w:t> </w:t>
            </w:r>
          </w:p>
        </w:tc>
        <w:tc>
          <w:tcPr>
            <w:tcW w:w="552" w:type="pct"/>
            <w:tcBorders>
              <w:top w:val="single" w:sz="4" w:space="0" w:color="auto"/>
              <w:left w:val="nil"/>
              <w:bottom w:val="nil"/>
              <w:right w:val="nil"/>
            </w:tcBorders>
            <w:shd w:val="clear" w:color="auto" w:fill="auto"/>
            <w:noWrap/>
          </w:tcPr>
          <w:p w14:paraId="6C6C7BBA" w14:textId="77777777" w:rsidR="003E10CE" w:rsidRPr="00720267" w:rsidRDefault="00720267" w:rsidP="003E10CE">
            <w:pPr>
              <w:jc w:val="right"/>
              <w:rPr>
                <w:rFonts w:ascii="Arial" w:hAnsi="Arial" w:cs="Arial"/>
                <w:b/>
                <w:sz w:val="18"/>
                <w:szCs w:val="18"/>
              </w:rPr>
            </w:pPr>
            <w:r w:rsidRPr="00720267">
              <w:rPr>
                <w:rFonts w:ascii="Arial" w:hAnsi="Arial" w:cs="Arial"/>
                <w:b/>
                <w:sz w:val="18"/>
                <w:szCs w:val="18"/>
              </w:rPr>
              <w:t>580</w:t>
            </w:r>
          </w:p>
        </w:tc>
        <w:tc>
          <w:tcPr>
            <w:tcW w:w="615" w:type="pct"/>
            <w:tcBorders>
              <w:top w:val="single" w:sz="4" w:space="0" w:color="auto"/>
              <w:left w:val="nil"/>
              <w:bottom w:val="nil"/>
              <w:right w:val="nil"/>
            </w:tcBorders>
            <w:shd w:val="clear" w:color="auto" w:fill="auto"/>
            <w:noWrap/>
          </w:tcPr>
          <w:p w14:paraId="18D36E68" w14:textId="7ABF0285" w:rsidR="003E10CE" w:rsidRPr="007B4AB4" w:rsidRDefault="007B4AB4" w:rsidP="003E10CE">
            <w:pPr>
              <w:jc w:val="right"/>
              <w:rPr>
                <w:rFonts w:ascii="Arial" w:hAnsi="Arial" w:cs="Arial"/>
                <w:b/>
                <w:sz w:val="18"/>
                <w:szCs w:val="18"/>
              </w:rPr>
            </w:pPr>
            <w:r w:rsidRPr="007B4AB4">
              <w:rPr>
                <w:rFonts w:ascii="Arial" w:hAnsi="Arial" w:cs="Arial"/>
                <w:b/>
                <w:sz w:val="18"/>
                <w:szCs w:val="18"/>
              </w:rPr>
              <w:t>(2</w:t>
            </w:r>
            <w:r w:rsidR="00945414">
              <w:rPr>
                <w:rFonts w:ascii="Arial" w:hAnsi="Arial" w:cs="Arial"/>
                <w:b/>
                <w:sz w:val="18"/>
                <w:szCs w:val="18"/>
              </w:rPr>
              <w:t>51</w:t>
            </w:r>
            <w:r w:rsidRPr="007B4AB4">
              <w:rPr>
                <w:rFonts w:ascii="Arial" w:hAnsi="Arial" w:cs="Arial"/>
                <w:b/>
                <w:sz w:val="18"/>
                <w:szCs w:val="18"/>
              </w:rPr>
              <w:t>)</w:t>
            </w:r>
          </w:p>
        </w:tc>
        <w:tc>
          <w:tcPr>
            <w:tcW w:w="485" w:type="pct"/>
            <w:tcBorders>
              <w:top w:val="single" w:sz="4" w:space="0" w:color="auto"/>
              <w:left w:val="nil"/>
              <w:bottom w:val="nil"/>
              <w:right w:val="nil"/>
            </w:tcBorders>
            <w:shd w:val="clear" w:color="auto" w:fill="auto"/>
            <w:noWrap/>
          </w:tcPr>
          <w:p w14:paraId="023F4B8D" w14:textId="38D2CB09" w:rsidR="003E10CE" w:rsidRPr="007B4AB4" w:rsidRDefault="007B4AB4" w:rsidP="003E10CE">
            <w:pPr>
              <w:jc w:val="right"/>
              <w:rPr>
                <w:rFonts w:ascii="Arial" w:hAnsi="Arial" w:cs="Arial"/>
                <w:b/>
                <w:sz w:val="18"/>
                <w:szCs w:val="18"/>
              </w:rPr>
            </w:pPr>
            <w:r w:rsidRPr="007B4AB4">
              <w:rPr>
                <w:rFonts w:ascii="Arial" w:hAnsi="Arial" w:cs="Arial"/>
                <w:b/>
                <w:sz w:val="18"/>
                <w:szCs w:val="18"/>
              </w:rPr>
              <w:t>3</w:t>
            </w:r>
            <w:r w:rsidR="00945414">
              <w:rPr>
                <w:rFonts w:ascii="Arial" w:hAnsi="Arial" w:cs="Arial"/>
                <w:b/>
                <w:sz w:val="18"/>
                <w:szCs w:val="18"/>
              </w:rPr>
              <w:t>29</w:t>
            </w:r>
          </w:p>
        </w:tc>
        <w:tc>
          <w:tcPr>
            <w:tcW w:w="577" w:type="pct"/>
            <w:tcBorders>
              <w:top w:val="single" w:sz="4" w:space="0" w:color="auto"/>
              <w:left w:val="nil"/>
              <w:bottom w:val="nil"/>
              <w:right w:val="nil"/>
            </w:tcBorders>
            <w:shd w:val="clear" w:color="auto" w:fill="auto"/>
            <w:noWrap/>
          </w:tcPr>
          <w:p w14:paraId="51420370" w14:textId="77777777" w:rsidR="003E10CE" w:rsidRPr="007B4AB4" w:rsidRDefault="003E10CE" w:rsidP="003E10CE">
            <w:pPr>
              <w:jc w:val="right"/>
              <w:rPr>
                <w:rFonts w:ascii="Arial" w:hAnsi="Arial" w:cs="Arial"/>
                <w:sz w:val="18"/>
                <w:szCs w:val="18"/>
              </w:rPr>
            </w:pPr>
            <w:r w:rsidRPr="007B4AB4">
              <w:rPr>
                <w:rFonts w:ascii="Arial" w:hAnsi="Arial" w:cs="Arial"/>
                <w:sz w:val="18"/>
                <w:szCs w:val="18"/>
              </w:rPr>
              <w:t>685</w:t>
            </w:r>
          </w:p>
        </w:tc>
        <w:tc>
          <w:tcPr>
            <w:tcW w:w="577" w:type="pct"/>
            <w:tcBorders>
              <w:top w:val="single" w:sz="4" w:space="0" w:color="auto"/>
              <w:left w:val="nil"/>
              <w:bottom w:val="nil"/>
              <w:right w:val="nil"/>
            </w:tcBorders>
            <w:shd w:val="clear" w:color="auto" w:fill="auto"/>
            <w:noWrap/>
          </w:tcPr>
          <w:p w14:paraId="6C8AC7C3"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w:t>
            </w:r>
          </w:p>
        </w:tc>
        <w:tc>
          <w:tcPr>
            <w:tcW w:w="480" w:type="pct"/>
            <w:tcBorders>
              <w:top w:val="single" w:sz="4" w:space="0" w:color="auto"/>
              <w:left w:val="nil"/>
              <w:bottom w:val="nil"/>
              <w:right w:val="nil"/>
            </w:tcBorders>
            <w:shd w:val="clear" w:color="auto" w:fill="auto"/>
            <w:noWrap/>
          </w:tcPr>
          <w:p w14:paraId="231E8026"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685</w:t>
            </w:r>
          </w:p>
        </w:tc>
      </w:tr>
      <w:tr w:rsidR="003E10CE" w:rsidRPr="00EF1091" w14:paraId="2C739C81" w14:textId="77777777" w:rsidTr="00527DF5">
        <w:trPr>
          <w:trHeight w:val="225"/>
        </w:trPr>
        <w:tc>
          <w:tcPr>
            <w:tcW w:w="1444" w:type="pct"/>
            <w:tcBorders>
              <w:top w:val="nil"/>
              <w:left w:val="nil"/>
              <w:right w:val="nil"/>
            </w:tcBorders>
            <w:shd w:val="clear" w:color="auto" w:fill="auto"/>
            <w:vAlign w:val="bottom"/>
          </w:tcPr>
          <w:p w14:paraId="4530B611" w14:textId="77777777" w:rsidR="003E10CE" w:rsidRPr="00EF1091" w:rsidRDefault="003E10CE" w:rsidP="003E10CE">
            <w:pPr>
              <w:rPr>
                <w:rFonts w:ascii="Arial" w:hAnsi="Arial" w:cs="Arial"/>
                <w:sz w:val="18"/>
                <w:szCs w:val="18"/>
              </w:rPr>
            </w:pPr>
            <w:r>
              <w:rPr>
                <w:rFonts w:ascii="Arial" w:hAnsi="Arial" w:cs="Arial"/>
                <w:sz w:val="18"/>
                <w:szCs w:val="18"/>
              </w:rPr>
              <w:t>F</w:t>
            </w:r>
            <w:r w:rsidRPr="00EF1091">
              <w:rPr>
                <w:rFonts w:ascii="Arial" w:hAnsi="Arial" w:cs="Arial"/>
                <w:sz w:val="18"/>
                <w:szCs w:val="18"/>
              </w:rPr>
              <w:t>inance costs</w:t>
            </w:r>
          </w:p>
        </w:tc>
        <w:tc>
          <w:tcPr>
            <w:tcW w:w="269" w:type="pct"/>
            <w:tcBorders>
              <w:top w:val="nil"/>
              <w:left w:val="nil"/>
              <w:right w:val="nil"/>
            </w:tcBorders>
            <w:shd w:val="clear" w:color="auto" w:fill="auto"/>
            <w:noWrap/>
            <w:vAlign w:val="bottom"/>
          </w:tcPr>
          <w:p w14:paraId="78C58729" w14:textId="77777777" w:rsidR="003E10CE" w:rsidRPr="00EF1091" w:rsidRDefault="003E10CE" w:rsidP="003E10CE">
            <w:pPr>
              <w:jc w:val="center"/>
              <w:rPr>
                <w:rFonts w:ascii="Arial" w:hAnsi="Arial" w:cs="Arial"/>
                <w:sz w:val="18"/>
                <w:szCs w:val="18"/>
              </w:rPr>
            </w:pPr>
          </w:p>
        </w:tc>
        <w:tc>
          <w:tcPr>
            <w:tcW w:w="552" w:type="pct"/>
            <w:tcBorders>
              <w:top w:val="nil"/>
              <w:left w:val="nil"/>
              <w:bottom w:val="nil"/>
              <w:right w:val="nil"/>
            </w:tcBorders>
            <w:shd w:val="clear" w:color="auto" w:fill="auto"/>
            <w:noWrap/>
          </w:tcPr>
          <w:p w14:paraId="4CDF19B1" w14:textId="39914522" w:rsidR="003E10CE" w:rsidRPr="00720267" w:rsidRDefault="003E10CE" w:rsidP="003E10CE">
            <w:pPr>
              <w:jc w:val="right"/>
              <w:rPr>
                <w:rFonts w:ascii="Arial" w:hAnsi="Arial" w:cs="Arial"/>
                <w:b/>
                <w:sz w:val="18"/>
                <w:szCs w:val="18"/>
              </w:rPr>
            </w:pPr>
            <w:r w:rsidRPr="00720267">
              <w:rPr>
                <w:rFonts w:ascii="Arial" w:hAnsi="Arial" w:cs="Arial"/>
                <w:b/>
                <w:sz w:val="18"/>
                <w:szCs w:val="18"/>
              </w:rPr>
              <w:t>(</w:t>
            </w:r>
            <w:r w:rsidR="00720267" w:rsidRPr="00720267">
              <w:rPr>
                <w:rFonts w:ascii="Arial" w:hAnsi="Arial" w:cs="Arial"/>
                <w:b/>
                <w:sz w:val="18"/>
                <w:szCs w:val="18"/>
              </w:rPr>
              <w:t>2</w:t>
            </w:r>
            <w:r w:rsidR="007A315C">
              <w:rPr>
                <w:rFonts w:ascii="Arial" w:hAnsi="Arial" w:cs="Arial"/>
                <w:b/>
                <w:sz w:val="18"/>
                <w:szCs w:val="18"/>
              </w:rPr>
              <w:t>0</w:t>
            </w:r>
            <w:r w:rsidRPr="00720267">
              <w:rPr>
                <w:rFonts w:ascii="Arial" w:hAnsi="Arial" w:cs="Arial"/>
                <w:b/>
                <w:sz w:val="18"/>
                <w:szCs w:val="18"/>
              </w:rPr>
              <w:t>)</w:t>
            </w:r>
          </w:p>
        </w:tc>
        <w:tc>
          <w:tcPr>
            <w:tcW w:w="615" w:type="pct"/>
            <w:tcBorders>
              <w:top w:val="nil"/>
              <w:left w:val="nil"/>
              <w:bottom w:val="nil"/>
              <w:right w:val="nil"/>
            </w:tcBorders>
            <w:shd w:val="clear" w:color="auto" w:fill="auto"/>
            <w:noWrap/>
          </w:tcPr>
          <w:p w14:paraId="25E9876D" w14:textId="77777777" w:rsidR="003E10CE" w:rsidRPr="00005D53" w:rsidRDefault="003E10CE" w:rsidP="003E10CE">
            <w:pPr>
              <w:jc w:val="right"/>
              <w:rPr>
                <w:rFonts w:ascii="Arial" w:hAnsi="Arial" w:cs="Arial"/>
                <w:b/>
                <w:sz w:val="18"/>
                <w:szCs w:val="18"/>
              </w:rPr>
            </w:pPr>
            <w:r w:rsidRPr="00005D53">
              <w:rPr>
                <w:rFonts w:ascii="Arial" w:hAnsi="Arial" w:cs="Arial"/>
                <w:b/>
                <w:sz w:val="18"/>
                <w:szCs w:val="18"/>
              </w:rPr>
              <w:t>–</w:t>
            </w:r>
          </w:p>
        </w:tc>
        <w:tc>
          <w:tcPr>
            <w:tcW w:w="485" w:type="pct"/>
            <w:tcBorders>
              <w:top w:val="nil"/>
              <w:left w:val="nil"/>
              <w:bottom w:val="nil"/>
              <w:right w:val="nil"/>
            </w:tcBorders>
            <w:shd w:val="clear" w:color="auto" w:fill="auto"/>
            <w:noWrap/>
          </w:tcPr>
          <w:p w14:paraId="0AFD1833" w14:textId="77777777" w:rsidR="003E10CE" w:rsidRPr="00005D53" w:rsidRDefault="003E10CE" w:rsidP="003E10CE">
            <w:pPr>
              <w:jc w:val="right"/>
              <w:rPr>
                <w:rFonts w:ascii="Arial" w:hAnsi="Arial" w:cs="Arial"/>
                <w:b/>
                <w:sz w:val="18"/>
                <w:szCs w:val="18"/>
              </w:rPr>
            </w:pPr>
            <w:r w:rsidRPr="00005D53">
              <w:rPr>
                <w:rFonts w:ascii="Arial" w:hAnsi="Arial" w:cs="Arial"/>
                <w:b/>
                <w:sz w:val="18"/>
                <w:szCs w:val="18"/>
              </w:rPr>
              <w:t>(</w:t>
            </w:r>
            <w:r w:rsidR="007B4AB4" w:rsidRPr="00005D53">
              <w:rPr>
                <w:rFonts w:ascii="Arial" w:hAnsi="Arial" w:cs="Arial"/>
                <w:b/>
                <w:sz w:val="18"/>
                <w:szCs w:val="18"/>
              </w:rPr>
              <w:t>20</w:t>
            </w:r>
            <w:r w:rsidRPr="00005D53">
              <w:rPr>
                <w:rFonts w:ascii="Arial" w:hAnsi="Arial" w:cs="Arial"/>
                <w:b/>
                <w:sz w:val="18"/>
                <w:szCs w:val="18"/>
              </w:rPr>
              <w:t>)</w:t>
            </w:r>
          </w:p>
        </w:tc>
        <w:tc>
          <w:tcPr>
            <w:tcW w:w="577" w:type="pct"/>
            <w:tcBorders>
              <w:top w:val="nil"/>
              <w:left w:val="nil"/>
              <w:right w:val="nil"/>
            </w:tcBorders>
            <w:shd w:val="clear" w:color="auto" w:fill="auto"/>
            <w:noWrap/>
          </w:tcPr>
          <w:p w14:paraId="2A960777"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(19)</w:t>
            </w:r>
          </w:p>
        </w:tc>
        <w:tc>
          <w:tcPr>
            <w:tcW w:w="577" w:type="pct"/>
            <w:tcBorders>
              <w:top w:val="nil"/>
              <w:left w:val="nil"/>
              <w:right w:val="nil"/>
            </w:tcBorders>
            <w:shd w:val="clear" w:color="auto" w:fill="auto"/>
            <w:noWrap/>
          </w:tcPr>
          <w:p w14:paraId="58A916C7"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w:t>
            </w:r>
          </w:p>
        </w:tc>
        <w:tc>
          <w:tcPr>
            <w:tcW w:w="480" w:type="pct"/>
            <w:tcBorders>
              <w:top w:val="nil"/>
              <w:left w:val="nil"/>
              <w:right w:val="nil"/>
            </w:tcBorders>
            <w:shd w:val="clear" w:color="auto" w:fill="auto"/>
            <w:noWrap/>
          </w:tcPr>
          <w:p w14:paraId="69DBB31F"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(19)</w:t>
            </w:r>
          </w:p>
        </w:tc>
      </w:tr>
      <w:tr w:rsidR="003E10CE" w:rsidRPr="00EF1091" w14:paraId="7C7C1184" w14:textId="77777777" w:rsidTr="00527DF5">
        <w:trPr>
          <w:trHeight w:val="225"/>
        </w:trPr>
        <w:tc>
          <w:tcPr>
            <w:tcW w:w="1444" w:type="pct"/>
            <w:tcBorders>
              <w:left w:val="nil"/>
              <w:bottom w:val="nil"/>
              <w:right w:val="nil"/>
            </w:tcBorders>
            <w:shd w:val="clear" w:color="auto" w:fill="auto"/>
            <w:vAlign w:val="bottom"/>
          </w:tcPr>
          <w:p w14:paraId="6A47DE72" w14:textId="77777777" w:rsidR="003E10CE" w:rsidRPr="00EF1091" w:rsidRDefault="003E10CE" w:rsidP="003E10CE">
            <w:pPr>
              <w:rPr>
                <w:rFonts w:ascii="Arial" w:hAnsi="Arial" w:cs="Arial"/>
                <w:sz w:val="18"/>
                <w:szCs w:val="18"/>
              </w:rPr>
            </w:pPr>
            <w:r>
              <w:rPr>
                <w:rFonts w:ascii="Arial" w:hAnsi="Arial" w:cs="Arial"/>
                <w:sz w:val="18"/>
                <w:szCs w:val="18"/>
              </w:rPr>
              <w:t>F</w:t>
            </w:r>
            <w:r w:rsidRPr="00EF1091">
              <w:rPr>
                <w:rFonts w:ascii="Arial" w:hAnsi="Arial" w:cs="Arial"/>
                <w:sz w:val="18"/>
                <w:szCs w:val="18"/>
              </w:rPr>
              <w:t xml:space="preserve">inance income </w:t>
            </w:r>
          </w:p>
        </w:tc>
        <w:tc>
          <w:tcPr>
            <w:tcW w:w="269" w:type="pct"/>
            <w:tcBorders>
              <w:left w:val="nil"/>
              <w:bottom w:val="nil"/>
              <w:right w:val="nil"/>
            </w:tcBorders>
            <w:shd w:val="clear" w:color="auto" w:fill="auto"/>
            <w:noWrap/>
            <w:vAlign w:val="bottom"/>
          </w:tcPr>
          <w:p w14:paraId="622DB698" w14:textId="77777777" w:rsidR="003E10CE" w:rsidRPr="00EF1091" w:rsidRDefault="003E10CE" w:rsidP="003E10CE">
            <w:pPr>
              <w:jc w:val="center"/>
              <w:rPr>
                <w:rFonts w:ascii="Arial" w:hAnsi="Arial" w:cs="Arial"/>
                <w:sz w:val="18"/>
                <w:szCs w:val="18"/>
              </w:rPr>
            </w:pPr>
            <w:r w:rsidRPr="00EF1091">
              <w:rPr>
                <w:rFonts w:ascii="Arial" w:hAnsi="Arial" w:cs="Arial"/>
                <w:sz w:val="18"/>
                <w:szCs w:val="18"/>
              </w:rPr>
              <w:t> </w:t>
            </w:r>
          </w:p>
        </w:tc>
        <w:tc>
          <w:tcPr>
            <w:tcW w:w="552" w:type="pct"/>
            <w:tcBorders>
              <w:top w:val="nil"/>
              <w:left w:val="nil"/>
              <w:bottom w:val="single" w:sz="4" w:space="0" w:color="auto"/>
              <w:right w:val="nil"/>
            </w:tcBorders>
            <w:shd w:val="clear" w:color="auto" w:fill="auto"/>
            <w:noWrap/>
          </w:tcPr>
          <w:p w14:paraId="0EC2D6BD" w14:textId="77777777" w:rsidR="003E10CE" w:rsidRPr="00720267" w:rsidRDefault="003E10CE" w:rsidP="003E10CE">
            <w:pPr>
              <w:jc w:val="right"/>
              <w:rPr>
                <w:rFonts w:ascii="Arial" w:hAnsi="Arial" w:cs="Arial"/>
                <w:b/>
                <w:sz w:val="18"/>
                <w:szCs w:val="18"/>
              </w:rPr>
            </w:pPr>
            <w:r w:rsidRPr="00720267">
              <w:rPr>
                <w:rFonts w:ascii="Arial" w:hAnsi="Arial" w:cs="Arial"/>
                <w:b/>
                <w:sz w:val="18"/>
                <w:szCs w:val="18"/>
              </w:rPr>
              <w:t>1</w:t>
            </w:r>
            <w:r w:rsidR="001D0A73">
              <w:rPr>
                <w:rFonts w:ascii="Arial" w:hAnsi="Arial" w:cs="Arial"/>
                <w:b/>
                <w:sz w:val="18"/>
                <w:szCs w:val="18"/>
              </w:rPr>
              <w:t>3</w:t>
            </w:r>
          </w:p>
        </w:tc>
        <w:tc>
          <w:tcPr>
            <w:tcW w:w="615" w:type="pct"/>
            <w:tcBorders>
              <w:top w:val="nil"/>
              <w:left w:val="nil"/>
              <w:bottom w:val="single" w:sz="4" w:space="0" w:color="auto"/>
              <w:right w:val="nil"/>
            </w:tcBorders>
            <w:shd w:val="clear" w:color="auto" w:fill="auto"/>
            <w:noWrap/>
          </w:tcPr>
          <w:p w14:paraId="63B4CB41" w14:textId="77777777" w:rsidR="003E10CE" w:rsidRPr="00005D53" w:rsidRDefault="003E10CE" w:rsidP="003E10CE">
            <w:pPr>
              <w:jc w:val="right"/>
              <w:rPr>
                <w:rFonts w:ascii="Arial" w:hAnsi="Arial" w:cs="Arial"/>
                <w:b/>
                <w:sz w:val="18"/>
                <w:szCs w:val="18"/>
              </w:rPr>
            </w:pPr>
            <w:r w:rsidRPr="00005D53">
              <w:rPr>
                <w:rFonts w:ascii="Arial" w:hAnsi="Arial" w:cs="Arial"/>
                <w:b/>
                <w:sz w:val="18"/>
                <w:szCs w:val="18"/>
              </w:rPr>
              <w:t>–</w:t>
            </w:r>
          </w:p>
        </w:tc>
        <w:tc>
          <w:tcPr>
            <w:tcW w:w="485" w:type="pct"/>
            <w:tcBorders>
              <w:top w:val="nil"/>
              <w:left w:val="nil"/>
              <w:bottom w:val="single" w:sz="4" w:space="0" w:color="auto"/>
              <w:right w:val="nil"/>
            </w:tcBorders>
            <w:shd w:val="clear" w:color="auto" w:fill="auto"/>
            <w:noWrap/>
          </w:tcPr>
          <w:p w14:paraId="29E6581A" w14:textId="77777777" w:rsidR="003E10CE" w:rsidRPr="00005D53" w:rsidRDefault="003E10CE" w:rsidP="003E10CE">
            <w:pPr>
              <w:jc w:val="right"/>
              <w:rPr>
                <w:rFonts w:ascii="Arial" w:hAnsi="Arial" w:cs="Arial"/>
                <w:b/>
                <w:sz w:val="18"/>
                <w:szCs w:val="18"/>
              </w:rPr>
            </w:pPr>
            <w:r w:rsidRPr="00005D53">
              <w:rPr>
                <w:rFonts w:ascii="Arial" w:hAnsi="Arial" w:cs="Arial"/>
                <w:b/>
                <w:sz w:val="18"/>
                <w:szCs w:val="18"/>
              </w:rPr>
              <w:t>1</w:t>
            </w:r>
            <w:r w:rsidR="007B4AB4" w:rsidRPr="00005D53">
              <w:rPr>
                <w:rFonts w:ascii="Arial" w:hAnsi="Arial" w:cs="Arial"/>
                <w:b/>
                <w:sz w:val="18"/>
                <w:szCs w:val="18"/>
              </w:rPr>
              <w:t>3</w:t>
            </w:r>
          </w:p>
        </w:tc>
        <w:tc>
          <w:tcPr>
            <w:tcW w:w="577" w:type="pct"/>
            <w:tcBorders>
              <w:left w:val="nil"/>
              <w:bottom w:val="nil"/>
              <w:right w:val="nil"/>
            </w:tcBorders>
            <w:shd w:val="clear" w:color="auto" w:fill="auto"/>
            <w:noWrap/>
          </w:tcPr>
          <w:p w14:paraId="04CEAEF9"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16</w:t>
            </w:r>
          </w:p>
        </w:tc>
        <w:tc>
          <w:tcPr>
            <w:tcW w:w="577" w:type="pct"/>
            <w:tcBorders>
              <w:left w:val="nil"/>
              <w:bottom w:val="nil"/>
              <w:right w:val="nil"/>
            </w:tcBorders>
            <w:shd w:val="clear" w:color="auto" w:fill="auto"/>
            <w:noWrap/>
          </w:tcPr>
          <w:p w14:paraId="081B2B8D"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w:t>
            </w:r>
          </w:p>
        </w:tc>
        <w:tc>
          <w:tcPr>
            <w:tcW w:w="480" w:type="pct"/>
            <w:tcBorders>
              <w:left w:val="nil"/>
              <w:bottom w:val="nil"/>
              <w:right w:val="nil"/>
            </w:tcBorders>
            <w:shd w:val="clear" w:color="auto" w:fill="auto"/>
            <w:noWrap/>
          </w:tcPr>
          <w:p w14:paraId="15627054"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16</w:t>
            </w:r>
          </w:p>
        </w:tc>
      </w:tr>
      <w:tr w:rsidR="003E10CE" w:rsidRPr="00EF1091" w14:paraId="591902FA" w14:textId="77777777" w:rsidTr="00527DF5">
        <w:trPr>
          <w:trHeight w:val="225"/>
        </w:trPr>
        <w:tc>
          <w:tcPr>
            <w:tcW w:w="1444" w:type="pct"/>
            <w:tcBorders>
              <w:top w:val="single" w:sz="4" w:space="0" w:color="auto"/>
              <w:left w:val="nil"/>
              <w:bottom w:val="nil"/>
              <w:right w:val="nil"/>
            </w:tcBorders>
            <w:shd w:val="clear" w:color="auto" w:fill="auto"/>
            <w:vAlign w:val="bottom"/>
          </w:tcPr>
          <w:p w14:paraId="3EB8EE56" w14:textId="77777777" w:rsidR="003E10CE" w:rsidRPr="00281AF4" w:rsidRDefault="003E10CE" w:rsidP="003E10CE">
            <w:pPr>
              <w:rPr>
                <w:rFonts w:ascii="Arial" w:hAnsi="Arial" w:cs="Arial"/>
                <w:bCs/>
                <w:sz w:val="18"/>
                <w:szCs w:val="18"/>
              </w:rPr>
            </w:pPr>
            <w:r w:rsidRPr="00281AF4">
              <w:rPr>
                <w:rFonts w:ascii="Arial" w:hAnsi="Arial" w:cs="Arial"/>
                <w:bCs/>
                <w:sz w:val="18"/>
                <w:szCs w:val="18"/>
              </w:rPr>
              <w:t>Net finance costs</w:t>
            </w:r>
          </w:p>
        </w:tc>
        <w:tc>
          <w:tcPr>
            <w:tcW w:w="269" w:type="pct"/>
            <w:tcBorders>
              <w:top w:val="single" w:sz="4" w:space="0" w:color="auto"/>
              <w:left w:val="nil"/>
              <w:bottom w:val="nil"/>
              <w:right w:val="nil"/>
            </w:tcBorders>
            <w:shd w:val="clear" w:color="auto" w:fill="auto"/>
            <w:vAlign w:val="bottom"/>
          </w:tcPr>
          <w:p w14:paraId="579C3CF8" w14:textId="77777777" w:rsidR="003E10CE" w:rsidRPr="00281AF4" w:rsidRDefault="003E10CE" w:rsidP="003E10CE">
            <w:pPr>
              <w:jc w:val="center"/>
              <w:rPr>
                <w:rFonts w:ascii="Arial" w:hAnsi="Arial" w:cs="Arial"/>
                <w:sz w:val="18"/>
                <w:szCs w:val="18"/>
              </w:rPr>
            </w:pPr>
            <w:r w:rsidRPr="00281AF4">
              <w:rPr>
                <w:rFonts w:ascii="Arial" w:hAnsi="Arial" w:cs="Arial"/>
                <w:sz w:val="18"/>
                <w:szCs w:val="18"/>
              </w:rPr>
              <w:t>5</w:t>
            </w:r>
          </w:p>
        </w:tc>
        <w:tc>
          <w:tcPr>
            <w:tcW w:w="552" w:type="pct"/>
            <w:tcBorders>
              <w:top w:val="nil"/>
              <w:left w:val="nil"/>
              <w:bottom w:val="nil"/>
              <w:right w:val="nil"/>
            </w:tcBorders>
            <w:shd w:val="clear" w:color="auto" w:fill="auto"/>
            <w:noWrap/>
          </w:tcPr>
          <w:p w14:paraId="1FDBED3B" w14:textId="77777777" w:rsidR="003E10CE" w:rsidRPr="00720267" w:rsidRDefault="003E10CE" w:rsidP="003E10CE">
            <w:pPr>
              <w:jc w:val="right"/>
              <w:rPr>
                <w:rFonts w:ascii="Arial" w:hAnsi="Arial" w:cs="Arial"/>
                <w:b/>
                <w:sz w:val="18"/>
                <w:szCs w:val="18"/>
              </w:rPr>
            </w:pPr>
            <w:r w:rsidRPr="00720267">
              <w:rPr>
                <w:rFonts w:ascii="Arial" w:hAnsi="Arial" w:cs="Arial"/>
                <w:b/>
                <w:sz w:val="18"/>
                <w:szCs w:val="18"/>
              </w:rPr>
              <w:t>(</w:t>
            </w:r>
            <w:r w:rsidR="00720267" w:rsidRPr="00720267">
              <w:rPr>
                <w:rFonts w:ascii="Arial" w:hAnsi="Arial" w:cs="Arial"/>
                <w:b/>
                <w:sz w:val="18"/>
                <w:szCs w:val="18"/>
              </w:rPr>
              <w:t>7</w:t>
            </w:r>
            <w:r w:rsidRPr="00720267">
              <w:rPr>
                <w:rFonts w:ascii="Arial" w:hAnsi="Arial" w:cs="Arial"/>
                <w:b/>
                <w:sz w:val="18"/>
                <w:szCs w:val="18"/>
              </w:rPr>
              <w:t>)</w:t>
            </w:r>
          </w:p>
        </w:tc>
        <w:tc>
          <w:tcPr>
            <w:tcW w:w="615" w:type="pct"/>
            <w:tcBorders>
              <w:top w:val="nil"/>
              <w:left w:val="nil"/>
              <w:bottom w:val="nil"/>
              <w:right w:val="nil"/>
            </w:tcBorders>
            <w:shd w:val="clear" w:color="auto" w:fill="auto"/>
            <w:noWrap/>
          </w:tcPr>
          <w:p w14:paraId="5328C2EE" w14:textId="77777777" w:rsidR="003E10CE" w:rsidRPr="00005D53" w:rsidRDefault="003E10CE" w:rsidP="003E10CE">
            <w:pPr>
              <w:jc w:val="right"/>
              <w:rPr>
                <w:rFonts w:ascii="Arial" w:hAnsi="Arial" w:cs="Arial"/>
                <w:b/>
                <w:sz w:val="18"/>
                <w:szCs w:val="18"/>
              </w:rPr>
            </w:pPr>
            <w:r w:rsidRPr="00005D53">
              <w:rPr>
                <w:rFonts w:ascii="Arial" w:hAnsi="Arial" w:cs="Arial"/>
                <w:b/>
                <w:sz w:val="18"/>
                <w:szCs w:val="18"/>
              </w:rPr>
              <w:t>–</w:t>
            </w:r>
          </w:p>
        </w:tc>
        <w:tc>
          <w:tcPr>
            <w:tcW w:w="485" w:type="pct"/>
            <w:tcBorders>
              <w:top w:val="nil"/>
              <w:left w:val="nil"/>
              <w:bottom w:val="nil"/>
              <w:right w:val="nil"/>
            </w:tcBorders>
            <w:shd w:val="clear" w:color="auto" w:fill="auto"/>
            <w:noWrap/>
          </w:tcPr>
          <w:p w14:paraId="5DCAFDC6" w14:textId="77777777" w:rsidR="003E10CE" w:rsidRPr="00005D53" w:rsidRDefault="003E10CE" w:rsidP="003E10CE">
            <w:pPr>
              <w:jc w:val="right"/>
              <w:rPr>
                <w:rFonts w:ascii="Arial" w:hAnsi="Arial" w:cs="Arial"/>
                <w:b/>
                <w:sz w:val="18"/>
                <w:szCs w:val="18"/>
              </w:rPr>
            </w:pPr>
            <w:r w:rsidRPr="00005D53">
              <w:rPr>
                <w:rFonts w:ascii="Arial" w:hAnsi="Arial" w:cs="Arial"/>
                <w:b/>
                <w:sz w:val="18"/>
                <w:szCs w:val="18"/>
              </w:rPr>
              <w:t>(</w:t>
            </w:r>
            <w:r w:rsidR="00005D53" w:rsidRPr="00005D53">
              <w:rPr>
                <w:rFonts w:ascii="Arial" w:hAnsi="Arial" w:cs="Arial"/>
                <w:b/>
                <w:sz w:val="18"/>
                <w:szCs w:val="18"/>
              </w:rPr>
              <w:t>7</w:t>
            </w:r>
            <w:r w:rsidRPr="00005D53">
              <w:rPr>
                <w:rFonts w:ascii="Arial" w:hAnsi="Arial" w:cs="Arial"/>
                <w:b/>
                <w:sz w:val="18"/>
                <w:szCs w:val="18"/>
              </w:rPr>
              <w:t>)</w:t>
            </w:r>
          </w:p>
        </w:tc>
        <w:tc>
          <w:tcPr>
            <w:tcW w:w="577" w:type="pct"/>
            <w:tcBorders>
              <w:top w:val="single" w:sz="4" w:space="0" w:color="auto"/>
              <w:left w:val="nil"/>
              <w:bottom w:val="nil"/>
              <w:right w:val="nil"/>
            </w:tcBorders>
            <w:shd w:val="clear" w:color="auto" w:fill="auto"/>
            <w:noWrap/>
          </w:tcPr>
          <w:p w14:paraId="4F76828D"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(3)</w:t>
            </w:r>
          </w:p>
        </w:tc>
        <w:tc>
          <w:tcPr>
            <w:tcW w:w="577" w:type="pct"/>
            <w:tcBorders>
              <w:top w:val="single" w:sz="4" w:space="0" w:color="auto"/>
              <w:left w:val="nil"/>
              <w:bottom w:val="nil"/>
              <w:right w:val="nil"/>
            </w:tcBorders>
            <w:shd w:val="clear" w:color="auto" w:fill="auto"/>
            <w:noWrap/>
          </w:tcPr>
          <w:p w14:paraId="107B2B19"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w:t>
            </w:r>
          </w:p>
        </w:tc>
        <w:tc>
          <w:tcPr>
            <w:tcW w:w="480" w:type="pct"/>
            <w:tcBorders>
              <w:top w:val="single" w:sz="4" w:space="0" w:color="auto"/>
              <w:left w:val="nil"/>
              <w:bottom w:val="nil"/>
              <w:right w:val="nil"/>
            </w:tcBorders>
            <w:shd w:val="clear" w:color="auto" w:fill="auto"/>
            <w:noWrap/>
          </w:tcPr>
          <w:p w14:paraId="603129AF"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(3)</w:t>
            </w:r>
          </w:p>
        </w:tc>
      </w:tr>
      <w:tr w:rsidR="003E10CE" w:rsidRPr="00EF1091" w14:paraId="58EF0F56" w14:textId="77777777" w:rsidTr="00527DF5">
        <w:trPr>
          <w:trHeight w:val="225"/>
        </w:trPr>
        <w:tc>
          <w:tcPr>
            <w:tcW w:w="1444" w:type="pct"/>
            <w:tcBorders>
              <w:top w:val="single" w:sz="4" w:space="0" w:color="auto"/>
              <w:left w:val="nil"/>
              <w:bottom w:val="nil"/>
              <w:right w:val="nil"/>
            </w:tcBorders>
            <w:shd w:val="clear" w:color="auto" w:fill="auto"/>
            <w:vAlign w:val="bottom"/>
          </w:tcPr>
          <w:p w14:paraId="2F9419F2" w14:textId="77777777" w:rsidR="003E10CE" w:rsidRPr="00EF1091" w:rsidRDefault="003E10CE" w:rsidP="003E10CE">
            <w:pPr>
              <w:rPr>
                <w:rFonts w:ascii="Arial" w:hAnsi="Arial" w:cs="Arial"/>
                <w:b/>
                <w:bCs/>
                <w:sz w:val="18"/>
                <w:szCs w:val="18"/>
              </w:rPr>
            </w:pPr>
            <w:r w:rsidRPr="00EF1091">
              <w:rPr>
                <w:rFonts w:ascii="Arial" w:hAnsi="Arial" w:cs="Arial"/>
                <w:b/>
                <w:bCs/>
                <w:sz w:val="18"/>
                <w:szCs w:val="18"/>
              </w:rPr>
              <w:t>Profit before taxation</w:t>
            </w:r>
          </w:p>
        </w:tc>
        <w:tc>
          <w:tcPr>
            <w:tcW w:w="269" w:type="pct"/>
            <w:tcBorders>
              <w:top w:val="single" w:sz="4" w:space="0" w:color="auto"/>
              <w:left w:val="nil"/>
              <w:bottom w:val="nil"/>
              <w:right w:val="nil"/>
            </w:tcBorders>
            <w:shd w:val="clear" w:color="auto" w:fill="auto"/>
            <w:noWrap/>
            <w:vAlign w:val="bottom"/>
          </w:tcPr>
          <w:p w14:paraId="5FB42CAF" w14:textId="77777777" w:rsidR="003E10CE" w:rsidRPr="00EF1091" w:rsidRDefault="003E10CE" w:rsidP="003E10CE">
            <w:pPr>
              <w:jc w:val="center"/>
              <w:rPr>
                <w:rFonts w:ascii="Arial" w:hAnsi="Arial" w:cs="Arial"/>
                <w:sz w:val="18"/>
                <w:szCs w:val="18"/>
              </w:rPr>
            </w:pPr>
          </w:p>
        </w:tc>
        <w:tc>
          <w:tcPr>
            <w:tcW w:w="552" w:type="pct"/>
            <w:tcBorders>
              <w:top w:val="single" w:sz="4" w:space="0" w:color="auto"/>
              <w:left w:val="nil"/>
              <w:bottom w:val="nil"/>
              <w:right w:val="nil"/>
            </w:tcBorders>
            <w:shd w:val="clear" w:color="auto" w:fill="auto"/>
            <w:noWrap/>
          </w:tcPr>
          <w:p w14:paraId="1E231243" w14:textId="77777777" w:rsidR="003E10CE" w:rsidRPr="00720267" w:rsidRDefault="00720267" w:rsidP="003E10CE">
            <w:pPr>
              <w:jc w:val="right"/>
              <w:rPr>
                <w:rFonts w:ascii="Arial" w:hAnsi="Arial" w:cs="Arial"/>
                <w:b/>
                <w:sz w:val="18"/>
                <w:szCs w:val="18"/>
              </w:rPr>
            </w:pPr>
            <w:r w:rsidRPr="00720267">
              <w:rPr>
                <w:rFonts w:ascii="Arial" w:hAnsi="Arial" w:cs="Arial"/>
                <w:b/>
                <w:sz w:val="18"/>
                <w:szCs w:val="18"/>
              </w:rPr>
              <w:t>573</w:t>
            </w:r>
          </w:p>
        </w:tc>
        <w:tc>
          <w:tcPr>
            <w:tcW w:w="615" w:type="pct"/>
            <w:tcBorders>
              <w:top w:val="single" w:sz="4" w:space="0" w:color="auto"/>
              <w:left w:val="nil"/>
              <w:bottom w:val="nil"/>
              <w:right w:val="nil"/>
            </w:tcBorders>
            <w:shd w:val="clear" w:color="auto" w:fill="auto"/>
            <w:noWrap/>
          </w:tcPr>
          <w:p w14:paraId="42806244" w14:textId="09C3F5EF" w:rsidR="003E10CE" w:rsidRPr="00005D53" w:rsidRDefault="00005D53" w:rsidP="003E10CE">
            <w:pPr>
              <w:jc w:val="right"/>
              <w:rPr>
                <w:rFonts w:ascii="Arial" w:hAnsi="Arial" w:cs="Arial"/>
                <w:b/>
                <w:sz w:val="18"/>
                <w:szCs w:val="18"/>
              </w:rPr>
            </w:pPr>
            <w:r w:rsidRPr="00005D53">
              <w:rPr>
                <w:rFonts w:ascii="Arial" w:hAnsi="Arial" w:cs="Arial"/>
                <w:b/>
                <w:sz w:val="18"/>
                <w:szCs w:val="18"/>
              </w:rPr>
              <w:t>(2</w:t>
            </w:r>
            <w:r w:rsidR="00945414">
              <w:rPr>
                <w:rFonts w:ascii="Arial" w:hAnsi="Arial" w:cs="Arial"/>
                <w:b/>
                <w:sz w:val="18"/>
                <w:szCs w:val="18"/>
              </w:rPr>
              <w:t>51</w:t>
            </w:r>
            <w:r w:rsidRPr="00005D53">
              <w:rPr>
                <w:rFonts w:ascii="Arial" w:hAnsi="Arial" w:cs="Arial"/>
                <w:b/>
                <w:sz w:val="18"/>
                <w:szCs w:val="18"/>
              </w:rPr>
              <w:t>)</w:t>
            </w:r>
          </w:p>
        </w:tc>
        <w:tc>
          <w:tcPr>
            <w:tcW w:w="485" w:type="pct"/>
            <w:tcBorders>
              <w:top w:val="single" w:sz="4" w:space="0" w:color="auto"/>
              <w:left w:val="nil"/>
              <w:bottom w:val="nil"/>
              <w:right w:val="nil"/>
            </w:tcBorders>
            <w:shd w:val="clear" w:color="auto" w:fill="auto"/>
            <w:noWrap/>
          </w:tcPr>
          <w:p w14:paraId="5246A0F2" w14:textId="3DBE8740" w:rsidR="003E10CE" w:rsidRPr="00005D53" w:rsidRDefault="00005D53" w:rsidP="003E10CE">
            <w:pPr>
              <w:jc w:val="right"/>
              <w:rPr>
                <w:rFonts w:ascii="Arial" w:hAnsi="Arial" w:cs="Arial"/>
                <w:b/>
                <w:sz w:val="18"/>
                <w:szCs w:val="18"/>
              </w:rPr>
            </w:pPr>
            <w:r w:rsidRPr="00005D53">
              <w:rPr>
                <w:rFonts w:ascii="Arial" w:hAnsi="Arial" w:cs="Arial"/>
                <w:b/>
                <w:sz w:val="18"/>
                <w:szCs w:val="18"/>
              </w:rPr>
              <w:t>3</w:t>
            </w:r>
            <w:r w:rsidR="00945414">
              <w:rPr>
                <w:rFonts w:ascii="Arial" w:hAnsi="Arial" w:cs="Arial"/>
                <w:b/>
                <w:sz w:val="18"/>
                <w:szCs w:val="18"/>
              </w:rPr>
              <w:t>22</w:t>
            </w:r>
          </w:p>
        </w:tc>
        <w:tc>
          <w:tcPr>
            <w:tcW w:w="577" w:type="pct"/>
            <w:tcBorders>
              <w:top w:val="single" w:sz="4" w:space="0" w:color="auto"/>
              <w:left w:val="nil"/>
              <w:bottom w:val="nil"/>
              <w:right w:val="nil"/>
            </w:tcBorders>
            <w:shd w:val="clear" w:color="auto" w:fill="auto"/>
            <w:noWrap/>
          </w:tcPr>
          <w:p w14:paraId="7A99405F"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682</w:t>
            </w:r>
          </w:p>
        </w:tc>
        <w:tc>
          <w:tcPr>
            <w:tcW w:w="577" w:type="pct"/>
            <w:tcBorders>
              <w:top w:val="single" w:sz="4" w:space="0" w:color="auto"/>
              <w:left w:val="nil"/>
              <w:bottom w:val="nil"/>
              <w:right w:val="nil"/>
            </w:tcBorders>
            <w:shd w:val="clear" w:color="auto" w:fill="auto"/>
            <w:noWrap/>
          </w:tcPr>
          <w:p w14:paraId="64478242"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w:t>
            </w:r>
          </w:p>
        </w:tc>
        <w:tc>
          <w:tcPr>
            <w:tcW w:w="480" w:type="pct"/>
            <w:tcBorders>
              <w:top w:val="single" w:sz="4" w:space="0" w:color="auto"/>
              <w:left w:val="nil"/>
              <w:bottom w:val="nil"/>
              <w:right w:val="nil"/>
            </w:tcBorders>
            <w:shd w:val="clear" w:color="auto" w:fill="auto"/>
            <w:noWrap/>
          </w:tcPr>
          <w:p w14:paraId="265D00A9"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682</w:t>
            </w:r>
          </w:p>
        </w:tc>
      </w:tr>
      <w:tr w:rsidR="003E10CE" w:rsidRPr="00EF1091" w14:paraId="51502D11" w14:textId="77777777" w:rsidTr="00527DF5">
        <w:trPr>
          <w:trHeight w:val="225"/>
        </w:trPr>
        <w:tc>
          <w:tcPr>
            <w:tcW w:w="1444" w:type="pct"/>
            <w:tcBorders>
              <w:top w:val="nil"/>
              <w:left w:val="nil"/>
              <w:bottom w:val="single" w:sz="4" w:space="0" w:color="auto"/>
              <w:right w:val="nil"/>
            </w:tcBorders>
            <w:shd w:val="clear" w:color="auto" w:fill="auto"/>
            <w:vAlign w:val="bottom"/>
          </w:tcPr>
          <w:p w14:paraId="662C3C11" w14:textId="77777777" w:rsidR="003E10CE" w:rsidRPr="00EF1091" w:rsidRDefault="003E10CE" w:rsidP="003E10CE">
            <w:pPr>
              <w:rPr>
                <w:rFonts w:ascii="Arial" w:hAnsi="Arial" w:cs="Arial"/>
                <w:sz w:val="18"/>
                <w:szCs w:val="18"/>
              </w:rPr>
            </w:pPr>
            <w:r w:rsidRPr="00EF1091">
              <w:rPr>
                <w:rFonts w:ascii="Arial" w:hAnsi="Arial" w:cs="Arial"/>
                <w:sz w:val="18"/>
                <w:szCs w:val="18"/>
              </w:rPr>
              <w:t>Income tax expense</w:t>
            </w:r>
          </w:p>
        </w:tc>
        <w:tc>
          <w:tcPr>
            <w:tcW w:w="269" w:type="pct"/>
            <w:tcBorders>
              <w:top w:val="nil"/>
              <w:left w:val="nil"/>
              <w:bottom w:val="single" w:sz="4" w:space="0" w:color="auto"/>
              <w:right w:val="nil"/>
            </w:tcBorders>
            <w:shd w:val="clear" w:color="auto" w:fill="auto"/>
            <w:noWrap/>
            <w:vAlign w:val="bottom"/>
          </w:tcPr>
          <w:p w14:paraId="4A09529C" w14:textId="77777777" w:rsidR="003E10CE" w:rsidRPr="00EF1091" w:rsidRDefault="003E10CE" w:rsidP="003E10CE">
            <w:pPr>
              <w:jc w:val="center"/>
              <w:rPr>
                <w:rFonts w:ascii="Arial" w:hAnsi="Arial" w:cs="Arial"/>
                <w:sz w:val="18"/>
                <w:szCs w:val="18"/>
              </w:rPr>
            </w:pPr>
            <w:r>
              <w:rPr>
                <w:rFonts w:ascii="Arial" w:hAnsi="Arial" w:cs="Arial"/>
                <w:sz w:val="18"/>
                <w:szCs w:val="18"/>
              </w:rPr>
              <w:t>6</w:t>
            </w:r>
          </w:p>
        </w:tc>
        <w:tc>
          <w:tcPr>
            <w:tcW w:w="552" w:type="pct"/>
            <w:tcBorders>
              <w:top w:val="nil"/>
              <w:left w:val="nil"/>
              <w:bottom w:val="single" w:sz="4" w:space="0" w:color="auto"/>
              <w:right w:val="nil"/>
            </w:tcBorders>
            <w:shd w:val="clear" w:color="auto" w:fill="auto"/>
            <w:noWrap/>
          </w:tcPr>
          <w:p w14:paraId="62B2FCDE" w14:textId="51576948" w:rsidR="003E10CE" w:rsidRPr="00720267" w:rsidRDefault="003E10CE" w:rsidP="003E10CE">
            <w:pPr>
              <w:jc w:val="right"/>
              <w:rPr>
                <w:rFonts w:ascii="Arial" w:hAnsi="Arial" w:cs="Arial"/>
                <w:b/>
                <w:sz w:val="18"/>
                <w:szCs w:val="18"/>
              </w:rPr>
            </w:pPr>
            <w:r w:rsidRPr="00720267">
              <w:rPr>
                <w:rFonts w:ascii="Arial" w:hAnsi="Arial" w:cs="Arial"/>
                <w:b/>
                <w:sz w:val="18"/>
                <w:szCs w:val="18"/>
              </w:rPr>
              <w:t>(1</w:t>
            </w:r>
            <w:r w:rsidR="00031406">
              <w:rPr>
                <w:rFonts w:ascii="Arial" w:hAnsi="Arial" w:cs="Arial"/>
                <w:b/>
                <w:sz w:val="18"/>
                <w:szCs w:val="18"/>
              </w:rPr>
              <w:t>6</w:t>
            </w:r>
            <w:r w:rsidR="00945414">
              <w:rPr>
                <w:rFonts w:ascii="Arial" w:hAnsi="Arial" w:cs="Arial"/>
                <w:b/>
                <w:sz w:val="18"/>
                <w:szCs w:val="18"/>
              </w:rPr>
              <w:t>5</w:t>
            </w:r>
            <w:r w:rsidRPr="00720267">
              <w:rPr>
                <w:rFonts w:ascii="Arial" w:hAnsi="Arial" w:cs="Arial"/>
                <w:b/>
                <w:sz w:val="18"/>
                <w:szCs w:val="18"/>
              </w:rPr>
              <w:t>)</w:t>
            </w:r>
          </w:p>
        </w:tc>
        <w:tc>
          <w:tcPr>
            <w:tcW w:w="615" w:type="pct"/>
            <w:tcBorders>
              <w:top w:val="nil"/>
              <w:left w:val="nil"/>
              <w:bottom w:val="single" w:sz="4" w:space="0" w:color="auto"/>
              <w:right w:val="nil"/>
            </w:tcBorders>
            <w:shd w:val="clear" w:color="auto" w:fill="auto"/>
            <w:noWrap/>
          </w:tcPr>
          <w:p w14:paraId="079BB475" w14:textId="216ED07E" w:rsidR="003E10CE" w:rsidRPr="00005D53" w:rsidRDefault="00945414" w:rsidP="003E10CE">
            <w:pPr>
              <w:jc w:val="right"/>
              <w:rPr>
                <w:rFonts w:ascii="Arial" w:hAnsi="Arial" w:cs="Arial"/>
                <w:b/>
                <w:sz w:val="18"/>
                <w:szCs w:val="18"/>
              </w:rPr>
            </w:pPr>
            <w:r>
              <w:rPr>
                <w:rFonts w:ascii="Arial" w:hAnsi="Arial" w:cs="Arial"/>
                <w:b/>
                <w:sz w:val="18"/>
                <w:szCs w:val="18"/>
              </w:rPr>
              <w:t>61</w:t>
            </w:r>
          </w:p>
        </w:tc>
        <w:tc>
          <w:tcPr>
            <w:tcW w:w="485" w:type="pct"/>
            <w:tcBorders>
              <w:top w:val="nil"/>
              <w:left w:val="nil"/>
              <w:bottom w:val="single" w:sz="4" w:space="0" w:color="auto"/>
              <w:right w:val="nil"/>
            </w:tcBorders>
            <w:shd w:val="clear" w:color="auto" w:fill="auto"/>
            <w:noWrap/>
          </w:tcPr>
          <w:p w14:paraId="7B669DE1" w14:textId="33412361" w:rsidR="003E10CE" w:rsidRPr="00005D53" w:rsidRDefault="003E10CE" w:rsidP="003E10CE">
            <w:pPr>
              <w:jc w:val="right"/>
              <w:rPr>
                <w:rFonts w:ascii="Arial" w:hAnsi="Arial" w:cs="Arial"/>
                <w:b/>
                <w:sz w:val="18"/>
                <w:szCs w:val="18"/>
              </w:rPr>
            </w:pPr>
            <w:r w:rsidRPr="00005D53">
              <w:rPr>
                <w:rFonts w:ascii="Arial" w:hAnsi="Arial" w:cs="Arial"/>
                <w:b/>
                <w:sz w:val="18"/>
                <w:szCs w:val="18"/>
              </w:rPr>
              <w:t>(</w:t>
            </w:r>
            <w:r w:rsidR="00945414">
              <w:rPr>
                <w:rFonts w:ascii="Arial" w:hAnsi="Arial" w:cs="Arial"/>
                <w:b/>
                <w:sz w:val="18"/>
                <w:szCs w:val="18"/>
              </w:rPr>
              <w:t>1</w:t>
            </w:r>
            <w:r w:rsidR="00005D53" w:rsidRPr="00005D53">
              <w:rPr>
                <w:rFonts w:ascii="Arial" w:hAnsi="Arial" w:cs="Arial"/>
                <w:b/>
                <w:sz w:val="18"/>
                <w:szCs w:val="18"/>
              </w:rPr>
              <w:t>0</w:t>
            </w:r>
            <w:r w:rsidR="00945414">
              <w:rPr>
                <w:rFonts w:ascii="Arial" w:hAnsi="Arial" w:cs="Arial"/>
                <w:b/>
                <w:sz w:val="18"/>
                <w:szCs w:val="18"/>
              </w:rPr>
              <w:t>4</w:t>
            </w:r>
            <w:r w:rsidRPr="00005D53">
              <w:rPr>
                <w:rFonts w:ascii="Arial" w:hAnsi="Arial" w:cs="Arial"/>
                <w:b/>
                <w:sz w:val="18"/>
                <w:szCs w:val="18"/>
              </w:rPr>
              <w:t>)</w:t>
            </w:r>
          </w:p>
        </w:tc>
        <w:tc>
          <w:tcPr>
            <w:tcW w:w="577" w:type="pct"/>
            <w:tcBorders>
              <w:top w:val="nil"/>
              <w:left w:val="nil"/>
              <w:bottom w:val="single" w:sz="4" w:space="0" w:color="auto"/>
              <w:right w:val="nil"/>
            </w:tcBorders>
            <w:shd w:val="clear" w:color="auto" w:fill="auto"/>
            <w:noWrap/>
          </w:tcPr>
          <w:p w14:paraId="2AC3B57A"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(197)</w:t>
            </w:r>
          </w:p>
        </w:tc>
        <w:tc>
          <w:tcPr>
            <w:tcW w:w="577" w:type="pct"/>
            <w:tcBorders>
              <w:top w:val="nil"/>
              <w:left w:val="nil"/>
              <w:bottom w:val="single" w:sz="4" w:space="0" w:color="auto"/>
              <w:right w:val="nil"/>
            </w:tcBorders>
            <w:shd w:val="clear" w:color="auto" w:fill="auto"/>
            <w:noWrap/>
          </w:tcPr>
          <w:p w14:paraId="3115E329"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w:t>
            </w:r>
          </w:p>
        </w:tc>
        <w:tc>
          <w:tcPr>
            <w:tcW w:w="480" w:type="pct"/>
            <w:tcBorders>
              <w:top w:val="nil"/>
              <w:left w:val="nil"/>
              <w:bottom w:val="single" w:sz="4" w:space="0" w:color="auto"/>
              <w:right w:val="nil"/>
            </w:tcBorders>
            <w:shd w:val="clear" w:color="auto" w:fill="auto"/>
            <w:noWrap/>
          </w:tcPr>
          <w:p w14:paraId="2FB86D91"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(197)</w:t>
            </w:r>
          </w:p>
        </w:tc>
      </w:tr>
      <w:tr w:rsidR="003E10CE" w:rsidRPr="00EF1091" w14:paraId="21D02347" w14:textId="77777777" w:rsidTr="00527DF5">
        <w:trPr>
          <w:trHeight w:val="225"/>
        </w:trPr>
        <w:tc>
          <w:tcPr>
            <w:tcW w:w="1444" w:type="pct"/>
            <w:tcBorders>
              <w:top w:val="single" w:sz="4" w:space="0" w:color="auto"/>
              <w:left w:val="nil"/>
              <w:bottom w:val="single" w:sz="12" w:space="0" w:color="auto"/>
              <w:right w:val="nil"/>
            </w:tcBorders>
            <w:shd w:val="clear" w:color="auto" w:fill="auto"/>
            <w:vAlign w:val="bottom"/>
          </w:tcPr>
          <w:p w14:paraId="0BDDB368" w14:textId="77777777" w:rsidR="003E10CE" w:rsidRPr="00EF1091" w:rsidRDefault="003E10CE" w:rsidP="003E10CE">
            <w:pPr>
              <w:rPr>
                <w:rFonts w:ascii="Arial" w:hAnsi="Arial" w:cs="Arial"/>
                <w:b/>
                <w:bCs/>
                <w:sz w:val="18"/>
                <w:szCs w:val="18"/>
              </w:rPr>
            </w:pPr>
            <w:r w:rsidRPr="00EF1091">
              <w:rPr>
                <w:rFonts w:ascii="Arial" w:hAnsi="Arial" w:cs="Arial"/>
                <w:b/>
                <w:bCs/>
                <w:sz w:val="18"/>
                <w:szCs w:val="18"/>
              </w:rPr>
              <w:t>Profit for the year</w:t>
            </w:r>
          </w:p>
        </w:tc>
        <w:tc>
          <w:tcPr>
            <w:tcW w:w="269" w:type="pct"/>
            <w:tcBorders>
              <w:top w:val="single" w:sz="4" w:space="0" w:color="auto"/>
              <w:left w:val="nil"/>
              <w:bottom w:val="single" w:sz="12" w:space="0" w:color="auto"/>
              <w:right w:val="nil"/>
            </w:tcBorders>
            <w:shd w:val="clear" w:color="auto" w:fill="auto"/>
            <w:vAlign w:val="bottom"/>
          </w:tcPr>
          <w:p w14:paraId="5338422B" w14:textId="77777777" w:rsidR="003E10CE" w:rsidRPr="00F94F28" w:rsidRDefault="003E10CE" w:rsidP="003E10CE">
            <w:pPr>
              <w:jc w:val="center"/>
              <w:rPr>
                <w:rFonts w:ascii="Arial" w:hAnsi="Arial" w:cs="Arial"/>
                <w:b/>
                <w:bCs/>
                <w:sz w:val="18"/>
                <w:szCs w:val="18"/>
              </w:rPr>
            </w:pPr>
            <w:r w:rsidRPr="00F94F28">
              <w:rPr>
                <w:rFonts w:ascii="Arial" w:hAnsi="Arial" w:cs="Arial"/>
                <w:b/>
                <w:bCs/>
                <w:sz w:val="18"/>
                <w:szCs w:val="18"/>
              </w:rPr>
              <w:t> </w:t>
            </w:r>
          </w:p>
        </w:tc>
        <w:tc>
          <w:tcPr>
            <w:tcW w:w="552" w:type="pct"/>
            <w:tcBorders>
              <w:top w:val="single" w:sz="4" w:space="0" w:color="auto"/>
              <w:left w:val="nil"/>
              <w:bottom w:val="single" w:sz="12" w:space="0" w:color="auto"/>
              <w:right w:val="nil"/>
            </w:tcBorders>
            <w:shd w:val="clear" w:color="auto" w:fill="auto"/>
            <w:noWrap/>
          </w:tcPr>
          <w:p w14:paraId="304F5DF7" w14:textId="64F6FD27" w:rsidR="003E10CE" w:rsidRPr="00720267" w:rsidRDefault="003E10CE" w:rsidP="003E10CE">
            <w:pPr>
              <w:jc w:val="right"/>
              <w:rPr>
                <w:rFonts w:ascii="Arial" w:hAnsi="Arial" w:cs="Arial"/>
                <w:b/>
                <w:sz w:val="18"/>
                <w:szCs w:val="18"/>
              </w:rPr>
            </w:pPr>
            <w:r w:rsidRPr="00720267">
              <w:rPr>
                <w:rFonts w:ascii="Arial" w:hAnsi="Arial" w:cs="Arial"/>
                <w:b/>
                <w:sz w:val="18"/>
                <w:szCs w:val="18"/>
              </w:rPr>
              <w:t>4</w:t>
            </w:r>
            <w:r w:rsidR="00945414">
              <w:rPr>
                <w:rFonts w:ascii="Arial" w:hAnsi="Arial" w:cs="Arial"/>
                <w:b/>
                <w:sz w:val="18"/>
                <w:szCs w:val="18"/>
              </w:rPr>
              <w:t>08</w:t>
            </w:r>
          </w:p>
        </w:tc>
        <w:tc>
          <w:tcPr>
            <w:tcW w:w="615" w:type="pct"/>
            <w:tcBorders>
              <w:top w:val="single" w:sz="4" w:space="0" w:color="auto"/>
              <w:left w:val="nil"/>
              <w:bottom w:val="single" w:sz="12" w:space="0" w:color="auto"/>
              <w:right w:val="nil"/>
            </w:tcBorders>
            <w:shd w:val="clear" w:color="auto" w:fill="auto"/>
            <w:noWrap/>
          </w:tcPr>
          <w:p w14:paraId="6FD4873F" w14:textId="725AB4DB" w:rsidR="003E10CE" w:rsidRPr="00005D53" w:rsidRDefault="00005D53" w:rsidP="003E10CE">
            <w:pPr>
              <w:jc w:val="right"/>
              <w:rPr>
                <w:rFonts w:ascii="Arial" w:hAnsi="Arial" w:cs="Arial"/>
                <w:b/>
                <w:sz w:val="18"/>
                <w:szCs w:val="18"/>
              </w:rPr>
            </w:pPr>
            <w:r w:rsidRPr="00005D53">
              <w:rPr>
                <w:rFonts w:ascii="Arial" w:hAnsi="Arial" w:cs="Arial"/>
                <w:b/>
                <w:sz w:val="18"/>
                <w:szCs w:val="18"/>
              </w:rPr>
              <w:t>(1</w:t>
            </w:r>
            <w:r w:rsidR="00945414">
              <w:rPr>
                <w:rFonts w:ascii="Arial" w:hAnsi="Arial" w:cs="Arial"/>
                <w:b/>
                <w:sz w:val="18"/>
                <w:szCs w:val="18"/>
              </w:rPr>
              <w:t>90</w:t>
            </w:r>
            <w:r w:rsidRPr="00005D53">
              <w:rPr>
                <w:rFonts w:ascii="Arial" w:hAnsi="Arial" w:cs="Arial"/>
                <w:b/>
                <w:sz w:val="18"/>
                <w:szCs w:val="18"/>
              </w:rPr>
              <w:t>)</w:t>
            </w:r>
          </w:p>
        </w:tc>
        <w:tc>
          <w:tcPr>
            <w:tcW w:w="485" w:type="pct"/>
            <w:tcBorders>
              <w:top w:val="single" w:sz="4" w:space="0" w:color="auto"/>
              <w:left w:val="nil"/>
              <w:bottom w:val="single" w:sz="12" w:space="0" w:color="auto"/>
              <w:right w:val="nil"/>
            </w:tcBorders>
            <w:shd w:val="clear" w:color="auto" w:fill="auto"/>
            <w:noWrap/>
          </w:tcPr>
          <w:p w14:paraId="475576C5" w14:textId="1CD920C9" w:rsidR="003E10CE" w:rsidRPr="00005D53" w:rsidRDefault="00005D53" w:rsidP="003E10CE">
            <w:pPr>
              <w:jc w:val="right"/>
              <w:rPr>
                <w:rFonts w:ascii="Arial" w:hAnsi="Arial" w:cs="Arial"/>
                <w:b/>
                <w:sz w:val="18"/>
                <w:szCs w:val="18"/>
              </w:rPr>
            </w:pPr>
            <w:r w:rsidRPr="00005D53">
              <w:rPr>
                <w:rFonts w:ascii="Arial" w:hAnsi="Arial" w:cs="Arial"/>
                <w:b/>
                <w:sz w:val="18"/>
                <w:szCs w:val="18"/>
              </w:rPr>
              <w:t>2</w:t>
            </w:r>
            <w:r w:rsidR="00945414">
              <w:rPr>
                <w:rFonts w:ascii="Arial" w:hAnsi="Arial" w:cs="Arial"/>
                <w:b/>
                <w:sz w:val="18"/>
                <w:szCs w:val="18"/>
              </w:rPr>
              <w:t>1</w:t>
            </w:r>
            <w:r w:rsidRPr="00005D53">
              <w:rPr>
                <w:rFonts w:ascii="Arial" w:hAnsi="Arial" w:cs="Arial"/>
                <w:b/>
                <w:sz w:val="18"/>
                <w:szCs w:val="18"/>
              </w:rPr>
              <w:t>8</w:t>
            </w:r>
          </w:p>
        </w:tc>
        <w:tc>
          <w:tcPr>
            <w:tcW w:w="577" w:type="pct"/>
            <w:tcBorders>
              <w:top w:val="single" w:sz="4" w:space="0" w:color="auto"/>
              <w:left w:val="nil"/>
              <w:bottom w:val="single" w:sz="12" w:space="0" w:color="auto"/>
              <w:right w:val="nil"/>
            </w:tcBorders>
            <w:shd w:val="clear" w:color="auto" w:fill="auto"/>
          </w:tcPr>
          <w:p w14:paraId="34BA3936"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485</w:t>
            </w:r>
          </w:p>
        </w:tc>
        <w:tc>
          <w:tcPr>
            <w:tcW w:w="577" w:type="pct"/>
            <w:tcBorders>
              <w:top w:val="single" w:sz="4" w:space="0" w:color="auto"/>
              <w:left w:val="nil"/>
              <w:bottom w:val="single" w:sz="12" w:space="0" w:color="auto"/>
              <w:right w:val="nil"/>
            </w:tcBorders>
            <w:shd w:val="clear" w:color="auto" w:fill="auto"/>
          </w:tcPr>
          <w:p w14:paraId="673197B1"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w:t>
            </w:r>
          </w:p>
        </w:tc>
        <w:tc>
          <w:tcPr>
            <w:tcW w:w="480" w:type="pct"/>
            <w:tcBorders>
              <w:top w:val="single" w:sz="4" w:space="0" w:color="auto"/>
              <w:left w:val="nil"/>
              <w:bottom w:val="single" w:sz="12" w:space="0" w:color="auto"/>
              <w:right w:val="nil"/>
            </w:tcBorders>
            <w:shd w:val="clear" w:color="auto" w:fill="auto"/>
          </w:tcPr>
          <w:p w14:paraId="749561A6"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485</w:t>
            </w:r>
          </w:p>
        </w:tc>
      </w:tr>
      <w:tr w:rsidR="000864B4" w:rsidRPr="00EF1091" w14:paraId="637484D6" w14:textId="77777777" w:rsidTr="00527DF5">
        <w:trPr>
          <w:trHeight w:val="105"/>
        </w:trPr>
        <w:tc>
          <w:tcPr>
            <w:tcW w:w="1444" w:type="pct"/>
            <w:tcBorders>
              <w:top w:val="single" w:sz="12" w:space="0" w:color="auto"/>
              <w:left w:val="nil"/>
              <w:right w:val="nil"/>
            </w:tcBorders>
            <w:shd w:val="clear" w:color="auto" w:fill="auto"/>
            <w:vAlign w:val="bottom"/>
          </w:tcPr>
          <w:p w14:paraId="48E62BF1" w14:textId="77777777" w:rsidR="000864B4" w:rsidRPr="00EF1091" w:rsidRDefault="000864B4" w:rsidP="000864B4">
            <w:pPr>
              <w:rPr>
                <w:rFonts w:ascii="Arial" w:hAnsi="Arial" w:cs="Arial"/>
                <w:b/>
                <w:bCs/>
                <w:sz w:val="18"/>
                <w:szCs w:val="18"/>
              </w:rPr>
            </w:pPr>
          </w:p>
        </w:tc>
        <w:tc>
          <w:tcPr>
            <w:tcW w:w="269" w:type="pct"/>
            <w:tcBorders>
              <w:top w:val="single" w:sz="12" w:space="0" w:color="auto"/>
              <w:left w:val="nil"/>
              <w:right w:val="nil"/>
            </w:tcBorders>
            <w:shd w:val="clear" w:color="auto" w:fill="auto"/>
            <w:vAlign w:val="bottom"/>
          </w:tcPr>
          <w:p w14:paraId="41308B87" w14:textId="77777777" w:rsidR="000864B4" w:rsidRPr="00EF1091" w:rsidRDefault="000864B4" w:rsidP="000864B4">
            <w:pPr>
              <w:jc w:val="center"/>
              <w:rPr>
                <w:rFonts w:ascii="Arial" w:hAnsi="Arial" w:cs="Arial"/>
                <w:sz w:val="18"/>
                <w:szCs w:val="18"/>
              </w:rPr>
            </w:pPr>
          </w:p>
        </w:tc>
        <w:tc>
          <w:tcPr>
            <w:tcW w:w="552" w:type="pct"/>
            <w:tcBorders>
              <w:top w:val="single" w:sz="12" w:space="0" w:color="auto"/>
              <w:left w:val="nil"/>
              <w:right w:val="nil"/>
            </w:tcBorders>
            <w:shd w:val="clear" w:color="auto" w:fill="auto"/>
            <w:vAlign w:val="bottom"/>
          </w:tcPr>
          <w:p w14:paraId="7E657EC0" w14:textId="77777777" w:rsidR="000864B4" w:rsidRPr="006268ED" w:rsidRDefault="000864B4" w:rsidP="000864B4">
            <w:pPr>
              <w:ind w:right="92"/>
              <w:jc w:val="right"/>
              <w:rPr>
                <w:rFonts w:ascii="Arial" w:hAnsi="Arial" w:cs="Arial"/>
                <w:b/>
                <w:sz w:val="18"/>
                <w:szCs w:val="18"/>
              </w:rPr>
            </w:pPr>
          </w:p>
        </w:tc>
        <w:tc>
          <w:tcPr>
            <w:tcW w:w="615" w:type="pct"/>
            <w:tcBorders>
              <w:top w:val="single" w:sz="12" w:space="0" w:color="auto"/>
              <w:left w:val="nil"/>
              <w:right w:val="nil"/>
            </w:tcBorders>
            <w:shd w:val="clear" w:color="auto" w:fill="auto"/>
            <w:vAlign w:val="bottom"/>
          </w:tcPr>
          <w:p w14:paraId="16BC7B3F" w14:textId="77777777" w:rsidR="000864B4" w:rsidRPr="006268ED" w:rsidRDefault="000864B4" w:rsidP="000864B4">
            <w:pPr>
              <w:ind w:right="92"/>
              <w:jc w:val="right"/>
              <w:rPr>
                <w:rFonts w:ascii="Arial" w:hAnsi="Arial" w:cs="Arial"/>
                <w:b/>
                <w:sz w:val="18"/>
                <w:szCs w:val="18"/>
              </w:rPr>
            </w:pPr>
          </w:p>
        </w:tc>
        <w:tc>
          <w:tcPr>
            <w:tcW w:w="485" w:type="pct"/>
            <w:tcBorders>
              <w:top w:val="single" w:sz="12" w:space="0" w:color="auto"/>
              <w:left w:val="nil"/>
              <w:right w:val="nil"/>
            </w:tcBorders>
            <w:shd w:val="clear" w:color="auto" w:fill="auto"/>
            <w:vAlign w:val="bottom"/>
          </w:tcPr>
          <w:p w14:paraId="57D0DE27" w14:textId="77777777" w:rsidR="000864B4" w:rsidRPr="006268ED" w:rsidRDefault="000864B4" w:rsidP="000864B4">
            <w:pPr>
              <w:ind w:right="92"/>
              <w:jc w:val="right"/>
              <w:rPr>
                <w:rFonts w:ascii="Arial" w:hAnsi="Arial" w:cs="Arial"/>
                <w:b/>
                <w:sz w:val="18"/>
                <w:szCs w:val="18"/>
              </w:rPr>
            </w:pPr>
          </w:p>
        </w:tc>
        <w:tc>
          <w:tcPr>
            <w:tcW w:w="577" w:type="pct"/>
            <w:tcBorders>
              <w:top w:val="single" w:sz="12" w:space="0" w:color="auto"/>
              <w:left w:val="nil"/>
              <w:right w:val="nil"/>
            </w:tcBorders>
            <w:shd w:val="clear" w:color="auto" w:fill="auto"/>
            <w:vAlign w:val="bottom"/>
          </w:tcPr>
          <w:p w14:paraId="02E755D7" w14:textId="77777777" w:rsidR="000864B4" w:rsidRPr="000864B4" w:rsidRDefault="000864B4" w:rsidP="000864B4">
            <w:pPr>
              <w:ind w:right="92"/>
              <w:jc w:val="right"/>
              <w:rPr>
                <w:rFonts w:ascii="Arial" w:hAnsi="Arial" w:cs="Arial"/>
                <w:sz w:val="18"/>
                <w:szCs w:val="18"/>
              </w:rPr>
            </w:pPr>
          </w:p>
        </w:tc>
        <w:tc>
          <w:tcPr>
            <w:tcW w:w="577" w:type="pct"/>
            <w:tcBorders>
              <w:top w:val="single" w:sz="12" w:space="0" w:color="auto"/>
              <w:left w:val="nil"/>
              <w:right w:val="nil"/>
            </w:tcBorders>
            <w:shd w:val="clear" w:color="auto" w:fill="auto"/>
            <w:vAlign w:val="bottom"/>
          </w:tcPr>
          <w:p w14:paraId="7FD4BA25" w14:textId="77777777" w:rsidR="000864B4" w:rsidRPr="000864B4" w:rsidRDefault="000864B4" w:rsidP="000864B4">
            <w:pPr>
              <w:ind w:right="92"/>
              <w:jc w:val="right"/>
              <w:rPr>
                <w:rFonts w:ascii="Arial" w:hAnsi="Arial" w:cs="Arial"/>
                <w:sz w:val="18"/>
                <w:szCs w:val="18"/>
              </w:rPr>
            </w:pPr>
          </w:p>
        </w:tc>
        <w:tc>
          <w:tcPr>
            <w:tcW w:w="480" w:type="pct"/>
            <w:tcBorders>
              <w:top w:val="single" w:sz="12" w:space="0" w:color="auto"/>
              <w:left w:val="nil"/>
              <w:right w:val="nil"/>
            </w:tcBorders>
            <w:shd w:val="clear" w:color="auto" w:fill="auto"/>
            <w:vAlign w:val="bottom"/>
          </w:tcPr>
          <w:p w14:paraId="1EF6219F" w14:textId="77777777" w:rsidR="000864B4" w:rsidRPr="000864B4" w:rsidRDefault="000864B4" w:rsidP="000864B4">
            <w:pPr>
              <w:ind w:right="92"/>
              <w:jc w:val="right"/>
              <w:rPr>
                <w:rFonts w:ascii="Arial" w:hAnsi="Arial" w:cs="Arial"/>
                <w:sz w:val="18"/>
                <w:szCs w:val="18"/>
              </w:rPr>
            </w:pPr>
          </w:p>
        </w:tc>
      </w:tr>
      <w:tr w:rsidR="000864B4" w:rsidRPr="00EF1091" w14:paraId="7CC48243" w14:textId="77777777" w:rsidTr="00527DF5">
        <w:trPr>
          <w:trHeight w:val="90"/>
        </w:trPr>
        <w:tc>
          <w:tcPr>
            <w:tcW w:w="1444" w:type="pct"/>
            <w:tcBorders>
              <w:left w:val="nil"/>
              <w:bottom w:val="nil"/>
              <w:right w:val="nil"/>
            </w:tcBorders>
            <w:shd w:val="clear" w:color="auto" w:fill="auto"/>
            <w:vAlign w:val="bottom"/>
          </w:tcPr>
          <w:p w14:paraId="0818E8CD" w14:textId="77777777" w:rsidR="000864B4" w:rsidRPr="00EF1091" w:rsidRDefault="000864B4" w:rsidP="000864B4">
            <w:pPr>
              <w:rPr>
                <w:rFonts w:ascii="Arial" w:hAnsi="Arial" w:cs="Arial"/>
                <w:sz w:val="18"/>
                <w:szCs w:val="18"/>
              </w:rPr>
            </w:pPr>
          </w:p>
        </w:tc>
        <w:tc>
          <w:tcPr>
            <w:tcW w:w="269" w:type="pct"/>
            <w:tcBorders>
              <w:left w:val="nil"/>
              <w:bottom w:val="nil"/>
              <w:right w:val="nil"/>
            </w:tcBorders>
            <w:shd w:val="clear" w:color="auto" w:fill="auto"/>
            <w:noWrap/>
            <w:vAlign w:val="bottom"/>
          </w:tcPr>
          <w:p w14:paraId="3EA7B8E5" w14:textId="77777777" w:rsidR="000864B4" w:rsidRPr="00EF1091" w:rsidRDefault="000864B4" w:rsidP="000864B4">
            <w:pPr>
              <w:jc w:val="center"/>
              <w:rPr>
                <w:rFonts w:ascii="Arial" w:hAnsi="Arial" w:cs="Arial"/>
                <w:sz w:val="18"/>
                <w:szCs w:val="18"/>
              </w:rPr>
            </w:pPr>
          </w:p>
        </w:tc>
        <w:tc>
          <w:tcPr>
            <w:tcW w:w="552" w:type="pct"/>
            <w:tcBorders>
              <w:left w:val="nil"/>
              <w:bottom w:val="nil"/>
              <w:right w:val="nil"/>
            </w:tcBorders>
            <w:shd w:val="clear" w:color="auto" w:fill="auto"/>
            <w:noWrap/>
            <w:vAlign w:val="bottom"/>
          </w:tcPr>
          <w:p w14:paraId="436CFA6A" w14:textId="77777777" w:rsidR="000864B4" w:rsidRPr="006268ED" w:rsidRDefault="000864B4" w:rsidP="000864B4">
            <w:pPr>
              <w:jc w:val="right"/>
              <w:rPr>
                <w:rFonts w:ascii="Arial" w:hAnsi="Arial" w:cs="Arial"/>
                <w:b/>
                <w:bCs/>
                <w:sz w:val="18"/>
                <w:szCs w:val="18"/>
              </w:rPr>
            </w:pPr>
          </w:p>
        </w:tc>
        <w:tc>
          <w:tcPr>
            <w:tcW w:w="615" w:type="pct"/>
            <w:tcBorders>
              <w:left w:val="nil"/>
              <w:bottom w:val="nil"/>
              <w:right w:val="nil"/>
            </w:tcBorders>
            <w:shd w:val="clear" w:color="auto" w:fill="auto"/>
            <w:noWrap/>
            <w:vAlign w:val="bottom"/>
          </w:tcPr>
          <w:p w14:paraId="46CF8A73" w14:textId="77777777" w:rsidR="000864B4" w:rsidRPr="006268ED" w:rsidRDefault="000864B4" w:rsidP="000864B4">
            <w:pPr>
              <w:jc w:val="right"/>
              <w:rPr>
                <w:rFonts w:ascii="Arial" w:hAnsi="Arial" w:cs="Arial"/>
                <w:b/>
                <w:bCs/>
                <w:sz w:val="18"/>
                <w:szCs w:val="18"/>
              </w:rPr>
            </w:pPr>
          </w:p>
        </w:tc>
        <w:tc>
          <w:tcPr>
            <w:tcW w:w="485" w:type="pct"/>
            <w:tcBorders>
              <w:left w:val="nil"/>
              <w:bottom w:val="nil"/>
              <w:right w:val="nil"/>
            </w:tcBorders>
            <w:shd w:val="clear" w:color="auto" w:fill="auto"/>
            <w:noWrap/>
            <w:vAlign w:val="bottom"/>
          </w:tcPr>
          <w:p w14:paraId="22FF44BB" w14:textId="77777777" w:rsidR="000864B4" w:rsidRPr="006268ED" w:rsidRDefault="000864B4" w:rsidP="000864B4">
            <w:pPr>
              <w:jc w:val="right"/>
              <w:rPr>
                <w:rFonts w:ascii="Arial" w:hAnsi="Arial" w:cs="Arial"/>
                <w:b/>
                <w:bCs/>
                <w:sz w:val="18"/>
                <w:szCs w:val="18"/>
              </w:rPr>
            </w:pPr>
          </w:p>
        </w:tc>
        <w:tc>
          <w:tcPr>
            <w:tcW w:w="577" w:type="pct"/>
            <w:tcBorders>
              <w:left w:val="nil"/>
              <w:bottom w:val="nil"/>
              <w:right w:val="nil"/>
            </w:tcBorders>
            <w:shd w:val="clear" w:color="auto" w:fill="auto"/>
            <w:noWrap/>
            <w:vAlign w:val="bottom"/>
          </w:tcPr>
          <w:p w14:paraId="35FC8370" w14:textId="77777777" w:rsidR="000864B4" w:rsidRPr="000864B4" w:rsidRDefault="000864B4" w:rsidP="000864B4">
            <w:pPr>
              <w:jc w:val="right"/>
              <w:rPr>
                <w:rFonts w:ascii="Arial" w:hAnsi="Arial" w:cs="Arial"/>
                <w:bCs/>
                <w:sz w:val="18"/>
                <w:szCs w:val="18"/>
              </w:rPr>
            </w:pPr>
          </w:p>
        </w:tc>
        <w:tc>
          <w:tcPr>
            <w:tcW w:w="577" w:type="pct"/>
            <w:tcBorders>
              <w:left w:val="nil"/>
              <w:bottom w:val="nil"/>
              <w:right w:val="nil"/>
            </w:tcBorders>
            <w:shd w:val="clear" w:color="auto" w:fill="auto"/>
            <w:noWrap/>
            <w:vAlign w:val="bottom"/>
          </w:tcPr>
          <w:p w14:paraId="334B40CC" w14:textId="77777777" w:rsidR="000864B4" w:rsidRPr="000864B4" w:rsidRDefault="000864B4" w:rsidP="000864B4">
            <w:pPr>
              <w:jc w:val="right"/>
              <w:rPr>
                <w:rFonts w:ascii="Arial" w:hAnsi="Arial" w:cs="Arial"/>
                <w:bCs/>
                <w:sz w:val="18"/>
                <w:szCs w:val="18"/>
              </w:rPr>
            </w:pPr>
          </w:p>
        </w:tc>
        <w:tc>
          <w:tcPr>
            <w:tcW w:w="480" w:type="pct"/>
            <w:tcBorders>
              <w:left w:val="nil"/>
              <w:bottom w:val="nil"/>
              <w:right w:val="nil"/>
            </w:tcBorders>
            <w:shd w:val="clear" w:color="auto" w:fill="auto"/>
            <w:noWrap/>
            <w:vAlign w:val="bottom"/>
          </w:tcPr>
          <w:p w14:paraId="6901952B" w14:textId="77777777" w:rsidR="000864B4" w:rsidRPr="000864B4" w:rsidRDefault="000864B4" w:rsidP="000864B4">
            <w:pPr>
              <w:jc w:val="right"/>
              <w:rPr>
                <w:rFonts w:ascii="Arial" w:hAnsi="Arial" w:cs="Arial"/>
                <w:bCs/>
                <w:sz w:val="18"/>
                <w:szCs w:val="18"/>
              </w:rPr>
            </w:pPr>
          </w:p>
        </w:tc>
      </w:tr>
      <w:tr w:rsidR="000864B4" w:rsidRPr="00EF1091" w14:paraId="0FE875A4" w14:textId="77777777" w:rsidTr="00527DF5">
        <w:trPr>
          <w:trHeight w:val="225"/>
        </w:trPr>
        <w:tc>
          <w:tcPr>
            <w:tcW w:w="1444" w:type="pct"/>
            <w:tcBorders>
              <w:top w:val="nil"/>
              <w:left w:val="nil"/>
              <w:bottom w:val="nil"/>
              <w:right w:val="nil"/>
            </w:tcBorders>
            <w:shd w:val="clear" w:color="auto" w:fill="auto"/>
            <w:vAlign w:val="bottom"/>
          </w:tcPr>
          <w:p w14:paraId="19C636E8" w14:textId="77777777" w:rsidR="000864B4" w:rsidRPr="00806EFF" w:rsidRDefault="000864B4" w:rsidP="000864B4">
            <w:pPr>
              <w:rPr>
                <w:rFonts w:ascii="Arial" w:hAnsi="Arial" w:cs="Arial"/>
                <w:b/>
                <w:bCs/>
                <w:sz w:val="18"/>
                <w:szCs w:val="18"/>
              </w:rPr>
            </w:pPr>
            <w:r w:rsidRPr="00806EFF">
              <w:rPr>
                <w:rFonts w:ascii="Arial" w:hAnsi="Arial" w:cs="Arial"/>
                <w:b/>
                <w:bCs/>
                <w:sz w:val="18"/>
                <w:szCs w:val="18"/>
              </w:rPr>
              <w:t xml:space="preserve">Earnings per share </w:t>
            </w:r>
          </w:p>
        </w:tc>
        <w:tc>
          <w:tcPr>
            <w:tcW w:w="269" w:type="pct"/>
            <w:tcBorders>
              <w:top w:val="nil"/>
              <w:left w:val="nil"/>
              <w:bottom w:val="nil"/>
              <w:right w:val="nil"/>
            </w:tcBorders>
            <w:shd w:val="clear" w:color="auto" w:fill="auto"/>
            <w:vAlign w:val="bottom"/>
          </w:tcPr>
          <w:p w14:paraId="643531C7" w14:textId="77777777" w:rsidR="000864B4" w:rsidRPr="00806EFF" w:rsidRDefault="000864B4" w:rsidP="000864B4">
            <w:pPr>
              <w:jc w:val="center"/>
              <w:rPr>
                <w:rFonts w:ascii="Arial" w:hAnsi="Arial" w:cs="Arial"/>
                <w:sz w:val="18"/>
                <w:szCs w:val="18"/>
              </w:rPr>
            </w:pPr>
            <w:r w:rsidRPr="00806EFF">
              <w:rPr>
                <w:rFonts w:ascii="Arial" w:hAnsi="Arial" w:cs="Arial"/>
                <w:sz w:val="18"/>
                <w:szCs w:val="18"/>
              </w:rPr>
              <w:t>7</w:t>
            </w:r>
          </w:p>
        </w:tc>
        <w:tc>
          <w:tcPr>
            <w:tcW w:w="552" w:type="pct"/>
            <w:tcBorders>
              <w:top w:val="nil"/>
              <w:left w:val="nil"/>
              <w:bottom w:val="nil"/>
              <w:right w:val="nil"/>
            </w:tcBorders>
            <w:shd w:val="clear" w:color="auto" w:fill="auto"/>
            <w:vAlign w:val="bottom"/>
          </w:tcPr>
          <w:p w14:paraId="67C394C7" w14:textId="77777777" w:rsidR="000864B4" w:rsidRPr="00806EFF" w:rsidRDefault="000864B4" w:rsidP="000864B4">
            <w:pPr>
              <w:ind w:right="92"/>
              <w:jc w:val="right"/>
              <w:rPr>
                <w:rFonts w:ascii="Arial" w:hAnsi="Arial" w:cs="Arial"/>
                <w:b/>
                <w:sz w:val="18"/>
                <w:szCs w:val="18"/>
              </w:rPr>
            </w:pPr>
          </w:p>
        </w:tc>
        <w:tc>
          <w:tcPr>
            <w:tcW w:w="615" w:type="pct"/>
            <w:tcBorders>
              <w:top w:val="nil"/>
              <w:left w:val="nil"/>
              <w:bottom w:val="nil"/>
              <w:right w:val="nil"/>
            </w:tcBorders>
            <w:shd w:val="clear" w:color="auto" w:fill="auto"/>
            <w:vAlign w:val="bottom"/>
          </w:tcPr>
          <w:p w14:paraId="552F8F4D" w14:textId="77777777" w:rsidR="000864B4" w:rsidRPr="00806EFF" w:rsidRDefault="000864B4" w:rsidP="000864B4">
            <w:pPr>
              <w:ind w:right="92"/>
              <w:jc w:val="right"/>
              <w:rPr>
                <w:rFonts w:ascii="Arial" w:hAnsi="Arial" w:cs="Arial"/>
                <w:b/>
                <w:sz w:val="18"/>
                <w:szCs w:val="18"/>
              </w:rPr>
            </w:pPr>
          </w:p>
        </w:tc>
        <w:tc>
          <w:tcPr>
            <w:tcW w:w="485" w:type="pct"/>
            <w:tcBorders>
              <w:top w:val="nil"/>
              <w:left w:val="nil"/>
              <w:bottom w:val="nil"/>
              <w:right w:val="nil"/>
            </w:tcBorders>
            <w:shd w:val="clear" w:color="auto" w:fill="auto"/>
            <w:vAlign w:val="bottom"/>
          </w:tcPr>
          <w:p w14:paraId="1C99643A" w14:textId="77777777" w:rsidR="000864B4" w:rsidRPr="00806EFF" w:rsidRDefault="000864B4" w:rsidP="000864B4">
            <w:pPr>
              <w:ind w:right="92"/>
              <w:jc w:val="right"/>
              <w:rPr>
                <w:rFonts w:ascii="Arial" w:hAnsi="Arial" w:cs="Arial"/>
                <w:b/>
                <w:sz w:val="18"/>
                <w:szCs w:val="18"/>
              </w:rPr>
            </w:pPr>
          </w:p>
        </w:tc>
        <w:tc>
          <w:tcPr>
            <w:tcW w:w="577" w:type="pct"/>
            <w:tcBorders>
              <w:top w:val="nil"/>
              <w:left w:val="nil"/>
              <w:bottom w:val="nil"/>
              <w:right w:val="nil"/>
            </w:tcBorders>
            <w:shd w:val="clear" w:color="auto" w:fill="auto"/>
            <w:noWrap/>
            <w:vAlign w:val="bottom"/>
          </w:tcPr>
          <w:p w14:paraId="43A6C416" w14:textId="77777777" w:rsidR="000864B4" w:rsidRPr="00806EFF" w:rsidRDefault="000864B4" w:rsidP="000864B4">
            <w:pPr>
              <w:ind w:right="92"/>
              <w:jc w:val="right"/>
              <w:rPr>
                <w:rFonts w:ascii="Arial" w:hAnsi="Arial" w:cs="Arial"/>
                <w:sz w:val="18"/>
                <w:szCs w:val="18"/>
              </w:rPr>
            </w:pPr>
          </w:p>
        </w:tc>
        <w:tc>
          <w:tcPr>
            <w:tcW w:w="577" w:type="pct"/>
            <w:tcBorders>
              <w:top w:val="nil"/>
              <w:left w:val="nil"/>
              <w:bottom w:val="nil"/>
              <w:right w:val="nil"/>
            </w:tcBorders>
            <w:shd w:val="clear" w:color="auto" w:fill="auto"/>
            <w:noWrap/>
            <w:vAlign w:val="bottom"/>
          </w:tcPr>
          <w:p w14:paraId="6FBD509D" w14:textId="77777777" w:rsidR="000864B4" w:rsidRPr="000864B4" w:rsidRDefault="000864B4" w:rsidP="000864B4">
            <w:pPr>
              <w:ind w:right="92"/>
              <w:jc w:val="right"/>
              <w:rPr>
                <w:rFonts w:ascii="Arial" w:hAnsi="Arial" w:cs="Arial"/>
                <w:sz w:val="18"/>
                <w:szCs w:val="18"/>
              </w:rPr>
            </w:pPr>
          </w:p>
        </w:tc>
        <w:tc>
          <w:tcPr>
            <w:tcW w:w="480" w:type="pct"/>
            <w:tcBorders>
              <w:top w:val="nil"/>
              <w:left w:val="nil"/>
              <w:bottom w:val="nil"/>
              <w:right w:val="nil"/>
            </w:tcBorders>
            <w:shd w:val="clear" w:color="auto" w:fill="auto"/>
            <w:noWrap/>
            <w:vAlign w:val="bottom"/>
          </w:tcPr>
          <w:p w14:paraId="4CCA81F5" w14:textId="77777777" w:rsidR="000864B4" w:rsidRPr="000864B4" w:rsidRDefault="000864B4" w:rsidP="000864B4">
            <w:pPr>
              <w:ind w:right="92"/>
              <w:jc w:val="right"/>
              <w:rPr>
                <w:rFonts w:ascii="Arial" w:hAnsi="Arial" w:cs="Arial"/>
                <w:sz w:val="18"/>
                <w:szCs w:val="18"/>
              </w:rPr>
            </w:pPr>
          </w:p>
        </w:tc>
      </w:tr>
      <w:tr w:rsidR="003E10CE" w:rsidRPr="00EF1091" w14:paraId="37674897" w14:textId="77777777" w:rsidTr="00527DF5">
        <w:trPr>
          <w:trHeight w:val="225"/>
        </w:trPr>
        <w:tc>
          <w:tcPr>
            <w:tcW w:w="1444" w:type="pct"/>
            <w:tcBorders>
              <w:top w:val="nil"/>
              <w:left w:val="nil"/>
              <w:right w:val="nil"/>
            </w:tcBorders>
            <w:shd w:val="clear" w:color="auto" w:fill="auto"/>
            <w:vAlign w:val="bottom"/>
          </w:tcPr>
          <w:p w14:paraId="63F5BBB0" w14:textId="77777777" w:rsidR="003E10CE" w:rsidRPr="00806EFF" w:rsidRDefault="003E10CE" w:rsidP="003E10CE">
            <w:pPr>
              <w:rPr>
                <w:rFonts w:ascii="Arial" w:hAnsi="Arial" w:cs="Arial"/>
                <w:sz w:val="18"/>
                <w:szCs w:val="18"/>
              </w:rPr>
            </w:pPr>
            <w:r w:rsidRPr="00806EFF">
              <w:rPr>
                <w:rFonts w:ascii="Arial" w:hAnsi="Arial" w:cs="Arial"/>
                <w:sz w:val="18"/>
                <w:szCs w:val="18"/>
              </w:rPr>
              <w:t>Basic</w:t>
            </w:r>
          </w:p>
        </w:tc>
        <w:tc>
          <w:tcPr>
            <w:tcW w:w="269" w:type="pct"/>
            <w:tcBorders>
              <w:top w:val="nil"/>
              <w:left w:val="nil"/>
              <w:right w:val="nil"/>
            </w:tcBorders>
            <w:shd w:val="clear" w:color="auto" w:fill="auto"/>
            <w:noWrap/>
            <w:vAlign w:val="bottom"/>
          </w:tcPr>
          <w:p w14:paraId="652E4818" w14:textId="77777777" w:rsidR="003E10CE" w:rsidRPr="00806EFF" w:rsidRDefault="003E10CE" w:rsidP="003E10CE">
            <w:pPr>
              <w:jc w:val="center"/>
              <w:rPr>
                <w:rFonts w:ascii="Arial" w:hAnsi="Arial" w:cs="Arial"/>
                <w:sz w:val="18"/>
                <w:szCs w:val="18"/>
              </w:rPr>
            </w:pPr>
          </w:p>
        </w:tc>
        <w:tc>
          <w:tcPr>
            <w:tcW w:w="552" w:type="pct"/>
            <w:tcBorders>
              <w:top w:val="nil"/>
              <w:left w:val="nil"/>
              <w:right w:val="nil"/>
            </w:tcBorders>
            <w:shd w:val="clear" w:color="auto" w:fill="auto"/>
            <w:noWrap/>
            <w:vAlign w:val="bottom"/>
          </w:tcPr>
          <w:p w14:paraId="3B90B5E8" w14:textId="77777777" w:rsidR="003E10CE" w:rsidRPr="00806EFF" w:rsidRDefault="003E10CE" w:rsidP="003E10CE">
            <w:pPr>
              <w:ind w:right="92"/>
              <w:jc w:val="right"/>
              <w:rPr>
                <w:rFonts w:ascii="Arial" w:hAnsi="Arial" w:cs="Arial"/>
                <w:b/>
                <w:sz w:val="18"/>
                <w:szCs w:val="18"/>
              </w:rPr>
            </w:pPr>
          </w:p>
        </w:tc>
        <w:tc>
          <w:tcPr>
            <w:tcW w:w="615" w:type="pct"/>
            <w:tcBorders>
              <w:top w:val="nil"/>
              <w:left w:val="nil"/>
              <w:right w:val="nil"/>
            </w:tcBorders>
            <w:shd w:val="clear" w:color="auto" w:fill="auto"/>
            <w:noWrap/>
            <w:vAlign w:val="bottom"/>
          </w:tcPr>
          <w:p w14:paraId="399F626B" w14:textId="77777777" w:rsidR="003E10CE" w:rsidRPr="00806EFF" w:rsidRDefault="003E10CE" w:rsidP="003E10CE">
            <w:pPr>
              <w:ind w:right="92"/>
              <w:jc w:val="right"/>
              <w:rPr>
                <w:rFonts w:ascii="Arial" w:hAnsi="Arial" w:cs="Arial"/>
                <w:b/>
                <w:sz w:val="18"/>
                <w:szCs w:val="18"/>
              </w:rPr>
            </w:pPr>
          </w:p>
        </w:tc>
        <w:tc>
          <w:tcPr>
            <w:tcW w:w="485" w:type="pct"/>
            <w:tcBorders>
              <w:top w:val="nil"/>
              <w:left w:val="nil"/>
              <w:right w:val="nil"/>
            </w:tcBorders>
            <w:shd w:val="clear" w:color="auto" w:fill="auto"/>
            <w:noWrap/>
            <w:vAlign w:val="bottom"/>
          </w:tcPr>
          <w:p w14:paraId="328F743F" w14:textId="278CC877" w:rsidR="003E10CE" w:rsidRPr="00005D53" w:rsidRDefault="00005D53" w:rsidP="003E10CE">
            <w:pPr>
              <w:ind w:right="92"/>
              <w:jc w:val="right"/>
              <w:rPr>
                <w:rFonts w:ascii="Arial" w:hAnsi="Arial" w:cs="Arial"/>
                <w:b/>
                <w:sz w:val="18"/>
                <w:szCs w:val="18"/>
              </w:rPr>
            </w:pPr>
            <w:r w:rsidRPr="00005D53">
              <w:rPr>
                <w:rFonts w:ascii="Arial" w:hAnsi="Arial" w:cs="Arial"/>
                <w:b/>
                <w:sz w:val="18"/>
                <w:szCs w:val="18"/>
              </w:rPr>
              <w:t>1</w:t>
            </w:r>
            <w:r w:rsidR="00945414">
              <w:rPr>
                <w:rFonts w:ascii="Arial" w:hAnsi="Arial" w:cs="Arial"/>
                <w:b/>
                <w:sz w:val="18"/>
                <w:szCs w:val="18"/>
              </w:rPr>
              <w:t>0</w:t>
            </w:r>
            <w:r w:rsidR="003E10CE" w:rsidRPr="00005D53">
              <w:rPr>
                <w:rFonts w:ascii="Arial" w:hAnsi="Arial" w:cs="Arial"/>
                <w:b/>
                <w:sz w:val="18"/>
                <w:szCs w:val="18"/>
              </w:rPr>
              <w:t>.</w:t>
            </w:r>
            <w:r w:rsidR="00945414">
              <w:rPr>
                <w:rFonts w:ascii="Arial" w:hAnsi="Arial" w:cs="Arial"/>
                <w:b/>
                <w:sz w:val="18"/>
                <w:szCs w:val="18"/>
              </w:rPr>
              <w:t>3</w:t>
            </w:r>
            <w:r w:rsidR="003E10CE" w:rsidRPr="00005D53">
              <w:rPr>
                <w:rFonts w:ascii="Arial" w:hAnsi="Arial" w:cs="Arial"/>
                <w:b/>
                <w:sz w:val="18"/>
                <w:szCs w:val="18"/>
              </w:rPr>
              <w:t>p</w:t>
            </w:r>
          </w:p>
        </w:tc>
        <w:tc>
          <w:tcPr>
            <w:tcW w:w="577" w:type="pct"/>
            <w:tcBorders>
              <w:top w:val="nil"/>
              <w:left w:val="nil"/>
              <w:right w:val="nil"/>
            </w:tcBorders>
            <w:shd w:val="clear" w:color="auto" w:fill="auto"/>
            <w:noWrap/>
            <w:vAlign w:val="bottom"/>
          </w:tcPr>
          <w:p w14:paraId="446B5267" w14:textId="77777777" w:rsidR="003E10CE" w:rsidRPr="00806EFF" w:rsidRDefault="003E10CE" w:rsidP="003E10CE">
            <w:pPr>
              <w:ind w:right="92"/>
              <w:jc w:val="right"/>
              <w:rPr>
                <w:rFonts w:ascii="Arial" w:hAnsi="Arial" w:cs="Arial"/>
                <w:sz w:val="18"/>
                <w:szCs w:val="18"/>
              </w:rPr>
            </w:pPr>
          </w:p>
        </w:tc>
        <w:tc>
          <w:tcPr>
            <w:tcW w:w="577" w:type="pct"/>
            <w:tcBorders>
              <w:top w:val="nil"/>
              <w:left w:val="nil"/>
              <w:right w:val="nil"/>
            </w:tcBorders>
            <w:shd w:val="clear" w:color="auto" w:fill="auto"/>
            <w:noWrap/>
            <w:vAlign w:val="bottom"/>
          </w:tcPr>
          <w:p w14:paraId="64451820" w14:textId="77777777" w:rsidR="003E10CE" w:rsidRPr="000864B4" w:rsidRDefault="003E10CE" w:rsidP="003E10CE">
            <w:pPr>
              <w:ind w:right="92"/>
              <w:jc w:val="right"/>
              <w:rPr>
                <w:rFonts w:ascii="Arial" w:hAnsi="Arial" w:cs="Arial"/>
                <w:sz w:val="18"/>
                <w:szCs w:val="18"/>
              </w:rPr>
            </w:pPr>
          </w:p>
        </w:tc>
        <w:tc>
          <w:tcPr>
            <w:tcW w:w="480" w:type="pct"/>
            <w:tcBorders>
              <w:top w:val="nil"/>
              <w:left w:val="nil"/>
              <w:right w:val="nil"/>
            </w:tcBorders>
            <w:shd w:val="clear" w:color="auto" w:fill="auto"/>
            <w:noWrap/>
            <w:vAlign w:val="bottom"/>
          </w:tcPr>
          <w:p w14:paraId="49BB743E" w14:textId="77777777" w:rsidR="003E10CE" w:rsidRPr="003E10CE" w:rsidRDefault="003E10CE" w:rsidP="003E10CE">
            <w:pPr>
              <w:ind w:right="92"/>
              <w:jc w:val="right"/>
              <w:rPr>
                <w:rFonts w:ascii="Arial" w:hAnsi="Arial" w:cs="Arial"/>
                <w:sz w:val="18"/>
                <w:szCs w:val="18"/>
              </w:rPr>
            </w:pPr>
            <w:r w:rsidRPr="003E10CE">
              <w:rPr>
                <w:rFonts w:ascii="Arial" w:hAnsi="Arial" w:cs="Arial"/>
                <w:sz w:val="18"/>
                <w:szCs w:val="18"/>
              </w:rPr>
              <w:t>22.1p</w:t>
            </w:r>
          </w:p>
        </w:tc>
      </w:tr>
      <w:tr w:rsidR="003E10CE" w:rsidRPr="00EF1091" w14:paraId="142297B8" w14:textId="77777777" w:rsidTr="00527DF5">
        <w:trPr>
          <w:trHeight w:val="225"/>
        </w:trPr>
        <w:tc>
          <w:tcPr>
            <w:tcW w:w="1444" w:type="pct"/>
            <w:tcBorders>
              <w:top w:val="nil"/>
              <w:left w:val="nil"/>
              <w:right w:val="nil"/>
            </w:tcBorders>
            <w:shd w:val="clear" w:color="auto" w:fill="auto"/>
            <w:vAlign w:val="bottom"/>
          </w:tcPr>
          <w:p w14:paraId="10588912" w14:textId="77777777" w:rsidR="003E10CE" w:rsidRPr="00806EFF" w:rsidRDefault="003E10CE" w:rsidP="003E10CE">
            <w:pPr>
              <w:rPr>
                <w:rFonts w:ascii="Arial" w:hAnsi="Arial" w:cs="Arial"/>
                <w:sz w:val="18"/>
                <w:szCs w:val="18"/>
              </w:rPr>
            </w:pPr>
            <w:r w:rsidRPr="00806EFF">
              <w:rPr>
                <w:rFonts w:ascii="Arial" w:hAnsi="Arial" w:cs="Arial"/>
                <w:sz w:val="18"/>
                <w:szCs w:val="18"/>
              </w:rPr>
              <w:t>Diluted</w:t>
            </w:r>
          </w:p>
        </w:tc>
        <w:tc>
          <w:tcPr>
            <w:tcW w:w="269" w:type="pct"/>
            <w:tcBorders>
              <w:top w:val="nil"/>
              <w:left w:val="nil"/>
              <w:right w:val="nil"/>
            </w:tcBorders>
            <w:shd w:val="clear" w:color="auto" w:fill="auto"/>
            <w:noWrap/>
            <w:vAlign w:val="bottom"/>
          </w:tcPr>
          <w:p w14:paraId="2F8F4491" w14:textId="77777777" w:rsidR="003E10CE" w:rsidRPr="00806EFF" w:rsidRDefault="003E10CE" w:rsidP="003E10CE">
            <w:pPr>
              <w:jc w:val="center"/>
              <w:rPr>
                <w:rFonts w:ascii="Arial" w:hAnsi="Arial" w:cs="Arial"/>
                <w:sz w:val="18"/>
                <w:szCs w:val="18"/>
              </w:rPr>
            </w:pPr>
          </w:p>
        </w:tc>
        <w:tc>
          <w:tcPr>
            <w:tcW w:w="552" w:type="pct"/>
            <w:tcBorders>
              <w:top w:val="nil"/>
              <w:left w:val="nil"/>
              <w:right w:val="nil"/>
            </w:tcBorders>
            <w:shd w:val="clear" w:color="auto" w:fill="auto"/>
            <w:noWrap/>
            <w:vAlign w:val="bottom"/>
          </w:tcPr>
          <w:p w14:paraId="26463E07" w14:textId="77777777" w:rsidR="003E10CE" w:rsidRPr="00806EFF" w:rsidRDefault="003E10CE" w:rsidP="003E10CE">
            <w:pPr>
              <w:ind w:right="92"/>
              <w:jc w:val="right"/>
              <w:rPr>
                <w:rFonts w:ascii="Arial" w:hAnsi="Arial" w:cs="Arial"/>
                <w:b/>
                <w:sz w:val="18"/>
                <w:szCs w:val="18"/>
              </w:rPr>
            </w:pPr>
          </w:p>
        </w:tc>
        <w:tc>
          <w:tcPr>
            <w:tcW w:w="615" w:type="pct"/>
            <w:tcBorders>
              <w:top w:val="nil"/>
              <w:left w:val="nil"/>
              <w:right w:val="nil"/>
            </w:tcBorders>
            <w:shd w:val="clear" w:color="auto" w:fill="auto"/>
            <w:noWrap/>
            <w:vAlign w:val="bottom"/>
          </w:tcPr>
          <w:p w14:paraId="6FC653BA" w14:textId="77777777" w:rsidR="003E10CE" w:rsidRPr="00A063AD" w:rsidRDefault="003E10CE" w:rsidP="003E10CE">
            <w:pPr>
              <w:ind w:right="92"/>
              <w:jc w:val="right"/>
              <w:rPr>
                <w:rFonts w:ascii="Arial" w:hAnsi="Arial" w:cs="Arial"/>
                <w:b/>
                <w:sz w:val="18"/>
                <w:szCs w:val="18"/>
              </w:rPr>
            </w:pPr>
          </w:p>
        </w:tc>
        <w:tc>
          <w:tcPr>
            <w:tcW w:w="485" w:type="pct"/>
            <w:tcBorders>
              <w:top w:val="nil"/>
              <w:left w:val="nil"/>
              <w:right w:val="nil"/>
            </w:tcBorders>
            <w:shd w:val="clear" w:color="auto" w:fill="auto"/>
            <w:noWrap/>
            <w:vAlign w:val="bottom"/>
          </w:tcPr>
          <w:p w14:paraId="268707D3" w14:textId="378B68C8" w:rsidR="003E10CE" w:rsidRPr="00846218" w:rsidRDefault="00985ED6" w:rsidP="003E10CE">
            <w:pPr>
              <w:ind w:right="92"/>
              <w:jc w:val="right"/>
              <w:rPr>
                <w:rFonts w:ascii="Arial" w:hAnsi="Arial" w:cs="Arial"/>
                <w:b/>
                <w:sz w:val="18"/>
                <w:szCs w:val="18"/>
              </w:rPr>
            </w:pPr>
            <w:r>
              <w:rPr>
                <w:rFonts w:ascii="Arial" w:hAnsi="Arial" w:cs="Arial"/>
                <w:b/>
                <w:sz w:val="18"/>
                <w:szCs w:val="18"/>
              </w:rPr>
              <w:t>1</w:t>
            </w:r>
            <w:r w:rsidR="00945414">
              <w:rPr>
                <w:rFonts w:ascii="Arial" w:hAnsi="Arial" w:cs="Arial"/>
                <w:b/>
                <w:sz w:val="18"/>
                <w:szCs w:val="18"/>
              </w:rPr>
              <w:t>0</w:t>
            </w:r>
            <w:r>
              <w:rPr>
                <w:rFonts w:ascii="Arial" w:hAnsi="Arial" w:cs="Arial"/>
                <w:b/>
                <w:sz w:val="18"/>
                <w:szCs w:val="18"/>
              </w:rPr>
              <w:t>.</w:t>
            </w:r>
            <w:r w:rsidR="00945414">
              <w:rPr>
                <w:rFonts w:ascii="Arial" w:hAnsi="Arial" w:cs="Arial"/>
                <w:b/>
                <w:sz w:val="18"/>
                <w:szCs w:val="18"/>
              </w:rPr>
              <w:t>2</w:t>
            </w:r>
            <w:r w:rsidR="003E10CE" w:rsidRPr="00846218">
              <w:rPr>
                <w:rFonts w:ascii="Arial" w:hAnsi="Arial" w:cs="Arial"/>
                <w:b/>
                <w:sz w:val="18"/>
                <w:szCs w:val="18"/>
              </w:rPr>
              <w:t>p</w:t>
            </w:r>
          </w:p>
        </w:tc>
        <w:tc>
          <w:tcPr>
            <w:tcW w:w="577" w:type="pct"/>
            <w:tcBorders>
              <w:top w:val="nil"/>
              <w:left w:val="nil"/>
              <w:right w:val="nil"/>
            </w:tcBorders>
            <w:shd w:val="clear" w:color="auto" w:fill="auto"/>
            <w:noWrap/>
            <w:vAlign w:val="bottom"/>
          </w:tcPr>
          <w:p w14:paraId="2543E9DE" w14:textId="77777777" w:rsidR="003E10CE" w:rsidRPr="00806EFF" w:rsidRDefault="003E10CE" w:rsidP="003E10CE">
            <w:pPr>
              <w:ind w:right="92"/>
              <w:jc w:val="right"/>
              <w:rPr>
                <w:rFonts w:ascii="Arial" w:hAnsi="Arial" w:cs="Arial"/>
                <w:sz w:val="18"/>
                <w:szCs w:val="18"/>
              </w:rPr>
            </w:pPr>
          </w:p>
        </w:tc>
        <w:tc>
          <w:tcPr>
            <w:tcW w:w="577" w:type="pct"/>
            <w:tcBorders>
              <w:top w:val="nil"/>
              <w:left w:val="nil"/>
              <w:right w:val="nil"/>
            </w:tcBorders>
            <w:shd w:val="clear" w:color="auto" w:fill="auto"/>
            <w:noWrap/>
            <w:vAlign w:val="bottom"/>
          </w:tcPr>
          <w:p w14:paraId="396FB6AD" w14:textId="77777777" w:rsidR="003E10CE" w:rsidRPr="000864B4" w:rsidRDefault="003E10CE" w:rsidP="003E10CE">
            <w:pPr>
              <w:ind w:right="92"/>
              <w:jc w:val="right"/>
              <w:rPr>
                <w:rFonts w:ascii="Arial" w:hAnsi="Arial" w:cs="Arial"/>
                <w:sz w:val="18"/>
                <w:szCs w:val="18"/>
              </w:rPr>
            </w:pPr>
          </w:p>
        </w:tc>
        <w:tc>
          <w:tcPr>
            <w:tcW w:w="480" w:type="pct"/>
            <w:tcBorders>
              <w:top w:val="nil"/>
              <w:left w:val="nil"/>
              <w:right w:val="nil"/>
            </w:tcBorders>
            <w:shd w:val="clear" w:color="auto" w:fill="auto"/>
            <w:noWrap/>
            <w:vAlign w:val="bottom"/>
          </w:tcPr>
          <w:p w14:paraId="0DBFDA33" w14:textId="77777777" w:rsidR="003E10CE" w:rsidRPr="003E10CE" w:rsidRDefault="003E10CE" w:rsidP="003E10CE">
            <w:pPr>
              <w:ind w:right="92"/>
              <w:jc w:val="right"/>
              <w:rPr>
                <w:rFonts w:ascii="Arial" w:hAnsi="Arial" w:cs="Arial"/>
                <w:sz w:val="18"/>
                <w:szCs w:val="18"/>
              </w:rPr>
            </w:pPr>
            <w:r w:rsidRPr="003E10CE">
              <w:rPr>
                <w:rFonts w:ascii="Arial" w:hAnsi="Arial" w:cs="Arial"/>
                <w:sz w:val="18"/>
                <w:szCs w:val="18"/>
              </w:rPr>
              <w:t>22.0p</w:t>
            </w:r>
          </w:p>
        </w:tc>
      </w:tr>
      <w:tr w:rsidR="003E10CE" w:rsidRPr="00EF1091" w14:paraId="173CBD26" w14:textId="77777777" w:rsidTr="00527DF5">
        <w:trPr>
          <w:trHeight w:val="225"/>
        </w:trPr>
        <w:tc>
          <w:tcPr>
            <w:tcW w:w="1444" w:type="pct"/>
            <w:tcBorders>
              <w:left w:val="nil"/>
              <w:right w:val="nil"/>
            </w:tcBorders>
            <w:shd w:val="clear" w:color="auto" w:fill="auto"/>
            <w:vAlign w:val="bottom"/>
          </w:tcPr>
          <w:p w14:paraId="0E23225F" w14:textId="77777777" w:rsidR="003E10CE" w:rsidRPr="00806EFF" w:rsidRDefault="003E10CE" w:rsidP="003E10CE">
            <w:pPr>
              <w:rPr>
                <w:rFonts w:ascii="Arial" w:hAnsi="Arial" w:cs="Arial"/>
                <w:sz w:val="18"/>
                <w:szCs w:val="18"/>
              </w:rPr>
            </w:pPr>
            <w:r w:rsidRPr="00806EFF">
              <w:rPr>
                <w:rFonts w:ascii="Arial" w:hAnsi="Arial" w:cs="Arial"/>
                <w:sz w:val="18"/>
                <w:szCs w:val="18"/>
              </w:rPr>
              <w:t>Adjusted basic</w:t>
            </w:r>
          </w:p>
        </w:tc>
        <w:tc>
          <w:tcPr>
            <w:tcW w:w="269" w:type="pct"/>
            <w:tcBorders>
              <w:left w:val="nil"/>
              <w:right w:val="nil"/>
            </w:tcBorders>
            <w:shd w:val="clear" w:color="auto" w:fill="auto"/>
            <w:noWrap/>
            <w:vAlign w:val="bottom"/>
          </w:tcPr>
          <w:p w14:paraId="74EA56A6" w14:textId="77777777" w:rsidR="003E10CE" w:rsidRPr="00806EFF" w:rsidRDefault="003E10CE" w:rsidP="003E10CE">
            <w:pPr>
              <w:jc w:val="center"/>
              <w:rPr>
                <w:rFonts w:ascii="Arial" w:hAnsi="Arial" w:cs="Arial"/>
                <w:sz w:val="18"/>
                <w:szCs w:val="18"/>
              </w:rPr>
            </w:pPr>
          </w:p>
        </w:tc>
        <w:tc>
          <w:tcPr>
            <w:tcW w:w="552" w:type="pct"/>
            <w:tcBorders>
              <w:left w:val="nil"/>
              <w:right w:val="nil"/>
            </w:tcBorders>
            <w:shd w:val="clear" w:color="auto" w:fill="auto"/>
            <w:noWrap/>
            <w:vAlign w:val="bottom"/>
          </w:tcPr>
          <w:p w14:paraId="5D0B0AB9" w14:textId="77777777" w:rsidR="003E10CE" w:rsidRPr="00806EFF" w:rsidRDefault="003E10CE" w:rsidP="003E10CE">
            <w:pPr>
              <w:ind w:right="92"/>
              <w:jc w:val="right"/>
              <w:rPr>
                <w:rFonts w:ascii="Arial" w:hAnsi="Arial" w:cs="Arial"/>
                <w:b/>
                <w:sz w:val="18"/>
                <w:szCs w:val="18"/>
              </w:rPr>
            </w:pPr>
          </w:p>
        </w:tc>
        <w:tc>
          <w:tcPr>
            <w:tcW w:w="615" w:type="pct"/>
            <w:tcBorders>
              <w:left w:val="nil"/>
              <w:right w:val="nil"/>
            </w:tcBorders>
            <w:shd w:val="clear" w:color="auto" w:fill="auto"/>
            <w:noWrap/>
            <w:vAlign w:val="bottom"/>
          </w:tcPr>
          <w:p w14:paraId="0BA7551E" w14:textId="77777777" w:rsidR="003E10CE" w:rsidRPr="00A063AD" w:rsidRDefault="003E10CE" w:rsidP="003E10CE">
            <w:pPr>
              <w:ind w:right="92"/>
              <w:jc w:val="right"/>
              <w:rPr>
                <w:rFonts w:ascii="Arial" w:hAnsi="Arial" w:cs="Arial"/>
                <w:b/>
                <w:sz w:val="18"/>
                <w:szCs w:val="18"/>
              </w:rPr>
            </w:pPr>
          </w:p>
        </w:tc>
        <w:tc>
          <w:tcPr>
            <w:tcW w:w="485" w:type="pct"/>
            <w:tcBorders>
              <w:left w:val="nil"/>
              <w:right w:val="nil"/>
            </w:tcBorders>
            <w:shd w:val="clear" w:color="auto" w:fill="auto"/>
            <w:noWrap/>
            <w:vAlign w:val="bottom"/>
          </w:tcPr>
          <w:p w14:paraId="2D7927AE" w14:textId="77777777" w:rsidR="003E10CE" w:rsidRPr="00846218" w:rsidRDefault="00005D53" w:rsidP="003E10CE">
            <w:pPr>
              <w:ind w:right="92"/>
              <w:jc w:val="right"/>
              <w:rPr>
                <w:rFonts w:ascii="Arial" w:hAnsi="Arial" w:cs="Arial"/>
                <w:b/>
                <w:sz w:val="18"/>
                <w:szCs w:val="18"/>
              </w:rPr>
            </w:pPr>
            <w:r w:rsidRPr="00846218">
              <w:rPr>
                <w:rFonts w:ascii="Arial" w:hAnsi="Arial" w:cs="Arial"/>
                <w:b/>
                <w:sz w:val="18"/>
                <w:szCs w:val="18"/>
              </w:rPr>
              <w:t>19</w:t>
            </w:r>
            <w:r w:rsidR="003E10CE" w:rsidRPr="00846218">
              <w:rPr>
                <w:rFonts w:ascii="Arial" w:hAnsi="Arial" w:cs="Arial"/>
                <w:b/>
                <w:sz w:val="18"/>
                <w:szCs w:val="18"/>
              </w:rPr>
              <w:t>.8p</w:t>
            </w:r>
          </w:p>
        </w:tc>
        <w:tc>
          <w:tcPr>
            <w:tcW w:w="577" w:type="pct"/>
            <w:tcBorders>
              <w:left w:val="nil"/>
              <w:right w:val="nil"/>
            </w:tcBorders>
            <w:shd w:val="clear" w:color="auto" w:fill="auto"/>
            <w:noWrap/>
            <w:vAlign w:val="bottom"/>
          </w:tcPr>
          <w:p w14:paraId="1BF41881" w14:textId="77777777" w:rsidR="003E10CE" w:rsidRPr="00806EFF" w:rsidRDefault="003E10CE" w:rsidP="003E10CE">
            <w:pPr>
              <w:ind w:right="92"/>
              <w:jc w:val="right"/>
              <w:rPr>
                <w:rFonts w:ascii="Arial" w:hAnsi="Arial" w:cs="Arial"/>
                <w:sz w:val="18"/>
                <w:szCs w:val="18"/>
              </w:rPr>
            </w:pPr>
          </w:p>
        </w:tc>
        <w:tc>
          <w:tcPr>
            <w:tcW w:w="577" w:type="pct"/>
            <w:tcBorders>
              <w:left w:val="nil"/>
              <w:right w:val="nil"/>
            </w:tcBorders>
            <w:shd w:val="clear" w:color="auto" w:fill="auto"/>
            <w:noWrap/>
            <w:vAlign w:val="bottom"/>
          </w:tcPr>
          <w:p w14:paraId="7E5CBB9D" w14:textId="77777777" w:rsidR="003E10CE" w:rsidRPr="000864B4" w:rsidRDefault="003E10CE" w:rsidP="003E10CE">
            <w:pPr>
              <w:ind w:right="92"/>
              <w:jc w:val="right"/>
              <w:rPr>
                <w:rFonts w:ascii="Arial" w:hAnsi="Arial" w:cs="Arial"/>
                <w:sz w:val="18"/>
                <w:szCs w:val="18"/>
              </w:rPr>
            </w:pPr>
          </w:p>
        </w:tc>
        <w:tc>
          <w:tcPr>
            <w:tcW w:w="480" w:type="pct"/>
            <w:tcBorders>
              <w:left w:val="nil"/>
              <w:right w:val="nil"/>
            </w:tcBorders>
            <w:shd w:val="clear" w:color="auto" w:fill="auto"/>
            <w:noWrap/>
            <w:vAlign w:val="bottom"/>
          </w:tcPr>
          <w:p w14:paraId="4696836D" w14:textId="77777777" w:rsidR="003E10CE" w:rsidRPr="003E10CE" w:rsidRDefault="003E10CE" w:rsidP="003E10CE">
            <w:pPr>
              <w:ind w:right="92"/>
              <w:jc w:val="right"/>
              <w:rPr>
                <w:rFonts w:ascii="Arial" w:hAnsi="Arial" w:cs="Arial"/>
                <w:sz w:val="18"/>
                <w:szCs w:val="18"/>
              </w:rPr>
            </w:pPr>
            <w:r w:rsidRPr="003E10CE">
              <w:rPr>
                <w:rFonts w:ascii="Arial" w:hAnsi="Arial" w:cs="Arial"/>
                <w:sz w:val="18"/>
                <w:szCs w:val="18"/>
              </w:rPr>
              <w:t>21.8p</w:t>
            </w:r>
          </w:p>
        </w:tc>
      </w:tr>
      <w:tr w:rsidR="003E10CE" w:rsidRPr="00EF1091" w14:paraId="0F9785C9" w14:textId="77777777" w:rsidTr="00527DF5">
        <w:trPr>
          <w:trHeight w:val="225"/>
        </w:trPr>
        <w:tc>
          <w:tcPr>
            <w:tcW w:w="1444" w:type="pct"/>
            <w:tcBorders>
              <w:top w:val="nil"/>
              <w:left w:val="nil"/>
              <w:bottom w:val="nil"/>
              <w:right w:val="nil"/>
            </w:tcBorders>
            <w:shd w:val="clear" w:color="auto" w:fill="auto"/>
            <w:vAlign w:val="bottom"/>
          </w:tcPr>
          <w:p w14:paraId="10311866" w14:textId="77777777" w:rsidR="003E10CE" w:rsidRPr="00806EFF" w:rsidRDefault="003E10CE" w:rsidP="003E10CE">
            <w:pPr>
              <w:rPr>
                <w:rFonts w:ascii="Arial" w:hAnsi="Arial" w:cs="Arial"/>
                <w:sz w:val="18"/>
                <w:szCs w:val="18"/>
              </w:rPr>
            </w:pPr>
            <w:r w:rsidRPr="00806EFF">
              <w:rPr>
                <w:rFonts w:ascii="Arial" w:hAnsi="Arial" w:cs="Arial"/>
                <w:sz w:val="18"/>
                <w:szCs w:val="18"/>
              </w:rPr>
              <w:t>Adjusted diluted</w:t>
            </w:r>
          </w:p>
        </w:tc>
        <w:tc>
          <w:tcPr>
            <w:tcW w:w="269" w:type="pct"/>
            <w:tcBorders>
              <w:top w:val="nil"/>
              <w:left w:val="nil"/>
              <w:bottom w:val="nil"/>
              <w:right w:val="nil"/>
            </w:tcBorders>
            <w:shd w:val="clear" w:color="auto" w:fill="auto"/>
            <w:noWrap/>
            <w:vAlign w:val="bottom"/>
          </w:tcPr>
          <w:p w14:paraId="4681C05E" w14:textId="77777777" w:rsidR="003E10CE" w:rsidRPr="00806EFF" w:rsidRDefault="003E10CE" w:rsidP="003E10CE">
            <w:pPr>
              <w:jc w:val="center"/>
              <w:rPr>
                <w:rFonts w:ascii="Arial" w:hAnsi="Arial" w:cs="Arial"/>
                <w:sz w:val="18"/>
                <w:szCs w:val="18"/>
              </w:rPr>
            </w:pPr>
          </w:p>
        </w:tc>
        <w:tc>
          <w:tcPr>
            <w:tcW w:w="552" w:type="pct"/>
            <w:tcBorders>
              <w:top w:val="nil"/>
              <w:left w:val="nil"/>
              <w:bottom w:val="nil"/>
              <w:right w:val="nil"/>
            </w:tcBorders>
            <w:shd w:val="clear" w:color="auto" w:fill="auto"/>
            <w:noWrap/>
            <w:vAlign w:val="bottom"/>
          </w:tcPr>
          <w:p w14:paraId="7ABDC2A4" w14:textId="77777777" w:rsidR="003E10CE" w:rsidRPr="00806EFF" w:rsidRDefault="003E10CE" w:rsidP="003E10CE">
            <w:pPr>
              <w:ind w:right="92"/>
              <w:jc w:val="right"/>
              <w:rPr>
                <w:rFonts w:ascii="Arial" w:hAnsi="Arial" w:cs="Arial"/>
                <w:b/>
                <w:sz w:val="18"/>
                <w:szCs w:val="18"/>
              </w:rPr>
            </w:pPr>
          </w:p>
        </w:tc>
        <w:tc>
          <w:tcPr>
            <w:tcW w:w="615" w:type="pct"/>
            <w:tcBorders>
              <w:top w:val="nil"/>
              <w:left w:val="nil"/>
              <w:bottom w:val="nil"/>
              <w:right w:val="nil"/>
            </w:tcBorders>
            <w:shd w:val="clear" w:color="auto" w:fill="auto"/>
            <w:noWrap/>
            <w:vAlign w:val="bottom"/>
          </w:tcPr>
          <w:p w14:paraId="5CE10E61" w14:textId="77777777" w:rsidR="003E10CE" w:rsidRPr="00A063AD" w:rsidRDefault="003E10CE" w:rsidP="003E10CE">
            <w:pPr>
              <w:ind w:right="92"/>
              <w:jc w:val="right"/>
              <w:rPr>
                <w:rFonts w:ascii="Arial" w:hAnsi="Arial" w:cs="Arial"/>
                <w:b/>
                <w:sz w:val="18"/>
                <w:szCs w:val="18"/>
              </w:rPr>
            </w:pPr>
          </w:p>
        </w:tc>
        <w:tc>
          <w:tcPr>
            <w:tcW w:w="485" w:type="pct"/>
            <w:tcBorders>
              <w:top w:val="nil"/>
              <w:left w:val="nil"/>
              <w:bottom w:val="nil"/>
              <w:right w:val="nil"/>
            </w:tcBorders>
            <w:shd w:val="clear" w:color="auto" w:fill="auto"/>
            <w:noWrap/>
            <w:vAlign w:val="bottom"/>
          </w:tcPr>
          <w:p w14:paraId="40F1825E" w14:textId="12ADE61C" w:rsidR="003E10CE" w:rsidRPr="00846218" w:rsidRDefault="00985ED6" w:rsidP="003E10CE">
            <w:pPr>
              <w:ind w:right="92"/>
              <w:jc w:val="right"/>
              <w:rPr>
                <w:rFonts w:ascii="Arial" w:hAnsi="Arial" w:cs="Arial"/>
                <w:b/>
                <w:sz w:val="18"/>
                <w:szCs w:val="18"/>
              </w:rPr>
            </w:pPr>
            <w:r>
              <w:rPr>
                <w:rFonts w:ascii="Arial" w:hAnsi="Arial" w:cs="Arial"/>
                <w:b/>
                <w:sz w:val="18"/>
                <w:szCs w:val="18"/>
              </w:rPr>
              <w:t>19.7</w:t>
            </w:r>
            <w:r w:rsidR="003E10CE" w:rsidRPr="00846218">
              <w:rPr>
                <w:rFonts w:ascii="Arial" w:hAnsi="Arial" w:cs="Arial"/>
                <w:b/>
                <w:sz w:val="18"/>
                <w:szCs w:val="18"/>
              </w:rPr>
              <w:t>p</w:t>
            </w:r>
          </w:p>
        </w:tc>
        <w:tc>
          <w:tcPr>
            <w:tcW w:w="577" w:type="pct"/>
            <w:tcBorders>
              <w:top w:val="nil"/>
              <w:left w:val="nil"/>
              <w:bottom w:val="nil"/>
              <w:right w:val="nil"/>
            </w:tcBorders>
            <w:shd w:val="clear" w:color="auto" w:fill="auto"/>
            <w:noWrap/>
            <w:vAlign w:val="bottom"/>
          </w:tcPr>
          <w:p w14:paraId="0C2335E8" w14:textId="77777777" w:rsidR="003E10CE" w:rsidRPr="00806EFF" w:rsidRDefault="003E10CE" w:rsidP="003E10CE">
            <w:pPr>
              <w:ind w:right="92"/>
              <w:jc w:val="right"/>
              <w:rPr>
                <w:rFonts w:ascii="Arial" w:hAnsi="Arial" w:cs="Arial"/>
                <w:sz w:val="18"/>
                <w:szCs w:val="18"/>
              </w:rPr>
            </w:pPr>
          </w:p>
        </w:tc>
        <w:tc>
          <w:tcPr>
            <w:tcW w:w="577" w:type="pct"/>
            <w:tcBorders>
              <w:top w:val="nil"/>
              <w:left w:val="nil"/>
              <w:bottom w:val="nil"/>
              <w:right w:val="nil"/>
            </w:tcBorders>
            <w:shd w:val="clear" w:color="auto" w:fill="auto"/>
            <w:noWrap/>
            <w:vAlign w:val="bottom"/>
          </w:tcPr>
          <w:p w14:paraId="3DD7AC05" w14:textId="77777777" w:rsidR="003E10CE" w:rsidRPr="000864B4" w:rsidRDefault="003E10CE" w:rsidP="003E10CE">
            <w:pPr>
              <w:ind w:right="92"/>
              <w:jc w:val="right"/>
              <w:rPr>
                <w:rFonts w:ascii="Arial" w:hAnsi="Arial" w:cs="Arial"/>
                <w:sz w:val="18"/>
                <w:szCs w:val="18"/>
              </w:rPr>
            </w:pPr>
          </w:p>
        </w:tc>
        <w:tc>
          <w:tcPr>
            <w:tcW w:w="480" w:type="pct"/>
            <w:tcBorders>
              <w:top w:val="nil"/>
              <w:left w:val="nil"/>
              <w:bottom w:val="nil"/>
              <w:right w:val="nil"/>
            </w:tcBorders>
            <w:shd w:val="clear" w:color="auto" w:fill="auto"/>
            <w:noWrap/>
            <w:vAlign w:val="bottom"/>
          </w:tcPr>
          <w:p w14:paraId="15EF1223" w14:textId="77777777" w:rsidR="003E10CE" w:rsidRPr="003E10CE" w:rsidRDefault="003E10CE" w:rsidP="003E10CE">
            <w:pPr>
              <w:ind w:right="92"/>
              <w:jc w:val="right"/>
              <w:rPr>
                <w:rFonts w:ascii="Arial" w:hAnsi="Arial" w:cs="Arial"/>
                <w:sz w:val="18"/>
                <w:szCs w:val="18"/>
              </w:rPr>
            </w:pPr>
            <w:r w:rsidRPr="003E10CE">
              <w:rPr>
                <w:rFonts w:ascii="Arial" w:hAnsi="Arial" w:cs="Arial"/>
                <w:sz w:val="18"/>
                <w:szCs w:val="18"/>
              </w:rPr>
              <w:t>21.7p</w:t>
            </w:r>
          </w:p>
        </w:tc>
      </w:tr>
      <w:tr w:rsidR="003E10CE" w:rsidRPr="00EF1091" w14:paraId="0E944D75" w14:textId="77777777" w:rsidTr="00527DF5">
        <w:trPr>
          <w:trHeight w:val="225"/>
        </w:trPr>
        <w:tc>
          <w:tcPr>
            <w:tcW w:w="1444" w:type="pct"/>
            <w:tcBorders>
              <w:top w:val="nil"/>
              <w:left w:val="nil"/>
              <w:bottom w:val="nil"/>
              <w:right w:val="nil"/>
            </w:tcBorders>
            <w:shd w:val="clear" w:color="auto" w:fill="auto"/>
            <w:vAlign w:val="bottom"/>
          </w:tcPr>
          <w:p w14:paraId="42F424EB" w14:textId="77777777" w:rsidR="003E10CE" w:rsidRPr="00806EFF" w:rsidRDefault="003E10CE" w:rsidP="003E10CE">
            <w:pPr>
              <w:rPr>
                <w:rFonts w:ascii="Arial" w:hAnsi="Arial" w:cs="Arial"/>
                <w:sz w:val="18"/>
                <w:szCs w:val="18"/>
              </w:rPr>
            </w:pPr>
            <w:r w:rsidRPr="00806EFF">
              <w:rPr>
                <w:rFonts w:ascii="Arial" w:hAnsi="Arial" w:cs="Arial"/>
                <w:sz w:val="18"/>
                <w:szCs w:val="18"/>
              </w:rPr>
              <w:t>Underlying basic</w:t>
            </w:r>
          </w:p>
        </w:tc>
        <w:tc>
          <w:tcPr>
            <w:tcW w:w="269" w:type="pct"/>
            <w:tcBorders>
              <w:top w:val="nil"/>
              <w:left w:val="nil"/>
              <w:bottom w:val="nil"/>
              <w:right w:val="nil"/>
            </w:tcBorders>
            <w:shd w:val="clear" w:color="auto" w:fill="auto"/>
            <w:noWrap/>
            <w:vAlign w:val="bottom"/>
          </w:tcPr>
          <w:p w14:paraId="2B392E5A" w14:textId="77777777" w:rsidR="003E10CE" w:rsidRPr="00806EFF" w:rsidRDefault="003E10CE" w:rsidP="003E10CE">
            <w:pPr>
              <w:jc w:val="center"/>
              <w:rPr>
                <w:rFonts w:ascii="Arial" w:hAnsi="Arial" w:cs="Arial"/>
                <w:sz w:val="18"/>
                <w:szCs w:val="18"/>
              </w:rPr>
            </w:pPr>
          </w:p>
        </w:tc>
        <w:tc>
          <w:tcPr>
            <w:tcW w:w="552" w:type="pct"/>
            <w:tcBorders>
              <w:top w:val="nil"/>
              <w:left w:val="nil"/>
              <w:bottom w:val="nil"/>
              <w:right w:val="nil"/>
            </w:tcBorders>
            <w:shd w:val="clear" w:color="auto" w:fill="auto"/>
            <w:noWrap/>
            <w:vAlign w:val="bottom"/>
          </w:tcPr>
          <w:p w14:paraId="4BB40A83" w14:textId="77777777" w:rsidR="003E10CE" w:rsidRPr="00806EFF" w:rsidRDefault="003E10CE" w:rsidP="003E10CE">
            <w:pPr>
              <w:ind w:right="92"/>
              <w:jc w:val="right"/>
              <w:rPr>
                <w:rFonts w:ascii="Arial" w:hAnsi="Arial" w:cs="Arial"/>
                <w:b/>
                <w:sz w:val="18"/>
                <w:szCs w:val="18"/>
              </w:rPr>
            </w:pPr>
          </w:p>
        </w:tc>
        <w:tc>
          <w:tcPr>
            <w:tcW w:w="615" w:type="pct"/>
            <w:tcBorders>
              <w:top w:val="nil"/>
              <w:left w:val="nil"/>
              <w:bottom w:val="nil"/>
              <w:right w:val="nil"/>
            </w:tcBorders>
            <w:shd w:val="clear" w:color="auto" w:fill="auto"/>
            <w:noWrap/>
            <w:vAlign w:val="bottom"/>
          </w:tcPr>
          <w:p w14:paraId="550418EF" w14:textId="77777777" w:rsidR="003E10CE" w:rsidRPr="00A063AD" w:rsidRDefault="003E10CE" w:rsidP="003E10CE">
            <w:pPr>
              <w:ind w:right="92"/>
              <w:jc w:val="right"/>
              <w:rPr>
                <w:rFonts w:ascii="Arial" w:hAnsi="Arial" w:cs="Arial"/>
                <w:b/>
                <w:sz w:val="18"/>
                <w:szCs w:val="18"/>
              </w:rPr>
            </w:pPr>
          </w:p>
        </w:tc>
        <w:tc>
          <w:tcPr>
            <w:tcW w:w="485" w:type="pct"/>
            <w:tcBorders>
              <w:top w:val="nil"/>
              <w:left w:val="nil"/>
              <w:bottom w:val="nil"/>
              <w:right w:val="nil"/>
            </w:tcBorders>
            <w:shd w:val="clear" w:color="auto" w:fill="auto"/>
            <w:noWrap/>
            <w:vAlign w:val="bottom"/>
          </w:tcPr>
          <w:p w14:paraId="193D5E65" w14:textId="77777777" w:rsidR="003E10CE" w:rsidRPr="00846218" w:rsidRDefault="003E10CE" w:rsidP="003E10CE">
            <w:pPr>
              <w:ind w:right="92"/>
              <w:jc w:val="right"/>
              <w:rPr>
                <w:rFonts w:ascii="Arial" w:hAnsi="Arial" w:cs="Arial"/>
                <w:b/>
                <w:sz w:val="18"/>
                <w:szCs w:val="18"/>
              </w:rPr>
            </w:pPr>
            <w:r w:rsidRPr="00846218">
              <w:rPr>
                <w:rFonts w:ascii="Arial" w:hAnsi="Arial" w:cs="Arial"/>
                <w:b/>
                <w:sz w:val="18"/>
                <w:szCs w:val="18"/>
              </w:rPr>
              <w:t>2</w:t>
            </w:r>
            <w:r w:rsidR="00005D53" w:rsidRPr="00846218">
              <w:rPr>
                <w:rFonts w:ascii="Arial" w:hAnsi="Arial" w:cs="Arial"/>
                <w:b/>
                <w:sz w:val="18"/>
                <w:szCs w:val="18"/>
              </w:rPr>
              <w:t>3</w:t>
            </w:r>
            <w:r w:rsidRPr="00846218">
              <w:rPr>
                <w:rFonts w:ascii="Arial" w:hAnsi="Arial" w:cs="Arial"/>
                <w:b/>
                <w:sz w:val="18"/>
                <w:szCs w:val="18"/>
              </w:rPr>
              <w:t>.</w:t>
            </w:r>
            <w:r w:rsidR="00005D53" w:rsidRPr="00846218">
              <w:rPr>
                <w:rFonts w:ascii="Arial" w:hAnsi="Arial" w:cs="Arial"/>
                <w:b/>
                <w:sz w:val="18"/>
                <w:szCs w:val="18"/>
              </w:rPr>
              <w:t>9</w:t>
            </w:r>
            <w:r w:rsidRPr="00846218">
              <w:rPr>
                <w:rFonts w:ascii="Arial" w:hAnsi="Arial" w:cs="Arial"/>
                <w:b/>
                <w:sz w:val="18"/>
                <w:szCs w:val="18"/>
              </w:rPr>
              <w:t>p</w:t>
            </w:r>
          </w:p>
        </w:tc>
        <w:tc>
          <w:tcPr>
            <w:tcW w:w="577" w:type="pct"/>
            <w:tcBorders>
              <w:top w:val="nil"/>
              <w:left w:val="nil"/>
              <w:bottom w:val="nil"/>
              <w:right w:val="nil"/>
            </w:tcBorders>
            <w:shd w:val="clear" w:color="auto" w:fill="auto"/>
            <w:noWrap/>
            <w:vAlign w:val="bottom"/>
          </w:tcPr>
          <w:p w14:paraId="625B0CCD" w14:textId="77777777" w:rsidR="003E10CE" w:rsidRPr="00806EFF" w:rsidRDefault="003E10CE" w:rsidP="003E10CE">
            <w:pPr>
              <w:ind w:right="92"/>
              <w:jc w:val="right"/>
              <w:rPr>
                <w:rFonts w:ascii="Arial" w:hAnsi="Arial" w:cs="Arial"/>
                <w:sz w:val="18"/>
                <w:szCs w:val="18"/>
              </w:rPr>
            </w:pPr>
          </w:p>
        </w:tc>
        <w:tc>
          <w:tcPr>
            <w:tcW w:w="577" w:type="pct"/>
            <w:tcBorders>
              <w:top w:val="nil"/>
              <w:left w:val="nil"/>
              <w:bottom w:val="nil"/>
              <w:right w:val="nil"/>
            </w:tcBorders>
            <w:shd w:val="clear" w:color="auto" w:fill="auto"/>
            <w:noWrap/>
            <w:vAlign w:val="bottom"/>
          </w:tcPr>
          <w:p w14:paraId="5A06F295" w14:textId="77777777" w:rsidR="003E10CE" w:rsidRPr="000864B4" w:rsidRDefault="003E10CE" w:rsidP="003E10CE">
            <w:pPr>
              <w:ind w:right="92"/>
              <w:jc w:val="right"/>
              <w:rPr>
                <w:rFonts w:ascii="Arial" w:hAnsi="Arial" w:cs="Arial"/>
                <w:sz w:val="18"/>
                <w:szCs w:val="18"/>
              </w:rPr>
            </w:pPr>
          </w:p>
        </w:tc>
        <w:tc>
          <w:tcPr>
            <w:tcW w:w="480" w:type="pct"/>
            <w:tcBorders>
              <w:top w:val="nil"/>
              <w:left w:val="nil"/>
              <w:bottom w:val="nil"/>
              <w:right w:val="nil"/>
            </w:tcBorders>
            <w:shd w:val="clear" w:color="auto" w:fill="auto"/>
            <w:noWrap/>
            <w:vAlign w:val="bottom"/>
          </w:tcPr>
          <w:p w14:paraId="57951D5D" w14:textId="77777777" w:rsidR="003E10CE" w:rsidRPr="003E10CE" w:rsidRDefault="003E10CE" w:rsidP="003E10CE">
            <w:pPr>
              <w:ind w:right="92"/>
              <w:jc w:val="right"/>
              <w:rPr>
                <w:rFonts w:ascii="Arial" w:hAnsi="Arial" w:cs="Arial"/>
                <w:sz w:val="18"/>
                <w:szCs w:val="18"/>
              </w:rPr>
            </w:pPr>
            <w:r w:rsidRPr="003E10CE">
              <w:rPr>
                <w:rFonts w:ascii="Arial" w:hAnsi="Arial" w:cs="Arial"/>
                <w:sz w:val="18"/>
                <w:szCs w:val="18"/>
              </w:rPr>
              <w:t>25.5p</w:t>
            </w:r>
          </w:p>
        </w:tc>
      </w:tr>
      <w:tr w:rsidR="003E10CE" w:rsidRPr="00EF1091" w14:paraId="583B8FFF" w14:textId="77777777" w:rsidTr="00527DF5">
        <w:trPr>
          <w:trHeight w:val="225"/>
        </w:trPr>
        <w:tc>
          <w:tcPr>
            <w:tcW w:w="1444" w:type="pct"/>
            <w:tcBorders>
              <w:top w:val="nil"/>
              <w:left w:val="nil"/>
              <w:bottom w:val="single" w:sz="12" w:space="0" w:color="auto"/>
              <w:right w:val="nil"/>
            </w:tcBorders>
            <w:shd w:val="clear" w:color="auto" w:fill="auto"/>
            <w:vAlign w:val="bottom"/>
          </w:tcPr>
          <w:p w14:paraId="6A6C3EB8" w14:textId="77777777" w:rsidR="003E10CE" w:rsidRPr="00806EFF" w:rsidRDefault="003E10CE" w:rsidP="003E10CE">
            <w:pPr>
              <w:rPr>
                <w:rFonts w:ascii="Arial" w:hAnsi="Arial" w:cs="Arial"/>
                <w:sz w:val="18"/>
                <w:szCs w:val="18"/>
              </w:rPr>
            </w:pPr>
            <w:r w:rsidRPr="00806EFF">
              <w:rPr>
                <w:rFonts w:ascii="Arial" w:hAnsi="Arial" w:cs="Arial"/>
                <w:sz w:val="18"/>
                <w:szCs w:val="18"/>
              </w:rPr>
              <w:t>Underlying diluted</w:t>
            </w:r>
          </w:p>
        </w:tc>
        <w:tc>
          <w:tcPr>
            <w:tcW w:w="269" w:type="pct"/>
            <w:tcBorders>
              <w:top w:val="nil"/>
              <w:left w:val="nil"/>
              <w:bottom w:val="single" w:sz="12" w:space="0" w:color="auto"/>
              <w:right w:val="nil"/>
            </w:tcBorders>
            <w:shd w:val="clear" w:color="auto" w:fill="auto"/>
            <w:noWrap/>
            <w:vAlign w:val="bottom"/>
          </w:tcPr>
          <w:p w14:paraId="55AF020B" w14:textId="77777777" w:rsidR="003E10CE" w:rsidRPr="00806EFF" w:rsidRDefault="003E10CE" w:rsidP="003E10CE">
            <w:pPr>
              <w:jc w:val="center"/>
              <w:rPr>
                <w:rFonts w:ascii="Arial" w:hAnsi="Arial" w:cs="Arial"/>
                <w:sz w:val="18"/>
                <w:szCs w:val="18"/>
              </w:rPr>
            </w:pPr>
          </w:p>
        </w:tc>
        <w:tc>
          <w:tcPr>
            <w:tcW w:w="552" w:type="pct"/>
            <w:tcBorders>
              <w:top w:val="nil"/>
              <w:left w:val="nil"/>
              <w:bottom w:val="single" w:sz="12" w:space="0" w:color="auto"/>
              <w:right w:val="nil"/>
            </w:tcBorders>
            <w:shd w:val="clear" w:color="auto" w:fill="auto"/>
            <w:noWrap/>
            <w:vAlign w:val="bottom"/>
          </w:tcPr>
          <w:p w14:paraId="35EE3ABC" w14:textId="77777777" w:rsidR="003E10CE" w:rsidRPr="00806EFF" w:rsidRDefault="003E10CE" w:rsidP="003E10CE">
            <w:pPr>
              <w:ind w:right="92"/>
              <w:jc w:val="right"/>
              <w:rPr>
                <w:rFonts w:ascii="Arial" w:hAnsi="Arial" w:cs="Arial"/>
                <w:b/>
                <w:sz w:val="18"/>
                <w:szCs w:val="18"/>
              </w:rPr>
            </w:pPr>
          </w:p>
        </w:tc>
        <w:tc>
          <w:tcPr>
            <w:tcW w:w="615" w:type="pct"/>
            <w:tcBorders>
              <w:top w:val="nil"/>
              <w:left w:val="nil"/>
              <w:bottom w:val="single" w:sz="12" w:space="0" w:color="auto"/>
              <w:right w:val="nil"/>
            </w:tcBorders>
            <w:shd w:val="clear" w:color="auto" w:fill="auto"/>
            <w:noWrap/>
            <w:vAlign w:val="bottom"/>
          </w:tcPr>
          <w:p w14:paraId="0F5016DE" w14:textId="77777777" w:rsidR="003E10CE" w:rsidRPr="00A063AD" w:rsidRDefault="003E10CE" w:rsidP="003E10CE">
            <w:pPr>
              <w:ind w:right="92"/>
              <w:jc w:val="right"/>
              <w:rPr>
                <w:rFonts w:ascii="Arial" w:hAnsi="Arial" w:cs="Arial"/>
                <w:b/>
                <w:sz w:val="18"/>
                <w:szCs w:val="18"/>
              </w:rPr>
            </w:pPr>
          </w:p>
        </w:tc>
        <w:tc>
          <w:tcPr>
            <w:tcW w:w="485" w:type="pct"/>
            <w:tcBorders>
              <w:top w:val="nil"/>
              <w:left w:val="nil"/>
              <w:bottom w:val="single" w:sz="12" w:space="0" w:color="auto"/>
              <w:right w:val="nil"/>
            </w:tcBorders>
            <w:shd w:val="clear" w:color="auto" w:fill="auto"/>
            <w:noWrap/>
            <w:vAlign w:val="bottom"/>
          </w:tcPr>
          <w:p w14:paraId="0E89EA97" w14:textId="34618CAD" w:rsidR="003E10CE" w:rsidRPr="00846218" w:rsidRDefault="00985ED6" w:rsidP="003E10CE">
            <w:pPr>
              <w:ind w:right="92"/>
              <w:jc w:val="right"/>
              <w:rPr>
                <w:rFonts w:ascii="Arial" w:hAnsi="Arial" w:cs="Arial"/>
                <w:b/>
                <w:sz w:val="18"/>
                <w:szCs w:val="18"/>
              </w:rPr>
            </w:pPr>
            <w:r>
              <w:rPr>
                <w:rFonts w:ascii="Arial" w:hAnsi="Arial" w:cs="Arial"/>
                <w:b/>
                <w:sz w:val="18"/>
                <w:szCs w:val="18"/>
              </w:rPr>
              <w:t>23.8</w:t>
            </w:r>
            <w:r w:rsidR="003E10CE" w:rsidRPr="00846218">
              <w:rPr>
                <w:rFonts w:ascii="Arial" w:hAnsi="Arial" w:cs="Arial"/>
                <w:b/>
                <w:sz w:val="18"/>
                <w:szCs w:val="18"/>
              </w:rPr>
              <w:t>p</w:t>
            </w:r>
          </w:p>
        </w:tc>
        <w:tc>
          <w:tcPr>
            <w:tcW w:w="577" w:type="pct"/>
            <w:tcBorders>
              <w:top w:val="nil"/>
              <w:left w:val="nil"/>
              <w:bottom w:val="single" w:sz="12" w:space="0" w:color="auto"/>
              <w:right w:val="nil"/>
            </w:tcBorders>
            <w:shd w:val="clear" w:color="auto" w:fill="auto"/>
            <w:noWrap/>
            <w:vAlign w:val="bottom"/>
          </w:tcPr>
          <w:p w14:paraId="5BF94F36" w14:textId="77777777" w:rsidR="003E10CE" w:rsidRPr="00806EFF" w:rsidRDefault="003E10CE" w:rsidP="003E10CE">
            <w:pPr>
              <w:ind w:right="92"/>
              <w:jc w:val="right"/>
              <w:rPr>
                <w:rFonts w:ascii="Arial" w:hAnsi="Arial" w:cs="Arial"/>
                <w:sz w:val="18"/>
                <w:szCs w:val="18"/>
              </w:rPr>
            </w:pPr>
          </w:p>
        </w:tc>
        <w:tc>
          <w:tcPr>
            <w:tcW w:w="577" w:type="pct"/>
            <w:tcBorders>
              <w:top w:val="nil"/>
              <w:left w:val="nil"/>
              <w:bottom w:val="single" w:sz="12" w:space="0" w:color="auto"/>
              <w:right w:val="nil"/>
            </w:tcBorders>
            <w:shd w:val="clear" w:color="auto" w:fill="auto"/>
            <w:noWrap/>
            <w:vAlign w:val="bottom"/>
          </w:tcPr>
          <w:p w14:paraId="0660B8D7" w14:textId="77777777" w:rsidR="003E10CE" w:rsidRPr="000864B4" w:rsidRDefault="003E10CE" w:rsidP="003E10CE">
            <w:pPr>
              <w:ind w:right="92"/>
              <w:jc w:val="right"/>
              <w:rPr>
                <w:rFonts w:ascii="Arial" w:hAnsi="Arial" w:cs="Arial"/>
                <w:sz w:val="18"/>
                <w:szCs w:val="18"/>
              </w:rPr>
            </w:pPr>
          </w:p>
        </w:tc>
        <w:tc>
          <w:tcPr>
            <w:tcW w:w="480" w:type="pct"/>
            <w:tcBorders>
              <w:top w:val="nil"/>
              <w:left w:val="nil"/>
              <w:bottom w:val="single" w:sz="12" w:space="0" w:color="auto"/>
              <w:right w:val="nil"/>
            </w:tcBorders>
            <w:shd w:val="clear" w:color="auto" w:fill="auto"/>
            <w:noWrap/>
            <w:vAlign w:val="bottom"/>
          </w:tcPr>
          <w:p w14:paraId="479FCB00" w14:textId="77777777" w:rsidR="003E10CE" w:rsidRPr="003E10CE" w:rsidRDefault="003E10CE" w:rsidP="003E10CE">
            <w:pPr>
              <w:ind w:right="92"/>
              <w:jc w:val="right"/>
              <w:rPr>
                <w:rFonts w:ascii="Arial" w:hAnsi="Arial" w:cs="Arial"/>
                <w:sz w:val="18"/>
                <w:szCs w:val="18"/>
              </w:rPr>
            </w:pPr>
            <w:r w:rsidRPr="003E10CE">
              <w:rPr>
                <w:rFonts w:ascii="Arial" w:hAnsi="Arial" w:cs="Arial"/>
                <w:sz w:val="18"/>
                <w:szCs w:val="18"/>
              </w:rPr>
              <w:t>25.4p</w:t>
            </w:r>
          </w:p>
        </w:tc>
      </w:tr>
      <w:tr w:rsidR="00E2167A" w:rsidRPr="00EF1091" w14:paraId="3949496A" w14:textId="77777777" w:rsidTr="00527DF5">
        <w:trPr>
          <w:trHeight w:val="225"/>
        </w:trPr>
        <w:tc>
          <w:tcPr>
            <w:tcW w:w="1444" w:type="pct"/>
            <w:tcBorders>
              <w:top w:val="single" w:sz="12" w:space="0" w:color="auto"/>
              <w:left w:val="nil"/>
              <w:bottom w:val="nil"/>
              <w:right w:val="nil"/>
            </w:tcBorders>
            <w:shd w:val="clear" w:color="auto" w:fill="auto"/>
            <w:vAlign w:val="bottom"/>
          </w:tcPr>
          <w:p w14:paraId="0010110B" w14:textId="77777777" w:rsidR="00E2167A" w:rsidRDefault="00E2167A" w:rsidP="00E2167A">
            <w:pPr>
              <w:rPr>
                <w:rFonts w:ascii="Arial" w:hAnsi="Arial" w:cs="Arial"/>
                <w:sz w:val="18"/>
                <w:szCs w:val="18"/>
              </w:rPr>
            </w:pPr>
          </w:p>
        </w:tc>
        <w:tc>
          <w:tcPr>
            <w:tcW w:w="269" w:type="pct"/>
            <w:tcBorders>
              <w:top w:val="single" w:sz="12" w:space="0" w:color="auto"/>
              <w:left w:val="nil"/>
              <w:bottom w:val="nil"/>
              <w:right w:val="nil"/>
            </w:tcBorders>
            <w:shd w:val="clear" w:color="auto" w:fill="auto"/>
            <w:noWrap/>
            <w:vAlign w:val="bottom"/>
          </w:tcPr>
          <w:p w14:paraId="036A7997" w14:textId="77777777" w:rsidR="00E2167A" w:rsidRPr="00EF1091" w:rsidRDefault="00E2167A" w:rsidP="00E2167A">
            <w:pPr>
              <w:jc w:val="center"/>
              <w:rPr>
                <w:rFonts w:ascii="Arial" w:hAnsi="Arial" w:cs="Arial"/>
                <w:sz w:val="18"/>
                <w:szCs w:val="18"/>
              </w:rPr>
            </w:pPr>
          </w:p>
        </w:tc>
        <w:tc>
          <w:tcPr>
            <w:tcW w:w="552" w:type="pct"/>
            <w:tcBorders>
              <w:top w:val="single" w:sz="12" w:space="0" w:color="auto"/>
              <w:left w:val="nil"/>
              <w:bottom w:val="nil"/>
              <w:right w:val="nil"/>
            </w:tcBorders>
            <w:shd w:val="clear" w:color="auto" w:fill="auto"/>
            <w:noWrap/>
            <w:vAlign w:val="bottom"/>
          </w:tcPr>
          <w:p w14:paraId="26C737E0" w14:textId="77777777" w:rsidR="00E2167A" w:rsidRPr="006268ED" w:rsidRDefault="00E2167A" w:rsidP="00E2167A">
            <w:pPr>
              <w:ind w:right="92"/>
              <w:jc w:val="right"/>
              <w:rPr>
                <w:rFonts w:ascii="Arial" w:hAnsi="Arial" w:cs="Arial"/>
                <w:b/>
                <w:sz w:val="18"/>
                <w:szCs w:val="18"/>
              </w:rPr>
            </w:pPr>
          </w:p>
        </w:tc>
        <w:tc>
          <w:tcPr>
            <w:tcW w:w="615" w:type="pct"/>
            <w:tcBorders>
              <w:top w:val="single" w:sz="12" w:space="0" w:color="auto"/>
              <w:left w:val="nil"/>
              <w:bottom w:val="nil"/>
              <w:right w:val="nil"/>
            </w:tcBorders>
            <w:shd w:val="clear" w:color="auto" w:fill="auto"/>
            <w:noWrap/>
            <w:vAlign w:val="bottom"/>
          </w:tcPr>
          <w:p w14:paraId="43B75F57" w14:textId="77777777" w:rsidR="00E2167A" w:rsidRPr="006268ED" w:rsidRDefault="00E2167A" w:rsidP="00E2167A">
            <w:pPr>
              <w:ind w:right="92"/>
              <w:jc w:val="right"/>
              <w:rPr>
                <w:rFonts w:ascii="Arial" w:hAnsi="Arial" w:cs="Arial"/>
                <w:b/>
                <w:sz w:val="18"/>
                <w:szCs w:val="18"/>
              </w:rPr>
            </w:pPr>
          </w:p>
        </w:tc>
        <w:tc>
          <w:tcPr>
            <w:tcW w:w="485" w:type="pct"/>
            <w:tcBorders>
              <w:top w:val="single" w:sz="12" w:space="0" w:color="auto"/>
              <w:left w:val="nil"/>
              <w:bottom w:val="nil"/>
              <w:right w:val="nil"/>
            </w:tcBorders>
            <w:shd w:val="clear" w:color="auto" w:fill="auto"/>
            <w:noWrap/>
            <w:vAlign w:val="bottom"/>
          </w:tcPr>
          <w:p w14:paraId="6CD1617F" w14:textId="77777777" w:rsidR="00E2167A" w:rsidRPr="00005D53" w:rsidRDefault="00E2167A" w:rsidP="00E2167A">
            <w:pPr>
              <w:ind w:right="92"/>
              <w:jc w:val="right"/>
              <w:rPr>
                <w:rFonts w:ascii="Arial" w:hAnsi="Arial" w:cs="Arial"/>
                <w:b/>
                <w:sz w:val="18"/>
                <w:szCs w:val="18"/>
              </w:rPr>
            </w:pPr>
          </w:p>
        </w:tc>
        <w:tc>
          <w:tcPr>
            <w:tcW w:w="577" w:type="pct"/>
            <w:tcBorders>
              <w:top w:val="single" w:sz="12" w:space="0" w:color="auto"/>
              <w:left w:val="nil"/>
              <w:bottom w:val="nil"/>
              <w:right w:val="nil"/>
            </w:tcBorders>
            <w:shd w:val="clear" w:color="auto" w:fill="auto"/>
            <w:noWrap/>
            <w:vAlign w:val="bottom"/>
          </w:tcPr>
          <w:p w14:paraId="37963D9F" w14:textId="77777777" w:rsidR="00E2167A" w:rsidRPr="000864B4" w:rsidRDefault="00E2167A" w:rsidP="00E2167A">
            <w:pPr>
              <w:ind w:right="92"/>
              <w:jc w:val="right"/>
              <w:rPr>
                <w:rFonts w:ascii="Arial" w:hAnsi="Arial" w:cs="Arial"/>
                <w:sz w:val="18"/>
                <w:szCs w:val="18"/>
              </w:rPr>
            </w:pPr>
          </w:p>
        </w:tc>
        <w:tc>
          <w:tcPr>
            <w:tcW w:w="577" w:type="pct"/>
            <w:tcBorders>
              <w:top w:val="single" w:sz="12" w:space="0" w:color="auto"/>
              <w:left w:val="nil"/>
              <w:bottom w:val="nil"/>
              <w:right w:val="nil"/>
            </w:tcBorders>
            <w:shd w:val="clear" w:color="auto" w:fill="auto"/>
            <w:noWrap/>
            <w:vAlign w:val="bottom"/>
          </w:tcPr>
          <w:p w14:paraId="19C6D99A" w14:textId="77777777" w:rsidR="00E2167A" w:rsidRPr="000864B4" w:rsidRDefault="00E2167A" w:rsidP="00E2167A">
            <w:pPr>
              <w:ind w:right="92"/>
              <w:jc w:val="right"/>
              <w:rPr>
                <w:rFonts w:ascii="Arial" w:hAnsi="Arial" w:cs="Arial"/>
                <w:sz w:val="18"/>
                <w:szCs w:val="18"/>
              </w:rPr>
            </w:pPr>
          </w:p>
        </w:tc>
        <w:tc>
          <w:tcPr>
            <w:tcW w:w="480" w:type="pct"/>
            <w:tcBorders>
              <w:top w:val="single" w:sz="12" w:space="0" w:color="auto"/>
              <w:left w:val="nil"/>
              <w:bottom w:val="nil"/>
              <w:right w:val="nil"/>
            </w:tcBorders>
            <w:shd w:val="clear" w:color="auto" w:fill="auto"/>
            <w:noWrap/>
            <w:vAlign w:val="bottom"/>
          </w:tcPr>
          <w:p w14:paraId="7C969E71" w14:textId="77777777" w:rsidR="00E2167A" w:rsidRDefault="00E2167A" w:rsidP="00E2167A">
            <w:pPr>
              <w:ind w:right="92"/>
              <w:jc w:val="right"/>
              <w:rPr>
                <w:rFonts w:ascii="Arial" w:hAnsi="Arial" w:cs="Arial"/>
                <w:bCs/>
                <w:sz w:val="18"/>
                <w:szCs w:val="18"/>
              </w:rPr>
            </w:pPr>
          </w:p>
        </w:tc>
      </w:tr>
      <w:tr w:rsidR="00E2167A" w:rsidRPr="00EF1091" w14:paraId="4565FF0E" w14:textId="77777777" w:rsidTr="00527DF5">
        <w:trPr>
          <w:trHeight w:val="225"/>
        </w:trPr>
        <w:tc>
          <w:tcPr>
            <w:tcW w:w="5000" w:type="pct"/>
            <w:gridSpan w:val="8"/>
            <w:tcBorders>
              <w:top w:val="nil"/>
              <w:left w:val="nil"/>
              <w:bottom w:val="single" w:sz="4" w:space="0" w:color="auto"/>
              <w:right w:val="nil"/>
            </w:tcBorders>
            <w:shd w:val="clear" w:color="auto" w:fill="auto"/>
            <w:vAlign w:val="bottom"/>
          </w:tcPr>
          <w:p w14:paraId="4B9244CB" w14:textId="77777777" w:rsidR="00E2167A" w:rsidRPr="00005D53" w:rsidRDefault="00E2167A" w:rsidP="00E2167A">
            <w:pPr>
              <w:ind w:right="92"/>
              <w:rPr>
                <w:rFonts w:ascii="Arial" w:hAnsi="Arial" w:cs="Arial"/>
                <w:bCs/>
                <w:sz w:val="18"/>
                <w:szCs w:val="18"/>
              </w:rPr>
            </w:pPr>
            <w:r w:rsidRPr="00005D53">
              <w:rPr>
                <w:rFonts w:ascii="Arial" w:hAnsi="Arial" w:cs="Arial"/>
                <w:sz w:val="18"/>
                <w:szCs w:val="18"/>
              </w:rPr>
              <w:t>Reconciliation of non-GAAP underlying and adjusted pre-tax profit:</w:t>
            </w:r>
          </w:p>
        </w:tc>
      </w:tr>
      <w:tr w:rsidR="003E10CE" w:rsidRPr="00EF1091" w14:paraId="1CE311EF" w14:textId="77777777" w:rsidTr="002E2BAB">
        <w:trPr>
          <w:trHeight w:val="225"/>
        </w:trPr>
        <w:tc>
          <w:tcPr>
            <w:tcW w:w="1444" w:type="pct"/>
            <w:tcBorders>
              <w:top w:val="single" w:sz="4" w:space="0" w:color="auto"/>
              <w:left w:val="single" w:sz="4" w:space="0" w:color="auto"/>
              <w:right w:val="nil"/>
            </w:tcBorders>
            <w:shd w:val="clear" w:color="auto" w:fill="auto"/>
            <w:vAlign w:val="bottom"/>
          </w:tcPr>
          <w:p w14:paraId="74F697B8" w14:textId="77777777" w:rsidR="003E10CE" w:rsidRPr="003F62F8" w:rsidRDefault="003E10CE" w:rsidP="003E10CE">
            <w:pPr>
              <w:rPr>
                <w:rFonts w:ascii="Arial" w:hAnsi="Arial" w:cs="Arial"/>
                <w:b/>
                <w:sz w:val="18"/>
                <w:szCs w:val="18"/>
              </w:rPr>
            </w:pPr>
            <w:r w:rsidRPr="003F62F8">
              <w:rPr>
                <w:rFonts w:ascii="Arial" w:hAnsi="Arial" w:cs="Arial"/>
                <w:b/>
                <w:sz w:val="18"/>
                <w:szCs w:val="18"/>
              </w:rPr>
              <w:t>Underlying pre-tax profit</w:t>
            </w:r>
          </w:p>
        </w:tc>
        <w:tc>
          <w:tcPr>
            <w:tcW w:w="269" w:type="pct"/>
            <w:tcBorders>
              <w:top w:val="single" w:sz="4" w:space="0" w:color="auto"/>
              <w:left w:val="nil"/>
              <w:right w:val="nil"/>
            </w:tcBorders>
            <w:shd w:val="clear" w:color="auto" w:fill="auto"/>
            <w:noWrap/>
            <w:vAlign w:val="bottom"/>
          </w:tcPr>
          <w:p w14:paraId="332773AB" w14:textId="77777777" w:rsidR="003E10CE" w:rsidRPr="00EF1091" w:rsidRDefault="003E10CE" w:rsidP="003E10CE">
            <w:pPr>
              <w:jc w:val="center"/>
              <w:rPr>
                <w:rFonts w:ascii="Arial" w:hAnsi="Arial" w:cs="Arial"/>
                <w:sz w:val="18"/>
                <w:szCs w:val="18"/>
              </w:rPr>
            </w:pPr>
          </w:p>
        </w:tc>
        <w:tc>
          <w:tcPr>
            <w:tcW w:w="552" w:type="pct"/>
            <w:tcBorders>
              <w:top w:val="single" w:sz="4" w:space="0" w:color="auto"/>
              <w:left w:val="nil"/>
              <w:right w:val="nil"/>
            </w:tcBorders>
            <w:shd w:val="clear" w:color="auto" w:fill="auto"/>
            <w:noWrap/>
            <w:vAlign w:val="bottom"/>
          </w:tcPr>
          <w:p w14:paraId="0B8D2A7C" w14:textId="77777777" w:rsidR="003E10CE" w:rsidRPr="006268ED" w:rsidRDefault="003E10CE" w:rsidP="003E10CE">
            <w:pPr>
              <w:ind w:right="92"/>
              <w:jc w:val="right"/>
              <w:rPr>
                <w:rFonts w:ascii="Arial" w:hAnsi="Arial" w:cs="Arial"/>
                <w:b/>
                <w:sz w:val="18"/>
                <w:szCs w:val="18"/>
              </w:rPr>
            </w:pPr>
          </w:p>
        </w:tc>
        <w:tc>
          <w:tcPr>
            <w:tcW w:w="615" w:type="pct"/>
            <w:tcBorders>
              <w:top w:val="single" w:sz="4" w:space="0" w:color="auto"/>
              <w:left w:val="nil"/>
              <w:right w:val="nil"/>
            </w:tcBorders>
            <w:shd w:val="clear" w:color="auto" w:fill="auto"/>
            <w:noWrap/>
            <w:vAlign w:val="bottom"/>
          </w:tcPr>
          <w:p w14:paraId="41A395D6" w14:textId="77777777" w:rsidR="003E10CE" w:rsidRPr="006268ED" w:rsidRDefault="003E10CE" w:rsidP="003E10CE">
            <w:pPr>
              <w:ind w:right="92"/>
              <w:jc w:val="right"/>
              <w:rPr>
                <w:rFonts w:ascii="Arial" w:hAnsi="Arial" w:cs="Arial"/>
                <w:b/>
                <w:sz w:val="18"/>
                <w:szCs w:val="18"/>
              </w:rPr>
            </w:pPr>
          </w:p>
        </w:tc>
        <w:tc>
          <w:tcPr>
            <w:tcW w:w="485" w:type="pct"/>
            <w:tcBorders>
              <w:top w:val="single" w:sz="4" w:space="0" w:color="auto"/>
              <w:left w:val="nil"/>
              <w:right w:val="nil"/>
            </w:tcBorders>
            <w:shd w:val="clear" w:color="auto" w:fill="auto"/>
            <w:noWrap/>
            <w:vAlign w:val="bottom"/>
          </w:tcPr>
          <w:p w14:paraId="3BB814D3" w14:textId="77777777" w:rsidR="003E10CE" w:rsidRPr="00005D53" w:rsidRDefault="00005D53" w:rsidP="003E10CE">
            <w:pPr>
              <w:ind w:right="92"/>
              <w:jc w:val="right"/>
              <w:rPr>
                <w:rFonts w:ascii="Arial" w:hAnsi="Arial" w:cs="Arial"/>
                <w:b/>
                <w:sz w:val="18"/>
                <w:szCs w:val="18"/>
              </w:rPr>
            </w:pPr>
            <w:r w:rsidRPr="00005D53">
              <w:rPr>
                <w:rFonts w:ascii="Arial" w:hAnsi="Arial" w:cs="Arial"/>
                <w:b/>
                <w:sz w:val="18"/>
                <w:szCs w:val="18"/>
              </w:rPr>
              <w:t>693</w:t>
            </w:r>
          </w:p>
        </w:tc>
        <w:tc>
          <w:tcPr>
            <w:tcW w:w="577" w:type="pct"/>
            <w:tcBorders>
              <w:top w:val="single" w:sz="4" w:space="0" w:color="auto"/>
              <w:left w:val="nil"/>
              <w:right w:val="nil"/>
            </w:tcBorders>
            <w:shd w:val="clear" w:color="auto" w:fill="auto"/>
            <w:noWrap/>
            <w:vAlign w:val="bottom"/>
          </w:tcPr>
          <w:p w14:paraId="2003B394" w14:textId="77777777" w:rsidR="003E10CE" w:rsidRPr="000864B4" w:rsidRDefault="003E10CE" w:rsidP="003E10CE">
            <w:pPr>
              <w:ind w:right="92"/>
              <w:jc w:val="right"/>
              <w:rPr>
                <w:rFonts w:ascii="Arial" w:hAnsi="Arial" w:cs="Arial"/>
                <w:sz w:val="18"/>
                <w:szCs w:val="18"/>
              </w:rPr>
            </w:pPr>
          </w:p>
        </w:tc>
        <w:tc>
          <w:tcPr>
            <w:tcW w:w="577" w:type="pct"/>
            <w:tcBorders>
              <w:top w:val="single" w:sz="4" w:space="0" w:color="auto"/>
              <w:left w:val="nil"/>
              <w:right w:val="nil"/>
            </w:tcBorders>
            <w:shd w:val="clear" w:color="auto" w:fill="auto"/>
            <w:noWrap/>
            <w:vAlign w:val="bottom"/>
          </w:tcPr>
          <w:p w14:paraId="490CEED6" w14:textId="77777777" w:rsidR="003E10CE" w:rsidRPr="000864B4" w:rsidRDefault="003E10CE" w:rsidP="003E10CE">
            <w:pPr>
              <w:ind w:right="92"/>
              <w:jc w:val="right"/>
              <w:rPr>
                <w:rFonts w:ascii="Arial" w:hAnsi="Arial" w:cs="Arial"/>
                <w:sz w:val="18"/>
                <w:szCs w:val="18"/>
              </w:rPr>
            </w:pPr>
          </w:p>
        </w:tc>
        <w:tc>
          <w:tcPr>
            <w:tcW w:w="480" w:type="pct"/>
            <w:tcBorders>
              <w:top w:val="single" w:sz="4" w:space="0" w:color="auto"/>
              <w:left w:val="nil"/>
              <w:right w:val="single" w:sz="4" w:space="0" w:color="auto"/>
            </w:tcBorders>
            <w:shd w:val="clear" w:color="auto" w:fill="auto"/>
            <w:noWrap/>
            <w:vAlign w:val="bottom"/>
          </w:tcPr>
          <w:p w14:paraId="103358D1" w14:textId="77777777" w:rsidR="003E10CE" w:rsidRPr="003E10CE" w:rsidRDefault="003E10CE" w:rsidP="003E10CE">
            <w:pPr>
              <w:ind w:right="92"/>
              <w:jc w:val="right"/>
              <w:rPr>
                <w:rFonts w:ascii="Arial" w:hAnsi="Arial" w:cs="Arial"/>
                <w:sz w:val="18"/>
                <w:szCs w:val="18"/>
              </w:rPr>
            </w:pPr>
            <w:r w:rsidRPr="003E10CE">
              <w:rPr>
                <w:rFonts w:ascii="Arial" w:hAnsi="Arial" w:cs="Arial"/>
                <w:sz w:val="18"/>
                <w:szCs w:val="18"/>
              </w:rPr>
              <w:t>797</w:t>
            </w:r>
          </w:p>
        </w:tc>
      </w:tr>
      <w:tr w:rsidR="0062550D" w:rsidRPr="00EF1091" w14:paraId="1CB03B1C" w14:textId="77777777" w:rsidTr="002E2BAB">
        <w:trPr>
          <w:trHeight w:val="225"/>
        </w:trPr>
        <w:tc>
          <w:tcPr>
            <w:tcW w:w="1444" w:type="pct"/>
            <w:tcBorders>
              <w:left w:val="single" w:sz="4" w:space="0" w:color="auto"/>
              <w:bottom w:val="single" w:sz="4" w:space="0" w:color="auto"/>
              <w:right w:val="nil"/>
            </w:tcBorders>
            <w:shd w:val="clear" w:color="auto" w:fill="auto"/>
            <w:vAlign w:val="bottom"/>
          </w:tcPr>
          <w:p w14:paraId="25C8E827" w14:textId="2356DF0C" w:rsidR="0062550D" w:rsidRPr="003F62F8" w:rsidRDefault="0062550D" w:rsidP="003E10CE">
            <w:pPr>
              <w:rPr>
                <w:rFonts w:ascii="Arial" w:hAnsi="Arial" w:cs="Arial"/>
                <w:b/>
                <w:sz w:val="18"/>
                <w:szCs w:val="18"/>
              </w:rPr>
            </w:pPr>
            <w:r>
              <w:rPr>
                <w:rFonts w:ascii="Arial" w:hAnsi="Arial" w:cs="Arial"/>
                <w:sz w:val="18"/>
                <w:szCs w:val="18"/>
              </w:rPr>
              <w:t>Transformation costs before exceptional items</w:t>
            </w:r>
          </w:p>
        </w:tc>
        <w:tc>
          <w:tcPr>
            <w:tcW w:w="269" w:type="pct"/>
            <w:tcBorders>
              <w:left w:val="nil"/>
              <w:bottom w:val="single" w:sz="4" w:space="0" w:color="auto"/>
              <w:right w:val="nil"/>
            </w:tcBorders>
            <w:shd w:val="clear" w:color="auto" w:fill="auto"/>
            <w:noWrap/>
            <w:vAlign w:val="bottom"/>
          </w:tcPr>
          <w:p w14:paraId="277EF690" w14:textId="54123EF6" w:rsidR="0062550D" w:rsidRPr="00EF1091" w:rsidRDefault="0062550D" w:rsidP="003E10CE">
            <w:pPr>
              <w:jc w:val="center"/>
              <w:rPr>
                <w:rFonts w:ascii="Arial" w:hAnsi="Arial" w:cs="Arial"/>
                <w:sz w:val="18"/>
                <w:szCs w:val="18"/>
              </w:rPr>
            </w:pPr>
            <w:r>
              <w:rPr>
                <w:rFonts w:ascii="Arial" w:hAnsi="Arial" w:cs="Arial"/>
                <w:sz w:val="18"/>
                <w:szCs w:val="18"/>
              </w:rPr>
              <w:t>3</w:t>
            </w:r>
          </w:p>
        </w:tc>
        <w:tc>
          <w:tcPr>
            <w:tcW w:w="552" w:type="pct"/>
            <w:tcBorders>
              <w:left w:val="nil"/>
              <w:bottom w:val="single" w:sz="4" w:space="0" w:color="auto"/>
              <w:right w:val="nil"/>
            </w:tcBorders>
            <w:shd w:val="clear" w:color="auto" w:fill="auto"/>
            <w:noWrap/>
            <w:vAlign w:val="bottom"/>
          </w:tcPr>
          <w:p w14:paraId="4CC5B659" w14:textId="77777777" w:rsidR="0062550D" w:rsidRPr="006268ED" w:rsidRDefault="0062550D" w:rsidP="003E10CE">
            <w:pPr>
              <w:ind w:right="92"/>
              <w:jc w:val="right"/>
              <w:rPr>
                <w:rFonts w:ascii="Arial" w:hAnsi="Arial" w:cs="Arial"/>
                <w:b/>
                <w:sz w:val="18"/>
                <w:szCs w:val="18"/>
              </w:rPr>
            </w:pPr>
          </w:p>
        </w:tc>
        <w:tc>
          <w:tcPr>
            <w:tcW w:w="615" w:type="pct"/>
            <w:tcBorders>
              <w:left w:val="nil"/>
              <w:bottom w:val="single" w:sz="4" w:space="0" w:color="auto"/>
              <w:right w:val="nil"/>
            </w:tcBorders>
            <w:shd w:val="clear" w:color="auto" w:fill="auto"/>
            <w:noWrap/>
            <w:vAlign w:val="bottom"/>
          </w:tcPr>
          <w:p w14:paraId="57F14B79" w14:textId="77777777" w:rsidR="0062550D" w:rsidRPr="006268ED" w:rsidRDefault="0062550D" w:rsidP="003E10CE">
            <w:pPr>
              <w:ind w:right="92"/>
              <w:jc w:val="right"/>
              <w:rPr>
                <w:rFonts w:ascii="Arial" w:hAnsi="Arial" w:cs="Arial"/>
                <w:b/>
                <w:sz w:val="18"/>
                <w:szCs w:val="18"/>
              </w:rPr>
            </w:pPr>
          </w:p>
        </w:tc>
        <w:tc>
          <w:tcPr>
            <w:tcW w:w="485" w:type="pct"/>
            <w:tcBorders>
              <w:left w:val="nil"/>
              <w:bottom w:val="single" w:sz="4" w:space="0" w:color="auto"/>
              <w:right w:val="nil"/>
            </w:tcBorders>
            <w:shd w:val="clear" w:color="auto" w:fill="auto"/>
            <w:noWrap/>
            <w:vAlign w:val="bottom"/>
          </w:tcPr>
          <w:p w14:paraId="5EE9444F" w14:textId="2C9CDF2F" w:rsidR="0062550D" w:rsidRPr="00005D53" w:rsidRDefault="0062550D" w:rsidP="003E10CE">
            <w:pPr>
              <w:ind w:right="92"/>
              <w:jc w:val="right"/>
              <w:rPr>
                <w:rFonts w:ascii="Arial" w:hAnsi="Arial" w:cs="Arial"/>
                <w:b/>
                <w:sz w:val="18"/>
                <w:szCs w:val="18"/>
              </w:rPr>
            </w:pPr>
            <w:r w:rsidRPr="00005D53">
              <w:rPr>
                <w:rFonts w:ascii="Arial" w:hAnsi="Arial" w:cs="Arial"/>
                <w:b/>
                <w:sz w:val="18"/>
                <w:szCs w:val="18"/>
              </w:rPr>
              <w:t>(120)</w:t>
            </w:r>
          </w:p>
        </w:tc>
        <w:tc>
          <w:tcPr>
            <w:tcW w:w="577" w:type="pct"/>
            <w:tcBorders>
              <w:left w:val="nil"/>
              <w:bottom w:val="single" w:sz="4" w:space="0" w:color="auto"/>
              <w:right w:val="nil"/>
            </w:tcBorders>
            <w:shd w:val="clear" w:color="auto" w:fill="auto"/>
            <w:noWrap/>
            <w:vAlign w:val="bottom"/>
          </w:tcPr>
          <w:p w14:paraId="35EE855C" w14:textId="77777777" w:rsidR="0062550D" w:rsidRPr="000864B4" w:rsidRDefault="0062550D" w:rsidP="003E10CE">
            <w:pPr>
              <w:ind w:right="92"/>
              <w:jc w:val="right"/>
              <w:rPr>
                <w:rFonts w:ascii="Arial" w:hAnsi="Arial" w:cs="Arial"/>
                <w:sz w:val="18"/>
                <w:szCs w:val="18"/>
              </w:rPr>
            </w:pPr>
          </w:p>
        </w:tc>
        <w:tc>
          <w:tcPr>
            <w:tcW w:w="577" w:type="pct"/>
            <w:tcBorders>
              <w:left w:val="nil"/>
              <w:bottom w:val="single" w:sz="4" w:space="0" w:color="auto"/>
              <w:right w:val="nil"/>
            </w:tcBorders>
            <w:shd w:val="clear" w:color="auto" w:fill="auto"/>
            <w:noWrap/>
            <w:vAlign w:val="bottom"/>
          </w:tcPr>
          <w:p w14:paraId="1A7EDB2A" w14:textId="77777777" w:rsidR="0062550D" w:rsidRPr="000864B4" w:rsidRDefault="0062550D" w:rsidP="003E10CE">
            <w:pPr>
              <w:ind w:right="92"/>
              <w:jc w:val="right"/>
              <w:rPr>
                <w:rFonts w:ascii="Arial" w:hAnsi="Arial" w:cs="Arial"/>
                <w:sz w:val="18"/>
                <w:szCs w:val="18"/>
              </w:rPr>
            </w:pPr>
          </w:p>
        </w:tc>
        <w:tc>
          <w:tcPr>
            <w:tcW w:w="480" w:type="pct"/>
            <w:tcBorders>
              <w:left w:val="nil"/>
              <w:bottom w:val="single" w:sz="4" w:space="0" w:color="auto"/>
              <w:right w:val="single" w:sz="4" w:space="0" w:color="auto"/>
            </w:tcBorders>
            <w:shd w:val="clear" w:color="auto" w:fill="auto"/>
            <w:noWrap/>
            <w:vAlign w:val="bottom"/>
          </w:tcPr>
          <w:p w14:paraId="0FAA8B57" w14:textId="004AE3CF" w:rsidR="0062550D" w:rsidRPr="003E10CE" w:rsidRDefault="0062550D" w:rsidP="003E10CE">
            <w:pPr>
              <w:ind w:right="92"/>
              <w:jc w:val="right"/>
              <w:rPr>
                <w:rFonts w:ascii="Arial" w:hAnsi="Arial" w:cs="Arial"/>
                <w:sz w:val="18"/>
                <w:szCs w:val="18"/>
              </w:rPr>
            </w:pPr>
            <w:r w:rsidRPr="003E10CE">
              <w:rPr>
                <w:rFonts w:ascii="Arial" w:hAnsi="Arial" w:cs="Arial"/>
                <w:bCs/>
                <w:sz w:val="18"/>
                <w:szCs w:val="18"/>
              </w:rPr>
              <w:t>(</w:t>
            </w:r>
            <w:r>
              <w:rPr>
                <w:rFonts w:ascii="Arial" w:hAnsi="Arial" w:cs="Arial"/>
                <w:bCs/>
                <w:sz w:val="18"/>
                <w:szCs w:val="18"/>
              </w:rPr>
              <w:t>11</w:t>
            </w:r>
            <w:r w:rsidRPr="003E10CE">
              <w:rPr>
                <w:rFonts w:ascii="Arial" w:hAnsi="Arial" w:cs="Arial"/>
                <w:bCs/>
                <w:sz w:val="18"/>
                <w:szCs w:val="18"/>
              </w:rPr>
              <w:t>4)</w:t>
            </w:r>
          </w:p>
        </w:tc>
      </w:tr>
      <w:tr w:rsidR="003E10CE" w:rsidRPr="00EF1091" w14:paraId="42F63A28" w14:textId="77777777" w:rsidTr="00527DF5">
        <w:trPr>
          <w:trHeight w:val="225"/>
        </w:trPr>
        <w:tc>
          <w:tcPr>
            <w:tcW w:w="1444" w:type="pct"/>
            <w:tcBorders>
              <w:top w:val="single" w:sz="4" w:space="0" w:color="auto"/>
              <w:left w:val="single" w:sz="4" w:space="0" w:color="auto"/>
              <w:bottom w:val="nil"/>
              <w:right w:val="nil"/>
            </w:tcBorders>
            <w:shd w:val="clear" w:color="auto" w:fill="auto"/>
            <w:vAlign w:val="bottom"/>
          </w:tcPr>
          <w:p w14:paraId="47244F02" w14:textId="77777777" w:rsidR="003E10CE" w:rsidRPr="003F62F8" w:rsidRDefault="003E10CE" w:rsidP="003E10CE">
            <w:pPr>
              <w:rPr>
                <w:rFonts w:ascii="Arial" w:hAnsi="Arial" w:cs="Arial"/>
                <w:b/>
                <w:sz w:val="18"/>
                <w:szCs w:val="18"/>
              </w:rPr>
            </w:pPr>
            <w:r w:rsidRPr="003F62F8">
              <w:rPr>
                <w:rFonts w:ascii="Arial" w:hAnsi="Arial" w:cs="Arial"/>
                <w:b/>
                <w:sz w:val="18"/>
                <w:szCs w:val="18"/>
              </w:rPr>
              <w:t>Adjusted pre-tax profit</w:t>
            </w:r>
          </w:p>
        </w:tc>
        <w:tc>
          <w:tcPr>
            <w:tcW w:w="269" w:type="pct"/>
            <w:tcBorders>
              <w:top w:val="single" w:sz="4" w:space="0" w:color="auto"/>
              <w:left w:val="nil"/>
              <w:bottom w:val="nil"/>
              <w:right w:val="nil"/>
            </w:tcBorders>
            <w:shd w:val="clear" w:color="auto" w:fill="auto"/>
            <w:noWrap/>
            <w:vAlign w:val="bottom"/>
          </w:tcPr>
          <w:p w14:paraId="56F7E999" w14:textId="77777777" w:rsidR="003E10CE" w:rsidRPr="00EF1091" w:rsidRDefault="003E10CE" w:rsidP="003E10CE">
            <w:pPr>
              <w:jc w:val="center"/>
              <w:rPr>
                <w:rFonts w:ascii="Arial" w:hAnsi="Arial" w:cs="Arial"/>
                <w:sz w:val="18"/>
                <w:szCs w:val="18"/>
              </w:rPr>
            </w:pPr>
          </w:p>
        </w:tc>
        <w:tc>
          <w:tcPr>
            <w:tcW w:w="552" w:type="pct"/>
            <w:tcBorders>
              <w:top w:val="single" w:sz="4" w:space="0" w:color="auto"/>
              <w:left w:val="nil"/>
              <w:bottom w:val="nil"/>
              <w:right w:val="nil"/>
            </w:tcBorders>
            <w:shd w:val="clear" w:color="auto" w:fill="auto"/>
            <w:noWrap/>
            <w:vAlign w:val="bottom"/>
          </w:tcPr>
          <w:p w14:paraId="7FC985AB" w14:textId="77777777" w:rsidR="003E10CE" w:rsidRPr="006268ED" w:rsidRDefault="003E10CE" w:rsidP="003E10CE">
            <w:pPr>
              <w:ind w:right="92"/>
              <w:jc w:val="right"/>
              <w:rPr>
                <w:rFonts w:ascii="Arial" w:hAnsi="Arial" w:cs="Arial"/>
                <w:b/>
                <w:sz w:val="18"/>
                <w:szCs w:val="18"/>
              </w:rPr>
            </w:pPr>
          </w:p>
        </w:tc>
        <w:tc>
          <w:tcPr>
            <w:tcW w:w="615" w:type="pct"/>
            <w:tcBorders>
              <w:top w:val="single" w:sz="4" w:space="0" w:color="auto"/>
              <w:left w:val="nil"/>
              <w:bottom w:val="nil"/>
              <w:right w:val="nil"/>
            </w:tcBorders>
            <w:shd w:val="clear" w:color="auto" w:fill="auto"/>
            <w:noWrap/>
            <w:vAlign w:val="bottom"/>
          </w:tcPr>
          <w:p w14:paraId="7119F152" w14:textId="77777777" w:rsidR="003E10CE" w:rsidRPr="006268ED" w:rsidRDefault="003E10CE" w:rsidP="003E10CE">
            <w:pPr>
              <w:ind w:right="92"/>
              <w:jc w:val="right"/>
              <w:rPr>
                <w:rFonts w:ascii="Arial" w:hAnsi="Arial" w:cs="Arial"/>
                <w:b/>
                <w:sz w:val="18"/>
                <w:szCs w:val="18"/>
              </w:rPr>
            </w:pPr>
          </w:p>
        </w:tc>
        <w:tc>
          <w:tcPr>
            <w:tcW w:w="485" w:type="pct"/>
            <w:tcBorders>
              <w:top w:val="single" w:sz="4" w:space="0" w:color="auto"/>
              <w:left w:val="nil"/>
              <w:bottom w:val="nil"/>
              <w:right w:val="nil"/>
            </w:tcBorders>
            <w:shd w:val="clear" w:color="auto" w:fill="auto"/>
            <w:noWrap/>
            <w:vAlign w:val="bottom"/>
          </w:tcPr>
          <w:p w14:paraId="0B4BCEE7" w14:textId="77777777" w:rsidR="003E10CE" w:rsidRPr="00005D53" w:rsidRDefault="00005D53" w:rsidP="003E10CE">
            <w:pPr>
              <w:ind w:right="92"/>
              <w:jc w:val="right"/>
              <w:rPr>
                <w:rFonts w:ascii="Arial" w:hAnsi="Arial" w:cs="Arial"/>
                <w:b/>
                <w:sz w:val="18"/>
                <w:szCs w:val="18"/>
              </w:rPr>
            </w:pPr>
            <w:r w:rsidRPr="00005D53">
              <w:rPr>
                <w:rFonts w:ascii="Arial" w:hAnsi="Arial" w:cs="Arial"/>
                <w:b/>
                <w:sz w:val="18"/>
                <w:szCs w:val="18"/>
              </w:rPr>
              <w:t>573</w:t>
            </w:r>
          </w:p>
        </w:tc>
        <w:tc>
          <w:tcPr>
            <w:tcW w:w="577" w:type="pct"/>
            <w:tcBorders>
              <w:top w:val="single" w:sz="4" w:space="0" w:color="auto"/>
              <w:left w:val="nil"/>
              <w:bottom w:val="nil"/>
              <w:right w:val="nil"/>
            </w:tcBorders>
            <w:shd w:val="clear" w:color="auto" w:fill="auto"/>
            <w:noWrap/>
            <w:vAlign w:val="bottom"/>
          </w:tcPr>
          <w:p w14:paraId="764D2DFC" w14:textId="77777777" w:rsidR="003E10CE" w:rsidRPr="000864B4" w:rsidRDefault="003E10CE" w:rsidP="003E10CE">
            <w:pPr>
              <w:ind w:right="92"/>
              <w:jc w:val="right"/>
              <w:rPr>
                <w:rFonts w:ascii="Arial" w:hAnsi="Arial" w:cs="Arial"/>
                <w:sz w:val="18"/>
                <w:szCs w:val="18"/>
              </w:rPr>
            </w:pPr>
          </w:p>
        </w:tc>
        <w:tc>
          <w:tcPr>
            <w:tcW w:w="577" w:type="pct"/>
            <w:tcBorders>
              <w:top w:val="single" w:sz="4" w:space="0" w:color="auto"/>
              <w:left w:val="nil"/>
              <w:bottom w:val="nil"/>
              <w:right w:val="nil"/>
            </w:tcBorders>
            <w:shd w:val="clear" w:color="auto" w:fill="auto"/>
            <w:noWrap/>
            <w:vAlign w:val="bottom"/>
          </w:tcPr>
          <w:p w14:paraId="09EA13FC" w14:textId="77777777" w:rsidR="003E10CE" w:rsidRPr="000864B4" w:rsidRDefault="003E10CE" w:rsidP="003E10CE">
            <w:pPr>
              <w:ind w:right="92"/>
              <w:jc w:val="right"/>
              <w:rPr>
                <w:rFonts w:ascii="Arial" w:hAnsi="Arial" w:cs="Arial"/>
                <w:sz w:val="18"/>
                <w:szCs w:val="18"/>
              </w:rPr>
            </w:pPr>
          </w:p>
        </w:tc>
        <w:tc>
          <w:tcPr>
            <w:tcW w:w="480" w:type="pct"/>
            <w:tcBorders>
              <w:top w:val="single" w:sz="4" w:space="0" w:color="auto"/>
              <w:left w:val="nil"/>
              <w:bottom w:val="nil"/>
              <w:right w:val="single" w:sz="4" w:space="0" w:color="auto"/>
            </w:tcBorders>
            <w:shd w:val="clear" w:color="auto" w:fill="auto"/>
            <w:noWrap/>
            <w:vAlign w:val="bottom"/>
          </w:tcPr>
          <w:p w14:paraId="740D72B3" w14:textId="77777777" w:rsidR="003E10CE" w:rsidRPr="003E10CE" w:rsidRDefault="003E10CE" w:rsidP="003E10CE">
            <w:pPr>
              <w:ind w:right="92"/>
              <w:jc w:val="right"/>
              <w:rPr>
                <w:rFonts w:ascii="Arial" w:hAnsi="Arial" w:cs="Arial"/>
                <w:sz w:val="18"/>
                <w:szCs w:val="18"/>
              </w:rPr>
            </w:pPr>
            <w:r w:rsidRPr="003E10CE">
              <w:rPr>
                <w:rFonts w:ascii="Arial" w:hAnsi="Arial" w:cs="Arial"/>
                <w:sz w:val="18"/>
                <w:szCs w:val="18"/>
              </w:rPr>
              <w:t>683</w:t>
            </w:r>
          </w:p>
        </w:tc>
      </w:tr>
      <w:tr w:rsidR="003E10CE" w:rsidRPr="00EF1091" w14:paraId="6370E572" w14:textId="77777777" w:rsidTr="00527DF5">
        <w:trPr>
          <w:trHeight w:val="225"/>
        </w:trPr>
        <w:tc>
          <w:tcPr>
            <w:tcW w:w="2265" w:type="pct"/>
            <w:gridSpan w:val="3"/>
            <w:tcBorders>
              <w:top w:val="nil"/>
              <w:left w:val="single" w:sz="4" w:space="0" w:color="auto"/>
              <w:bottom w:val="nil"/>
              <w:right w:val="nil"/>
            </w:tcBorders>
            <w:shd w:val="clear" w:color="auto" w:fill="auto"/>
            <w:vAlign w:val="bottom"/>
          </w:tcPr>
          <w:p w14:paraId="7B21F78E" w14:textId="77777777" w:rsidR="003E10CE" w:rsidRPr="006268ED" w:rsidRDefault="003E10CE" w:rsidP="003E10CE">
            <w:pPr>
              <w:ind w:right="92"/>
              <w:rPr>
                <w:rFonts w:ascii="Arial" w:hAnsi="Arial" w:cs="Arial"/>
                <w:b/>
                <w:sz w:val="18"/>
                <w:szCs w:val="18"/>
              </w:rPr>
            </w:pPr>
            <w:r>
              <w:rPr>
                <w:rFonts w:ascii="Arial" w:hAnsi="Arial" w:cs="Arial"/>
                <w:sz w:val="18"/>
                <w:szCs w:val="18"/>
              </w:rPr>
              <w:t>Financing fair value remeasurements</w:t>
            </w:r>
          </w:p>
        </w:tc>
        <w:tc>
          <w:tcPr>
            <w:tcW w:w="615" w:type="pct"/>
            <w:tcBorders>
              <w:top w:val="nil"/>
              <w:left w:val="nil"/>
              <w:bottom w:val="nil"/>
              <w:right w:val="nil"/>
            </w:tcBorders>
            <w:shd w:val="clear" w:color="auto" w:fill="auto"/>
            <w:noWrap/>
            <w:vAlign w:val="bottom"/>
          </w:tcPr>
          <w:p w14:paraId="6122F96C" w14:textId="77777777" w:rsidR="003E10CE" w:rsidRPr="006268ED" w:rsidRDefault="003E10CE" w:rsidP="003E10CE">
            <w:pPr>
              <w:ind w:right="92"/>
              <w:jc w:val="right"/>
              <w:rPr>
                <w:rFonts w:ascii="Arial" w:hAnsi="Arial" w:cs="Arial"/>
                <w:b/>
                <w:sz w:val="18"/>
                <w:szCs w:val="18"/>
              </w:rPr>
            </w:pPr>
          </w:p>
        </w:tc>
        <w:tc>
          <w:tcPr>
            <w:tcW w:w="485" w:type="pct"/>
            <w:tcBorders>
              <w:top w:val="nil"/>
              <w:left w:val="nil"/>
              <w:bottom w:val="nil"/>
              <w:right w:val="nil"/>
            </w:tcBorders>
            <w:shd w:val="clear" w:color="auto" w:fill="auto"/>
            <w:noWrap/>
            <w:vAlign w:val="bottom"/>
          </w:tcPr>
          <w:p w14:paraId="15C78160" w14:textId="77777777" w:rsidR="003E10CE" w:rsidRPr="00005D53" w:rsidRDefault="00005D53" w:rsidP="003E10CE">
            <w:pPr>
              <w:ind w:right="92"/>
              <w:jc w:val="right"/>
              <w:rPr>
                <w:rFonts w:ascii="Arial" w:hAnsi="Arial" w:cs="Arial"/>
                <w:b/>
                <w:sz w:val="18"/>
                <w:szCs w:val="18"/>
              </w:rPr>
            </w:pPr>
            <w:r w:rsidRPr="00005D53">
              <w:rPr>
                <w:rFonts w:ascii="Arial" w:hAnsi="Arial" w:cs="Arial"/>
                <w:b/>
                <w:sz w:val="18"/>
                <w:szCs w:val="18"/>
              </w:rPr>
              <w:t>–</w:t>
            </w:r>
          </w:p>
        </w:tc>
        <w:tc>
          <w:tcPr>
            <w:tcW w:w="577" w:type="pct"/>
            <w:tcBorders>
              <w:top w:val="nil"/>
              <w:left w:val="nil"/>
              <w:bottom w:val="nil"/>
              <w:right w:val="nil"/>
            </w:tcBorders>
            <w:shd w:val="clear" w:color="auto" w:fill="auto"/>
            <w:noWrap/>
            <w:vAlign w:val="bottom"/>
          </w:tcPr>
          <w:p w14:paraId="21BAEAE3" w14:textId="77777777" w:rsidR="003E10CE" w:rsidRPr="000864B4" w:rsidRDefault="003E10CE" w:rsidP="003E10CE">
            <w:pPr>
              <w:ind w:right="92"/>
              <w:jc w:val="right"/>
              <w:rPr>
                <w:rFonts w:ascii="Arial" w:hAnsi="Arial" w:cs="Arial"/>
                <w:sz w:val="18"/>
                <w:szCs w:val="18"/>
              </w:rPr>
            </w:pPr>
          </w:p>
        </w:tc>
        <w:tc>
          <w:tcPr>
            <w:tcW w:w="577" w:type="pct"/>
            <w:tcBorders>
              <w:top w:val="nil"/>
              <w:left w:val="nil"/>
              <w:bottom w:val="nil"/>
              <w:right w:val="nil"/>
            </w:tcBorders>
            <w:shd w:val="clear" w:color="auto" w:fill="auto"/>
            <w:noWrap/>
            <w:vAlign w:val="bottom"/>
          </w:tcPr>
          <w:p w14:paraId="1AD1C3FC" w14:textId="77777777" w:rsidR="003E10CE" w:rsidRPr="000864B4" w:rsidRDefault="003E10CE" w:rsidP="003E10CE">
            <w:pPr>
              <w:ind w:right="92"/>
              <w:jc w:val="right"/>
              <w:rPr>
                <w:rFonts w:ascii="Arial" w:hAnsi="Arial" w:cs="Arial"/>
                <w:sz w:val="18"/>
                <w:szCs w:val="18"/>
              </w:rPr>
            </w:pPr>
          </w:p>
        </w:tc>
        <w:tc>
          <w:tcPr>
            <w:tcW w:w="480" w:type="pct"/>
            <w:tcBorders>
              <w:top w:val="nil"/>
              <w:left w:val="nil"/>
              <w:bottom w:val="nil"/>
              <w:right w:val="single" w:sz="4" w:space="0" w:color="auto"/>
            </w:tcBorders>
            <w:shd w:val="clear" w:color="auto" w:fill="auto"/>
            <w:noWrap/>
            <w:vAlign w:val="bottom"/>
          </w:tcPr>
          <w:p w14:paraId="7C5852E4" w14:textId="77777777" w:rsidR="003E10CE" w:rsidRPr="003E10CE" w:rsidRDefault="003E10CE" w:rsidP="003E10CE">
            <w:pPr>
              <w:ind w:right="92"/>
              <w:jc w:val="right"/>
              <w:rPr>
                <w:rFonts w:ascii="Arial" w:hAnsi="Arial" w:cs="Arial"/>
                <w:bCs/>
                <w:sz w:val="18"/>
                <w:szCs w:val="18"/>
              </w:rPr>
            </w:pPr>
            <w:r w:rsidRPr="003E10CE">
              <w:rPr>
                <w:rFonts w:ascii="Arial" w:hAnsi="Arial" w:cs="Arial"/>
                <w:bCs/>
                <w:sz w:val="18"/>
                <w:szCs w:val="18"/>
              </w:rPr>
              <w:t>(1)</w:t>
            </w:r>
          </w:p>
        </w:tc>
      </w:tr>
      <w:tr w:rsidR="003E10CE" w:rsidRPr="00EF1091" w14:paraId="4F0AFCCE" w14:textId="77777777" w:rsidTr="00527DF5">
        <w:trPr>
          <w:trHeight w:val="225"/>
        </w:trPr>
        <w:tc>
          <w:tcPr>
            <w:tcW w:w="1444" w:type="pct"/>
            <w:tcBorders>
              <w:top w:val="nil"/>
              <w:left w:val="single" w:sz="4" w:space="0" w:color="auto"/>
              <w:bottom w:val="single" w:sz="4" w:space="0" w:color="auto"/>
              <w:right w:val="nil"/>
            </w:tcBorders>
            <w:shd w:val="clear" w:color="auto" w:fill="auto"/>
            <w:vAlign w:val="bottom"/>
          </w:tcPr>
          <w:p w14:paraId="7D1F208D" w14:textId="77777777" w:rsidR="003E10CE" w:rsidRDefault="003E10CE" w:rsidP="003E10CE">
            <w:pPr>
              <w:rPr>
                <w:rFonts w:ascii="Arial" w:hAnsi="Arial" w:cs="Arial"/>
                <w:sz w:val="18"/>
                <w:szCs w:val="18"/>
              </w:rPr>
            </w:pPr>
            <w:r>
              <w:rPr>
                <w:rFonts w:ascii="Arial" w:hAnsi="Arial" w:cs="Arial"/>
                <w:sz w:val="18"/>
                <w:szCs w:val="18"/>
              </w:rPr>
              <w:t>Exceptional items</w:t>
            </w:r>
          </w:p>
        </w:tc>
        <w:tc>
          <w:tcPr>
            <w:tcW w:w="269" w:type="pct"/>
            <w:tcBorders>
              <w:top w:val="nil"/>
              <w:left w:val="nil"/>
              <w:bottom w:val="single" w:sz="4" w:space="0" w:color="auto"/>
              <w:right w:val="nil"/>
            </w:tcBorders>
            <w:shd w:val="clear" w:color="auto" w:fill="auto"/>
            <w:noWrap/>
            <w:vAlign w:val="bottom"/>
          </w:tcPr>
          <w:p w14:paraId="2E30AEC5" w14:textId="77777777" w:rsidR="003E10CE" w:rsidRPr="00EF1091" w:rsidRDefault="003E10CE" w:rsidP="003E10CE">
            <w:pPr>
              <w:jc w:val="center"/>
              <w:rPr>
                <w:rFonts w:ascii="Arial" w:hAnsi="Arial" w:cs="Arial"/>
                <w:sz w:val="18"/>
                <w:szCs w:val="18"/>
              </w:rPr>
            </w:pPr>
          </w:p>
        </w:tc>
        <w:tc>
          <w:tcPr>
            <w:tcW w:w="552" w:type="pct"/>
            <w:tcBorders>
              <w:top w:val="nil"/>
              <w:left w:val="nil"/>
              <w:bottom w:val="single" w:sz="4" w:space="0" w:color="auto"/>
              <w:right w:val="nil"/>
            </w:tcBorders>
            <w:shd w:val="clear" w:color="auto" w:fill="auto"/>
            <w:noWrap/>
            <w:vAlign w:val="bottom"/>
          </w:tcPr>
          <w:p w14:paraId="1CAD84A0" w14:textId="77777777" w:rsidR="003E10CE" w:rsidRPr="006268ED" w:rsidRDefault="003E10CE" w:rsidP="003E10CE">
            <w:pPr>
              <w:ind w:right="92"/>
              <w:jc w:val="right"/>
              <w:rPr>
                <w:rFonts w:ascii="Arial" w:hAnsi="Arial" w:cs="Arial"/>
                <w:b/>
                <w:sz w:val="18"/>
                <w:szCs w:val="18"/>
              </w:rPr>
            </w:pPr>
          </w:p>
        </w:tc>
        <w:tc>
          <w:tcPr>
            <w:tcW w:w="615" w:type="pct"/>
            <w:tcBorders>
              <w:top w:val="nil"/>
              <w:left w:val="nil"/>
              <w:bottom w:val="single" w:sz="4" w:space="0" w:color="auto"/>
              <w:right w:val="nil"/>
            </w:tcBorders>
            <w:shd w:val="clear" w:color="auto" w:fill="auto"/>
            <w:noWrap/>
            <w:vAlign w:val="bottom"/>
          </w:tcPr>
          <w:p w14:paraId="47C5A56C" w14:textId="77777777" w:rsidR="003E10CE" w:rsidRPr="006268ED" w:rsidRDefault="003E10CE" w:rsidP="003E10CE">
            <w:pPr>
              <w:ind w:right="92"/>
              <w:jc w:val="right"/>
              <w:rPr>
                <w:rFonts w:ascii="Arial" w:hAnsi="Arial" w:cs="Arial"/>
                <w:b/>
                <w:sz w:val="18"/>
                <w:szCs w:val="18"/>
              </w:rPr>
            </w:pPr>
          </w:p>
        </w:tc>
        <w:tc>
          <w:tcPr>
            <w:tcW w:w="485" w:type="pct"/>
            <w:tcBorders>
              <w:top w:val="nil"/>
              <w:left w:val="nil"/>
              <w:bottom w:val="single" w:sz="4" w:space="0" w:color="auto"/>
              <w:right w:val="nil"/>
            </w:tcBorders>
            <w:shd w:val="clear" w:color="auto" w:fill="auto"/>
            <w:noWrap/>
            <w:vAlign w:val="bottom"/>
          </w:tcPr>
          <w:p w14:paraId="0467FC07" w14:textId="7A3F9818" w:rsidR="003E10CE" w:rsidRPr="00005D53" w:rsidRDefault="00005D53" w:rsidP="003E10CE">
            <w:pPr>
              <w:ind w:right="92"/>
              <w:jc w:val="right"/>
              <w:rPr>
                <w:rFonts w:ascii="Arial" w:hAnsi="Arial" w:cs="Arial"/>
                <w:b/>
                <w:sz w:val="18"/>
                <w:szCs w:val="18"/>
              </w:rPr>
            </w:pPr>
            <w:r w:rsidRPr="00005D53">
              <w:rPr>
                <w:rFonts w:ascii="Arial" w:hAnsi="Arial" w:cs="Arial"/>
                <w:b/>
                <w:sz w:val="18"/>
                <w:szCs w:val="18"/>
              </w:rPr>
              <w:t>(2</w:t>
            </w:r>
            <w:r w:rsidR="00945414">
              <w:rPr>
                <w:rFonts w:ascii="Arial" w:hAnsi="Arial" w:cs="Arial"/>
                <w:b/>
                <w:sz w:val="18"/>
                <w:szCs w:val="18"/>
              </w:rPr>
              <w:t>51</w:t>
            </w:r>
            <w:r w:rsidRPr="00005D53">
              <w:rPr>
                <w:rFonts w:ascii="Arial" w:hAnsi="Arial" w:cs="Arial"/>
                <w:b/>
                <w:sz w:val="18"/>
                <w:szCs w:val="18"/>
              </w:rPr>
              <w:t>)</w:t>
            </w:r>
          </w:p>
        </w:tc>
        <w:tc>
          <w:tcPr>
            <w:tcW w:w="577" w:type="pct"/>
            <w:tcBorders>
              <w:top w:val="nil"/>
              <w:left w:val="nil"/>
              <w:bottom w:val="single" w:sz="4" w:space="0" w:color="auto"/>
              <w:right w:val="nil"/>
            </w:tcBorders>
            <w:shd w:val="clear" w:color="auto" w:fill="auto"/>
            <w:noWrap/>
            <w:vAlign w:val="bottom"/>
          </w:tcPr>
          <w:p w14:paraId="243C3937" w14:textId="77777777" w:rsidR="003E10CE" w:rsidRPr="000864B4" w:rsidRDefault="003E10CE" w:rsidP="003E10CE">
            <w:pPr>
              <w:ind w:right="92"/>
              <w:jc w:val="right"/>
              <w:rPr>
                <w:rFonts w:ascii="Arial" w:hAnsi="Arial" w:cs="Arial"/>
                <w:sz w:val="18"/>
                <w:szCs w:val="18"/>
              </w:rPr>
            </w:pPr>
          </w:p>
        </w:tc>
        <w:tc>
          <w:tcPr>
            <w:tcW w:w="577" w:type="pct"/>
            <w:tcBorders>
              <w:top w:val="nil"/>
              <w:left w:val="nil"/>
              <w:bottom w:val="single" w:sz="4" w:space="0" w:color="auto"/>
              <w:right w:val="nil"/>
            </w:tcBorders>
            <w:shd w:val="clear" w:color="auto" w:fill="auto"/>
            <w:noWrap/>
            <w:vAlign w:val="bottom"/>
          </w:tcPr>
          <w:p w14:paraId="356BADF3" w14:textId="77777777" w:rsidR="003E10CE" w:rsidRPr="000864B4" w:rsidRDefault="003E10CE" w:rsidP="003E10CE">
            <w:pPr>
              <w:ind w:right="92"/>
              <w:jc w:val="right"/>
              <w:rPr>
                <w:rFonts w:ascii="Arial" w:hAnsi="Arial" w:cs="Arial"/>
                <w:sz w:val="18"/>
                <w:szCs w:val="18"/>
              </w:rPr>
            </w:pPr>
          </w:p>
        </w:tc>
        <w:tc>
          <w:tcPr>
            <w:tcW w:w="480" w:type="pct"/>
            <w:tcBorders>
              <w:top w:val="nil"/>
              <w:left w:val="nil"/>
              <w:bottom w:val="single" w:sz="4" w:space="0" w:color="auto"/>
              <w:right w:val="single" w:sz="4" w:space="0" w:color="auto"/>
            </w:tcBorders>
            <w:shd w:val="clear" w:color="auto" w:fill="auto"/>
            <w:noWrap/>
            <w:vAlign w:val="bottom"/>
          </w:tcPr>
          <w:p w14:paraId="7EFD1B3D" w14:textId="77777777" w:rsidR="003E10CE" w:rsidRPr="003E10CE" w:rsidRDefault="003E10CE" w:rsidP="003E10CE">
            <w:pPr>
              <w:ind w:right="92"/>
              <w:jc w:val="right"/>
              <w:rPr>
                <w:rFonts w:ascii="Arial" w:hAnsi="Arial" w:cs="Arial"/>
                <w:sz w:val="18"/>
                <w:szCs w:val="18"/>
              </w:rPr>
            </w:pPr>
            <w:r w:rsidRPr="003E10CE">
              <w:rPr>
                <w:rFonts w:ascii="Arial" w:hAnsi="Arial" w:cs="Arial"/>
                <w:sz w:val="18"/>
                <w:szCs w:val="18"/>
              </w:rPr>
              <w:t>–</w:t>
            </w:r>
          </w:p>
        </w:tc>
      </w:tr>
      <w:tr w:rsidR="003E10CE" w:rsidRPr="00EF1091" w14:paraId="42829986" w14:textId="77777777" w:rsidTr="00527DF5">
        <w:trPr>
          <w:trHeight w:val="225"/>
        </w:trPr>
        <w:tc>
          <w:tcPr>
            <w:tcW w:w="1444" w:type="pct"/>
            <w:tcBorders>
              <w:top w:val="single" w:sz="4" w:space="0" w:color="auto"/>
              <w:left w:val="single" w:sz="4" w:space="0" w:color="auto"/>
              <w:bottom w:val="single" w:sz="12" w:space="0" w:color="auto"/>
              <w:right w:val="nil"/>
            </w:tcBorders>
            <w:shd w:val="clear" w:color="auto" w:fill="auto"/>
            <w:vAlign w:val="bottom"/>
          </w:tcPr>
          <w:p w14:paraId="7391383C" w14:textId="77777777" w:rsidR="003E10CE" w:rsidRPr="003F62F8" w:rsidRDefault="003E10CE" w:rsidP="003E10CE">
            <w:pPr>
              <w:rPr>
                <w:rFonts w:ascii="Arial" w:hAnsi="Arial" w:cs="Arial"/>
                <w:b/>
                <w:sz w:val="18"/>
                <w:szCs w:val="18"/>
              </w:rPr>
            </w:pPr>
            <w:r w:rsidRPr="003F62F8">
              <w:rPr>
                <w:rFonts w:ascii="Arial" w:hAnsi="Arial" w:cs="Arial"/>
                <w:b/>
                <w:sz w:val="18"/>
                <w:szCs w:val="18"/>
              </w:rPr>
              <w:t>Profit before taxation</w:t>
            </w:r>
          </w:p>
        </w:tc>
        <w:tc>
          <w:tcPr>
            <w:tcW w:w="269" w:type="pct"/>
            <w:tcBorders>
              <w:top w:val="single" w:sz="4" w:space="0" w:color="auto"/>
              <w:left w:val="nil"/>
              <w:bottom w:val="single" w:sz="12" w:space="0" w:color="auto"/>
              <w:right w:val="nil"/>
            </w:tcBorders>
            <w:shd w:val="clear" w:color="auto" w:fill="auto"/>
            <w:noWrap/>
            <w:vAlign w:val="bottom"/>
          </w:tcPr>
          <w:p w14:paraId="252747FD" w14:textId="77777777" w:rsidR="003E10CE" w:rsidRPr="00EF1091" w:rsidRDefault="003E10CE" w:rsidP="003E10CE">
            <w:pPr>
              <w:jc w:val="center"/>
              <w:rPr>
                <w:rFonts w:ascii="Arial" w:hAnsi="Arial" w:cs="Arial"/>
                <w:sz w:val="18"/>
                <w:szCs w:val="18"/>
              </w:rPr>
            </w:pPr>
          </w:p>
        </w:tc>
        <w:tc>
          <w:tcPr>
            <w:tcW w:w="552" w:type="pct"/>
            <w:tcBorders>
              <w:top w:val="single" w:sz="4" w:space="0" w:color="auto"/>
              <w:left w:val="nil"/>
              <w:bottom w:val="single" w:sz="12" w:space="0" w:color="auto"/>
              <w:right w:val="nil"/>
            </w:tcBorders>
            <w:shd w:val="clear" w:color="auto" w:fill="auto"/>
            <w:noWrap/>
            <w:vAlign w:val="bottom"/>
          </w:tcPr>
          <w:p w14:paraId="6F0187DA" w14:textId="77777777" w:rsidR="003E10CE" w:rsidRPr="006268ED" w:rsidRDefault="003E10CE" w:rsidP="003E10CE">
            <w:pPr>
              <w:ind w:right="92"/>
              <w:jc w:val="right"/>
              <w:rPr>
                <w:rFonts w:ascii="Arial" w:hAnsi="Arial" w:cs="Arial"/>
                <w:b/>
                <w:sz w:val="18"/>
                <w:szCs w:val="18"/>
              </w:rPr>
            </w:pPr>
          </w:p>
        </w:tc>
        <w:tc>
          <w:tcPr>
            <w:tcW w:w="615" w:type="pct"/>
            <w:tcBorders>
              <w:top w:val="single" w:sz="4" w:space="0" w:color="auto"/>
              <w:left w:val="nil"/>
              <w:bottom w:val="single" w:sz="12" w:space="0" w:color="auto"/>
              <w:right w:val="nil"/>
            </w:tcBorders>
            <w:shd w:val="clear" w:color="auto" w:fill="auto"/>
            <w:noWrap/>
            <w:vAlign w:val="bottom"/>
          </w:tcPr>
          <w:p w14:paraId="28C5B952" w14:textId="77777777" w:rsidR="003E10CE" w:rsidRPr="006268ED" w:rsidRDefault="003E10CE" w:rsidP="003E10CE">
            <w:pPr>
              <w:ind w:right="92"/>
              <w:jc w:val="right"/>
              <w:rPr>
                <w:rFonts w:ascii="Arial" w:hAnsi="Arial" w:cs="Arial"/>
                <w:b/>
                <w:sz w:val="18"/>
                <w:szCs w:val="18"/>
              </w:rPr>
            </w:pPr>
          </w:p>
        </w:tc>
        <w:tc>
          <w:tcPr>
            <w:tcW w:w="485" w:type="pct"/>
            <w:tcBorders>
              <w:top w:val="single" w:sz="4" w:space="0" w:color="auto"/>
              <w:left w:val="nil"/>
              <w:bottom w:val="single" w:sz="12" w:space="0" w:color="auto"/>
              <w:right w:val="nil"/>
            </w:tcBorders>
            <w:shd w:val="clear" w:color="auto" w:fill="auto"/>
            <w:noWrap/>
            <w:vAlign w:val="bottom"/>
          </w:tcPr>
          <w:p w14:paraId="446353D5" w14:textId="74BACFF2" w:rsidR="003E10CE" w:rsidRPr="00005D53" w:rsidRDefault="00005D53" w:rsidP="003E10CE">
            <w:pPr>
              <w:ind w:right="92"/>
              <w:jc w:val="right"/>
              <w:rPr>
                <w:rFonts w:ascii="Arial" w:hAnsi="Arial" w:cs="Arial"/>
                <w:b/>
                <w:sz w:val="18"/>
                <w:szCs w:val="18"/>
              </w:rPr>
            </w:pPr>
            <w:r w:rsidRPr="00005D53">
              <w:rPr>
                <w:rFonts w:ascii="Arial" w:hAnsi="Arial" w:cs="Arial"/>
                <w:b/>
                <w:sz w:val="18"/>
                <w:szCs w:val="18"/>
              </w:rPr>
              <w:t>3</w:t>
            </w:r>
            <w:r w:rsidR="00945414">
              <w:rPr>
                <w:rFonts w:ascii="Arial" w:hAnsi="Arial" w:cs="Arial"/>
                <w:b/>
                <w:sz w:val="18"/>
                <w:szCs w:val="18"/>
              </w:rPr>
              <w:t>22</w:t>
            </w:r>
          </w:p>
        </w:tc>
        <w:tc>
          <w:tcPr>
            <w:tcW w:w="577" w:type="pct"/>
            <w:tcBorders>
              <w:top w:val="single" w:sz="4" w:space="0" w:color="auto"/>
              <w:left w:val="nil"/>
              <w:bottom w:val="single" w:sz="12" w:space="0" w:color="auto"/>
              <w:right w:val="nil"/>
            </w:tcBorders>
            <w:shd w:val="clear" w:color="auto" w:fill="auto"/>
            <w:noWrap/>
            <w:vAlign w:val="bottom"/>
          </w:tcPr>
          <w:p w14:paraId="3193F270" w14:textId="77777777" w:rsidR="003E10CE" w:rsidRPr="000864B4" w:rsidRDefault="003E10CE" w:rsidP="003E10CE">
            <w:pPr>
              <w:ind w:right="92"/>
              <w:jc w:val="right"/>
              <w:rPr>
                <w:rFonts w:ascii="Arial" w:hAnsi="Arial" w:cs="Arial"/>
                <w:sz w:val="18"/>
                <w:szCs w:val="18"/>
              </w:rPr>
            </w:pPr>
          </w:p>
        </w:tc>
        <w:tc>
          <w:tcPr>
            <w:tcW w:w="577" w:type="pct"/>
            <w:tcBorders>
              <w:top w:val="single" w:sz="4" w:space="0" w:color="auto"/>
              <w:left w:val="nil"/>
              <w:bottom w:val="single" w:sz="12" w:space="0" w:color="auto"/>
              <w:right w:val="nil"/>
            </w:tcBorders>
            <w:shd w:val="clear" w:color="auto" w:fill="auto"/>
            <w:noWrap/>
            <w:vAlign w:val="bottom"/>
          </w:tcPr>
          <w:p w14:paraId="13C88749" w14:textId="77777777" w:rsidR="003E10CE" w:rsidRPr="000864B4" w:rsidRDefault="003E10CE" w:rsidP="003E10CE">
            <w:pPr>
              <w:ind w:right="92"/>
              <w:jc w:val="right"/>
              <w:rPr>
                <w:rFonts w:ascii="Arial" w:hAnsi="Arial" w:cs="Arial"/>
                <w:sz w:val="18"/>
                <w:szCs w:val="18"/>
              </w:rPr>
            </w:pPr>
          </w:p>
        </w:tc>
        <w:tc>
          <w:tcPr>
            <w:tcW w:w="480" w:type="pct"/>
            <w:tcBorders>
              <w:top w:val="single" w:sz="4" w:space="0" w:color="auto"/>
              <w:left w:val="nil"/>
              <w:bottom w:val="single" w:sz="12" w:space="0" w:color="auto"/>
              <w:right w:val="single" w:sz="4" w:space="0" w:color="auto"/>
            </w:tcBorders>
            <w:shd w:val="clear" w:color="auto" w:fill="auto"/>
            <w:noWrap/>
            <w:vAlign w:val="bottom"/>
          </w:tcPr>
          <w:p w14:paraId="0EFAB1C5" w14:textId="77777777" w:rsidR="003E10CE" w:rsidRPr="003E10CE" w:rsidRDefault="003E10CE" w:rsidP="003E10CE">
            <w:pPr>
              <w:ind w:right="92"/>
              <w:jc w:val="right"/>
              <w:rPr>
                <w:rFonts w:ascii="Arial" w:hAnsi="Arial" w:cs="Arial"/>
                <w:sz w:val="18"/>
                <w:szCs w:val="18"/>
              </w:rPr>
            </w:pPr>
            <w:r w:rsidRPr="003E10CE">
              <w:rPr>
                <w:rFonts w:ascii="Arial" w:hAnsi="Arial" w:cs="Arial"/>
                <w:sz w:val="18"/>
                <w:szCs w:val="18"/>
              </w:rPr>
              <w:t>682</w:t>
            </w:r>
          </w:p>
        </w:tc>
      </w:tr>
    </w:tbl>
    <w:p w14:paraId="2748840C" w14:textId="77777777" w:rsidR="00FC10AC" w:rsidRDefault="00FC10AC" w:rsidP="00FC10AC">
      <w:pPr>
        <w:rPr>
          <w:rFonts w:ascii="Arial" w:hAnsi="Arial" w:cs="Arial"/>
          <w:sz w:val="18"/>
          <w:szCs w:val="18"/>
        </w:rPr>
      </w:pPr>
    </w:p>
    <w:p w14:paraId="23FE7616" w14:textId="77777777" w:rsidR="004E40F0" w:rsidRPr="00EF1091" w:rsidRDefault="004E40F0" w:rsidP="00FC10AC">
      <w:pPr>
        <w:rPr>
          <w:rFonts w:ascii="Arial" w:hAnsi="Arial" w:cs="Arial"/>
          <w:sz w:val="18"/>
          <w:szCs w:val="18"/>
        </w:rPr>
      </w:pPr>
    </w:p>
    <w:p w14:paraId="7404E688" w14:textId="3DC8613D" w:rsidR="00FC10AC" w:rsidRPr="00EF1091" w:rsidRDefault="00FC10AC" w:rsidP="00FC10AC">
      <w:pPr>
        <w:rPr>
          <w:rFonts w:ascii="Arial" w:hAnsi="Arial" w:cs="Arial"/>
          <w:sz w:val="18"/>
          <w:szCs w:val="18"/>
        </w:rPr>
      </w:pPr>
      <w:r w:rsidRPr="00464BE5">
        <w:rPr>
          <w:rFonts w:ascii="Arial" w:hAnsi="Arial" w:cs="Arial"/>
          <w:sz w:val="18"/>
          <w:szCs w:val="18"/>
        </w:rPr>
        <w:t xml:space="preserve">The proposed final dividend for the year ended </w:t>
      </w:r>
      <w:r w:rsidR="000864B4" w:rsidRPr="00464BE5">
        <w:rPr>
          <w:rFonts w:ascii="Arial" w:hAnsi="Arial" w:cs="Arial"/>
          <w:sz w:val="18"/>
          <w:szCs w:val="18"/>
        </w:rPr>
        <w:t>31 January 201</w:t>
      </w:r>
      <w:r w:rsidR="00464BE5" w:rsidRPr="00464BE5">
        <w:rPr>
          <w:rFonts w:ascii="Arial" w:hAnsi="Arial" w:cs="Arial"/>
          <w:sz w:val="18"/>
          <w:szCs w:val="18"/>
        </w:rPr>
        <w:t>9</w:t>
      </w:r>
      <w:r w:rsidRPr="00464BE5">
        <w:rPr>
          <w:rFonts w:ascii="Arial" w:hAnsi="Arial" w:cs="Arial"/>
          <w:sz w:val="18"/>
          <w:szCs w:val="18"/>
        </w:rPr>
        <w:t xml:space="preserve">, subject to approval by shareholders at the Annual General Meeting, </w:t>
      </w:r>
      <w:r w:rsidR="001F3D57" w:rsidRPr="00846218">
        <w:rPr>
          <w:rFonts w:ascii="Arial" w:hAnsi="Arial" w:cs="Arial"/>
          <w:sz w:val="18"/>
          <w:szCs w:val="18"/>
        </w:rPr>
        <w:t>is</w:t>
      </w:r>
      <w:r w:rsidRPr="00846218">
        <w:rPr>
          <w:rFonts w:ascii="Arial" w:hAnsi="Arial" w:cs="Arial"/>
          <w:sz w:val="18"/>
          <w:szCs w:val="18"/>
        </w:rPr>
        <w:t xml:space="preserve"> </w:t>
      </w:r>
      <w:r w:rsidR="00B71A86">
        <w:rPr>
          <w:rFonts w:ascii="Arial" w:hAnsi="Arial" w:cs="Arial"/>
          <w:sz w:val="18"/>
          <w:szCs w:val="18"/>
        </w:rPr>
        <w:t>7.4</w:t>
      </w:r>
      <w:r w:rsidR="00A2635B">
        <w:rPr>
          <w:rFonts w:ascii="Arial" w:hAnsi="Arial" w:cs="Arial"/>
          <w:sz w:val="18"/>
          <w:szCs w:val="18"/>
        </w:rPr>
        <w:t>9</w:t>
      </w:r>
      <w:r w:rsidR="00806EFF" w:rsidRPr="00846218">
        <w:rPr>
          <w:rFonts w:ascii="Arial" w:hAnsi="Arial" w:cs="Arial"/>
          <w:sz w:val="18"/>
          <w:szCs w:val="18"/>
        </w:rPr>
        <w:t>p</w:t>
      </w:r>
      <w:r w:rsidR="00E14037" w:rsidRPr="00846218">
        <w:rPr>
          <w:rFonts w:ascii="Arial" w:hAnsi="Arial" w:cs="Arial"/>
          <w:sz w:val="18"/>
          <w:szCs w:val="18"/>
        </w:rPr>
        <w:t xml:space="preserve"> per</w:t>
      </w:r>
      <w:r w:rsidR="00E14037" w:rsidRPr="00464BE5">
        <w:rPr>
          <w:rFonts w:ascii="Arial" w:hAnsi="Arial" w:cs="Arial"/>
          <w:sz w:val="18"/>
          <w:szCs w:val="18"/>
        </w:rPr>
        <w:t xml:space="preserve"> share.</w:t>
      </w:r>
    </w:p>
    <w:p w14:paraId="7B0CE69D" w14:textId="77777777" w:rsidR="006B380B" w:rsidRPr="00EF1091" w:rsidRDefault="004E40F0">
      <w:pPr>
        <w:rPr>
          <w:rFonts w:ascii="Arial" w:hAnsi="Arial" w:cs="Arial"/>
          <w:sz w:val="18"/>
          <w:szCs w:val="18"/>
        </w:rPr>
      </w:pPr>
      <w:r>
        <w:rPr>
          <w:rFonts w:ascii="Arial" w:hAnsi="Arial" w:cs="Arial"/>
          <w:sz w:val="18"/>
          <w:szCs w:val="18"/>
        </w:rPr>
        <w:br w:type="page"/>
      </w:r>
    </w:p>
    <w:tbl>
      <w:tblPr>
        <w:tblW w:w="5000" w:type="pct"/>
        <w:tblInd w:w="-1" w:type="dxa"/>
        <w:tblLayout w:type="fixed"/>
        <w:tblLook w:val="0000" w:firstRow="0" w:lastRow="0" w:firstColumn="0" w:lastColumn="0" w:noHBand="0" w:noVBand="0"/>
      </w:tblPr>
      <w:tblGrid>
        <w:gridCol w:w="5228"/>
        <w:gridCol w:w="883"/>
        <w:gridCol w:w="1413"/>
        <w:gridCol w:w="2115"/>
      </w:tblGrid>
      <w:tr w:rsidR="001D5B41" w14:paraId="1C1E363A" w14:textId="77777777" w:rsidTr="00FA21A3">
        <w:trPr>
          <w:trHeight w:val="240"/>
        </w:trPr>
        <w:tc>
          <w:tcPr>
            <w:tcW w:w="2712" w:type="pct"/>
            <w:tcBorders>
              <w:top w:val="nil"/>
              <w:left w:val="nil"/>
              <w:right w:val="nil"/>
            </w:tcBorders>
            <w:shd w:val="clear" w:color="auto" w:fill="auto"/>
            <w:noWrap/>
            <w:vAlign w:val="bottom"/>
          </w:tcPr>
          <w:p w14:paraId="38F814F0" w14:textId="77777777" w:rsidR="001D5B41" w:rsidRDefault="001D5B41" w:rsidP="00A47C6B">
            <w:pPr>
              <w:rPr>
                <w:rFonts w:ascii="Arial" w:hAnsi="Arial" w:cs="Arial"/>
                <w:b/>
                <w:sz w:val="18"/>
                <w:szCs w:val="18"/>
              </w:rPr>
            </w:pPr>
            <w:r w:rsidRPr="001D5B41">
              <w:rPr>
                <w:rFonts w:ascii="Arial" w:hAnsi="Arial" w:cs="Arial"/>
                <w:b/>
                <w:sz w:val="18"/>
                <w:szCs w:val="18"/>
              </w:rPr>
              <w:lastRenderedPageBreak/>
              <w:t>Consolidated statement of comprehensive income</w:t>
            </w:r>
          </w:p>
          <w:p w14:paraId="2048176D" w14:textId="77777777" w:rsidR="002347FE" w:rsidRPr="002347FE" w:rsidRDefault="00F25CDE" w:rsidP="00A47C6B">
            <w:pPr>
              <w:rPr>
                <w:rFonts w:ascii="Arial" w:hAnsi="Arial" w:cs="Arial"/>
                <w:sz w:val="18"/>
                <w:szCs w:val="18"/>
              </w:rPr>
            </w:pPr>
            <w:r w:rsidRPr="00AE24A9">
              <w:rPr>
                <w:rFonts w:ascii="Arial" w:hAnsi="Arial" w:cs="Arial"/>
                <w:sz w:val="18"/>
                <w:szCs w:val="18"/>
              </w:rPr>
              <w:t xml:space="preserve">Year ended </w:t>
            </w:r>
            <w:r w:rsidR="00FC37BE">
              <w:rPr>
                <w:rFonts w:ascii="Arial" w:hAnsi="Arial" w:cs="Arial"/>
                <w:sz w:val="18"/>
                <w:szCs w:val="18"/>
              </w:rPr>
              <w:t>31 January 201</w:t>
            </w:r>
            <w:r w:rsidR="003E10CE">
              <w:rPr>
                <w:rFonts w:ascii="Arial" w:hAnsi="Arial" w:cs="Arial"/>
                <w:sz w:val="18"/>
                <w:szCs w:val="18"/>
              </w:rPr>
              <w:t>9</w:t>
            </w:r>
          </w:p>
        </w:tc>
        <w:tc>
          <w:tcPr>
            <w:tcW w:w="458" w:type="pct"/>
            <w:tcBorders>
              <w:top w:val="nil"/>
              <w:left w:val="nil"/>
              <w:right w:val="nil"/>
            </w:tcBorders>
            <w:shd w:val="clear" w:color="auto" w:fill="auto"/>
            <w:noWrap/>
            <w:vAlign w:val="bottom"/>
          </w:tcPr>
          <w:p w14:paraId="08B77B15" w14:textId="77777777" w:rsidR="001D5B41" w:rsidRPr="001D5B41" w:rsidRDefault="001D5B41" w:rsidP="00A47C6B">
            <w:pPr>
              <w:jc w:val="center"/>
              <w:rPr>
                <w:rFonts w:ascii="Arial" w:hAnsi="Arial" w:cs="Arial"/>
                <w:b/>
                <w:bCs/>
                <w:sz w:val="18"/>
                <w:szCs w:val="18"/>
              </w:rPr>
            </w:pPr>
          </w:p>
        </w:tc>
        <w:tc>
          <w:tcPr>
            <w:tcW w:w="733" w:type="pct"/>
            <w:tcBorders>
              <w:top w:val="nil"/>
              <w:left w:val="nil"/>
              <w:right w:val="nil"/>
            </w:tcBorders>
            <w:shd w:val="clear" w:color="auto" w:fill="auto"/>
            <w:noWrap/>
            <w:vAlign w:val="bottom"/>
          </w:tcPr>
          <w:p w14:paraId="01F976E0" w14:textId="77777777" w:rsidR="001D5B41" w:rsidRDefault="001D5B41" w:rsidP="00A47C6B">
            <w:pPr>
              <w:jc w:val="right"/>
              <w:rPr>
                <w:rFonts w:ascii="Arial" w:hAnsi="Arial" w:cs="Arial"/>
                <w:bCs/>
                <w:sz w:val="18"/>
                <w:szCs w:val="18"/>
              </w:rPr>
            </w:pPr>
          </w:p>
        </w:tc>
        <w:tc>
          <w:tcPr>
            <w:tcW w:w="1097" w:type="pct"/>
            <w:tcBorders>
              <w:top w:val="nil"/>
              <w:left w:val="nil"/>
              <w:right w:val="nil"/>
            </w:tcBorders>
            <w:shd w:val="clear" w:color="auto" w:fill="auto"/>
            <w:noWrap/>
            <w:vAlign w:val="bottom"/>
          </w:tcPr>
          <w:p w14:paraId="5A522339" w14:textId="77777777" w:rsidR="001D5B41" w:rsidRPr="002A7D7A" w:rsidRDefault="001D5B41" w:rsidP="001D5B41">
            <w:pPr>
              <w:jc w:val="right"/>
              <w:rPr>
                <w:rFonts w:ascii="Arial" w:hAnsi="Arial" w:cs="Arial"/>
                <w:bCs/>
                <w:sz w:val="18"/>
                <w:szCs w:val="18"/>
              </w:rPr>
            </w:pPr>
          </w:p>
        </w:tc>
      </w:tr>
      <w:tr w:rsidR="000864B4" w14:paraId="3C5EF7A5" w14:textId="77777777" w:rsidTr="00FA21A3">
        <w:trPr>
          <w:trHeight w:val="240"/>
        </w:trPr>
        <w:tc>
          <w:tcPr>
            <w:tcW w:w="2712" w:type="pct"/>
            <w:tcBorders>
              <w:left w:val="nil"/>
              <w:bottom w:val="single" w:sz="4" w:space="0" w:color="auto"/>
              <w:right w:val="nil"/>
            </w:tcBorders>
            <w:shd w:val="clear" w:color="auto" w:fill="auto"/>
            <w:noWrap/>
            <w:vAlign w:val="bottom"/>
          </w:tcPr>
          <w:p w14:paraId="4E13047E" w14:textId="77777777" w:rsidR="000864B4" w:rsidRDefault="000864B4" w:rsidP="000864B4">
            <w:pPr>
              <w:rPr>
                <w:rFonts w:ascii="Arial" w:hAnsi="Arial" w:cs="Arial"/>
                <w:sz w:val="18"/>
                <w:szCs w:val="18"/>
              </w:rPr>
            </w:pPr>
          </w:p>
          <w:p w14:paraId="4AA0432B" w14:textId="77777777" w:rsidR="000864B4" w:rsidRPr="000F5685" w:rsidRDefault="000864B4" w:rsidP="000864B4">
            <w:pPr>
              <w:rPr>
                <w:rFonts w:ascii="Arial" w:hAnsi="Arial" w:cs="Arial"/>
                <w:sz w:val="18"/>
                <w:szCs w:val="18"/>
              </w:rPr>
            </w:pPr>
            <w:r w:rsidRPr="002A7D7A">
              <w:rPr>
                <w:rFonts w:ascii="Arial" w:hAnsi="Arial" w:cs="Arial"/>
                <w:sz w:val="18"/>
                <w:szCs w:val="18"/>
              </w:rPr>
              <w:t>£ millions</w:t>
            </w:r>
          </w:p>
        </w:tc>
        <w:tc>
          <w:tcPr>
            <w:tcW w:w="458" w:type="pct"/>
            <w:tcBorders>
              <w:left w:val="nil"/>
              <w:bottom w:val="single" w:sz="4" w:space="0" w:color="auto"/>
              <w:right w:val="nil"/>
            </w:tcBorders>
            <w:shd w:val="clear" w:color="auto" w:fill="auto"/>
            <w:noWrap/>
            <w:vAlign w:val="bottom"/>
          </w:tcPr>
          <w:p w14:paraId="013DA9F5" w14:textId="77777777" w:rsidR="000864B4" w:rsidRPr="00AC3C6D" w:rsidRDefault="000864B4" w:rsidP="000864B4">
            <w:pPr>
              <w:jc w:val="center"/>
              <w:rPr>
                <w:rFonts w:ascii="Arial" w:hAnsi="Arial" w:cs="Arial"/>
                <w:bCs/>
                <w:sz w:val="18"/>
                <w:szCs w:val="18"/>
              </w:rPr>
            </w:pPr>
            <w:r w:rsidRPr="00AC3C6D">
              <w:rPr>
                <w:rFonts w:ascii="Arial" w:hAnsi="Arial" w:cs="Arial"/>
                <w:bCs/>
                <w:sz w:val="18"/>
                <w:szCs w:val="18"/>
              </w:rPr>
              <w:t>Notes</w:t>
            </w:r>
          </w:p>
        </w:tc>
        <w:tc>
          <w:tcPr>
            <w:tcW w:w="733" w:type="pct"/>
            <w:tcBorders>
              <w:left w:val="nil"/>
              <w:bottom w:val="single" w:sz="4" w:space="0" w:color="auto"/>
              <w:right w:val="nil"/>
            </w:tcBorders>
            <w:shd w:val="clear" w:color="auto" w:fill="auto"/>
            <w:noWrap/>
            <w:vAlign w:val="bottom"/>
          </w:tcPr>
          <w:p w14:paraId="35ADCD9B" w14:textId="77777777" w:rsidR="000864B4" w:rsidRPr="00BB47E5" w:rsidRDefault="000864B4" w:rsidP="000864B4">
            <w:pPr>
              <w:jc w:val="right"/>
              <w:rPr>
                <w:rFonts w:ascii="Arial" w:hAnsi="Arial" w:cs="Arial"/>
                <w:bCs/>
                <w:sz w:val="18"/>
                <w:szCs w:val="18"/>
              </w:rPr>
            </w:pPr>
            <w:r w:rsidRPr="00BB47E5">
              <w:rPr>
                <w:rFonts w:ascii="Arial" w:hAnsi="Arial" w:cs="Arial"/>
                <w:bCs/>
                <w:sz w:val="18"/>
                <w:szCs w:val="18"/>
              </w:rPr>
              <w:t>201</w:t>
            </w:r>
            <w:r w:rsidR="003E10CE">
              <w:rPr>
                <w:rFonts w:ascii="Arial" w:hAnsi="Arial" w:cs="Arial"/>
                <w:bCs/>
                <w:sz w:val="18"/>
                <w:szCs w:val="18"/>
              </w:rPr>
              <w:t>8</w:t>
            </w:r>
            <w:r w:rsidRPr="00BB47E5">
              <w:rPr>
                <w:rFonts w:ascii="Arial" w:hAnsi="Arial" w:cs="Arial"/>
                <w:bCs/>
                <w:sz w:val="18"/>
                <w:szCs w:val="18"/>
              </w:rPr>
              <w:t>/1</w:t>
            </w:r>
            <w:r w:rsidR="003E10CE">
              <w:rPr>
                <w:rFonts w:ascii="Arial" w:hAnsi="Arial" w:cs="Arial"/>
                <w:bCs/>
                <w:sz w:val="18"/>
                <w:szCs w:val="18"/>
              </w:rPr>
              <w:t>9</w:t>
            </w:r>
          </w:p>
        </w:tc>
        <w:tc>
          <w:tcPr>
            <w:tcW w:w="1097" w:type="pct"/>
            <w:tcBorders>
              <w:left w:val="nil"/>
              <w:bottom w:val="single" w:sz="4" w:space="0" w:color="auto"/>
              <w:right w:val="nil"/>
            </w:tcBorders>
            <w:shd w:val="clear" w:color="auto" w:fill="auto"/>
            <w:noWrap/>
            <w:vAlign w:val="bottom"/>
          </w:tcPr>
          <w:p w14:paraId="67B59696" w14:textId="77777777" w:rsidR="000864B4" w:rsidRPr="000864B4" w:rsidRDefault="00F2449D" w:rsidP="000864B4">
            <w:pPr>
              <w:jc w:val="right"/>
              <w:rPr>
                <w:rFonts w:ascii="Arial" w:hAnsi="Arial" w:cs="Arial"/>
                <w:bCs/>
                <w:sz w:val="18"/>
                <w:szCs w:val="18"/>
              </w:rPr>
            </w:pPr>
            <w:r w:rsidRPr="00BB47E5">
              <w:rPr>
                <w:rFonts w:ascii="Arial" w:hAnsi="Arial" w:cs="Arial"/>
                <w:bCs/>
                <w:sz w:val="18"/>
                <w:szCs w:val="18"/>
              </w:rPr>
              <w:t>201</w:t>
            </w:r>
            <w:r w:rsidR="003E10CE">
              <w:rPr>
                <w:rFonts w:ascii="Arial" w:hAnsi="Arial" w:cs="Arial"/>
                <w:bCs/>
                <w:sz w:val="18"/>
                <w:szCs w:val="18"/>
              </w:rPr>
              <w:t>7</w:t>
            </w:r>
            <w:r w:rsidRPr="00BB47E5">
              <w:rPr>
                <w:rFonts w:ascii="Arial" w:hAnsi="Arial" w:cs="Arial"/>
                <w:bCs/>
                <w:sz w:val="18"/>
                <w:szCs w:val="18"/>
              </w:rPr>
              <w:t>/1</w:t>
            </w:r>
            <w:r w:rsidR="003E10CE">
              <w:rPr>
                <w:rFonts w:ascii="Arial" w:hAnsi="Arial" w:cs="Arial"/>
                <w:bCs/>
                <w:sz w:val="18"/>
                <w:szCs w:val="18"/>
              </w:rPr>
              <w:t>8</w:t>
            </w:r>
          </w:p>
        </w:tc>
      </w:tr>
      <w:tr w:rsidR="003E10CE" w14:paraId="454F411B" w14:textId="77777777" w:rsidTr="00FA21A3">
        <w:trPr>
          <w:trHeight w:val="240"/>
        </w:trPr>
        <w:tc>
          <w:tcPr>
            <w:tcW w:w="2712" w:type="pct"/>
            <w:tcBorders>
              <w:bottom w:val="single" w:sz="4" w:space="0" w:color="auto"/>
              <w:right w:val="nil"/>
            </w:tcBorders>
            <w:shd w:val="clear" w:color="auto" w:fill="auto"/>
            <w:noWrap/>
            <w:vAlign w:val="bottom"/>
          </w:tcPr>
          <w:p w14:paraId="224F5826" w14:textId="77777777" w:rsidR="003E10CE" w:rsidRPr="00731118" w:rsidRDefault="003E10CE" w:rsidP="003E10CE">
            <w:pPr>
              <w:rPr>
                <w:rFonts w:ascii="Arial" w:hAnsi="Arial" w:cs="Arial"/>
                <w:b/>
                <w:sz w:val="18"/>
                <w:szCs w:val="18"/>
              </w:rPr>
            </w:pPr>
            <w:r>
              <w:rPr>
                <w:rFonts w:ascii="Arial" w:hAnsi="Arial" w:cs="Arial"/>
                <w:b/>
                <w:sz w:val="18"/>
                <w:szCs w:val="18"/>
              </w:rPr>
              <w:t>Profit for the year</w:t>
            </w:r>
          </w:p>
        </w:tc>
        <w:tc>
          <w:tcPr>
            <w:tcW w:w="458" w:type="pct"/>
            <w:tcBorders>
              <w:left w:val="nil"/>
              <w:bottom w:val="single" w:sz="4" w:space="0" w:color="auto"/>
              <w:right w:val="nil"/>
            </w:tcBorders>
            <w:shd w:val="clear" w:color="auto" w:fill="auto"/>
            <w:noWrap/>
            <w:vAlign w:val="bottom"/>
          </w:tcPr>
          <w:p w14:paraId="58F57029" w14:textId="77777777" w:rsidR="003E10CE" w:rsidRPr="000F5685" w:rsidRDefault="003E10CE" w:rsidP="003E10CE">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14:paraId="5ADCC43D" w14:textId="4B473168" w:rsidR="003E10CE" w:rsidRPr="00E44A22" w:rsidRDefault="00E44A22" w:rsidP="003E10CE">
            <w:pPr>
              <w:jc w:val="right"/>
              <w:rPr>
                <w:rFonts w:ascii="Arial" w:hAnsi="Arial" w:cs="Arial"/>
                <w:b/>
                <w:sz w:val="18"/>
                <w:szCs w:val="18"/>
              </w:rPr>
            </w:pPr>
            <w:r w:rsidRPr="00E44A22">
              <w:rPr>
                <w:rFonts w:ascii="Arial" w:hAnsi="Arial" w:cs="Arial"/>
                <w:b/>
                <w:bCs/>
                <w:sz w:val="18"/>
                <w:szCs w:val="18"/>
              </w:rPr>
              <w:t>2</w:t>
            </w:r>
            <w:r w:rsidR="00945414">
              <w:rPr>
                <w:rFonts w:ascii="Arial" w:hAnsi="Arial" w:cs="Arial"/>
                <w:b/>
                <w:bCs/>
                <w:sz w:val="18"/>
                <w:szCs w:val="18"/>
              </w:rPr>
              <w:t>18</w:t>
            </w:r>
          </w:p>
        </w:tc>
        <w:tc>
          <w:tcPr>
            <w:tcW w:w="1097" w:type="pct"/>
            <w:tcBorders>
              <w:left w:val="nil"/>
              <w:bottom w:val="single" w:sz="4" w:space="0" w:color="auto"/>
            </w:tcBorders>
            <w:shd w:val="clear" w:color="auto" w:fill="auto"/>
            <w:noWrap/>
            <w:vAlign w:val="bottom"/>
          </w:tcPr>
          <w:p w14:paraId="62612EDA" w14:textId="77777777" w:rsidR="003E10CE" w:rsidRPr="003E10CE" w:rsidRDefault="003E10CE" w:rsidP="003E10CE">
            <w:pPr>
              <w:jc w:val="right"/>
              <w:rPr>
                <w:rFonts w:ascii="Arial" w:hAnsi="Arial" w:cs="Arial"/>
                <w:sz w:val="18"/>
                <w:szCs w:val="18"/>
              </w:rPr>
            </w:pPr>
            <w:r w:rsidRPr="003E10CE">
              <w:rPr>
                <w:rFonts w:ascii="Arial" w:hAnsi="Arial" w:cs="Arial"/>
                <w:bCs/>
                <w:sz w:val="18"/>
                <w:szCs w:val="18"/>
              </w:rPr>
              <w:t>485</w:t>
            </w:r>
          </w:p>
        </w:tc>
      </w:tr>
      <w:tr w:rsidR="003E10CE" w14:paraId="088963C3" w14:textId="77777777" w:rsidTr="00E7174D">
        <w:trPr>
          <w:trHeight w:val="240"/>
        </w:trPr>
        <w:tc>
          <w:tcPr>
            <w:tcW w:w="2712" w:type="pct"/>
            <w:tcBorders>
              <w:top w:val="single" w:sz="4" w:space="0" w:color="auto"/>
              <w:left w:val="single" w:sz="4" w:space="0" w:color="auto"/>
              <w:right w:val="nil"/>
            </w:tcBorders>
            <w:shd w:val="clear" w:color="auto" w:fill="auto"/>
            <w:noWrap/>
            <w:vAlign w:val="bottom"/>
          </w:tcPr>
          <w:p w14:paraId="0C816F78" w14:textId="03AFD0B2" w:rsidR="003E10CE" w:rsidRPr="0013056D" w:rsidRDefault="003E10CE" w:rsidP="003E10CE">
            <w:pPr>
              <w:rPr>
                <w:rFonts w:ascii="Arial" w:hAnsi="Arial" w:cs="Arial"/>
                <w:sz w:val="18"/>
                <w:szCs w:val="18"/>
              </w:rPr>
            </w:pPr>
            <w:r>
              <w:rPr>
                <w:rFonts w:ascii="Arial" w:hAnsi="Arial" w:cs="Arial"/>
                <w:sz w:val="18"/>
                <w:szCs w:val="18"/>
              </w:rPr>
              <w:t xml:space="preserve">Actuarial </w:t>
            </w:r>
            <w:r w:rsidR="00F4075C">
              <w:rPr>
                <w:rFonts w:ascii="Arial" w:hAnsi="Arial" w:cs="Arial"/>
                <w:sz w:val="18"/>
                <w:szCs w:val="18"/>
              </w:rPr>
              <w:t>gains/(</w:t>
            </w:r>
            <w:r>
              <w:rPr>
                <w:rFonts w:ascii="Arial" w:hAnsi="Arial" w:cs="Arial"/>
                <w:sz w:val="18"/>
                <w:szCs w:val="18"/>
              </w:rPr>
              <w:t>losses</w:t>
            </w:r>
            <w:r w:rsidR="00F4075C">
              <w:rPr>
                <w:rFonts w:ascii="Arial" w:hAnsi="Arial" w:cs="Arial"/>
                <w:sz w:val="18"/>
                <w:szCs w:val="18"/>
              </w:rPr>
              <w:t>)</w:t>
            </w:r>
            <w:r w:rsidRPr="0013056D">
              <w:rPr>
                <w:rFonts w:ascii="Arial" w:hAnsi="Arial" w:cs="Arial"/>
                <w:sz w:val="18"/>
                <w:szCs w:val="18"/>
              </w:rPr>
              <w:t xml:space="preserve"> on post-employment benefits</w:t>
            </w:r>
          </w:p>
        </w:tc>
        <w:tc>
          <w:tcPr>
            <w:tcW w:w="458" w:type="pct"/>
            <w:tcBorders>
              <w:top w:val="single" w:sz="4" w:space="0" w:color="auto"/>
              <w:left w:val="nil"/>
              <w:right w:val="nil"/>
            </w:tcBorders>
            <w:shd w:val="clear" w:color="auto" w:fill="auto"/>
            <w:noWrap/>
            <w:vAlign w:val="bottom"/>
          </w:tcPr>
          <w:p w14:paraId="5C9E0D15" w14:textId="77777777" w:rsidR="003E10CE" w:rsidRPr="000F5685" w:rsidRDefault="003E10CE" w:rsidP="003E10CE">
            <w:pPr>
              <w:jc w:val="center"/>
              <w:rPr>
                <w:rFonts w:ascii="Arial" w:hAnsi="Arial" w:cs="Arial"/>
                <w:sz w:val="18"/>
                <w:szCs w:val="18"/>
              </w:rPr>
            </w:pPr>
            <w:r>
              <w:rPr>
                <w:rFonts w:ascii="Arial" w:hAnsi="Arial" w:cs="Arial"/>
                <w:sz w:val="18"/>
                <w:szCs w:val="18"/>
              </w:rPr>
              <w:t>9</w:t>
            </w:r>
          </w:p>
        </w:tc>
        <w:tc>
          <w:tcPr>
            <w:tcW w:w="733" w:type="pct"/>
            <w:tcBorders>
              <w:top w:val="single" w:sz="4" w:space="0" w:color="auto"/>
              <w:left w:val="nil"/>
              <w:right w:val="nil"/>
            </w:tcBorders>
            <w:shd w:val="clear" w:color="auto" w:fill="auto"/>
            <w:noWrap/>
            <w:vAlign w:val="bottom"/>
          </w:tcPr>
          <w:p w14:paraId="3668CB33" w14:textId="77777777" w:rsidR="003E10CE" w:rsidRPr="00E44A22" w:rsidRDefault="00E44A22" w:rsidP="003E10CE">
            <w:pPr>
              <w:jc w:val="right"/>
              <w:rPr>
                <w:rFonts w:ascii="Arial" w:hAnsi="Arial" w:cs="Arial"/>
                <w:b/>
                <w:sz w:val="18"/>
                <w:szCs w:val="18"/>
              </w:rPr>
            </w:pPr>
            <w:r w:rsidRPr="00E44A22">
              <w:rPr>
                <w:rFonts w:ascii="Arial" w:hAnsi="Arial" w:cs="Arial"/>
                <w:b/>
                <w:sz w:val="18"/>
                <w:szCs w:val="18"/>
              </w:rPr>
              <w:t>78</w:t>
            </w:r>
          </w:p>
        </w:tc>
        <w:tc>
          <w:tcPr>
            <w:tcW w:w="1097" w:type="pct"/>
            <w:tcBorders>
              <w:top w:val="single" w:sz="4" w:space="0" w:color="auto"/>
              <w:left w:val="nil"/>
              <w:right w:val="single" w:sz="4" w:space="0" w:color="auto"/>
            </w:tcBorders>
            <w:shd w:val="clear" w:color="auto" w:fill="auto"/>
            <w:noWrap/>
            <w:vAlign w:val="bottom"/>
          </w:tcPr>
          <w:p w14:paraId="6D4844EF" w14:textId="77777777" w:rsidR="003E10CE" w:rsidRPr="003E10CE" w:rsidRDefault="003E10CE" w:rsidP="003E10CE">
            <w:pPr>
              <w:jc w:val="right"/>
              <w:rPr>
                <w:rFonts w:ascii="Arial" w:hAnsi="Arial" w:cs="Arial"/>
                <w:sz w:val="18"/>
                <w:szCs w:val="18"/>
              </w:rPr>
            </w:pPr>
            <w:r w:rsidRPr="003E10CE">
              <w:rPr>
                <w:rFonts w:ascii="Arial" w:hAnsi="Arial" w:cs="Arial"/>
                <w:bCs/>
                <w:sz w:val="18"/>
                <w:szCs w:val="18"/>
              </w:rPr>
              <w:t>(58)</w:t>
            </w:r>
          </w:p>
        </w:tc>
      </w:tr>
      <w:tr w:rsidR="00E7174D" w14:paraId="60AA8FF0" w14:textId="77777777" w:rsidTr="00E7174D">
        <w:trPr>
          <w:trHeight w:val="240"/>
        </w:trPr>
        <w:tc>
          <w:tcPr>
            <w:tcW w:w="2712" w:type="pct"/>
            <w:tcBorders>
              <w:left w:val="single" w:sz="4" w:space="0" w:color="auto"/>
              <w:bottom w:val="nil"/>
              <w:right w:val="nil"/>
            </w:tcBorders>
            <w:shd w:val="clear" w:color="auto" w:fill="auto"/>
            <w:noWrap/>
            <w:vAlign w:val="bottom"/>
          </w:tcPr>
          <w:p w14:paraId="3AE1FA90" w14:textId="0971DD6C" w:rsidR="00E7174D" w:rsidRDefault="00CE0DB7" w:rsidP="003E10CE">
            <w:pPr>
              <w:rPr>
                <w:rFonts w:ascii="Arial" w:hAnsi="Arial" w:cs="Arial"/>
                <w:sz w:val="18"/>
                <w:szCs w:val="18"/>
              </w:rPr>
            </w:pPr>
            <w:r>
              <w:rPr>
                <w:rFonts w:ascii="Arial" w:hAnsi="Arial" w:cs="Arial"/>
                <w:sz w:val="18"/>
                <w:szCs w:val="18"/>
              </w:rPr>
              <w:t>Inventory cash flow hedges – fair value gains</w:t>
            </w:r>
          </w:p>
        </w:tc>
        <w:tc>
          <w:tcPr>
            <w:tcW w:w="458" w:type="pct"/>
            <w:tcBorders>
              <w:left w:val="nil"/>
              <w:bottom w:val="nil"/>
              <w:right w:val="nil"/>
            </w:tcBorders>
            <w:shd w:val="clear" w:color="auto" w:fill="auto"/>
            <w:noWrap/>
            <w:vAlign w:val="bottom"/>
          </w:tcPr>
          <w:p w14:paraId="0A564A58" w14:textId="77777777" w:rsidR="00E7174D" w:rsidRDefault="00E7174D" w:rsidP="003E10CE">
            <w:pPr>
              <w:jc w:val="center"/>
              <w:rPr>
                <w:rFonts w:ascii="Arial" w:hAnsi="Arial" w:cs="Arial"/>
                <w:sz w:val="18"/>
                <w:szCs w:val="18"/>
              </w:rPr>
            </w:pPr>
          </w:p>
        </w:tc>
        <w:tc>
          <w:tcPr>
            <w:tcW w:w="733" w:type="pct"/>
            <w:tcBorders>
              <w:left w:val="nil"/>
              <w:bottom w:val="nil"/>
              <w:right w:val="nil"/>
            </w:tcBorders>
            <w:shd w:val="clear" w:color="auto" w:fill="auto"/>
            <w:noWrap/>
            <w:vAlign w:val="bottom"/>
          </w:tcPr>
          <w:p w14:paraId="2B6ED841" w14:textId="1949533E" w:rsidR="00E7174D" w:rsidRPr="00E44A22" w:rsidRDefault="00CE0DB7" w:rsidP="003E10CE">
            <w:pPr>
              <w:jc w:val="right"/>
              <w:rPr>
                <w:rFonts w:ascii="Arial" w:hAnsi="Arial" w:cs="Arial"/>
                <w:b/>
                <w:sz w:val="18"/>
                <w:szCs w:val="18"/>
              </w:rPr>
            </w:pPr>
            <w:r>
              <w:rPr>
                <w:rFonts w:ascii="Arial" w:hAnsi="Arial" w:cs="Arial"/>
                <w:b/>
                <w:sz w:val="18"/>
                <w:szCs w:val="18"/>
              </w:rPr>
              <w:t>85</w:t>
            </w:r>
          </w:p>
        </w:tc>
        <w:tc>
          <w:tcPr>
            <w:tcW w:w="1097" w:type="pct"/>
            <w:tcBorders>
              <w:left w:val="nil"/>
              <w:bottom w:val="nil"/>
              <w:right w:val="single" w:sz="4" w:space="0" w:color="auto"/>
            </w:tcBorders>
            <w:shd w:val="clear" w:color="auto" w:fill="auto"/>
            <w:noWrap/>
            <w:vAlign w:val="bottom"/>
          </w:tcPr>
          <w:p w14:paraId="566AF7A0" w14:textId="0AB1357D" w:rsidR="00E7174D" w:rsidRPr="003E10CE" w:rsidRDefault="00CE0DB7" w:rsidP="003E10CE">
            <w:pPr>
              <w:jc w:val="right"/>
              <w:rPr>
                <w:rFonts w:ascii="Arial" w:hAnsi="Arial" w:cs="Arial"/>
                <w:bCs/>
                <w:sz w:val="18"/>
                <w:szCs w:val="18"/>
              </w:rPr>
            </w:pPr>
            <w:r w:rsidRPr="003E10CE">
              <w:rPr>
                <w:rFonts w:ascii="Arial" w:hAnsi="Arial" w:cs="Arial"/>
                <w:sz w:val="18"/>
                <w:szCs w:val="18"/>
              </w:rPr>
              <w:t>–</w:t>
            </w:r>
          </w:p>
        </w:tc>
      </w:tr>
      <w:tr w:rsidR="003E10CE" w14:paraId="69640D64" w14:textId="77777777" w:rsidTr="00FA21A3">
        <w:trPr>
          <w:trHeight w:val="240"/>
        </w:trPr>
        <w:tc>
          <w:tcPr>
            <w:tcW w:w="2712" w:type="pct"/>
            <w:tcBorders>
              <w:top w:val="nil"/>
              <w:left w:val="single" w:sz="4" w:space="0" w:color="auto"/>
              <w:bottom w:val="single" w:sz="4" w:space="0" w:color="auto"/>
              <w:right w:val="nil"/>
            </w:tcBorders>
            <w:shd w:val="clear" w:color="auto" w:fill="auto"/>
            <w:noWrap/>
            <w:vAlign w:val="bottom"/>
          </w:tcPr>
          <w:p w14:paraId="19C4E8B7" w14:textId="77777777" w:rsidR="003E10CE" w:rsidRDefault="003E10CE" w:rsidP="003E10CE">
            <w:pPr>
              <w:rPr>
                <w:rFonts w:ascii="Arial" w:hAnsi="Arial" w:cs="Arial"/>
                <w:sz w:val="18"/>
                <w:szCs w:val="18"/>
              </w:rPr>
            </w:pPr>
            <w:r w:rsidRPr="001231C6">
              <w:rPr>
                <w:rFonts w:ascii="Arial" w:hAnsi="Arial" w:cs="Arial"/>
                <w:sz w:val="18"/>
                <w:szCs w:val="18"/>
              </w:rPr>
              <w:t>Tax on items that will not be reclassified</w:t>
            </w:r>
          </w:p>
        </w:tc>
        <w:tc>
          <w:tcPr>
            <w:tcW w:w="458" w:type="pct"/>
            <w:tcBorders>
              <w:top w:val="nil"/>
              <w:left w:val="nil"/>
              <w:bottom w:val="single" w:sz="4" w:space="0" w:color="auto"/>
              <w:right w:val="nil"/>
            </w:tcBorders>
            <w:shd w:val="clear" w:color="auto" w:fill="auto"/>
            <w:noWrap/>
            <w:vAlign w:val="bottom"/>
          </w:tcPr>
          <w:p w14:paraId="322062CA" w14:textId="77777777" w:rsidR="003E10CE" w:rsidRPr="000F5685" w:rsidRDefault="003E10CE" w:rsidP="003E10CE">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14:paraId="1F7A9C9A" w14:textId="0E625402" w:rsidR="003E10CE" w:rsidRPr="00E44A22" w:rsidRDefault="00E44A22" w:rsidP="003E10CE">
            <w:pPr>
              <w:jc w:val="right"/>
              <w:rPr>
                <w:rFonts w:ascii="Arial" w:hAnsi="Arial" w:cs="Arial"/>
                <w:b/>
                <w:sz w:val="18"/>
                <w:szCs w:val="18"/>
              </w:rPr>
            </w:pPr>
            <w:r w:rsidRPr="00E44A22">
              <w:rPr>
                <w:rFonts w:ascii="Arial" w:hAnsi="Arial" w:cs="Arial"/>
                <w:b/>
                <w:sz w:val="18"/>
                <w:szCs w:val="18"/>
              </w:rPr>
              <w:t>(</w:t>
            </w:r>
            <w:r w:rsidR="003E628C">
              <w:rPr>
                <w:rFonts w:ascii="Arial" w:hAnsi="Arial" w:cs="Arial"/>
                <w:b/>
                <w:sz w:val="18"/>
                <w:szCs w:val="18"/>
              </w:rPr>
              <w:t>5</w:t>
            </w:r>
            <w:r w:rsidR="00CE0DB7">
              <w:rPr>
                <w:rFonts w:ascii="Arial" w:hAnsi="Arial" w:cs="Arial"/>
                <w:b/>
                <w:sz w:val="18"/>
                <w:szCs w:val="18"/>
              </w:rPr>
              <w:t>3</w:t>
            </w:r>
            <w:r w:rsidRPr="00E44A22">
              <w:rPr>
                <w:rFonts w:ascii="Arial" w:hAnsi="Arial" w:cs="Arial"/>
                <w:b/>
                <w:sz w:val="18"/>
                <w:szCs w:val="18"/>
              </w:rPr>
              <w:t>)</w:t>
            </w:r>
          </w:p>
        </w:tc>
        <w:tc>
          <w:tcPr>
            <w:tcW w:w="1097" w:type="pct"/>
            <w:tcBorders>
              <w:top w:val="nil"/>
              <w:left w:val="nil"/>
              <w:bottom w:val="single" w:sz="4" w:space="0" w:color="auto"/>
              <w:right w:val="single" w:sz="4" w:space="0" w:color="auto"/>
            </w:tcBorders>
            <w:shd w:val="clear" w:color="auto" w:fill="auto"/>
            <w:noWrap/>
            <w:vAlign w:val="bottom"/>
          </w:tcPr>
          <w:p w14:paraId="3DD682C8" w14:textId="77777777" w:rsidR="003E10CE" w:rsidRPr="003E10CE" w:rsidRDefault="003E10CE" w:rsidP="003E10CE">
            <w:pPr>
              <w:jc w:val="right"/>
              <w:rPr>
                <w:rFonts w:ascii="Arial" w:hAnsi="Arial" w:cs="Arial"/>
                <w:sz w:val="18"/>
                <w:szCs w:val="18"/>
              </w:rPr>
            </w:pPr>
            <w:r w:rsidRPr="003E10CE">
              <w:rPr>
                <w:rFonts w:ascii="Arial" w:hAnsi="Arial" w:cs="Arial"/>
                <w:sz w:val="18"/>
                <w:szCs w:val="18"/>
              </w:rPr>
              <w:t>16</w:t>
            </w:r>
          </w:p>
        </w:tc>
      </w:tr>
      <w:tr w:rsidR="003E10CE" w14:paraId="0A45ED89" w14:textId="77777777" w:rsidTr="00FA21A3">
        <w:trPr>
          <w:trHeight w:val="240"/>
        </w:trPr>
        <w:tc>
          <w:tcPr>
            <w:tcW w:w="2712" w:type="pct"/>
            <w:tcBorders>
              <w:top w:val="single" w:sz="4" w:space="0" w:color="auto"/>
              <w:left w:val="single" w:sz="4" w:space="0" w:color="auto"/>
              <w:bottom w:val="single" w:sz="4" w:space="0" w:color="auto"/>
              <w:right w:val="nil"/>
            </w:tcBorders>
            <w:shd w:val="clear" w:color="auto" w:fill="auto"/>
            <w:noWrap/>
            <w:vAlign w:val="bottom"/>
          </w:tcPr>
          <w:p w14:paraId="3E62B442" w14:textId="77777777" w:rsidR="003E10CE" w:rsidRPr="004B6E88" w:rsidRDefault="003E10CE" w:rsidP="003E10CE">
            <w:pPr>
              <w:rPr>
                <w:rFonts w:ascii="Arial" w:hAnsi="Arial" w:cs="Arial"/>
                <w:b/>
                <w:sz w:val="18"/>
                <w:szCs w:val="18"/>
              </w:rPr>
            </w:pPr>
            <w:r w:rsidRPr="004B6E88">
              <w:rPr>
                <w:rFonts w:ascii="Arial" w:hAnsi="Arial" w:cs="Arial"/>
                <w:b/>
                <w:sz w:val="18"/>
                <w:szCs w:val="18"/>
              </w:rPr>
              <w:t>Total items that will not be reclassified subsequently to profit or loss</w:t>
            </w:r>
          </w:p>
        </w:tc>
        <w:tc>
          <w:tcPr>
            <w:tcW w:w="458" w:type="pct"/>
            <w:tcBorders>
              <w:top w:val="single" w:sz="4" w:space="0" w:color="auto"/>
              <w:left w:val="nil"/>
              <w:bottom w:val="single" w:sz="4" w:space="0" w:color="auto"/>
              <w:right w:val="nil"/>
            </w:tcBorders>
            <w:shd w:val="clear" w:color="auto" w:fill="auto"/>
            <w:noWrap/>
            <w:vAlign w:val="bottom"/>
          </w:tcPr>
          <w:p w14:paraId="6BAA1646" w14:textId="77777777" w:rsidR="003E10CE" w:rsidRPr="000F5685" w:rsidRDefault="003E10CE" w:rsidP="003E10CE">
            <w:pPr>
              <w:jc w:val="center"/>
              <w:rPr>
                <w:rFonts w:ascii="Arial" w:hAnsi="Arial" w:cs="Arial"/>
                <w:sz w:val="18"/>
                <w:szCs w:val="18"/>
              </w:rPr>
            </w:pPr>
          </w:p>
        </w:tc>
        <w:tc>
          <w:tcPr>
            <w:tcW w:w="733" w:type="pct"/>
            <w:tcBorders>
              <w:top w:val="single" w:sz="4" w:space="0" w:color="auto"/>
              <w:left w:val="nil"/>
              <w:bottom w:val="nil"/>
              <w:right w:val="nil"/>
            </w:tcBorders>
            <w:shd w:val="clear" w:color="auto" w:fill="auto"/>
            <w:noWrap/>
            <w:vAlign w:val="bottom"/>
          </w:tcPr>
          <w:p w14:paraId="77257483" w14:textId="358B0C36" w:rsidR="003E10CE" w:rsidRPr="00E44A22" w:rsidRDefault="00B327EB" w:rsidP="003E10CE">
            <w:pPr>
              <w:jc w:val="right"/>
              <w:rPr>
                <w:rFonts w:ascii="Arial" w:hAnsi="Arial" w:cs="Arial"/>
                <w:b/>
                <w:sz w:val="18"/>
                <w:szCs w:val="18"/>
              </w:rPr>
            </w:pPr>
            <w:r>
              <w:rPr>
                <w:rFonts w:ascii="Arial" w:hAnsi="Arial" w:cs="Arial"/>
                <w:b/>
                <w:sz w:val="18"/>
                <w:szCs w:val="18"/>
              </w:rPr>
              <w:t>1</w:t>
            </w:r>
            <w:r w:rsidR="00CE0DB7">
              <w:rPr>
                <w:rFonts w:ascii="Arial" w:hAnsi="Arial" w:cs="Arial"/>
                <w:b/>
                <w:sz w:val="18"/>
                <w:szCs w:val="18"/>
              </w:rPr>
              <w:t>10</w:t>
            </w:r>
          </w:p>
        </w:tc>
        <w:tc>
          <w:tcPr>
            <w:tcW w:w="1097" w:type="pct"/>
            <w:tcBorders>
              <w:top w:val="single" w:sz="4" w:space="0" w:color="auto"/>
              <w:left w:val="nil"/>
              <w:bottom w:val="single" w:sz="4" w:space="0" w:color="auto"/>
              <w:right w:val="single" w:sz="4" w:space="0" w:color="auto"/>
            </w:tcBorders>
            <w:shd w:val="clear" w:color="auto" w:fill="auto"/>
            <w:noWrap/>
            <w:vAlign w:val="bottom"/>
          </w:tcPr>
          <w:p w14:paraId="72F3B3CE" w14:textId="77777777" w:rsidR="003E10CE" w:rsidRPr="003E10CE" w:rsidRDefault="003E10CE" w:rsidP="003E10CE">
            <w:pPr>
              <w:jc w:val="right"/>
              <w:rPr>
                <w:rFonts w:ascii="Arial" w:hAnsi="Arial" w:cs="Arial"/>
                <w:sz w:val="18"/>
                <w:szCs w:val="18"/>
              </w:rPr>
            </w:pPr>
            <w:r w:rsidRPr="003E10CE">
              <w:rPr>
                <w:rFonts w:ascii="Arial" w:hAnsi="Arial" w:cs="Arial"/>
                <w:bCs/>
                <w:sz w:val="18"/>
                <w:szCs w:val="18"/>
              </w:rPr>
              <w:t>(42)</w:t>
            </w:r>
          </w:p>
        </w:tc>
      </w:tr>
      <w:tr w:rsidR="003E10CE" w14:paraId="68603E46" w14:textId="77777777" w:rsidTr="00FA21A3">
        <w:trPr>
          <w:trHeight w:val="240"/>
        </w:trPr>
        <w:tc>
          <w:tcPr>
            <w:tcW w:w="2712" w:type="pct"/>
            <w:tcBorders>
              <w:top w:val="single" w:sz="4" w:space="0" w:color="auto"/>
              <w:left w:val="single" w:sz="4" w:space="0" w:color="auto"/>
              <w:bottom w:val="nil"/>
              <w:right w:val="nil"/>
            </w:tcBorders>
            <w:shd w:val="clear" w:color="auto" w:fill="auto"/>
            <w:noWrap/>
            <w:vAlign w:val="bottom"/>
          </w:tcPr>
          <w:p w14:paraId="37B65273" w14:textId="77777777" w:rsidR="003E10CE" w:rsidRPr="000F5685" w:rsidRDefault="003E10CE" w:rsidP="003E10CE">
            <w:pPr>
              <w:rPr>
                <w:rFonts w:ascii="Arial" w:hAnsi="Arial" w:cs="Arial"/>
                <w:sz w:val="18"/>
                <w:szCs w:val="18"/>
              </w:rPr>
            </w:pPr>
            <w:r>
              <w:rPr>
                <w:rFonts w:ascii="Arial" w:hAnsi="Arial" w:cs="Arial"/>
                <w:sz w:val="18"/>
                <w:szCs w:val="18"/>
              </w:rPr>
              <w:t>Currency translation differences</w:t>
            </w:r>
            <w:r w:rsidRPr="002A7D7A">
              <w:rPr>
                <w:rFonts w:ascii="Arial" w:hAnsi="Arial" w:cs="Arial"/>
                <w:sz w:val="18"/>
                <w:szCs w:val="18"/>
              </w:rPr>
              <w:t xml:space="preserve"> </w:t>
            </w:r>
          </w:p>
        </w:tc>
        <w:tc>
          <w:tcPr>
            <w:tcW w:w="458" w:type="pct"/>
            <w:tcBorders>
              <w:top w:val="single" w:sz="4" w:space="0" w:color="auto"/>
              <w:left w:val="nil"/>
              <w:bottom w:val="nil"/>
              <w:right w:val="nil"/>
            </w:tcBorders>
            <w:shd w:val="clear" w:color="auto" w:fill="auto"/>
            <w:noWrap/>
            <w:vAlign w:val="bottom"/>
          </w:tcPr>
          <w:p w14:paraId="6885C9A9" w14:textId="77777777" w:rsidR="003E10CE" w:rsidRPr="000F5685" w:rsidRDefault="003E10CE" w:rsidP="003E10CE">
            <w:pPr>
              <w:jc w:val="center"/>
              <w:rPr>
                <w:rFonts w:ascii="Arial" w:hAnsi="Arial" w:cs="Arial"/>
                <w:sz w:val="18"/>
                <w:szCs w:val="18"/>
              </w:rPr>
            </w:pPr>
          </w:p>
        </w:tc>
        <w:tc>
          <w:tcPr>
            <w:tcW w:w="733" w:type="pct"/>
            <w:tcBorders>
              <w:top w:val="single" w:sz="4" w:space="0" w:color="auto"/>
              <w:left w:val="nil"/>
              <w:bottom w:val="nil"/>
              <w:right w:val="nil"/>
            </w:tcBorders>
            <w:shd w:val="clear" w:color="auto" w:fill="auto"/>
            <w:noWrap/>
            <w:vAlign w:val="bottom"/>
          </w:tcPr>
          <w:p w14:paraId="6F9647F6" w14:textId="77777777" w:rsidR="003E10CE" w:rsidRPr="00E44A22" w:rsidRDefault="003E10CE" w:rsidP="003E10CE">
            <w:pPr>
              <w:jc w:val="right"/>
              <w:rPr>
                <w:rFonts w:ascii="Arial" w:hAnsi="Arial" w:cs="Arial"/>
                <w:b/>
                <w:sz w:val="18"/>
                <w:szCs w:val="18"/>
              </w:rPr>
            </w:pPr>
          </w:p>
        </w:tc>
        <w:tc>
          <w:tcPr>
            <w:tcW w:w="1097" w:type="pct"/>
            <w:tcBorders>
              <w:top w:val="single" w:sz="4" w:space="0" w:color="auto"/>
              <w:left w:val="nil"/>
              <w:bottom w:val="nil"/>
              <w:right w:val="single" w:sz="4" w:space="0" w:color="auto"/>
            </w:tcBorders>
            <w:shd w:val="clear" w:color="auto" w:fill="auto"/>
            <w:noWrap/>
            <w:vAlign w:val="bottom"/>
          </w:tcPr>
          <w:p w14:paraId="735393F6" w14:textId="77777777" w:rsidR="003E10CE" w:rsidRPr="003E10CE" w:rsidRDefault="003E10CE" w:rsidP="003E10CE">
            <w:pPr>
              <w:jc w:val="right"/>
              <w:rPr>
                <w:rFonts w:ascii="Arial" w:hAnsi="Arial" w:cs="Arial"/>
                <w:sz w:val="18"/>
                <w:szCs w:val="18"/>
              </w:rPr>
            </w:pPr>
          </w:p>
        </w:tc>
      </w:tr>
      <w:tr w:rsidR="003E10CE" w14:paraId="23258B66" w14:textId="77777777" w:rsidTr="00FA21A3">
        <w:trPr>
          <w:trHeight w:val="240"/>
        </w:trPr>
        <w:tc>
          <w:tcPr>
            <w:tcW w:w="2712" w:type="pct"/>
            <w:tcBorders>
              <w:top w:val="nil"/>
              <w:left w:val="single" w:sz="4" w:space="0" w:color="auto"/>
              <w:bottom w:val="nil"/>
              <w:right w:val="nil"/>
            </w:tcBorders>
            <w:shd w:val="clear" w:color="auto" w:fill="auto"/>
            <w:noWrap/>
            <w:vAlign w:val="bottom"/>
          </w:tcPr>
          <w:p w14:paraId="4F41F1A6" w14:textId="77777777" w:rsidR="003E10CE" w:rsidRPr="002A7D7A" w:rsidRDefault="003E10CE" w:rsidP="003E10CE">
            <w:pPr>
              <w:ind w:left="220"/>
              <w:rPr>
                <w:rFonts w:ascii="Arial" w:hAnsi="Arial" w:cs="Arial"/>
                <w:sz w:val="18"/>
                <w:szCs w:val="18"/>
              </w:rPr>
            </w:pPr>
            <w:r>
              <w:rPr>
                <w:rFonts w:ascii="Arial" w:hAnsi="Arial" w:cs="Arial"/>
                <w:sz w:val="18"/>
                <w:szCs w:val="18"/>
              </w:rPr>
              <w:t>Group</w:t>
            </w:r>
          </w:p>
        </w:tc>
        <w:tc>
          <w:tcPr>
            <w:tcW w:w="458" w:type="pct"/>
            <w:tcBorders>
              <w:top w:val="nil"/>
              <w:left w:val="nil"/>
              <w:bottom w:val="nil"/>
              <w:right w:val="nil"/>
            </w:tcBorders>
            <w:shd w:val="clear" w:color="auto" w:fill="auto"/>
            <w:noWrap/>
            <w:vAlign w:val="bottom"/>
          </w:tcPr>
          <w:p w14:paraId="2FE04E90" w14:textId="77777777" w:rsidR="003E10CE" w:rsidRPr="000F5685" w:rsidRDefault="003E10CE" w:rsidP="003E10CE">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14:paraId="4B32BB4F" w14:textId="053F513B" w:rsidR="003E10CE" w:rsidRPr="00E44A22" w:rsidRDefault="00E44A22" w:rsidP="003E10CE">
            <w:pPr>
              <w:jc w:val="right"/>
              <w:rPr>
                <w:rFonts w:ascii="Arial" w:hAnsi="Arial" w:cs="Arial"/>
                <w:b/>
                <w:sz w:val="18"/>
                <w:szCs w:val="18"/>
              </w:rPr>
            </w:pPr>
            <w:r w:rsidRPr="00E44A22">
              <w:rPr>
                <w:rFonts w:ascii="Arial" w:hAnsi="Arial" w:cs="Arial"/>
                <w:b/>
                <w:sz w:val="18"/>
                <w:szCs w:val="18"/>
              </w:rPr>
              <w:t>(4</w:t>
            </w:r>
            <w:r w:rsidR="00945414">
              <w:rPr>
                <w:rFonts w:ascii="Arial" w:hAnsi="Arial" w:cs="Arial"/>
                <w:b/>
                <w:sz w:val="18"/>
                <w:szCs w:val="18"/>
              </w:rPr>
              <w:t>6</w:t>
            </w:r>
            <w:r w:rsidRPr="00E44A22">
              <w:rPr>
                <w:rFonts w:ascii="Arial" w:hAnsi="Arial" w:cs="Arial"/>
                <w:b/>
                <w:sz w:val="18"/>
                <w:szCs w:val="18"/>
              </w:rPr>
              <w:t>)</w:t>
            </w:r>
          </w:p>
        </w:tc>
        <w:tc>
          <w:tcPr>
            <w:tcW w:w="1097" w:type="pct"/>
            <w:tcBorders>
              <w:top w:val="nil"/>
              <w:left w:val="nil"/>
              <w:bottom w:val="nil"/>
              <w:right w:val="single" w:sz="4" w:space="0" w:color="auto"/>
            </w:tcBorders>
            <w:shd w:val="clear" w:color="auto" w:fill="auto"/>
            <w:noWrap/>
            <w:vAlign w:val="bottom"/>
          </w:tcPr>
          <w:p w14:paraId="7448AD19" w14:textId="77777777" w:rsidR="003E10CE" w:rsidRPr="003E10CE" w:rsidRDefault="003E10CE" w:rsidP="003E10CE">
            <w:pPr>
              <w:jc w:val="right"/>
              <w:rPr>
                <w:rFonts w:ascii="Arial" w:hAnsi="Arial" w:cs="Arial"/>
                <w:sz w:val="18"/>
                <w:szCs w:val="18"/>
              </w:rPr>
            </w:pPr>
            <w:r w:rsidRPr="003E10CE">
              <w:rPr>
                <w:rFonts w:ascii="Arial" w:hAnsi="Arial" w:cs="Arial"/>
                <w:bCs/>
                <w:sz w:val="18"/>
                <w:szCs w:val="18"/>
              </w:rPr>
              <w:t>84</w:t>
            </w:r>
          </w:p>
        </w:tc>
      </w:tr>
      <w:tr w:rsidR="003E10CE" w14:paraId="4C1643D4" w14:textId="77777777" w:rsidTr="00FA21A3">
        <w:trPr>
          <w:trHeight w:val="240"/>
        </w:trPr>
        <w:tc>
          <w:tcPr>
            <w:tcW w:w="2712" w:type="pct"/>
            <w:tcBorders>
              <w:top w:val="nil"/>
              <w:left w:val="single" w:sz="4" w:space="0" w:color="auto"/>
              <w:bottom w:val="nil"/>
              <w:right w:val="nil"/>
            </w:tcBorders>
            <w:shd w:val="clear" w:color="auto" w:fill="auto"/>
            <w:noWrap/>
            <w:vAlign w:val="bottom"/>
          </w:tcPr>
          <w:p w14:paraId="72619082" w14:textId="77777777" w:rsidR="003E10CE" w:rsidRPr="002A7D7A" w:rsidRDefault="003E10CE" w:rsidP="003E10CE">
            <w:pPr>
              <w:ind w:left="220"/>
              <w:rPr>
                <w:rFonts w:ascii="Arial" w:hAnsi="Arial" w:cs="Arial"/>
                <w:sz w:val="18"/>
                <w:szCs w:val="18"/>
              </w:rPr>
            </w:pPr>
            <w:r>
              <w:rPr>
                <w:rFonts w:ascii="Arial" w:hAnsi="Arial" w:cs="Arial"/>
                <w:sz w:val="18"/>
                <w:szCs w:val="18"/>
              </w:rPr>
              <w:t>Joint ventures and associates</w:t>
            </w:r>
          </w:p>
        </w:tc>
        <w:tc>
          <w:tcPr>
            <w:tcW w:w="458" w:type="pct"/>
            <w:tcBorders>
              <w:top w:val="nil"/>
              <w:left w:val="nil"/>
              <w:bottom w:val="nil"/>
              <w:right w:val="nil"/>
            </w:tcBorders>
            <w:shd w:val="clear" w:color="auto" w:fill="auto"/>
            <w:noWrap/>
            <w:vAlign w:val="bottom"/>
          </w:tcPr>
          <w:p w14:paraId="23F1BDDE" w14:textId="77777777" w:rsidR="003E10CE" w:rsidRPr="000F5685" w:rsidRDefault="003E10CE" w:rsidP="003E10CE">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14:paraId="0C0DC432" w14:textId="658B7104" w:rsidR="003E10CE" w:rsidRPr="00E44A22" w:rsidRDefault="003E10CE" w:rsidP="003E10CE">
            <w:pPr>
              <w:jc w:val="right"/>
              <w:rPr>
                <w:rFonts w:ascii="Arial" w:hAnsi="Arial" w:cs="Arial"/>
                <w:b/>
                <w:sz w:val="18"/>
                <w:szCs w:val="18"/>
              </w:rPr>
            </w:pPr>
            <w:r w:rsidRPr="00E44A22">
              <w:rPr>
                <w:rFonts w:ascii="Arial" w:hAnsi="Arial" w:cs="Arial"/>
                <w:b/>
                <w:bCs/>
                <w:sz w:val="18"/>
                <w:szCs w:val="18"/>
              </w:rPr>
              <w:t>(</w:t>
            </w:r>
            <w:r w:rsidR="009A0BE3">
              <w:rPr>
                <w:rFonts w:ascii="Arial" w:hAnsi="Arial" w:cs="Arial"/>
                <w:b/>
                <w:bCs/>
                <w:sz w:val="18"/>
                <w:szCs w:val="18"/>
              </w:rPr>
              <w:t>2</w:t>
            </w:r>
            <w:r w:rsidRPr="00E44A22">
              <w:rPr>
                <w:rFonts w:ascii="Arial" w:hAnsi="Arial" w:cs="Arial"/>
                <w:b/>
                <w:bCs/>
                <w:sz w:val="18"/>
                <w:szCs w:val="18"/>
              </w:rPr>
              <w:t>)</w:t>
            </w:r>
          </w:p>
        </w:tc>
        <w:tc>
          <w:tcPr>
            <w:tcW w:w="1097" w:type="pct"/>
            <w:tcBorders>
              <w:top w:val="nil"/>
              <w:left w:val="nil"/>
              <w:bottom w:val="nil"/>
              <w:right w:val="single" w:sz="4" w:space="0" w:color="auto"/>
            </w:tcBorders>
            <w:shd w:val="clear" w:color="auto" w:fill="auto"/>
            <w:noWrap/>
            <w:vAlign w:val="bottom"/>
          </w:tcPr>
          <w:p w14:paraId="072C5DC7" w14:textId="77777777" w:rsidR="003E10CE" w:rsidRPr="003E10CE" w:rsidRDefault="003E10CE" w:rsidP="003E10CE">
            <w:pPr>
              <w:jc w:val="right"/>
              <w:rPr>
                <w:rFonts w:ascii="Arial" w:hAnsi="Arial" w:cs="Arial"/>
                <w:sz w:val="18"/>
                <w:szCs w:val="18"/>
              </w:rPr>
            </w:pPr>
            <w:r w:rsidRPr="003E10CE">
              <w:rPr>
                <w:rFonts w:ascii="Arial" w:hAnsi="Arial" w:cs="Arial"/>
                <w:bCs/>
                <w:sz w:val="18"/>
                <w:szCs w:val="18"/>
              </w:rPr>
              <w:t>(1)</w:t>
            </w:r>
          </w:p>
        </w:tc>
      </w:tr>
      <w:tr w:rsidR="00F4075C" w14:paraId="7D5F0D4D" w14:textId="77777777" w:rsidTr="00261128">
        <w:trPr>
          <w:trHeight w:val="240"/>
        </w:trPr>
        <w:tc>
          <w:tcPr>
            <w:tcW w:w="2712" w:type="pct"/>
            <w:tcBorders>
              <w:top w:val="nil"/>
              <w:left w:val="single" w:sz="4" w:space="0" w:color="auto"/>
              <w:bottom w:val="nil"/>
              <w:right w:val="nil"/>
            </w:tcBorders>
            <w:shd w:val="clear" w:color="auto" w:fill="auto"/>
            <w:noWrap/>
            <w:vAlign w:val="bottom"/>
          </w:tcPr>
          <w:p w14:paraId="3ACC4F1A" w14:textId="4F720FB1" w:rsidR="00F4075C" w:rsidRDefault="00F4075C" w:rsidP="00261128">
            <w:pPr>
              <w:rPr>
                <w:rFonts w:ascii="Arial" w:hAnsi="Arial" w:cs="Arial"/>
                <w:sz w:val="18"/>
                <w:szCs w:val="18"/>
              </w:rPr>
            </w:pPr>
            <w:r>
              <w:rPr>
                <w:rFonts w:ascii="Arial" w:hAnsi="Arial" w:cs="Arial"/>
                <w:sz w:val="18"/>
                <w:szCs w:val="18"/>
              </w:rPr>
              <w:t>Inventory cash flow hedges</w:t>
            </w:r>
          </w:p>
        </w:tc>
        <w:tc>
          <w:tcPr>
            <w:tcW w:w="458" w:type="pct"/>
            <w:tcBorders>
              <w:top w:val="nil"/>
              <w:left w:val="nil"/>
              <w:bottom w:val="nil"/>
              <w:right w:val="nil"/>
            </w:tcBorders>
            <w:shd w:val="clear" w:color="auto" w:fill="auto"/>
            <w:noWrap/>
            <w:vAlign w:val="bottom"/>
          </w:tcPr>
          <w:p w14:paraId="4B0378E1" w14:textId="77777777" w:rsidR="00F4075C" w:rsidRPr="000F5685" w:rsidRDefault="00F4075C" w:rsidP="00261128">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14:paraId="5F4137D0" w14:textId="65D0D190" w:rsidR="00F4075C" w:rsidRPr="00E44A22" w:rsidDel="003B5F95" w:rsidRDefault="00F4075C" w:rsidP="00261128">
            <w:pPr>
              <w:jc w:val="right"/>
              <w:rPr>
                <w:rFonts w:ascii="Arial" w:hAnsi="Arial" w:cs="Arial"/>
                <w:b/>
                <w:sz w:val="18"/>
                <w:szCs w:val="18"/>
              </w:rPr>
            </w:pPr>
          </w:p>
        </w:tc>
        <w:tc>
          <w:tcPr>
            <w:tcW w:w="1097" w:type="pct"/>
            <w:tcBorders>
              <w:top w:val="nil"/>
              <w:left w:val="nil"/>
              <w:bottom w:val="nil"/>
              <w:right w:val="single" w:sz="4" w:space="0" w:color="auto"/>
            </w:tcBorders>
            <w:shd w:val="clear" w:color="auto" w:fill="auto"/>
            <w:noWrap/>
            <w:vAlign w:val="bottom"/>
          </w:tcPr>
          <w:p w14:paraId="64070BDD" w14:textId="17048078" w:rsidR="00F4075C" w:rsidRPr="003E10CE" w:rsidRDefault="00F4075C" w:rsidP="00261128">
            <w:pPr>
              <w:jc w:val="right"/>
              <w:rPr>
                <w:rFonts w:ascii="Arial" w:hAnsi="Arial" w:cs="Arial"/>
                <w:bCs/>
                <w:sz w:val="18"/>
                <w:szCs w:val="18"/>
              </w:rPr>
            </w:pPr>
          </w:p>
        </w:tc>
      </w:tr>
      <w:tr w:rsidR="0055735A" w14:paraId="7524955E" w14:textId="77777777" w:rsidTr="00534559">
        <w:trPr>
          <w:trHeight w:val="240"/>
        </w:trPr>
        <w:tc>
          <w:tcPr>
            <w:tcW w:w="2712" w:type="pct"/>
            <w:tcBorders>
              <w:top w:val="nil"/>
              <w:left w:val="single" w:sz="4" w:space="0" w:color="auto"/>
              <w:bottom w:val="nil"/>
              <w:right w:val="nil"/>
            </w:tcBorders>
            <w:shd w:val="clear" w:color="auto" w:fill="auto"/>
            <w:noWrap/>
            <w:vAlign w:val="bottom"/>
          </w:tcPr>
          <w:p w14:paraId="4ADAD176" w14:textId="77777777" w:rsidR="0055735A" w:rsidRPr="000F5685" w:rsidRDefault="0055735A" w:rsidP="00534559">
            <w:pPr>
              <w:ind w:left="220"/>
              <w:rPr>
                <w:rFonts w:ascii="Arial" w:hAnsi="Arial" w:cs="Arial"/>
                <w:sz w:val="18"/>
                <w:szCs w:val="18"/>
              </w:rPr>
            </w:pPr>
            <w:r>
              <w:rPr>
                <w:rFonts w:ascii="Arial" w:hAnsi="Arial" w:cs="Arial"/>
                <w:sz w:val="18"/>
                <w:szCs w:val="18"/>
              </w:rPr>
              <w:t>Fair value losses</w:t>
            </w:r>
          </w:p>
        </w:tc>
        <w:tc>
          <w:tcPr>
            <w:tcW w:w="458" w:type="pct"/>
            <w:tcBorders>
              <w:top w:val="nil"/>
              <w:left w:val="nil"/>
              <w:bottom w:val="nil"/>
              <w:right w:val="nil"/>
            </w:tcBorders>
            <w:shd w:val="clear" w:color="auto" w:fill="auto"/>
            <w:noWrap/>
            <w:vAlign w:val="bottom"/>
          </w:tcPr>
          <w:p w14:paraId="47A26BD1" w14:textId="77777777" w:rsidR="0055735A" w:rsidRPr="000F5685" w:rsidRDefault="0055735A" w:rsidP="00534559">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14:paraId="3D0F037F" w14:textId="691BEDDE" w:rsidR="0055735A" w:rsidRPr="00E44A22" w:rsidRDefault="00402654" w:rsidP="00534559">
            <w:pPr>
              <w:jc w:val="right"/>
              <w:rPr>
                <w:rFonts w:ascii="Arial" w:hAnsi="Arial" w:cs="Arial"/>
                <w:b/>
                <w:sz w:val="18"/>
                <w:szCs w:val="18"/>
              </w:rPr>
            </w:pPr>
            <w:r w:rsidRPr="00AC58B6">
              <w:rPr>
                <w:rFonts w:ascii="Arial" w:hAnsi="Arial" w:cs="Arial"/>
                <w:b/>
                <w:sz w:val="18"/>
                <w:szCs w:val="18"/>
              </w:rPr>
              <w:t>–</w:t>
            </w:r>
          </w:p>
        </w:tc>
        <w:tc>
          <w:tcPr>
            <w:tcW w:w="1097" w:type="pct"/>
            <w:tcBorders>
              <w:top w:val="nil"/>
              <w:left w:val="nil"/>
              <w:bottom w:val="nil"/>
              <w:right w:val="single" w:sz="4" w:space="0" w:color="auto"/>
            </w:tcBorders>
            <w:shd w:val="clear" w:color="auto" w:fill="auto"/>
            <w:noWrap/>
            <w:vAlign w:val="bottom"/>
          </w:tcPr>
          <w:p w14:paraId="0405FF6C" w14:textId="77777777" w:rsidR="0055735A" w:rsidRPr="003E10CE" w:rsidRDefault="0055735A" w:rsidP="00534559">
            <w:pPr>
              <w:jc w:val="right"/>
              <w:rPr>
                <w:rFonts w:ascii="Arial" w:hAnsi="Arial" w:cs="Arial"/>
                <w:sz w:val="18"/>
                <w:szCs w:val="18"/>
              </w:rPr>
            </w:pPr>
            <w:r w:rsidRPr="003E10CE">
              <w:rPr>
                <w:rFonts w:ascii="Arial" w:hAnsi="Arial" w:cs="Arial"/>
                <w:bCs/>
                <w:sz w:val="18"/>
                <w:szCs w:val="18"/>
              </w:rPr>
              <w:t>(93)</w:t>
            </w:r>
          </w:p>
        </w:tc>
      </w:tr>
      <w:tr w:rsidR="0055735A" w14:paraId="58DA5625" w14:textId="77777777" w:rsidTr="00534559">
        <w:trPr>
          <w:trHeight w:val="240"/>
        </w:trPr>
        <w:tc>
          <w:tcPr>
            <w:tcW w:w="2712" w:type="pct"/>
            <w:tcBorders>
              <w:top w:val="nil"/>
              <w:left w:val="single" w:sz="4" w:space="0" w:color="auto"/>
              <w:bottom w:val="nil"/>
              <w:right w:val="nil"/>
            </w:tcBorders>
            <w:shd w:val="clear" w:color="auto" w:fill="auto"/>
            <w:noWrap/>
            <w:vAlign w:val="bottom"/>
          </w:tcPr>
          <w:p w14:paraId="17832DC3" w14:textId="2FD9BE95" w:rsidR="0055735A" w:rsidRPr="000F5685" w:rsidRDefault="0055735A" w:rsidP="00534559">
            <w:pPr>
              <w:ind w:left="220"/>
              <w:rPr>
                <w:rFonts w:ascii="Arial" w:hAnsi="Arial" w:cs="Arial"/>
                <w:sz w:val="18"/>
                <w:szCs w:val="18"/>
              </w:rPr>
            </w:pPr>
            <w:r>
              <w:rPr>
                <w:rFonts w:ascii="Arial" w:hAnsi="Arial" w:cs="Arial"/>
                <w:sz w:val="18"/>
                <w:szCs w:val="18"/>
              </w:rPr>
              <w:t>Losses</w:t>
            </w:r>
            <w:r w:rsidRPr="00EB6401">
              <w:rPr>
                <w:rFonts w:ascii="Arial" w:hAnsi="Arial" w:cs="Arial"/>
                <w:sz w:val="18"/>
                <w:szCs w:val="18"/>
              </w:rPr>
              <w:t xml:space="preserve"> transferred to </w:t>
            </w:r>
            <w:r>
              <w:rPr>
                <w:rFonts w:ascii="Arial" w:hAnsi="Arial" w:cs="Arial"/>
                <w:sz w:val="18"/>
                <w:szCs w:val="18"/>
              </w:rPr>
              <w:t>inventories</w:t>
            </w:r>
          </w:p>
        </w:tc>
        <w:tc>
          <w:tcPr>
            <w:tcW w:w="458" w:type="pct"/>
            <w:tcBorders>
              <w:top w:val="nil"/>
              <w:left w:val="nil"/>
              <w:bottom w:val="nil"/>
              <w:right w:val="nil"/>
            </w:tcBorders>
            <w:shd w:val="clear" w:color="auto" w:fill="auto"/>
            <w:noWrap/>
            <w:vAlign w:val="bottom"/>
          </w:tcPr>
          <w:p w14:paraId="1E7F5A00" w14:textId="77777777" w:rsidR="0055735A" w:rsidRPr="000F5685" w:rsidRDefault="0055735A" w:rsidP="00534559">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14:paraId="16AC6268" w14:textId="6F8148A5" w:rsidR="0055735A" w:rsidRPr="003E10CE" w:rsidRDefault="00402654" w:rsidP="00534559">
            <w:pPr>
              <w:jc w:val="right"/>
              <w:rPr>
                <w:rFonts w:ascii="Arial" w:hAnsi="Arial" w:cs="Arial"/>
                <w:b/>
                <w:sz w:val="18"/>
                <w:szCs w:val="18"/>
                <w:highlight w:val="yellow"/>
              </w:rPr>
            </w:pPr>
            <w:r w:rsidRPr="00AC58B6">
              <w:rPr>
                <w:rFonts w:ascii="Arial" w:hAnsi="Arial" w:cs="Arial"/>
                <w:b/>
                <w:sz w:val="18"/>
                <w:szCs w:val="18"/>
              </w:rPr>
              <w:t>–</w:t>
            </w:r>
          </w:p>
        </w:tc>
        <w:tc>
          <w:tcPr>
            <w:tcW w:w="1097" w:type="pct"/>
            <w:tcBorders>
              <w:top w:val="nil"/>
              <w:left w:val="nil"/>
              <w:bottom w:val="nil"/>
              <w:right w:val="single" w:sz="4" w:space="0" w:color="auto"/>
            </w:tcBorders>
            <w:shd w:val="clear" w:color="auto" w:fill="auto"/>
            <w:noWrap/>
            <w:vAlign w:val="bottom"/>
          </w:tcPr>
          <w:p w14:paraId="6E47F04B" w14:textId="2C2139A7" w:rsidR="0055735A" w:rsidRPr="003E10CE" w:rsidRDefault="0055735A" w:rsidP="00534559">
            <w:pPr>
              <w:jc w:val="right"/>
              <w:rPr>
                <w:rFonts w:ascii="Arial" w:hAnsi="Arial" w:cs="Arial"/>
                <w:sz w:val="18"/>
                <w:szCs w:val="18"/>
              </w:rPr>
            </w:pPr>
            <w:r>
              <w:rPr>
                <w:rFonts w:ascii="Arial" w:hAnsi="Arial" w:cs="Arial"/>
                <w:sz w:val="18"/>
                <w:szCs w:val="18"/>
              </w:rPr>
              <w:t>20</w:t>
            </w:r>
          </w:p>
        </w:tc>
      </w:tr>
      <w:tr w:rsidR="003E10CE" w14:paraId="746F650A" w14:textId="77777777" w:rsidTr="00FA21A3">
        <w:trPr>
          <w:trHeight w:val="240"/>
        </w:trPr>
        <w:tc>
          <w:tcPr>
            <w:tcW w:w="2712" w:type="pct"/>
            <w:tcBorders>
              <w:top w:val="nil"/>
              <w:left w:val="single" w:sz="4" w:space="0" w:color="auto"/>
              <w:bottom w:val="nil"/>
              <w:right w:val="nil"/>
            </w:tcBorders>
            <w:shd w:val="clear" w:color="auto" w:fill="auto"/>
            <w:noWrap/>
            <w:vAlign w:val="bottom"/>
          </w:tcPr>
          <w:p w14:paraId="0D350020" w14:textId="326037CE" w:rsidR="003E10CE" w:rsidRPr="000F5685" w:rsidRDefault="003B5F95" w:rsidP="003E10CE">
            <w:pPr>
              <w:rPr>
                <w:rFonts w:ascii="Arial" w:hAnsi="Arial" w:cs="Arial"/>
                <w:sz w:val="18"/>
                <w:szCs w:val="18"/>
              </w:rPr>
            </w:pPr>
            <w:r>
              <w:rPr>
                <w:rFonts w:ascii="Arial" w:hAnsi="Arial" w:cs="Arial"/>
                <w:sz w:val="18"/>
                <w:szCs w:val="18"/>
              </w:rPr>
              <w:t>Other c</w:t>
            </w:r>
            <w:r w:rsidR="003E10CE" w:rsidRPr="002A7D7A">
              <w:rPr>
                <w:rFonts w:ascii="Arial" w:hAnsi="Arial" w:cs="Arial"/>
                <w:sz w:val="18"/>
                <w:szCs w:val="18"/>
              </w:rPr>
              <w:t>ash flow hedges</w:t>
            </w:r>
          </w:p>
        </w:tc>
        <w:tc>
          <w:tcPr>
            <w:tcW w:w="458" w:type="pct"/>
            <w:tcBorders>
              <w:top w:val="nil"/>
              <w:left w:val="nil"/>
              <w:bottom w:val="nil"/>
              <w:right w:val="nil"/>
            </w:tcBorders>
            <w:shd w:val="clear" w:color="auto" w:fill="auto"/>
            <w:noWrap/>
            <w:vAlign w:val="bottom"/>
          </w:tcPr>
          <w:p w14:paraId="45527283" w14:textId="77777777" w:rsidR="003E10CE" w:rsidRPr="000F5685" w:rsidRDefault="003E10CE" w:rsidP="003E10CE">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14:paraId="06FFEFD9" w14:textId="77777777" w:rsidR="003E10CE" w:rsidRPr="00E44A22" w:rsidRDefault="003E10CE" w:rsidP="003E10CE">
            <w:pPr>
              <w:jc w:val="right"/>
              <w:rPr>
                <w:rFonts w:ascii="Arial" w:hAnsi="Arial" w:cs="Arial"/>
                <w:b/>
                <w:bCs/>
                <w:sz w:val="18"/>
                <w:szCs w:val="18"/>
              </w:rPr>
            </w:pPr>
          </w:p>
        </w:tc>
        <w:tc>
          <w:tcPr>
            <w:tcW w:w="1097" w:type="pct"/>
            <w:tcBorders>
              <w:top w:val="nil"/>
              <w:left w:val="nil"/>
              <w:bottom w:val="nil"/>
              <w:right w:val="single" w:sz="4" w:space="0" w:color="auto"/>
            </w:tcBorders>
            <w:shd w:val="clear" w:color="auto" w:fill="auto"/>
            <w:noWrap/>
            <w:vAlign w:val="bottom"/>
          </w:tcPr>
          <w:p w14:paraId="23A10CA9" w14:textId="77777777" w:rsidR="003E10CE" w:rsidRPr="003E10CE" w:rsidRDefault="003E10CE" w:rsidP="003E10CE">
            <w:pPr>
              <w:jc w:val="right"/>
              <w:rPr>
                <w:rFonts w:ascii="Arial" w:hAnsi="Arial" w:cs="Arial"/>
                <w:bCs/>
                <w:sz w:val="18"/>
                <w:szCs w:val="18"/>
              </w:rPr>
            </w:pPr>
          </w:p>
        </w:tc>
      </w:tr>
      <w:tr w:rsidR="003E10CE" w14:paraId="6CD08FFB" w14:textId="77777777" w:rsidTr="00FA21A3">
        <w:trPr>
          <w:trHeight w:val="240"/>
        </w:trPr>
        <w:tc>
          <w:tcPr>
            <w:tcW w:w="2712" w:type="pct"/>
            <w:tcBorders>
              <w:top w:val="nil"/>
              <w:left w:val="single" w:sz="4" w:space="0" w:color="auto"/>
              <w:bottom w:val="nil"/>
              <w:right w:val="nil"/>
            </w:tcBorders>
            <w:shd w:val="clear" w:color="auto" w:fill="auto"/>
            <w:noWrap/>
            <w:vAlign w:val="bottom"/>
          </w:tcPr>
          <w:p w14:paraId="708432EE" w14:textId="28DA9C4A" w:rsidR="003E10CE" w:rsidRPr="000F5685" w:rsidRDefault="003E10CE" w:rsidP="003E10CE">
            <w:pPr>
              <w:ind w:left="220"/>
              <w:rPr>
                <w:rFonts w:ascii="Arial" w:hAnsi="Arial" w:cs="Arial"/>
                <w:sz w:val="18"/>
                <w:szCs w:val="18"/>
              </w:rPr>
            </w:pPr>
            <w:r>
              <w:rPr>
                <w:rFonts w:ascii="Arial" w:hAnsi="Arial" w:cs="Arial"/>
                <w:sz w:val="18"/>
                <w:szCs w:val="18"/>
              </w:rPr>
              <w:t>Fair value losses</w:t>
            </w:r>
          </w:p>
        </w:tc>
        <w:tc>
          <w:tcPr>
            <w:tcW w:w="458" w:type="pct"/>
            <w:tcBorders>
              <w:top w:val="nil"/>
              <w:left w:val="nil"/>
              <w:bottom w:val="nil"/>
              <w:right w:val="nil"/>
            </w:tcBorders>
            <w:shd w:val="clear" w:color="auto" w:fill="auto"/>
            <w:noWrap/>
            <w:vAlign w:val="bottom"/>
          </w:tcPr>
          <w:p w14:paraId="1AA2CFDF" w14:textId="77777777" w:rsidR="003E10CE" w:rsidRPr="000F5685" w:rsidRDefault="003E10CE" w:rsidP="003E10CE">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14:paraId="730D57C7" w14:textId="65AA7C93" w:rsidR="003E10CE" w:rsidRPr="00E44A22" w:rsidRDefault="003B5F95" w:rsidP="003E10CE">
            <w:pPr>
              <w:jc w:val="right"/>
              <w:rPr>
                <w:rFonts w:ascii="Arial" w:hAnsi="Arial" w:cs="Arial"/>
                <w:b/>
                <w:sz w:val="18"/>
                <w:szCs w:val="18"/>
              </w:rPr>
            </w:pPr>
            <w:r>
              <w:rPr>
                <w:rFonts w:ascii="Arial" w:hAnsi="Arial" w:cs="Arial"/>
                <w:b/>
                <w:sz w:val="18"/>
                <w:szCs w:val="18"/>
              </w:rPr>
              <w:t>(2)</w:t>
            </w:r>
          </w:p>
        </w:tc>
        <w:tc>
          <w:tcPr>
            <w:tcW w:w="1097" w:type="pct"/>
            <w:tcBorders>
              <w:top w:val="nil"/>
              <w:left w:val="nil"/>
              <w:bottom w:val="nil"/>
              <w:right w:val="single" w:sz="4" w:space="0" w:color="auto"/>
            </w:tcBorders>
            <w:shd w:val="clear" w:color="auto" w:fill="auto"/>
            <w:noWrap/>
            <w:vAlign w:val="bottom"/>
          </w:tcPr>
          <w:p w14:paraId="61ED6F38" w14:textId="22C13870" w:rsidR="003E10CE" w:rsidRPr="003E10CE" w:rsidRDefault="0055735A" w:rsidP="003E10CE">
            <w:pPr>
              <w:jc w:val="right"/>
              <w:rPr>
                <w:rFonts w:ascii="Arial" w:hAnsi="Arial" w:cs="Arial"/>
                <w:sz w:val="18"/>
                <w:szCs w:val="18"/>
              </w:rPr>
            </w:pPr>
            <w:r w:rsidRPr="003E10CE">
              <w:rPr>
                <w:rFonts w:ascii="Arial" w:hAnsi="Arial" w:cs="Arial"/>
                <w:sz w:val="18"/>
                <w:szCs w:val="18"/>
              </w:rPr>
              <w:t>–</w:t>
            </w:r>
          </w:p>
        </w:tc>
      </w:tr>
      <w:tr w:rsidR="009A0BE3" w14:paraId="05ED6051" w14:textId="77777777" w:rsidTr="00261128">
        <w:trPr>
          <w:trHeight w:val="240"/>
        </w:trPr>
        <w:tc>
          <w:tcPr>
            <w:tcW w:w="2712" w:type="pct"/>
            <w:tcBorders>
              <w:top w:val="nil"/>
              <w:left w:val="single" w:sz="4" w:space="0" w:color="auto"/>
              <w:bottom w:val="nil"/>
              <w:right w:val="nil"/>
            </w:tcBorders>
            <w:shd w:val="clear" w:color="auto" w:fill="auto"/>
            <w:noWrap/>
            <w:vAlign w:val="bottom"/>
          </w:tcPr>
          <w:p w14:paraId="027AE8A2" w14:textId="77777777" w:rsidR="009A0BE3" w:rsidRPr="000F5685" w:rsidRDefault="009A0BE3" w:rsidP="00261128">
            <w:pPr>
              <w:ind w:left="220"/>
              <w:rPr>
                <w:rFonts w:ascii="Arial" w:hAnsi="Arial" w:cs="Arial"/>
                <w:sz w:val="18"/>
                <w:szCs w:val="18"/>
              </w:rPr>
            </w:pPr>
            <w:r>
              <w:rPr>
                <w:rFonts w:ascii="Arial" w:hAnsi="Arial" w:cs="Arial"/>
                <w:sz w:val="18"/>
                <w:szCs w:val="18"/>
              </w:rPr>
              <w:t>Losses</w:t>
            </w:r>
            <w:r w:rsidRPr="00EB6401">
              <w:rPr>
                <w:rFonts w:ascii="Arial" w:hAnsi="Arial" w:cs="Arial"/>
                <w:sz w:val="18"/>
                <w:szCs w:val="18"/>
              </w:rPr>
              <w:t xml:space="preserve"> transferred to </w:t>
            </w:r>
            <w:r>
              <w:rPr>
                <w:rFonts w:ascii="Arial" w:hAnsi="Arial" w:cs="Arial"/>
                <w:sz w:val="18"/>
                <w:szCs w:val="18"/>
              </w:rPr>
              <w:t>income statement</w:t>
            </w:r>
          </w:p>
        </w:tc>
        <w:tc>
          <w:tcPr>
            <w:tcW w:w="458" w:type="pct"/>
            <w:tcBorders>
              <w:top w:val="nil"/>
              <w:left w:val="nil"/>
              <w:bottom w:val="nil"/>
              <w:right w:val="nil"/>
            </w:tcBorders>
            <w:shd w:val="clear" w:color="auto" w:fill="auto"/>
            <w:noWrap/>
            <w:vAlign w:val="bottom"/>
          </w:tcPr>
          <w:p w14:paraId="403B36CA" w14:textId="77777777" w:rsidR="009A0BE3" w:rsidRPr="000F5685" w:rsidRDefault="009A0BE3" w:rsidP="00261128">
            <w:pPr>
              <w:jc w:val="center"/>
              <w:rPr>
                <w:rFonts w:ascii="Arial" w:hAnsi="Arial" w:cs="Arial"/>
                <w:sz w:val="18"/>
                <w:szCs w:val="18"/>
              </w:rPr>
            </w:pPr>
          </w:p>
        </w:tc>
        <w:tc>
          <w:tcPr>
            <w:tcW w:w="733" w:type="pct"/>
            <w:tcBorders>
              <w:top w:val="nil"/>
              <w:left w:val="nil"/>
              <w:bottom w:val="nil"/>
              <w:right w:val="nil"/>
            </w:tcBorders>
            <w:shd w:val="clear" w:color="auto" w:fill="auto"/>
            <w:noWrap/>
            <w:vAlign w:val="bottom"/>
          </w:tcPr>
          <w:p w14:paraId="3AB1B61B" w14:textId="77777777" w:rsidR="009A0BE3" w:rsidRPr="003E10CE" w:rsidRDefault="009A0BE3" w:rsidP="00261128">
            <w:pPr>
              <w:jc w:val="right"/>
              <w:rPr>
                <w:rFonts w:ascii="Arial" w:hAnsi="Arial" w:cs="Arial"/>
                <w:b/>
                <w:sz w:val="18"/>
                <w:szCs w:val="18"/>
                <w:highlight w:val="yellow"/>
              </w:rPr>
            </w:pPr>
            <w:r w:rsidRPr="0044058C">
              <w:rPr>
                <w:rFonts w:ascii="Arial" w:hAnsi="Arial" w:cs="Arial"/>
                <w:b/>
                <w:sz w:val="18"/>
                <w:szCs w:val="18"/>
              </w:rPr>
              <w:t>2</w:t>
            </w:r>
          </w:p>
        </w:tc>
        <w:tc>
          <w:tcPr>
            <w:tcW w:w="1097" w:type="pct"/>
            <w:tcBorders>
              <w:top w:val="nil"/>
              <w:left w:val="nil"/>
              <w:bottom w:val="nil"/>
              <w:right w:val="single" w:sz="4" w:space="0" w:color="auto"/>
            </w:tcBorders>
            <w:shd w:val="clear" w:color="auto" w:fill="auto"/>
            <w:noWrap/>
            <w:vAlign w:val="bottom"/>
          </w:tcPr>
          <w:p w14:paraId="4EA408AB" w14:textId="77777777" w:rsidR="009A0BE3" w:rsidRPr="003E10CE" w:rsidRDefault="009A0BE3" w:rsidP="00261128">
            <w:pPr>
              <w:jc w:val="right"/>
              <w:rPr>
                <w:rFonts w:ascii="Arial" w:hAnsi="Arial" w:cs="Arial"/>
                <w:sz w:val="18"/>
                <w:szCs w:val="18"/>
              </w:rPr>
            </w:pPr>
            <w:r w:rsidRPr="003E10CE">
              <w:rPr>
                <w:rFonts w:ascii="Arial" w:hAnsi="Arial" w:cs="Arial"/>
                <w:sz w:val="18"/>
                <w:szCs w:val="18"/>
              </w:rPr>
              <w:t>–</w:t>
            </w:r>
          </w:p>
        </w:tc>
      </w:tr>
      <w:tr w:rsidR="00FD10BD" w14:paraId="5EF7838A" w14:textId="77777777" w:rsidTr="00FA21A3">
        <w:trPr>
          <w:trHeight w:val="240"/>
        </w:trPr>
        <w:tc>
          <w:tcPr>
            <w:tcW w:w="2712" w:type="pct"/>
            <w:tcBorders>
              <w:top w:val="nil"/>
              <w:left w:val="single" w:sz="4" w:space="0" w:color="auto"/>
              <w:bottom w:val="single" w:sz="4" w:space="0" w:color="auto"/>
              <w:right w:val="nil"/>
            </w:tcBorders>
            <w:shd w:val="clear" w:color="auto" w:fill="auto"/>
            <w:noWrap/>
            <w:vAlign w:val="bottom"/>
          </w:tcPr>
          <w:p w14:paraId="7F881219" w14:textId="77777777" w:rsidR="00FD10BD" w:rsidRPr="000F5685" w:rsidRDefault="00FD10BD" w:rsidP="00FD10BD">
            <w:pPr>
              <w:rPr>
                <w:rFonts w:ascii="Arial" w:hAnsi="Arial" w:cs="Arial"/>
                <w:sz w:val="18"/>
                <w:szCs w:val="18"/>
              </w:rPr>
            </w:pPr>
            <w:r w:rsidRPr="001231C6">
              <w:rPr>
                <w:rFonts w:ascii="Arial" w:hAnsi="Arial" w:cs="Arial"/>
                <w:sz w:val="18"/>
                <w:szCs w:val="18"/>
              </w:rPr>
              <w:t>Tax on items that may be reclassified</w:t>
            </w:r>
          </w:p>
        </w:tc>
        <w:tc>
          <w:tcPr>
            <w:tcW w:w="458" w:type="pct"/>
            <w:tcBorders>
              <w:top w:val="nil"/>
              <w:left w:val="nil"/>
              <w:bottom w:val="single" w:sz="4" w:space="0" w:color="auto"/>
              <w:right w:val="nil"/>
            </w:tcBorders>
            <w:shd w:val="clear" w:color="auto" w:fill="auto"/>
            <w:noWrap/>
            <w:vAlign w:val="bottom"/>
          </w:tcPr>
          <w:p w14:paraId="222B4E4F" w14:textId="77777777" w:rsidR="00FD10BD" w:rsidRPr="000F5685" w:rsidRDefault="00FD10BD" w:rsidP="00FD10BD">
            <w:pPr>
              <w:jc w:val="center"/>
              <w:rPr>
                <w:rFonts w:ascii="Arial" w:hAnsi="Arial" w:cs="Arial"/>
                <w:sz w:val="18"/>
                <w:szCs w:val="18"/>
              </w:rPr>
            </w:pPr>
          </w:p>
        </w:tc>
        <w:tc>
          <w:tcPr>
            <w:tcW w:w="733" w:type="pct"/>
            <w:tcBorders>
              <w:top w:val="nil"/>
              <w:left w:val="nil"/>
              <w:bottom w:val="single" w:sz="4" w:space="0" w:color="auto"/>
              <w:right w:val="nil"/>
            </w:tcBorders>
            <w:shd w:val="clear" w:color="auto" w:fill="auto"/>
            <w:noWrap/>
            <w:vAlign w:val="bottom"/>
          </w:tcPr>
          <w:p w14:paraId="7267DEAC" w14:textId="629CEF1F" w:rsidR="00FD10BD" w:rsidRPr="003E10CE" w:rsidRDefault="00FF76CE" w:rsidP="00FD10BD">
            <w:pPr>
              <w:jc w:val="right"/>
              <w:rPr>
                <w:rFonts w:ascii="Arial" w:hAnsi="Arial" w:cs="Arial"/>
                <w:b/>
                <w:sz w:val="18"/>
                <w:szCs w:val="18"/>
                <w:highlight w:val="yellow"/>
              </w:rPr>
            </w:pPr>
            <w:r w:rsidRPr="00AC58B6">
              <w:rPr>
                <w:rFonts w:ascii="Arial" w:hAnsi="Arial" w:cs="Arial"/>
                <w:b/>
                <w:sz w:val="18"/>
                <w:szCs w:val="18"/>
              </w:rPr>
              <w:t>–</w:t>
            </w:r>
          </w:p>
        </w:tc>
        <w:tc>
          <w:tcPr>
            <w:tcW w:w="1097" w:type="pct"/>
            <w:tcBorders>
              <w:top w:val="nil"/>
              <w:left w:val="nil"/>
              <w:bottom w:val="single" w:sz="4" w:space="0" w:color="auto"/>
              <w:right w:val="single" w:sz="4" w:space="0" w:color="auto"/>
            </w:tcBorders>
            <w:shd w:val="clear" w:color="auto" w:fill="auto"/>
            <w:noWrap/>
            <w:vAlign w:val="bottom"/>
          </w:tcPr>
          <w:p w14:paraId="15D6729C" w14:textId="77777777" w:rsidR="00FD10BD" w:rsidRPr="003E10CE" w:rsidRDefault="00FD10BD" w:rsidP="00FD10BD">
            <w:pPr>
              <w:jc w:val="right"/>
              <w:rPr>
                <w:rFonts w:ascii="Arial" w:hAnsi="Arial" w:cs="Arial"/>
                <w:sz w:val="18"/>
                <w:szCs w:val="18"/>
              </w:rPr>
            </w:pPr>
            <w:r w:rsidRPr="003E10CE">
              <w:rPr>
                <w:rFonts w:ascii="Arial" w:hAnsi="Arial" w:cs="Arial"/>
                <w:bCs/>
                <w:sz w:val="18"/>
                <w:szCs w:val="18"/>
              </w:rPr>
              <w:t>12</w:t>
            </w:r>
          </w:p>
        </w:tc>
      </w:tr>
      <w:tr w:rsidR="00FD10BD" w14:paraId="49B67773" w14:textId="77777777" w:rsidTr="00FA21A3">
        <w:trPr>
          <w:trHeight w:val="240"/>
        </w:trPr>
        <w:tc>
          <w:tcPr>
            <w:tcW w:w="2712" w:type="pct"/>
            <w:tcBorders>
              <w:top w:val="single" w:sz="4" w:space="0" w:color="auto"/>
              <w:left w:val="single" w:sz="4" w:space="0" w:color="auto"/>
              <w:bottom w:val="single" w:sz="4" w:space="0" w:color="auto"/>
              <w:right w:val="nil"/>
            </w:tcBorders>
            <w:shd w:val="clear" w:color="auto" w:fill="auto"/>
            <w:noWrap/>
            <w:vAlign w:val="bottom"/>
          </w:tcPr>
          <w:p w14:paraId="587E402A" w14:textId="77777777" w:rsidR="00FD10BD" w:rsidRDefault="00FD10BD" w:rsidP="00FD10BD">
            <w:pPr>
              <w:rPr>
                <w:rFonts w:ascii="Arial" w:hAnsi="Arial" w:cs="Arial"/>
                <w:b/>
                <w:bCs/>
                <w:sz w:val="18"/>
                <w:szCs w:val="18"/>
              </w:rPr>
            </w:pPr>
            <w:r w:rsidRPr="001231C6">
              <w:rPr>
                <w:rFonts w:ascii="Arial" w:hAnsi="Arial" w:cs="Arial"/>
                <w:b/>
                <w:bCs/>
                <w:sz w:val="18"/>
                <w:szCs w:val="18"/>
              </w:rPr>
              <w:t>Total items that may be reclassified subsequently to profit or loss</w:t>
            </w:r>
          </w:p>
        </w:tc>
        <w:tc>
          <w:tcPr>
            <w:tcW w:w="458" w:type="pct"/>
            <w:tcBorders>
              <w:top w:val="single" w:sz="4" w:space="0" w:color="auto"/>
              <w:left w:val="nil"/>
              <w:bottom w:val="single" w:sz="4" w:space="0" w:color="auto"/>
              <w:right w:val="nil"/>
            </w:tcBorders>
            <w:shd w:val="clear" w:color="auto" w:fill="auto"/>
            <w:noWrap/>
            <w:vAlign w:val="bottom"/>
          </w:tcPr>
          <w:p w14:paraId="7E706ED6" w14:textId="77777777" w:rsidR="00FD10BD" w:rsidRPr="000F5685" w:rsidRDefault="00FD10BD" w:rsidP="00FD10BD">
            <w:pPr>
              <w:jc w:val="center"/>
              <w:rPr>
                <w:rFonts w:ascii="Arial" w:hAnsi="Arial" w:cs="Arial"/>
                <w:sz w:val="18"/>
                <w:szCs w:val="18"/>
              </w:rPr>
            </w:pPr>
          </w:p>
        </w:tc>
        <w:tc>
          <w:tcPr>
            <w:tcW w:w="733" w:type="pct"/>
            <w:tcBorders>
              <w:top w:val="nil"/>
              <w:left w:val="nil"/>
              <w:bottom w:val="single" w:sz="4" w:space="0" w:color="auto"/>
              <w:right w:val="nil"/>
            </w:tcBorders>
            <w:shd w:val="clear" w:color="auto" w:fill="auto"/>
            <w:noWrap/>
            <w:vAlign w:val="bottom"/>
          </w:tcPr>
          <w:p w14:paraId="3A58F0F1" w14:textId="4DCCCA77" w:rsidR="00FD10BD" w:rsidRPr="0055196D" w:rsidRDefault="00B327EB" w:rsidP="00FD10BD">
            <w:pPr>
              <w:jc w:val="right"/>
              <w:rPr>
                <w:rFonts w:ascii="Arial" w:hAnsi="Arial" w:cs="Arial"/>
                <w:b/>
                <w:sz w:val="18"/>
                <w:szCs w:val="18"/>
              </w:rPr>
            </w:pPr>
            <w:r>
              <w:rPr>
                <w:rFonts w:ascii="Arial" w:hAnsi="Arial" w:cs="Arial"/>
                <w:b/>
                <w:sz w:val="18"/>
                <w:szCs w:val="18"/>
              </w:rPr>
              <w:t>(</w:t>
            </w:r>
            <w:r w:rsidR="00D31C0D">
              <w:rPr>
                <w:rFonts w:ascii="Arial" w:hAnsi="Arial" w:cs="Arial"/>
                <w:b/>
                <w:sz w:val="18"/>
                <w:szCs w:val="18"/>
              </w:rPr>
              <w:t>4</w:t>
            </w:r>
            <w:r w:rsidR="00945414">
              <w:rPr>
                <w:rFonts w:ascii="Arial" w:hAnsi="Arial" w:cs="Arial"/>
                <w:b/>
                <w:sz w:val="18"/>
                <w:szCs w:val="18"/>
              </w:rPr>
              <w:t>8</w:t>
            </w:r>
            <w:r>
              <w:rPr>
                <w:rFonts w:ascii="Arial" w:hAnsi="Arial" w:cs="Arial"/>
                <w:b/>
                <w:sz w:val="18"/>
                <w:szCs w:val="18"/>
              </w:rPr>
              <w:t>)</w:t>
            </w:r>
          </w:p>
        </w:tc>
        <w:tc>
          <w:tcPr>
            <w:tcW w:w="1097" w:type="pct"/>
            <w:tcBorders>
              <w:top w:val="single" w:sz="4" w:space="0" w:color="auto"/>
              <w:left w:val="nil"/>
              <w:bottom w:val="single" w:sz="4" w:space="0" w:color="auto"/>
              <w:right w:val="single" w:sz="4" w:space="0" w:color="auto"/>
            </w:tcBorders>
            <w:shd w:val="clear" w:color="auto" w:fill="auto"/>
            <w:noWrap/>
            <w:vAlign w:val="bottom"/>
          </w:tcPr>
          <w:p w14:paraId="0120284B" w14:textId="77777777" w:rsidR="00FD10BD" w:rsidRPr="003E10CE" w:rsidRDefault="00FD10BD" w:rsidP="00FD10BD">
            <w:pPr>
              <w:jc w:val="right"/>
              <w:rPr>
                <w:rFonts w:ascii="Arial" w:hAnsi="Arial" w:cs="Arial"/>
                <w:sz w:val="18"/>
                <w:szCs w:val="18"/>
              </w:rPr>
            </w:pPr>
            <w:r w:rsidRPr="003E10CE">
              <w:rPr>
                <w:rFonts w:ascii="Arial" w:hAnsi="Arial" w:cs="Arial"/>
                <w:sz w:val="18"/>
                <w:szCs w:val="18"/>
              </w:rPr>
              <w:t>22</w:t>
            </w:r>
          </w:p>
        </w:tc>
      </w:tr>
      <w:tr w:rsidR="00FD10BD" w14:paraId="3AC77BC7" w14:textId="77777777" w:rsidTr="00FA21A3">
        <w:trPr>
          <w:trHeight w:val="240"/>
        </w:trPr>
        <w:tc>
          <w:tcPr>
            <w:tcW w:w="2712" w:type="pct"/>
            <w:tcBorders>
              <w:top w:val="single" w:sz="4" w:space="0" w:color="auto"/>
              <w:bottom w:val="single" w:sz="4" w:space="0" w:color="auto"/>
              <w:right w:val="nil"/>
            </w:tcBorders>
            <w:shd w:val="clear" w:color="auto" w:fill="auto"/>
            <w:noWrap/>
            <w:vAlign w:val="bottom"/>
          </w:tcPr>
          <w:p w14:paraId="78114513" w14:textId="77777777" w:rsidR="00FD10BD" w:rsidRPr="000F5685" w:rsidRDefault="00FD10BD" w:rsidP="00FD10BD">
            <w:pPr>
              <w:rPr>
                <w:rFonts w:ascii="Arial" w:hAnsi="Arial" w:cs="Arial"/>
                <w:b/>
                <w:bCs/>
                <w:sz w:val="18"/>
                <w:szCs w:val="18"/>
              </w:rPr>
            </w:pPr>
            <w:r>
              <w:rPr>
                <w:rFonts w:ascii="Arial" w:hAnsi="Arial" w:cs="Arial"/>
                <w:b/>
                <w:bCs/>
                <w:sz w:val="18"/>
                <w:szCs w:val="18"/>
              </w:rPr>
              <w:t>Other comprehensive income/(loss) for the year</w:t>
            </w:r>
          </w:p>
        </w:tc>
        <w:tc>
          <w:tcPr>
            <w:tcW w:w="458" w:type="pct"/>
            <w:tcBorders>
              <w:top w:val="single" w:sz="4" w:space="0" w:color="auto"/>
              <w:left w:val="nil"/>
              <w:bottom w:val="single" w:sz="4" w:space="0" w:color="auto"/>
              <w:right w:val="nil"/>
            </w:tcBorders>
            <w:shd w:val="clear" w:color="auto" w:fill="auto"/>
            <w:noWrap/>
            <w:vAlign w:val="bottom"/>
          </w:tcPr>
          <w:p w14:paraId="4993EE73" w14:textId="77777777" w:rsidR="00FD10BD" w:rsidRPr="000F5685" w:rsidRDefault="00FD10BD" w:rsidP="00FD10BD">
            <w:pPr>
              <w:jc w:val="center"/>
              <w:rPr>
                <w:rFonts w:ascii="Arial" w:hAnsi="Arial" w:cs="Arial"/>
                <w:sz w:val="18"/>
                <w:szCs w:val="18"/>
              </w:rPr>
            </w:pPr>
          </w:p>
        </w:tc>
        <w:tc>
          <w:tcPr>
            <w:tcW w:w="733" w:type="pct"/>
            <w:tcBorders>
              <w:top w:val="nil"/>
              <w:left w:val="nil"/>
              <w:bottom w:val="single" w:sz="4" w:space="0" w:color="auto"/>
              <w:right w:val="nil"/>
            </w:tcBorders>
            <w:shd w:val="clear" w:color="auto" w:fill="auto"/>
            <w:noWrap/>
            <w:vAlign w:val="bottom"/>
          </w:tcPr>
          <w:p w14:paraId="4B2F980E" w14:textId="4480200E" w:rsidR="00FD10BD" w:rsidRPr="0055196D" w:rsidRDefault="00CE0DB7" w:rsidP="00FD10BD">
            <w:pPr>
              <w:jc w:val="right"/>
              <w:rPr>
                <w:rFonts w:ascii="Arial" w:hAnsi="Arial" w:cs="Arial"/>
                <w:b/>
                <w:sz w:val="18"/>
                <w:szCs w:val="18"/>
              </w:rPr>
            </w:pPr>
            <w:r>
              <w:rPr>
                <w:rFonts w:ascii="Arial" w:hAnsi="Arial" w:cs="Arial"/>
                <w:b/>
                <w:sz w:val="18"/>
                <w:szCs w:val="18"/>
              </w:rPr>
              <w:t>6</w:t>
            </w:r>
            <w:r w:rsidR="00945414">
              <w:rPr>
                <w:rFonts w:ascii="Arial" w:hAnsi="Arial" w:cs="Arial"/>
                <w:b/>
                <w:sz w:val="18"/>
                <w:szCs w:val="18"/>
              </w:rPr>
              <w:t>2</w:t>
            </w:r>
          </w:p>
        </w:tc>
        <w:tc>
          <w:tcPr>
            <w:tcW w:w="1097" w:type="pct"/>
            <w:tcBorders>
              <w:top w:val="single" w:sz="4" w:space="0" w:color="auto"/>
              <w:left w:val="nil"/>
              <w:bottom w:val="single" w:sz="4" w:space="0" w:color="auto"/>
            </w:tcBorders>
            <w:shd w:val="clear" w:color="auto" w:fill="auto"/>
            <w:noWrap/>
            <w:vAlign w:val="bottom"/>
          </w:tcPr>
          <w:p w14:paraId="7BE92899" w14:textId="77777777" w:rsidR="00FD10BD" w:rsidRPr="003E10CE" w:rsidRDefault="00FD10BD" w:rsidP="00FD10BD">
            <w:pPr>
              <w:jc w:val="right"/>
              <w:rPr>
                <w:rFonts w:ascii="Arial" w:hAnsi="Arial" w:cs="Arial"/>
              </w:rPr>
            </w:pPr>
            <w:r w:rsidRPr="003E10CE">
              <w:rPr>
                <w:rFonts w:ascii="Arial" w:hAnsi="Arial" w:cs="Arial"/>
                <w:sz w:val="18"/>
              </w:rPr>
              <w:t>(20)</w:t>
            </w:r>
          </w:p>
        </w:tc>
      </w:tr>
      <w:tr w:rsidR="00FD10BD" w14:paraId="00B772FA" w14:textId="77777777" w:rsidTr="00FA21A3">
        <w:trPr>
          <w:trHeight w:val="255"/>
        </w:trPr>
        <w:tc>
          <w:tcPr>
            <w:tcW w:w="2712" w:type="pct"/>
            <w:tcBorders>
              <w:top w:val="single" w:sz="4" w:space="0" w:color="auto"/>
              <w:left w:val="nil"/>
              <w:bottom w:val="single" w:sz="12" w:space="0" w:color="auto"/>
              <w:right w:val="nil"/>
            </w:tcBorders>
            <w:shd w:val="clear" w:color="auto" w:fill="auto"/>
            <w:noWrap/>
            <w:vAlign w:val="bottom"/>
          </w:tcPr>
          <w:p w14:paraId="11E4676C" w14:textId="77777777" w:rsidR="00FD10BD" w:rsidRPr="000F5685" w:rsidRDefault="00FD10BD" w:rsidP="00FD10BD">
            <w:pPr>
              <w:rPr>
                <w:rFonts w:ascii="Arial" w:hAnsi="Arial" w:cs="Arial"/>
                <w:b/>
                <w:bCs/>
                <w:sz w:val="18"/>
                <w:szCs w:val="18"/>
              </w:rPr>
            </w:pPr>
            <w:r w:rsidRPr="002A7D7A">
              <w:rPr>
                <w:rFonts w:ascii="Arial" w:hAnsi="Arial" w:cs="Arial"/>
                <w:b/>
                <w:bCs/>
                <w:sz w:val="18"/>
                <w:szCs w:val="18"/>
              </w:rPr>
              <w:t xml:space="preserve">Total </w:t>
            </w:r>
            <w:r>
              <w:rPr>
                <w:rFonts w:ascii="Arial" w:hAnsi="Arial" w:cs="Arial"/>
                <w:b/>
                <w:bCs/>
                <w:sz w:val="18"/>
                <w:szCs w:val="18"/>
              </w:rPr>
              <w:t>comprehensive</w:t>
            </w:r>
            <w:r w:rsidRPr="002A7D7A">
              <w:rPr>
                <w:rFonts w:ascii="Arial" w:hAnsi="Arial" w:cs="Arial"/>
                <w:b/>
                <w:bCs/>
                <w:sz w:val="18"/>
                <w:szCs w:val="18"/>
              </w:rPr>
              <w:t xml:space="preserve"> income for the </w:t>
            </w:r>
            <w:r>
              <w:rPr>
                <w:rFonts w:ascii="Arial" w:hAnsi="Arial" w:cs="Arial"/>
                <w:b/>
                <w:bCs/>
                <w:sz w:val="18"/>
                <w:szCs w:val="18"/>
              </w:rPr>
              <w:t>year</w:t>
            </w:r>
          </w:p>
        </w:tc>
        <w:tc>
          <w:tcPr>
            <w:tcW w:w="458" w:type="pct"/>
            <w:tcBorders>
              <w:top w:val="single" w:sz="4" w:space="0" w:color="auto"/>
              <w:left w:val="nil"/>
              <w:bottom w:val="single" w:sz="12" w:space="0" w:color="auto"/>
              <w:right w:val="nil"/>
            </w:tcBorders>
            <w:shd w:val="clear" w:color="auto" w:fill="auto"/>
            <w:noWrap/>
            <w:vAlign w:val="bottom"/>
          </w:tcPr>
          <w:p w14:paraId="026063D1" w14:textId="77777777" w:rsidR="00FD10BD" w:rsidRPr="000F5685" w:rsidRDefault="00FD10BD" w:rsidP="00FD10BD">
            <w:pPr>
              <w:jc w:val="center"/>
              <w:rPr>
                <w:rFonts w:ascii="Arial" w:hAnsi="Arial" w:cs="Arial"/>
                <w:sz w:val="18"/>
                <w:szCs w:val="18"/>
              </w:rPr>
            </w:pPr>
          </w:p>
        </w:tc>
        <w:tc>
          <w:tcPr>
            <w:tcW w:w="733" w:type="pct"/>
            <w:tcBorders>
              <w:top w:val="single" w:sz="4" w:space="0" w:color="auto"/>
              <w:left w:val="nil"/>
              <w:bottom w:val="single" w:sz="12" w:space="0" w:color="auto"/>
              <w:right w:val="nil"/>
            </w:tcBorders>
            <w:shd w:val="clear" w:color="auto" w:fill="auto"/>
            <w:noWrap/>
            <w:vAlign w:val="bottom"/>
          </w:tcPr>
          <w:p w14:paraId="46E20AA3" w14:textId="686CF823" w:rsidR="00FD10BD" w:rsidRPr="003E10CE" w:rsidRDefault="00FD10BD" w:rsidP="00FD10BD">
            <w:pPr>
              <w:jc w:val="right"/>
              <w:rPr>
                <w:highlight w:val="yellow"/>
              </w:rPr>
            </w:pPr>
            <w:r w:rsidRPr="0055196D">
              <w:rPr>
                <w:rFonts w:ascii="Arial" w:hAnsi="Arial" w:cs="Arial"/>
                <w:b/>
                <w:bCs/>
                <w:sz w:val="18"/>
                <w:szCs w:val="18"/>
              </w:rPr>
              <w:t>2</w:t>
            </w:r>
            <w:r w:rsidR="00945414">
              <w:rPr>
                <w:rFonts w:ascii="Arial" w:hAnsi="Arial" w:cs="Arial"/>
                <w:b/>
                <w:bCs/>
                <w:sz w:val="18"/>
                <w:szCs w:val="18"/>
              </w:rPr>
              <w:t>80</w:t>
            </w:r>
          </w:p>
        </w:tc>
        <w:tc>
          <w:tcPr>
            <w:tcW w:w="1097" w:type="pct"/>
            <w:tcBorders>
              <w:top w:val="single" w:sz="4" w:space="0" w:color="auto"/>
              <w:left w:val="nil"/>
              <w:bottom w:val="single" w:sz="12" w:space="0" w:color="auto"/>
              <w:right w:val="nil"/>
            </w:tcBorders>
            <w:shd w:val="clear" w:color="auto" w:fill="auto"/>
            <w:noWrap/>
            <w:vAlign w:val="bottom"/>
          </w:tcPr>
          <w:p w14:paraId="68BEF485" w14:textId="77777777" w:rsidR="00FD10BD" w:rsidRPr="003E10CE" w:rsidRDefault="00FD10BD" w:rsidP="00FD10BD">
            <w:pPr>
              <w:jc w:val="right"/>
            </w:pPr>
            <w:r w:rsidRPr="003E10CE">
              <w:rPr>
                <w:rFonts w:ascii="Arial" w:hAnsi="Arial" w:cs="Arial"/>
                <w:bCs/>
                <w:sz w:val="18"/>
                <w:szCs w:val="18"/>
              </w:rPr>
              <w:t>465</w:t>
            </w:r>
          </w:p>
        </w:tc>
      </w:tr>
    </w:tbl>
    <w:p w14:paraId="18C2A070" w14:textId="77777777" w:rsidR="008B76B9" w:rsidRDefault="008B76B9"/>
    <w:p w14:paraId="7D91A454" w14:textId="256682E7" w:rsidR="0043160E" w:rsidRDefault="0043160E" w:rsidP="0043160E">
      <w:pPr>
        <w:rPr>
          <w:color w:val="FF0000"/>
        </w:rPr>
      </w:pPr>
    </w:p>
    <w:p w14:paraId="575A2655" w14:textId="68B8AE62" w:rsidR="00BD161D" w:rsidRDefault="00BD161D">
      <w:r>
        <w:br w:type="page"/>
      </w:r>
    </w:p>
    <w:tbl>
      <w:tblPr>
        <w:tblW w:w="5024" w:type="pct"/>
        <w:tblLayout w:type="fixed"/>
        <w:tblLook w:val="0000" w:firstRow="0" w:lastRow="0" w:firstColumn="0" w:lastColumn="0" w:noHBand="0" w:noVBand="0"/>
      </w:tblPr>
      <w:tblGrid>
        <w:gridCol w:w="2562"/>
        <w:gridCol w:w="699"/>
        <w:gridCol w:w="742"/>
        <w:gridCol w:w="961"/>
        <w:gridCol w:w="802"/>
        <w:gridCol w:w="961"/>
        <w:gridCol w:w="1131"/>
        <w:gridCol w:w="1011"/>
        <w:gridCol w:w="531"/>
        <w:gridCol w:w="285"/>
      </w:tblGrid>
      <w:tr w:rsidR="00F67AE8" w:rsidRPr="00301F97" w14:paraId="76711C2A" w14:textId="77777777" w:rsidTr="00617D24">
        <w:trPr>
          <w:gridAfter w:val="1"/>
          <w:wAfter w:w="147" w:type="pct"/>
          <w:trHeight w:val="250"/>
        </w:trPr>
        <w:tc>
          <w:tcPr>
            <w:tcW w:w="4853" w:type="pct"/>
            <w:gridSpan w:val="9"/>
            <w:tcBorders>
              <w:top w:val="nil"/>
              <w:left w:val="nil"/>
              <w:right w:val="nil"/>
            </w:tcBorders>
            <w:shd w:val="clear" w:color="auto" w:fill="auto"/>
            <w:vAlign w:val="bottom"/>
          </w:tcPr>
          <w:p w14:paraId="387D7E32" w14:textId="77777777" w:rsidR="00F67AE8" w:rsidRDefault="00F67AE8">
            <w:pPr>
              <w:rPr>
                <w:rFonts w:ascii="Arial" w:hAnsi="Arial" w:cs="Arial"/>
                <w:b/>
                <w:bCs/>
                <w:sz w:val="18"/>
                <w:szCs w:val="18"/>
              </w:rPr>
            </w:pPr>
            <w:r w:rsidRPr="000A685B">
              <w:rPr>
                <w:rFonts w:ascii="Arial" w:hAnsi="Arial" w:cs="Arial"/>
                <w:b/>
                <w:bCs/>
                <w:sz w:val="18"/>
                <w:szCs w:val="18"/>
              </w:rPr>
              <w:lastRenderedPageBreak/>
              <w:t>Consolidated statement of changes in equity</w:t>
            </w:r>
          </w:p>
          <w:p w14:paraId="415F0C8C" w14:textId="77777777" w:rsidR="00F67AE8" w:rsidRDefault="00F67AE8">
            <w:pPr>
              <w:rPr>
                <w:rFonts w:ascii="Arial" w:hAnsi="Arial" w:cs="Arial"/>
                <w:bCs/>
                <w:sz w:val="18"/>
                <w:szCs w:val="18"/>
              </w:rPr>
            </w:pPr>
            <w:r w:rsidRPr="00AE24A9">
              <w:rPr>
                <w:rFonts w:ascii="Arial" w:hAnsi="Arial" w:cs="Arial"/>
                <w:sz w:val="18"/>
                <w:szCs w:val="18"/>
              </w:rPr>
              <w:t xml:space="preserve">Year ended </w:t>
            </w:r>
            <w:r>
              <w:rPr>
                <w:rFonts w:ascii="Arial" w:hAnsi="Arial" w:cs="Arial"/>
                <w:sz w:val="18"/>
                <w:szCs w:val="18"/>
              </w:rPr>
              <w:t>31 January 201</w:t>
            </w:r>
            <w:r w:rsidR="003E10CE">
              <w:rPr>
                <w:rFonts w:ascii="Arial" w:hAnsi="Arial" w:cs="Arial"/>
                <w:sz w:val="18"/>
                <w:szCs w:val="18"/>
              </w:rPr>
              <w:t>9</w:t>
            </w:r>
          </w:p>
        </w:tc>
      </w:tr>
      <w:tr w:rsidR="00894B12" w:rsidRPr="00301F97" w14:paraId="661E6AC4" w14:textId="77777777" w:rsidTr="002E2BAB">
        <w:trPr>
          <w:trHeight w:val="250"/>
        </w:trPr>
        <w:tc>
          <w:tcPr>
            <w:tcW w:w="1323" w:type="pct"/>
            <w:tcBorders>
              <w:left w:val="nil"/>
              <w:bottom w:val="single" w:sz="4" w:space="0" w:color="auto"/>
              <w:right w:val="nil"/>
            </w:tcBorders>
            <w:shd w:val="clear" w:color="auto" w:fill="auto"/>
            <w:vAlign w:val="bottom"/>
          </w:tcPr>
          <w:p w14:paraId="21664C3F" w14:textId="77777777" w:rsidR="0034681D" w:rsidRDefault="0034681D" w:rsidP="0034681D">
            <w:pPr>
              <w:rPr>
                <w:rFonts w:ascii="Arial" w:hAnsi="Arial" w:cs="Arial"/>
                <w:sz w:val="18"/>
                <w:szCs w:val="18"/>
              </w:rPr>
            </w:pPr>
          </w:p>
          <w:p w14:paraId="6C87DFAE" w14:textId="77777777" w:rsidR="0034681D" w:rsidRPr="00C83761" w:rsidRDefault="0034681D" w:rsidP="0034681D">
            <w:pPr>
              <w:rPr>
                <w:rFonts w:ascii="Arial" w:hAnsi="Arial" w:cs="Arial"/>
                <w:sz w:val="18"/>
                <w:szCs w:val="18"/>
              </w:rPr>
            </w:pPr>
            <w:r w:rsidRPr="00C83761">
              <w:rPr>
                <w:rFonts w:ascii="Arial" w:hAnsi="Arial" w:cs="Arial"/>
                <w:sz w:val="18"/>
                <w:szCs w:val="18"/>
              </w:rPr>
              <w:t>£ millions</w:t>
            </w:r>
          </w:p>
        </w:tc>
        <w:tc>
          <w:tcPr>
            <w:tcW w:w="361" w:type="pct"/>
            <w:tcBorders>
              <w:left w:val="nil"/>
              <w:bottom w:val="single" w:sz="4" w:space="0" w:color="auto"/>
              <w:right w:val="nil"/>
            </w:tcBorders>
            <w:vAlign w:val="bottom"/>
          </w:tcPr>
          <w:p w14:paraId="339D0B66" w14:textId="77777777" w:rsidR="0034681D" w:rsidRDefault="0034681D" w:rsidP="0034681D">
            <w:pPr>
              <w:jc w:val="center"/>
              <w:rPr>
                <w:rFonts w:ascii="Arial" w:hAnsi="Arial" w:cs="Arial"/>
                <w:sz w:val="18"/>
                <w:szCs w:val="18"/>
              </w:rPr>
            </w:pPr>
          </w:p>
          <w:p w14:paraId="2ACB2531" w14:textId="77777777" w:rsidR="0034681D" w:rsidRPr="003B30D4" w:rsidRDefault="0034681D" w:rsidP="0034681D">
            <w:pPr>
              <w:jc w:val="center"/>
              <w:rPr>
                <w:rFonts w:ascii="Arial" w:hAnsi="Arial" w:cs="Arial"/>
                <w:sz w:val="18"/>
                <w:szCs w:val="18"/>
              </w:rPr>
            </w:pPr>
            <w:r>
              <w:rPr>
                <w:rFonts w:ascii="Arial" w:hAnsi="Arial" w:cs="Arial"/>
                <w:sz w:val="18"/>
                <w:szCs w:val="18"/>
              </w:rPr>
              <w:t>Notes</w:t>
            </w:r>
          </w:p>
        </w:tc>
        <w:tc>
          <w:tcPr>
            <w:tcW w:w="383" w:type="pct"/>
            <w:tcBorders>
              <w:left w:val="nil"/>
              <w:bottom w:val="single" w:sz="4" w:space="0" w:color="auto"/>
              <w:right w:val="nil"/>
            </w:tcBorders>
            <w:shd w:val="clear" w:color="auto" w:fill="auto"/>
            <w:noWrap/>
            <w:vAlign w:val="bottom"/>
          </w:tcPr>
          <w:p w14:paraId="4E5E9A2C" w14:textId="77777777" w:rsidR="0034681D" w:rsidRPr="003B30D4" w:rsidRDefault="0034681D" w:rsidP="0034681D">
            <w:pPr>
              <w:jc w:val="right"/>
              <w:rPr>
                <w:rFonts w:ascii="Arial" w:hAnsi="Arial" w:cs="Arial"/>
                <w:sz w:val="18"/>
                <w:szCs w:val="18"/>
              </w:rPr>
            </w:pPr>
            <w:r w:rsidRPr="003B30D4">
              <w:rPr>
                <w:rFonts w:ascii="Arial" w:hAnsi="Arial" w:cs="Arial"/>
                <w:sz w:val="18"/>
                <w:szCs w:val="18"/>
              </w:rPr>
              <w:t xml:space="preserve">Share </w:t>
            </w:r>
            <w:r>
              <w:rPr>
                <w:rFonts w:ascii="Arial" w:hAnsi="Arial" w:cs="Arial"/>
                <w:sz w:val="18"/>
                <w:szCs w:val="18"/>
              </w:rPr>
              <w:t>c</w:t>
            </w:r>
            <w:r w:rsidRPr="003B30D4">
              <w:rPr>
                <w:rFonts w:ascii="Arial" w:hAnsi="Arial" w:cs="Arial"/>
                <w:sz w:val="18"/>
                <w:szCs w:val="18"/>
              </w:rPr>
              <w:t>apital</w:t>
            </w:r>
          </w:p>
        </w:tc>
        <w:tc>
          <w:tcPr>
            <w:tcW w:w="496" w:type="pct"/>
            <w:tcBorders>
              <w:left w:val="nil"/>
              <w:bottom w:val="single" w:sz="4" w:space="0" w:color="auto"/>
              <w:right w:val="nil"/>
            </w:tcBorders>
            <w:shd w:val="clear" w:color="auto" w:fill="auto"/>
            <w:noWrap/>
            <w:vAlign w:val="bottom"/>
          </w:tcPr>
          <w:p w14:paraId="1E4D6DDE" w14:textId="77777777" w:rsidR="0034681D" w:rsidRDefault="0034681D" w:rsidP="0034681D">
            <w:pPr>
              <w:jc w:val="right"/>
              <w:rPr>
                <w:rFonts w:ascii="Arial" w:hAnsi="Arial" w:cs="Arial"/>
                <w:sz w:val="18"/>
                <w:szCs w:val="18"/>
              </w:rPr>
            </w:pPr>
          </w:p>
          <w:p w14:paraId="1B7C95FF" w14:textId="77777777" w:rsidR="0034681D" w:rsidRDefault="0034681D" w:rsidP="0034681D">
            <w:pPr>
              <w:jc w:val="right"/>
              <w:rPr>
                <w:rFonts w:ascii="Arial" w:hAnsi="Arial" w:cs="Arial"/>
                <w:sz w:val="18"/>
                <w:szCs w:val="18"/>
              </w:rPr>
            </w:pPr>
            <w:r>
              <w:rPr>
                <w:rFonts w:ascii="Arial" w:hAnsi="Arial" w:cs="Arial"/>
                <w:sz w:val="18"/>
                <w:szCs w:val="18"/>
              </w:rPr>
              <w:t>Share</w:t>
            </w:r>
          </w:p>
          <w:p w14:paraId="159321E5" w14:textId="77777777" w:rsidR="0034681D" w:rsidRPr="003B30D4" w:rsidRDefault="0034681D" w:rsidP="0034681D">
            <w:pPr>
              <w:jc w:val="right"/>
              <w:rPr>
                <w:rFonts w:ascii="Arial" w:hAnsi="Arial" w:cs="Arial"/>
                <w:sz w:val="18"/>
                <w:szCs w:val="18"/>
              </w:rPr>
            </w:pPr>
            <w:r>
              <w:rPr>
                <w:rFonts w:ascii="Arial" w:hAnsi="Arial" w:cs="Arial"/>
                <w:sz w:val="18"/>
                <w:szCs w:val="18"/>
              </w:rPr>
              <w:t>premium</w:t>
            </w:r>
          </w:p>
        </w:tc>
        <w:tc>
          <w:tcPr>
            <w:tcW w:w="414" w:type="pct"/>
            <w:tcBorders>
              <w:left w:val="nil"/>
              <w:bottom w:val="single" w:sz="4" w:space="0" w:color="auto"/>
              <w:right w:val="nil"/>
            </w:tcBorders>
            <w:shd w:val="clear" w:color="auto" w:fill="auto"/>
            <w:noWrap/>
            <w:vAlign w:val="bottom"/>
          </w:tcPr>
          <w:p w14:paraId="488801E4" w14:textId="77777777" w:rsidR="0034681D" w:rsidRPr="003B30D4" w:rsidRDefault="0034681D" w:rsidP="0034681D">
            <w:pPr>
              <w:jc w:val="right"/>
              <w:rPr>
                <w:rFonts w:ascii="Arial" w:hAnsi="Arial" w:cs="Arial"/>
                <w:sz w:val="18"/>
                <w:szCs w:val="18"/>
              </w:rPr>
            </w:pPr>
            <w:r>
              <w:rPr>
                <w:rFonts w:ascii="Arial" w:hAnsi="Arial" w:cs="Arial"/>
                <w:sz w:val="18"/>
                <w:szCs w:val="18"/>
              </w:rPr>
              <w:t>Own shares held</w:t>
            </w:r>
          </w:p>
        </w:tc>
        <w:tc>
          <w:tcPr>
            <w:tcW w:w="496" w:type="pct"/>
            <w:tcBorders>
              <w:left w:val="nil"/>
              <w:bottom w:val="single" w:sz="4" w:space="0" w:color="auto"/>
              <w:right w:val="nil"/>
            </w:tcBorders>
            <w:shd w:val="clear" w:color="auto" w:fill="auto"/>
            <w:noWrap/>
            <w:vAlign w:val="bottom"/>
          </w:tcPr>
          <w:p w14:paraId="24BD6E68" w14:textId="77777777" w:rsidR="0034681D" w:rsidRPr="003B30D4" w:rsidRDefault="0034681D" w:rsidP="0034681D">
            <w:pPr>
              <w:jc w:val="right"/>
              <w:rPr>
                <w:rFonts w:ascii="Arial" w:hAnsi="Arial" w:cs="Arial"/>
                <w:sz w:val="18"/>
                <w:szCs w:val="18"/>
              </w:rPr>
            </w:pPr>
          </w:p>
          <w:p w14:paraId="124158D0" w14:textId="77777777" w:rsidR="0034681D" w:rsidRPr="003B30D4" w:rsidRDefault="0034681D" w:rsidP="0034681D">
            <w:pPr>
              <w:jc w:val="right"/>
              <w:rPr>
                <w:rFonts w:ascii="Arial" w:hAnsi="Arial" w:cs="Arial"/>
                <w:sz w:val="18"/>
                <w:szCs w:val="18"/>
              </w:rPr>
            </w:pPr>
            <w:r>
              <w:rPr>
                <w:rFonts w:ascii="Arial" w:hAnsi="Arial" w:cs="Arial"/>
                <w:sz w:val="18"/>
                <w:szCs w:val="18"/>
              </w:rPr>
              <w:t>Retained earnings</w:t>
            </w:r>
          </w:p>
        </w:tc>
        <w:tc>
          <w:tcPr>
            <w:tcW w:w="584" w:type="pct"/>
            <w:tcBorders>
              <w:left w:val="nil"/>
              <w:bottom w:val="single" w:sz="4" w:space="0" w:color="auto"/>
              <w:right w:val="nil"/>
            </w:tcBorders>
            <w:vAlign w:val="bottom"/>
          </w:tcPr>
          <w:p w14:paraId="6FF8CC8C" w14:textId="77777777" w:rsidR="0034681D" w:rsidRPr="003B30D4" w:rsidRDefault="0034681D" w:rsidP="0034681D">
            <w:pPr>
              <w:jc w:val="right"/>
              <w:rPr>
                <w:rFonts w:ascii="Arial" w:hAnsi="Arial" w:cs="Arial"/>
                <w:sz w:val="18"/>
                <w:szCs w:val="18"/>
              </w:rPr>
            </w:pPr>
          </w:p>
          <w:p w14:paraId="36CBFE69" w14:textId="77777777" w:rsidR="0034681D" w:rsidRDefault="0034681D" w:rsidP="0034681D">
            <w:pPr>
              <w:jc w:val="right"/>
              <w:rPr>
                <w:rFonts w:ascii="Arial" w:hAnsi="Arial" w:cs="Arial"/>
                <w:sz w:val="18"/>
                <w:szCs w:val="18"/>
              </w:rPr>
            </w:pPr>
            <w:r>
              <w:rPr>
                <w:rFonts w:ascii="Arial" w:hAnsi="Arial" w:cs="Arial"/>
                <w:sz w:val="18"/>
                <w:szCs w:val="18"/>
              </w:rPr>
              <w:t>Capital redemption reserve</w:t>
            </w:r>
          </w:p>
        </w:tc>
        <w:tc>
          <w:tcPr>
            <w:tcW w:w="522" w:type="pct"/>
            <w:tcBorders>
              <w:left w:val="nil"/>
              <w:bottom w:val="single" w:sz="4" w:space="0" w:color="auto"/>
              <w:right w:val="nil"/>
            </w:tcBorders>
            <w:shd w:val="clear" w:color="auto" w:fill="auto"/>
            <w:noWrap/>
            <w:vAlign w:val="bottom"/>
          </w:tcPr>
          <w:p w14:paraId="4AEBDD2F" w14:textId="77777777" w:rsidR="0034681D" w:rsidRPr="003B30D4" w:rsidRDefault="0034681D" w:rsidP="0034681D">
            <w:pPr>
              <w:jc w:val="right"/>
              <w:rPr>
                <w:rFonts w:ascii="Arial" w:hAnsi="Arial" w:cs="Arial"/>
                <w:bCs/>
                <w:sz w:val="18"/>
                <w:szCs w:val="18"/>
              </w:rPr>
            </w:pPr>
            <w:r>
              <w:rPr>
                <w:rFonts w:ascii="Arial" w:hAnsi="Arial" w:cs="Arial"/>
                <w:sz w:val="18"/>
                <w:szCs w:val="18"/>
              </w:rPr>
              <w:t>Other reserves</w:t>
            </w:r>
          </w:p>
        </w:tc>
        <w:tc>
          <w:tcPr>
            <w:tcW w:w="421" w:type="pct"/>
            <w:gridSpan w:val="2"/>
            <w:tcBorders>
              <w:left w:val="nil"/>
              <w:bottom w:val="single" w:sz="4" w:space="0" w:color="auto"/>
              <w:right w:val="nil"/>
            </w:tcBorders>
            <w:vAlign w:val="bottom"/>
          </w:tcPr>
          <w:p w14:paraId="55912226" w14:textId="77777777" w:rsidR="0034681D" w:rsidRDefault="0034681D" w:rsidP="0034681D">
            <w:pPr>
              <w:jc w:val="right"/>
              <w:rPr>
                <w:rFonts w:ascii="Arial" w:hAnsi="Arial" w:cs="Arial"/>
                <w:bCs/>
                <w:sz w:val="18"/>
                <w:szCs w:val="18"/>
              </w:rPr>
            </w:pPr>
            <w:r w:rsidRPr="003B30D4">
              <w:rPr>
                <w:rFonts w:ascii="Arial" w:hAnsi="Arial" w:cs="Arial"/>
                <w:bCs/>
                <w:sz w:val="18"/>
                <w:szCs w:val="18"/>
              </w:rPr>
              <w:t>Total</w:t>
            </w:r>
          </w:p>
          <w:p w14:paraId="3BD7EFFC" w14:textId="77777777" w:rsidR="0034681D" w:rsidRPr="003B30D4" w:rsidRDefault="0034681D" w:rsidP="0034681D">
            <w:pPr>
              <w:jc w:val="right"/>
              <w:rPr>
                <w:rFonts w:ascii="Arial" w:hAnsi="Arial" w:cs="Arial"/>
                <w:bCs/>
                <w:sz w:val="18"/>
                <w:szCs w:val="18"/>
              </w:rPr>
            </w:pPr>
            <w:r>
              <w:rPr>
                <w:rFonts w:ascii="Arial" w:hAnsi="Arial" w:cs="Arial"/>
                <w:bCs/>
                <w:sz w:val="18"/>
                <w:szCs w:val="18"/>
              </w:rPr>
              <w:t>equity</w:t>
            </w:r>
          </w:p>
        </w:tc>
      </w:tr>
      <w:tr w:rsidR="003E10CE" w:rsidRPr="00663A21" w14:paraId="6B054C0A" w14:textId="77777777" w:rsidTr="00FA21A3">
        <w:trPr>
          <w:trHeight w:val="250"/>
        </w:trPr>
        <w:tc>
          <w:tcPr>
            <w:tcW w:w="1323" w:type="pct"/>
            <w:tcBorders>
              <w:top w:val="single" w:sz="4" w:space="0" w:color="auto"/>
              <w:left w:val="nil"/>
              <w:bottom w:val="single" w:sz="4" w:space="0" w:color="auto"/>
              <w:right w:val="nil"/>
            </w:tcBorders>
            <w:shd w:val="clear" w:color="auto" w:fill="auto"/>
            <w:vAlign w:val="bottom"/>
          </w:tcPr>
          <w:p w14:paraId="37F2C156" w14:textId="77777777" w:rsidR="003E10CE" w:rsidRPr="000030BA" w:rsidRDefault="003E10CE" w:rsidP="003E10CE">
            <w:pPr>
              <w:rPr>
                <w:rFonts w:ascii="Arial" w:hAnsi="Arial" w:cs="Arial"/>
                <w:b/>
                <w:bCs/>
                <w:sz w:val="18"/>
                <w:szCs w:val="18"/>
              </w:rPr>
            </w:pPr>
            <w:r>
              <w:rPr>
                <w:rFonts w:ascii="Arial" w:hAnsi="Arial" w:cs="Arial"/>
                <w:b/>
                <w:bCs/>
                <w:sz w:val="18"/>
                <w:szCs w:val="18"/>
              </w:rPr>
              <w:t>At 1 February 2018</w:t>
            </w:r>
          </w:p>
        </w:tc>
        <w:tc>
          <w:tcPr>
            <w:tcW w:w="361" w:type="pct"/>
            <w:tcBorders>
              <w:top w:val="single" w:sz="4" w:space="0" w:color="auto"/>
              <w:left w:val="nil"/>
              <w:bottom w:val="single" w:sz="4" w:space="0" w:color="auto"/>
              <w:right w:val="nil"/>
            </w:tcBorders>
          </w:tcPr>
          <w:p w14:paraId="76EFDBCD" w14:textId="77777777" w:rsidR="003E10CE" w:rsidRPr="000030BA" w:rsidRDefault="003E10CE" w:rsidP="003E10CE">
            <w:pPr>
              <w:jc w:val="right"/>
              <w:rPr>
                <w:rFonts w:ascii="Arial" w:hAnsi="Arial" w:cs="Arial"/>
                <w:b/>
                <w:bCs/>
                <w:sz w:val="18"/>
                <w:szCs w:val="18"/>
              </w:rPr>
            </w:pPr>
          </w:p>
        </w:tc>
        <w:tc>
          <w:tcPr>
            <w:tcW w:w="383" w:type="pct"/>
            <w:tcBorders>
              <w:top w:val="nil"/>
              <w:left w:val="nil"/>
              <w:bottom w:val="single" w:sz="4" w:space="0" w:color="auto"/>
              <w:right w:val="nil"/>
            </w:tcBorders>
            <w:shd w:val="clear" w:color="auto" w:fill="auto"/>
            <w:noWrap/>
            <w:vAlign w:val="bottom"/>
          </w:tcPr>
          <w:p w14:paraId="6AD04653" w14:textId="77777777" w:rsidR="003E10CE" w:rsidRPr="003E10CE" w:rsidRDefault="003E10CE" w:rsidP="003E10CE">
            <w:pPr>
              <w:jc w:val="right"/>
              <w:rPr>
                <w:rFonts w:ascii="Arial" w:hAnsi="Arial" w:cs="Arial"/>
                <w:b/>
                <w:bCs/>
                <w:sz w:val="18"/>
                <w:szCs w:val="18"/>
              </w:rPr>
            </w:pPr>
            <w:r w:rsidRPr="003E10CE">
              <w:rPr>
                <w:rFonts w:ascii="Arial" w:hAnsi="Arial" w:cs="Arial"/>
                <w:b/>
                <w:bCs/>
                <w:sz w:val="18"/>
                <w:szCs w:val="18"/>
              </w:rPr>
              <w:t>340</w:t>
            </w:r>
          </w:p>
        </w:tc>
        <w:tc>
          <w:tcPr>
            <w:tcW w:w="496" w:type="pct"/>
            <w:tcBorders>
              <w:top w:val="nil"/>
              <w:left w:val="nil"/>
              <w:bottom w:val="single" w:sz="4" w:space="0" w:color="auto"/>
              <w:right w:val="nil"/>
            </w:tcBorders>
            <w:shd w:val="clear" w:color="auto" w:fill="auto"/>
            <w:noWrap/>
            <w:vAlign w:val="bottom"/>
          </w:tcPr>
          <w:p w14:paraId="5326CBEC" w14:textId="77777777" w:rsidR="003E10CE" w:rsidRPr="003E10CE" w:rsidRDefault="003E10CE" w:rsidP="003E10CE">
            <w:pPr>
              <w:jc w:val="right"/>
              <w:rPr>
                <w:rFonts w:ascii="Arial" w:hAnsi="Arial" w:cs="Arial"/>
                <w:b/>
                <w:bCs/>
                <w:sz w:val="18"/>
                <w:szCs w:val="18"/>
              </w:rPr>
            </w:pPr>
            <w:r w:rsidRPr="003E10CE">
              <w:rPr>
                <w:rFonts w:ascii="Arial" w:hAnsi="Arial" w:cs="Arial"/>
                <w:b/>
                <w:bCs/>
                <w:sz w:val="18"/>
                <w:szCs w:val="18"/>
              </w:rPr>
              <w:t>2,228</w:t>
            </w:r>
          </w:p>
        </w:tc>
        <w:tc>
          <w:tcPr>
            <w:tcW w:w="414" w:type="pct"/>
            <w:tcBorders>
              <w:top w:val="nil"/>
              <w:left w:val="nil"/>
              <w:bottom w:val="single" w:sz="4" w:space="0" w:color="auto"/>
              <w:right w:val="nil"/>
            </w:tcBorders>
            <w:shd w:val="clear" w:color="auto" w:fill="auto"/>
            <w:noWrap/>
            <w:vAlign w:val="bottom"/>
          </w:tcPr>
          <w:p w14:paraId="1269FA9F" w14:textId="77777777" w:rsidR="003E10CE" w:rsidRPr="003E10CE" w:rsidRDefault="003E10CE" w:rsidP="003E10CE">
            <w:pPr>
              <w:jc w:val="right"/>
              <w:rPr>
                <w:rFonts w:ascii="Arial" w:hAnsi="Arial" w:cs="Arial"/>
                <w:b/>
                <w:bCs/>
                <w:sz w:val="18"/>
                <w:szCs w:val="18"/>
              </w:rPr>
            </w:pPr>
            <w:r w:rsidRPr="003E10CE">
              <w:rPr>
                <w:rFonts w:ascii="Arial" w:hAnsi="Arial" w:cs="Arial"/>
                <w:b/>
                <w:bCs/>
                <w:sz w:val="18"/>
                <w:szCs w:val="18"/>
              </w:rPr>
              <w:t>(29)</w:t>
            </w:r>
          </w:p>
        </w:tc>
        <w:tc>
          <w:tcPr>
            <w:tcW w:w="496" w:type="pct"/>
            <w:tcBorders>
              <w:top w:val="nil"/>
              <w:left w:val="nil"/>
              <w:bottom w:val="single" w:sz="4" w:space="0" w:color="auto"/>
              <w:right w:val="nil"/>
            </w:tcBorders>
            <w:shd w:val="clear" w:color="auto" w:fill="auto"/>
            <w:noWrap/>
            <w:vAlign w:val="bottom"/>
          </w:tcPr>
          <w:p w14:paraId="06C07018" w14:textId="77777777" w:rsidR="003E10CE" w:rsidRPr="003E10CE" w:rsidRDefault="003E10CE" w:rsidP="003E10CE">
            <w:pPr>
              <w:jc w:val="right"/>
              <w:rPr>
                <w:rFonts w:ascii="Arial" w:hAnsi="Arial" w:cs="Arial"/>
                <w:b/>
                <w:bCs/>
                <w:sz w:val="18"/>
                <w:szCs w:val="18"/>
              </w:rPr>
            </w:pPr>
            <w:r w:rsidRPr="003E10CE">
              <w:rPr>
                <w:rFonts w:ascii="Arial" w:hAnsi="Arial" w:cs="Arial"/>
                <w:b/>
                <w:bCs/>
                <w:sz w:val="18"/>
                <w:szCs w:val="18"/>
              </w:rPr>
              <w:t>3,790</w:t>
            </w:r>
          </w:p>
        </w:tc>
        <w:tc>
          <w:tcPr>
            <w:tcW w:w="584" w:type="pct"/>
            <w:tcBorders>
              <w:top w:val="nil"/>
              <w:left w:val="nil"/>
              <w:bottom w:val="single" w:sz="4" w:space="0" w:color="auto"/>
              <w:right w:val="nil"/>
            </w:tcBorders>
            <w:vAlign w:val="bottom"/>
          </w:tcPr>
          <w:p w14:paraId="1F990364" w14:textId="77777777" w:rsidR="003E10CE" w:rsidRPr="003E10CE" w:rsidRDefault="003E10CE" w:rsidP="003E10CE">
            <w:pPr>
              <w:jc w:val="right"/>
              <w:rPr>
                <w:rFonts w:ascii="Arial" w:hAnsi="Arial" w:cs="Arial"/>
                <w:b/>
                <w:bCs/>
                <w:sz w:val="18"/>
                <w:szCs w:val="18"/>
              </w:rPr>
            </w:pPr>
            <w:r w:rsidRPr="003E10CE">
              <w:rPr>
                <w:rFonts w:ascii="Arial" w:hAnsi="Arial" w:cs="Arial"/>
                <w:b/>
                <w:bCs/>
                <w:sz w:val="18"/>
                <w:szCs w:val="18"/>
              </w:rPr>
              <w:t>35</w:t>
            </w:r>
          </w:p>
        </w:tc>
        <w:tc>
          <w:tcPr>
            <w:tcW w:w="522" w:type="pct"/>
            <w:tcBorders>
              <w:top w:val="nil"/>
              <w:left w:val="nil"/>
              <w:bottom w:val="single" w:sz="4" w:space="0" w:color="auto"/>
              <w:right w:val="nil"/>
            </w:tcBorders>
            <w:shd w:val="clear" w:color="auto" w:fill="auto"/>
            <w:noWrap/>
            <w:vAlign w:val="bottom"/>
          </w:tcPr>
          <w:p w14:paraId="4C23CF6C" w14:textId="77777777" w:rsidR="003E10CE" w:rsidRPr="003E10CE" w:rsidRDefault="003E10CE" w:rsidP="003E10CE">
            <w:pPr>
              <w:jc w:val="right"/>
              <w:rPr>
                <w:rFonts w:ascii="Arial" w:hAnsi="Arial" w:cs="Arial"/>
                <w:b/>
                <w:bCs/>
                <w:sz w:val="18"/>
                <w:szCs w:val="18"/>
              </w:rPr>
            </w:pPr>
            <w:r w:rsidRPr="003E10CE">
              <w:rPr>
                <w:rFonts w:ascii="Arial" w:hAnsi="Arial" w:cs="Arial"/>
                <w:b/>
                <w:bCs/>
                <w:sz w:val="18"/>
                <w:szCs w:val="18"/>
              </w:rPr>
              <w:t>384</w:t>
            </w:r>
          </w:p>
        </w:tc>
        <w:tc>
          <w:tcPr>
            <w:tcW w:w="421" w:type="pct"/>
            <w:gridSpan w:val="2"/>
            <w:tcBorders>
              <w:top w:val="nil"/>
              <w:left w:val="nil"/>
              <w:bottom w:val="single" w:sz="4" w:space="0" w:color="auto"/>
              <w:right w:val="nil"/>
            </w:tcBorders>
            <w:shd w:val="clear" w:color="auto" w:fill="auto"/>
            <w:vAlign w:val="bottom"/>
          </w:tcPr>
          <w:p w14:paraId="14D92FA3" w14:textId="77777777" w:rsidR="003E10CE" w:rsidRPr="003E10CE" w:rsidRDefault="003E10CE" w:rsidP="003E10CE">
            <w:pPr>
              <w:jc w:val="right"/>
              <w:rPr>
                <w:rFonts w:ascii="Arial" w:hAnsi="Arial" w:cs="Arial"/>
                <w:b/>
                <w:bCs/>
                <w:sz w:val="18"/>
                <w:szCs w:val="18"/>
              </w:rPr>
            </w:pPr>
            <w:r w:rsidRPr="003E10CE">
              <w:rPr>
                <w:rFonts w:ascii="Arial" w:hAnsi="Arial" w:cs="Arial"/>
                <w:b/>
                <w:bCs/>
                <w:sz w:val="18"/>
                <w:szCs w:val="18"/>
              </w:rPr>
              <w:t>6,748</w:t>
            </w:r>
          </w:p>
        </w:tc>
      </w:tr>
      <w:tr w:rsidR="00894B12" w:rsidRPr="00663A21" w14:paraId="467B71C4" w14:textId="77777777" w:rsidTr="001A523D">
        <w:trPr>
          <w:trHeight w:val="250"/>
        </w:trPr>
        <w:tc>
          <w:tcPr>
            <w:tcW w:w="1323" w:type="pct"/>
            <w:tcBorders>
              <w:top w:val="single" w:sz="4" w:space="0" w:color="auto"/>
              <w:left w:val="single" w:sz="4" w:space="0" w:color="auto"/>
              <w:right w:val="nil"/>
            </w:tcBorders>
            <w:shd w:val="clear" w:color="auto" w:fill="auto"/>
            <w:vAlign w:val="bottom"/>
          </w:tcPr>
          <w:p w14:paraId="454314F1" w14:textId="77777777" w:rsidR="0034681D" w:rsidRPr="005071AF" w:rsidRDefault="0034681D" w:rsidP="0034681D">
            <w:pPr>
              <w:rPr>
                <w:rFonts w:ascii="Arial" w:hAnsi="Arial" w:cs="Arial"/>
                <w:sz w:val="18"/>
                <w:szCs w:val="18"/>
              </w:rPr>
            </w:pPr>
            <w:r w:rsidRPr="005071AF">
              <w:rPr>
                <w:rFonts w:ascii="Arial" w:hAnsi="Arial" w:cs="Arial"/>
                <w:sz w:val="18"/>
                <w:szCs w:val="18"/>
              </w:rPr>
              <w:t>Profit for the year</w:t>
            </w:r>
          </w:p>
        </w:tc>
        <w:tc>
          <w:tcPr>
            <w:tcW w:w="361" w:type="pct"/>
            <w:tcBorders>
              <w:top w:val="single" w:sz="4" w:space="0" w:color="auto"/>
              <w:left w:val="nil"/>
              <w:right w:val="nil"/>
            </w:tcBorders>
          </w:tcPr>
          <w:p w14:paraId="39873E63" w14:textId="77777777" w:rsidR="0034681D" w:rsidRPr="00663A21" w:rsidRDefault="0034681D" w:rsidP="0034681D">
            <w:pPr>
              <w:jc w:val="right"/>
              <w:rPr>
                <w:rFonts w:ascii="Arial" w:hAnsi="Arial" w:cs="Arial"/>
                <w:b/>
                <w:sz w:val="18"/>
                <w:szCs w:val="18"/>
              </w:rPr>
            </w:pPr>
          </w:p>
        </w:tc>
        <w:tc>
          <w:tcPr>
            <w:tcW w:w="383" w:type="pct"/>
            <w:tcBorders>
              <w:top w:val="single" w:sz="4" w:space="0" w:color="auto"/>
              <w:left w:val="nil"/>
              <w:bottom w:val="nil"/>
              <w:right w:val="nil"/>
            </w:tcBorders>
            <w:shd w:val="clear" w:color="auto" w:fill="auto"/>
            <w:noWrap/>
            <w:vAlign w:val="bottom"/>
          </w:tcPr>
          <w:p w14:paraId="147137D4"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496" w:type="pct"/>
            <w:tcBorders>
              <w:top w:val="single" w:sz="4" w:space="0" w:color="auto"/>
              <w:left w:val="nil"/>
              <w:bottom w:val="nil"/>
              <w:right w:val="nil"/>
            </w:tcBorders>
            <w:shd w:val="clear" w:color="auto" w:fill="auto"/>
            <w:noWrap/>
            <w:vAlign w:val="bottom"/>
          </w:tcPr>
          <w:p w14:paraId="56778E04"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414" w:type="pct"/>
            <w:tcBorders>
              <w:top w:val="single" w:sz="4" w:space="0" w:color="auto"/>
              <w:left w:val="nil"/>
              <w:bottom w:val="nil"/>
              <w:right w:val="nil"/>
            </w:tcBorders>
            <w:shd w:val="clear" w:color="auto" w:fill="auto"/>
            <w:noWrap/>
            <w:vAlign w:val="bottom"/>
          </w:tcPr>
          <w:p w14:paraId="43900CAA"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496" w:type="pct"/>
            <w:tcBorders>
              <w:top w:val="single" w:sz="4" w:space="0" w:color="auto"/>
              <w:left w:val="nil"/>
              <w:bottom w:val="nil"/>
              <w:right w:val="nil"/>
            </w:tcBorders>
            <w:shd w:val="clear" w:color="auto" w:fill="auto"/>
            <w:noWrap/>
            <w:vAlign w:val="bottom"/>
          </w:tcPr>
          <w:p w14:paraId="0842AE1A" w14:textId="37784982" w:rsidR="0034681D" w:rsidRPr="001A523D" w:rsidRDefault="005D7900" w:rsidP="0034681D">
            <w:pPr>
              <w:jc w:val="right"/>
              <w:rPr>
                <w:rFonts w:ascii="Arial" w:hAnsi="Arial" w:cs="Arial"/>
                <w:b/>
                <w:bCs/>
                <w:sz w:val="18"/>
                <w:szCs w:val="18"/>
              </w:rPr>
            </w:pPr>
            <w:r w:rsidRPr="001A523D">
              <w:rPr>
                <w:rFonts w:ascii="Arial" w:hAnsi="Arial" w:cs="Arial"/>
                <w:b/>
                <w:bCs/>
                <w:sz w:val="18"/>
                <w:szCs w:val="18"/>
              </w:rPr>
              <w:t>2</w:t>
            </w:r>
            <w:r w:rsidR="00945414">
              <w:rPr>
                <w:rFonts w:ascii="Arial" w:hAnsi="Arial" w:cs="Arial"/>
                <w:b/>
                <w:bCs/>
                <w:sz w:val="18"/>
                <w:szCs w:val="18"/>
              </w:rPr>
              <w:t>1</w:t>
            </w:r>
            <w:r w:rsidRPr="001A523D">
              <w:rPr>
                <w:rFonts w:ascii="Arial" w:hAnsi="Arial" w:cs="Arial"/>
                <w:b/>
                <w:bCs/>
                <w:sz w:val="18"/>
                <w:szCs w:val="18"/>
              </w:rPr>
              <w:t>8</w:t>
            </w:r>
          </w:p>
        </w:tc>
        <w:tc>
          <w:tcPr>
            <w:tcW w:w="584" w:type="pct"/>
            <w:tcBorders>
              <w:top w:val="single" w:sz="4" w:space="0" w:color="auto"/>
              <w:left w:val="nil"/>
              <w:bottom w:val="nil"/>
              <w:right w:val="nil"/>
            </w:tcBorders>
            <w:shd w:val="clear" w:color="auto" w:fill="auto"/>
            <w:vAlign w:val="bottom"/>
          </w:tcPr>
          <w:p w14:paraId="011DD4D8"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522" w:type="pct"/>
            <w:tcBorders>
              <w:top w:val="single" w:sz="4" w:space="0" w:color="auto"/>
              <w:left w:val="nil"/>
              <w:bottom w:val="nil"/>
              <w:right w:val="nil"/>
            </w:tcBorders>
            <w:shd w:val="clear" w:color="auto" w:fill="auto"/>
            <w:noWrap/>
            <w:vAlign w:val="bottom"/>
          </w:tcPr>
          <w:p w14:paraId="707B1B30"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421" w:type="pct"/>
            <w:gridSpan w:val="2"/>
            <w:tcBorders>
              <w:top w:val="single" w:sz="4" w:space="0" w:color="auto"/>
              <w:left w:val="nil"/>
              <w:bottom w:val="nil"/>
              <w:right w:val="single" w:sz="4" w:space="0" w:color="auto"/>
            </w:tcBorders>
            <w:shd w:val="clear" w:color="auto" w:fill="auto"/>
            <w:vAlign w:val="bottom"/>
          </w:tcPr>
          <w:p w14:paraId="3DCEED89" w14:textId="1CA8D533" w:rsidR="0034681D" w:rsidRPr="001A523D" w:rsidRDefault="005D7900" w:rsidP="0034681D">
            <w:pPr>
              <w:jc w:val="right"/>
              <w:rPr>
                <w:rFonts w:ascii="Arial" w:hAnsi="Arial" w:cs="Arial"/>
                <w:b/>
                <w:bCs/>
                <w:sz w:val="18"/>
                <w:szCs w:val="18"/>
              </w:rPr>
            </w:pPr>
            <w:r w:rsidRPr="001A523D">
              <w:rPr>
                <w:rFonts w:ascii="Arial" w:hAnsi="Arial" w:cs="Arial"/>
                <w:b/>
                <w:bCs/>
                <w:sz w:val="18"/>
                <w:szCs w:val="18"/>
              </w:rPr>
              <w:t>2</w:t>
            </w:r>
            <w:r w:rsidR="00945414">
              <w:rPr>
                <w:rFonts w:ascii="Arial" w:hAnsi="Arial" w:cs="Arial"/>
                <w:b/>
                <w:bCs/>
                <w:sz w:val="18"/>
                <w:szCs w:val="18"/>
              </w:rPr>
              <w:t>1</w:t>
            </w:r>
            <w:r w:rsidRPr="001A523D">
              <w:rPr>
                <w:rFonts w:ascii="Arial" w:hAnsi="Arial" w:cs="Arial"/>
                <w:b/>
                <w:bCs/>
                <w:sz w:val="18"/>
                <w:szCs w:val="18"/>
              </w:rPr>
              <w:t>8</w:t>
            </w:r>
          </w:p>
        </w:tc>
      </w:tr>
      <w:tr w:rsidR="00894B12" w:rsidRPr="00663A21" w14:paraId="39A281F8" w14:textId="77777777" w:rsidTr="001A523D">
        <w:trPr>
          <w:trHeight w:val="236"/>
        </w:trPr>
        <w:tc>
          <w:tcPr>
            <w:tcW w:w="1323" w:type="pct"/>
            <w:tcBorders>
              <w:left w:val="single" w:sz="4" w:space="0" w:color="auto"/>
              <w:bottom w:val="single" w:sz="4" w:space="0" w:color="auto"/>
              <w:right w:val="nil"/>
            </w:tcBorders>
            <w:shd w:val="clear" w:color="auto" w:fill="auto"/>
            <w:vAlign w:val="bottom"/>
          </w:tcPr>
          <w:p w14:paraId="08C8539C" w14:textId="064EF9F4" w:rsidR="0034681D" w:rsidRPr="005071AF" w:rsidRDefault="0034681D" w:rsidP="0034681D">
            <w:pPr>
              <w:rPr>
                <w:rFonts w:ascii="Arial" w:hAnsi="Arial" w:cs="Arial"/>
                <w:sz w:val="18"/>
                <w:szCs w:val="18"/>
              </w:rPr>
            </w:pPr>
            <w:r w:rsidRPr="005071AF">
              <w:rPr>
                <w:rFonts w:ascii="Arial" w:hAnsi="Arial" w:cs="Arial"/>
                <w:bCs/>
                <w:sz w:val="18"/>
                <w:szCs w:val="18"/>
              </w:rPr>
              <w:t>Other comprehensive</w:t>
            </w:r>
            <w:r w:rsidR="00C62B0C">
              <w:rPr>
                <w:rFonts w:ascii="Arial" w:hAnsi="Arial" w:cs="Arial"/>
                <w:bCs/>
                <w:sz w:val="18"/>
                <w:szCs w:val="18"/>
              </w:rPr>
              <w:t xml:space="preserve"> </w:t>
            </w:r>
            <w:r w:rsidRPr="005071AF">
              <w:rPr>
                <w:rFonts w:ascii="Arial" w:hAnsi="Arial" w:cs="Arial"/>
                <w:bCs/>
                <w:sz w:val="18"/>
                <w:szCs w:val="18"/>
              </w:rPr>
              <w:t>income for the year</w:t>
            </w:r>
          </w:p>
        </w:tc>
        <w:tc>
          <w:tcPr>
            <w:tcW w:w="361" w:type="pct"/>
            <w:tcBorders>
              <w:left w:val="nil"/>
              <w:bottom w:val="single" w:sz="4" w:space="0" w:color="auto"/>
              <w:right w:val="nil"/>
            </w:tcBorders>
          </w:tcPr>
          <w:p w14:paraId="083C2E44" w14:textId="77777777" w:rsidR="0034681D" w:rsidRPr="00663A21" w:rsidRDefault="0034681D" w:rsidP="0034681D">
            <w:pPr>
              <w:jc w:val="right"/>
              <w:rPr>
                <w:rFonts w:ascii="Arial" w:hAnsi="Arial" w:cs="Arial"/>
                <w:b/>
                <w:bCs/>
                <w:sz w:val="18"/>
                <w:szCs w:val="18"/>
              </w:rPr>
            </w:pPr>
          </w:p>
        </w:tc>
        <w:tc>
          <w:tcPr>
            <w:tcW w:w="383" w:type="pct"/>
            <w:tcBorders>
              <w:top w:val="nil"/>
              <w:left w:val="nil"/>
              <w:bottom w:val="single" w:sz="4" w:space="0" w:color="auto"/>
              <w:right w:val="nil"/>
            </w:tcBorders>
            <w:shd w:val="clear" w:color="auto" w:fill="auto"/>
            <w:noWrap/>
            <w:vAlign w:val="bottom"/>
          </w:tcPr>
          <w:p w14:paraId="07C788B9"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496" w:type="pct"/>
            <w:tcBorders>
              <w:top w:val="nil"/>
              <w:left w:val="nil"/>
              <w:bottom w:val="single" w:sz="4" w:space="0" w:color="auto"/>
              <w:right w:val="nil"/>
            </w:tcBorders>
            <w:shd w:val="clear" w:color="auto" w:fill="auto"/>
            <w:noWrap/>
            <w:vAlign w:val="bottom"/>
          </w:tcPr>
          <w:p w14:paraId="0CD4E685"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414" w:type="pct"/>
            <w:tcBorders>
              <w:top w:val="nil"/>
              <w:left w:val="nil"/>
              <w:bottom w:val="single" w:sz="4" w:space="0" w:color="auto"/>
              <w:right w:val="nil"/>
            </w:tcBorders>
            <w:shd w:val="clear" w:color="auto" w:fill="auto"/>
            <w:noWrap/>
            <w:vAlign w:val="bottom"/>
          </w:tcPr>
          <w:p w14:paraId="5E9C3077"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496" w:type="pct"/>
            <w:tcBorders>
              <w:top w:val="nil"/>
              <w:left w:val="nil"/>
              <w:bottom w:val="single" w:sz="4" w:space="0" w:color="auto"/>
              <w:right w:val="nil"/>
            </w:tcBorders>
            <w:shd w:val="clear" w:color="auto" w:fill="auto"/>
            <w:noWrap/>
            <w:vAlign w:val="bottom"/>
          </w:tcPr>
          <w:p w14:paraId="28FC2F41" w14:textId="0E4DC0BC" w:rsidR="0034681D" w:rsidRPr="001A523D" w:rsidRDefault="001A523D" w:rsidP="0034681D">
            <w:pPr>
              <w:jc w:val="right"/>
              <w:rPr>
                <w:rFonts w:ascii="Arial" w:hAnsi="Arial" w:cs="Arial"/>
                <w:b/>
                <w:bCs/>
                <w:sz w:val="18"/>
                <w:szCs w:val="18"/>
              </w:rPr>
            </w:pPr>
            <w:r w:rsidRPr="001A523D">
              <w:rPr>
                <w:rFonts w:ascii="Arial" w:hAnsi="Arial" w:cs="Arial"/>
                <w:b/>
                <w:bCs/>
                <w:sz w:val="18"/>
                <w:szCs w:val="18"/>
              </w:rPr>
              <w:t>4</w:t>
            </w:r>
            <w:r w:rsidR="00085137">
              <w:rPr>
                <w:rFonts w:ascii="Arial" w:hAnsi="Arial" w:cs="Arial"/>
                <w:b/>
                <w:bCs/>
                <w:sz w:val="18"/>
                <w:szCs w:val="18"/>
              </w:rPr>
              <w:t>6</w:t>
            </w:r>
          </w:p>
        </w:tc>
        <w:tc>
          <w:tcPr>
            <w:tcW w:w="584" w:type="pct"/>
            <w:tcBorders>
              <w:top w:val="nil"/>
              <w:left w:val="nil"/>
              <w:bottom w:val="single" w:sz="4" w:space="0" w:color="auto"/>
              <w:right w:val="nil"/>
            </w:tcBorders>
            <w:shd w:val="clear" w:color="auto" w:fill="auto"/>
            <w:vAlign w:val="bottom"/>
          </w:tcPr>
          <w:p w14:paraId="6DADAB46"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522" w:type="pct"/>
            <w:tcBorders>
              <w:top w:val="nil"/>
              <w:left w:val="nil"/>
              <w:bottom w:val="single" w:sz="4" w:space="0" w:color="auto"/>
              <w:right w:val="nil"/>
            </w:tcBorders>
            <w:shd w:val="clear" w:color="auto" w:fill="auto"/>
            <w:noWrap/>
            <w:vAlign w:val="bottom"/>
          </w:tcPr>
          <w:p w14:paraId="3A909464" w14:textId="1407B842" w:rsidR="0034681D" w:rsidRPr="001A523D" w:rsidRDefault="001A523D" w:rsidP="0034681D">
            <w:pPr>
              <w:jc w:val="right"/>
              <w:rPr>
                <w:rFonts w:ascii="Arial" w:hAnsi="Arial" w:cs="Arial"/>
                <w:b/>
                <w:bCs/>
                <w:sz w:val="18"/>
                <w:szCs w:val="18"/>
              </w:rPr>
            </w:pPr>
            <w:r w:rsidRPr="001A523D">
              <w:rPr>
                <w:rFonts w:ascii="Arial" w:hAnsi="Arial" w:cs="Arial"/>
                <w:b/>
                <w:bCs/>
                <w:sz w:val="18"/>
                <w:szCs w:val="18"/>
              </w:rPr>
              <w:t>1</w:t>
            </w:r>
            <w:r w:rsidR="00945414">
              <w:rPr>
                <w:rFonts w:ascii="Arial" w:hAnsi="Arial" w:cs="Arial"/>
                <w:b/>
                <w:bCs/>
                <w:sz w:val="18"/>
                <w:szCs w:val="18"/>
              </w:rPr>
              <w:t>6</w:t>
            </w:r>
          </w:p>
        </w:tc>
        <w:tc>
          <w:tcPr>
            <w:tcW w:w="421" w:type="pct"/>
            <w:gridSpan w:val="2"/>
            <w:tcBorders>
              <w:top w:val="nil"/>
              <w:left w:val="nil"/>
              <w:bottom w:val="single" w:sz="4" w:space="0" w:color="auto"/>
              <w:right w:val="single" w:sz="4" w:space="0" w:color="auto"/>
            </w:tcBorders>
            <w:shd w:val="clear" w:color="auto" w:fill="auto"/>
            <w:vAlign w:val="bottom"/>
          </w:tcPr>
          <w:p w14:paraId="579992D3" w14:textId="07346E55" w:rsidR="0034681D" w:rsidRPr="001A523D" w:rsidRDefault="00533615" w:rsidP="0034681D">
            <w:pPr>
              <w:jc w:val="right"/>
              <w:rPr>
                <w:rFonts w:ascii="Arial" w:hAnsi="Arial" w:cs="Arial"/>
                <w:b/>
                <w:bCs/>
                <w:sz w:val="18"/>
                <w:szCs w:val="18"/>
              </w:rPr>
            </w:pPr>
            <w:r>
              <w:rPr>
                <w:rFonts w:ascii="Arial" w:hAnsi="Arial" w:cs="Arial"/>
                <w:b/>
                <w:bCs/>
                <w:sz w:val="18"/>
                <w:szCs w:val="18"/>
              </w:rPr>
              <w:t>6</w:t>
            </w:r>
            <w:r w:rsidR="00945414">
              <w:rPr>
                <w:rFonts w:ascii="Arial" w:hAnsi="Arial" w:cs="Arial"/>
                <w:b/>
                <w:bCs/>
                <w:sz w:val="18"/>
                <w:szCs w:val="18"/>
              </w:rPr>
              <w:t>2</w:t>
            </w:r>
          </w:p>
        </w:tc>
      </w:tr>
      <w:tr w:rsidR="00894B12" w:rsidRPr="00663A21" w14:paraId="3C90FB79" w14:textId="77777777" w:rsidTr="001A523D">
        <w:trPr>
          <w:trHeight w:val="236"/>
        </w:trPr>
        <w:tc>
          <w:tcPr>
            <w:tcW w:w="1323" w:type="pct"/>
            <w:tcBorders>
              <w:top w:val="single" w:sz="4" w:space="0" w:color="auto"/>
              <w:right w:val="nil"/>
            </w:tcBorders>
            <w:shd w:val="clear" w:color="auto" w:fill="auto"/>
            <w:vAlign w:val="bottom"/>
          </w:tcPr>
          <w:p w14:paraId="2A60CE5A" w14:textId="77777777" w:rsidR="0034681D" w:rsidRPr="001D40AF" w:rsidRDefault="0034681D" w:rsidP="0034681D">
            <w:pPr>
              <w:rPr>
                <w:rFonts w:ascii="Arial" w:hAnsi="Arial" w:cs="Arial"/>
                <w:b/>
                <w:bCs/>
                <w:sz w:val="18"/>
                <w:szCs w:val="18"/>
              </w:rPr>
            </w:pPr>
            <w:r w:rsidRPr="002A7D7A">
              <w:rPr>
                <w:rFonts w:ascii="Arial" w:hAnsi="Arial" w:cs="Arial"/>
                <w:b/>
                <w:bCs/>
                <w:sz w:val="18"/>
                <w:szCs w:val="18"/>
              </w:rPr>
              <w:t xml:space="preserve">Total </w:t>
            </w:r>
            <w:r>
              <w:rPr>
                <w:rFonts w:ascii="Arial" w:hAnsi="Arial" w:cs="Arial"/>
                <w:b/>
                <w:bCs/>
                <w:sz w:val="18"/>
                <w:szCs w:val="18"/>
              </w:rPr>
              <w:t>comprehensive</w:t>
            </w:r>
            <w:r w:rsidRPr="002A7D7A">
              <w:rPr>
                <w:rFonts w:ascii="Arial" w:hAnsi="Arial" w:cs="Arial"/>
                <w:b/>
                <w:bCs/>
                <w:sz w:val="18"/>
                <w:szCs w:val="18"/>
              </w:rPr>
              <w:t xml:space="preserve"> income for the </w:t>
            </w:r>
            <w:r>
              <w:rPr>
                <w:rFonts w:ascii="Arial" w:hAnsi="Arial" w:cs="Arial"/>
                <w:b/>
                <w:bCs/>
                <w:sz w:val="18"/>
                <w:szCs w:val="18"/>
              </w:rPr>
              <w:t>year</w:t>
            </w:r>
          </w:p>
        </w:tc>
        <w:tc>
          <w:tcPr>
            <w:tcW w:w="361" w:type="pct"/>
            <w:tcBorders>
              <w:top w:val="single" w:sz="4" w:space="0" w:color="auto"/>
              <w:right w:val="nil"/>
            </w:tcBorders>
          </w:tcPr>
          <w:p w14:paraId="5ED92291" w14:textId="77777777" w:rsidR="0034681D" w:rsidRPr="00663A21" w:rsidRDefault="0034681D" w:rsidP="0034681D">
            <w:pPr>
              <w:jc w:val="right"/>
              <w:rPr>
                <w:rFonts w:ascii="Arial" w:hAnsi="Arial" w:cs="Arial"/>
                <w:b/>
                <w:bCs/>
                <w:sz w:val="18"/>
                <w:szCs w:val="18"/>
              </w:rPr>
            </w:pPr>
          </w:p>
        </w:tc>
        <w:tc>
          <w:tcPr>
            <w:tcW w:w="383" w:type="pct"/>
            <w:tcBorders>
              <w:top w:val="nil"/>
              <w:left w:val="nil"/>
              <w:bottom w:val="nil"/>
              <w:right w:val="nil"/>
            </w:tcBorders>
            <w:shd w:val="clear" w:color="auto" w:fill="auto"/>
            <w:noWrap/>
            <w:vAlign w:val="bottom"/>
          </w:tcPr>
          <w:p w14:paraId="4B1006A4"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14:paraId="40DBA5FB"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414" w:type="pct"/>
            <w:tcBorders>
              <w:top w:val="nil"/>
              <w:left w:val="nil"/>
              <w:bottom w:val="nil"/>
              <w:right w:val="nil"/>
            </w:tcBorders>
            <w:shd w:val="clear" w:color="auto" w:fill="auto"/>
            <w:noWrap/>
            <w:vAlign w:val="bottom"/>
          </w:tcPr>
          <w:p w14:paraId="457B774F"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14:paraId="2C9CE578" w14:textId="017968C2" w:rsidR="0034681D" w:rsidRPr="001A523D" w:rsidRDefault="001A523D" w:rsidP="0034681D">
            <w:pPr>
              <w:jc w:val="right"/>
              <w:rPr>
                <w:rFonts w:ascii="Arial" w:hAnsi="Arial" w:cs="Arial"/>
                <w:b/>
                <w:bCs/>
                <w:sz w:val="18"/>
                <w:szCs w:val="18"/>
              </w:rPr>
            </w:pPr>
            <w:r w:rsidRPr="001A523D">
              <w:rPr>
                <w:rFonts w:ascii="Arial" w:hAnsi="Arial" w:cs="Arial"/>
                <w:b/>
                <w:bCs/>
                <w:sz w:val="18"/>
                <w:szCs w:val="18"/>
              </w:rPr>
              <w:t>2</w:t>
            </w:r>
            <w:r w:rsidR="00945414">
              <w:rPr>
                <w:rFonts w:ascii="Arial" w:hAnsi="Arial" w:cs="Arial"/>
                <w:b/>
                <w:bCs/>
                <w:sz w:val="18"/>
                <w:szCs w:val="18"/>
              </w:rPr>
              <w:t>6</w:t>
            </w:r>
            <w:r w:rsidR="00533615">
              <w:rPr>
                <w:rFonts w:ascii="Arial" w:hAnsi="Arial" w:cs="Arial"/>
                <w:b/>
                <w:bCs/>
                <w:sz w:val="18"/>
                <w:szCs w:val="18"/>
              </w:rPr>
              <w:t>4</w:t>
            </w:r>
          </w:p>
        </w:tc>
        <w:tc>
          <w:tcPr>
            <w:tcW w:w="584" w:type="pct"/>
            <w:tcBorders>
              <w:top w:val="nil"/>
              <w:left w:val="nil"/>
              <w:bottom w:val="nil"/>
              <w:right w:val="nil"/>
            </w:tcBorders>
            <w:shd w:val="clear" w:color="auto" w:fill="auto"/>
            <w:vAlign w:val="bottom"/>
          </w:tcPr>
          <w:p w14:paraId="1A1C0948"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522" w:type="pct"/>
            <w:tcBorders>
              <w:top w:val="nil"/>
              <w:left w:val="nil"/>
              <w:bottom w:val="nil"/>
              <w:right w:val="nil"/>
            </w:tcBorders>
            <w:shd w:val="clear" w:color="auto" w:fill="auto"/>
            <w:noWrap/>
            <w:vAlign w:val="bottom"/>
          </w:tcPr>
          <w:p w14:paraId="409CDD15" w14:textId="29B47E98" w:rsidR="0034681D" w:rsidRPr="001A523D" w:rsidRDefault="001A523D" w:rsidP="0034681D">
            <w:pPr>
              <w:jc w:val="right"/>
              <w:rPr>
                <w:rFonts w:ascii="Arial" w:hAnsi="Arial" w:cs="Arial"/>
                <w:b/>
                <w:bCs/>
                <w:sz w:val="18"/>
                <w:szCs w:val="18"/>
              </w:rPr>
            </w:pPr>
            <w:r w:rsidRPr="001A523D">
              <w:rPr>
                <w:rFonts w:ascii="Arial" w:hAnsi="Arial" w:cs="Arial"/>
                <w:b/>
                <w:bCs/>
                <w:sz w:val="18"/>
                <w:szCs w:val="18"/>
              </w:rPr>
              <w:t>1</w:t>
            </w:r>
            <w:r w:rsidR="00945414">
              <w:rPr>
                <w:rFonts w:ascii="Arial" w:hAnsi="Arial" w:cs="Arial"/>
                <w:b/>
                <w:bCs/>
                <w:sz w:val="18"/>
                <w:szCs w:val="18"/>
              </w:rPr>
              <w:t>6</w:t>
            </w:r>
          </w:p>
        </w:tc>
        <w:tc>
          <w:tcPr>
            <w:tcW w:w="421" w:type="pct"/>
            <w:gridSpan w:val="2"/>
            <w:tcBorders>
              <w:top w:val="nil"/>
              <w:left w:val="nil"/>
              <w:bottom w:val="nil"/>
              <w:right w:val="nil"/>
            </w:tcBorders>
            <w:shd w:val="clear" w:color="auto" w:fill="auto"/>
            <w:vAlign w:val="bottom"/>
          </w:tcPr>
          <w:p w14:paraId="5CDA44DF" w14:textId="400E655E" w:rsidR="0034681D" w:rsidRPr="001A523D" w:rsidRDefault="001A523D" w:rsidP="0034681D">
            <w:pPr>
              <w:jc w:val="right"/>
              <w:rPr>
                <w:rFonts w:ascii="Arial" w:hAnsi="Arial" w:cs="Arial"/>
                <w:b/>
                <w:bCs/>
                <w:sz w:val="18"/>
                <w:szCs w:val="18"/>
              </w:rPr>
            </w:pPr>
            <w:r w:rsidRPr="001A523D">
              <w:rPr>
                <w:rFonts w:ascii="Arial" w:hAnsi="Arial" w:cs="Arial"/>
                <w:b/>
                <w:bCs/>
                <w:sz w:val="18"/>
                <w:szCs w:val="18"/>
              </w:rPr>
              <w:t>2</w:t>
            </w:r>
            <w:r w:rsidR="00945414">
              <w:rPr>
                <w:rFonts w:ascii="Arial" w:hAnsi="Arial" w:cs="Arial"/>
                <w:b/>
                <w:bCs/>
                <w:sz w:val="18"/>
                <w:szCs w:val="18"/>
              </w:rPr>
              <w:t>80</w:t>
            </w:r>
          </w:p>
        </w:tc>
      </w:tr>
      <w:tr w:rsidR="00894B12" w:rsidRPr="00663A21" w14:paraId="3EDA359F" w14:textId="77777777" w:rsidTr="001A523D">
        <w:trPr>
          <w:trHeight w:val="236"/>
        </w:trPr>
        <w:tc>
          <w:tcPr>
            <w:tcW w:w="1323" w:type="pct"/>
            <w:tcBorders>
              <w:bottom w:val="nil"/>
              <w:right w:val="nil"/>
            </w:tcBorders>
            <w:shd w:val="clear" w:color="auto" w:fill="auto"/>
            <w:vAlign w:val="bottom"/>
          </w:tcPr>
          <w:p w14:paraId="210C3058" w14:textId="699EE70B" w:rsidR="0034681D" w:rsidRPr="002A7D7A" w:rsidRDefault="00154021" w:rsidP="0034681D">
            <w:pPr>
              <w:rPr>
                <w:rFonts w:ascii="Arial" w:hAnsi="Arial" w:cs="Arial"/>
                <w:sz w:val="18"/>
                <w:szCs w:val="18"/>
              </w:rPr>
            </w:pPr>
            <w:r>
              <w:rPr>
                <w:rFonts w:ascii="Arial" w:hAnsi="Arial" w:cs="Arial"/>
                <w:sz w:val="18"/>
                <w:szCs w:val="18"/>
              </w:rPr>
              <w:t>Inventory cash flow hedges - g</w:t>
            </w:r>
            <w:r w:rsidR="001A523D">
              <w:rPr>
                <w:rFonts w:ascii="Arial" w:hAnsi="Arial" w:cs="Arial"/>
                <w:sz w:val="18"/>
                <w:szCs w:val="18"/>
              </w:rPr>
              <w:t>ains transferred to inventories</w:t>
            </w:r>
          </w:p>
        </w:tc>
        <w:tc>
          <w:tcPr>
            <w:tcW w:w="361" w:type="pct"/>
            <w:tcBorders>
              <w:right w:val="nil"/>
            </w:tcBorders>
          </w:tcPr>
          <w:p w14:paraId="6BA75C35" w14:textId="77777777" w:rsidR="0034681D" w:rsidRPr="00663A21" w:rsidRDefault="0034681D" w:rsidP="0034681D">
            <w:pPr>
              <w:jc w:val="right"/>
              <w:rPr>
                <w:rFonts w:ascii="Arial" w:hAnsi="Arial" w:cs="Arial"/>
                <w:b/>
                <w:bCs/>
                <w:sz w:val="18"/>
                <w:szCs w:val="18"/>
              </w:rPr>
            </w:pPr>
          </w:p>
        </w:tc>
        <w:tc>
          <w:tcPr>
            <w:tcW w:w="383" w:type="pct"/>
            <w:tcBorders>
              <w:top w:val="nil"/>
              <w:left w:val="nil"/>
              <w:bottom w:val="nil"/>
              <w:right w:val="nil"/>
            </w:tcBorders>
            <w:shd w:val="clear" w:color="auto" w:fill="auto"/>
            <w:noWrap/>
            <w:vAlign w:val="bottom"/>
          </w:tcPr>
          <w:p w14:paraId="0E895EF5"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14:paraId="470CA0AA"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414" w:type="pct"/>
            <w:tcBorders>
              <w:top w:val="nil"/>
              <w:left w:val="nil"/>
              <w:bottom w:val="nil"/>
              <w:right w:val="nil"/>
            </w:tcBorders>
            <w:shd w:val="clear" w:color="auto" w:fill="auto"/>
            <w:noWrap/>
            <w:vAlign w:val="bottom"/>
          </w:tcPr>
          <w:p w14:paraId="4A7C746C"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14:paraId="238B24D5" w14:textId="77777777" w:rsidR="0034681D" w:rsidRPr="001A523D" w:rsidRDefault="001A523D" w:rsidP="0034681D">
            <w:pPr>
              <w:jc w:val="right"/>
              <w:rPr>
                <w:rFonts w:ascii="Arial" w:hAnsi="Arial" w:cs="Arial"/>
                <w:b/>
                <w:bCs/>
                <w:sz w:val="18"/>
                <w:szCs w:val="18"/>
              </w:rPr>
            </w:pPr>
            <w:r w:rsidRPr="001A523D">
              <w:rPr>
                <w:rFonts w:ascii="Arial" w:hAnsi="Arial" w:cs="Arial"/>
                <w:b/>
                <w:bCs/>
                <w:sz w:val="18"/>
                <w:szCs w:val="18"/>
              </w:rPr>
              <w:t>–</w:t>
            </w:r>
          </w:p>
        </w:tc>
        <w:tc>
          <w:tcPr>
            <w:tcW w:w="584" w:type="pct"/>
            <w:tcBorders>
              <w:top w:val="nil"/>
              <w:left w:val="nil"/>
              <w:bottom w:val="nil"/>
              <w:right w:val="nil"/>
            </w:tcBorders>
            <w:shd w:val="clear" w:color="auto" w:fill="auto"/>
            <w:vAlign w:val="bottom"/>
          </w:tcPr>
          <w:p w14:paraId="2C10D1CD" w14:textId="77777777" w:rsidR="0034681D" w:rsidRPr="001A523D" w:rsidRDefault="0034681D" w:rsidP="0034681D">
            <w:pPr>
              <w:jc w:val="right"/>
              <w:rPr>
                <w:rFonts w:ascii="Arial" w:hAnsi="Arial" w:cs="Arial"/>
                <w:b/>
                <w:bCs/>
                <w:sz w:val="18"/>
                <w:szCs w:val="18"/>
              </w:rPr>
            </w:pPr>
            <w:r w:rsidRPr="001A523D">
              <w:rPr>
                <w:rFonts w:ascii="Arial" w:hAnsi="Arial" w:cs="Arial"/>
                <w:b/>
                <w:bCs/>
                <w:sz w:val="18"/>
                <w:szCs w:val="18"/>
              </w:rPr>
              <w:t>–</w:t>
            </w:r>
          </w:p>
        </w:tc>
        <w:tc>
          <w:tcPr>
            <w:tcW w:w="522" w:type="pct"/>
            <w:tcBorders>
              <w:top w:val="nil"/>
              <w:left w:val="nil"/>
              <w:bottom w:val="nil"/>
              <w:right w:val="nil"/>
            </w:tcBorders>
            <w:shd w:val="clear" w:color="auto" w:fill="auto"/>
            <w:noWrap/>
            <w:vAlign w:val="bottom"/>
          </w:tcPr>
          <w:p w14:paraId="1C4D77D2" w14:textId="77777777" w:rsidR="0034681D" w:rsidRPr="001A523D" w:rsidRDefault="001A523D" w:rsidP="0034681D">
            <w:pPr>
              <w:jc w:val="right"/>
              <w:rPr>
                <w:rFonts w:ascii="Arial" w:hAnsi="Arial" w:cs="Arial"/>
                <w:b/>
                <w:bCs/>
                <w:sz w:val="18"/>
                <w:szCs w:val="18"/>
              </w:rPr>
            </w:pPr>
            <w:r w:rsidRPr="001A523D">
              <w:rPr>
                <w:rFonts w:ascii="Arial" w:hAnsi="Arial" w:cs="Arial"/>
                <w:b/>
                <w:bCs/>
                <w:sz w:val="18"/>
                <w:szCs w:val="18"/>
              </w:rPr>
              <w:t>(22)</w:t>
            </w:r>
          </w:p>
        </w:tc>
        <w:tc>
          <w:tcPr>
            <w:tcW w:w="421" w:type="pct"/>
            <w:gridSpan w:val="2"/>
            <w:tcBorders>
              <w:top w:val="nil"/>
              <w:left w:val="nil"/>
              <w:bottom w:val="nil"/>
              <w:right w:val="nil"/>
            </w:tcBorders>
            <w:shd w:val="clear" w:color="auto" w:fill="auto"/>
            <w:vAlign w:val="bottom"/>
          </w:tcPr>
          <w:p w14:paraId="62FA7EAA" w14:textId="77777777" w:rsidR="0034681D" w:rsidRPr="001A523D" w:rsidRDefault="001A523D" w:rsidP="0034681D">
            <w:pPr>
              <w:jc w:val="right"/>
              <w:rPr>
                <w:rFonts w:ascii="Arial" w:hAnsi="Arial" w:cs="Arial"/>
                <w:b/>
                <w:bCs/>
                <w:sz w:val="18"/>
                <w:szCs w:val="18"/>
              </w:rPr>
            </w:pPr>
            <w:r w:rsidRPr="001A523D">
              <w:rPr>
                <w:rFonts w:ascii="Arial" w:hAnsi="Arial" w:cs="Arial"/>
                <w:b/>
                <w:bCs/>
                <w:sz w:val="18"/>
                <w:szCs w:val="18"/>
              </w:rPr>
              <w:t>(22)</w:t>
            </w:r>
          </w:p>
        </w:tc>
      </w:tr>
      <w:tr w:rsidR="00105CAF" w:rsidRPr="00663A21" w14:paraId="42E02C37" w14:textId="77777777" w:rsidTr="00FA21A3">
        <w:trPr>
          <w:trHeight w:val="236"/>
        </w:trPr>
        <w:tc>
          <w:tcPr>
            <w:tcW w:w="1323" w:type="pct"/>
            <w:tcBorders>
              <w:bottom w:val="nil"/>
              <w:right w:val="nil"/>
            </w:tcBorders>
            <w:shd w:val="clear" w:color="auto" w:fill="auto"/>
            <w:vAlign w:val="bottom"/>
          </w:tcPr>
          <w:p w14:paraId="11619E20" w14:textId="77777777" w:rsidR="00105CAF" w:rsidRPr="002A7D7A" w:rsidRDefault="00105CAF" w:rsidP="00105CAF">
            <w:pPr>
              <w:rPr>
                <w:rFonts w:ascii="Arial" w:hAnsi="Arial" w:cs="Arial"/>
                <w:sz w:val="18"/>
                <w:szCs w:val="18"/>
              </w:rPr>
            </w:pPr>
            <w:r>
              <w:rPr>
                <w:rFonts w:ascii="Arial" w:hAnsi="Arial" w:cs="Arial"/>
                <w:sz w:val="18"/>
                <w:szCs w:val="18"/>
              </w:rPr>
              <w:t>Share-based compensation</w:t>
            </w:r>
          </w:p>
        </w:tc>
        <w:tc>
          <w:tcPr>
            <w:tcW w:w="361" w:type="pct"/>
            <w:tcBorders>
              <w:right w:val="nil"/>
            </w:tcBorders>
          </w:tcPr>
          <w:p w14:paraId="68FBF13D" w14:textId="77777777" w:rsidR="00105CAF" w:rsidRPr="00663A21" w:rsidRDefault="00105CAF" w:rsidP="00105CAF">
            <w:pPr>
              <w:jc w:val="right"/>
              <w:rPr>
                <w:rFonts w:ascii="Arial" w:hAnsi="Arial" w:cs="Arial"/>
                <w:b/>
                <w:bCs/>
                <w:sz w:val="18"/>
                <w:szCs w:val="18"/>
              </w:rPr>
            </w:pPr>
          </w:p>
        </w:tc>
        <w:tc>
          <w:tcPr>
            <w:tcW w:w="383" w:type="pct"/>
            <w:tcBorders>
              <w:top w:val="nil"/>
              <w:left w:val="nil"/>
              <w:bottom w:val="nil"/>
              <w:right w:val="nil"/>
            </w:tcBorders>
            <w:shd w:val="clear" w:color="auto" w:fill="auto"/>
            <w:noWrap/>
            <w:vAlign w:val="bottom"/>
          </w:tcPr>
          <w:p w14:paraId="24629EAB" w14:textId="77777777" w:rsidR="00105CAF" w:rsidRPr="001A523D" w:rsidRDefault="00105CAF" w:rsidP="00105CAF">
            <w:pPr>
              <w:jc w:val="right"/>
              <w:rPr>
                <w:rFonts w:ascii="Arial" w:hAnsi="Arial" w:cs="Arial"/>
                <w:b/>
                <w:bCs/>
                <w:sz w:val="18"/>
                <w:szCs w:val="18"/>
              </w:rPr>
            </w:pPr>
            <w:r w:rsidRPr="001A523D">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14:paraId="766DDEAF" w14:textId="77777777" w:rsidR="00105CAF" w:rsidRPr="001A523D" w:rsidRDefault="00105CAF" w:rsidP="00105CAF">
            <w:pPr>
              <w:jc w:val="right"/>
              <w:rPr>
                <w:rFonts w:ascii="Arial" w:hAnsi="Arial" w:cs="Arial"/>
                <w:b/>
                <w:bCs/>
                <w:sz w:val="18"/>
                <w:szCs w:val="18"/>
              </w:rPr>
            </w:pPr>
            <w:r w:rsidRPr="001A523D">
              <w:rPr>
                <w:rFonts w:ascii="Arial" w:hAnsi="Arial" w:cs="Arial"/>
                <w:b/>
                <w:bCs/>
                <w:sz w:val="18"/>
                <w:szCs w:val="18"/>
              </w:rPr>
              <w:t>–</w:t>
            </w:r>
          </w:p>
        </w:tc>
        <w:tc>
          <w:tcPr>
            <w:tcW w:w="414" w:type="pct"/>
            <w:tcBorders>
              <w:top w:val="nil"/>
              <w:left w:val="nil"/>
              <w:bottom w:val="nil"/>
              <w:right w:val="nil"/>
            </w:tcBorders>
            <w:shd w:val="clear" w:color="auto" w:fill="auto"/>
            <w:noWrap/>
            <w:vAlign w:val="bottom"/>
          </w:tcPr>
          <w:p w14:paraId="7004D43C" w14:textId="77777777" w:rsidR="00105CAF" w:rsidRPr="001A523D" w:rsidRDefault="00105CAF" w:rsidP="00105CAF">
            <w:pPr>
              <w:jc w:val="right"/>
              <w:rPr>
                <w:rFonts w:ascii="Arial" w:hAnsi="Arial" w:cs="Arial"/>
                <w:b/>
                <w:bCs/>
                <w:sz w:val="18"/>
                <w:szCs w:val="18"/>
              </w:rPr>
            </w:pPr>
            <w:r w:rsidRPr="001A523D">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14:paraId="044EFAF6" w14:textId="77777777" w:rsidR="00105CAF" w:rsidRPr="001A523D" w:rsidRDefault="00105CAF" w:rsidP="00105CAF">
            <w:pPr>
              <w:jc w:val="right"/>
              <w:rPr>
                <w:rFonts w:ascii="Arial" w:hAnsi="Arial" w:cs="Arial"/>
                <w:b/>
                <w:bCs/>
                <w:sz w:val="18"/>
                <w:szCs w:val="18"/>
              </w:rPr>
            </w:pPr>
            <w:r>
              <w:rPr>
                <w:rFonts w:ascii="Arial" w:hAnsi="Arial" w:cs="Arial"/>
                <w:b/>
                <w:bCs/>
                <w:sz w:val="18"/>
                <w:szCs w:val="18"/>
              </w:rPr>
              <w:t>15</w:t>
            </w:r>
          </w:p>
        </w:tc>
        <w:tc>
          <w:tcPr>
            <w:tcW w:w="584" w:type="pct"/>
            <w:tcBorders>
              <w:top w:val="nil"/>
              <w:left w:val="nil"/>
              <w:bottom w:val="nil"/>
              <w:right w:val="nil"/>
            </w:tcBorders>
            <w:vAlign w:val="bottom"/>
          </w:tcPr>
          <w:p w14:paraId="64FE57E7" w14:textId="77777777" w:rsidR="00105CAF" w:rsidRPr="001A523D" w:rsidRDefault="00105CAF" w:rsidP="00105CAF">
            <w:pPr>
              <w:jc w:val="right"/>
              <w:rPr>
                <w:rFonts w:ascii="Arial" w:hAnsi="Arial" w:cs="Arial"/>
                <w:b/>
                <w:bCs/>
                <w:sz w:val="18"/>
                <w:szCs w:val="18"/>
              </w:rPr>
            </w:pPr>
            <w:r w:rsidRPr="001A523D">
              <w:rPr>
                <w:rFonts w:ascii="Arial" w:hAnsi="Arial" w:cs="Arial"/>
                <w:b/>
                <w:bCs/>
                <w:sz w:val="18"/>
                <w:szCs w:val="18"/>
              </w:rPr>
              <w:t>–</w:t>
            </w:r>
          </w:p>
        </w:tc>
        <w:tc>
          <w:tcPr>
            <w:tcW w:w="522" w:type="pct"/>
            <w:tcBorders>
              <w:top w:val="nil"/>
              <w:left w:val="nil"/>
              <w:bottom w:val="nil"/>
              <w:right w:val="nil"/>
            </w:tcBorders>
            <w:shd w:val="clear" w:color="auto" w:fill="auto"/>
            <w:noWrap/>
            <w:vAlign w:val="bottom"/>
          </w:tcPr>
          <w:p w14:paraId="0C7F1D07" w14:textId="77777777" w:rsidR="00105CAF" w:rsidRPr="001A523D" w:rsidRDefault="00105CAF" w:rsidP="00105CAF">
            <w:pPr>
              <w:jc w:val="right"/>
              <w:rPr>
                <w:rFonts w:ascii="Arial" w:hAnsi="Arial" w:cs="Arial"/>
                <w:b/>
                <w:bCs/>
                <w:sz w:val="18"/>
                <w:szCs w:val="18"/>
              </w:rPr>
            </w:pPr>
            <w:r w:rsidRPr="001A523D">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14:paraId="03893C6F" w14:textId="77777777" w:rsidR="00105CAF" w:rsidRPr="001A523D" w:rsidRDefault="00105CAF" w:rsidP="00105CAF">
            <w:pPr>
              <w:jc w:val="right"/>
              <w:rPr>
                <w:rFonts w:ascii="Arial" w:hAnsi="Arial" w:cs="Arial"/>
                <w:b/>
                <w:bCs/>
                <w:sz w:val="18"/>
                <w:szCs w:val="18"/>
              </w:rPr>
            </w:pPr>
            <w:r>
              <w:rPr>
                <w:rFonts w:ascii="Arial" w:hAnsi="Arial" w:cs="Arial"/>
                <w:b/>
                <w:bCs/>
                <w:sz w:val="18"/>
                <w:szCs w:val="18"/>
              </w:rPr>
              <w:t>15</w:t>
            </w:r>
          </w:p>
        </w:tc>
      </w:tr>
      <w:tr w:rsidR="00105CAF" w:rsidRPr="00663A21" w14:paraId="6663AA19" w14:textId="77777777" w:rsidTr="00FA21A3">
        <w:trPr>
          <w:trHeight w:val="236"/>
        </w:trPr>
        <w:tc>
          <w:tcPr>
            <w:tcW w:w="1323" w:type="pct"/>
            <w:tcBorders>
              <w:bottom w:val="nil"/>
              <w:right w:val="nil"/>
            </w:tcBorders>
            <w:shd w:val="clear" w:color="auto" w:fill="auto"/>
            <w:vAlign w:val="bottom"/>
          </w:tcPr>
          <w:p w14:paraId="2D0D152B" w14:textId="77777777" w:rsidR="00105CAF" w:rsidRDefault="00105CAF" w:rsidP="00105CAF">
            <w:pPr>
              <w:rPr>
                <w:rFonts w:ascii="Arial" w:hAnsi="Arial" w:cs="Arial"/>
                <w:sz w:val="18"/>
                <w:szCs w:val="18"/>
              </w:rPr>
            </w:pPr>
            <w:r>
              <w:rPr>
                <w:rFonts w:ascii="Arial" w:hAnsi="Arial" w:cs="Arial"/>
                <w:sz w:val="18"/>
                <w:szCs w:val="18"/>
              </w:rPr>
              <w:t>New shares issued under share schemes</w:t>
            </w:r>
          </w:p>
        </w:tc>
        <w:tc>
          <w:tcPr>
            <w:tcW w:w="361" w:type="pct"/>
            <w:tcBorders>
              <w:right w:val="nil"/>
            </w:tcBorders>
          </w:tcPr>
          <w:p w14:paraId="69F1EEA1" w14:textId="77777777" w:rsidR="00105CAF" w:rsidRPr="009E1441" w:rsidRDefault="00105CAF" w:rsidP="00105CAF">
            <w:pPr>
              <w:jc w:val="right"/>
              <w:rPr>
                <w:rFonts w:ascii="Arial" w:hAnsi="Arial" w:cs="Arial"/>
                <w:b/>
                <w:bCs/>
                <w:sz w:val="18"/>
                <w:szCs w:val="18"/>
              </w:rPr>
            </w:pPr>
          </w:p>
        </w:tc>
        <w:tc>
          <w:tcPr>
            <w:tcW w:w="383" w:type="pct"/>
            <w:tcBorders>
              <w:top w:val="nil"/>
              <w:left w:val="nil"/>
              <w:bottom w:val="nil"/>
              <w:right w:val="nil"/>
            </w:tcBorders>
            <w:shd w:val="clear" w:color="auto" w:fill="auto"/>
            <w:noWrap/>
            <w:vAlign w:val="bottom"/>
          </w:tcPr>
          <w:p w14:paraId="015C98CB"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14:paraId="585E525A"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w:t>
            </w:r>
          </w:p>
        </w:tc>
        <w:tc>
          <w:tcPr>
            <w:tcW w:w="414" w:type="pct"/>
            <w:tcBorders>
              <w:top w:val="nil"/>
              <w:left w:val="nil"/>
              <w:bottom w:val="nil"/>
              <w:right w:val="nil"/>
            </w:tcBorders>
            <w:shd w:val="clear" w:color="auto" w:fill="auto"/>
            <w:noWrap/>
            <w:vAlign w:val="bottom"/>
          </w:tcPr>
          <w:p w14:paraId="358A1FCA"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14:paraId="0EF24634" w14:textId="0353A3F3" w:rsidR="00105CAF" w:rsidRPr="009E1441" w:rsidRDefault="00945414" w:rsidP="00105CAF">
            <w:pPr>
              <w:jc w:val="right"/>
              <w:rPr>
                <w:rFonts w:ascii="Arial" w:hAnsi="Arial" w:cs="Arial"/>
                <w:b/>
                <w:bCs/>
                <w:sz w:val="18"/>
                <w:szCs w:val="18"/>
              </w:rPr>
            </w:pPr>
            <w:r>
              <w:rPr>
                <w:rFonts w:ascii="Arial" w:hAnsi="Arial" w:cs="Arial"/>
                <w:b/>
                <w:bCs/>
                <w:sz w:val="18"/>
                <w:szCs w:val="18"/>
              </w:rPr>
              <w:t>2</w:t>
            </w:r>
          </w:p>
        </w:tc>
        <w:tc>
          <w:tcPr>
            <w:tcW w:w="584" w:type="pct"/>
            <w:tcBorders>
              <w:top w:val="nil"/>
              <w:left w:val="nil"/>
              <w:bottom w:val="nil"/>
              <w:right w:val="nil"/>
            </w:tcBorders>
            <w:vAlign w:val="bottom"/>
          </w:tcPr>
          <w:p w14:paraId="7F7BE6BE"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w:t>
            </w:r>
          </w:p>
        </w:tc>
        <w:tc>
          <w:tcPr>
            <w:tcW w:w="522" w:type="pct"/>
            <w:tcBorders>
              <w:top w:val="nil"/>
              <w:left w:val="nil"/>
              <w:bottom w:val="nil"/>
              <w:right w:val="nil"/>
            </w:tcBorders>
            <w:shd w:val="clear" w:color="auto" w:fill="auto"/>
            <w:noWrap/>
            <w:vAlign w:val="bottom"/>
          </w:tcPr>
          <w:p w14:paraId="4F500D85"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14:paraId="4D2382F4" w14:textId="3AC56683" w:rsidR="00105CAF" w:rsidRPr="009E1441" w:rsidRDefault="00945414" w:rsidP="00105CAF">
            <w:pPr>
              <w:jc w:val="right"/>
              <w:rPr>
                <w:rFonts w:ascii="Arial" w:hAnsi="Arial" w:cs="Arial"/>
                <w:b/>
                <w:bCs/>
                <w:sz w:val="18"/>
                <w:szCs w:val="18"/>
              </w:rPr>
            </w:pPr>
            <w:r>
              <w:rPr>
                <w:rFonts w:ascii="Arial" w:hAnsi="Arial" w:cs="Arial"/>
                <w:b/>
                <w:bCs/>
                <w:sz w:val="18"/>
                <w:szCs w:val="18"/>
              </w:rPr>
              <w:t>2</w:t>
            </w:r>
          </w:p>
        </w:tc>
      </w:tr>
      <w:tr w:rsidR="00105CAF" w:rsidRPr="00663A21" w14:paraId="13821B90" w14:textId="77777777" w:rsidTr="00FA21A3">
        <w:trPr>
          <w:trHeight w:val="236"/>
        </w:trPr>
        <w:tc>
          <w:tcPr>
            <w:tcW w:w="1323" w:type="pct"/>
            <w:tcBorders>
              <w:top w:val="nil"/>
              <w:bottom w:val="nil"/>
              <w:right w:val="nil"/>
            </w:tcBorders>
            <w:shd w:val="clear" w:color="auto" w:fill="auto"/>
            <w:vAlign w:val="bottom"/>
          </w:tcPr>
          <w:p w14:paraId="18816AA9" w14:textId="77777777" w:rsidR="00105CAF" w:rsidRPr="002A7D7A" w:rsidRDefault="00105CAF" w:rsidP="00105CAF">
            <w:pPr>
              <w:rPr>
                <w:rFonts w:ascii="Arial" w:hAnsi="Arial" w:cs="Arial"/>
                <w:sz w:val="18"/>
                <w:szCs w:val="18"/>
              </w:rPr>
            </w:pPr>
            <w:r>
              <w:rPr>
                <w:rFonts w:ascii="Arial" w:hAnsi="Arial" w:cs="Arial"/>
                <w:sz w:val="18"/>
                <w:szCs w:val="18"/>
              </w:rPr>
              <w:t>Own shares issued under share schemes</w:t>
            </w:r>
          </w:p>
        </w:tc>
        <w:tc>
          <w:tcPr>
            <w:tcW w:w="361" w:type="pct"/>
            <w:tcBorders>
              <w:top w:val="nil"/>
              <w:right w:val="nil"/>
            </w:tcBorders>
          </w:tcPr>
          <w:p w14:paraId="37E58640" w14:textId="77777777" w:rsidR="00105CAF" w:rsidRPr="009E1441" w:rsidRDefault="00105CAF" w:rsidP="00105CAF">
            <w:pPr>
              <w:jc w:val="right"/>
              <w:rPr>
                <w:rFonts w:ascii="Arial" w:hAnsi="Arial" w:cs="Arial"/>
                <w:b/>
                <w:bCs/>
                <w:sz w:val="18"/>
                <w:szCs w:val="18"/>
              </w:rPr>
            </w:pPr>
          </w:p>
        </w:tc>
        <w:tc>
          <w:tcPr>
            <w:tcW w:w="383" w:type="pct"/>
            <w:tcBorders>
              <w:top w:val="nil"/>
              <w:left w:val="nil"/>
              <w:bottom w:val="nil"/>
              <w:right w:val="nil"/>
            </w:tcBorders>
            <w:shd w:val="clear" w:color="auto" w:fill="auto"/>
            <w:noWrap/>
            <w:vAlign w:val="bottom"/>
          </w:tcPr>
          <w:p w14:paraId="7B5C0935"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14:paraId="14DA2CCB"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w:t>
            </w:r>
          </w:p>
        </w:tc>
        <w:tc>
          <w:tcPr>
            <w:tcW w:w="414" w:type="pct"/>
            <w:tcBorders>
              <w:top w:val="nil"/>
              <w:left w:val="nil"/>
              <w:bottom w:val="nil"/>
              <w:right w:val="nil"/>
            </w:tcBorders>
            <w:shd w:val="clear" w:color="auto" w:fill="auto"/>
            <w:noWrap/>
            <w:vAlign w:val="bottom"/>
          </w:tcPr>
          <w:p w14:paraId="10F52903"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4</w:t>
            </w:r>
          </w:p>
        </w:tc>
        <w:tc>
          <w:tcPr>
            <w:tcW w:w="496" w:type="pct"/>
            <w:tcBorders>
              <w:top w:val="nil"/>
              <w:left w:val="nil"/>
              <w:bottom w:val="nil"/>
              <w:right w:val="nil"/>
            </w:tcBorders>
            <w:shd w:val="clear" w:color="auto" w:fill="auto"/>
            <w:noWrap/>
            <w:vAlign w:val="bottom"/>
          </w:tcPr>
          <w:p w14:paraId="28331396"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(4)</w:t>
            </w:r>
          </w:p>
        </w:tc>
        <w:tc>
          <w:tcPr>
            <w:tcW w:w="584" w:type="pct"/>
            <w:tcBorders>
              <w:top w:val="nil"/>
              <w:left w:val="nil"/>
              <w:bottom w:val="nil"/>
              <w:right w:val="nil"/>
            </w:tcBorders>
            <w:vAlign w:val="bottom"/>
          </w:tcPr>
          <w:p w14:paraId="4A831D82"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w:t>
            </w:r>
          </w:p>
        </w:tc>
        <w:tc>
          <w:tcPr>
            <w:tcW w:w="522" w:type="pct"/>
            <w:tcBorders>
              <w:top w:val="nil"/>
              <w:left w:val="nil"/>
              <w:bottom w:val="nil"/>
              <w:right w:val="nil"/>
            </w:tcBorders>
            <w:shd w:val="clear" w:color="auto" w:fill="auto"/>
            <w:noWrap/>
            <w:vAlign w:val="bottom"/>
          </w:tcPr>
          <w:p w14:paraId="230FF106"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14:paraId="359E4321"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w:t>
            </w:r>
          </w:p>
        </w:tc>
      </w:tr>
      <w:tr w:rsidR="00105CAF" w:rsidRPr="00500CDE" w14:paraId="6C3C2C73" w14:textId="77777777" w:rsidTr="00FA21A3">
        <w:trPr>
          <w:trHeight w:val="220"/>
        </w:trPr>
        <w:tc>
          <w:tcPr>
            <w:tcW w:w="1323" w:type="pct"/>
            <w:tcBorders>
              <w:left w:val="nil"/>
              <w:right w:val="nil"/>
            </w:tcBorders>
            <w:shd w:val="clear" w:color="auto" w:fill="auto"/>
            <w:noWrap/>
            <w:vAlign w:val="bottom"/>
          </w:tcPr>
          <w:p w14:paraId="01681D3C" w14:textId="77777777" w:rsidR="00105CAF" w:rsidRDefault="00105CAF" w:rsidP="00105CAF">
            <w:pPr>
              <w:rPr>
                <w:rFonts w:ascii="Arial" w:hAnsi="Arial" w:cs="Arial"/>
                <w:sz w:val="18"/>
                <w:szCs w:val="18"/>
              </w:rPr>
            </w:pPr>
            <w:r>
              <w:rPr>
                <w:rFonts w:ascii="Arial" w:hAnsi="Arial" w:cs="Arial"/>
                <w:sz w:val="18"/>
                <w:szCs w:val="18"/>
              </w:rPr>
              <w:t>Purchase of own shares for cancellation</w:t>
            </w:r>
          </w:p>
        </w:tc>
        <w:tc>
          <w:tcPr>
            <w:tcW w:w="361" w:type="pct"/>
            <w:tcBorders>
              <w:left w:val="nil"/>
              <w:right w:val="nil"/>
            </w:tcBorders>
          </w:tcPr>
          <w:p w14:paraId="123649F0" w14:textId="77777777" w:rsidR="00105CAF" w:rsidRPr="009E1441" w:rsidRDefault="00105CAF" w:rsidP="00105CAF">
            <w:pPr>
              <w:jc w:val="right"/>
              <w:rPr>
                <w:rFonts w:ascii="Arial" w:hAnsi="Arial" w:cs="Arial"/>
                <w:bCs/>
                <w:sz w:val="18"/>
                <w:szCs w:val="18"/>
              </w:rPr>
            </w:pPr>
          </w:p>
        </w:tc>
        <w:tc>
          <w:tcPr>
            <w:tcW w:w="383" w:type="pct"/>
            <w:tcBorders>
              <w:top w:val="nil"/>
              <w:left w:val="nil"/>
              <w:bottom w:val="nil"/>
              <w:right w:val="nil"/>
            </w:tcBorders>
            <w:shd w:val="clear" w:color="auto" w:fill="auto"/>
            <w:noWrap/>
            <w:vAlign w:val="bottom"/>
          </w:tcPr>
          <w:p w14:paraId="47BF2613"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(8)</w:t>
            </w:r>
          </w:p>
        </w:tc>
        <w:tc>
          <w:tcPr>
            <w:tcW w:w="496" w:type="pct"/>
            <w:tcBorders>
              <w:top w:val="nil"/>
              <w:left w:val="nil"/>
              <w:bottom w:val="nil"/>
              <w:right w:val="nil"/>
            </w:tcBorders>
            <w:shd w:val="clear" w:color="auto" w:fill="auto"/>
            <w:noWrap/>
            <w:vAlign w:val="bottom"/>
          </w:tcPr>
          <w:p w14:paraId="0B247A7D"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w:t>
            </w:r>
          </w:p>
        </w:tc>
        <w:tc>
          <w:tcPr>
            <w:tcW w:w="414" w:type="pct"/>
            <w:tcBorders>
              <w:top w:val="nil"/>
              <w:left w:val="nil"/>
              <w:bottom w:val="nil"/>
              <w:right w:val="nil"/>
            </w:tcBorders>
            <w:shd w:val="clear" w:color="auto" w:fill="auto"/>
            <w:noWrap/>
            <w:vAlign w:val="bottom"/>
          </w:tcPr>
          <w:p w14:paraId="117BC576"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14:paraId="5452EE3F"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(140)</w:t>
            </w:r>
          </w:p>
        </w:tc>
        <w:tc>
          <w:tcPr>
            <w:tcW w:w="584" w:type="pct"/>
            <w:tcBorders>
              <w:top w:val="nil"/>
              <w:left w:val="nil"/>
              <w:bottom w:val="nil"/>
              <w:right w:val="nil"/>
            </w:tcBorders>
            <w:vAlign w:val="bottom"/>
          </w:tcPr>
          <w:p w14:paraId="0C8AD170"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8</w:t>
            </w:r>
          </w:p>
        </w:tc>
        <w:tc>
          <w:tcPr>
            <w:tcW w:w="522" w:type="pct"/>
            <w:tcBorders>
              <w:top w:val="nil"/>
              <w:left w:val="nil"/>
              <w:bottom w:val="nil"/>
              <w:right w:val="nil"/>
            </w:tcBorders>
            <w:shd w:val="clear" w:color="auto" w:fill="auto"/>
            <w:noWrap/>
            <w:vAlign w:val="bottom"/>
          </w:tcPr>
          <w:p w14:paraId="44917467"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14:paraId="1B2B6E89" w14:textId="77777777" w:rsidR="00105CAF" w:rsidRPr="009E1441" w:rsidRDefault="00105CAF" w:rsidP="00105CAF">
            <w:pPr>
              <w:jc w:val="right"/>
              <w:rPr>
                <w:rFonts w:ascii="Arial" w:hAnsi="Arial" w:cs="Arial"/>
                <w:b/>
                <w:bCs/>
                <w:sz w:val="18"/>
                <w:szCs w:val="18"/>
              </w:rPr>
            </w:pPr>
            <w:r w:rsidRPr="009E1441">
              <w:rPr>
                <w:rFonts w:ascii="Arial" w:hAnsi="Arial" w:cs="Arial"/>
                <w:b/>
                <w:bCs/>
                <w:sz w:val="18"/>
                <w:szCs w:val="18"/>
              </w:rPr>
              <w:t>(140)</w:t>
            </w:r>
          </w:p>
        </w:tc>
      </w:tr>
      <w:tr w:rsidR="009E1441" w:rsidRPr="00500CDE" w14:paraId="0E5DD5E2" w14:textId="77777777" w:rsidTr="00FA21A3">
        <w:trPr>
          <w:trHeight w:val="220"/>
        </w:trPr>
        <w:tc>
          <w:tcPr>
            <w:tcW w:w="1323" w:type="pct"/>
            <w:tcBorders>
              <w:left w:val="nil"/>
              <w:right w:val="nil"/>
            </w:tcBorders>
            <w:shd w:val="clear" w:color="auto" w:fill="auto"/>
            <w:noWrap/>
            <w:vAlign w:val="bottom"/>
          </w:tcPr>
          <w:p w14:paraId="5B8217D6" w14:textId="77777777" w:rsidR="009E1441" w:rsidRDefault="009E1441" w:rsidP="009E1441">
            <w:pPr>
              <w:rPr>
                <w:rFonts w:ascii="Arial" w:hAnsi="Arial" w:cs="Arial"/>
                <w:sz w:val="18"/>
                <w:szCs w:val="18"/>
              </w:rPr>
            </w:pPr>
            <w:r>
              <w:rPr>
                <w:rFonts w:ascii="Arial" w:hAnsi="Arial" w:cs="Arial"/>
                <w:sz w:val="18"/>
                <w:szCs w:val="18"/>
              </w:rPr>
              <w:t>Dividends</w:t>
            </w:r>
          </w:p>
        </w:tc>
        <w:tc>
          <w:tcPr>
            <w:tcW w:w="361" w:type="pct"/>
            <w:tcBorders>
              <w:left w:val="nil"/>
              <w:right w:val="nil"/>
            </w:tcBorders>
          </w:tcPr>
          <w:p w14:paraId="28D9417D" w14:textId="77777777" w:rsidR="009E1441" w:rsidRPr="009E1441" w:rsidRDefault="009E1441" w:rsidP="009E1441">
            <w:pPr>
              <w:jc w:val="center"/>
              <w:rPr>
                <w:rFonts w:ascii="Arial" w:hAnsi="Arial" w:cs="Arial"/>
                <w:sz w:val="18"/>
                <w:szCs w:val="18"/>
              </w:rPr>
            </w:pPr>
            <w:r w:rsidRPr="009E1441">
              <w:rPr>
                <w:rFonts w:ascii="Arial" w:hAnsi="Arial" w:cs="Arial"/>
                <w:sz w:val="18"/>
                <w:szCs w:val="18"/>
              </w:rPr>
              <w:t xml:space="preserve">       8</w:t>
            </w:r>
          </w:p>
        </w:tc>
        <w:tc>
          <w:tcPr>
            <w:tcW w:w="383" w:type="pct"/>
            <w:tcBorders>
              <w:top w:val="nil"/>
              <w:left w:val="nil"/>
              <w:bottom w:val="nil"/>
              <w:right w:val="nil"/>
            </w:tcBorders>
            <w:shd w:val="clear" w:color="auto" w:fill="auto"/>
            <w:noWrap/>
            <w:vAlign w:val="bottom"/>
          </w:tcPr>
          <w:p w14:paraId="31B21C99" w14:textId="77777777" w:rsidR="009E1441" w:rsidRPr="009E1441" w:rsidRDefault="009E1441" w:rsidP="009E1441">
            <w:pPr>
              <w:jc w:val="right"/>
              <w:rPr>
                <w:rFonts w:ascii="Arial" w:hAnsi="Arial" w:cs="Arial"/>
                <w:b/>
                <w:bCs/>
                <w:sz w:val="18"/>
                <w:szCs w:val="18"/>
              </w:rPr>
            </w:pPr>
            <w:r w:rsidRPr="009E1441">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14:paraId="18FFD84D" w14:textId="77777777" w:rsidR="009E1441" w:rsidRPr="009E1441" w:rsidRDefault="009E1441" w:rsidP="009E1441">
            <w:pPr>
              <w:jc w:val="right"/>
              <w:rPr>
                <w:rFonts w:ascii="Arial" w:hAnsi="Arial" w:cs="Arial"/>
                <w:b/>
                <w:bCs/>
                <w:sz w:val="18"/>
                <w:szCs w:val="18"/>
              </w:rPr>
            </w:pPr>
            <w:r w:rsidRPr="009E1441">
              <w:rPr>
                <w:rFonts w:ascii="Arial" w:hAnsi="Arial" w:cs="Arial"/>
                <w:b/>
                <w:bCs/>
                <w:sz w:val="18"/>
                <w:szCs w:val="18"/>
              </w:rPr>
              <w:t>–</w:t>
            </w:r>
          </w:p>
        </w:tc>
        <w:tc>
          <w:tcPr>
            <w:tcW w:w="414" w:type="pct"/>
            <w:tcBorders>
              <w:top w:val="nil"/>
              <w:left w:val="nil"/>
              <w:bottom w:val="nil"/>
              <w:right w:val="nil"/>
            </w:tcBorders>
            <w:shd w:val="clear" w:color="auto" w:fill="auto"/>
            <w:noWrap/>
            <w:vAlign w:val="bottom"/>
          </w:tcPr>
          <w:p w14:paraId="2A19B6B9" w14:textId="77777777" w:rsidR="009E1441" w:rsidRPr="009E1441" w:rsidRDefault="009E1441" w:rsidP="009E1441">
            <w:pPr>
              <w:jc w:val="right"/>
              <w:rPr>
                <w:rFonts w:ascii="Arial" w:hAnsi="Arial" w:cs="Arial"/>
                <w:b/>
                <w:bCs/>
                <w:sz w:val="18"/>
                <w:szCs w:val="18"/>
              </w:rPr>
            </w:pPr>
            <w:r w:rsidRPr="009E1441">
              <w:rPr>
                <w:rFonts w:ascii="Arial" w:hAnsi="Arial" w:cs="Arial"/>
                <w:b/>
                <w:bCs/>
                <w:sz w:val="18"/>
                <w:szCs w:val="18"/>
              </w:rPr>
              <w:t>–</w:t>
            </w:r>
          </w:p>
        </w:tc>
        <w:tc>
          <w:tcPr>
            <w:tcW w:w="496" w:type="pct"/>
            <w:tcBorders>
              <w:top w:val="nil"/>
              <w:left w:val="nil"/>
              <w:bottom w:val="nil"/>
              <w:right w:val="nil"/>
            </w:tcBorders>
            <w:shd w:val="clear" w:color="auto" w:fill="auto"/>
            <w:noWrap/>
            <w:vAlign w:val="bottom"/>
          </w:tcPr>
          <w:p w14:paraId="3783AC40" w14:textId="77777777" w:rsidR="009E1441" w:rsidRPr="009E1441" w:rsidRDefault="009E1441" w:rsidP="009E1441">
            <w:pPr>
              <w:jc w:val="right"/>
              <w:rPr>
                <w:rFonts w:ascii="Arial" w:hAnsi="Arial" w:cs="Arial"/>
                <w:b/>
                <w:bCs/>
                <w:sz w:val="18"/>
                <w:szCs w:val="18"/>
              </w:rPr>
            </w:pPr>
            <w:r w:rsidRPr="009E1441">
              <w:rPr>
                <w:rFonts w:ascii="Arial" w:hAnsi="Arial" w:cs="Arial"/>
                <w:b/>
                <w:bCs/>
                <w:sz w:val="18"/>
                <w:szCs w:val="18"/>
              </w:rPr>
              <w:t>(231)</w:t>
            </w:r>
          </w:p>
        </w:tc>
        <w:tc>
          <w:tcPr>
            <w:tcW w:w="584" w:type="pct"/>
            <w:tcBorders>
              <w:top w:val="nil"/>
              <w:left w:val="nil"/>
              <w:bottom w:val="nil"/>
              <w:right w:val="nil"/>
            </w:tcBorders>
            <w:vAlign w:val="bottom"/>
          </w:tcPr>
          <w:p w14:paraId="5173F34F" w14:textId="77777777" w:rsidR="009E1441" w:rsidRPr="009E1441" w:rsidRDefault="009E1441" w:rsidP="009E1441">
            <w:pPr>
              <w:jc w:val="right"/>
              <w:rPr>
                <w:rFonts w:ascii="Arial" w:hAnsi="Arial" w:cs="Arial"/>
                <w:b/>
                <w:bCs/>
                <w:sz w:val="18"/>
                <w:szCs w:val="18"/>
              </w:rPr>
            </w:pPr>
            <w:r w:rsidRPr="009E1441">
              <w:rPr>
                <w:rFonts w:ascii="Arial" w:hAnsi="Arial" w:cs="Arial"/>
                <w:b/>
                <w:bCs/>
                <w:sz w:val="18"/>
                <w:szCs w:val="18"/>
              </w:rPr>
              <w:t>–</w:t>
            </w:r>
          </w:p>
        </w:tc>
        <w:tc>
          <w:tcPr>
            <w:tcW w:w="522" w:type="pct"/>
            <w:tcBorders>
              <w:top w:val="nil"/>
              <w:left w:val="nil"/>
              <w:bottom w:val="nil"/>
              <w:right w:val="nil"/>
            </w:tcBorders>
            <w:shd w:val="clear" w:color="auto" w:fill="auto"/>
            <w:noWrap/>
            <w:vAlign w:val="bottom"/>
          </w:tcPr>
          <w:p w14:paraId="6849F24B" w14:textId="77777777" w:rsidR="009E1441" w:rsidRPr="009E1441" w:rsidRDefault="009E1441" w:rsidP="009E1441">
            <w:pPr>
              <w:jc w:val="right"/>
              <w:rPr>
                <w:rFonts w:ascii="Arial" w:hAnsi="Arial" w:cs="Arial"/>
                <w:b/>
                <w:bCs/>
                <w:sz w:val="18"/>
                <w:szCs w:val="18"/>
              </w:rPr>
            </w:pPr>
            <w:r w:rsidRPr="009E1441">
              <w:rPr>
                <w:rFonts w:ascii="Arial" w:hAnsi="Arial" w:cs="Arial"/>
                <w:b/>
                <w:bCs/>
                <w:sz w:val="18"/>
                <w:szCs w:val="18"/>
              </w:rPr>
              <w:t>–</w:t>
            </w:r>
          </w:p>
        </w:tc>
        <w:tc>
          <w:tcPr>
            <w:tcW w:w="421" w:type="pct"/>
            <w:gridSpan w:val="2"/>
            <w:tcBorders>
              <w:top w:val="nil"/>
              <w:left w:val="nil"/>
              <w:bottom w:val="nil"/>
              <w:right w:val="nil"/>
            </w:tcBorders>
            <w:shd w:val="clear" w:color="auto" w:fill="auto"/>
            <w:vAlign w:val="bottom"/>
          </w:tcPr>
          <w:p w14:paraId="77E103DB" w14:textId="77777777" w:rsidR="009E1441" w:rsidRPr="009E1441" w:rsidRDefault="009E1441" w:rsidP="009E1441">
            <w:pPr>
              <w:jc w:val="right"/>
              <w:rPr>
                <w:rFonts w:ascii="Arial" w:hAnsi="Arial" w:cs="Arial"/>
                <w:b/>
                <w:bCs/>
                <w:sz w:val="18"/>
                <w:szCs w:val="18"/>
              </w:rPr>
            </w:pPr>
            <w:r w:rsidRPr="009E1441">
              <w:rPr>
                <w:rFonts w:ascii="Arial" w:hAnsi="Arial" w:cs="Arial"/>
                <w:b/>
                <w:bCs/>
                <w:sz w:val="18"/>
                <w:szCs w:val="18"/>
              </w:rPr>
              <w:t>(231)</w:t>
            </w:r>
          </w:p>
        </w:tc>
      </w:tr>
      <w:tr w:rsidR="009E1441" w:rsidRPr="005002F6" w14:paraId="0B310AC0" w14:textId="77777777" w:rsidTr="00FA21A3">
        <w:trPr>
          <w:trHeight w:val="236"/>
        </w:trPr>
        <w:tc>
          <w:tcPr>
            <w:tcW w:w="1323" w:type="pct"/>
            <w:tcBorders>
              <w:top w:val="nil"/>
              <w:bottom w:val="single" w:sz="4" w:space="0" w:color="auto"/>
              <w:right w:val="nil"/>
            </w:tcBorders>
            <w:shd w:val="clear" w:color="auto" w:fill="auto"/>
            <w:vAlign w:val="bottom"/>
          </w:tcPr>
          <w:p w14:paraId="40E2F32D" w14:textId="77777777" w:rsidR="009E1441" w:rsidRDefault="009E1441" w:rsidP="009E1441">
            <w:pPr>
              <w:rPr>
                <w:rFonts w:ascii="Arial" w:hAnsi="Arial" w:cs="Arial"/>
                <w:sz w:val="18"/>
                <w:szCs w:val="18"/>
              </w:rPr>
            </w:pPr>
            <w:r>
              <w:rPr>
                <w:rFonts w:ascii="Arial" w:hAnsi="Arial" w:cs="Arial"/>
                <w:sz w:val="18"/>
                <w:szCs w:val="18"/>
              </w:rPr>
              <w:t>Tax on equity items</w:t>
            </w:r>
          </w:p>
        </w:tc>
        <w:tc>
          <w:tcPr>
            <w:tcW w:w="361" w:type="pct"/>
            <w:tcBorders>
              <w:top w:val="nil"/>
              <w:bottom w:val="single" w:sz="4" w:space="0" w:color="auto"/>
              <w:right w:val="nil"/>
            </w:tcBorders>
          </w:tcPr>
          <w:p w14:paraId="5D97E867" w14:textId="77777777" w:rsidR="009E1441" w:rsidRPr="009E1441" w:rsidRDefault="009E1441" w:rsidP="009E1441">
            <w:pPr>
              <w:jc w:val="center"/>
              <w:rPr>
                <w:rFonts w:ascii="Arial" w:hAnsi="Arial" w:cs="Arial"/>
                <w:sz w:val="18"/>
                <w:szCs w:val="18"/>
              </w:rPr>
            </w:pPr>
          </w:p>
        </w:tc>
        <w:tc>
          <w:tcPr>
            <w:tcW w:w="383" w:type="pct"/>
            <w:tcBorders>
              <w:top w:val="nil"/>
              <w:left w:val="nil"/>
              <w:bottom w:val="single" w:sz="4" w:space="0" w:color="auto"/>
              <w:right w:val="nil"/>
            </w:tcBorders>
            <w:shd w:val="clear" w:color="auto" w:fill="auto"/>
            <w:noWrap/>
            <w:vAlign w:val="bottom"/>
          </w:tcPr>
          <w:p w14:paraId="27BB9634" w14:textId="77777777" w:rsidR="009E1441" w:rsidRPr="001A523D" w:rsidRDefault="009E1441" w:rsidP="009E1441">
            <w:pPr>
              <w:jc w:val="right"/>
              <w:rPr>
                <w:rFonts w:ascii="Arial" w:hAnsi="Arial" w:cs="Arial"/>
                <w:b/>
                <w:bCs/>
                <w:sz w:val="18"/>
                <w:szCs w:val="18"/>
              </w:rPr>
            </w:pPr>
            <w:r w:rsidRPr="001A523D">
              <w:rPr>
                <w:rFonts w:ascii="Arial" w:hAnsi="Arial" w:cs="Arial"/>
                <w:b/>
                <w:bCs/>
                <w:sz w:val="18"/>
                <w:szCs w:val="18"/>
              </w:rPr>
              <w:t>–</w:t>
            </w:r>
          </w:p>
        </w:tc>
        <w:tc>
          <w:tcPr>
            <w:tcW w:w="496" w:type="pct"/>
            <w:tcBorders>
              <w:top w:val="nil"/>
              <w:left w:val="nil"/>
              <w:bottom w:val="single" w:sz="4" w:space="0" w:color="auto"/>
              <w:right w:val="nil"/>
            </w:tcBorders>
            <w:shd w:val="clear" w:color="auto" w:fill="auto"/>
            <w:noWrap/>
            <w:vAlign w:val="bottom"/>
          </w:tcPr>
          <w:p w14:paraId="627E1A1C" w14:textId="77777777" w:rsidR="009E1441" w:rsidRPr="001A523D" w:rsidRDefault="009E1441" w:rsidP="009E1441">
            <w:pPr>
              <w:jc w:val="right"/>
              <w:rPr>
                <w:rFonts w:ascii="Arial" w:hAnsi="Arial" w:cs="Arial"/>
                <w:b/>
                <w:bCs/>
                <w:sz w:val="18"/>
                <w:szCs w:val="18"/>
              </w:rPr>
            </w:pPr>
            <w:r w:rsidRPr="001A523D">
              <w:rPr>
                <w:rFonts w:ascii="Arial" w:hAnsi="Arial" w:cs="Arial"/>
                <w:b/>
                <w:bCs/>
                <w:sz w:val="18"/>
                <w:szCs w:val="18"/>
              </w:rPr>
              <w:t>–</w:t>
            </w:r>
          </w:p>
        </w:tc>
        <w:tc>
          <w:tcPr>
            <w:tcW w:w="414" w:type="pct"/>
            <w:tcBorders>
              <w:top w:val="nil"/>
              <w:left w:val="nil"/>
              <w:bottom w:val="single" w:sz="4" w:space="0" w:color="auto"/>
              <w:right w:val="nil"/>
            </w:tcBorders>
            <w:shd w:val="clear" w:color="auto" w:fill="auto"/>
            <w:noWrap/>
            <w:vAlign w:val="bottom"/>
          </w:tcPr>
          <w:p w14:paraId="1ABCA07B" w14:textId="77777777" w:rsidR="009E1441" w:rsidRPr="001A523D" w:rsidRDefault="009E1441" w:rsidP="009E1441">
            <w:pPr>
              <w:jc w:val="right"/>
              <w:rPr>
                <w:rFonts w:ascii="Arial" w:hAnsi="Arial" w:cs="Arial"/>
                <w:b/>
                <w:bCs/>
                <w:sz w:val="18"/>
                <w:szCs w:val="18"/>
              </w:rPr>
            </w:pPr>
            <w:r w:rsidRPr="001A523D">
              <w:rPr>
                <w:rFonts w:ascii="Arial" w:hAnsi="Arial" w:cs="Arial"/>
                <w:b/>
                <w:bCs/>
                <w:sz w:val="18"/>
                <w:szCs w:val="18"/>
              </w:rPr>
              <w:t>–</w:t>
            </w:r>
          </w:p>
        </w:tc>
        <w:tc>
          <w:tcPr>
            <w:tcW w:w="496" w:type="pct"/>
            <w:tcBorders>
              <w:top w:val="nil"/>
              <w:left w:val="nil"/>
              <w:bottom w:val="single" w:sz="4" w:space="0" w:color="auto"/>
              <w:right w:val="nil"/>
            </w:tcBorders>
            <w:shd w:val="clear" w:color="auto" w:fill="auto"/>
            <w:noWrap/>
            <w:vAlign w:val="bottom"/>
          </w:tcPr>
          <w:p w14:paraId="51654F45" w14:textId="77777777" w:rsidR="009E1441" w:rsidRPr="001A523D" w:rsidRDefault="009E1441" w:rsidP="009E1441">
            <w:pPr>
              <w:jc w:val="right"/>
              <w:rPr>
                <w:rFonts w:ascii="Arial" w:hAnsi="Arial" w:cs="Arial"/>
                <w:b/>
                <w:bCs/>
                <w:sz w:val="18"/>
                <w:szCs w:val="18"/>
              </w:rPr>
            </w:pPr>
            <w:r w:rsidRPr="001A523D">
              <w:rPr>
                <w:rFonts w:ascii="Arial" w:hAnsi="Arial" w:cs="Arial"/>
                <w:b/>
                <w:bCs/>
                <w:sz w:val="18"/>
                <w:szCs w:val="18"/>
              </w:rPr>
              <w:t>–</w:t>
            </w:r>
          </w:p>
        </w:tc>
        <w:tc>
          <w:tcPr>
            <w:tcW w:w="584" w:type="pct"/>
            <w:tcBorders>
              <w:top w:val="nil"/>
              <w:left w:val="nil"/>
              <w:bottom w:val="single" w:sz="4" w:space="0" w:color="auto"/>
              <w:right w:val="nil"/>
            </w:tcBorders>
            <w:vAlign w:val="bottom"/>
          </w:tcPr>
          <w:p w14:paraId="369EF9EF" w14:textId="77777777" w:rsidR="009E1441" w:rsidRPr="001A523D" w:rsidRDefault="009E1441" w:rsidP="009E1441">
            <w:pPr>
              <w:jc w:val="right"/>
              <w:rPr>
                <w:rFonts w:ascii="Arial" w:hAnsi="Arial" w:cs="Arial"/>
                <w:b/>
                <w:bCs/>
                <w:sz w:val="18"/>
                <w:szCs w:val="18"/>
              </w:rPr>
            </w:pPr>
            <w:r w:rsidRPr="001A523D">
              <w:rPr>
                <w:rFonts w:ascii="Arial" w:hAnsi="Arial" w:cs="Arial"/>
                <w:b/>
                <w:bCs/>
                <w:sz w:val="18"/>
                <w:szCs w:val="18"/>
              </w:rPr>
              <w:t>–</w:t>
            </w:r>
          </w:p>
        </w:tc>
        <w:tc>
          <w:tcPr>
            <w:tcW w:w="522" w:type="pct"/>
            <w:tcBorders>
              <w:top w:val="nil"/>
              <w:left w:val="nil"/>
              <w:bottom w:val="single" w:sz="4" w:space="0" w:color="auto"/>
              <w:right w:val="nil"/>
            </w:tcBorders>
            <w:shd w:val="clear" w:color="auto" w:fill="auto"/>
            <w:noWrap/>
            <w:vAlign w:val="bottom"/>
          </w:tcPr>
          <w:p w14:paraId="0BE726EF" w14:textId="77777777" w:rsidR="009E1441" w:rsidRPr="001A523D" w:rsidRDefault="009E1441" w:rsidP="009E1441">
            <w:pPr>
              <w:jc w:val="right"/>
              <w:rPr>
                <w:rFonts w:ascii="Arial" w:hAnsi="Arial" w:cs="Arial"/>
                <w:b/>
                <w:bCs/>
                <w:sz w:val="18"/>
                <w:szCs w:val="18"/>
              </w:rPr>
            </w:pPr>
            <w:r>
              <w:rPr>
                <w:rFonts w:ascii="Arial" w:hAnsi="Arial" w:cs="Arial"/>
                <w:b/>
                <w:bCs/>
                <w:sz w:val="18"/>
                <w:szCs w:val="18"/>
              </w:rPr>
              <w:t>5</w:t>
            </w:r>
          </w:p>
        </w:tc>
        <w:tc>
          <w:tcPr>
            <w:tcW w:w="421" w:type="pct"/>
            <w:gridSpan w:val="2"/>
            <w:tcBorders>
              <w:top w:val="nil"/>
              <w:left w:val="nil"/>
              <w:bottom w:val="single" w:sz="4" w:space="0" w:color="auto"/>
              <w:right w:val="nil"/>
            </w:tcBorders>
            <w:shd w:val="clear" w:color="auto" w:fill="auto"/>
            <w:vAlign w:val="bottom"/>
          </w:tcPr>
          <w:p w14:paraId="3DCD61E3" w14:textId="77777777" w:rsidR="009E1441" w:rsidRPr="001A523D" w:rsidRDefault="009E1441" w:rsidP="009E1441">
            <w:pPr>
              <w:jc w:val="right"/>
              <w:rPr>
                <w:rFonts w:ascii="Arial" w:hAnsi="Arial" w:cs="Arial"/>
                <w:b/>
                <w:bCs/>
                <w:sz w:val="18"/>
                <w:szCs w:val="18"/>
              </w:rPr>
            </w:pPr>
            <w:r>
              <w:rPr>
                <w:rFonts w:ascii="Arial" w:hAnsi="Arial" w:cs="Arial"/>
                <w:b/>
                <w:bCs/>
                <w:sz w:val="18"/>
                <w:szCs w:val="18"/>
              </w:rPr>
              <w:t>5</w:t>
            </w:r>
          </w:p>
        </w:tc>
      </w:tr>
      <w:tr w:rsidR="009E1441" w:rsidRPr="00663A21" w14:paraId="31AEB179" w14:textId="77777777" w:rsidTr="00FA21A3">
        <w:trPr>
          <w:trHeight w:val="236"/>
        </w:trPr>
        <w:tc>
          <w:tcPr>
            <w:tcW w:w="1323" w:type="pct"/>
            <w:tcBorders>
              <w:top w:val="single" w:sz="4" w:space="0" w:color="auto"/>
              <w:bottom w:val="single" w:sz="12" w:space="0" w:color="auto"/>
              <w:right w:val="nil"/>
            </w:tcBorders>
            <w:shd w:val="clear" w:color="auto" w:fill="auto"/>
            <w:vAlign w:val="bottom"/>
          </w:tcPr>
          <w:p w14:paraId="73760D96" w14:textId="77777777" w:rsidR="009E1441" w:rsidRPr="00215807" w:rsidRDefault="009E1441" w:rsidP="009E1441">
            <w:pPr>
              <w:rPr>
                <w:rFonts w:ascii="Arial" w:hAnsi="Arial" w:cs="Arial"/>
                <w:b/>
                <w:sz w:val="18"/>
                <w:szCs w:val="18"/>
              </w:rPr>
            </w:pPr>
            <w:r w:rsidRPr="00215807">
              <w:rPr>
                <w:rFonts w:ascii="Arial" w:hAnsi="Arial" w:cs="Arial"/>
                <w:b/>
                <w:bCs/>
                <w:sz w:val="18"/>
                <w:szCs w:val="18"/>
              </w:rPr>
              <w:t xml:space="preserve">At </w:t>
            </w:r>
            <w:r>
              <w:rPr>
                <w:rFonts w:ascii="Arial" w:hAnsi="Arial" w:cs="Arial"/>
                <w:b/>
                <w:bCs/>
                <w:sz w:val="18"/>
                <w:szCs w:val="18"/>
              </w:rPr>
              <w:t>31</w:t>
            </w:r>
            <w:r w:rsidRPr="00215807">
              <w:rPr>
                <w:rFonts w:ascii="Arial" w:hAnsi="Arial" w:cs="Arial"/>
                <w:b/>
                <w:bCs/>
                <w:sz w:val="18"/>
                <w:szCs w:val="18"/>
              </w:rPr>
              <w:t xml:space="preserve"> </w:t>
            </w:r>
            <w:r>
              <w:rPr>
                <w:rFonts w:ascii="Arial" w:hAnsi="Arial" w:cs="Arial"/>
                <w:b/>
                <w:bCs/>
                <w:sz w:val="18"/>
                <w:szCs w:val="18"/>
              </w:rPr>
              <w:t>January</w:t>
            </w:r>
            <w:r w:rsidRPr="00215807">
              <w:rPr>
                <w:rFonts w:ascii="Arial" w:hAnsi="Arial" w:cs="Arial"/>
                <w:b/>
                <w:bCs/>
                <w:sz w:val="18"/>
                <w:szCs w:val="18"/>
              </w:rPr>
              <w:t xml:space="preserve"> 201</w:t>
            </w:r>
            <w:r>
              <w:rPr>
                <w:rFonts w:ascii="Arial" w:hAnsi="Arial" w:cs="Arial"/>
                <w:b/>
                <w:bCs/>
                <w:sz w:val="18"/>
                <w:szCs w:val="18"/>
              </w:rPr>
              <w:t>9</w:t>
            </w:r>
          </w:p>
        </w:tc>
        <w:tc>
          <w:tcPr>
            <w:tcW w:w="361" w:type="pct"/>
            <w:tcBorders>
              <w:top w:val="single" w:sz="4" w:space="0" w:color="auto"/>
              <w:bottom w:val="single" w:sz="12" w:space="0" w:color="auto"/>
              <w:right w:val="nil"/>
            </w:tcBorders>
          </w:tcPr>
          <w:p w14:paraId="12F42948" w14:textId="77777777" w:rsidR="009E1441" w:rsidRPr="005A71C5" w:rsidRDefault="009E1441" w:rsidP="009E1441">
            <w:pPr>
              <w:jc w:val="right"/>
              <w:rPr>
                <w:rFonts w:ascii="Arial" w:hAnsi="Arial" w:cs="Arial"/>
                <w:b/>
                <w:bCs/>
                <w:sz w:val="18"/>
                <w:szCs w:val="18"/>
              </w:rPr>
            </w:pPr>
          </w:p>
        </w:tc>
        <w:tc>
          <w:tcPr>
            <w:tcW w:w="383" w:type="pct"/>
            <w:tcBorders>
              <w:top w:val="single" w:sz="4" w:space="0" w:color="auto"/>
              <w:left w:val="nil"/>
              <w:bottom w:val="single" w:sz="12" w:space="0" w:color="auto"/>
              <w:right w:val="nil"/>
            </w:tcBorders>
            <w:shd w:val="clear" w:color="auto" w:fill="auto"/>
            <w:noWrap/>
            <w:vAlign w:val="bottom"/>
          </w:tcPr>
          <w:p w14:paraId="3BE07750" w14:textId="77777777" w:rsidR="009E1441" w:rsidRPr="009E1441" w:rsidRDefault="009E1441" w:rsidP="009E1441">
            <w:pPr>
              <w:jc w:val="right"/>
              <w:rPr>
                <w:rFonts w:ascii="Arial" w:hAnsi="Arial" w:cs="Arial"/>
                <w:b/>
                <w:bCs/>
                <w:sz w:val="18"/>
                <w:szCs w:val="18"/>
              </w:rPr>
            </w:pPr>
            <w:r w:rsidRPr="009E1441">
              <w:rPr>
                <w:rFonts w:ascii="Arial" w:hAnsi="Arial" w:cs="Arial"/>
                <w:b/>
                <w:bCs/>
                <w:sz w:val="18"/>
                <w:szCs w:val="18"/>
              </w:rPr>
              <w:t>332</w:t>
            </w:r>
          </w:p>
        </w:tc>
        <w:tc>
          <w:tcPr>
            <w:tcW w:w="496" w:type="pct"/>
            <w:tcBorders>
              <w:top w:val="single" w:sz="4" w:space="0" w:color="auto"/>
              <w:left w:val="nil"/>
              <w:bottom w:val="single" w:sz="12" w:space="0" w:color="auto"/>
              <w:right w:val="nil"/>
            </w:tcBorders>
            <w:shd w:val="clear" w:color="auto" w:fill="auto"/>
            <w:noWrap/>
            <w:vAlign w:val="bottom"/>
          </w:tcPr>
          <w:p w14:paraId="2D4E0ED5" w14:textId="77777777" w:rsidR="009E1441" w:rsidRPr="009E1441" w:rsidRDefault="009E1441" w:rsidP="009E1441">
            <w:pPr>
              <w:jc w:val="right"/>
              <w:rPr>
                <w:rFonts w:ascii="Arial" w:hAnsi="Arial" w:cs="Arial"/>
                <w:b/>
                <w:bCs/>
                <w:sz w:val="18"/>
                <w:szCs w:val="18"/>
              </w:rPr>
            </w:pPr>
            <w:r w:rsidRPr="009E1441">
              <w:rPr>
                <w:rFonts w:ascii="Arial" w:hAnsi="Arial" w:cs="Arial"/>
                <w:b/>
                <w:bCs/>
                <w:sz w:val="18"/>
                <w:szCs w:val="18"/>
              </w:rPr>
              <w:t>2,228</w:t>
            </w:r>
          </w:p>
        </w:tc>
        <w:tc>
          <w:tcPr>
            <w:tcW w:w="414" w:type="pct"/>
            <w:tcBorders>
              <w:top w:val="single" w:sz="4" w:space="0" w:color="auto"/>
              <w:left w:val="nil"/>
              <w:bottom w:val="single" w:sz="12" w:space="0" w:color="auto"/>
              <w:right w:val="nil"/>
            </w:tcBorders>
            <w:shd w:val="clear" w:color="auto" w:fill="auto"/>
            <w:noWrap/>
            <w:vAlign w:val="bottom"/>
          </w:tcPr>
          <w:p w14:paraId="269BC1E5" w14:textId="77777777" w:rsidR="009E1441" w:rsidRPr="009E1441" w:rsidRDefault="009E1441" w:rsidP="009E1441">
            <w:pPr>
              <w:jc w:val="right"/>
              <w:rPr>
                <w:rFonts w:ascii="Arial" w:hAnsi="Arial" w:cs="Arial"/>
                <w:b/>
                <w:bCs/>
                <w:sz w:val="18"/>
                <w:szCs w:val="18"/>
              </w:rPr>
            </w:pPr>
            <w:r w:rsidRPr="009E1441">
              <w:rPr>
                <w:rFonts w:ascii="Arial" w:hAnsi="Arial" w:cs="Arial"/>
                <w:b/>
                <w:bCs/>
                <w:sz w:val="18"/>
                <w:szCs w:val="18"/>
              </w:rPr>
              <w:t>(25)</w:t>
            </w:r>
          </w:p>
        </w:tc>
        <w:tc>
          <w:tcPr>
            <w:tcW w:w="496" w:type="pct"/>
            <w:tcBorders>
              <w:top w:val="single" w:sz="4" w:space="0" w:color="auto"/>
              <w:left w:val="nil"/>
              <w:bottom w:val="single" w:sz="12" w:space="0" w:color="auto"/>
              <w:right w:val="nil"/>
            </w:tcBorders>
            <w:shd w:val="clear" w:color="auto" w:fill="auto"/>
            <w:noWrap/>
            <w:vAlign w:val="bottom"/>
          </w:tcPr>
          <w:p w14:paraId="406A30BA" w14:textId="41FA8323" w:rsidR="009E1441" w:rsidRPr="009E1441" w:rsidRDefault="009E1441" w:rsidP="009E1441">
            <w:pPr>
              <w:jc w:val="right"/>
              <w:rPr>
                <w:rFonts w:ascii="Arial" w:hAnsi="Arial" w:cs="Arial"/>
                <w:b/>
                <w:bCs/>
                <w:sz w:val="18"/>
                <w:szCs w:val="18"/>
              </w:rPr>
            </w:pPr>
            <w:r w:rsidRPr="009E1441">
              <w:rPr>
                <w:rFonts w:ascii="Arial" w:hAnsi="Arial" w:cs="Arial"/>
                <w:b/>
                <w:bCs/>
                <w:sz w:val="18"/>
                <w:szCs w:val="18"/>
              </w:rPr>
              <w:t>3,</w:t>
            </w:r>
            <w:r w:rsidR="00945414">
              <w:rPr>
                <w:rFonts w:ascii="Arial" w:hAnsi="Arial" w:cs="Arial"/>
                <w:b/>
                <w:bCs/>
                <w:sz w:val="18"/>
                <w:szCs w:val="18"/>
              </w:rPr>
              <w:t>696</w:t>
            </w:r>
          </w:p>
        </w:tc>
        <w:tc>
          <w:tcPr>
            <w:tcW w:w="584" w:type="pct"/>
            <w:tcBorders>
              <w:top w:val="single" w:sz="4" w:space="0" w:color="auto"/>
              <w:left w:val="nil"/>
              <w:bottom w:val="single" w:sz="12" w:space="0" w:color="auto"/>
              <w:right w:val="nil"/>
            </w:tcBorders>
            <w:vAlign w:val="bottom"/>
          </w:tcPr>
          <w:p w14:paraId="44DC34CC" w14:textId="77777777" w:rsidR="009E1441" w:rsidRPr="009E1441" w:rsidRDefault="009E1441" w:rsidP="009E1441">
            <w:pPr>
              <w:jc w:val="right"/>
              <w:rPr>
                <w:rFonts w:ascii="Arial" w:hAnsi="Arial" w:cs="Arial"/>
                <w:b/>
                <w:bCs/>
                <w:sz w:val="18"/>
                <w:szCs w:val="18"/>
              </w:rPr>
            </w:pPr>
            <w:r w:rsidRPr="009E1441">
              <w:rPr>
                <w:rFonts w:ascii="Arial" w:hAnsi="Arial" w:cs="Arial"/>
                <w:b/>
                <w:bCs/>
                <w:sz w:val="18"/>
                <w:szCs w:val="18"/>
              </w:rPr>
              <w:t>43</w:t>
            </w:r>
          </w:p>
        </w:tc>
        <w:tc>
          <w:tcPr>
            <w:tcW w:w="522" w:type="pct"/>
            <w:tcBorders>
              <w:top w:val="single" w:sz="4" w:space="0" w:color="auto"/>
              <w:left w:val="nil"/>
              <w:bottom w:val="single" w:sz="12" w:space="0" w:color="auto"/>
              <w:right w:val="nil"/>
            </w:tcBorders>
            <w:shd w:val="clear" w:color="auto" w:fill="auto"/>
            <w:noWrap/>
            <w:vAlign w:val="bottom"/>
          </w:tcPr>
          <w:p w14:paraId="4EE25F29" w14:textId="4285B480" w:rsidR="009E1441" w:rsidRPr="009E1441" w:rsidRDefault="009E1441" w:rsidP="009E1441">
            <w:pPr>
              <w:jc w:val="right"/>
              <w:rPr>
                <w:rFonts w:ascii="Arial" w:hAnsi="Arial" w:cs="Arial"/>
                <w:b/>
                <w:bCs/>
                <w:sz w:val="18"/>
                <w:szCs w:val="18"/>
              </w:rPr>
            </w:pPr>
            <w:r w:rsidRPr="009E1441">
              <w:rPr>
                <w:rFonts w:ascii="Arial" w:hAnsi="Arial" w:cs="Arial"/>
                <w:b/>
                <w:bCs/>
                <w:sz w:val="18"/>
                <w:szCs w:val="18"/>
              </w:rPr>
              <w:t>38</w:t>
            </w:r>
            <w:r w:rsidR="00945414">
              <w:rPr>
                <w:rFonts w:ascii="Arial" w:hAnsi="Arial" w:cs="Arial"/>
                <w:b/>
                <w:bCs/>
                <w:sz w:val="18"/>
                <w:szCs w:val="18"/>
              </w:rPr>
              <w:t>3</w:t>
            </w:r>
          </w:p>
        </w:tc>
        <w:tc>
          <w:tcPr>
            <w:tcW w:w="421" w:type="pct"/>
            <w:gridSpan w:val="2"/>
            <w:tcBorders>
              <w:top w:val="single" w:sz="4" w:space="0" w:color="auto"/>
              <w:left w:val="nil"/>
              <w:bottom w:val="single" w:sz="12" w:space="0" w:color="auto"/>
              <w:right w:val="nil"/>
            </w:tcBorders>
            <w:shd w:val="clear" w:color="auto" w:fill="auto"/>
            <w:vAlign w:val="bottom"/>
          </w:tcPr>
          <w:p w14:paraId="5D6974B2" w14:textId="1E6A63BA" w:rsidR="009E1441" w:rsidRPr="009E1441" w:rsidRDefault="009E1441" w:rsidP="009E1441">
            <w:pPr>
              <w:jc w:val="right"/>
              <w:rPr>
                <w:rFonts w:ascii="Arial" w:hAnsi="Arial" w:cs="Arial"/>
                <w:b/>
                <w:bCs/>
                <w:sz w:val="18"/>
                <w:szCs w:val="18"/>
              </w:rPr>
            </w:pPr>
            <w:r w:rsidRPr="009E1441">
              <w:rPr>
                <w:rFonts w:ascii="Arial" w:hAnsi="Arial" w:cs="Arial"/>
                <w:b/>
                <w:bCs/>
                <w:sz w:val="18"/>
                <w:szCs w:val="18"/>
              </w:rPr>
              <w:t>6,6</w:t>
            </w:r>
            <w:r w:rsidR="00945414">
              <w:rPr>
                <w:rFonts w:ascii="Arial" w:hAnsi="Arial" w:cs="Arial"/>
                <w:b/>
                <w:bCs/>
                <w:sz w:val="18"/>
                <w:szCs w:val="18"/>
              </w:rPr>
              <w:t>57</w:t>
            </w:r>
          </w:p>
        </w:tc>
      </w:tr>
      <w:tr w:rsidR="009E1441" w:rsidRPr="00B67A7B" w14:paraId="3A5F1952" w14:textId="77777777" w:rsidTr="00FA21A3">
        <w:trPr>
          <w:trHeight w:val="220"/>
        </w:trPr>
        <w:tc>
          <w:tcPr>
            <w:tcW w:w="1323" w:type="pct"/>
            <w:tcBorders>
              <w:top w:val="single" w:sz="12" w:space="0" w:color="auto"/>
              <w:left w:val="nil"/>
              <w:right w:val="nil"/>
            </w:tcBorders>
            <w:shd w:val="clear" w:color="auto" w:fill="auto"/>
            <w:noWrap/>
            <w:vAlign w:val="bottom"/>
          </w:tcPr>
          <w:p w14:paraId="15DB3C83" w14:textId="77777777" w:rsidR="009E1441" w:rsidRPr="00B67A7B" w:rsidRDefault="009E1441" w:rsidP="009E1441">
            <w:pPr>
              <w:rPr>
                <w:rFonts w:ascii="Arial" w:hAnsi="Arial" w:cs="Arial"/>
                <w:sz w:val="16"/>
                <w:szCs w:val="16"/>
              </w:rPr>
            </w:pPr>
          </w:p>
        </w:tc>
        <w:tc>
          <w:tcPr>
            <w:tcW w:w="361" w:type="pct"/>
            <w:tcBorders>
              <w:top w:val="single" w:sz="12" w:space="0" w:color="auto"/>
              <w:left w:val="nil"/>
              <w:right w:val="nil"/>
            </w:tcBorders>
          </w:tcPr>
          <w:p w14:paraId="16AD20FE" w14:textId="77777777" w:rsidR="009E1441" w:rsidRPr="00B67A7B" w:rsidRDefault="009E1441" w:rsidP="009E1441">
            <w:pPr>
              <w:jc w:val="right"/>
              <w:rPr>
                <w:rFonts w:ascii="Arial" w:hAnsi="Arial" w:cs="Arial"/>
                <w:sz w:val="16"/>
                <w:szCs w:val="16"/>
              </w:rPr>
            </w:pPr>
          </w:p>
        </w:tc>
        <w:tc>
          <w:tcPr>
            <w:tcW w:w="383" w:type="pct"/>
            <w:tcBorders>
              <w:top w:val="single" w:sz="12" w:space="0" w:color="auto"/>
              <w:left w:val="nil"/>
              <w:right w:val="nil"/>
            </w:tcBorders>
            <w:shd w:val="clear" w:color="auto" w:fill="auto"/>
            <w:noWrap/>
            <w:vAlign w:val="bottom"/>
          </w:tcPr>
          <w:p w14:paraId="0AD77AFB" w14:textId="77777777" w:rsidR="009E1441" w:rsidRPr="00B67A7B" w:rsidRDefault="009E1441" w:rsidP="009E1441">
            <w:pPr>
              <w:jc w:val="right"/>
              <w:rPr>
                <w:rFonts w:ascii="Arial" w:hAnsi="Arial" w:cs="Arial"/>
                <w:sz w:val="16"/>
                <w:szCs w:val="16"/>
              </w:rPr>
            </w:pPr>
          </w:p>
        </w:tc>
        <w:tc>
          <w:tcPr>
            <w:tcW w:w="496" w:type="pct"/>
            <w:tcBorders>
              <w:top w:val="single" w:sz="12" w:space="0" w:color="auto"/>
              <w:left w:val="nil"/>
              <w:right w:val="nil"/>
            </w:tcBorders>
            <w:shd w:val="clear" w:color="auto" w:fill="auto"/>
            <w:noWrap/>
            <w:vAlign w:val="bottom"/>
          </w:tcPr>
          <w:p w14:paraId="0795A656" w14:textId="77777777" w:rsidR="009E1441" w:rsidRPr="00B67A7B" w:rsidRDefault="009E1441" w:rsidP="009E1441">
            <w:pPr>
              <w:jc w:val="right"/>
              <w:rPr>
                <w:rFonts w:ascii="Arial" w:hAnsi="Arial" w:cs="Arial"/>
                <w:sz w:val="16"/>
                <w:szCs w:val="16"/>
              </w:rPr>
            </w:pPr>
          </w:p>
        </w:tc>
        <w:tc>
          <w:tcPr>
            <w:tcW w:w="414" w:type="pct"/>
            <w:tcBorders>
              <w:top w:val="single" w:sz="12" w:space="0" w:color="auto"/>
              <w:left w:val="nil"/>
              <w:right w:val="nil"/>
            </w:tcBorders>
            <w:shd w:val="clear" w:color="auto" w:fill="auto"/>
            <w:noWrap/>
            <w:vAlign w:val="bottom"/>
          </w:tcPr>
          <w:p w14:paraId="131AD8BC" w14:textId="77777777" w:rsidR="009E1441" w:rsidRPr="00B67A7B" w:rsidRDefault="009E1441" w:rsidP="009E1441">
            <w:pPr>
              <w:jc w:val="right"/>
              <w:rPr>
                <w:rFonts w:ascii="Arial" w:hAnsi="Arial" w:cs="Arial"/>
                <w:sz w:val="16"/>
                <w:szCs w:val="16"/>
              </w:rPr>
            </w:pPr>
          </w:p>
        </w:tc>
        <w:tc>
          <w:tcPr>
            <w:tcW w:w="496" w:type="pct"/>
            <w:tcBorders>
              <w:top w:val="single" w:sz="12" w:space="0" w:color="auto"/>
              <w:left w:val="nil"/>
              <w:right w:val="nil"/>
            </w:tcBorders>
            <w:shd w:val="clear" w:color="auto" w:fill="auto"/>
            <w:noWrap/>
            <w:vAlign w:val="bottom"/>
          </w:tcPr>
          <w:p w14:paraId="07F94D36" w14:textId="77777777" w:rsidR="009E1441" w:rsidRPr="00B67A7B" w:rsidRDefault="009E1441" w:rsidP="009E1441">
            <w:pPr>
              <w:jc w:val="right"/>
              <w:rPr>
                <w:rFonts w:ascii="Arial" w:hAnsi="Arial" w:cs="Arial"/>
                <w:sz w:val="16"/>
                <w:szCs w:val="16"/>
              </w:rPr>
            </w:pPr>
          </w:p>
        </w:tc>
        <w:tc>
          <w:tcPr>
            <w:tcW w:w="584" w:type="pct"/>
            <w:tcBorders>
              <w:top w:val="single" w:sz="12" w:space="0" w:color="auto"/>
              <w:left w:val="nil"/>
              <w:right w:val="nil"/>
            </w:tcBorders>
            <w:vAlign w:val="bottom"/>
          </w:tcPr>
          <w:p w14:paraId="0213CAD7" w14:textId="77777777" w:rsidR="009E1441" w:rsidRPr="00B67A7B" w:rsidRDefault="009E1441" w:rsidP="009E1441">
            <w:pPr>
              <w:jc w:val="right"/>
              <w:rPr>
                <w:rFonts w:ascii="Arial" w:hAnsi="Arial" w:cs="Arial"/>
                <w:sz w:val="16"/>
                <w:szCs w:val="16"/>
              </w:rPr>
            </w:pPr>
          </w:p>
        </w:tc>
        <w:tc>
          <w:tcPr>
            <w:tcW w:w="522" w:type="pct"/>
            <w:tcBorders>
              <w:top w:val="single" w:sz="12" w:space="0" w:color="auto"/>
              <w:left w:val="nil"/>
              <w:right w:val="nil"/>
            </w:tcBorders>
            <w:shd w:val="clear" w:color="auto" w:fill="auto"/>
            <w:noWrap/>
            <w:vAlign w:val="bottom"/>
          </w:tcPr>
          <w:p w14:paraId="4C5952C0" w14:textId="77777777" w:rsidR="009E1441" w:rsidRPr="00B67A7B" w:rsidRDefault="009E1441" w:rsidP="009E1441">
            <w:pPr>
              <w:jc w:val="right"/>
              <w:rPr>
                <w:rFonts w:ascii="Arial" w:hAnsi="Arial" w:cs="Arial"/>
                <w:sz w:val="16"/>
                <w:szCs w:val="16"/>
              </w:rPr>
            </w:pPr>
          </w:p>
        </w:tc>
        <w:tc>
          <w:tcPr>
            <w:tcW w:w="421" w:type="pct"/>
            <w:gridSpan w:val="2"/>
            <w:tcBorders>
              <w:top w:val="single" w:sz="12" w:space="0" w:color="auto"/>
              <w:left w:val="nil"/>
              <w:right w:val="nil"/>
            </w:tcBorders>
          </w:tcPr>
          <w:p w14:paraId="19C875E2" w14:textId="77777777" w:rsidR="009E1441" w:rsidRPr="00B67A7B" w:rsidRDefault="009E1441" w:rsidP="009E1441">
            <w:pPr>
              <w:jc w:val="right"/>
              <w:rPr>
                <w:rFonts w:ascii="Arial" w:hAnsi="Arial" w:cs="Arial"/>
                <w:sz w:val="16"/>
                <w:szCs w:val="16"/>
              </w:rPr>
            </w:pPr>
          </w:p>
        </w:tc>
      </w:tr>
      <w:tr w:rsidR="009E1441" w:rsidRPr="00F2449D" w14:paraId="6187C6E8" w14:textId="77777777" w:rsidTr="00FA21A3">
        <w:trPr>
          <w:trHeight w:val="220"/>
        </w:trPr>
        <w:tc>
          <w:tcPr>
            <w:tcW w:w="1323" w:type="pct"/>
            <w:tcBorders>
              <w:left w:val="nil"/>
              <w:bottom w:val="single" w:sz="4" w:space="0" w:color="auto"/>
              <w:right w:val="nil"/>
            </w:tcBorders>
            <w:shd w:val="clear" w:color="auto" w:fill="auto"/>
            <w:noWrap/>
            <w:vAlign w:val="bottom"/>
          </w:tcPr>
          <w:p w14:paraId="6D5B3DCC" w14:textId="77777777" w:rsidR="009E1441" w:rsidRPr="00F2449D" w:rsidRDefault="009E1441" w:rsidP="009E1441">
            <w:pPr>
              <w:rPr>
                <w:rFonts w:ascii="Arial" w:hAnsi="Arial" w:cs="Arial"/>
                <w:b/>
                <w:bCs/>
                <w:sz w:val="18"/>
                <w:szCs w:val="18"/>
              </w:rPr>
            </w:pPr>
            <w:r w:rsidRPr="00F2449D">
              <w:rPr>
                <w:rFonts w:ascii="Arial" w:hAnsi="Arial" w:cs="Arial"/>
                <w:b/>
                <w:bCs/>
                <w:sz w:val="18"/>
                <w:szCs w:val="18"/>
              </w:rPr>
              <w:t>At 1 February 201</w:t>
            </w:r>
            <w:r>
              <w:rPr>
                <w:rFonts w:ascii="Arial" w:hAnsi="Arial" w:cs="Arial"/>
                <w:b/>
                <w:bCs/>
                <w:sz w:val="18"/>
                <w:szCs w:val="18"/>
              </w:rPr>
              <w:t>7</w:t>
            </w:r>
          </w:p>
        </w:tc>
        <w:tc>
          <w:tcPr>
            <w:tcW w:w="361" w:type="pct"/>
            <w:tcBorders>
              <w:left w:val="nil"/>
              <w:bottom w:val="single" w:sz="4" w:space="0" w:color="auto"/>
              <w:right w:val="nil"/>
            </w:tcBorders>
          </w:tcPr>
          <w:p w14:paraId="605EA13C" w14:textId="77777777" w:rsidR="009E1441" w:rsidRPr="00F2449D" w:rsidRDefault="009E1441" w:rsidP="009E1441">
            <w:pPr>
              <w:jc w:val="right"/>
              <w:rPr>
                <w:rFonts w:ascii="Arial" w:hAnsi="Arial" w:cs="Arial"/>
                <w:bCs/>
                <w:sz w:val="18"/>
                <w:szCs w:val="18"/>
              </w:rPr>
            </w:pPr>
          </w:p>
        </w:tc>
        <w:tc>
          <w:tcPr>
            <w:tcW w:w="383" w:type="pct"/>
            <w:tcBorders>
              <w:left w:val="nil"/>
              <w:bottom w:val="single" w:sz="4" w:space="0" w:color="auto"/>
              <w:right w:val="nil"/>
            </w:tcBorders>
            <w:shd w:val="clear" w:color="auto" w:fill="auto"/>
            <w:noWrap/>
            <w:vAlign w:val="bottom"/>
          </w:tcPr>
          <w:p w14:paraId="295C6AD1"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352</w:t>
            </w:r>
          </w:p>
        </w:tc>
        <w:tc>
          <w:tcPr>
            <w:tcW w:w="496" w:type="pct"/>
            <w:tcBorders>
              <w:left w:val="nil"/>
              <w:bottom w:val="single" w:sz="4" w:space="0" w:color="auto"/>
              <w:right w:val="nil"/>
            </w:tcBorders>
            <w:shd w:val="clear" w:color="auto" w:fill="auto"/>
            <w:noWrap/>
            <w:vAlign w:val="bottom"/>
          </w:tcPr>
          <w:p w14:paraId="597A9C9B"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2,221</w:t>
            </w:r>
          </w:p>
        </w:tc>
        <w:tc>
          <w:tcPr>
            <w:tcW w:w="414" w:type="pct"/>
            <w:tcBorders>
              <w:left w:val="nil"/>
              <w:bottom w:val="single" w:sz="4" w:space="0" w:color="auto"/>
              <w:right w:val="nil"/>
            </w:tcBorders>
            <w:shd w:val="clear" w:color="auto" w:fill="auto"/>
            <w:noWrap/>
            <w:vAlign w:val="bottom"/>
          </w:tcPr>
          <w:p w14:paraId="4FD6C77D"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(23)</w:t>
            </w:r>
          </w:p>
        </w:tc>
        <w:tc>
          <w:tcPr>
            <w:tcW w:w="496" w:type="pct"/>
            <w:tcBorders>
              <w:left w:val="nil"/>
              <w:bottom w:val="single" w:sz="4" w:space="0" w:color="auto"/>
              <w:right w:val="nil"/>
            </w:tcBorders>
            <w:shd w:val="clear" w:color="auto" w:fill="auto"/>
            <w:noWrap/>
            <w:vAlign w:val="bottom"/>
          </w:tcPr>
          <w:p w14:paraId="7DAFF6CD"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3,837</w:t>
            </w:r>
          </w:p>
        </w:tc>
        <w:tc>
          <w:tcPr>
            <w:tcW w:w="584" w:type="pct"/>
            <w:tcBorders>
              <w:left w:val="nil"/>
              <w:bottom w:val="single" w:sz="4" w:space="0" w:color="auto"/>
              <w:right w:val="nil"/>
            </w:tcBorders>
            <w:vAlign w:val="bottom"/>
          </w:tcPr>
          <w:p w14:paraId="629C01FE"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22</w:t>
            </w:r>
          </w:p>
        </w:tc>
        <w:tc>
          <w:tcPr>
            <w:tcW w:w="522" w:type="pct"/>
            <w:tcBorders>
              <w:left w:val="nil"/>
              <w:bottom w:val="single" w:sz="4" w:space="0" w:color="auto"/>
              <w:right w:val="nil"/>
            </w:tcBorders>
            <w:shd w:val="clear" w:color="auto" w:fill="auto"/>
            <w:noWrap/>
            <w:vAlign w:val="bottom"/>
          </w:tcPr>
          <w:p w14:paraId="1605604B"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362</w:t>
            </w:r>
          </w:p>
        </w:tc>
        <w:tc>
          <w:tcPr>
            <w:tcW w:w="421" w:type="pct"/>
            <w:gridSpan w:val="2"/>
            <w:tcBorders>
              <w:left w:val="nil"/>
              <w:bottom w:val="single" w:sz="4" w:space="0" w:color="auto"/>
              <w:right w:val="nil"/>
            </w:tcBorders>
            <w:vAlign w:val="bottom"/>
          </w:tcPr>
          <w:p w14:paraId="674BC9C0"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6,771</w:t>
            </w:r>
          </w:p>
        </w:tc>
      </w:tr>
      <w:tr w:rsidR="009E1441" w:rsidRPr="00500CDE" w14:paraId="4164F19E" w14:textId="77777777" w:rsidTr="00FA21A3">
        <w:trPr>
          <w:trHeight w:val="250"/>
        </w:trPr>
        <w:tc>
          <w:tcPr>
            <w:tcW w:w="1323" w:type="pct"/>
            <w:tcBorders>
              <w:top w:val="single" w:sz="4" w:space="0" w:color="auto"/>
              <w:left w:val="single" w:sz="4" w:space="0" w:color="auto"/>
              <w:right w:val="nil"/>
            </w:tcBorders>
            <w:shd w:val="clear" w:color="auto" w:fill="auto"/>
            <w:noWrap/>
            <w:vAlign w:val="bottom"/>
          </w:tcPr>
          <w:p w14:paraId="30E68B4C" w14:textId="77777777" w:rsidR="009E1441" w:rsidRPr="00790B30" w:rsidRDefault="009E1441" w:rsidP="009E1441">
            <w:pPr>
              <w:rPr>
                <w:rFonts w:ascii="Arial" w:hAnsi="Arial" w:cs="Arial"/>
                <w:sz w:val="18"/>
                <w:szCs w:val="18"/>
              </w:rPr>
            </w:pPr>
            <w:r w:rsidRPr="00790B30">
              <w:rPr>
                <w:rFonts w:ascii="Arial" w:hAnsi="Arial" w:cs="Arial"/>
                <w:sz w:val="18"/>
                <w:szCs w:val="18"/>
              </w:rPr>
              <w:t>Profit for the year</w:t>
            </w:r>
          </w:p>
        </w:tc>
        <w:tc>
          <w:tcPr>
            <w:tcW w:w="361" w:type="pct"/>
            <w:tcBorders>
              <w:top w:val="single" w:sz="4" w:space="0" w:color="auto"/>
              <w:left w:val="nil"/>
              <w:right w:val="nil"/>
            </w:tcBorders>
          </w:tcPr>
          <w:p w14:paraId="177AB45C" w14:textId="77777777" w:rsidR="009E1441" w:rsidRPr="00790B30" w:rsidRDefault="009E1441" w:rsidP="009E1441">
            <w:pPr>
              <w:jc w:val="right"/>
              <w:rPr>
                <w:rFonts w:ascii="Arial" w:hAnsi="Arial" w:cs="Arial"/>
                <w:sz w:val="18"/>
                <w:szCs w:val="18"/>
              </w:rPr>
            </w:pPr>
          </w:p>
        </w:tc>
        <w:tc>
          <w:tcPr>
            <w:tcW w:w="383" w:type="pct"/>
            <w:tcBorders>
              <w:top w:val="single" w:sz="4" w:space="0" w:color="auto"/>
              <w:left w:val="nil"/>
              <w:right w:val="nil"/>
            </w:tcBorders>
            <w:shd w:val="clear" w:color="auto" w:fill="auto"/>
            <w:noWrap/>
            <w:vAlign w:val="bottom"/>
          </w:tcPr>
          <w:p w14:paraId="5965E76A"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96" w:type="pct"/>
            <w:tcBorders>
              <w:top w:val="single" w:sz="4" w:space="0" w:color="auto"/>
              <w:left w:val="nil"/>
              <w:right w:val="nil"/>
            </w:tcBorders>
            <w:shd w:val="clear" w:color="auto" w:fill="auto"/>
            <w:noWrap/>
            <w:vAlign w:val="bottom"/>
          </w:tcPr>
          <w:p w14:paraId="356BBDFA"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14" w:type="pct"/>
            <w:tcBorders>
              <w:top w:val="single" w:sz="4" w:space="0" w:color="auto"/>
              <w:left w:val="nil"/>
              <w:right w:val="nil"/>
            </w:tcBorders>
            <w:shd w:val="clear" w:color="auto" w:fill="auto"/>
            <w:noWrap/>
            <w:vAlign w:val="bottom"/>
          </w:tcPr>
          <w:p w14:paraId="0163EBF4"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96" w:type="pct"/>
            <w:tcBorders>
              <w:top w:val="single" w:sz="4" w:space="0" w:color="auto"/>
              <w:left w:val="nil"/>
              <w:right w:val="nil"/>
            </w:tcBorders>
            <w:shd w:val="clear" w:color="auto" w:fill="auto"/>
            <w:noWrap/>
            <w:vAlign w:val="bottom"/>
          </w:tcPr>
          <w:p w14:paraId="715F91BB"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485</w:t>
            </w:r>
          </w:p>
        </w:tc>
        <w:tc>
          <w:tcPr>
            <w:tcW w:w="584" w:type="pct"/>
            <w:tcBorders>
              <w:top w:val="single" w:sz="4" w:space="0" w:color="auto"/>
              <w:left w:val="nil"/>
              <w:right w:val="nil"/>
            </w:tcBorders>
            <w:vAlign w:val="bottom"/>
          </w:tcPr>
          <w:p w14:paraId="7A66A592"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522" w:type="pct"/>
            <w:tcBorders>
              <w:top w:val="single" w:sz="4" w:space="0" w:color="auto"/>
              <w:left w:val="nil"/>
            </w:tcBorders>
            <w:shd w:val="clear" w:color="auto" w:fill="auto"/>
            <w:noWrap/>
            <w:vAlign w:val="bottom"/>
          </w:tcPr>
          <w:p w14:paraId="4EEADA55"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21" w:type="pct"/>
            <w:gridSpan w:val="2"/>
            <w:tcBorders>
              <w:top w:val="single" w:sz="4" w:space="0" w:color="auto"/>
              <w:right w:val="single" w:sz="4" w:space="0" w:color="auto"/>
            </w:tcBorders>
            <w:vAlign w:val="bottom"/>
          </w:tcPr>
          <w:p w14:paraId="22C6D84E"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485</w:t>
            </w:r>
          </w:p>
        </w:tc>
      </w:tr>
      <w:tr w:rsidR="009E1441" w:rsidRPr="00500CDE" w14:paraId="26568E77" w14:textId="77777777" w:rsidTr="00FA21A3">
        <w:trPr>
          <w:trHeight w:val="220"/>
        </w:trPr>
        <w:tc>
          <w:tcPr>
            <w:tcW w:w="1323" w:type="pct"/>
            <w:tcBorders>
              <w:left w:val="single" w:sz="4" w:space="0" w:color="auto"/>
              <w:bottom w:val="single" w:sz="4" w:space="0" w:color="auto"/>
              <w:right w:val="nil"/>
            </w:tcBorders>
            <w:shd w:val="clear" w:color="auto" w:fill="auto"/>
            <w:noWrap/>
            <w:vAlign w:val="bottom"/>
          </w:tcPr>
          <w:p w14:paraId="58960699" w14:textId="77777777" w:rsidR="009E1441" w:rsidRPr="00790B30" w:rsidRDefault="009E1441" w:rsidP="009E1441">
            <w:pPr>
              <w:rPr>
                <w:rFonts w:ascii="Arial" w:hAnsi="Arial" w:cs="Arial"/>
                <w:sz w:val="18"/>
                <w:szCs w:val="18"/>
              </w:rPr>
            </w:pPr>
            <w:r w:rsidRPr="00790B30">
              <w:rPr>
                <w:rFonts w:ascii="Arial" w:hAnsi="Arial" w:cs="Arial"/>
                <w:bCs/>
                <w:sz w:val="18"/>
                <w:szCs w:val="18"/>
              </w:rPr>
              <w:t>Other comprehensive</w:t>
            </w:r>
            <w:r>
              <w:rPr>
                <w:rFonts w:ascii="Arial" w:hAnsi="Arial" w:cs="Arial"/>
                <w:bCs/>
                <w:sz w:val="18"/>
                <w:szCs w:val="18"/>
              </w:rPr>
              <w:t xml:space="preserve"> (loss)/</w:t>
            </w:r>
            <w:r w:rsidRPr="00790B30">
              <w:rPr>
                <w:rFonts w:ascii="Arial" w:hAnsi="Arial" w:cs="Arial"/>
                <w:bCs/>
                <w:sz w:val="18"/>
                <w:szCs w:val="18"/>
              </w:rPr>
              <w:t xml:space="preserve"> income for the year</w:t>
            </w:r>
          </w:p>
        </w:tc>
        <w:tc>
          <w:tcPr>
            <w:tcW w:w="361" w:type="pct"/>
            <w:tcBorders>
              <w:left w:val="nil"/>
              <w:bottom w:val="single" w:sz="4" w:space="0" w:color="auto"/>
              <w:right w:val="nil"/>
            </w:tcBorders>
          </w:tcPr>
          <w:p w14:paraId="0E88115F" w14:textId="77777777" w:rsidR="009E1441" w:rsidRPr="00790B30" w:rsidRDefault="009E1441" w:rsidP="009E1441">
            <w:pPr>
              <w:jc w:val="right"/>
              <w:rPr>
                <w:rFonts w:ascii="Arial" w:hAnsi="Arial" w:cs="Arial"/>
                <w:bCs/>
                <w:sz w:val="18"/>
                <w:szCs w:val="18"/>
              </w:rPr>
            </w:pPr>
          </w:p>
        </w:tc>
        <w:tc>
          <w:tcPr>
            <w:tcW w:w="383" w:type="pct"/>
            <w:tcBorders>
              <w:left w:val="nil"/>
              <w:bottom w:val="single" w:sz="4" w:space="0" w:color="auto"/>
              <w:right w:val="nil"/>
            </w:tcBorders>
            <w:shd w:val="clear" w:color="auto" w:fill="auto"/>
            <w:noWrap/>
            <w:vAlign w:val="bottom"/>
          </w:tcPr>
          <w:p w14:paraId="150F31AC"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96" w:type="pct"/>
            <w:tcBorders>
              <w:left w:val="nil"/>
              <w:bottom w:val="single" w:sz="4" w:space="0" w:color="auto"/>
              <w:right w:val="nil"/>
            </w:tcBorders>
            <w:shd w:val="clear" w:color="auto" w:fill="auto"/>
            <w:noWrap/>
            <w:vAlign w:val="bottom"/>
          </w:tcPr>
          <w:p w14:paraId="02F143E4"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14" w:type="pct"/>
            <w:tcBorders>
              <w:left w:val="nil"/>
              <w:bottom w:val="single" w:sz="4" w:space="0" w:color="auto"/>
              <w:right w:val="nil"/>
            </w:tcBorders>
            <w:shd w:val="clear" w:color="auto" w:fill="auto"/>
            <w:noWrap/>
            <w:vAlign w:val="bottom"/>
          </w:tcPr>
          <w:p w14:paraId="7CC64257"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96" w:type="pct"/>
            <w:tcBorders>
              <w:left w:val="nil"/>
              <w:bottom w:val="single" w:sz="4" w:space="0" w:color="auto"/>
              <w:right w:val="nil"/>
            </w:tcBorders>
            <w:shd w:val="clear" w:color="auto" w:fill="auto"/>
            <w:noWrap/>
            <w:vAlign w:val="bottom"/>
          </w:tcPr>
          <w:p w14:paraId="5CEBEC82"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(42)</w:t>
            </w:r>
          </w:p>
        </w:tc>
        <w:tc>
          <w:tcPr>
            <w:tcW w:w="584" w:type="pct"/>
            <w:tcBorders>
              <w:left w:val="nil"/>
              <w:bottom w:val="single" w:sz="4" w:space="0" w:color="auto"/>
              <w:right w:val="nil"/>
            </w:tcBorders>
            <w:vAlign w:val="bottom"/>
          </w:tcPr>
          <w:p w14:paraId="61DD0D2B"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522" w:type="pct"/>
            <w:tcBorders>
              <w:left w:val="nil"/>
              <w:bottom w:val="single" w:sz="4" w:space="0" w:color="auto"/>
              <w:right w:val="nil"/>
            </w:tcBorders>
            <w:shd w:val="clear" w:color="auto" w:fill="auto"/>
            <w:noWrap/>
            <w:vAlign w:val="bottom"/>
          </w:tcPr>
          <w:p w14:paraId="784F1192"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22</w:t>
            </w:r>
          </w:p>
        </w:tc>
        <w:tc>
          <w:tcPr>
            <w:tcW w:w="421" w:type="pct"/>
            <w:gridSpan w:val="2"/>
            <w:tcBorders>
              <w:left w:val="nil"/>
              <w:bottom w:val="single" w:sz="4" w:space="0" w:color="auto"/>
              <w:right w:val="single" w:sz="4" w:space="0" w:color="auto"/>
            </w:tcBorders>
            <w:vAlign w:val="bottom"/>
          </w:tcPr>
          <w:p w14:paraId="0C61FDE9"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(20)</w:t>
            </w:r>
          </w:p>
        </w:tc>
      </w:tr>
      <w:tr w:rsidR="009E1441" w:rsidRPr="00500CDE" w14:paraId="139F9656" w14:textId="77777777" w:rsidTr="00FA21A3">
        <w:trPr>
          <w:trHeight w:val="220"/>
        </w:trPr>
        <w:tc>
          <w:tcPr>
            <w:tcW w:w="1323" w:type="pct"/>
            <w:tcBorders>
              <w:top w:val="single" w:sz="4" w:space="0" w:color="auto"/>
              <w:bottom w:val="nil"/>
              <w:right w:val="nil"/>
            </w:tcBorders>
            <w:shd w:val="clear" w:color="auto" w:fill="auto"/>
            <w:noWrap/>
            <w:vAlign w:val="bottom"/>
          </w:tcPr>
          <w:p w14:paraId="61A43542" w14:textId="77777777" w:rsidR="009E1441" w:rsidRPr="001D40AF" w:rsidRDefault="009E1441" w:rsidP="009E1441">
            <w:pPr>
              <w:rPr>
                <w:rFonts w:ascii="Arial" w:hAnsi="Arial" w:cs="Arial"/>
                <w:b/>
                <w:bCs/>
                <w:sz w:val="18"/>
                <w:szCs w:val="18"/>
              </w:rPr>
            </w:pPr>
            <w:r w:rsidRPr="002A7D7A">
              <w:rPr>
                <w:rFonts w:ascii="Arial" w:hAnsi="Arial" w:cs="Arial"/>
                <w:b/>
                <w:bCs/>
                <w:sz w:val="18"/>
                <w:szCs w:val="18"/>
              </w:rPr>
              <w:t xml:space="preserve">Total </w:t>
            </w:r>
            <w:r>
              <w:rPr>
                <w:rFonts w:ascii="Arial" w:hAnsi="Arial" w:cs="Arial"/>
                <w:b/>
                <w:bCs/>
                <w:sz w:val="18"/>
                <w:szCs w:val="18"/>
              </w:rPr>
              <w:t>comprehensive</w:t>
            </w:r>
            <w:r w:rsidRPr="002A7D7A">
              <w:rPr>
                <w:rFonts w:ascii="Arial" w:hAnsi="Arial" w:cs="Arial"/>
                <w:b/>
                <w:bCs/>
                <w:sz w:val="18"/>
                <w:szCs w:val="18"/>
              </w:rPr>
              <w:t xml:space="preserve"> income for the </w:t>
            </w:r>
            <w:r>
              <w:rPr>
                <w:rFonts w:ascii="Arial" w:hAnsi="Arial" w:cs="Arial"/>
                <w:b/>
                <w:bCs/>
                <w:sz w:val="18"/>
                <w:szCs w:val="18"/>
              </w:rPr>
              <w:t>year</w:t>
            </w:r>
          </w:p>
        </w:tc>
        <w:tc>
          <w:tcPr>
            <w:tcW w:w="361" w:type="pct"/>
            <w:tcBorders>
              <w:top w:val="single" w:sz="4" w:space="0" w:color="auto"/>
              <w:bottom w:val="nil"/>
              <w:right w:val="nil"/>
            </w:tcBorders>
          </w:tcPr>
          <w:p w14:paraId="739C107F" w14:textId="77777777" w:rsidR="009E1441" w:rsidRPr="00663A21" w:rsidRDefault="009E1441" w:rsidP="009E1441">
            <w:pPr>
              <w:jc w:val="right"/>
              <w:rPr>
                <w:rFonts w:ascii="Arial" w:hAnsi="Arial" w:cs="Arial"/>
                <w:b/>
                <w:bCs/>
                <w:sz w:val="18"/>
                <w:szCs w:val="18"/>
              </w:rPr>
            </w:pPr>
          </w:p>
        </w:tc>
        <w:tc>
          <w:tcPr>
            <w:tcW w:w="383" w:type="pct"/>
            <w:tcBorders>
              <w:top w:val="single" w:sz="4" w:space="0" w:color="auto"/>
              <w:left w:val="nil"/>
              <w:bottom w:val="nil"/>
              <w:right w:val="nil"/>
            </w:tcBorders>
            <w:shd w:val="clear" w:color="auto" w:fill="auto"/>
            <w:noWrap/>
            <w:vAlign w:val="bottom"/>
          </w:tcPr>
          <w:p w14:paraId="4531CB14"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96" w:type="pct"/>
            <w:tcBorders>
              <w:top w:val="single" w:sz="4" w:space="0" w:color="auto"/>
              <w:left w:val="nil"/>
              <w:bottom w:val="nil"/>
              <w:right w:val="nil"/>
            </w:tcBorders>
            <w:shd w:val="clear" w:color="auto" w:fill="auto"/>
            <w:noWrap/>
            <w:vAlign w:val="bottom"/>
          </w:tcPr>
          <w:p w14:paraId="22488A52"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14" w:type="pct"/>
            <w:tcBorders>
              <w:top w:val="single" w:sz="4" w:space="0" w:color="auto"/>
              <w:left w:val="nil"/>
              <w:bottom w:val="nil"/>
              <w:right w:val="nil"/>
            </w:tcBorders>
            <w:shd w:val="clear" w:color="auto" w:fill="auto"/>
            <w:noWrap/>
            <w:vAlign w:val="bottom"/>
          </w:tcPr>
          <w:p w14:paraId="53EF2D47"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96" w:type="pct"/>
            <w:tcBorders>
              <w:top w:val="single" w:sz="4" w:space="0" w:color="auto"/>
              <w:left w:val="nil"/>
              <w:bottom w:val="nil"/>
              <w:right w:val="nil"/>
            </w:tcBorders>
            <w:shd w:val="clear" w:color="auto" w:fill="auto"/>
            <w:noWrap/>
            <w:vAlign w:val="bottom"/>
          </w:tcPr>
          <w:p w14:paraId="19A8CD32"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443</w:t>
            </w:r>
          </w:p>
        </w:tc>
        <w:tc>
          <w:tcPr>
            <w:tcW w:w="584" w:type="pct"/>
            <w:tcBorders>
              <w:top w:val="single" w:sz="4" w:space="0" w:color="auto"/>
              <w:left w:val="nil"/>
              <w:bottom w:val="nil"/>
              <w:right w:val="nil"/>
            </w:tcBorders>
            <w:vAlign w:val="bottom"/>
          </w:tcPr>
          <w:p w14:paraId="7BD4A6D1"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522" w:type="pct"/>
            <w:tcBorders>
              <w:top w:val="single" w:sz="4" w:space="0" w:color="auto"/>
              <w:left w:val="nil"/>
              <w:bottom w:val="nil"/>
              <w:right w:val="nil"/>
            </w:tcBorders>
            <w:shd w:val="clear" w:color="auto" w:fill="auto"/>
            <w:noWrap/>
            <w:vAlign w:val="bottom"/>
          </w:tcPr>
          <w:p w14:paraId="28108DD9"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22</w:t>
            </w:r>
          </w:p>
        </w:tc>
        <w:tc>
          <w:tcPr>
            <w:tcW w:w="421" w:type="pct"/>
            <w:gridSpan w:val="2"/>
            <w:tcBorders>
              <w:top w:val="single" w:sz="4" w:space="0" w:color="auto"/>
              <w:left w:val="nil"/>
              <w:bottom w:val="nil"/>
              <w:right w:val="nil"/>
            </w:tcBorders>
            <w:vAlign w:val="bottom"/>
          </w:tcPr>
          <w:p w14:paraId="1E1E834B"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465</w:t>
            </w:r>
          </w:p>
        </w:tc>
      </w:tr>
      <w:tr w:rsidR="009E1441" w:rsidRPr="00500CDE" w14:paraId="07DB5CEB" w14:textId="77777777" w:rsidTr="00FA21A3">
        <w:trPr>
          <w:trHeight w:val="220"/>
        </w:trPr>
        <w:tc>
          <w:tcPr>
            <w:tcW w:w="1323" w:type="pct"/>
            <w:tcBorders>
              <w:top w:val="nil"/>
              <w:right w:val="nil"/>
            </w:tcBorders>
            <w:shd w:val="clear" w:color="auto" w:fill="auto"/>
            <w:noWrap/>
            <w:vAlign w:val="bottom"/>
          </w:tcPr>
          <w:p w14:paraId="6C571CA8" w14:textId="77777777" w:rsidR="009E1441" w:rsidRPr="002A7D7A" w:rsidRDefault="009E1441" w:rsidP="009E1441">
            <w:pPr>
              <w:rPr>
                <w:rFonts w:ascii="Arial" w:hAnsi="Arial" w:cs="Arial"/>
                <w:sz w:val="18"/>
                <w:szCs w:val="18"/>
              </w:rPr>
            </w:pPr>
            <w:r>
              <w:rPr>
                <w:rFonts w:ascii="Arial" w:hAnsi="Arial" w:cs="Arial"/>
                <w:sz w:val="18"/>
                <w:szCs w:val="18"/>
              </w:rPr>
              <w:t>Share-based compensation</w:t>
            </w:r>
          </w:p>
        </w:tc>
        <w:tc>
          <w:tcPr>
            <w:tcW w:w="361" w:type="pct"/>
            <w:tcBorders>
              <w:top w:val="nil"/>
              <w:right w:val="nil"/>
            </w:tcBorders>
          </w:tcPr>
          <w:p w14:paraId="64F35ACE" w14:textId="77777777" w:rsidR="009E1441" w:rsidRPr="00663A21" w:rsidRDefault="009E1441" w:rsidP="009E1441">
            <w:pPr>
              <w:jc w:val="right"/>
              <w:rPr>
                <w:rFonts w:ascii="Arial" w:hAnsi="Arial" w:cs="Arial"/>
                <w:b/>
                <w:bCs/>
                <w:sz w:val="18"/>
                <w:szCs w:val="18"/>
              </w:rPr>
            </w:pPr>
          </w:p>
        </w:tc>
        <w:tc>
          <w:tcPr>
            <w:tcW w:w="383" w:type="pct"/>
            <w:tcBorders>
              <w:top w:val="nil"/>
              <w:left w:val="nil"/>
              <w:right w:val="nil"/>
            </w:tcBorders>
            <w:shd w:val="clear" w:color="auto" w:fill="auto"/>
            <w:noWrap/>
            <w:vAlign w:val="bottom"/>
          </w:tcPr>
          <w:p w14:paraId="66EF81C0"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96" w:type="pct"/>
            <w:tcBorders>
              <w:top w:val="nil"/>
              <w:left w:val="nil"/>
              <w:right w:val="nil"/>
            </w:tcBorders>
            <w:shd w:val="clear" w:color="auto" w:fill="auto"/>
            <w:noWrap/>
            <w:vAlign w:val="bottom"/>
          </w:tcPr>
          <w:p w14:paraId="0D5198B1"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14" w:type="pct"/>
            <w:tcBorders>
              <w:top w:val="nil"/>
              <w:left w:val="nil"/>
              <w:right w:val="nil"/>
            </w:tcBorders>
            <w:shd w:val="clear" w:color="auto" w:fill="auto"/>
            <w:noWrap/>
            <w:vAlign w:val="bottom"/>
          </w:tcPr>
          <w:p w14:paraId="0E5B6E09"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96" w:type="pct"/>
            <w:tcBorders>
              <w:top w:val="nil"/>
              <w:left w:val="nil"/>
              <w:right w:val="nil"/>
            </w:tcBorders>
            <w:shd w:val="clear" w:color="auto" w:fill="auto"/>
            <w:noWrap/>
            <w:vAlign w:val="bottom"/>
          </w:tcPr>
          <w:p w14:paraId="6498F76E"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8</w:t>
            </w:r>
          </w:p>
        </w:tc>
        <w:tc>
          <w:tcPr>
            <w:tcW w:w="584" w:type="pct"/>
            <w:tcBorders>
              <w:top w:val="nil"/>
              <w:left w:val="nil"/>
              <w:right w:val="nil"/>
            </w:tcBorders>
            <w:vAlign w:val="bottom"/>
          </w:tcPr>
          <w:p w14:paraId="5B591E96"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522" w:type="pct"/>
            <w:tcBorders>
              <w:top w:val="nil"/>
              <w:left w:val="nil"/>
              <w:right w:val="nil"/>
            </w:tcBorders>
            <w:shd w:val="clear" w:color="auto" w:fill="auto"/>
            <w:noWrap/>
            <w:vAlign w:val="bottom"/>
          </w:tcPr>
          <w:p w14:paraId="04F7425A"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21" w:type="pct"/>
            <w:gridSpan w:val="2"/>
            <w:tcBorders>
              <w:top w:val="nil"/>
              <w:left w:val="nil"/>
              <w:right w:val="nil"/>
            </w:tcBorders>
            <w:vAlign w:val="bottom"/>
          </w:tcPr>
          <w:p w14:paraId="1CB932B7"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8</w:t>
            </w:r>
          </w:p>
        </w:tc>
      </w:tr>
      <w:tr w:rsidR="009E1441" w:rsidRPr="00500CDE" w14:paraId="10D90FAA" w14:textId="77777777" w:rsidTr="00FA21A3">
        <w:trPr>
          <w:trHeight w:val="220"/>
        </w:trPr>
        <w:tc>
          <w:tcPr>
            <w:tcW w:w="1323" w:type="pct"/>
            <w:tcBorders>
              <w:top w:val="nil"/>
              <w:right w:val="nil"/>
            </w:tcBorders>
            <w:shd w:val="clear" w:color="auto" w:fill="auto"/>
            <w:noWrap/>
            <w:vAlign w:val="bottom"/>
          </w:tcPr>
          <w:p w14:paraId="05884CF6" w14:textId="77777777" w:rsidR="009E1441" w:rsidRDefault="009E1441" w:rsidP="009E1441">
            <w:pPr>
              <w:rPr>
                <w:rFonts w:ascii="Arial" w:hAnsi="Arial" w:cs="Arial"/>
                <w:sz w:val="18"/>
                <w:szCs w:val="18"/>
              </w:rPr>
            </w:pPr>
            <w:r>
              <w:rPr>
                <w:rFonts w:ascii="Arial" w:hAnsi="Arial" w:cs="Arial"/>
                <w:sz w:val="18"/>
                <w:szCs w:val="18"/>
              </w:rPr>
              <w:t>New shares issued under share schemes</w:t>
            </w:r>
          </w:p>
        </w:tc>
        <w:tc>
          <w:tcPr>
            <w:tcW w:w="361" w:type="pct"/>
            <w:tcBorders>
              <w:top w:val="nil"/>
              <w:right w:val="nil"/>
            </w:tcBorders>
          </w:tcPr>
          <w:p w14:paraId="58FD2593" w14:textId="77777777" w:rsidR="009E1441" w:rsidRPr="00663A21" w:rsidRDefault="009E1441" w:rsidP="009E1441">
            <w:pPr>
              <w:jc w:val="right"/>
              <w:rPr>
                <w:rFonts w:ascii="Arial" w:hAnsi="Arial" w:cs="Arial"/>
                <w:b/>
                <w:bCs/>
                <w:sz w:val="18"/>
                <w:szCs w:val="18"/>
              </w:rPr>
            </w:pPr>
          </w:p>
        </w:tc>
        <w:tc>
          <w:tcPr>
            <w:tcW w:w="383" w:type="pct"/>
            <w:tcBorders>
              <w:top w:val="nil"/>
              <w:left w:val="nil"/>
              <w:right w:val="nil"/>
            </w:tcBorders>
            <w:shd w:val="clear" w:color="auto" w:fill="auto"/>
            <w:noWrap/>
            <w:vAlign w:val="bottom"/>
          </w:tcPr>
          <w:p w14:paraId="029758B0"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1</w:t>
            </w:r>
          </w:p>
        </w:tc>
        <w:tc>
          <w:tcPr>
            <w:tcW w:w="496" w:type="pct"/>
            <w:tcBorders>
              <w:top w:val="nil"/>
              <w:left w:val="nil"/>
              <w:right w:val="nil"/>
            </w:tcBorders>
            <w:shd w:val="clear" w:color="auto" w:fill="auto"/>
            <w:noWrap/>
            <w:vAlign w:val="bottom"/>
          </w:tcPr>
          <w:p w14:paraId="03321B14"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7</w:t>
            </w:r>
          </w:p>
        </w:tc>
        <w:tc>
          <w:tcPr>
            <w:tcW w:w="414" w:type="pct"/>
            <w:tcBorders>
              <w:top w:val="nil"/>
              <w:left w:val="nil"/>
              <w:right w:val="nil"/>
            </w:tcBorders>
            <w:shd w:val="clear" w:color="auto" w:fill="auto"/>
            <w:noWrap/>
            <w:vAlign w:val="bottom"/>
          </w:tcPr>
          <w:p w14:paraId="34457827"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96" w:type="pct"/>
            <w:tcBorders>
              <w:top w:val="nil"/>
              <w:left w:val="nil"/>
              <w:right w:val="nil"/>
            </w:tcBorders>
            <w:shd w:val="clear" w:color="auto" w:fill="auto"/>
            <w:noWrap/>
            <w:vAlign w:val="bottom"/>
          </w:tcPr>
          <w:p w14:paraId="681F4F3F"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584" w:type="pct"/>
            <w:tcBorders>
              <w:top w:val="nil"/>
              <w:left w:val="nil"/>
              <w:right w:val="nil"/>
            </w:tcBorders>
            <w:vAlign w:val="bottom"/>
          </w:tcPr>
          <w:p w14:paraId="14300958"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522" w:type="pct"/>
            <w:tcBorders>
              <w:top w:val="nil"/>
              <w:left w:val="nil"/>
              <w:right w:val="nil"/>
            </w:tcBorders>
            <w:shd w:val="clear" w:color="auto" w:fill="auto"/>
            <w:noWrap/>
            <w:vAlign w:val="bottom"/>
          </w:tcPr>
          <w:p w14:paraId="11E32633"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21" w:type="pct"/>
            <w:gridSpan w:val="2"/>
            <w:tcBorders>
              <w:top w:val="nil"/>
              <w:left w:val="nil"/>
              <w:right w:val="nil"/>
            </w:tcBorders>
            <w:vAlign w:val="bottom"/>
          </w:tcPr>
          <w:p w14:paraId="523D32F7"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8</w:t>
            </w:r>
          </w:p>
        </w:tc>
      </w:tr>
      <w:tr w:rsidR="009E1441" w:rsidRPr="00500CDE" w14:paraId="7940354D" w14:textId="77777777" w:rsidTr="00FA21A3">
        <w:trPr>
          <w:trHeight w:val="220"/>
        </w:trPr>
        <w:tc>
          <w:tcPr>
            <w:tcW w:w="1323" w:type="pct"/>
            <w:tcBorders>
              <w:top w:val="nil"/>
              <w:right w:val="nil"/>
            </w:tcBorders>
            <w:shd w:val="clear" w:color="auto" w:fill="auto"/>
            <w:noWrap/>
            <w:vAlign w:val="bottom"/>
          </w:tcPr>
          <w:p w14:paraId="723AAFBE" w14:textId="77777777" w:rsidR="009E1441" w:rsidRPr="002A7D7A" w:rsidRDefault="009E1441" w:rsidP="009E1441">
            <w:pPr>
              <w:rPr>
                <w:rFonts w:ascii="Arial" w:hAnsi="Arial" w:cs="Arial"/>
                <w:sz w:val="18"/>
                <w:szCs w:val="18"/>
              </w:rPr>
            </w:pPr>
            <w:r>
              <w:rPr>
                <w:rFonts w:ascii="Arial" w:hAnsi="Arial" w:cs="Arial"/>
                <w:sz w:val="18"/>
                <w:szCs w:val="18"/>
              </w:rPr>
              <w:t>Own shares issued under share schemes</w:t>
            </w:r>
          </w:p>
        </w:tc>
        <w:tc>
          <w:tcPr>
            <w:tcW w:w="361" w:type="pct"/>
            <w:tcBorders>
              <w:top w:val="nil"/>
              <w:right w:val="nil"/>
            </w:tcBorders>
          </w:tcPr>
          <w:p w14:paraId="5074F4B3" w14:textId="77777777" w:rsidR="009E1441" w:rsidRPr="00663A21" w:rsidRDefault="009E1441" w:rsidP="009E1441">
            <w:pPr>
              <w:jc w:val="right"/>
              <w:rPr>
                <w:rFonts w:ascii="Arial" w:hAnsi="Arial" w:cs="Arial"/>
                <w:b/>
                <w:bCs/>
                <w:sz w:val="18"/>
                <w:szCs w:val="18"/>
              </w:rPr>
            </w:pPr>
          </w:p>
        </w:tc>
        <w:tc>
          <w:tcPr>
            <w:tcW w:w="383" w:type="pct"/>
            <w:tcBorders>
              <w:top w:val="nil"/>
              <w:left w:val="nil"/>
              <w:right w:val="nil"/>
            </w:tcBorders>
            <w:shd w:val="clear" w:color="auto" w:fill="auto"/>
            <w:noWrap/>
            <w:vAlign w:val="bottom"/>
          </w:tcPr>
          <w:p w14:paraId="31DC476D"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96" w:type="pct"/>
            <w:tcBorders>
              <w:top w:val="nil"/>
              <w:left w:val="nil"/>
              <w:right w:val="nil"/>
            </w:tcBorders>
            <w:shd w:val="clear" w:color="auto" w:fill="auto"/>
            <w:noWrap/>
            <w:vAlign w:val="bottom"/>
          </w:tcPr>
          <w:p w14:paraId="6AACF69D"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14" w:type="pct"/>
            <w:tcBorders>
              <w:top w:val="nil"/>
              <w:left w:val="nil"/>
              <w:right w:val="nil"/>
            </w:tcBorders>
            <w:shd w:val="clear" w:color="auto" w:fill="auto"/>
            <w:noWrap/>
            <w:vAlign w:val="bottom"/>
          </w:tcPr>
          <w:p w14:paraId="087DD2F5"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7</w:t>
            </w:r>
          </w:p>
        </w:tc>
        <w:tc>
          <w:tcPr>
            <w:tcW w:w="496" w:type="pct"/>
            <w:tcBorders>
              <w:top w:val="nil"/>
              <w:left w:val="nil"/>
              <w:right w:val="nil"/>
            </w:tcBorders>
            <w:shd w:val="clear" w:color="auto" w:fill="auto"/>
            <w:noWrap/>
            <w:vAlign w:val="bottom"/>
          </w:tcPr>
          <w:p w14:paraId="5E12C663"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(7)</w:t>
            </w:r>
          </w:p>
        </w:tc>
        <w:tc>
          <w:tcPr>
            <w:tcW w:w="584" w:type="pct"/>
            <w:tcBorders>
              <w:top w:val="nil"/>
              <w:left w:val="nil"/>
              <w:right w:val="nil"/>
            </w:tcBorders>
            <w:vAlign w:val="bottom"/>
          </w:tcPr>
          <w:p w14:paraId="1151A573"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522" w:type="pct"/>
            <w:tcBorders>
              <w:top w:val="nil"/>
              <w:left w:val="nil"/>
              <w:right w:val="nil"/>
            </w:tcBorders>
            <w:shd w:val="clear" w:color="auto" w:fill="auto"/>
            <w:noWrap/>
            <w:vAlign w:val="bottom"/>
          </w:tcPr>
          <w:p w14:paraId="0444EC52"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21" w:type="pct"/>
            <w:gridSpan w:val="2"/>
            <w:tcBorders>
              <w:top w:val="nil"/>
              <w:left w:val="nil"/>
              <w:right w:val="nil"/>
            </w:tcBorders>
            <w:vAlign w:val="bottom"/>
          </w:tcPr>
          <w:p w14:paraId="632ABA76"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r>
      <w:tr w:rsidR="009E1441" w:rsidRPr="00500CDE" w14:paraId="2451610E" w14:textId="77777777" w:rsidTr="00FA21A3">
        <w:trPr>
          <w:trHeight w:val="220"/>
        </w:trPr>
        <w:tc>
          <w:tcPr>
            <w:tcW w:w="1323" w:type="pct"/>
            <w:tcBorders>
              <w:left w:val="nil"/>
              <w:right w:val="nil"/>
            </w:tcBorders>
            <w:shd w:val="clear" w:color="auto" w:fill="auto"/>
            <w:noWrap/>
            <w:vAlign w:val="bottom"/>
          </w:tcPr>
          <w:p w14:paraId="2F49D584" w14:textId="77777777" w:rsidR="009E1441" w:rsidRDefault="009E1441" w:rsidP="009E1441">
            <w:pPr>
              <w:rPr>
                <w:rFonts w:ascii="Arial" w:hAnsi="Arial" w:cs="Arial"/>
                <w:sz w:val="18"/>
                <w:szCs w:val="18"/>
              </w:rPr>
            </w:pPr>
            <w:r>
              <w:rPr>
                <w:rFonts w:ascii="Arial" w:hAnsi="Arial" w:cs="Arial"/>
                <w:sz w:val="18"/>
                <w:szCs w:val="18"/>
              </w:rPr>
              <w:t>Purchase of own shares for cancellation</w:t>
            </w:r>
          </w:p>
        </w:tc>
        <w:tc>
          <w:tcPr>
            <w:tcW w:w="361" w:type="pct"/>
            <w:tcBorders>
              <w:left w:val="nil"/>
              <w:right w:val="nil"/>
            </w:tcBorders>
          </w:tcPr>
          <w:p w14:paraId="3E90FD3F" w14:textId="77777777" w:rsidR="009E1441" w:rsidRDefault="009E1441" w:rsidP="009E1441">
            <w:pPr>
              <w:jc w:val="right"/>
              <w:rPr>
                <w:rFonts w:ascii="Arial" w:hAnsi="Arial" w:cs="Arial"/>
                <w:bCs/>
                <w:sz w:val="18"/>
                <w:szCs w:val="18"/>
              </w:rPr>
            </w:pPr>
          </w:p>
        </w:tc>
        <w:tc>
          <w:tcPr>
            <w:tcW w:w="383" w:type="pct"/>
            <w:tcBorders>
              <w:left w:val="nil"/>
              <w:right w:val="nil"/>
            </w:tcBorders>
            <w:shd w:val="clear" w:color="auto" w:fill="auto"/>
            <w:noWrap/>
            <w:vAlign w:val="bottom"/>
          </w:tcPr>
          <w:p w14:paraId="5B5040FD"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(13)</w:t>
            </w:r>
          </w:p>
        </w:tc>
        <w:tc>
          <w:tcPr>
            <w:tcW w:w="496" w:type="pct"/>
            <w:tcBorders>
              <w:left w:val="nil"/>
              <w:right w:val="nil"/>
            </w:tcBorders>
            <w:shd w:val="clear" w:color="auto" w:fill="auto"/>
            <w:noWrap/>
            <w:vAlign w:val="bottom"/>
          </w:tcPr>
          <w:p w14:paraId="30DA015A"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14" w:type="pct"/>
            <w:tcBorders>
              <w:left w:val="nil"/>
              <w:right w:val="nil"/>
            </w:tcBorders>
            <w:shd w:val="clear" w:color="auto" w:fill="auto"/>
            <w:noWrap/>
            <w:vAlign w:val="bottom"/>
          </w:tcPr>
          <w:p w14:paraId="3672B290"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96" w:type="pct"/>
            <w:tcBorders>
              <w:left w:val="nil"/>
              <w:right w:val="nil"/>
            </w:tcBorders>
            <w:shd w:val="clear" w:color="auto" w:fill="auto"/>
            <w:noWrap/>
            <w:vAlign w:val="bottom"/>
          </w:tcPr>
          <w:p w14:paraId="6939021F"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(260)</w:t>
            </w:r>
          </w:p>
        </w:tc>
        <w:tc>
          <w:tcPr>
            <w:tcW w:w="584" w:type="pct"/>
            <w:tcBorders>
              <w:left w:val="nil"/>
              <w:right w:val="nil"/>
            </w:tcBorders>
            <w:vAlign w:val="bottom"/>
          </w:tcPr>
          <w:p w14:paraId="4B1347DC"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13</w:t>
            </w:r>
          </w:p>
        </w:tc>
        <w:tc>
          <w:tcPr>
            <w:tcW w:w="522" w:type="pct"/>
            <w:tcBorders>
              <w:left w:val="nil"/>
              <w:right w:val="nil"/>
            </w:tcBorders>
            <w:shd w:val="clear" w:color="auto" w:fill="auto"/>
            <w:noWrap/>
            <w:vAlign w:val="bottom"/>
          </w:tcPr>
          <w:p w14:paraId="3DB8B2A4"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21" w:type="pct"/>
            <w:gridSpan w:val="2"/>
            <w:tcBorders>
              <w:left w:val="nil"/>
              <w:right w:val="nil"/>
            </w:tcBorders>
            <w:vAlign w:val="bottom"/>
          </w:tcPr>
          <w:p w14:paraId="71AA10BF"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(260)</w:t>
            </w:r>
          </w:p>
        </w:tc>
      </w:tr>
      <w:tr w:rsidR="009E1441" w:rsidRPr="00500CDE" w14:paraId="3731956D" w14:textId="77777777" w:rsidTr="00FA21A3">
        <w:trPr>
          <w:trHeight w:val="220"/>
        </w:trPr>
        <w:tc>
          <w:tcPr>
            <w:tcW w:w="1323" w:type="pct"/>
            <w:tcBorders>
              <w:left w:val="nil"/>
              <w:right w:val="nil"/>
            </w:tcBorders>
            <w:shd w:val="clear" w:color="auto" w:fill="auto"/>
            <w:noWrap/>
            <w:vAlign w:val="bottom"/>
          </w:tcPr>
          <w:p w14:paraId="61051EB1" w14:textId="77777777" w:rsidR="009E1441" w:rsidRDefault="009E1441" w:rsidP="009E1441">
            <w:pPr>
              <w:rPr>
                <w:rFonts w:ascii="Arial" w:hAnsi="Arial" w:cs="Arial"/>
                <w:sz w:val="18"/>
                <w:szCs w:val="18"/>
              </w:rPr>
            </w:pPr>
            <w:r>
              <w:rPr>
                <w:rFonts w:ascii="Arial" w:hAnsi="Arial" w:cs="Arial"/>
                <w:sz w:val="18"/>
                <w:szCs w:val="18"/>
              </w:rPr>
              <w:t>Purchase of own shares for ESOP trust</w:t>
            </w:r>
          </w:p>
        </w:tc>
        <w:tc>
          <w:tcPr>
            <w:tcW w:w="361" w:type="pct"/>
            <w:tcBorders>
              <w:left w:val="nil"/>
              <w:right w:val="nil"/>
            </w:tcBorders>
          </w:tcPr>
          <w:p w14:paraId="1C774684" w14:textId="77777777" w:rsidR="009E1441" w:rsidRDefault="009E1441" w:rsidP="009E1441">
            <w:pPr>
              <w:jc w:val="right"/>
              <w:rPr>
                <w:rFonts w:ascii="Arial" w:hAnsi="Arial" w:cs="Arial"/>
                <w:bCs/>
                <w:sz w:val="18"/>
                <w:szCs w:val="18"/>
              </w:rPr>
            </w:pPr>
          </w:p>
        </w:tc>
        <w:tc>
          <w:tcPr>
            <w:tcW w:w="383" w:type="pct"/>
            <w:tcBorders>
              <w:left w:val="nil"/>
              <w:right w:val="nil"/>
            </w:tcBorders>
            <w:shd w:val="clear" w:color="auto" w:fill="auto"/>
            <w:noWrap/>
            <w:vAlign w:val="bottom"/>
          </w:tcPr>
          <w:p w14:paraId="26D9041B"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96" w:type="pct"/>
            <w:tcBorders>
              <w:left w:val="nil"/>
              <w:right w:val="nil"/>
            </w:tcBorders>
            <w:shd w:val="clear" w:color="auto" w:fill="auto"/>
            <w:noWrap/>
            <w:vAlign w:val="bottom"/>
          </w:tcPr>
          <w:p w14:paraId="6E7F4497"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14" w:type="pct"/>
            <w:tcBorders>
              <w:left w:val="nil"/>
              <w:right w:val="nil"/>
            </w:tcBorders>
            <w:shd w:val="clear" w:color="auto" w:fill="auto"/>
            <w:noWrap/>
            <w:vAlign w:val="bottom"/>
          </w:tcPr>
          <w:p w14:paraId="23774B52"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(13)</w:t>
            </w:r>
          </w:p>
        </w:tc>
        <w:tc>
          <w:tcPr>
            <w:tcW w:w="496" w:type="pct"/>
            <w:tcBorders>
              <w:left w:val="nil"/>
              <w:right w:val="nil"/>
            </w:tcBorders>
            <w:shd w:val="clear" w:color="auto" w:fill="auto"/>
            <w:noWrap/>
            <w:vAlign w:val="bottom"/>
          </w:tcPr>
          <w:p w14:paraId="32914302"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584" w:type="pct"/>
            <w:tcBorders>
              <w:left w:val="nil"/>
              <w:right w:val="nil"/>
            </w:tcBorders>
            <w:vAlign w:val="bottom"/>
          </w:tcPr>
          <w:p w14:paraId="09C482BD"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522" w:type="pct"/>
            <w:tcBorders>
              <w:left w:val="nil"/>
              <w:right w:val="nil"/>
            </w:tcBorders>
            <w:shd w:val="clear" w:color="auto" w:fill="auto"/>
            <w:noWrap/>
            <w:vAlign w:val="bottom"/>
          </w:tcPr>
          <w:p w14:paraId="52D84C6C"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21" w:type="pct"/>
            <w:gridSpan w:val="2"/>
            <w:tcBorders>
              <w:left w:val="nil"/>
              <w:right w:val="nil"/>
            </w:tcBorders>
            <w:vAlign w:val="bottom"/>
          </w:tcPr>
          <w:p w14:paraId="4EF8BB2D"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(13)</w:t>
            </w:r>
          </w:p>
        </w:tc>
      </w:tr>
      <w:tr w:rsidR="009E1441" w:rsidRPr="00500CDE" w14:paraId="2FE25CB1" w14:textId="77777777" w:rsidTr="00FA21A3">
        <w:trPr>
          <w:trHeight w:val="220"/>
        </w:trPr>
        <w:tc>
          <w:tcPr>
            <w:tcW w:w="1323" w:type="pct"/>
            <w:tcBorders>
              <w:left w:val="nil"/>
              <w:right w:val="nil"/>
            </w:tcBorders>
            <w:shd w:val="clear" w:color="auto" w:fill="auto"/>
            <w:noWrap/>
            <w:vAlign w:val="bottom"/>
          </w:tcPr>
          <w:p w14:paraId="043E358B" w14:textId="77777777" w:rsidR="009E1441" w:rsidRDefault="009E1441" w:rsidP="009E1441">
            <w:pPr>
              <w:rPr>
                <w:rFonts w:ascii="Arial" w:hAnsi="Arial" w:cs="Arial"/>
                <w:sz w:val="18"/>
                <w:szCs w:val="18"/>
              </w:rPr>
            </w:pPr>
            <w:r>
              <w:rPr>
                <w:rFonts w:ascii="Arial" w:hAnsi="Arial" w:cs="Arial"/>
                <w:sz w:val="18"/>
                <w:szCs w:val="18"/>
              </w:rPr>
              <w:t>Dividends</w:t>
            </w:r>
          </w:p>
        </w:tc>
        <w:tc>
          <w:tcPr>
            <w:tcW w:w="361" w:type="pct"/>
            <w:tcBorders>
              <w:left w:val="nil"/>
              <w:right w:val="nil"/>
            </w:tcBorders>
          </w:tcPr>
          <w:p w14:paraId="6198B8C9" w14:textId="77777777" w:rsidR="009E1441" w:rsidRPr="005002F6" w:rsidRDefault="009E1441" w:rsidP="009E1441">
            <w:pPr>
              <w:jc w:val="center"/>
              <w:rPr>
                <w:rFonts w:ascii="Arial" w:hAnsi="Arial" w:cs="Arial"/>
                <w:sz w:val="18"/>
                <w:szCs w:val="18"/>
              </w:rPr>
            </w:pPr>
            <w:r>
              <w:rPr>
                <w:rFonts w:ascii="Arial" w:hAnsi="Arial" w:cs="Arial"/>
                <w:sz w:val="18"/>
                <w:szCs w:val="18"/>
              </w:rPr>
              <w:t xml:space="preserve">       8</w:t>
            </w:r>
          </w:p>
        </w:tc>
        <w:tc>
          <w:tcPr>
            <w:tcW w:w="383" w:type="pct"/>
            <w:tcBorders>
              <w:left w:val="nil"/>
              <w:right w:val="nil"/>
            </w:tcBorders>
            <w:shd w:val="clear" w:color="auto" w:fill="auto"/>
            <w:noWrap/>
            <w:vAlign w:val="bottom"/>
          </w:tcPr>
          <w:p w14:paraId="3AF5E610"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96" w:type="pct"/>
            <w:tcBorders>
              <w:left w:val="nil"/>
              <w:right w:val="nil"/>
            </w:tcBorders>
            <w:shd w:val="clear" w:color="auto" w:fill="auto"/>
            <w:noWrap/>
            <w:vAlign w:val="bottom"/>
          </w:tcPr>
          <w:p w14:paraId="0687D500"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14" w:type="pct"/>
            <w:tcBorders>
              <w:left w:val="nil"/>
              <w:right w:val="nil"/>
            </w:tcBorders>
            <w:shd w:val="clear" w:color="auto" w:fill="auto"/>
            <w:noWrap/>
            <w:vAlign w:val="bottom"/>
          </w:tcPr>
          <w:p w14:paraId="240304AB"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96" w:type="pct"/>
            <w:tcBorders>
              <w:left w:val="nil"/>
              <w:right w:val="nil"/>
            </w:tcBorders>
            <w:shd w:val="clear" w:color="auto" w:fill="auto"/>
            <w:noWrap/>
            <w:vAlign w:val="bottom"/>
          </w:tcPr>
          <w:p w14:paraId="22D6D948"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(231)</w:t>
            </w:r>
          </w:p>
        </w:tc>
        <w:tc>
          <w:tcPr>
            <w:tcW w:w="584" w:type="pct"/>
            <w:tcBorders>
              <w:left w:val="nil"/>
              <w:right w:val="nil"/>
            </w:tcBorders>
            <w:vAlign w:val="bottom"/>
          </w:tcPr>
          <w:p w14:paraId="275A6BBC"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522" w:type="pct"/>
            <w:tcBorders>
              <w:left w:val="nil"/>
              <w:right w:val="nil"/>
            </w:tcBorders>
            <w:shd w:val="clear" w:color="auto" w:fill="auto"/>
            <w:noWrap/>
            <w:vAlign w:val="bottom"/>
          </w:tcPr>
          <w:p w14:paraId="52E3D733"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w:t>
            </w:r>
          </w:p>
        </w:tc>
        <w:tc>
          <w:tcPr>
            <w:tcW w:w="421" w:type="pct"/>
            <w:gridSpan w:val="2"/>
            <w:tcBorders>
              <w:left w:val="nil"/>
              <w:right w:val="nil"/>
            </w:tcBorders>
            <w:vAlign w:val="bottom"/>
          </w:tcPr>
          <w:p w14:paraId="09C39972"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(231)</w:t>
            </w:r>
          </w:p>
        </w:tc>
      </w:tr>
      <w:tr w:rsidR="009E1441" w:rsidRPr="00500CDE" w14:paraId="76CCC387" w14:textId="77777777" w:rsidTr="00FA21A3">
        <w:trPr>
          <w:trHeight w:val="220"/>
        </w:trPr>
        <w:tc>
          <w:tcPr>
            <w:tcW w:w="1323" w:type="pct"/>
            <w:tcBorders>
              <w:top w:val="single" w:sz="4" w:space="0" w:color="auto"/>
              <w:left w:val="nil"/>
              <w:bottom w:val="single" w:sz="12" w:space="0" w:color="auto"/>
              <w:right w:val="nil"/>
            </w:tcBorders>
            <w:shd w:val="clear" w:color="auto" w:fill="auto"/>
            <w:noWrap/>
            <w:vAlign w:val="bottom"/>
          </w:tcPr>
          <w:p w14:paraId="1A0AC792" w14:textId="77777777" w:rsidR="009E1441" w:rsidRPr="001606EE" w:rsidRDefault="009E1441" w:rsidP="009E1441">
            <w:pPr>
              <w:rPr>
                <w:rFonts w:ascii="Arial" w:hAnsi="Arial" w:cs="Arial"/>
                <w:b/>
                <w:sz w:val="18"/>
                <w:szCs w:val="18"/>
              </w:rPr>
            </w:pPr>
            <w:r w:rsidRPr="001606EE">
              <w:rPr>
                <w:rFonts w:ascii="Arial" w:hAnsi="Arial" w:cs="Arial"/>
                <w:b/>
                <w:bCs/>
                <w:sz w:val="18"/>
                <w:szCs w:val="18"/>
              </w:rPr>
              <w:t>At 31 January 201</w:t>
            </w:r>
            <w:r>
              <w:rPr>
                <w:rFonts w:ascii="Arial" w:hAnsi="Arial" w:cs="Arial"/>
                <w:b/>
                <w:bCs/>
                <w:sz w:val="18"/>
                <w:szCs w:val="18"/>
              </w:rPr>
              <w:t>8</w:t>
            </w:r>
          </w:p>
        </w:tc>
        <w:tc>
          <w:tcPr>
            <w:tcW w:w="361" w:type="pct"/>
            <w:tcBorders>
              <w:top w:val="single" w:sz="4" w:space="0" w:color="auto"/>
              <w:left w:val="nil"/>
              <w:bottom w:val="single" w:sz="12" w:space="0" w:color="auto"/>
              <w:right w:val="nil"/>
            </w:tcBorders>
          </w:tcPr>
          <w:p w14:paraId="2A96FAA4" w14:textId="77777777" w:rsidR="009E1441" w:rsidRPr="00790B30" w:rsidRDefault="009E1441" w:rsidP="009E1441">
            <w:pPr>
              <w:jc w:val="right"/>
              <w:rPr>
                <w:rFonts w:ascii="Arial" w:hAnsi="Arial" w:cs="Arial"/>
                <w:bCs/>
                <w:sz w:val="18"/>
                <w:szCs w:val="18"/>
              </w:rPr>
            </w:pPr>
          </w:p>
        </w:tc>
        <w:tc>
          <w:tcPr>
            <w:tcW w:w="383" w:type="pct"/>
            <w:tcBorders>
              <w:top w:val="single" w:sz="4" w:space="0" w:color="auto"/>
              <w:left w:val="nil"/>
              <w:bottom w:val="single" w:sz="12" w:space="0" w:color="auto"/>
              <w:right w:val="nil"/>
            </w:tcBorders>
            <w:shd w:val="clear" w:color="auto" w:fill="auto"/>
            <w:noWrap/>
            <w:vAlign w:val="bottom"/>
          </w:tcPr>
          <w:p w14:paraId="7D1A2DCE"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340</w:t>
            </w:r>
          </w:p>
        </w:tc>
        <w:tc>
          <w:tcPr>
            <w:tcW w:w="496" w:type="pct"/>
            <w:tcBorders>
              <w:top w:val="single" w:sz="4" w:space="0" w:color="auto"/>
              <w:left w:val="nil"/>
              <w:bottom w:val="single" w:sz="12" w:space="0" w:color="auto"/>
              <w:right w:val="nil"/>
            </w:tcBorders>
            <w:shd w:val="clear" w:color="auto" w:fill="auto"/>
            <w:noWrap/>
            <w:vAlign w:val="bottom"/>
          </w:tcPr>
          <w:p w14:paraId="705C3BEF"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2,228</w:t>
            </w:r>
          </w:p>
        </w:tc>
        <w:tc>
          <w:tcPr>
            <w:tcW w:w="414" w:type="pct"/>
            <w:tcBorders>
              <w:top w:val="single" w:sz="4" w:space="0" w:color="auto"/>
              <w:left w:val="nil"/>
              <w:bottom w:val="single" w:sz="12" w:space="0" w:color="auto"/>
              <w:right w:val="nil"/>
            </w:tcBorders>
            <w:shd w:val="clear" w:color="auto" w:fill="auto"/>
            <w:noWrap/>
            <w:vAlign w:val="bottom"/>
          </w:tcPr>
          <w:p w14:paraId="1D7422A8"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(29)</w:t>
            </w:r>
          </w:p>
        </w:tc>
        <w:tc>
          <w:tcPr>
            <w:tcW w:w="496" w:type="pct"/>
            <w:tcBorders>
              <w:top w:val="single" w:sz="4" w:space="0" w:color="auto"/>
              <w:left w:val="nil"/>
              <w:bottom w:val="single" w:sz="12" w:space="0" w:color="auto"/>
              <w:right w:val="nil"/>
            </w:tcBorders>
            <w:shd w:val="clear" w:color="auto" w:fill="auto"/>
            <w:noWrap/>
            <w:vAlign w:val="bottom"/>
          </w:tcPr>
          <w:p w14:paraId="0B6250FD"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3,790</w:t>
            </w:r>
          </w:p>
        </w:tc>
        <w:tc>
          <w:tcPr>
            <w:tcW w:w="584" w:type="pct"/>
            <w:tcBorders>
              <w:top w:val="single" w:sz="4" w:space="0" w:color="auto"/>
              <w:left w:val="nil"/>
              <w:bottom w:val="single" w:sz="12" w:space="0" w:color="auto"/>
              <w:right w:val="nil"/>
            </w:tcBorders>
            <w:vAlign w:val="bottom"/>
          </w:tcPr>
          <w:p w14:paraId="55C9B81A"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35</w:t>
            </w:r>
          </w:p>
        </w:tc>
        <w:tc>
          <w:tcPr>
            <w:tcW w:w="522" w:type="pct"/>
            <w:tcBorders>
              <w:top w:val="single" w:sz="4" w:space="0" w:color="auto"/>
              <w:left w:val="nil"/>
              <w:bottom w:val="single" w:sz="12" w:space="0" w:color="auto"/>
              <w:right w:val="nil"/>
            </w:tcBorders>
            <w:shd w:val="clear" w:color="auto" w:fill="auto"/>
            <w:noWrap/>
            <w:vAlign w:val="bottom"/>
          </w:tcPr>
          <w:p w14:paraId="36A88E25"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384</w:t>
            </w:r>
          </w:p>
        </w:tc>
        <w:tc>
          <w:tcPr>
            <w:tcW w:w="421" w:type="pct"/>
            <w:gridSpan w:val="2"/>
            <w:tcBorders>
              <w:top w:val="single" w:sz="4" w:space="0" w:color="auto"/>
              <w:left w:val="nil"/>
              <w:bottom w:val="single" w:sz="12" w:space="0" w:color="auto"/>
              <w:right w:val="nil"/>
            </w:tcBorders>
            <w:vAlign w:val="bottom"/>
          </w:tcPr>
          <w:p w14:paraId="7B61ECF7" w14:textId="77777777" w:rsidR="009E1441" w:rsidRPr="003E10CE" w:rsidRDefault="009E1441" w:rsidP="009E1441">
            <w:pPr>
              <w:jc w:val="right"/>
              <w:rPr>
                <w:rFonts w:ascii="Arial" w:hAnsi="Arial" w:cs="Arial"/>
                <w:bCs/>
                <w:sz w:val="18"/>
                <w:szCs w:val="18"/>
              </w:rPr>
            </w:pPr>
            <w:r w:rsidRPr="003E10CE">
              <w:rPr>
                <w:rFonts w:ascii="Arial" w:hAnsi="Arial" w:cs="Arial"/>
                <w:bCs/>
                <w:sz w:val="18"/>
                <w:szCs w:val="18"/>
              </w:rPr>
              <w:t>6,748</w:t>
            </w:r>
          </w:p>
        </w:tc>
      </w:tr>
    </w:tbl>
    <w:p w14:paraId="2875FF5D" w14:textId="77777777" w:rsidR="00C3188B" w:rsidRDefault="00C3188B">
      <w:pPr>
        <w:rPr>
          <w:rFonts w:ascii="Arial" w:hAnsi="Arial" w:cs="Arial"/>
          <w:sz w:val="18"/>
          <w:szCs w:val="18"/>
        </w:rPr>
      </w:pPr>
    </w:p>
    <w:p w14:paraId="10B506C4" w14:textId="7E94AEE1" w:rsidR="00B00AB8" w:rsidRPr="00C3188B" w:rsidRDefault="00BD161D">
      <w:r>
        <w:rPr>
          <w:rFonts w:ascii="Arial" w:hAnsi="Arial" w:cs="Arial"/>
          <w:sz w:val="18"/>
          <w:szCs w:val="18"/>
        </w:rPr>
        <w:br w:type="page"/>
      </w:r>
    </w:p>
    <w:tbl>
      <w:tblPr>
        <w:tblW w:w="4983" w:type="pct"/>
        <w:tblInd w:w="33" w:type="dxa"/>
        <w:tblLook w:val="0000" w:firstRow="0" w:lastRow="0" w:firstColumn="0" w:lastColumn="0" w:noHBand="0" w:noVBand="0"/>
      </w:tblPr>
      <w:tblGrid>
        <w:gridCol w:w="6156"/>
        <w:gridCol w:w="774"/>
        <w:gridCol w:w="1191"/>
        <w:gridCol w:w="1485"/>
      </w:tblGrid>
      <w:tr w:rsidR="00DC25B4" w:rsidRPr="00EF1091" w14:paraId="696A84FA" w14:textId="77777777" w:rsidTr="00512EED">
        <w:trPr>
          <w:trHeight w:val="240"/>
        </w:trPr>
        <w:tc>
          <w:tcPr>
            <w:tcW w:w="3204" w:type="pct"/>
            <w:tcBorders>
              <w:top w:val="nil"/>
              <w:left w:val="nil"/>
              <w:right w:val="nil"/>
            </w:tcBorders>
            <w:noWrap/>
            <w:vAlign w:val="bottom"/>
          </w:tcPr>
          <w:p w14:paraId="0BD145A1" w14:textId="77777777" w:rsidR="00DC25B4" w:rsidRPr="00EF1091" w:rsidRDefault="006B380B">
            <w:pPr>
              <w:rPr>
                <w:rFonts w:ascii="Arial" w:hAnsi="Arial" w:cs="Arial"/>
                <w:b/>
                <w:sz w:val="18"/>
                <w:szCs w:val="18"/>
              </w:rPr>
            </w:pPr>
            <w:r w:rsidRPr="00EF1091">
              <w:rPr>
                <w:rFonts w:ascii="Arial" w:hAnsi="Arial" w:cs="Arial"/>
                <w:sz w:val="18"/>
                <w:szCs w:val="18"/>
              </w:rPr>
              <w:lastRenderedPageBreak/>
              <w:br w:type="page"/>
            </w:r>
            <w:r w:rsidR="00DC25B4" w:rsidRPr="00EF1091">
              <w:rPr>
                <w:rFonts w:ascii="Arial" w:hAnsi="Arial" w:cs="Arial"/>
                <w:sz w:val="18"/>
                <w:szCs w:val="18"/>
              </w:rPr>
              <w:br w:type="page"/>
            </w:r>
            <w:r w:rsidR="00DC25B4" w:rsidRPr="00EF1091">
              <w:rPr>
                <w:rFonts w:ascii="Arial" w:hAnsi="Arial" w:cs="Arial"/>
                <w:sz w:val="18"/>
                <w:szCs w:val="18"/>
              </w:rPr>
              <w:br w:type="page"/>
            </w:r>
            <w:r w:rsidR="00DC25B4" w:rsidRPr="00EF1091">
              <w:rPr>
                <w:rFonts w:ascii="Arial" w:hAnsi="Arial" w:cs="Arial"/>
                <w:b/>
                <w:sz w:val="18"/>
                <w:szCs w:val="18"/>
              </w:rPr>
              <w:t>Consolidated balance sheet</w:t>
            </w:r>
          </w:p>
        </w:tc>
        <w:tc>
          <w:tcPr>
            <w:tcW w:w="403" w:type="pct"/>
            <w:tcBorders>
              <w:top w:val="nil"/>
              <w:left w:val="nil"/>
              <w:right w:val="nil"/>
            </w:tcBorders>
            <w:noWrap/>
            <w:vAlign w:val="bottom"/>
          </w:tcPr>
          <w:p w14:paraId="7668DC58" w14:textId="77777777" w:rsidR="00DC25B4" w:rsidRPr="00EF1091" w:rsidRDefault="00DC25B4">
            <w:pPr>
              <w:jc w:val="center"/>
              <w:rPr>
                <w:rFonts w:ascii="Arial" w:hAnsi="Arial" w:cs="Arial"/>
                <w:sz w:val="18"/>
                <w:szCs w:val="18"/>
              </w:rPr>
            </w:pPr>
          </w:p>
        </w:tc>
        <w:tc>
          <w:tcPr>
            <w:tcW w:w="620" w:type="pct"/>
            <w:tcBorders>
              <w:top w:val="nil"/>
              <w:left w:val="nil"/>
              <w:right w:val="nil"/>
            </w:tcBorders>
            <w:noWrap/>
          </w:tcPr>
          <w:p w14:paraId="2FDA1847" w14:textId="77777777" w:rsidR="00DC25B4" w:rsidRPr="00EF1091" w:rsidRDefault="00DC25B4">
            <w:pPr>
              <w:jc w:val="right"/>
              <w:rPr>
                <w:rFonts w:ascii="Arial" w:hAnsi="Arial" w:cs="Arial"/>
                <w:b/>
                <w:bCs/>
                <w:sz w:val="18"/>
                <w:szCs w:val="18"/>
              </w:rPr>
            </w:pPr>
          </w:p>
        </w:tc>
        <w:tc>
          <w:tcPr>
            <w:tcW w:w="773" w:type="pct"/>
            <w:tcBorders>
              <w:top w:val="nil"/>
              <w:left w:val="nil"/>
              <w:right w:val="nil"/>
            </w:tcBorders>
          </w:tcPr>
          <w:p w14:paraId="5CE21C74" w14:textId="77777777" w:rsidR="00DC25B4" w:rsidRPr="00EF1091" w:rsidRDefault="00DC25B4">
            <w:pPr>
              <w:jc w:val="right"/>
              <w:rPr>
                <w:rFonts w:ascii="Arial" w:hAnsi="Arial" w:cs="Arial"/>
                <w:bCs/>
                <w:sz w:val="18"/>
                <w:szCs w:val="18"/>
              </w:rPr>
            </w:pPr>
          </w:p>
        </w:tc>
      </w:tr>
      <w:tr w:rsidR="00DC25B4" w:rsidRPr="00EF1091" w14:paraId="736BB151" w14:textId="77777777" w:rsidTr="00512EED">
        <w:trPr>
          <w:trHeight w:val="240"/>
        </w:trPr>
        <w:tc>
          <w:tcPr>
            <w:tcW w:w="3204" w:type="pct"/>
            <w:tcBorders>
              <w:top w:val="nil"/>
              <w:left w:val="nil"/>
              <w:right w:val="nil"/>
            </w:tcBorders>
            <w:noWrap/>
            <w:vAlign w:val="bottom"/>
          </w:tcPr>
          <w:p w14:paraId="367C47CF" w14:textId="77777777" w:rsidR="00DC25B4" w:rsidRPr="00EF1091" w:rsidRDefault="00547F36" w:rsidP="00547F36">
            <w:pPr>
              <w:rPr>
                <w:rFonts w:ascii="Arial" w:hAnsi="Arial" w:cs="Arial"/>
                <w:sz w:val="18"/>
                <w:szCs w:val="18"/>
              </w:rPr>
            </w:pPr>
            <w:r>
              <w:rPr>
                <w:rFonts w:ascii="Arial" w:hAnsi="Arial" w:cs="Arial"/>
                <w:sz w:val="18"/>
                <w:szCs w:val="18"/>
              </w:rPr>
              <w:t>At</w:t>
            </w:r>
            <w:r w:rsidR="001A1B04">
              <w:rPr>
                <w:rFonts w:ascii="Arial" w:hAnsi="Arial" w:cs="Arial"/>
                <w:sz w:val="18"/>
                <w:szCs w:val="18"/>
              </w:rPr>
              <w:t xml:space="preserve"> </w:t>
            </w:r>
            <w:r w:rsidR="00FC37BE">
              <w:rPr>
                <w:rFonts w:ascii="Arial" w:hAnsi="Arial" w:cs="Arial"/>
                <w:sz w:val="18"/>
                <w:szCs w:val="18"/>
              </w:rPr>
              <w:t>31 January 201</w:t>
            </w:r>
            <w:r w:rsidR="000740A4">
              <w:rPr>
                <w:rFonts w:ascii="Arial" w:hAnsi="Arial" w:cs="Arial"/>
                <w:sz w:val="18"/>
                <w:szCs w:val="18"/>
              </w:rPr>
              <w:t>9</w:t>
            </w:r>
          </w:p>
        </w:tc>
        <w:tc>
          <w:tcPr>
            <w:tcW w:w="403" w:type="pct"/>
            <w:tcBorders>
              <w:top w:val="nil"/>
              <w:left w:val="nil"/>
              <w:right w:val="nil"/>
            </w:tcBorders>
            <w:noWrap/>
            <w:vAlign w:val="bottom"/>
          </w:tcPr>
          <w:p w14:paraId="58DB93A2" w14:textId="77777777" w:rsidR="00DC25B4" w:rsidRPr="00EF1091" w:rsidRDefault="00DC25B4">
            <w:pPr>
              <w:jc w:val="center"/>
              <w:rPr>
                <w:rFonts w:ascii="Arial" w:hAnsi="Arial" w:cs="Arial"/>
                <w:sz w:val="18"/>
                <w:szCs w:val="18"/>
              </w:rPr>
            </w:pPr>
          </w:p>
        </w:tc>
        <w:tc>
          <w:tcPr>
            <w:tcW w:w="620" w:type="pct"/>
            <w:tcBorders>
              <w:top w:val="nil"/>
              <w:left w:val="nil"/>
              <w:right w:val="nil"/>
            </w:tcBorders>
            <w:noWrap/>
          </w:tcPr>
          <w:p w14:paraId="7ABB99F8" w14:textId="77777777" w:rsidR="00DC25B4" w:rsidRPr="00EF1091" w:rsidRDefault="00DC25B4">
            <w:pPr>
              <w:jc w:val="right"/>
              <w:rPr>
                <w:rFonts w:ascii="Arial" w:hAnsi="Arial" w:cs="Arial"/>
                <w:b/>
                <w:bCs/>
                <w:sz w:val="18"/>
                <w:szCs w:val="18"/>
              </w:rPr>
            </w:pPr>
          </w:p>
        </w:tc>
        <w:tc>
          <w:tcPr>
            <w:tcW w:w="773" w:type="pct"/>
            <w:tcBorders>
              <w:top w:val="nil"/>
              <w:left w:val="nil"/>
              <w:right w:val="nil"/>
            </w:tcBorders>
          </w:tcPr>
          <w:p w14:paraId="0A0EC36C" w14:textId="77777777" w:rsidR="00DC25B4" w:rsidRPr="00EF1091" w:rsidRDefault="00DC25B4">
            <w:pPr>
              <w:jc w:val="right"/>
              <w:rPr>
                <w:rFonts w:ascii="Arial" w:hAnsi="Arial" w:cs="Arial"/>
                <w:bCs/>
                <w:sz w:val="18"/>
                <w:szCs w:val="18"/>
              </w:rPr>
            </w:pPr>
          </w:p>
        </w:tc>
      </w:tr>
      <w:tr w:rsidR="00E12E71" w:rsidRPr="00EF1091" w14:paraId="1E07E562" w14:textId="77777777" w:rsidTr="00512EED">
        <w:trPr>
          <w:trHeight w:val="240"/>
        </w:trPr>
        <w:tc>
          <w:tcPr>
            <w:tcW w:w="3204" w:type="pct"/>
            <w:tcBorders>
              <w:top w:val="nil"/>
              <w:left w:val="nil"/>
              <w:right w:val="nil"/>
            </w:tcBorders>
            <w:noWrap/>
            <w:vAlign w:val="bottom"/>
          </w:tcPr>
          <w:p w14:paraId="057E5B47" w14:textId="77777777" w:rsidR="00E12E71" w:rsidRDefault="00E12E71" w:rsidP="00547F36">
            <w:pPr>
              <w:rPr>
                <w:rFonts w:ascii="Arial" w:hAnsi="Arial" w:cs="Arial"/>
                <w:sz w:val="18"/>
                <w:szCs w:val="18"/>
              </w:rPr>
            </w:pPr>
          </w:p>
        </w:tc>
        <w:tc>
          <w:tcPr>
            <w:tcW w:w="403" w:type="pct"/>
            <w:tcBorders>
              <w:top w:val="nil"/>
              <w:left w:val="nil"/>
              <w:right w:val="nil"/>
            </w:tcBorders>
            <w:noWrap/>
            <w:vAlign w:val="bottom"/>
          </w:tcPr>
          <w:p w14:paraId="5B80672B" w14:textId="77777777" w:rsidR="00E12E71" w:rsidRPr="00EF1091" w:rsidRDefault="00E12E71">
            <w:pPr>
              <w:jc w:val="center"/>
              <w:rPr>
                <w:rFonts w:ascii="Arial" w:hAnsi="Arial" w:cs="Arial"/>
                <w:sz w:val="18"/>
                <w:szCs w:val="18"/>
              </w:rPr>
            </w:pPr>
          </w:p>
        </w:tc>
        <w:tc>
          <w:tcPr>
            <w:tcW w:w="620" w:type="pct"/>
            <w:tcBorders>
              <w:top w:val="nil"/>
              <w:left w:val="nil"/>
              <w:right w:val="nil"/>
            </w:tcBorders>
            <w:noWrap/>
          </w:tcPr>
          <w:p w14:paraId="6802B52F" w14:textId="77777777" w:rsidR="00E12E71" w:rsidRPr="00EF1091" w:rsidRDefault="00E12E71">
            <w:pPr>
              <w:jc w:val="right"/>
              <w:rPr>
                <w:rFonts w:ascii="Arial" w:hAnsi="Arial" w:cs="Arial"/>
                <w:b/>
                <w:bCs/>
                <w:sz w:val="18"/>
                <w:szCs w:val="18"/>
              </w:rPr>
            </w:pPr>
          </w:p>
        </w:tc>
        <w:tc>
          <w:tcPr>
            <w:tcW w:w="773" w:type="pct"/>
            <w:tcBorders>
              <w:top w:val="nil"/>
              <w:left w:val="nil"/>
              <w:right w:val="nil"/>
            </w:tcBorders>
          </w:tcPr>
          <w:p w14:paraId="4AEDC0BD" w14:textId="77777777" w:rsidR="00E12E71" w:rsidRPr="00EF1091" w:rsidRDefault="00E12E71">
            <w:pPr>
              <w:jc w:val="right"/>
              <w:rPr>
                <w:rFonts w:ascii="Arial" w:hAnsi="Arial" w:cs="Arial"/>
                <w:bCs/>
                <w:sz w:val="18"/>
                <w:szCs w:val="18"/>
              </w:rPr>
            </w:pPr>
          </w:p>
        </w:tc>
      </w:tr>
      <w:tr w:rsidR="000D007B" w:rsidRPr="00D83C7E" w14:paraId="5D6D1364" w14:textId="77777777" w:rsidTr="00150F22">
        <w:trPr>
          <w:trHeight w:val="240"/>
        </w:trPr>
        <w:tc>
          <w:tcPr>
            <w:tcW w:w="3204" w:type="pct"/>
            <w:tcBorders>
              <w:left w:val="nil"/>
              <w:bottom w:val="single" w:sz="4" w:space="0" w:color="auto"/>
              <w:right w:val="nil"/>
            </w:tcBorders>
            <w:noWrap/>
            <w:vAlign w:val="bottom"/>
          </w:tcPr>
          <w:p w14:paraId="2FF7A876" w14:textId="77777777" w:rsidR="000D007B" w:rsidRPr="00D83C7E" w:rsidRDefault="000D007B">
            <w:pPr>
              <w:rPr>
                <w:rFonts w:ascii="Arial" w:hAnsi="Arial" w:cs="Arial"/>
                <w:sz w:val="18"/>
                <w:szCs w:val="18"/>
              </w:rPr>
            </w:pPr>
            <w:r w:rsidRPr="00D83C7E">
              <w:rPr>
                <w:rFonts w:ascii="Arial" w:hAnsi="Arial" w:cs="Arial"/>
                <w:sz w:val="18"/>
                <w:szCs w:val="18"/>
              </w:rPr>
              <w:t>£ millions</w:t>
            </w:r>
          </w:p>
        </w:tc>
        <w:tc>
          <w:tcPr>
            <w:tcW w:w="403" w:type="pct"/>
            <w:tcBorders>
              <w:left w:val="nil"/>
              <w:bottom w:val="single" w:sz="4" w:space="0" w:color="auto"/>
              <w:right w:val="nil"/>
            </w:tcBorders>
            <w:noWrap/>
            <w:vAlign w:val="bottom"/>
          </w:tcPr>
          <w:p w14:paraId="4B0671C3" w14:textId="77777777" w:rsidR="000D007B" w:rsidRPr="00D83C7E" w:rsidRDefault="000D007B">
            <w:pPr>
              <w:jc w:val="center"/>
              <w:rPr>
                <w:rFonts w:ascii="Arial" w:hAnsi="Arial" w:cs="Arial"/>
                <w:sz w:val="18"/>
                <w:szCs w:val="18"/>
              </w:rPr>
            </w:pPr>
            <w:r w:rsidRPr="00D83C7E">
              <w:rPr>
                <w:rFonts w:ascii="Arial" w:hAnsi="Arial" w:cs="Arial"/>
                <w:sz w:val="18"/>
                <w:szCs w:val="18"/>
              </w:rPr>
              <w:t>Notes</w:t>
            </w:r>
          </w:p>
        </w:tc>
        <w:tc>
          <w:tcPr>
            <w:tcW w:w="620" w:type="pct"/>
            <w:tcBorders>
              <w:left w:val="nil"/>
              <w:bottom w:val="single" w:sz="4" w:space="0" w:color="auto"/>
              <w:right w:val="nil"/>
            </w:tcBorders>
            <w:noWrap/>
            <w:vAlign w:val="bottom"/>
          </w:tcPr>
          <w:p w14:paraId="514716D6" w14:textId="77777777" w:rsidR="000D007B" w:rsidRPr="00150F22" w:rsidRDefault="000D007B" w:rsidP="00B301D0">
            <w:pPr>
              <w:jc w:val="right"/>
              <w:rPr>
                <w:rFonts w:ascii="Arial" w:hAnsi="Arial" w:cs="Arial"/>
                <w:bCs/>
                <w:sz w:val="18"/>
                <w:szCs w:val="18"/>
              </w:rPr>
            </w:pPr>
            <w:r w:rsidRPr="00150F22">
              <w:rPr>
                <w:rFonts w:ascii="Arial" w:hAnsi="Arial" w:cs="Arial"/>
                <w:bCs/>
                <w:sz w:val="18"/>
                <w:szCs w:val="18"/>
              </w:rPr>
              <w:t>201</w:t>
            </w:r>
            <w:r w:rsidR="000740A4">
              <w:rPr>
                <w:rFonts w:ascii="Arial" w:hAnsi="Arial" w:cs="Arial"/>
                <w:bCs/>
                <w:sz w:val="18"/>
                <w:szCs w:val="18"/>
              </w:rPr>
              <w:t>8</w:t>
            </w:r>
            <w:r w:rsidRPr="00150F22">
              <w:rPr>
                <w:rFonts w:ascii="Arial" w:hAnsi="Arial" w:cs="Arial"/>
                <w:bCs/>
                <w:sz w:val="18"/>
                <w:szCs w:val="18"/>
              </w:rPr>
              <w:t>/1</w:t>
            </w:r>
            <w:r w:rsidR="000740A4">
              <w:rPr>
                <w:rFonts w:ascii="Arial" w:hAnsi="Arial" w:cs="Arial"/>
                <w:bCs/>
                <w:sz w:val="18"/>
                <w:szCs w:val="18"/>
              </w:rPr>
              <w:t>9</w:t>
            </w:r>
          </w:p>
        </w:tc>
        <w:tc>
          <w:tcPr>
            <w:tcW w:w="773" w:type="pct"/>
            <w:tcBorders>
              <w:left w:val="nil"/>
              <w:bottom w:val="single" w:sz="4" w:space="0" w:color="auto"/>
              <w:right w:val="nil"/>
            </w:tcBorders>
            <w:vAlign w:val="bottom"/>
          </w:tcPr>
          <w:p w14:paraId="2F43F725" w14:textId="77777777" w:rsidR="00CD6E9C" w:rsidRPr="008E2E1A" w:rsidRDefault="00B301D0" w:rsidP="00B301D0">
            <w:pPr>
              <w:jc w:val="right"/>
              <w:rPr>
                <w:rFonts w:ascii="Arial" w:hAnsi="Arial" w:cs="Arial"/>
                <w:bCs/>
                <w:sz w:val="18"/>
                <w:szCs w:val="18"/>
              </w:rPr>
            </w:pPr>
            <w:r>
              <w:rPr>
                <w:rFonts w:ascii="Arial" w:hAnsi="Arial" w:cs="Arial"/>
                <w:bCs/>
                <w:sz w:val="18"/>
                <w:szCs w:val="18"/>
              </w:rPr>
              <w:t>201</w:t>
            </w:r>
            <w:r w:rsidR="000740A4">
              <w:rPr>
                <w:rFonts w:ascii="Arial" w:hAnsi="Arial" w:cs="Arial"/>
                <w:bCs/>
                <w:sz w:val="18"/>
                <w:szCs w:val="18"/>
              </w:rPr>
              <w:t>7</w:t>
            </w:r>
            <w:r w:rsidR="00CD28DD">
              <w:rPr>
                <w:rFonts w:ascii="Arial" w:hAnsi="Arial" w:cs="Arial"/>
                <w:bCs/>
                <w:sz w:val="18"/>
                <w:szCs w:val="18"/>
              </w:rPr>
              <w:t>/1</w:t>
            </w:r>
            <w:r w:rsidR="000740A4">
              <w:rPr>
                <w:rFonts w:ascii="Arial" w:hAnsi="Arial" w:cs="Arial"/>
                <w:bCs/>
                <w:sz w:val="18"/>
                <w:szCs w:val="18"/>
              </w:rPr>
              <w:t>8</w:t>
            </w:r>
          </w:p>
        </w:tc>
      </w:tr>
      <w:tr w:rsidR="000D007B" w:rsidRPr="00EF1091" w14:paraId="1352C3C2" w14:textId="77777777" w:rsidTr="00150F22">
        <w:trPr>
          <w:trHeight w:val="240"/>
        </w:trPr>
        <w:tc>
          <w:tcPr>
            <w:tcW w:w="3204" w:type="pct"/>
            <w:tcBorders>
              <w:top w:val="nil"/>
              <w:left w:val="nil"/>
              <w:bottom w:val="nil"/>
              <w:right w:val="nil"/>
            </w:tcBorders>
            <w:noWrap/>
            <w:vAlign w:val="bottom"/>
          </w:tcPr>
          <w:p w14:paraId="3C8DD213" w14:textId="77777777" w:rsidR="000D007B" w:rsidRPr="00EF1091" w:rsidRDefault="000D007B">
            <w:pPr>
              <w:rPr>
                <w:rFonts w:ascii="Arial" w:hAnsi="Arial" w:cs="Arial"/>
                <w:b/>
                <w:bCs/>
                <w:sz w:val="18"/>
                <w:szCs w:val="18"/>
              </w:rPr>
            </w:pPr>
            <w:r w:rsidRPr="00EF1091">
              <w:rPr>
                <w:rFonts w:ascii="Arial" w:hAnsi="Arial" w:cs="Arial"/>
                <w:b/>
                <w:bCs/>
                <w:sz w:val="18"/>
                <w:szCs w:val="18"/>
              </w:rPr>
              <w:t>Non-current assets</w:t>
            </w:r>
          </w:p>
        </w:tc>
        <w:tc>
          <w:tcPr>
            <w:tcW w:w="403" w:type="pct"/>
            <w:tcBorders>
              <w:top w:val="nil"/>
              <w:left w:val="nil"/>
              <w:bottom w:val="nil"/>
              <w:right w:val="nil"/>
            </w:tcBorders>
            <w:noWrap/>
            <w:vAlign w:val="bottom"/>
          </w:tcPr>
          <w:p w14:paraId="27C0E836" w14:textId="77777777" w:rsidR="000D007B" w:rsidRPr="00EF1091" w:rsidRDefault="000D007B">
            <w:pPr>
              <w:jc w:val="center"/>
              <w:rPr>
                <w:rFonts w:ascii="Arial" w:hAnsi="Arial" w:cs="Arial"/>
                <w:sz w:val="18"/>
                <w:szCs w:val="18"/>
              </w:rPr>
            </w:pPr>
          </w:p>
        </w:tc>
        <w:tc>
          <w:tcPr>
            <w:tcW w:w="620" w:type="pct"/>
            <w:tcBorders>
              <w:top w:val="nil"/>
              <w:left w:val="nil"/>
              <w:bottom w:val="nil"/>
              <w:right w:val="nil"/>
            </w:tcBorders>
            <w:noWrap/>
            <w:vAlign w:val="bottom"/>
          </w:tcPr>
          <w:p w14:paraId="2E993A22" w14:textId="77777777" w:rsidR="000D007B" w:rsidRPr="00150F22" w:rsidRDefault="000D007B" w:rsidP="00150F22">
            <w:pPr>
              <w:jc w:val="right"/>
              <w:rPr>
                <w:rFonts w:ascii="Arial" w:hAnsi="Arial" w:cs="Arial"/>
                <w:sz w:val="18"/>
                <w:szCs w:val="18"/>
              </w:rPr>
            </w:pPr>
          </w:p>
        </w:tc>
        <w:tc>
          <w:tcPr>
            <w:tcW w:w="773" w:type="pct"/>
            <w:tcBorders>
              <w:top w:val="nil"/>
              <w:left w:val="nil"/>
              <w:bottom w:val="nil"/>
              <w:right w:val="nil"/>
            </w:tcBorders>
            <w:vAlign w:val="bottom"/>
          </w:tcPr>
          <w:p w14:paraId="4757EE03" w14:textId="77777777" w:rsidR="000D007B" w:rsidRPr="00281AF4" w:rsidRDefault="000D007B" w:rsidP="00150F22">
            <w:pPr>
              <w:jc w:val="right"/>
              <w:rPr>
                <w:rFonts w:ascii="Arial" w:hAnsi="Arial" w:cs="Arial"/>
                <w:b/>
                <w:sz w:val="18"/>
                <w:szCs w:val="18"/>
              </w:rPr>
            </w:pPr>
          </w:p>
        </w:tc>
      </w:tr>
      <w:tr w:rsidR="000740A4" w:rsidRPr="00EF1091" w14:paraId="104CF32F" w14:textId="77777777" w:rsidTr="00B118AC">
        <w:trPr>
          <w:trHeight w:val="240"/>
        </w:trPr>
        <w:tc>
          <w:tcPr>
            <w:tcW w:w="3204" w:type="pct"/>
            <w:tcBorders>
              <w:top w:val="nil"/>
              <w:left w:val="nil"/>
              <w:bottom w:val="nil"/>
              <w:right w:val="nil"/>
            </w:tcBorders>
            <w:noWrap/>
            <w:vAlign w:val="bottom"/>
          </w:tcPr>
          <w:p w14:paraId="692C94B5" w14:textId="77777777" w:rsidR="000740A4" w:rsidRPr="00EF1091" w:rsidRDefault="000740A4" w:rsidP="000740A4">
            <w:pPr>
              <w:rPr>
                <w:rFonts w:ascii="Arial" w:hAnsi="Arial" w:cs="Arial"/>
                <w:sz w:val="18"/>
                <w:szCs w:val="18"/>
              </w:rPr>
            </w:pPr>
            <w:r w:rsidRPr="00EF1091">
              <w:rPr>
                <w:rFonts w:ascii="Arial" w:hAnsi="Arial" w:cs="Arial"/>
                <w:sz w:val="18"/>
                <w:szCs w:val="18"/>
              </w:rPr>
              <w:t>Goodwill</w:t>
            </w:r>
          </w:p>
        </w:tc>
        <w:tc>
          <w:tcPr>
            <w:tcW w:w="403" w:type="pct"/>
            <w:tcBorders>
              <w:top w:val="nil"/>
              <w:left w:val="nil"/>
              <w:bottom w:val="nil"/>
              <w:right w:val="nil"/>
            </w:tcBorders>
            <w:noWrap/>
            <w:vAlign w:val="bottom"/>
          </w:tcPr>
          <w:p w14:paraId="6E51DC89" w14:textId="77777777" w:rsidR="000740A4" w:rsidRPr="00EF1091" w:rsidRDefault="000740A4" w:rsidP="000740A4">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14:paraId="55866C7A" w14:textId="77777777" w:rsidR="000740A4" w:rsidRPr="001F3ADA" w:rsidRDefault="000740A4" w:rsidP="000740A4">
            <w:pPr>
              <w:jc w:val="right"/>
              <w:rPr>
                <w:rFonts w:ascii="Arial" w:hAnsi="Arial" w:cs="Arial"/>
                <w:b/>
                <w:bCs/>
                <w:sz w:val="18"/>
                <w:szCs w:val="18"/>
              </w:rPr>
            </w:pPr>
            <w:r w:rsidRPr="001F3ADA">
              <w:rPr>
                <w:rFonts w:ascii="Arial" w:hAnsi="Arial" w:cs="Arial"/>
                <w:b/>
                <w:bCs/>
                <w:sz w:val="18"/>
                <w:szCs w:val="18"/>
              </w:rPr>
              <w:t>2,43</w:t>
            </w:r>
            <w:r w:rsidR="00AF3141" w:rsidRPr="001F3ADA">
              <w:rPr>
                <w:rFonts w:ascii="Arial" w:hAnsi="Arial" w:cs="Arial"/>
                <w:b/>
                <w:bCs/>
                <w:sz w:val="18"/>
                <w:szCs w:val="18"/>
              </w:rPr>
              <w:t>6</w:t>
            </w:r>
          </w:p>
        </w:tc>
        <w:tc>
          <w:tcPr>
            <w:tcW w:w="773" w:type="pct"/>
            <w:tcBorders>
              <w:top w:val="nil"/>
              <w:left w:val="nil"/>
              <w:bottom w:val="nil"/>
              <w:right w:val="nil"/>
            </w:tcBorders>
            <w:vAlign w:val="bottom"/>
          </w:tcPr>
          <w:p w14:paraId="20FC7623"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2,437</w:t>
            </w:r>
          </w:p>
        </w:tc>
      </w:tr>
      <w:tr w:rsidR="000740A4" w:rsidRPr="00EF1091" w14:paraId="6236BBAD" w14:textId="77777777" w:rsidTr="00B118AC">
        <w:trPr>
          <w:trHeight w:val="240"/>
        </w:trPr>
        <w:tc>
          <w:tcPr>
            <w:tcW w:w="3204" w:type="pct"/>
            <w:tcBorders>
              <w:top w:val="nil"/>
              <w:left w:val="nil"/>
              <w:bottom w:val="nil"/>
              <w:right w:val="nil"/>
            </w:tcBorders>
            <w:noWrap/>
            <w:vAlign w:val="bottom"/>
          </w:tcPr>
          <w:p w14:paraId="731A1D13" w14:textId="77777777" w:rsidR="000740A4" w:rsidRPr="00EF1091" w:rsidRDefault="000740A4" w:rsidP="000740A4">
            <w:pPr>
              <w:rPr>
                <w:rFonts w:ascii="Arial" w:hAnsi="Arial" w:cs="Arial"/>
                <w:sz w:val="18"/>
                <w:szCs w:val="18"/>
              </w:rPr>
            </w:pPr>
            <w:r>
              <w:rPr>
                <w:rFonts w:ascii="Arial" w:hAnsi="Arial" w:cs="Arial"/>
                <w:sz w:val="18"/>
                <w:szCs w:val="18"/>
              </w:rPr>
              <w:t>Other i</w:t>
            </w:r>
            <w:r w:rsidRPr="00EF1091">
              <w:rPr>
                <w:rFonts w:ascii="Arial" w:hAnsi="Arial" w:cs="Arial"/>
                <w:sz w:val="18"/>
                <w:szCs w:val="18"/>
              </w:rPr>
              <w:t>ntangible assets</w:t>
            </w:r>
          </w:p>
        </w:tc>
        <w:tc>
          <w:tcPr>
            <w:tcW w:w="403" w:type="pct"/>
            <w:tcBorders>
              <w:top w:val="nil"/>
              <w:left w:val="nil"/>
              <w:bottom w:val="nil"/>
              <w:right w:val="nil"/>
            </w:tcBorders>
            <w:noWrap/>
            <w:vAlign w:val="bottom"/>
          </w:tcPr>
          <w:p w14:paraId="4BDA5B49" w14:textId="77777777" w:rsidR="000740A4" w:rsidRPr="00EF1091" w:rsidRDefault="000740A4" w:rsidP="000740A4">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14:paraId="12ECE341" w14:textId="77777777" w:rsidR="000740A4" w:rsidRPr="001F3ADA" w:rsidRDefault="000740A4" w:rsidP="000740A4">
            <w:pPr>
              <w:jc w:val="right"/>
              <w:rPr>
                <w:rFonts w:ascii="Arial" w:hAnsi="Arial" w:cs="Arial"/>
                <w:b/>
                <w:bCs/>
                <w:sz w:val="18"/>
                <w:szCs w:val="18"/>
              </w:rPr>
            </w:pPr>
            <w:r w:rsidRPr="001F3ADA">
              <w:rPr>
                <w:rFonts w:ascii="Arial" w:hAnsi="Arial" w:cs="Arial"/>
                <w:b/>
                <w:bCs/>
                <w:sz w:val="18"/>
                <w:szCs w:val="18"/>
              </w:rPr>
              <w:t>3</w:t>
            </w:r>
            <w:r w:rsidR="00AF3141" w:rsidRPr="001F3ADA">
              <w:rPr>
                <w:rFonts w:ascii="Arial" w:hAnsi="Arial" w:cs="Arial"/>
                <w:b/>
                <w:bCs/>
                <w:sz w:val="18"/>
                <w:szCs w:val="18"/>
              </w:rPr>
              <w:t>71</w:t>
            </w:r>
          </w:p>
        </w:tc>
        <w:tc>
          <w:tcPr>
            <w:tcW w:w="773" w:type="pct"/>
            <w:tcBorders>
              <w:top w:val="nil"/>
              <w:left w:val="nil"/>
              <w:bottom w:val="nil"/>
              <w:right w:val="nil"/>
            </w:tcBorders>
            <w:vAlign w:val="bottom"/>
          </w:tcPr>
          <w:p w14:paraId="24D6DF06"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355</w:t>
            </w:r>
          </w:p>
        </w:tc>
      </w:tr>
      <w:tr w:rsidR="000740A4" w:rsidRPr="00EF1091" w14:paraId="1C868FCE" w14:textId="77777777" w:rsidTr="00B118AC">
        <w:trPr>
          <w:trHeight w:val="240"/>
        </w:trPr>
        <w:tc>
          <w:tcPr>
            <w:tcW w:w="3204" w:type="pct"/>
            <w:tcBorders>
              <w:top w:val="nil"/>
              <w:left w:val="nil"/>
              <w:bottom w:val="nil"/>
              <w:right w:val="nil"/>
            </w:tcBorders>
            <w:noWrap/>
            <w:vAlign w:val="bottom"/>
          </w:tcPr>
          <w:p w14:paraId="68CAB529" w14:textId="77777777" w:rsidR="000740A4" w:rsidRPr="00EF1091" w:rsidRDefault="000740A4" w:rsidP="000740A4">
            <w:pPr>
              <w:rPr>
                <w:rFonts w:ascii="Arial" w:hAnsi="Arial" w:cs="Arial"/>
                <w:sz w:val="18"/>
                <w:szCs w:val="18"/>
              </w:rPr>
            </w:pPr>
            <w:r w:rsidRPr="00EF1091">
              <w:rPr>
                <w:rFonts w:ascii="Arial" w:hAnsi="Arial" w:cs="Arial"/>
                <w:sz w:val="18"/>
                <w:szCs w:val="18"/>
              </w:rPr>
              <w:t>Property, plant and equipment</w:t>
            </w:r>
          </w:p>
        </w:tc>
        <w:tc>
          <w:tcPr>
            <w:tcW w:w="403" w:type="pct"/>
            <w:tcBorders>
              <w:top w:val="nil"/>
              <w:left w:val="nil"/>
              <w:bottom w:val="nil"/>
              <w:right w:val="nil"/>
            </w:tcBorders>
            <w:noWrap/>
            <w:vAlign w:val="bottom"/>
          </w:tcPr>
          <w:p w14:paraId="4394D384" w14:textId="77777777" w:rsidR="000740A4" w:rsidRPr="00EF1091" w:rsidRDefault="000740A4" w:rsidP="000740A4">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14:paraId="3F833ED4" w14:textId="77777777" w:rsidR="000740A4" w:rsidRPr="001F3ADA" w:rsidRDefault="000740A4" w:rsidP="000740A4">
            <w:pPr>
              <w:jc w:val="right"/>
              <w:rPr>
                <w:rFonts w:ascii="Arial" w:hAnsi="Arial" w:cs="Arial"/>
                <w:b/>
                <w:bCs/>
                <w:sz w:val="18"/>
                <w:szCs w:val="18"/>
              </w:rPr>
            </w:pPr>
            <w:r w:rsidRPr="001F3ADA">
              <w:rPr>
                <w:rFonts w:ascii="Arial" w:hAnsi="Arial" w:cs="Arial"/>
                <w:b/>
                <w:bCs/>
                <w:sz w:val="18"/>
                <w:szCs w:val="18"/>
              </w:rPr>
              <w:t>3,</w:t>
            </w:r>
            <w:r w:rsidR="00AF3141" w:rsidRPr="001F3ADA">
              <w:rPr>
                <w:rFonts w:ascii="Arial" w:hAnsi="Arial" w:cs="Arial"/>
                <w:b/>
                <w:bCs/>
                <w:sz w:val="18"/>
                <w:szCs w:val="18"/>
              </w:rPr>
              <w:t>454</w:t>
            </w:r>
          </w:p>
        </w:tc>
        <w:tc>
          <w:tcPr>
            <w:tcW w:w="773" w:type="pct"/>
            <w:tcBorders>
              <w:top w:val="nil"/>
              <w:left w:val="nil"/>
              <w:bottom w:val="nil"/>
              <w:right w:val="nil"/>
            </w:tcBorders>
            <w:vAlign w:val="bottom"/>
          </w:tcPr>
          <w:p w14:paraId="290E169F"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3,736</w:t>
            </w:r>
          </w:p>
        </w:tc>
      </w:tr>
      <w:tr w:rsidR="000740A4" w:rsidRPr="00EF1091" w14:paraId="5913C837" w14:textId="77777777" w:rsidTr="00B118AC">
        <w:trPr>
          <w:trHeight w:val="240"/>
        </w:trPr>
        <w:tc>
          <w:tcPr>
            <w:tcW w:w="3204" w:type="pct"/>
            <w:tcBorders>
              <w:top w:val="nil"/>
              <w:left w:val="nil"/>
              <w:bottom w:val="nil"/>
              <w:right w:val="nil"/>
            </w:tcBorders>
            <w:noWrap/>
            <w:vAlign w:val="bottom"/>
          </w:tcPr>
          <w:p w14:paraId="71479498" w14:textId="77777777" w:rsidR="000740A4" w:rsidRPr="00EF1091" w:rsidRDefault="000740A4" w:rsidP="000740A4">
            <w:pPr>
              <w:rPr>
                <w:rFonts w:ascii="Arial" w:hAnsi="Arial" w:cs="Arial"/>
                <w:sz w:val="18"/>
                <w:szCs w:val="18"/>
              </w:rPr>
            </w:pPr>
            <w:r w:rsidRPr="00EF1091">
              <w:rPr>
                <w:rFonts w:ascii="Arial" w:hAnsi="Arial" w:cs="Arial"/>
                <w:sz w:val="18"/>
                <w:szCs w:val="18"/>
              </w:rPr>
              <w:t>Investment property</w:t>
            </w:r>
          </w:p>
        </w:tc>
        <w:tc>
          <w:tcPr>
            <w:tcW w:w="403" w:type="pct"/>
            <w:tcBorders>
              <w:top w:val="nil"/>
              <w:left w:val="nil"/>
              <w:bottom w:val="nil"/>
              <w:right w:val="nil"/>
            </w:tcBorders>
            <w:noWrap/>
            <w:vAlign w:val="bottom"/>
          </w:tcPr>
          <w:p w14:paraId="621C855A" w14:textId="77777777" w:rsidR="000740A4" w:rsidRPr="00EF1091" w:rsidRDefault="000740A4" w:rsidP="000740A4">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14:paraId="7B34AA87" w14:textId="77777777" w:rsidR="000740A4" w:rsidRPr="001F3ADA" w:rsidRDefault="00AF3141" w:rsidP="000740A4">
            <w:pPr>
              <w:jc w:val="right"/>
              <w:rPr>
                <w:rFonts w:ascii="Arial" w:hAnsi="Arial" w:cs="Arial"/>
                <w:b/>
                <w:bCs/>
                <w:sz w:val="18"/>
                <w:szCs w:val="18"/>
              </w:rPr>
            </w:pPr>
            <w:r w:rsidRPr="001F3ADA">
              <w:rPr>
                <w:rFonts w:ascii="Arial" w:hAnsi="Arial" w:cs="Arial"/>
                <w:b/>
                <w:bCs/>
                <w:sz w:val="18"/>
                <w:szCs w:val="18"/>
              </w:rPr>
              <w:t>8</w:t>
            </w:r>
          </w:p>
        </w:tc>
        <w:tc>
          <w:tcPr>
            <w:tcW w:w="773" w:type="pct"/>
            <w:tcBorders>
              <w:top w:val="nil"/>
              <w:left w:val="nil"/>
              <w:bottom w:val="nil"/>
              <w:right w:val="nil"/>
            </w:tcBorders>
            <w:vAlign w:val="bottom"/>
          </w:tcPr>
          <w:p w14:paraId="2E7EFF45"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20</w:t>
            </w:r>
          </w:p>
        </w:tc>
      </w:tr>
      <w:tr w:rsidR="000740A4" w:rsidRPr="00EF1091" w14:paraId="35B4BD62" w14:textId="77777777" w:rsidTr="00B118AC">
        <w:trPr>
          <w:trHeight w:val="240"/>
        </w:trPr>
        <w:tc>
          <w:tcPr>
            <w:tcW w:w="3204" w:type="pct"/>
            <w:tcBorders>
              <w:top w:val="nil"/>
              <w:left w:val="nil"/>
              <w:bottom w:val="nil"/>
              <w:right w:val="nil"/>
            </w:tcBorders>
            <w:noWrap/>
            <w:vAlign w:val="bottom"/>
          </w:tcPr>
          <w:p w14:paraId="66F4D120" w14:textId="77777777" w:rsidR="000740A4" w:rsidRPr="00EF1091" w:rsidRDefault="000740A4" w:rsidP="000740A4">
            <w:pPr>
              <w:rPr>
                <w:rFonts w:ascii="Arial" w:hAnsi="Arial" w:cs="Arial"/>
                <w:sz w:val="18"/>
                <w:szCs w:val="18"/>
              </w:rPr>
            </w:pPr>
            <w:r w:rsidRPr="00EF1091">
              <w:rPr>
                <w:rFonts w:ascii="Arial" w:hAnsi="Arial" w:cs="Arial"/>
                <w:sz w:val="18"/>
                <w:szCs w:val="18"/>
              </w:rPr>
              <w:t>Investments in joint ventures and associates</w:t>
            </w:r>
          </w:p>
        </w:tc>
        <w:tc>
          <w:tcPr>
            <w:tcW w:w="403" w:type="pct"/>
            <w:tcBorders>
              <w:top w:val="nil"/>
              <w:left w:val="nil"/>
              <w:bottom w:val="nil"/>
              <w:right w:val="nil"/>
            </w:tcBorders>
            <w:noWrap/>
            <w:vAlign w:val="bottom"/>
          </w:tcPr>
          <w:p w14:paraId="5907AF16" w14:textId="77777777" w:rsidR="000740A4" w:rsidRPr="00EF1091" w:rsidRDefault="000740A4" w:rsidP="000740A4">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14:paraId="16D4BF81" w14:textId="77777777" w:rsidR="000740A4" w:rsidRPr="001F3ADA" w:rsidRDefault="000740A4" w:rsidP="000740A4">
            <w:pPr>
              <w:jc w:val="right"/>
              <w:rPr>
                <w:rFonts w:ascii="Arial" w:hAnsi="Arial" w:cs="Arial"/>
                <w:b/>
                <w:bCs/>
                <w:sz w:val="18"/>
                <w:szCs w:val="18"/>
              </w:rPr>
            </w:pPr>
            <w:r w:rsidRPr="001F3ADA">
              <w:rPr>
                <w:rFonts w:ascii="Arial" w:hAnsi="Arial" w:cs="Arial"/>
                <w:b/>
                <w:bCs/>
                <w:sz w:val="18"/>
                <w:szCs w:val="18"/>
              </w:rPr>
              <w:t>2</w:t>
            </w:r>
            <w:r w:rsidR="00AF3141" w:rsidRPr="001F3ADA">
              <w:rPr>
                <w:rFonts w:ascii="Arial" w:hAnsi="Arial" w:cs="Arial"/>
                <w:b/>
                <w:bCs/>
                <w:sz w:val="18"/>
                <w:szCs w:val="18"/>
              </w:rPr>
              <w:t>0</w:t>
            </w:r>
          </w:p>
        </w:tc>
        <w:tc>
          <w:tcPr>
            <w:tcW w:w="773" w:type="pct"/>
            <w:tcBorders>
              <w:top w:val="nil"/>
              <w:left w:val="nil"/>
              <w:bottom w:val="nil"/>
              <w:right w:val="nil"/>
            </w:tcBorders>
            <w:vAlign w:val="bottom"/>
          </w:tcPr>
          <w:p w14:paraId="7AC3698A"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25</w:t>
            </w:r>
          </w:p>
        </w:tc>
      </w:tr>
      <w:tr w:rsidR="000740A4" w:rsidRPr="00EF1091" w14:paraId="682EB2B4" w14:textId="77777777" w:rsidTr="00B118AC">
        <w:trPr>
          <w:trHeight w:val="240"/>
        </w:trPr>
        <w:tc>
          <w:tcPr>
            <w:tcW w:w="3204" w:type="pct"/>
            <w:tcBorders>
              <w:top w:val="nil"/>
              <w:left w:val="nil"/>
              <w:bottom w:val="nil"/>
              <w:right w:val="nil"/>
            </w:tcBorders>
            <w:noWrap/>
            <w:vAlign w:val="bottom"/>
          </w:tcPr>
          <w:p w14:paraId="71D221F4" w14:textId="77777777" w:rsidR="000740A4" w:rsidRPr="00EF1091" w:rsidRDefault="000740A4" w:rsidP="000740A4">
            <w:pPr>
              <w:rPr>
                <w:rFonts w:ascii="Arial" w:hAnsi="Arial" w:cs="Arial"/>
                <w:sz w:val="18"/>
                <w:szCs w:val="18"/>
              </w:rPr>
            </w:pPr>
            <w:r>
              <w:rPr>
                <w:rFonts w:ascii="Arial" w:hAnsi="Arial" w:cs="Arial"/>
                <w:sz w:val="18"/>
                <w:szCs w:val="18"/>
              </w:rPr>
              <w:t>Post-employment benefits</w:t>
            </w:r>
          </w:p>
        </w:tc>
        <w:tc>
          <w:tcPr>
            <w:tcW w:w="403" w:type="pct"/>
            <w:tcBorders>
              <w:top w:val="nil"/>
              <w:left w:val="nil"/>
              <w:bottom w:val="nil"/>
              <w:right w:val="nil"/>
            </w:tcBorders>
            <w:noWrap/>
            <w:vAlign w:val="bottom"/>
          </w:tcPr>
          <w:p w14:paraId="256D872D" w14:textId="77777777" w:rsidR="000740A4" w:rsidRPr="00EF1091" w:rsidRDefault="000740A4" w:rsidP="000740A4">
            <w:pPr>
              <w:jc w:val="center"/>
              <w:rPr>
                <w:rFonts w:ascii="Arial" w:hAnsi="Arial" w:cs="Arial"/>
                <w:sz w:val="18"/>
                <w:szCs w:val="18"/>
              </w:rPr>
            </w:pPr>
            <w:r>
              <w:rPr>
                <w:rFonts w:ascii="Arial" w:hAnsi="Arial" w:cs="Arial"/>
                <w:sz w:val="18"/>
                <w:szCs w:val="18"/>
              </w:rPr>
              <w:t>9</w:t>
            </w:r>
          </w:p>
        </w:tc>
        <w:tc>
          <w:tcPr>
            <w:tcW w:w="620" w:type="pct"/>
            <w:tcBorders>
              <w:top w:val="nil"/>
              <w:left w:val="nil"/>
              <w:bottom w:val="nil"/>
              <w:right w:val="nil"/>
            </w:tcBorders>
            <w:shd w:val="clear" w:color="auto" w:fill="FFFFFF"/>
            <w:noWrap/>
            <w:vAlign w:val="bottom"/>
          </w:tcPr>
          <w:p w14:paraId="75E794CC" w14:textId="77777777" w:rsidR="000740A4" w:rsidRPr="001F3ADA" w:rsidRDefault="00AF3141" w:rsidP="000740A4">
            <w:pPr>
              <w:jc w:val="right"/>
              <w:rPr>
                <w:rFonts w:ascii="Arial" w:hAnsi="Arial" w:cs="Arial"/>
                <w:b/>
                <w:bCs/>
                <w:sz w:val="18"/>
                <w:szCs w:val="18"/>
              </w:rPr>
            </w:pPr>
            <w:r w:rsidRPr="001F3ADA">
              <w:rPr>
                <w:rFonts w:ascii="Arial" w:hAnsi="Arial" w:cs="Arial"/>
                <w:b/>
                <w:bCs/>
                <w:sz w:val="18"/>
                <w:szCs w:val="18"/>
              </w:rPr>
              <w:t>320</w:t>
            </w:r>
          </w:p>
        </w:tc>
        <w:tc>
          <w:tcPr>
            <w:tcW w:w="773" w:type="pct"/>
            <w:tcBorders>
              <w:top w:val="nil"/>
              <w:left w:val="nil"/>
              <w:bottom w:val="nil"/>
              <w:right w:val="nil"/>
            </w:tcBorders>
            <w:vAlign w:val="bottom"/>
          </w:tcPr>
          <w:p w14:paraId="504452F0"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214</w:t>
            </w:r>
          </w:p>
        </w:tc>
      </w:tr>
      <w:tr w:rsidR="000740A4" w:rsidRPr="00EF1091" w14:paraId="0E573500" w14:textId="77777777" w:rsidTr="00B118AC">
        <w:trPr>
          <w:trHeight w:val="240"/>
        </w:trPr>
        <w:tc>
          <w:tcPr>
            <w:tcW w:w="3204" w:type="pct"/>
            <w:tcBorders>
              <w:top w:val="nil"/>
              <w:left w:val="nil"/>
              <w:bottom w:val="nil"/>
              <w:right w:val="nil"/>
            </w:tcBorders>
            <w:noWrap/>
            <w:vAlign w:val="bottom"/>
          </w:tcPr>
          <w:p w14:paraId="628A8459" w14:textId="77777777" w:rsidR="000740A4" w:rsidRPr="00B87BBF" w:rsidRDefault="000740A4" w:rsidP="000740A4">
            <w:pPr>
              <w:rPr>
                <w:rFonts w:ascii="Arial" w:hAnsi="Arial" w:cs="Arial"/>
                <w:sz w:val="18"/>
                <w:szCs w:val="18"/>
              </w:rPr>
            </w:pPr>
            <w:r w:rsidRPr="00B87BBF">
              <w:rPr>
                <w:rFonts w:ascii="Arial" w:hAnsi="Arial" w:cs="Arial"/>
                <w:sz w:val="18"/>
                <w:szCs w:val="18"/>
              </w:rPr>
              <w:t>Deferred tax assets</w:t>
            </w:r>
          </w:p>
        </w:tc>
        <w:tc>
          <w:tcPr>
            <w:tcW w:w="403" w:type="pct"/>
            <w:tcBorders>
              <w:top w:val="nil"/>
              <w:left w:val="nil"/>
              <w:bottom w:val="nil"/>
              <w:right w:val="nil"/>
            </w:tcBorders>
            <w:noWrap/>
            <w:vAlign w:val="bottom"/>
          </w:tcPr>
          <w:p w14:paraId="770425D1" w14:textId="77777777" w:rsidR="000740A4" w:rsidRPr="00B87BBF" w:rsidRDefault="000740A4" w:rsidP="000740A4">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14:paraId="752BBACF" w14:textId="77777777" w:rsidR="000740A4" w:rsidRPr="001F3ADA" w:rsidRDefault="00AF3141" w:rsidP="000740A4">
            <w:pPr>
              <w:jc w:val="right"/>
              <w:rPr>
                <w:rFonts w:ascii="Arial" w:hAnsi="Arial" w:cs="Arial"/>
                <w:b/>
                <w:bCs/>
                <w:sz w:val="18"/>
                <w:szCs w:val="18"/>
              </w:rPr>
            </w:pPr>
            <w:r w:rsidRPr="001F3ADA">
              <w:rPr>
                <w:rFonts w:ascii="Arial" w:hAnsi="Arial" w:cs="Arial"/>
                <w:b/>
                <w:bCs/>
                <w:sz w:val="18"/>
                <w:szCs w:val="18"/>
              </w:rPr>
              <w:t>9</w:t>
            </w:r>
          </w:p>
        </w:tc>
        <w:tc>
          <w:tcPr>
            <w:tcW w:w="773" w:type="pct"/>
            <w:tcBorders>
              <w:top w:val="nil"/>
              <w:left w:val="nil"/>
              <w:bottom w:val="nil"/>
              <w:right w:val="nil"/>
            </w:tcBorders>
            <w:vAlign w:val="bottom"/>
          </w:tcPr>
          <w:p w14:paraId="29AA8904"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30</w:t>
            </w:r>
          </w:p>
        </w:tc>
      </w:tr>
      <w:tr w:rsidR="000740A4" w:rsidRPr="00EF1091" w14:paraId="0DD8A68F" w14:textId="77777777" w:rsidTr="00B118AC">
        <w:trPr>
          <w:trHeight w:val="240"/>
        </w:trPr>
        <w:tc>
          <w:tcPr>
            <w:tcW w:w="3204" w:type="pct"/>
            <w:tcBorders>
              <w:top w:val="nil"/>
              <w:left w:val="nil"/>
              <w:bottom w:val="single" w:sz="4" w:space="0" w:color="auto"/>
              <w:right w:val="nil"/>
            </w:tcBorders>
            <w:noWrap/>
            <w:vAlign w:val="bottom"/>
          </w:tcPr>
          <w:p w14:paraId="4298EC9C" w14:textId="77777777" w:rsidR="000740A4" w:rsidRPr="00EF1091" w:rsidRDefault="000740A4" w:rsidP="000740A4">
            <w:pPr>
              <w:rPr>
                <w:rFonts w:ascii="Arial" w:hAnsi="Arial" w:cs="Arial"/>
                <w:sz w:val="18"/>
                <w:szCs w:val="18"/>
              </w:rPr>
            </w:pPr>
            <w:r w:rsidRPr="00EF1091">
              <w:rPr>
                <w:rFonts w:ascii="Arial" w:hAnsi="Arial" w:cs="Arial"/>
                <w:sz w:val="18"/>
                <w:szCs w:val="18"/>
              </w:rPr>
              <w:t>Other receivables</w:t>
            </w:r>
          </w:p>
        </w:tc>
        <w:tc>
          <w:tcPr>
            <w:tcW w:w="403" w:type="pct"/>
            <w:tcBorders>
              <w:top w:val="nil"/>
              <w:left w:val="nil"/>
              <w:bottom w:val="single" w:sz="4" w:space="0" w:color="auto"/>
              <w:right w:val="nil"/>
            </w:tcBorders>
            <w:noWrap/>
            <w:vAlign w:val="bottom"/>
          </w:tcPr>
          <w:p w14:paraId="7FB9EB91" w14:textId="77777777" w:rsidR="000740A4" w:rsidRPr="00EF1091" w:rsidRDefault="000740A4" w:rsidP="000740A4">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14:paraId="1A8F2425" w14:textId="77777777" w:rsidR="000740A4" w:rsidRPr="001F3ADA" w:rsidRDefault="00AF3141" w:rsidP="000740A4">
            <w:pPr>
              <w:jc w:val="right"/>
              <w:rPr>
                <w:rFonts w:ascii="Arial" w:hAnsi="Arial" w:cs="Arial"/>
                <w:b/>
                <w:bCs/>
                <w:sz w:val="18"/>
                <w:szCs w:val="18"/>
              </w:rPr>
            </w:pPr>
            <w:r w:rsidRPr="001F3ADA">
              <w:rPr>
                <w:rFonts w:ascii="Arial" w:hAnsi="Arial" w:cs="Arial"/>
                <w:b/>
                <w:bCs/>
                <w:sz w:val="18"/>
                <w:szCs w:val="18"/>
              </w:rPr>
              <w:t>10</w:t>
            </w:r>
          </w:p>
        </w:tc>
        <w:tc>
          <w:tcPr>
            <w:tcW w:w="773" w:type="pct"/>
            <w:tcBorders>
              <w:top w:val="nil"/>
              <w:left w:val="nil"/>
              <w:bottom w:val="single" w:sz="4" w:space="0" w:color="auto"/>
              <w:right w:val="nil"/>
            </w:tcBorders>
            <w:vAlign w:val="bottom"/>
          </w:tcPr>
          <w:p w14:paraId="006A6CB2"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8</w:t>
            </w:r>
          </w:p>
        </w:tc>
      </w:tr>
      <w:tr w:rsidR="000740A4" w:rsidRPr="00EF1091" w14:paraId="58AC2882" w14:textId="77777777" w:rsidTr="00B118AC">
        <w:trPr>
          <w:trHeight w:val="185"/>
        </w:trPr>
        <w:tc>
          <w:tcPr>
            <w:tcW w:w="3204" w:type="pct"/>
            <w:tcBorders>
              <w:top w:val="nil"/>
              <w:left w:val="nil"/>
              <w:bottom w:val="nil"/>
              <w:right w:val="nil"/>
            </w:tcBorders>
            <w:noWrap/>
            <w:vAlign w:val="bottom"/>
          </w:tcPr>
          <w:p w14:paraId="4B7A70C6" w14:textId="77777777" w:rsidR="000740A4" w:rsidRPr="00EF1091" w:rsidRDefault="000740A4" w:rsidP="000740A4">
            <w:pPr>
              <w:rPr>
                <w:rFonts w:ascii="Arial" w:hAnsi="Arial" w:cs="Arial"/>
                <w:sz w:val="18"/>
                <w:szCs w:val="18"/>
              </w:rPr>
            </w:pPr>
          </w:p>
        </w:tc>
        <w:tc>
          <w:tcPr>
            <w:tcW w:w="403" w:type="pct"/>
            <w:tcBorders>
              <w:top w:val="nil"/>
              <w:left w:val="nil"/>
              <w:bottom w:val="nil"/>
              <w:right w:val="nil"/>
            </w:tcBorders>
            <w:noWrap/>
            <w:vAlign w:val="bottom"/>
          </w:tcPr>
          <w:p w14:paraId="33454372" w14:textId="77777777" w:rsidR="000740A4" w:rsidRPr="00EF1091" w:rsidRDefault="000740A4" w:rsidP="000740A4">
            <w:pPr>
              <w:jc w:val="center"/>
              <w:rPr>
                <w:rFonts w:ascii="Arial" w:hAnsi="Arial" w:cs="Arial"/>
                <w:sz w:val="18"/>
                <w:szCs w:val="18"/>
              </w:rPr>
            </w:pPr>
          </w:p>
        </w:tc>
        <w:tc>
          <w:tcPr>
            <w:tcW w:w="620" w:type="pct"/>
            <w:tcBorders>
              <w:top w:val="single" w:sz="4" w:space="0" w:color="auto"/>
              <w:left w:val="nil"/>
              <w:bottom w:val="nil"/>
              <w:right w:val="nil"/>
            </w:tcBorders>
            <w:shd w:val="clear" w:color="auto" w:fill="FFFFFF"/>
            <w:noWrap/>
            <w:vAlign w:val="bottom"/>
          </w:tcPr>
          <w:p w14:paraId="0339309A" w14:textId="77777777" w:rsidR="000740A4" w:rsidRPr="001F3ADA" w:rsidRDefault="000740A4" w:rsidP="000740A4">
            <w:pPr>
              <w:jc w:val="right"/>
              <w:rPr>
                <w:rFonts w:ascii="Arial" w:hAnsi="Arial" w:cs="Arial"/>
                <w:b/>
                <w:bCs/>
                <w:sz w:val="18"/>
                <w:szCs w:val="18"/>
              </w:rPr>
            </w:pPr>
            <w:r w:rsidRPr="001F3ADA">
              <w:rPr>
                <w:rFonts w:ascii="Arial" w:hAnsi="Arial" w:cs="Arial"/>
                <w:b/>
                <w:bCs/>
                <w:sz w:val="18"/>
                <w:szCs w:val="18"/>
              </w:rPr>
              <w:t>6,</w:t>
            </w:r>
            <w:r w:rsidR="00AF3141" w:rsidRPr="001F3ADA">
              <w:rPr>
                <w:rFonts w:ascii="Arial" w:hAnsi="Arial" w:cs="Arial"/>
                <w:b/>
                <w:bCs/>
                <w:sz w:val="18"/>
                <w:szCs w:val="18"/>
              </w:rPr>
              <w:t>628</w:t>
            </w:r>
          </w:p>
        </w:tc>
        <w:tc>
          <w:tcPr>
            <w:tcW w:w="773" w:type="pct"/>
            <w:tcBorders>
              <w:top w:val="nil"/>
              <w:left w:val="nil"/>
              <w:bottom w:val="nil"/>
              <w:right w:val="nil"/>
            </w:tcBorders>
            <w:vAlign w:val="bottom"/>
          </w:tcPr>
          <w:p w14:paraId="440A42A9"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6,825</w:t>
            </w:r>
          </w:p>
        </w:tc>
      </w:tr>
      <w:tr w:rsidR="00B301D0" w:rsidRPr="00EF1091" w14:paraId="0A010F3F" w14:textId="77777777" w:rsidTr="00B118AC">
        <w:trPr>
          <w:trHeight w:val="240"/>
        </w:trPr>
        <w:tc>
          <w:tcPr>
            <w:tcW w:w="3204" w:type="pct"/>
            <w:tcBorders>
              <w:top w:val="nil"/>
              <w:left w:val="nil"/>
              <w:bottom w:val="nil"/>
              <w:right w:val="nil"/>
            </w:tcBorders>
            <w:noWrap/>
            <w:vAlign w:val="bottom"/>
          </w:tcPr>
          <w:p w14:paraId="5F9AEF46" w14:textId="77777777" w:rsidR="00B301D0" w:rsidRPr="00EF1091" w:rsidRDefault="00B301D0" w:rsidP="00B301D0">
            <w:pPr>
              <w:rPr>
                <w:rFonts w:ascii="Arial" w:hAnsi="Arial" w:cs="Arial"/>
                <w:b/>
                <w:bCs/>
                <w:sz w:val="18"/>
                <w:szCs w:val="18"/>
              </w:rPr>
            </w:pPr>
            <w:r w:rsidRPr="00EF1091">
              <w:rPr>
                <w:rFonts w:ascii="Arial" w:hAnsi="Arial" w:cs="Arial"/>
                <w:b/>
                <w:bCs/>
                <w:sz w:val="18"/>
                <w:szCs w:val="18"/>
              </w:rPr>
              <w:t>Current assets</w:t>
            </w:r>
          </w:p>
        </w:tc>
        <w:tc>
          <w:tcPr>
            <w:tcW w:w="403" w:type="pct"/>
            <w:tcBorders>
              <w:top w:val="nil"/>
              <w:left w:val="nil"/>
              <w:bottom w:val="nil"/>
              <w:right w:val="nil"/>
            </w:tcBorders>
            <w:noWrap/>
            <w:vAlign w:val="bottom"/>
          </w:tcPr>
          <w:p w14:paraId="55DA276C" w14:textId="77777777" w:rsidR="00B301D0" w:rsidRPr="00EF1091" w:rsidRDefault="00B301D0" w:rsidP="00B301D0">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14:paraId="2D272FA7" w14:textId="77777777" w:rsidR="00B301D0" w:rsidRPr="001F3ADA" w:rsidRDefault="00B301D0" w:rsidP="00B301D0">
            <w:pPr>
              <w:jc w:val="right"/>
              <w:rPr>
                <w:rFonts w:ascii="Arial" w:hAnsi="Arial" w:cs="Arial"/>
                <w:b/>
                <w:bCs/>
                <w:sz w:val="18"/>
                <w:szCs w:val="18"/>
              </w:rPr>
            </w:pPr>
          </w:p>
        </w:tc>
        <w:tc>
          <w:tcPr>
            <w:tcW w:w="773" w:type="pct"/>
            <w:tcBorders>
              <w:top w:val="nil"/>
              <w:left w:val="nil"/>
              <w:bottom w:val="nil"/>
              <w:right w:val="nil"/>
            </w:tcBorders>
            <w:vAlign w:val="bottom"/>
          </w:tcPr>
          <w:p w14:paraId="535BF634" w14:textId="77777777" w:rsidR="00B301D0" w:rsidRPr="000740A4" w:rsidRDefault="00B301D0" w:rsidP="00B301D0">
            <w:pPr>
              <w:jc w:val="right"/>
              <w:rPr>
                <w:rFonts w:ascii="Arial" w:hAnsi="Arial" w:cs="Arial"/>
                <w:bCs/>
                <w:sz w:val="18"/>
                <w:szCs w:val="18"/>
              </w:rPr>
            </w:pPr>
          </w:p>
        </w:tc>
      </w:tr>
      <w:tr w:rsidR="000740A4" w:rsidRPr="00EF1091" w14:paraId="6F1C75A6" w14:textId="77777777" w:rsidTr="00B118AC">
        <w:trPr>
          <w:trHeight w:val="240"/>
        </w:trPr>
        <w:tc>
          <w:tcPr>
            <w:tcW w:w="3204" w:type="pct"/>
            <w:tcBorders>
              <w:top w:val="nil"/>
              <w:left w:val="nil"/>
              <w:bottom w:val="nil"/>
              <w:right w:val="nil"/>
            </w:tcBorders>
            <w:noWrap/>
            <w:vAlign w:val="bottom"/>
          </w:tcPr>
          <w:p w14:paraId="65B29C02" w14:textId="77777777" w:rsidR="000740A4" w:rsidRPr="00EF1091" w:rsidRDefault="000740A4" w:rsidP="000740A4">
            <w:pPr>
              <w:rPr>
                <w:rFonts w:ascii="Arial" w:hAnsi="Arial" w:cs="Arial"/>
                <w:sz w:val="18"/>
                <w:szCs w:val="18"/>
              </w:rPr>
            </w:pPr>
            <w:r w:rsidRPr="00EF1091">
              <w:rPr>
                <w:rFonts w:ascii="Arial" w:hAnsi="Arial" w:cs="Arial"/>
                <w:sz w:val="18"/>
                <w:szCs w:val="18"/>
              </w:rPr>
              <w:t>Inventories</w:t>
            </w:r>
          </w:p>
        </w:tc>
        <w:tc>
          <w:tcPr>
            <w:tcW w:w="403" w:type="pct"/>
            <w:tcBorders>
              <w:top w:val="nil"/>
              <w:left w:val="nil"/>
              <w:bottom w:val="nil"/>
              <w:right w:val="nil"/>
            </w:tcBorders>
            <w:noWrap/>
            <w:vAlign w:val="bottom"/>
          </w:tcPr>
          <w:p w14:paraId="1017D471" w14:textId="77777777" w:rsidR="000740A4" w:rsidRPr="00EF1091" w:rsidRDefault="000740A4" w:rsidP="000740A4">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14:paraId="7D3DB31C" w14:textId="77777777" w:rsidR="000740A4" w:rsidRPr="001F3ADA" w:rsidRDefault="000740A4" w:rsidP="000740A4">
            <w:pPr>
              <w:jc w:val="right"/>
              <w:rPr>
                <w:rFonts w:ascii="Arial" w:hAnsi="Arial" w:cs="Arial"/>
                <w:b/>
                <w:bCs/>
                <w:sz w:val="18"/>
                <w:szCs w:val="18"/>
              </w:rPr>
            </w:pPr>
            <w:r w:rsidRPr="001F3ADA">
              <w:rPr>
                <w:rFonts w:ascii="Arial" w:hAnsi="Arial" w:cs="Arial"/>
                <w:b/>
                <w:bCs/>
                <w:sz w:val="18"/>
                <w:szCs w:val="18"/>
              </w:rPr>
              <w:t>2,</w:t>
            </w:r>
            <w:r w:rsidR="00AF3141" w:rsidRPr="001F3ADA">
              <w:rPr>
                <w:rFonts w:ascii="Arial" w:hAnsi="Arial" w:cs="Arial"/>
                <w:b/>
                <w:bCs/>
                <w:sz w:val="18"/>
                <w:szCs w:val="18"/>
              </w:rPr>
              <w:t>574</w:t>
            </w:r>
          </w:p>
        </w:tc>
        <w:tc>
          <w:tcPr>
            <w:tcW w:w="773" w:type="pct"/>
            <w:tcBorders>
              <w:top w:val="nil"/>
              <w:left w:val="nil"/>
              <w:bottom w:val="nil"/>
              <w:right w:val="nil"/>
            </w:tcBorders>
            <w:vAlign w:val="bottom"/>
          </w:tcPr>
          <w:p w14:paraId="430D44FD"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2,701</w:t>
            </w:r>
          </w:p>
        </w:tc>
      </w:tr>
      <w:tr w:rsidR="000740A4" w:rsidRPr="00EF1091" w14:paraId="629120C7" w14:textId="77777777" w:rsidTr="00B118AC">
        <w:trPr>
          <w:trHeight w:val="240"/>
        </w:trPr>
        <w:tc>
          <w:tcPr>
            <w:tcW w:w="3204" w:type="pct"/>
            <w:tcBorders>
              <w:top w:val="nil"/>
              <w:left w:val="nil"/>
              <w:bottom w:val="nil"/>
              <w:right w:val="nil"/>
            </w:tcBorders>
            <w:noWrap/>
            <w:vAlign w:val="bottom"/>
          </w:tcPr>
          <w:p w14:paraId="31DA560B" w14:textId="77777777" w:rsidR="000740A4" w:rsidRPr="00EF1091" w:rsidRDefault="000740A4" w:rsidP="000740A4">
            <w:pPr>
              <w:rPr>
                <w:rFonts w:ascii="Arial" w:hAnsi="Arial" w:cs="Arial"/>
                <w:sz w:val="18"/>
                <w:szCs w:val="18"/>
              </w:rPr>
            </w:pPr>
            <w:r w:rsidRPr="00EF1091">
              <w:rPr>
                <w:rFonts w:ascii="Arial" w:hAnsi="Arial" w:cs="Arial"/>
                <w:sz w:val="18"/>
                <w:szCs w:val="18"/>
              </w:rPr>
              <w:t>Trade and other receivables</w:t>
            </w:r>
          </w:p>
        </w:tc>
        <w:tc>
          <w:tcPr>
            <w:tcW w:w="403" w:type="pct"/>
            <w:tcBorders>
              <w:top w:val="nil"/>
              <w:left w:val="nil"/>
              <w:bottom w:val="nil"/>
              <w:right w:val="nil"/>
            </w:tcBorders>
            <w:noWrap/>
            <w:vAlign w:val="bottom"/>
          </w:tcPr>
          <w:p w14:paraId="2023BDD6" w14:textId="77777777" w:rsidR="000740A4" w:rsidRPr="00EF1091" w:rsidRDefault="000740A4" w:rsidP="000740A4">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14:paraId="16368C6B" w14:textId="77777777" w:rsidR="000740A4" w:rsidRPr="001F3ADA" w:rsidRDefault="00AF3141" w:rsidP="000740A4">
            <w:pPr>
              <w:jc w:val="right"/>
              <w:rPr>
                <w:rFonts w:ascii="Arial" w:hAnsi="Arial" w:cs="Arial"/>
                <w:b/>
                <w:bCs/>
                <w:sz w:val="18"/>
                <w:szCs w:val="18"/>
              </w:rPr>
            </w:pPr>
            <w:r w:rsidRPr="001F3ADA">
              <w:rPr>
                <w:rFonts w:ascii="Arial" w:hAnsi="Arial" w:cs="Arial"/>
                <w:b/>
                <w:bCs/>
                <w:sz w:val="18"/>
                <w:szCs w:val="18"/>
              </w:rPr>
              <w:t>453</w:t>
            </w:r>
          </w:p>
        </w:tc>
        <w:tc>
          <w:tcPr>
            <w:tcW w:w="773" w:type="pct"/>
            <w:tcBorders>
              <w:top w:val="nil"/>
              <w:left w:val="nil"/>
              <w:bottom w:val="nil"/>
              <w:right w:val="nil"/>
            </w:tcBorders>
            <w:vAlign w:val="bottom"/>
          </w:tcPr>
          <w:p w14:paraId="45B597E6"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550</w:t>
            </w:r>
          </w:p>
        </w:tc>
      </w:tr>
      <w:tr w:rsidR="000740A4" w:rsidRPr="00EF1091" w14:paraId="12A48BCC" w14:textId="77777777" w:rsidTr="00B118AC">
        <w:trPr>
          <w:trHeight w:val="240"/>
        </w:trPr>
        <w:tc>
          <w:tcPr>
            <w:tcW w:w="3204" w:type="pct"/>
            <w:tcBorders>
              <w:top w:val="nil"/>
              <w:left w:val="nil"/>
              <w:bottom w:val="nil"/>
              <w:right w:val="nil"/>
            </w:tcBorders>
            <w:noWrap/>
            <w:vAlign w:val="bottom"/>
          </w:tcPr>
          <w:p w14:paraId="74A36468" w14:textId="77777777" w:rsidR="000740A4" w:rsidRPr="00EF1091" w:rsidRDefault="000740A4" w:rsidP="000740A4">
            <w:pPr>
              <w:rPr>
                <w:rFonts w:ascii="Arial" w:hAnsi="Arial" w:cs="Arial"/>
                <w:sz w:val="18"/>
                <w:szCs w:val="18"/>
              </w:rPr>
            </w:pPr>
            <w:r w:rsidRPr="00E82544">
              <w:rPr>
                <w:rFonts w:ascii="Arial" w:hAnsi="Arial" w:cs="Arial"/>
                <w:sz w:val="18"/>
                <w:szCs w:val="18"/>
              </w:rPr>
              <w:t>Derivative assets</w:t>
            </w:r>
          </w:p>
        </w:tc>
        <w:tc>
          <w:tcPr>
            <w:tcW w:w="403" w:type="pct"/>
            <w:tcBorders>
              <w:top w:val="nil"/>
              <w:left w:val="nil"/>
              <w:bottom w:val="nil"/>
              <w:right w:val="nil"/>
            </w:tcBorders>
            <w:noWrap/>
            <w:vAlign w:val="bottom"/>
          </w:tcPr>
          <w:p w14:paraId="3B4FDC1F" w14:textId="77777777" w:rsidR="000740A4" w:rsidRPr="00EF1091" w:rsidRDefault="000740A4" w:rsidP="000740A4">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14:paraId="01BC724C" w14:textId="77777777" w:rsidR="000740A4" w:rsidRPr="001F3ADA" w:rsidRDefault="00DD6303" w:rsidP="000740A4">
            <w:pPr>
              <w:jc w:val="right"/>
              <w:rPr>
                <w:rFonts w:ascii="Arial" w:hAnsi="Arial" w:cs="Arial"/>
                <w:b/>
                <w:bCs/>
                <w:sz w:val="18"/>
                <w:szCs w:val="18"/>
              </w:rPr>
            </w:pPr>
            <w:r w:rsidRPr="001F3ADA">
              <w:rPr>
                <w:rFonts w:ascii="Arial" w:hAnsi="Arial" w:cs="Arial"/>
                <w:b/>
                <w:bCs/>
                <w:sz w:val="18"/>
                <w:szCs w:val="18"/>
              </w:rPr>
              <w:t>26</w:t>
            </w:r>
          </w:p>
        </w:tc>
        <w:tc>
          <w:tcPr>
            <w:tcW w:w="773" w:type="pct"/>
            <w:tcBorders>
              <w:top w:val="nil"/>
              <w:left w:val="nil"/>
              <w:bottom w:val="nil"/>
              <w:right w:val="nil"/>
            </w:tcBorders>
            <w:vAlign w:val="bottom"/>
          </w:tcPr>
          <w:p w14:paraId="357989B4"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41</w:t>
            </w:r>
          </w:p>
        </w:tc>
      </w:tr>
      <w:tr w:rsidR="000740A4" w:rsidRPr="00EF1091" w14:paraId="73351B6F" w14:textId="77777777" w:rsidTr="00B118AC">
        <w:trPr>
          <w:trHeight w:val="240"/>
        </w:trPr>
        <w:tc>
          <w:tcPr>
            <w:tcW w:w="3204" w:type="pct"/>
            <w:tcBorders>
              <w:top w:val="nil"/>
              <w:left w:val="nil"/>
              <w:bottom w:val="nil"/>
              <w:right w:val="nil"/>
            </w:tcBorders>
            <w:noWrap/>
            <w:vAlign w:val="bottom"/>
          </w:tcPr>
          <w:p w14:paraId="4D93CD93" w14:textId="77777777" w:rsidR="000740A4" w:rsidRPr="00EF1091" w:rsidRDefault="000740A4" w:rsidP="000740A4">
            <w:pPr>
              <w:rPr>
                <w:rFonts w:ascii="Arial" w:hAnsi="Arial" w:cs="Arial"/>
                <w:sz w:val="18"/>
                <w:szCs w:val="18"/>
              </w:rPr>
            </w:pPr>
            <w:r w:rsidRPr="00EF1091">
              <w:rPr>
                <w:rFonts w:ascii="Arial" w:hAnsi="Arial" w:cs="Arial"/>
                <w:sz w:val="18"/>
                <w:szCs w:val="18"/>
              </w:rPr>
              <w:t>Current tax assets</w:t>
            </w:r>
          </w:p>
        </w:tc>
        <w:tc>
          <w:tcPr>
            <w:tcW w:w="403" w:type="pct"/>
            <w:tcBorders>
              <w:top w:val="nil"/>
              <w:left w:val="nil"/>
              <w:bottom w:val="nil"/>
              <w:right w:val="nil"/>
            </w:tcBorders>
            <w:noWrap/>
            <w:vAlign w:val="bottom"/>
          </w:tcPr>
          <w:p w14:paraId="3A4270A5" w14:textId="77777777" w:rsidR="000740A4" w:rsidRPr="00EF1091" w:rsidRDefault="000740A4" w:rsidP="000740A4">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14:paraId="21E84787" w14:textId="77777777" w:rsidR="000740A4" w:rsidRPr="001F3ADA" w:rsidRDefault="00DD6303" w:rsidP="000740A4">
            <w:pPr>
              <w:jc w:val="right"/>
              <w:rPr>
                <w:rFonts w:ascii="Arial" w:hAnsi="Arial" w:cs="Arial"/>
                <w:b/>
                <w:bCs/>
                <w:sz w:val="18"/>
                <w:szCs w:val="18"/>
              </w:rPr>
            </w:pPr>
            <w:r w:rsidRPr="001F3ADA">
              <w:rPr>
                <w:rFonts w:ascii="Arial" w:hAnsi="Arial" w:cs="Arial"/>
                <w:b/>
                <w:bCs/>
                <w:sz w:val="18"/>
                <w:szCs w:val="18"/>
              </w:rPr>
              <w:t>1</w:t>
            </w:r>
          </w:p>
        </w:tc>
        <w:tc>
          <w:tcPr>
            <w:tcW w:w="773" w:type="pct"/>
            <w:tcBorders>
              <w:top w:val="nil"/>
              <w:left w:val="nil"/>
              <w:bottom w:val="nil"/>
              <w:right w:val="nil"/>
            </w:tcBorders>
            <w:vAlign w:val="bottom"/>
          </w:tcPr>
          <w:p w14:paraId="670CDADC"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w:t>
            </w:r>
          </w:p>
        </w:tc>
      </w:tr>
      <w:tr w:rsidR="00DD6303" w:rsidRPr="00EF1091" w14:paraId="6A90DB5F" w14:textId="77777777" w:rsidTr="00B118AC">
        <w:trPr>
          <w:trHeight w:val="240"/>
        </w:trPr>
        <w:tc>
          <w:tcPr>
            <w:tcW w:w="3204" w:type="pct"/>
            <w:tcBorders>
              <w:top w:val="nil"/>
              <w:left w:val="nil"/>
              <w:bottom w:val="nil"/>
              <w:right w:val="nil"/>
            </w:tcBorders>
            <w:noWrap/>
            <w:vAlign w:val="bottom"/>
          </w:tcPr>
          <w:p w14:paraId="576A78A5" w14:textId="77777777" w:rsidR="00DD6303" w:rsidRPr="00EF1091" w:rsidRDefault="00DD6303" w:rsidP="00DD6303">
            <w:pPr>
              <w:rPr>
                <w:rFonts w:ascii="Arial" w:hAnsi="Arial" w:cs="Arial"/>
                <w:sz w:val="18"/>
                <w:szCs w:val="18"/>
              </w:rPr>
            </w:pPr>
            <w:r w:rsidRPr="00EF1091">
              <w:rPr>
                <w:rFonts w:ascii="Arial" w:hAnsi="Arial" w:cs="Arial"/>
                <w:sz w:val="18"/>
                <w:szCs w:val="18"/>
              </w:rPr>
              <w:t>Cash and cash equivalents</w:t>
            </w:r>
          </w:p>
        </w:tc>
        <w:tc>
          <w:tcPr>
            <w:tcW w:w="403" w:type="pct"/>
            <w:tcBorders>
              <w:top w:val="nil"/>
              <w:left w:val="nil"/>
              <w:bottom w:val="nil"/>
              <w:right w:val="nil"/>
            </w:tcBorders>
            <w:noWrap/>
            <w:vAlign w:val="bottom"/>
          </w:tcPr>
          <w:p w14:paraId="2AA32D95" w14:textId="77777777" w:rsidR="00DD6303" w:rsidRPr="00EF1091" w:rsidRDefault="00DD6303" w:rsidP="00DD6303">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14:paraId="51186639" w14:textId="77777777"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229</w:t>
            </w:r>
          </w:p>
        </w:tc>
        <w:tc>
          <w:tcPr>
            <w:tcW w:w="773" w:type="pct"/>
            <w:tcBorders>
              <w:top w:val="nil"/>
              <w:left w:val="nil"/>
              <w:bottom w:val="nil"/>
              <w:right w:val="nil"/>
            </w:tcBorders>
            <w:vAlign w:val="bottom"/>
          </w:tcPr>
          <w:p w14:paraId="30168248"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230</w:t>
            </w:r>
          </w:p>
        </w:tc>
      </w:tr>
      <w:tr w:rsidR="00DD6303" w:rsidRPr="00EF1091" w14:paraId="24DA783A" w14:textId="77777777" w:rsidTr="0081484D">
        <w:trPr>
          <w:trHeight w:val="240"/>
        </w:trPr>
        <w:tc>
          <w:tcPr>
            <w:tcW w:w="3204" w:type="pct"/>
            <w:tcBorders>
              <w:top w:val="nil"/>
              <w:left w:val="nil"/>
              <w:bottom w:val="single" w:sz="4" w:space="0" w:color="auto"/>
              <w:right w:val="nil"/>
            </w:tcBorders>
            <w:noWrap/>
            <w:vAlign w:val="bottom"/>
          </w:tcPr>
          <w:p w14:paraId="523CB5D6" w14:textId="77777777" w:rsidR="00DD6303" w:rsidRPr="00EF1091" w:rsidRDefault="00DD6303" w:rsidP="00DD6303">
            <w:pPr>
              <w:rPr>
                <w:rFonts w:ascii="Arial" w:hAnsi="Arial" w:cs="Arial"/>
                <w:sz w:val="18"/>
                <w:szCs w:val="18"/>
              </w:rPr>
            </w:pPr>
            <w:r>
              <w:rPr>
                <w:rFonts w:ascii="Arial" w:hAnsi="Arial" w:cs="Arial"/>
                <w:sz w:val="18"/>
                <w:szCs w:val="18"/>
              </w:rPr>
              <w:t>Assets held for sale</w:t>
            </w:r>
          </w:p>
        </w:tc>
        <w:tc>
          <w:tcPr>
            <w:tcW w:w="403" w:type="pct"/>
            <w:tcBorders>
              <w:top w:val="nil"/>
              <w:left w:val="nil"/>
              <w:bottom w:val="single" w:sz="4" w:space="0" w:color="auto"/>
              <w:right w:val="nil"/>
            </w:tcBorders>
            <w:noWrap/>
            <w:vAlign w:val="bottom"/>
          </w:tcPr>
          <w:p w14:paraId="7E18A2E9" w14:textId="77777777" w:rsidR="00DD6303" w:rsidRPr="00EF1091" w:rsidRDefault="00DD6303" w:rsidP="00DD6303">
            <w:pPr>
              <w:jc w:val="center"/>
              <w:rPr>
                <w:rFonts w:ascii="Arial" w:hAnsi="Arial" w:cs="Arial"/>
                <w:sz w:val="18"/>
                <w:szCs w:val="18"/>
              </w:rPr>
            </w:pPr>
          </w:p>
        </w:tc>
        <w:tc>
          <w:tcPr>
            <w:tcW w:w="620" w:type="pct"/>
            <w:tcBorders>
              <w:top w:val="nil"/>
              <w:left w:val="nil"/>
              <w:bottom w:val="single" w:sz="4" w:space="0" w:color="auto"/>
              <w:right w:val="nil"/>
            </w:tcBorders>
            <w:shd w:val="clear" w:color="auto" w:fill="FFFFFF"/>
            <w:noWrap/>
            <w:vAlign w:val="bottom"/>
          </w:tcPr>
          <w:p w14:paraId="122ED27D" w14:textId="77777777"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89</w:t>
            </w:r>
          </w:p>
        </w:tc>
        <w:tc>
          <w:tcPr>
            <w:tcW w:w="773" w:type="pct"/>
            <w:tcBorders>
              <w:top w:val="nil"/>
              <w:left w:val="nil"/>
              <w:bottom w:val="single" w:sz="4" w:space="0" w:color="auto"/>
              <w:right w:val="nil"/>
            </w:tcBorders>
            <w:vAlign w:val="bottom"/>
          </w:tcPr>
          <w:p w14:paraId="294DB30B"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w:t>
            </w:r>
          </w:p>
        </w:tc>
      </w:tr>
      <w:tr w:rsidR="00DD6303" w:rsidRPr="00EF1091" w14:paraId="28CBCE4C" w14:textId="77777777" w:rsidTr="0081484D">
        <w:trPr>
          <w:trHeight w:val="240"/>
        </w:trPr>
        <w:tc>
          <w:tcPr>
            <w:tcW w:w="3204" w:type="pct"/>
            <w:tcBorders>
              <w:top w:val="single" w:sz="4" w:space="0" w:color="auto"/>
              <w:left w:val="nil"/>
              <w:bottom w:val="single" w:sz="4" w:space="0" w:color="auto"/>
              <w:right w:val="nil"/>
            </w:tcBorders>
            <w:noWrap/>
            <w:vAlign w:val="bottom"/>
          </w:tcPr>
          <w:p w14:paraId="6C430AA1" w14:textId="77777777" w:rsidR="00DD6303" w:rsidRPr="00EF1091" w:rsidRDefault="00DD6303" w:rsidP="00DD6303">
            <w:pPr>
              <w:rPr>
                <w:rFonts w:ascii="Arial" w:hAnsi="Arial" w:cs="Arial"/>
                <w:sz w:val="18"/>
                <w:szCs w:val="18"/>
              </w:rPr>
            </w:pPr>
            <w:r w:rsidRPr="00EF1091">
              <w:rPr>
                <w:rFonts w:ascii="Arial" w:hAnsi="Arial" w:cs="Arial"/>
                <w:sz w:val="18"/>
                <w:szCs w:val="18"/>
              </w:rPr>
              <w:t> </w:t>
            </w:r>
          </w:p>
        </w:tc>
        <w:tc>
          <w:tcPr>
            <w:tcW w:w="403" w:type="pct"/>
            <w:tcBorders>
              <w:top w:val="single" w:sz="4" w:space="0" w:color="auto"/>
              <w:left w:val="nil"/>
              <w:bottom w:val="single" w:sz="4" w:space="0" w:color="auto"/>
              <w:right w:val="nil"/>
            </w:tcBorders>
            <w:noWrap/>
            <w:vAlign w:val="bottom"/>
          </w:tcPr>
          <w:p w14:paraId="62FBC037" w14:textId="77777777" w:rsidR="00DD6303" w:rsidRPr="00EF1091" w:rsidRDefault="00DD6303" w:rsidP="00DD6303">
            <w:pPr>
              <w:jc w:val="center"/>
              <w:rPr>
                <w:rFonts w:ascii="Arial" w:hAnsi="Arial" w:cs="Arial"/>
                <w:sz w:val="18"/>
                <w:szCs w:val="18"/>
              </w:rPr>
            </w:pPr>
          </w:p>
        </w:tc>
        <w:tc>
          <w:tcPr>
            <w:tcW w:w="620" w:type="pct"/>
            <w:tcBorders>
              <w:top w:val="single" w:sz="4" w:space="0" w:color="auto"/>
              <w:left w:val="nil"/>
              <w:bottom w:val="single" w:sz="4" w:space="0" w:color="auto"/>
              <w:right w:val="nil"/>
            </w:tcBorders>
            <w:shd w:val="clear" w:color="auto" w:fill="FFFFFF"/>
            <w:noWrap/>
            <w:vAlign w:val="bottom"/>
          </w:tcPr>
          <w:p w14:paraId="6F09F663" w14:textId="77777777"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3,372</w:t>
            </w:r>
          </w:p>
        </w:tc>
        <w:tc>
          <w:tcPr>
            <w:tcW w:w="773" w:type="pct"/>
            <w:tcBorders>
              <w:top w:val="single" w:sz="4" w:space="0" w:color="auto"/>
              <w:left w:val="nil"/>
              <w:bottom w:val="single" w:sz="4" w:space="0" w:color="auto"/>
              <w:right w:val="nil"/>
            </w:tcBorders>
            <w:vAlign w:val="bottom"/>
          </w:tcPr>
          <w:p w14:paraId="6C3E3032"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3,522</w:t>
            </w:r>
          </w:p>
        </w:tc>
      </w:tr>
      <w:tr w:rsidR="00DD6303" w:rsidRPr="00EF1091" w14:paraId="42C1A571" w14:textId="77777777" w:rsidTr="00B118AC">
        <w:trPr>
          <w:trHeight w:val="240"/>
        </w:trPr>
        <w:tc>
          <w:tcPr>
            <w:tcW w:w="3204" w:type="pct"/>
            <w:tcBorders>
              <w:top w:val="single" w:sz="4" w:space="0" w:color="auto"/>
              <w:left w:val="nil"/>
              <w:bottom w:val="nil"/>
              <w:right w:val="nil"/>
            </w:tcBorders>
            <w:noWrap/>
            <w:vAlign w:val="bottom"/>
          </w:tcPr>
          <w:p w14:paraId="2DB61540" w14:textId="77777777" w:rsidR="00DD6303" w:rsidRPr="00EF1091" w:rsidRDefault="00DD6303" w:rsidP="00DD6303">
            <w:pPr>
              <w:rPr>
                <w:rFonts w:ascii="Arial" w:hAnsi="Arial" w:cs="Arial"/>
                <w:b/>
                <w:bCs/>
                <w:sz w:val="18"/>
                <w:szCs w:val="18"/>
              </w:rPr>
            </w:pPr>
            <w:r w:rsidRPr="00EF1091">
              <w:rPr>
                <w:rFonts w:ascii="Arial" w:hAnsi="Arial" w:cs="Arial"/>
                <w:b/>
                <w:bCs/>
                <w:sz w:val="18"/>
                <w:szCs w:val="18"/>
              </w:rPr>
              <w:t>Total assets</w:t>
            </w:r>
          </w:p>
        </w:tc>
        <w:tc>
          <w:tcPr>
            <w:tcW w:w="403" w:type="pct"/>
            <w:tcBorders>
              <w:top w:val="single" w:sz="4" w:space="0" w:color="auto"/>
              <w:left w:val="nil"/>
              <w:bottom w:val="nil"/>
              <w:right w:val="nil"/>
            </w:tcBorders>
            <w:noWrap/>
            <w:vAlign w:val="bottom"/>
          </w:tcPr>
          <w:p w14:paraId="3D59F159" w14:textId="77777777" w:rsidR="00DD6303" w:rsidRPr="00EF1091" w:rsidRDefault="00DD6303" w:rsidP="00DD6303">
            <w:pPr>
              <w:jc w:val="center"/>
              <w:rPr>
                <w:rFonts w:ascii="Arial" w:hAnsi="Arial" w:cs="Arial"/>
                <w:sz w:val="18"/>
                <w:szCs w:val="18"/>
              </w:rPr>
            </w:pPr>
          </w:p>
        </w:tc>
        <w:tc>
          <w:tcPr>
            <w:tcW w:w="620" w:type="pct"/>
            <w:tcBorders>
              <w:top w:val="nil"/>
              <w:left w:val="nil"/>
              <w:bottom w:val="nil"/>
              <w:right w:val="nil"/>
            </w:tcBorders>
            <w:shd w:val="clear" w:color="auto" w:fill="FFFFFF"/>
            <w:noWrap/>
            <w:vAlign w:val="bottom"/>
          </w:tcPr>
          <w:p w14:paraId="3E8CA68B" w14:textId="77777777"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10,000</w:t>
            </w:r>
          </w:p>
        </w:tc>
        <w:tc>
          <w:tcPr>
            <w:tcW w:w="773" w:type="pct"/>
            <w:tcBorders>
              <w:top w:val="single" w:sz="4" w:space="0" w:color="auto"/>
              <w:left w:val="nil"/>
              <w:bottom w:val="nil"/>
              <w:right w:val="nil"/>
            </w:tcBorders>
            <w:vAlign w:val="bottom"/>
          </w:tcPr>
          <w:p w14:paraId="34DDF9B7"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10,347</w:t>
            </w:r>
          </w:p>
        </w:tc>
      </w:tr>
      <w:tr w:rsidR="00DD6303" w:rsidRPr="00EF1091" w14:paraId="7F5E474F" w14:textId="77777777" w:rsidTr="00150F22">
        <w:trPr>
          <w:trHeight w:val="80"/>
        </w:trPr>
        <w:tc>
          <w:tcPr>
            <w:tcW w:w="3204" w:type="pct"/>
            <w:tcBorders>
              <w:top w:val="nil"/>
              <w:left w:val="nil"/>
              <w:bottom w:val="nil"/>
              <w:right w:val="nil"/>
            </w:tcBorders>
            <w:noWrap/>
            <w:vAlign w:val="bottom"/>
          </w:tcPr>
          <w:p w14:paraId="19F4B03A" w14:textId="77777777" w:rsidR="00DD6303" w:rsidRPr="00EF1091" w:rsidRDefault="00DD6303" w:rsidP="00DD6303">
            <w:pPr>
              <w:rPr>
                <w:rFonts w:ascii="Arial" w:hAnsi="Arial" w:cs="Arial"/>
                <w:sz w:val="18"/>
                <w:szCs w:val="18"/>
              </w:rPr>
            </w:pPr>
          </w:p>
        </w:tc>
        <w:tc>
          <w:tcPr>
            <w:tcW w:w="403" w:type="pct"/>
            <w:tcBorders>
              <w:top w:val="nil"/>
              <w:left w:val="nil"/>
              <w:bottom w:val="nil"/>
              <w:right w:val="nil"/>
            </w:tcBorders>
            <w:noWrap/>
            <w:vAlign w:val="bottom"/>
          </w:tcPr>
          <w:p w14:paraId="5B19622F" w14:textId="77777777" w:rsidR="00DD6303" w:rsidRPr="00EF1091" w:rsidRDefault="00DD6303" w:rsidP="00DD6303">
            <w:pPr>
              <w:jc w:val="center"/>
              <w:rPr>
                <w:rFonts w:ascii="Arial" w:hAnsi="Arial" w:cs="Arial"/>
                <w:sz w:val="18"/>
                <w:szCs w:val="18"/>
              </w:rPr>
            </w:pPr>
          </w:p>
        </w:tc>
        <w:tc>
          <w:tcPr>
            <w:tcW w:w="620" w:type="pct"/>
            <w:tcBorders>
              <w:top w:val="nil"/>
              <w:left w:val="nil"/>
              <w:bottom w:val="nil"/>
              <w:right w:val="nil"/>
            </w:tcBorders>
            <w:noWrap/>
            <w:vAlign w:val="bottom"/>
          </w:tcPr>
          <w:p w14:paraId="77D878FE" w14:textId="77777777" w:rsidR="00DD6303" w:rsidRPr="001F3ADA" w:rsidRDefault="00DD6303" w:rsidP="00DD6303">
            <w:pPr>
              <w:jc w:val="right"/>
              <w:rPr>
                <w:rFonts w:ascii="Arial" w:hAnsi="Arial" w:cs="Arial"/>
                <w:b/>
                <w:bCs/>
                <w:sz w:val="18"/>
                <w:szCs w:val="18"/>
              </w:rPr>
            </w:pPr>
          </w:p>
        </w:tc>
        <w:tc>
          <w:tcPr>
            <w:tcW w:w="773" w:type="pct"/>
            <w:tcBorders>
              <w:top w:val="nil"/>
              <w:left w:val="nil"/>
              <w:bottom w:val="nil"/>
              <w:right w:val="nil"/>
            </w:tcBorders>
            <w:vAlign w:val="bottom"/>
          </w:tcPr>
          <w:p w14:paraId="46A692E5" w14:textId="77777777" w:rsidR="00DD6303" w:rsidRPr="00B301D0" w:rsidRDefault="00DD6303" w:rsidP="00DD6303">
            <w:pPr>
              <w:jc w:val="right"/>
              <w:rPr>
                <w:rFonts w:ascii="Arial" w:hAnsi="Arial" w:cs="Arial"/>
                <w:bCs/>
                <w:sz w:val="18"/>
                <w:szCs w:val="18"/>
              </w:rPr>
            </w:pPr>
          </w:p>
        </w:tc>
      </w:tr>
      <w:tr w:rsidR="00DD6303" w:rsidRPr="00EF1091" w14:paraId="120552FE" w14:textId="77777777" w:rsidTr="00150F22">
        <w:trPr>
          <w:trHeight w:val="240"/>
        </w:trPr>
        <w:tc>
          <w:tcPr>
            <w:tcW w:w="3204" w:type="pct"/>
            <w:tcBorders>
              <w:top w:val="nil"/>
              <w:left w:val="nil"/>
              <w:bottom w:val="nil"/>
              <w:right w:val="nil"/>
            </w:tcBorders>
            <w:noWrap/>
            <w:vAlign w:val="bottom"/>
          </w:tcPr>
          <w:p w14:paraId="5EE2A605" w14:textId="77777777" w:rsidR="00DD6303" w:rsidRPr="00EF1091" w:rsidRDefault="00DD6303" w:rsidP="00DD6303">
            <w:pPr>
              <w:rPr>
                <w:rFonts w:ascii="Arial" w:hAnsi="Arial" w:cs="Arial"/>
                <w:b/>
                <w:bCs/>
                <w:sz w:val="18"/>
                <w:szCs w:val="18"/>
              </w:rPr>
            </w:pPr>
            <w:r w:rsidRPr="00EF1091">
              <w:rPr>
                <w:rFonts w:ascii="Arial" w:hAnsi="Arial" w:cs="Arial"/>
                <w:b/>
                <w:bCs/>
                <w:sz w:val="18"/>
                <w:szCs w:val="18"/>
              </w:rPr>
              <w:t>Current liabilities</w:t>
            </w:r>
          </w:p>
        </w:tc>
        <w:tc>
          <w:tcPr>
            <w:tcW w:w="403" w:type="pct"/>
            <w:tcBorders>
              <w:top w:val="nil"/>
              <w:left w:val="nil"/>
              <w:bottom w:val="nil"/>
              <w:right w:val="nil"/>
            </w:tcBorders>
            <w:noWrap/>
            <w:vAlign w:val="bottom"/>
          </w:tcPr>
          <w:p w14:paraId="380805A1" w14:textId="77777777" w:rsidR="00DD6303" w:rsidRPr="00EF1091" w:rsidRDefault="00DD6303" w:rsidP="00DD6303">
            <w:pPr>
              <w:jc w:val="center"/>
              <w:rPr>
                <w:rFonts w:ascii="Arial" w:hAnsi="Arial" w:cs="Arial"/>
                <w:sz w:val="18"/>
                <w:szCs w:val="18"/>
              </w:rPr>
            </w:pPr>
          </w:p>
        </w:tc>
        <w:tc>
          <w:tcPr>
            <w:tcW w:w="620" w:type="pct"/>
            <w:tcBorders>
              <w:top w:val="nil"/>
              <w:left w:val="nil"/>
              <w:bottom w:val="nil"/>
              <w:right w:val="nil"/>
            </w:tcBorders>
            <w:noWrap/>
            <w:vAlign w:val="bottom"/>
          </w:tcPr>
          <w:p w14:paraId="26CCB5F9" w14:textId="77777777" w:rsidR="00DD6303" w:rsidRPr="001F3ADA" w:rsidRDefault="00DD6303" w:rsidP="00DD6303">
            <w:pPr>
              <w:jc w:val="right"/>
              <w:rPr>
                <w:rFonts w:ascii="Arial" w:hAnsi="Arial" w:cs="Arial"/>
                <w:b/>
                <w:bCs/>
                <w:sz w:val="18"/>
                <w:szCs w:val="18"/>
              </w:rPr>
            </w:pPr>
          </w:p>
        </w:tc>
        <w:tc>
          <w:tcPr>
            <w:tcW w:w="773" w:type="pct"/>
            <w:tcBorders>
              <w:top w:val="nil"/>
              <w:left w:val="nil"/>
              <w:bottom w:val="nil"/>
              <w:right w:val="nil"/>
            </w:tcBorders>
            <w:vAlign w:val="bottom"/>
          </w:tcPr>
          <w:p w14:paraId="166DEC0C" w14:textId="77777777" w:rsidR="00DD6303" w:rsidRPr="00B301D0" w:rsidRDefault="00DD6303" w:rsidP="00DD6303">
            <w:pPr>
              <w:jc w:val="right"/>
              <w:rPr>
                <w:rFonts w:ascii="Arial" w:hAnsi="Arial" w:cs="Arial"/>
                <w:bCs/>
                <w:sz w:val="18"/>
                <w:szCs w:val="18"/>
              </w:rPr>
            </w:pPr>
          </w:p>
        </w:tc>
      </w:tr>
      <w:tr w:rsidR="00DD6303" w:rsidRPr="00EF1091" w14:paraId="259517FF" w14:textId="77777777" w:rsidTr="00150F22">
        <w:trPr>
          <w:trHeight w:val="240"/>
        </w:trPr>
        <w:tc>
          <w:tcPr>
            <w:tcW w:w="3204" w:type="pct"/>
            <w:tcBorders>
              <w:top w:val="nil"/>
              <w:left w:val="nil"/>
              <w:bottom w:val="nil"/>
              <w:right w:val="nil"/>
            </w:tcBorders>
            <w:noWrap/>
            <w:vAlign w:val="bottom"/>
          </w:tcPr>
          <w:p w14:paraId="714D8A73" w14:textId="77777777" w:rsidR="00DD6303" w:rsidRPr="00EF1091" w:rsidRDefault="00DD6303" w:rsidP="00DD6303">
            <w:pPr>
              <w:rPr>
                <w:rFonts w:ascii="Arial" w:hAnsi="Arial" w:cs="Arial"/>
                <w:sz w:val="18"/>
                <w:szCs w:val="18"/>
              </w:rPr>
            </w:pPr>
            <w:r w:rsidRPr="00EF1091">
              <w:rPr>
                <w:rFonts w:ascii="Arial" w:hAnsi="Arial" w:cs="Arial"/>
                <w:sz w:val="18"/>
                <w:szCs w:val="18"/>
              </w:rPr>
              <w:t>Trade and other payables</w:t>
            </w:r>
          </w:p>
        </w:tc>
        <w:tc>
          <w:tcPr>
            <w:tcW w:w="403" w:type="pct"/>
            <w:tcBorders>
              <w:top w:val="nil"/>
              <w:left w:val="nil"/>
              <w:bottom w:val="nil"/>
              <w:right w:val="nil"/>
            </w:tcBorders>
            <w:noWrap/>
            <w:vAlign w:val="bottom"/>
          </w:tcPr>
          <w:p w14:paraId="46C5561D" w14:textId="77777777" w:rsidR="00DD6303" w:rsidRPr="00EF1091" w:rsidRDefault="00DD6303" w:rsidP="00DD6303">
            <w:pPr>
              <w:jc w:val="center"/>
              <w:rPr>
                <w:rFonts w:ascii="Arial" w:hAnsi="Arial" w:cs="Arial"/>
                <w:sz w:val="18"/>
                <w:szCs w:val="18"/>
              </w:rPr>
            </w:pPr>
          </w:p>
        </w:tc>
        <w:tc>
          <w:tcPr>
            <w:tcW w:w="620" w:type="pct"/>
            <w:tcBorders>
              <w:top w:val="nil"/>
              <w:left w:val="nil"/>
              <w:bottom w:val="nil"/>
              <w:right w:val="nil"/>
            </w:tcBorders>
            <w:noWrap/>
            <w:vAlign w:val="bottom"/>
          </w:tcPr>
          <w:p w14:paraId="1B856596" w14:textId="77777777"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(2,444)</w:t>
            </w:r>
          </w:p>
        </w:tc>
        <w:tc>
          <w:tcPr>
            <w:tcW w:w="773" w:type="pct"/>
            <w:tcBorders>
              <w:top w:val="nil"/>
              <w:left w:val="nil"/>
              <w:bottom w:val="nil"/>
              <w:right w:val="nil"/>
            </w:tcBorders>
            <w:vAlign w:val="bottom"/>
          </w:tcPr>
          <w:p w14:paraId="6796F72B"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(2,666)</w:t>
            </w:r>
          </w:p>
        </w:tc>
      </w:tr>
      <w:tr w:rsidR="00DD6303" w:rsidRPr="00EF1091" w14:paraId="20BEC05B" w14:textId="77777777" w:rsidTr="00150F22">
        <w:trPr>
          <w:trHeight w:val="240"/>
        </w:trPr>
        <w:tc>
          <w:tcPr>
            <w:tcW w:w="3204" w:type="pct"/>
            <w:tcBorders>
              <w:top w:val="nil"/>
              <w:left w:val="nil"/>
              <w:bottom w:val="nil"/>
              <w:right w:val="nil"/>
            </w:tcBorders>
            <w:noWrap/>
            <w:vAlign w:val="bottom"/>
          </w:tcPr>
          <w:p w14:paraId="63C65046" w14:textId="77777777" w:rsidR="00DD6303" w:rsidRPr="00E82544" w:rsidRDefault="00DD6303" w:rsidP="00DD6303">
            <w:pPr>
              <w:rPr>
                <w:rFonts w:ascii="Arial" w:hAnsi="Arial" w:cs="Arial"/>
                <w:sz w:val="18"/>
                <w:szCs w:val="18"/>
              </w:rPr>
            </w:pPr>
            <w:r w:rsidRPr="00E82544">
              <w:rPr>
                <w:rFonts w:ascii="Arial" w:hAnsi="Arial" w:cs="Arial"/>
                <w:sz w:val="18"/>
                <w:szCs w:val="18"/>
              </w:rPr>
              <w:t>Borrowings</w:t>
            </w:r>
          </w:p>
        </w:tc>
        <w:tc>
          <w:tcPr>
            <w:tcW w:w="403" w:type="pct"/>
            <w:tcBorders>
              <w:top w:val="nil"/>
              <w:left w:val="nil"/>
              <w:bottom w:val="nil"/>
              <w:right w:val="nil"/>
            </w:tcBorders>
            <w:noWrap/>
            <w:vAlign w:val="bottom"/>
          </w:tcPr>
          <w:p w14:paraId="4A0287F0" w14:textId="77777777" w:rsidR="00DD6303" w:rsidRPr="00EF1091" w:rsidRDefault="00DD6303" w:rsidP="00DD6303">
            <w:pPr>
              <w:jc w:val="center"/>
              <w:rPr>
                <w:rFonts w:ascii="Arial" w:hAnsi="Arial" w:cs="Arial"/>
                <w:sz w:val="18"/>
                <w:szCs w:val="18"/>
              </w:rPr>
            </w:pPr>
          </w:p>
        </w:tc>
        <w:tc>
          <w:tcPr>
            <w:tcW w:w="620" w:type="pct"/>
            <w:tcBorders>
              <w:top w:val="nil"/>
              <w:left w:val="nil"/>
              <w:bottom w:val="nil"/>
              <w:right w:val="nil"/>
            </w:tcBorders>
            <w:noWrap/>
            <w:vAlign w:val="bottom"/>
          </w:tcPr>
          <w:p w14:paraId="5E25DB5A" w14:textId="07692C72"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(1</w:t>
            </w:r>
            <w:r w:rsidR="00A34E66">
              <w:rPr>
                <w:rFonts w:ascii="Arial" w:hAnsi="Arial" w:cs="Arial"/>
                <w:b/>
                <w:bCs/>
                <w:sz w:val="18"/>
                <w:szCs w:val="18"/>
              </w:rPr>
              <w:t>4</w:t>
            </w:r>
            <w:r w:rsidRPr="001F3ADA">
              <w:rPr>
                <w:rFonts w:ascii="Arial" w:hAnsi="Arial" w:cs="Arial"/>
                <w:b/>
                <w:bCs/>
                <w:sz w:val="18"/>
                <w:szCs w:val="18"/>
              </w:rPr>
              <w:t>)</w:t>
            </w:r>
          </w:p>
        </w:tc>
        <w:tc>
          <w:tcPr>
            <w:tcW w:w="773" w:type="pct"/>
            <w:tcBorders>
              <w:top w:val="nil"/>
              <w:left w:val="nil"/>
              <w:bottom w:val="nil"/>
              <w:right w:val="nil"/>
            </w:tcBorders>
            <w:vAlign w:val="bottom"/>
          </w:tcPr>
          <w:p w14:paraId="6D5CEB60"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(140)</w:t>
            </w:r>
          </w:p>
        </w:tc>
      </w:tr>
      <w:tr w:rsidR="00DD6303" w:rsidRPr="00EF1091" w14:paraId="40E44EAC" w14:textId="77777777" w:rsidTr="00150F22">
        <w:trPr>
          <w:trHeight w:val="240"/>
        </w:trPr>
        <w:tc>
          <w:tcPr>
            <w:tcW w:w="3204" w:type="pct"/>
            <w:tcBorders>
              <w:top w:val="nil"/>
              <w:left w:val="nil"/>
              <w:bottom w:val="nil"/>
              <w:right w:val="nil"/>
            </w:tcBorders>
            <w:noWrap/>
            <w:vAlign w:val="bottom"/>
          </w:tcPr>
          <w:p w14:paraId="50E62DE9" w14:textId="77777777" w:rsidR="00DD6303" w:rsidRPr="00E82544" w:rsidRDefault="00DD6303" w:rsidP="00DD6303">
            <w:pPr>
              <w:rPr>
                <w:rFonts w:ascii="Arial" w:hAnsi="Arial" w:cs="Arial"/>
                <w:sz w:val="18"/>
                <w:szCs w:val="18"/>
              </w:rPr>
            </w:pPr>
            <w:r w:rsidRPr="00E82544">
              <w:rPr>
                <w:rFonts w:ascii="Arial" w:hAnsi="Arial" w:cs="Arial"/>
                <w:sz w:val="18"/>
                <w:szCs w:val="18"/>
              </w:rPr>
              <w:t>Derivative liabilities</w:t>
            </w:r>
          </w:p>
        </w:tc>
        <w:tc>
          <w:tcPr>
            <w:tcW w:w="403" w:type="pct"/>
            <w:tcBorders>
              <w:top w:val="nil"/>
              <w:left w:val="nil"/>
              <w:bottom w:val="nil"/>
              <w:right w:val="nil"/>
            </w:tcBorders>
            <w:noWrap/>
            <w:vAlign w:val="bottom"/>
          </w:tcPr>
          <w:p w14:paraId="297C2F18" w14:textId="77777777" w:rsidR="00DD6303" w:rsidRPr="00EF1091" w:rsidRDefault="00DD6303" w:rsidP="00DD6303">
            <w:pPr>
              <w:jc w:val="center"/>
              <w:rPr>
                <w:rFonts w:ascii="Arial" w:hAnsi="Arial" w:cs="Arial"/>
                <w:sz w:val="18"/>
                <w:szCs w:val="18"/>
              </w:rPr>
            </w:pPr>
          </w:p>
        </w:tc>
        <w:tc>
          <w:tcPr>
            <w:tcW w:w="620" w:type="pct"/>
            <w:tcBorders>
              <w:top w:val="nil"/>
              <w:left w:val="nil"/>
              <w:bottom w:val="nil"/>
              <w:right w:val="nil"/>
            </w:tcBorders>
            <w:noWrap/>
            <w:vAlign w:val="bottom"/>
          </w:tcPr>
          <w:p w14:paraId="1C277154" w14:textId="77777777"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(21)</w:t>
            </w:r>
          </w:p>
        </w:tc>
        <w:tc>
          <w:tcPr>
            <w:tcW w:w="773" w:type="pct"/>
            <w:tcBorders>
              <w:top w:val="nil"/>
              <w:left w:val="nil"/>
              <w:bottom w:val="nil"/>
              <w:right w:val="nil"/>
            </w:tcBorders>
            <w:vAlign w:val="bottom"/>
          </w:tcPr>
          <w:p w14:paraId="3033738A"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(79)</w:t>
            </w:r>
          </w:p>
        </w:tc>
      </w:tr>
      <w:tr w:rsidR="00DD6303" w:rsidRPr="00EF1091" w14:paraId="5F5CE1E6" w14:textId="77777777" w:rsidTr="00877634">
        <w:trPr>
          <w:trHeight w:val="240"/>
        </w:trPr>
        <w:tc>
          <w:tcPr>
            <w:tcW w:w="3204" w:type="pct"/>
            <w:tcBorders>
              <w:top w:val="nil"/>
              <w:left w:val="nil"/>
              <w:right w:val="nil"/>
            </w:tcBorders>
            <w:noWrap/>
            <w:vAlign w:val="bottom"/>
          </w:tcPr>
          <w:p w14:paraId="11AAF8A6" w14:textId="77777777" w:rsidR="00DD6303" w:rsidRPr="00EF1091" w:rsidRDefault="00DD6303" w:rsidP="00DD6303">
            <w:pPr>
              <w:rPr>
                <w:rFonts w:ascii="Arial" w:hAnsi="Arial" w:cs="Arial"/>
                <w:sz w:val="18"/>
                <w:szCs w:val="18"/>
              </w:rPr>
            </w:pPr>
            <w:r w:rsidRPr="00EF1091">
              <w:rPr>
                <w:rFonts w:ascii="Arial" w:hAnsi="Arial" w:cs="Arial"/>
                <w:sz w:val="18"/>
                <w:szCs w:val="18"/>
              </w:rPr>
              <w:t>Current tax liabilities</w:t>
            </w:r>
          </w:p>
        </w:tc>
        <w:tc>
          <w:tcPr>
            <w:tcW w:w="403" w:type="pct"/>
            <w:tcBorders>
              <w:top w:val="nil"/>
              <w:left w:val="nil"/>
              <w:right w:val="nil"/>
            </w:tcBorders>
            <w:noWrap/>
            <w:vAlign w:val="bottom"/>
          </w:tcPr>
          <w:p w14:paraId="6711BBD0" w14:textId="77777777" w:rsidR="00DD6303" w:rsidRPr="00EF1091" w:rsidRDefault="00DD6303" w:rsidP="00DD6303">
            <w:pPr>
              <w:jc w:val="center"/>
              <w:rPr>
                <w:rFonts w:ascii="Arial" w:hAnsi="Arial" w:cs="Arial"/>
                <w:sz w:val="18"/>
                <w:szCs w:val="18"/>
              </w:rPr>
            </w:pPr>
          </w:p>
        </w:tc>
        <w:tc>
          <w:tcPr>
            <w:tcW w:w="620" w:type="pct"/>
            <w:tcBorders>
              <w:top w:val="nil"/>
              <w:left w:val="nil"/>
              <w:right w:val="nil"/>
            </w:tcBorders>
            <w:noWrap/>
            <w:vAlign w:val="bottom"/>
          </w:tcPr>
          <w:p w14:paraId="2E5F0DA7" w14:textId="72808626"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(11</w:t>
            </w:r>
            <w:r w:rsidR="00945414">
              <w:rPr>
                <w:rFonts w:ascii="Arial" w:hAnsi="Arial" w:cs="Arial"/>
                <w:b/>
                <w:bCs/>
                <w:sz w:val="18"/>
                <w:szCs w:val="18"/>
              </w:rPr>
              <w:t>8</w:t>
            </w:r>
            <w:r w:rsidRPr="001F3ADA">
              <w:rPr>
                <w:rFonts w:ascii="Arial" w:hAnsi="Arial" w:cs="Arial"/>
                <w:b/>
                <w:bCs/>
                <w:sz w:val="18"/>
                <w:szCs w:val="18"/>
              </w:rPr>
              <w:t>)</w:t>
            </w:r>
          </w:p>
        </w:tc>
        <w:tc>
          <w:tcPr>
            <w:tcW w:w="773" w:type="pct"/>
            <w:tcBorders>
              <w:top w:val="nil"/>
              <w:left w:val="nil"/>
              <w:right w:val="nil"/>
            </w:tcBorders>
            <w:vAlign w:val="bottom"/>
          </w:tcPr>
          <w:p w14:paraId="0F9B9983"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(140)</w:t>
            </w:r>
          </w:p>
        </w:tc>
      </w:tr>
      <w:tr w:rsidR="00DD6303" w:rsidRPr="00EF1091" w14:paraId="7748A5F0" w14:textId="77777777" w:rsidTr="00877634">
        <w:trPr>
          <w:trHeight w:val="240"/>
        </w:trPr>
        <w:tc>
          <w:tcPr>
            <w:tcW w:w="3204" w:type="pct"/>
            <w:tcBorders>
              <w:top w:val="nil"/>
              <w:left w:val="nil"/>
              <w:right w:val="nil"/>
            </w:tcBorders>
            <w:noWrap/>
            <w:vAlign w:val="bottom"/>
          </w:tcPr>
          <w:p w14:paraId="09530DF3" w14:textId="77777777" w:rsidR="00DD6303" w:rsidRPr="00EF1091" w:rsidRDefault="00DD6303" w:rsidP="00DD6303">
            <w:pPr>
              <w:rPr>
                <w:rFonts w:ascii="Arial" w:hAnsi="Arial" w:cs="Arial"/>
                <w:sz w:val="18"/>
                <w:szCs w:val="18"/>
              </w:rPr>
            </w:pPr>
            <w:r>
              <w:rPr>
                <w:rFonts w:ascii="Arial" w:hAnsi="Arial" w:cs="Arial"/>
                <w:sz w:val="18"/>
                <w:szCs w:val="18"/>
              </w:rPr>
              <w:t>Provisions</w:t>
            </w:r>
          </w:p>
        </w:tc>
        <w:tc>
          <w:tcPr>
            <w:tcW w:w="403" w:type="pct"/>
            <w:tcBorders>
              <w:top w:val="nil"/>
              <w:left w:val="nil"/>
              <w:right w:val="nil"/>
            </w:tcBorders>
            <w:noWrap/>
            <w:vAlign w:val="bottom"/>
          </w:tcPr>
          <w:p w14:paraId="524ACB23" w14:textId="77777777" w:rsidR="00DD6303" w:rsidRPr="00EF1091" w:rsidRDefault="00DD6303" w:rsidP="00DD6303">
            <w:pPr>
              <w:jc w:val="center"/>
              <w:rPr>
                <w:rFonts w:ascii="Arial" w:hAnsi="Arial" w:cs="Arial"/>
                <w:sz w:val="18"/>
                <w:szCs w:val="18"/>
              </w:rPr>
            </w:pPr>
          </w:p>
        </w:tc>
        <w:tc>
          <w:tcPr>
            <w:tcW w:w="620" w:type="pct"/>
            <w:tcBorders>
              <w:top w:val="nil"/>
              <w:left w:val="nil"/>
              <w:right w:val="nil"/>
            </w:tcBorders>
            <w:noWrap/>
            <w:vAlign w:val="bottom"/>
          </w:tcPr>
          <w:p w14:paraId="1A5FEFD5" w14:textId="47A746C2" w:rsidR="00DD6303" w:rsidRPr="001F3ADA" w:rsidRDefault="00DD6303" w:rsidP="00DD6303">
            <w:pPr>
              <w:jc w:val="right"/>
              <w:rPr>
                <w:rFonts w:ascii="Arial" w:hAnsi="Arial" w:cs="Arial"/>
                <w:b/>
                <w:sz w:val="18"/>
                <w:szCs w:val="18"/>
              </w:rPr>
            </w:pPr>
            <w:r w:rsidRPr="001F3ADA">
              <w:rPr>
                <w:rFonts w:ascii="Arial" w:hAnsi="Arial" w:cs="Arial"/>
                <w:b/>
                <w:sz w:val="18"/>
                <w:szCs w:val="18"/>
              </w:rPr>
              <w:t>(3</w:t>
            </w:r>
            <w:r w:rsidR="00945414">
              <w:rPr>
                <w:rFonts w:ascii="Arial" w:hAnsi="Arial" w:cs="Arial"/>
                <w:b/>
                <w:sz w:val="18"/>
                <w:szCs w:val="18"/>
              </w:rPr>
              <w:t>5</w:t>
            </w:r>
            <w:r w:rsidRPr="001F3ADA">
              <w:rPr>
                <w:rFonts w:ascii="Arial" w:hAnsi="Arial" w:cs="Arial"/>
                <w:b/>
                <w:sz w:val="18"/>
                <w:szCs w:val="18"/>
              </w:rPr>
              <w:t>)</w:t>
            </w:r>
          </w:p>
        </w:tc>
        <w:tc>
          <w:tcPr>
            <w:tcW w:w="773" w:type="pct"/>
            <w:tcBorders>
              <w:top w:val="nil"/>
              <w:left w:val="nil"/>
              <w:right w:val="nil"/>
            </w:tcBorders>
            <w:vAlign w:val="bottom"/>
          </w:tcPr>
          <w:p w14:paraId="6D808A5B" w14:textId="77777777" w:rsidR="00DD6303" w:rsidRPr="000740A4" w:rsidRDefault="00DD6303" w:rsidP="00DD6303">
            <w:pPr>
              <w:jc w:val="right"/>
              <w:rPr>
                <w:rFonts w:ascii="Arial" w:hAnsi="Arial" w:cs="Arial"/>
                <w:sz w:val="18"/>
                <w:szCs w:val="18"/>
              </w:rPr>
            </w:pPr>
            <w:r w:rsidRPr="000740A4">
              <w:rPr>
                <w:rFonts w:ascii="Arial" w:hAnsi="Arial" w:cs="Arial"/>
                <w:sz w:val="18"/>
                <w:szCs w:val="18"/>
              </w:rPr>
              <w:t>(25)</w:t>
            </w:r>
          </w:p>
        </w:tc>
      </w:tr>
      <w:tr w:rsidR="00DD6303" w:rsidRPr="00EF1091" w14:paraId="2615B0B7" w14:textId="77777777" w:rsidTr="00150F22">
        <w:trPr>
          <w:trHeight w:val="240"/>
        </w:trPr>
        <w:tc>
          <w:tcPr>
            <w:tcW w:w="3204" w:type="pct"/>
            <w:tcBorders>
              <w:top w:val="single" w:sz="4" w:space="0" w:color="auto"/>
              <w:left w:val="nil"/>
              <w:right w:val="nil"/>
            </w:tcBorders>
            <w:noWrap/>
            <w:vAlign w:val="bottom"/>
          </w:tcPr>
          <w:p w14:paraId="3912E325" w14:textId="77777777" w:rsidR="00DD6303" w:rsidRPr="00EF1091" w:rsidRDefault="00DD6303" w:rsidP="00DD6303">
            <w:pPr>
              <w:rPr>
                <w:rFonts w:ascii="Arial" w:hAnsi="Arial" w:cs="Arial"/>
                <w:sz w:val="18"/>
                <w:szCs w:val="18"/>
              </w:rPr>
            </w:pPr>
            <w:r w:rsidRPr="00EF1091">
              <w:rPr>
                <w:rFonts w:ascii="Arial" w:hAnsi="Arial" w:cs="Arial"/>
                <w:sz w:val="18"/>
                <w:szCs w:val="18"/>
              </w:rPr>
              <w:t> </w:t>
            </w:r>
          </w:p>
        </w:tc>
        <w:tc>
          <w:tcPr>
            <w:tcW w:w="403" w:type="pct"/>
            <w:tcBorders>
              <w:top w:val="single" w:sz="4" w:space="0" w:color="auto"/>
              <w:left w:val="nil"/>
              <w:right w:val="nil"/>
            </w:tcBorders>
            <w:noWrap/>
            <w:vAlign w:val="bottom"/>
          </w:tcPr>
          <w:p w14:paraId="24A0DF21" w14:textId="77777777" w:rsidR="00DD6303" w:rsidRPr="00EF1091" w:rsidRDefault="00DD6303" w:rsidP="00DD6303">
            <w:pPr>
              <w:jc w:val="center"/>
              <w:rPr>
                <w:rFonts w:ascii="Arial" w:hAnsi="Arial" w:cs="Arial"/>
                <w:sz w:val="18"/>
                <w:szCs w:val="18"/>
              </w:rPr>
            </w:pPr>
            <w:r w:rsidRPr="00EF1091">
              <w:rPr>
                <w:rFonts w:ascii="Arial" w:hAnsi="Arial" w:cs="Arial"/>
                <w:sz w:val="18"/>
                <w:szCs w:val="18"/>
              </w:rPr>
              <w:t> </w:t>
            </w:r>
          </w:p>
        </w:tc>
        <w:tc>
          <w:tcPr>
            <w:tcW w:w="620" w:type="pct"/>
            <w:tcBorders>
              <w:top w:val="single" w:sz="4" w:space="0" w:color="auto"/>
              <w:left w:val="nil"/>
              <w:right w:val="nil"/>
            </w:tcBorders>
            <w:noWrap/>
            <w:vAlign w:val="bottom"/>
          </w:tcPr>
          <w:p w14:paraId="4A9CC2EA" w14:textId="77777777"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(2,632)</w:t>
            </w:r>
          </w:p>
        </w:tc>
        <w:tc>
          <w:tcPr>
            <w:tcW w:w="773" w:type="pct"/>
            <w:tcBorders>
              <w:top w:val="single" w:sz="4" w:space="0" w:color="auto"/>
              <w:left w:val="nil"/>
              <w:right w:val="nil"/>
            </w:tcBorders>
            <w:vAlign w:val="bottom"/>
          </w:tcPr>
          <w:p w14:paraId="7AEE613F"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(3,050)</w:t>
            </w:r>
          </w:p>
        </w:tc>
      </w:tr>
      <w:tr w:rsidR="00DD6303" w:rsidRPr="00EF1091" w14:paraId="2925D8C3" w14:textId="77777777" w:rsidTr="00150F22">
        <w:trPr>
          <w:trHeight w:val="240"/>
        </w:trPr>
        <w:tc>
          <w:tcPr>
            <w:tcW w:w="3204" w:type="pct"/>
            <w:tcBorders>
              <w:top w:val="nil"/>
              <w:left w:val="nil"/>
              <w:bottom w:val="nil"/>
              <w:right w:val="nil"/>
            </w:tcBorders>
            <w:noWrap/>
            <w:vAlign w:val="bottom"/>
          </w:tcPr>
          <w:p w14:paraId="292915A7" w14:textId="77777777" w:rsidR="00DD6303" w:rsidRPr="00EF1091" w:rsidRDefault="00DD6303" w:rsidP="00DD6303">
            <w:pPr>
              <w:rPr>
                <w:rFonts w:ascii="Arial" w:hAnsi="Arial" w:cs="Arial"/>
                <w:b/>
                <w:bCs/>
                <w:sz w:val="18"/>
                <w:szCs w:val="18"/>
              </w:rPr>
            </w:pPr>
            <w:r w:rsidRPr="00EF1091">
              <w:rPr>
                <w:rFonts w:ascii="Arial" w:hAnsi="Arial" w:cs="Arial"/>
                <w:b/>
                <w:bCs/>
                <w:sz w:val="18"/>
                <w:szCs w:val="18"/>
              </w:rPr>
              <w:t>Non-current liabilities</w:t>
            </w:r>
          </w:p>
        </w:tc>
        <w:tc>
          <w:tcPr>
            <w:tcW w:w="403" w:type="pct"/>
            <w:tcBorders>
              <w:top w:val="nil"/>
              <w:left w:val="nil"/>
              <w:bottom w:val="nil"/>
              <w:right w:val="nil"/>
            </w:tcBorders>
            <w:noWrap/>
            <w:vAlign w:val="bottom"/>
          </w:tcPr>
          <w:p w14:paraId="283071D9" w14:textId="77777777" w:rsidR="00DD6303" w:rsidRPr="00EF1091" w:rsidRDefault="00DD6303" w:rsidP="00DD6303">
            <w:pPr>
              <w:jc w:val="center"/>
              <w:rPr>
                <w:rFonts w:ascii="Arial" w:hAnsi="Arial" w:cs="Arial"/>
                <w:sz w:val="18"/>
                <w:szCs w:val="18"/>
              </w:rPr>
            </w:pPr>
          </w:p>
        </w:tc>
        <w:tc>
          <w:tcPr>
            <w:tcW w:w="620" w:type="pct"/>
            <w:tcBorders>
              <w:top w:val="nil"/>
              <w:left w:val="nil"/>
              <w:bottom w:val="nil"/>
              <w:right w:val="nil"/>
            </w:tcBorders>
            <w:noWrap/>
            <w:vAlign w:val="bottom"/>
          </w:tcPr>
          <w:p w14:paraId="658C64ED" w14:textId="77777777" w:rsidR="00DD6303" w:rsidRPr="001F3ADA" w:rsidRDefault="00DD6303" w:rsidP="00DD6303">
            <w:pPr>
              <w:jc w:val="right"/>
              <w:rPr>
                <w:rFonts w:ascii="Arial" w:hAnsi="Arial" w:cs="Arial"/>
                <w:b/>
                <w:bCs/>
                <w:sz w:val="18"/>
                <w:szCs w:val="18"/>
              </w:rPr>
            </w:pPr>
          </w:p>
        </w:tc>
        <w:tc>
          <w:tcPr>
            <w:tcW w:w="773" w:type="pct"/>
            <w:tcBorders>
              <w:top w:val="nil"/>
              <w:left w:val="nil"/>
              <w:bottom w:val="nil"/>
              <w:right w:val="nil"/>
            </w:tcBorders>
            <w:vAlign w:val="bottom"/>
          </w:tcPr>
          <w:p w14:paraId="5608C2CB" w14:textId="77777777" w:rsidR="00DD6303" w:rsidRPr="00B301D0" w:rsidRDefault="00DD6303" w:rsidP="00DD6303">
            <w:pPr>
              <w:jc w:val="right"/>
              <w:rPr>
                <w:rFonts w:ascii="Arial" w:hAnsi="Arial" w:cs="Arial"/>
                <w:bCs/>
                <w:sz w:val="18"/>
                <w:szCs w:val="18"/>
              </w:rPr>
            </w:pPr>
          </w:p>
        </w:tc>
      </w:tr>
      <w:tr w:rsidR="00DD6303" w:rsidRPr="00EF1091" w14:paraId="022C4B71" w14:textId="77777777" w:rsidTr="00150F22">
        <w:trPr>
          <w:trHeight w:val="240"/>
        </w:trPr>
        <w:tc>
          <w:tcPr>
            <w:tcW w:w="3204" w:type="pct"/>
            <w:tcBorders>
              <w:top w:val="nil"/>
              <w:left w:val="nil"/>
              <w:bottom w:val="nil"/>
              <w:right w:val="nil"/>
            </w:tcBorders>
            <w:noWrap/>
            <w:vAlign w:val="bottom"/>
          </w:tcPr>
          <w:p w14:paraId="2BF983B6" w14:textId="77777777" w:rsidR="00DD6303" w:rsidRPr="00EF1091" w:rsidRDefault="00DD6303" w:rsidP="00DD6303">
            <w:pPr>
              <w:rPr>
                <w:rFonts w:ascii="Arial" w:hAnsi="Arial" w:cs="Arial"/>
                <w:sz w:val="18"/>
                <w:szCs w:val="18"/>
              </w:rPr>
            </w:pPr>
            <w:r w:rsidRPr="00EF1091">
              <w:rPr>
                <w:rFonts w:ascii="Arial" w:hAnsi="Arial" w:cs="Arial"/>
                <w:sz w:val="18"/>
                <w:szCs w:val="18"/>
              </w:rPr>
              <w:t>Other payables</w:t>
            </w:r>
          </w:p>
        </w:tc>
        <w:tc>
          <w:tcPr>
            <w:tcW w:w="403" w:type="pct"/>
            <w:tcBorders>
              <w:top w:val="nil"/>
              <w:left w:val="nil"/>
              <w:bottom w:val="nil"/>
              <w:right w:val="nil"/>
            </w:tcBorders>
            <w:noWrap/>
            <w:vAlign w:val="bottom"/>
          </w:tcPr>
          <w:p w14:paraId="1E3EB2EA" w14:textId="77777777" w:rsidR="00DD6303" w:rsidRPr="00EF1091" w:rsidRDefault="00DD6303" w:rsidP="00DD6303">
            <w:pPr>
              <w:jc w:val="center"/>
              <w:rPr>
                <w:rFonts w:ascii="Arial" w:hAnsi="Arial" w:cs="Arial"/>
                <w:sz w:val="18"/>
                <w:szCs w:val="18"/>
              </w:rPr>
            </w:pPr>
          </w:p>
        </w:tc>
        <w:tc>
          <w:tcPr>
            <w:tcW w:w="620" w:type="pct"/>
            <w:tcBorders>
              <w:top w:val="nil"/>
              <w:left w:val="nil"/>
              <w:bottom w:val="nil"/>
              <w:right w:val="nil"/>
            </w:tcBorders>
            <w:noWrap/>
            <w:vAlign w:val="bottom"/>
          </w:tcPr>
          <w:p w14:paraId="66626DA8" w14:textId="77777777"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(64)</w:t>
            </w:r>
          </w:p>
        </w:tc>
        <w:tc>
          <w:tcPr>
            <w:tcW w:w="773" w:type="pct"/>
            <w:tcBorders>
              <w:top w:val="nil"/>
              <w:left w:val="nil"/>
              <w:bottom w:val="nil"/>
              <w:right w:val="nil"/>
            </w:tcBorders>
            <w:vAlign w:val="bottom"/>
          </w:tcPr>
          <w:p w14:paraId="6915BE24"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(61)</w:t>
            </w:r>
          </w:p>
        </w:tc>
      </w:tr>
      <w:tr w:rsidR="00DD6303" w:rsidRPr="00EF1091" w14:paraId="2D2679C0" w14:textId="77777777" w:rsidTr="00150F22">
        <w:trPr>
          <w:trHeight w:val="240"/>
        </w:trPr>
        <w:tc>
          <w:tcPr>
            <w:tcW w:w="3204" w:type="pct"/>
            <w:tcBorders>
              <w:top w:val="nil"/>
              <w:left w:val="nil"/>
              <w:bottom w:val="nil"/>
              <w:right w:val="nil"/>
            </w:tcBorders>
            <w:noWrap/>
            <w:vAlign w:val="bottom"/>
          </w:tcPr>
          <w:p w14:paraId="7856D1CA" w14:textId="77777777" w:rsidR="00DD6303" w:rsidRPr="00E82544" w:rsidRDefault="00DD6303" w:rsidP="00DD6303">
            <w:pPr>
              <w:rPr>
                <w:rFonts w:ascii="Arial" w:hAnsi="Arial" w:cs="Arial"/>
                <w:sz w:val="18"/>
                <w:szCs w:val="18"/>
              </w:rPr>
            </w:pPr>
            <w:r w:rsidRPr="00E82544">
              <w:rPr>
                <w:rFonts w:ascii="Arial" w:hAnsi="Arial" w:cs="Arial"/>
                <w:sz w:val="18"/>
                <w:szCs w:val="18"/>
              </w:rPr>
              <w:t>Borrowings</w:t>
            </w:r>
          </w:p>
        </w:tc>
        <w:tc>
          <w:tcPr>
            <w:tcW w:w="403" w:type="pct"/>
            <w:tcBorders>
              <w:top w:val="nil"/>
              <w:left w:val="nil"/>
              <w:bottom w:val="nil"/>
              <w:right w:val="nil"/>
            </w:tcBorders>
            <w:noWrap/>
            <w:vAlign w:val="bottom"/>
          </w:tcPr>
          <w:p w14:paraId="35BB24E0" w14:textId="77777777" w:rsidR="00DD6303" w:rsidRPr="006A52B7" w:rsidRDefault="00DD6303" w:rsidP="00DD6303">
            <w:pPr>
              <w:jc w:val="center"/>
              <w:rPr>
                <w:rFonts w:ascii="Arial" w:hAnsi="Arial" w:cs="Arial"/>
                <w:sz w:val="18"/>
                <w:szCs w:val="18"/>
              </w:rPr>
            </w:pPr>
          </w:p>
        </w:tc>
        <w:tc>
          <w:tcPr>
            <w:tcW w:w="620" w:type="pct"/>
            <w:tcBorders>
              <w:top w:val="nil"/>
              <w:left w:val="nil"/>
              <w:bottom w:val="nil"/>
              <w:right w:val="nil"/>
            </w:tcBorders>
            <w:noWrap/>
            <w:vAlign w:val="bottom"/>
          </w:tcPr>
          <w:p w14:paraId="678284E8" w14:textId="77777777"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(162)</w:t>
            </w:r>
          </w:p>
        </w:tc>
        <w:tc>
          <w:tcPr>
            <w:tcW w:w="773" w:type="pct"/>
            <w:tcBorders>
              <w:top w:val="nil"/>
              <w:left w:val="nil"/>
              <w:bottom w:val="nil"/>
              <w:right w:val="nil"/>
            </w:tcBorders>
            <w:vAlign w:val="bottom"/>
          </w:tcPr>
          <w:p w14:paraId="1531A8D4"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(36)</w:t>
            </w:r>
          </w:p>
        </w:tc>
      </w:tr>
      <w:tr w:rsidR="001F3ADA" w:rsidRPr="00EF1091" w14:paraId="500DEC26" w14:textId="77777777" w:rsidTr="00150F22">
        <w:trPr>
          <w:trHeight w:val="240"/>
        </w:trPr>
        <w:tc>
          <w:tcPr>
            <w:tcW w:w="3204" w:type="pct"/>
            <w:tcBorders>
              <w:top w:val="nil"/>
              <w:left w:val="nil"/>
              <w:bottom w:val="nil"/>
              <w:right w:val="nil"/>
            </w:tcBorders>
            <w:noWrap/>
            <w:vAlign w:val="bottom"/>
          </w:tcPr>
          <w:p w14:paraId="38197F16" w14:textId="77777777" w:rsidR="001F3ADA" w:rsidRPr="00E82544" w:rsidRDefault="001F3ADA" w:rsidP="00DD6303">
            <w:pPr>
              <w:rPr>
                <w:rFonts w:ascii="Arial" w:hAnsi="Arial" w:cs="Arial"/>
                <w:sz w:val="18"/>
                <w:szCs w:val="18"/>
              </w:rPr>
            </w:pPr>
            <w:r w:rsidRPr="00E82544">
              <w:rPr>
                <w:rFonts w:ascii="Arial" w:hAnsi="Arial" w:cs="Arial"/>
                <w:sz w:val="18"/>
                <w:szCs w:val="18"/>
              </w:rPr>
              <w:t>Derivative liabilities</w:t>
            </w:r>
          </w:p>
        </w:tc>
        <w:tc>
          <w:tcPr>
            <w:tcW w:w="403" w:type="pct"/>
            <w:tcBorders>
              <w:top w:val="nil"/>
              <w:left w:val="nil"/>
              <w:bottom w:val="nil"/>
              <w:right w:val="nil"/>
            </w:tcBorders>
            <w:noWrap/>
            <w:vAlign w:val="bottom"/>
          </w:tcPr>
          <w:p w14:paraId="452D3BA5" w14:textId="77777777" w:rsidR="001F3ADA" w:rsidRPr="006A52B7" w:rsidRDefault="001F3ADA" w:rsidP="00DD6303">
            <w:pPr>
              <w:jc w:val="center"/>
              <w:rPr>
                <w:rFonts w:ascii="Arial" w:hAnsi="Arial" w:cs="Arial"/>
                <w:sz w:val="18"/>
                <w:szCs w:val="18"/>
              </w:rPr>
            </w:pPr>
          </w:p>
        </w:tc>
        <w:tc>
          <w:tcPr>
            <w:tcW w:w="620" w:type="pct"/>
            <w:tcBorders>
              <w:top w:val="nil"/>
              <w:left w:val="nil"/>
              <w:bottom w:val="nil"/>
              <w:right w:val="nil"/>
            </w:tcBorders>
            <w:noWrap/>
            <w:vAlign w:val="bottom"/>
          </w:tcPr>
          <w:p w14:paraId="7355FBCF" w14:textId="77777777" w:rsidR="001F3ADA" w:rsidRPr="001F3ADA" w:rsidRDefault="001F3ADA" w:rsidP="00DD6303">
            <w:pPr>
              <w:jc w:val="right"/>
              <w:rPr>
                <w:rFonts w:ascii="Arial" w:hAnsi="Arial" w:cs="Arial"/>
                <w:b/>
                <w:bCs/>
                <w:sz w:val="18"/>
                <w:szCs w:val="18"/>
              </w:rPr>
            </w:pPr>
            <w:r w:rsidRPr="001F3ADA">
              <w:rPr>
                <w:rFonts w:ascii="Arial" w:hAnsi="Arial" w:cs="Arial"/>
                <w:b/>
                <w:bCs/>
                <w:sz w:val="18"/>
                <w:szCs w:val="18"/>
              </w:rPr>
              <w:t>(2)</w:t>
            </w:r>
          </w:p>
        </w:tc>
        <w:tc>
          <w:tcPr>
            <w:tcW w:w="773" w:type="pct"/>
            <w:tcBorders>
              <w:top w:val="nil"/>
              <w:left w:val="nil"/>
              <w:bottom w:val="nil"/>
              <w:right w:val="nil"/>
            </w:tcBorders>
            <w:vAlign w:val="bottom"/>
          </w:tcPr>
          <w:p w14:paraId="44AA305B" w14:textId="77777777" w:rsidR="001F3ADA" w:rsidRPr="000740A4" w:rsidRDefault="001F3ADA" w:rsidP="00DD6303">
            <w:pPr>
              <w:jc w:val="right"/>
              <w:rPr>
                <w:rFonts w:ascii="Arial" w:hAnsi="Arial" w:cs="Arial"/>
                <w:bCs/>
                <w:sz w:val="18"/>
                <w:szCs w:val="18"/>
              </w:rPr>
            </w:pPr>
            <w:r w:rsidRPr="000740A4">
              <w:rPr>
                <w:rFonts w:ascii="Arial" w:hAnsi="Arial" w:cs="Arial"/>
                <w:bCs/>
                <w:sz w:val="18"/>
                <w:szCs w:val="18"/>
              </w:rPr>
              <w:t>–</w:t>
            </w:r>
          </w:p>
        </w:tc>
      </w:tr>
      <w:tr w:rsidR="00DD6303" w:rsidRPr="00EF1091" w14:paraId="4A8E90DF" w14:textId="77777777" w:rsidTr="00150F22">
        <w:trPr>
          <w:trHeight w:val="240"/>
        </w:trPr>
        <w:tc>
          <w:tcPr>
            <w:tcW w:w="3204" w:type="pct"/>
            <w:tcBorders>
              <w:top w:val="nil"/>
              <w:left w:val="nil"/>
              <w:bottom w:val="nil"/>
              <w:right w:val="nil"/>
            </w:tcBorders>
            <w:noWrap/>
            <w:vAlign w:val="bottom"/>
          </w:tcPr>
          <w:p w14:paraId="41294685" w14:textId="77777777" w:rsidR="00DD6303" w:rsidRPr="00B87BBF" w:rsidRDefault="00DD6303" w:rsidP="00DD6303">
            <w:pPr>
              <w:rPr>
                <w:rFonts w:ascii="Arial" w:hAnsi="Arial" w:cs="Arial"/>
                <w:sz w:val="18"/>
                <w:szCs w:val="18"/>
              </w:rPr>
            </w:pPr>
            <w:r w:rsidRPr="00B87BBF">
              <w:rPr>
                <w:rFonts w:ascii="Arial" w:hAnsi="Arial" w:cs="Arial"/>
                <w:sz w:val="18"/>
                <w:szCs w:val="18"/>
              </w:rPr>
              <w:t>Deferred tax liabilities</w:t>
            </w:r>
          </w:p>
        </w:tc>
        <w:tc>
          <w:tcPr>
            <w:tcW w:w="403" w:type="pct"/>
            <w:tcBorders>
              <w:top w:val="nil"/>
              <w:left w:val="nil"/>
              <w:bottom w:val="nil"/>
              <w:right w:val="nil"/>
            </w:tcBorders>
            <w:noWrap/>
            <w:vAlign w:val="bottom"/>
          </w:tcPr>
          <w:p w14:paraId="6783388D" w14:textId="77777777" w:rsidR="00DD6303" w:rsidRPr="00B87BBF" w:rsidRDefault="00DD6303" w:rsidP="00DD6303">
            <w:pPr>
              <w:jc w:val="center"/>
              <w:rPr>
                <w:rFonts w:ascii="Arial" w:hAnsi="Arial" w:cs="Arial"/>
                <w:sz w:val="18"/>
                <w:szCs w:val="18"/>
              </w:rPr>
            </w:pPr>
          </w:p>
        </w:tc>
        <w:tc>
          <w:tcPr>
            <w:tcW w:w="620" w:type="pct"/>
            <w:tcBorders>
              <w:top w:val="nil"/>
              <w:left w:val="nil"/>
              <w:bottom w:val="nil"/>
              <w:right w:val="nil"/>
            </w:tcBorders>
            <w:noWrap/>
            <w:vAlign w:val="bottom"/>
          </w:tcPr>
          <w:p w14:paraId="301D6A11" w14:textId="77524A21"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w:t>
            </w:r>
            <w:r w:rsidR="001F3ADA" w:rsidRPr="001F3ADA">
              <w:rPr>
                <w:rFonts w:ascii="Arial" w:hAnsi="Arial" w:cs="Arial"/>
                <w:b/>
                <w:bCs/>
                <w:sz w:val="18"/>
                <w:szCs w:val="18"/>
              </w:rPr>
              <w:t>2</w:t>
            </w:r>
            <w:r w:rsidR="00945414">
              <w:rPr>
                <w:rFonts w:ascii="Arial" w:hAnsi="Arial" w:cs="Arial"/>
                <w:b/>
                <w:bCs/>
                <w:sz w:val="18"/>
                <w:szCs w:val="18"/>
              </w:rPr>
              <w:t>86</w:t>
            </w:r>
            <w:r w:rsidRPr="001F3ADA">
              <w:rPr>
                <w:rFonts w:ascii="Arial" w:hAnsi="Arial" w:cs="Arial"/>
                <w:b/>
                <w:bCs/>
                <w:sz w:val="18"/>
                <w:szCs w:val="18"/>
              </w:rPr>
              <w:t>)</w:t>
            </w:r>
          </w:p>
        </w:tc>
        <w:tc>
          <w:tcPr>
            <w:tcW w:w="773" w:type="pct"/>
            <w:tcBorders>
              <w:top w:val="nil"/>
              <w:left w:val="nil"/>
              <w:bottom w:val="nil"/>
              <w:right w:val="nil"/>
            </w:tcBorders>
            <w:vAlign w:val="bottom"/>
          </w:tcPr>
          <w:p w14:paraId="737AD6C7"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(264)</w:t>
            </w:r>
          </w:p>
        </w:tc>
      </w:tr>
      <w:tr w:rsidR="00DD6303" w:rsidRPr="00EF1091" w14:paraId="74C64D1C" w14:textId="77777777" w:rsidTr="00150F22">
        <w:trPr>
          <w:trHeight w:val="240"/>
        </w:trPr>
        <w:tc>
          <w:tcPr>
            <w:tcW w:w="3204" w:type="pct"/>
            <w:tcBorders>
              <w:top w:val="nil"/>
              <w:left w:val="nil"/>
              <w:bottom w:val="nil"/>
              <w:right w:val="nil"/>
            </w:tcBorders>
            <w:noWrap/>
            <w:vAlign w:val="bottom"/>
          </w:tcPr>
          <w:p w14:paraId="5A588929" w14:textId="77777777" w:rsidR="00DD6303" w:rsidRPr="006A52B7" w:rsidRDefault="00DD6303" w:rsidP="00DD6303">
            <w:pPr>
              <w:rPr>
                <w:rFonts w:ascii="Arial" w:hAnsi="Arial" w:cs="Arial"/>
                <w:sz w:val="18"/>
                <w:szCs w:val="18"/>
              </w:rPr>
            </w:pPr>
            <w:r w:rsidRPr="006A52B7">
              <w:rPr>
                <w:rFonts w:ascii="Arial" w:hAnsi="Arial" w:cs="Arial"/>
                <w:sz w:val="18"/>
                <w:szCs w:val="18"/>
              </w:rPr>
              <w:t>Provisions</w:t>
            </w:r>
          </w:p>
        </w:tc>
        <w:tc>
          <w:tcPr>
            <w:tcW w:w="403" w:type="pct"/>
            <w:tcBorders>
              <w:top w:val="nil"/>
              <w:left w:val="nil"/>
              <w:bottom w:val="nil"/>
              <w:right w:val="nil"/>
            </w:tcBorders>
            <w:noWrap/>
            <w:vAlign w:val="bottom"/>
          </w:tcPr>
          <w:p w14:paraId="1192D50C" w14:textId="77777777" w:rsidR="00DD6303" w:rsidRPr="006A52B7" w:rsidRDefault="00DD6303" w:rsidP="00DD6303">
            <w:pPr>
              <w:jc w:val="center"/>
              <w:rPr>
                <w:rFonts w:ascii="Arial" w:hAnsi="Arial" w:cs="Arial"/>
                <w:sz w:val="18"/>
                <w:szCs w:val="18"/>
              </w:rPr>
            </w:pPr>
          </w:p>
        </w:tc>
        <w:tc>
          <w:tcPr>
            <w:tcW w:w="620" w:type="pct"/>
            <w:tcBorders>
              <w:top w:val="nil"/>
              <w:left w:val="nil"/>
              <w:bottom w:val="nil"/>
              <w:right w:val="nil"/>
            </w:tcBorders>
            <w:noWrap/>
            <w:vAlign w:val="bottom"/>
          </w:tcPr>
          <w:p w14:paraId="4903D718" w14:textId="2AF2C309"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w:t>
            </w:r>
            <w:r w:rsidR="00945414">
              <w:rPr>
                <w:rFonts w:ascii="Arial" w:hAnsi="Arial" w:cs="Arial"/>
                <w:b/>
                <w:bCs/>
                <w:sz w:val="18"/>
                <w:szCs w:val="18"/>
              </w:rPr>
              <w:t>82</w:t>
            </w:r>
            <w:r w:rsidRPr="001F3ADA">
              <w:rPr>
                <w:rFonts w:ascii="Arial" w:hAnsi="Arial" w:cs="Arial"/>
                <w:b/>
                <w:bCs/>
                <w:sz w:val="18"/>
                <w:szCs w:val="18"/>
              </w:rPr>
              <w:t>)</w:t>
            </w:r>
          </w:p>
        </w:tc>
        <w:tc>
          <w:tcPr>
            <w:tcW w:w="773" w:type="pct"/>
            <w:tcBorders>
              <w:top w:val="nil"/>
              <w:left w:val="nil"/>
              <w:bottom w:val="nil"/>
              <w:right w:val="nil"/>
            </w:tcBorders>
            <w:vAlign w:val="bottom"/>
          </w:tcPr>
          <w:p w14:paraId="335F943A"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(73)</w:t>
            </w:r>
          </w:p>
        </w:tc>
      </w:tr>
      <w:tr w:rsidR="00DD6303" w:rsidRPr="00EF1091" w14:paraId="118CE342" w14:textId="77777777" w:rsidTr="00150F22">
        <w:trPr>
          <w:trHeight w:val="240"/>
        </w:trPr>
        <w:tc>
          <w:tcPr>
            <w:tcW w:w="3204" w:type="pct"/>
            <w:tcBorders>
              <w:top w:val="nil"/>
              <w:left w:val="nil"/>
              <w:bottom w:val="single" w:sz="4" w:space="0" w:color="auto"/>
              <w:right w:val="nil"/>
            </w:tcBorders>
            <w:noWrap/>
            <w:vAlign w:val="bottom"/>
          </w:tcPr>
          <w:p w14:paraId="7689156B" w14:textId="77777777" w:rsidR="00DD6303" w:rsidRPr="006A52B7" w:rsidRDefault="00DD6303" w:rsidP="00DD6303">
            <w:pPr>
              <w:rPr>
                <w:rFonts w:ascii="Arial" w:hAnsi="Arial" w:cs="Arial"/>
                <w:sz w:val="18"/>
                <w:szCs w:val="18"/>
              </w:rPr>
            </w:pPr>
            <w:r w:rsidRPr="006A52B7">
              <w:rPr>
                <w:rFonts w:ascii="Arial" w:hAnsi="Arial" w:cs="Arial"/>
                <w:sz w:val="18"/>
                <w:szCs w:val="18"/>
              </w:rPr>
              <w:t>Post-employment benefits</w:t>
            </w:r>
          </w:p>
        </w:tc>
        <w:tc>
          <w:tcPr>
            <w:tcW w:w="403" w:type="pct"/>
            <w:tcBorders>
              <w:top w:val="nil"/>
              <w:left w:val="nil"/>
              <w:bottom w:val="single" w:sz="4" w:space="0" w:color="auto"/>
              <w:right w:val="nil"/>
            </w:tcBorders>
            <w:noWrap/>
            <w:vAlign w:val="bottom"/>
          </w:tcPr>
          <w:p w14:paraId="04079998" w14:textId="77777777" w:rsidR="00DD6303" w:rsidRPr="006A52B7" w:rsidRDefault="00DD6303" w:rsidP="00DD6303">
            <w:pPr>
              <w:jc w:val="center"/>
              <w:rPr>
                <w:rFonts w:ascii="Arial" w:hAnsi="Arial" w:cs="Arial"/>
                <w:sz w:val="18"/>
                <w:szCs w:val="18"/>
              </w:rPr>
            </w:pPr>
            <w:r w:rsidRPr="006A52B7">
              <w:rPr>
                <w:rFonts w:ascii="Arial" w:hAnsi="Arial" w:cs="Arial"/>
                <w:sz w:val="18"/>
                <w:szCs w:val="18"/>
              </w:rPr>
              <w:t>9</w:t>
            </w:r>
          </w:p>
        </w:tc>
        <w:tc>
          <w:tcPr>
            <w:tcW w:w="620" w:type="pct"/>
            <w:tcBorders>
              <w:top w:val="nil"/>
              <w:left w:val="nil"/>
              <w:bottom w:val="single" w:sz="4" w:space="0" w:color="auto"/>
              <w:right w:val="nil"/>
            </w:tcBorders>
            <w:noWrap/>
            <w:vAlign w:val="bottom"/>
          </w:tcPr>
          <w:p w14:paraId="329C091A" w14:textId="77777777"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(115)</w:t>
            </w:r>
          </w:p>
        </w:tc>
        <w:tc>
          <w:tcPr>
            <w:tcW w:w="773" w:type="pct"/>
            <w:tcBorders>
              <w:top w:val="nil"/>
              <w:left w:val="nil"/>
              <w:bottom w:val="single" w:sz="4" w:space="0" w:color="auto"/>
              <w:right w:val="nil"/>
            </w:tcBorders>
            <w:vAlign w:val="bottom"/>
          </w:tcPr>
          <w:p w14:paraId="2715FCB8"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(115)</w:t>
            </w:r>
          </w:p>
        </w:tc>
      </w:tr>
      <w:tr w:rsidR="00DD6303" w:rsidRPr="00EF1091" w14:paraId="3737B384" w14:textId="77777777" w:rsidTr="00150F22">
        <w:trPr>
          <w:trHeight w:val="240"/>
        </w:trPr>
        <w:tc>
          <w:tcPr>
            <w:tcW w:w="3204" w:type="pct"/>
            <w:tcBorders>
              <w:top w:val="nil"/>
              <w:left w:val="nil"/>
              <w:bottom w:val="single" w:sz="4" w:space="0" w:color="auto"/>
              <w:right w:val="nil"/>
            </w:tcBorders>
            <w:noWrap/>
            <w:vAlign w:val="bottom"/>
          </w:tcPr>
          <w:p w14:paraId="64F7083B" w14:textId="77777777" w:rsidR="00DD6303" w:rsidRPr="006A52B7" w:rsidRDefault="00DD6303" w:rsidP="00DD6303">
            <w:pPr>
              <w:rPr>
                <w:rFonts w:ascii="Arial" w:hAnsi="Arial" w:cs="Arial"/>
                <w:sz w:val="18"/>
                <w:szCs w:val="18"/>
              </w:rPr>
            </w:pPr>
          </w:p>
        </w:tc>
        <w:tc>
          <w:tcPr>
            <w:tcW w:w="403" w:type="pct"/>
            <w:tcBorders>
              <w:top w:val="nil"/>
              <w:left w:val="nil"/>
              <w:bottom w:val="single" w:sz="4" w:space="0" w:color="auto"/>
              <w:right w:val="nil"/>
            </w:tcBorders>
            <w:noWrap/>
            <w:vAlign w:val="bottom"/>
          </w:tcPr>
          <w:p w14:paraId="7403B48B" w14:textId="77777777" w:rsidR="00DD6303" w:rsidRPr="006A52B7" w:rsidRDefault="00DD6303" w:rsidP="00DD6303">
            <w:pPr>
              <w:jc w:val="center"/>
              <w:rPr>
                <w:rFonts w:ascii="Arial" w:hAnsi="Arial" w:cs="Arial"/>
                <w:sz w:val="18"/>
                <w:szCs w:val="18"/>
              </w:rPr>
            </w:pPr>
          </w:p>
        </w:tc>
        <w:tc>
          <w:tcPr>
            <w:tcW w:w="620" w:type="pct"/>
            <w:tcBorders>
              <w:top w:val="nil"/>
              <w:left w:val="nil"/>
              <w:bottom w:val="single" w:sz="4" w:space="0" w:color="auto"/>
              <w:right w:val="nil"/>
            </w:tcBorders>
            <w:noWrap/>
            <w:vAlign w:val="bottom"/>
          </w:tcPr>
          <w:p w14:paraId="4D323507" w14:textId="3E30EB3D"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w:t>
            </w:r>
            <w:r w:rsidR="00945414">
              <w:rPr>
                <w:rFonts w:ascii="Arial" w:hAnsi="Arial" w:cs="Arial"/>
                <w:b/>
                <w:bCs/>
                <w:sz w:val="18"/>
                <w:szCs w:val="18"/>
              </w:rPr>
              <w:t>711</w:t>
            </w:r>
            <w:r w:rsidRPr="001F3ADA">
              <w:rPr>
                <w:rFonts w:ascii="Arial" w:hAnsi="Arial" w:cs="Arial"/>
                <w:b/>
                <w:bCs/>
                <w:sz w:val="18"/>
                <w:szCs w:val="18"/>
              </w:rPr>
              <w:t>)</w:t>
            </w:r>
          </w:p>
        </w:tc>
        <w:tc>
          <w:tcPr>
            <w:tcW w:w="773" w:type="pct"/>
            <w:tcBorders>
              <w:top w:val="nil"/>
              <w:left w:val="nil"/>
              <w:bottom w:val="single" w:sz="4" w:space="0" w:color="auto"/>
              <w:right w:val="nil"/>
            </w:tcBorders>
            <w:vAlign w:val="bottom"/>
          </w:tcPr>
          <w:p w14:paraId="1A292330"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(549)</w:t>
            </w:r>
          </w:p>
        </w:tc>
      </w:tr>
      <w:tr w:rsidR="00DD6303" w:rsidRPr="00EF1091" w14:paraId="4B37782A" w14:textId="77777777" w:rsidTr="00150F22">
        <w:trPr>
          <w:trHeight w:val="240"/>
        </w:trPr>
        <w:tc>
          <w:tcPr>
            <w:tcW w:w="3204" w:type="pct"/>
            <w:tcBorders>
              <w:top w:val="nil"/>
              <w:left w:val="nil"/>
              <w:bottom w:val="nil"/>
              <w:right w:val="nil"/>
            </w:tcBorders>
            <w:noWrap/>
            <w:vAlign w:val="bottom"/>
          </w:tcPr>
          <w:p w14:paraId="6EEEA8F1" w14:textId="77777777" w:rsidR="00DD6303" w:rsidRPr="006A52B7" w:rsidRDefault="00DD6303" w:rsidP="00DD6303">
            <w:pPr>
              <w:rPr>
                <w:rFonts w:ascii="Arial" w:hAnsi="Arial" w:cs="Arial"/>
                <w:b/>
                <w:bCs/>
                <w:sz w:val="18"/>
                <w:szCs w:val="18"/>
              </w:rPr>
            </w:pPr>
            <w:r w:rsidRPr="006A52B7">
              <w:rPr>
                <w:rFonts w:ascii="Arial" w:hAnsi="Arial" w:cs="Arial"/>
                <w:b/>
                <w:bCs/>
                <w:sz w:val="18"/>
                <w:szCs w:val="18"/>
              </w:rPr>
              <w:t>Total liabilities</w:t>
            </w:r>
          </w:p>
        </w:tc>
        <w:tc>
          <w:tcPr>
            <w:tcW w:w="403" w:type="pct"/>
            <w:tcBorders>
              <w:top w:val="nil"/>
              <w:left w:val="nil"/>
              <w:bottom w:val="nil"/>
              <w:right w:val="nil"/>
            </w:tcBorders>
            <w:noWrap/>
            <w:vAlign w:val="bottom"/>
          </w:tcPr>
          <w:p w14:paraId="54D40529" w14:textId="77777777" w:rsidR="00DD6303" w:rsidRPr="006A52B7" w:rsidRDefault="00DD6303" w:rsidP="00DD6303">
            <w:pPr>
              <w:jc w:val="center"/>
              <w:rPr>
                <w:rFonts w:ascii="Arial" w:hAnsi="Arial" w:cs="Arial"/>
                <w:sz w:val="18"/>
                <w:szCs w:val="18"/>
              </w:rPr>
            </w:pPr>
          </w:p>
        </w:tc>
        <w:tc>
          <w:tcPr>
            <w:tcW w:w="620" w:type="pct"/>
            <w:tcBorders>
              <w:top w:val="nil"/>
              <w:left w:val="nil"/>
              <w:bottom w:val="nil"/>
              <w:right w:val="nil"/>
            </w:tcBorders>
            <w:noWrap/>
            <w:vAlign w:val="bottom"/>
          </w:tcPr>
          <w:p w14:paraId="64D6C70A" w14:textId="75BD5B1F"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(3,</w:t>
            </w:r>
            <w:r w:rsidR="001F3ADA" w:rsidRPr="001F3ADA">
              <w:rPr>
                <w:rFonts w:ascii="Arial" w:hAnsi="Arial" w:cs="Arial"/>
                <w:b/>
                <w:bCs/>
                <w:sz w:val="18"/>
                <w:szCs w:val="18"/>
              </w:rPr>
              <w:t>3</w:t>
            </w:r>
            <w:r w:rsidR="00945414">
              <w:rPr>
                <w:rFonts w:ascii="Arial" w:hAnsi="Arial" w:cs="Arial"/>
                <w:b/>
                <w:bCs/>
                <w:sz w:val="18"/>
                <w:szCs w:val="18"/>
              </w:rPr>
              <w:t>43</w:t>
            </w:r>
            <w:r w:rsidRPr="001F3ADA">
              <w:rPr>
                <w:rFonts w:ascii="Arial" w:hAnsi="Arial" w:cs="Arial"/>
                <w:b/>
                <w:bCs/>
                <w:sz w:val="18"/>
                <w:szCs w:val="18"/>
              </w:rPr>
              <w:t>)</w:t>
            </w:r>
          </w:p>
        </w:tc>
        <w:tc>
          <w:tcPr>
            <w:tcW w:w="773" w:type="pct"/>
            <w:tcBorders>
              <w:top w:val="nil"/>
              <w:left w:val="nil"/>
              <w:bottom w:val="nil"/>
              <w:right w:val="nil"/>
            </w:tcBorders>
            <w:vAlign w:val="bottom"/>
          </w:tcPr>
          <w:p w14:paraId="1E9EBFF9"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(3,599)</w:t>
            </w:r>
          </w:p>
        </w:tc>
      </w:tr>
      <w:tr w:rsidR="00DD6303" w:rsidRPr="00EF1091" w14:paraId="608FE0BF" w14:textId="77777777" w:rsidTr="00150F22">
        <w:trPr>
          <w:trHeight w:val="142"/>
        </w:trPr>
        <w:tc>
          <w:tcPr>
            <w:tcW w:w="3204" w:type="pct"/>
            <w:tcBorders>
              <w:top w:val="nil"/>
              <w:left w:val="nil"/>
              <w:bottom w:val="single" w:sz="4" w:space="0" w:color="auto"/>
              <w:right w:val="nil"/>
            </w:tcBorders>
            <w:noWrap/>
            <w:vAlign w:val="bottom"/>
          </w:tcPr>
          <w:p w14:paraId="2A09D2C1" w14:textId="77777777" w:rsidR="00DD6303" w:rsidRPr="00EF1091" w:rsidRDefault="00DD6303" w:rsidP="00DD6303">
            <w:pPr>
              <w:rPr>
                <w:rFonts w:ascii="Arial" w:hAnsi="Arial" w:cs="Arial"/>
                <w:b/>
                <w:bCs/>
                <w:sz w:val="18"/>
                <w:szCs w:val="18"/>
              </w:rPr>
            </w:pPr>
            <w:r w:rsidRPr="00EF1091">
              <w:rPr>
                <w:rFonts w:ascii="Arial" w:hAnsi="Arial" w:cs="Arial"/>
                <w:b/>
                <w:bCs/>
                <w:sz w:val="18"/>
                <w:szCs w:val="18"/>
              </w:rPr>
              <w:t> </w:t>
            </w:r>
          </w:p>
        </w:tc>
        <w:tc>
          <w:tcPr>
            <w:tcW w:w="403" w:type="pct"/>
            <w:tcBorders>
              <w:top w:val="nil"/>
              <w:left w:val="nil"/>
              <w:bottom w:val="single" w:sz="4" w:space="0" w:color="auto"/>
              <w:right w:val="nil"/>
            </w:tcBorders>
            <w:noWrap/>
            <w:vAlign w:val="bottom"/>
          </w:tcPr>
          <w:p w14:paraId="55E6F461" w14:textId="77777777" w:rsidR="00DD6303" w:rsidRPr="00EF1091" w:rsidRDefault="00DD6303" w:rsidP="00DD6303">
            <w:pPr>
              <w:jc w:val="center"/>
              <w:rPr>
                <w:rFonts w:ascii="Arial" w:hAnsi="Arial" w:cs="Arial"/>
                <w:sz w:val="18"/>
                <w:szCs w:val="18"/>
              </w:rPr>
            </w:pPr>
            <w:r w:rsidRPr="00EF1091">
              <w:rPr>
                <w:rFonts w:ascii="Arial" w:hAnsi="Arial" w:cs="Arial"/>
                <w:sz w:val="18"/>
                <w:szCs w:val="18"/>
              </w:rPr>
              <w:t> </w:t>
            </w:r>
          </w:p>
        </w:tc>
        <w:tc>
          <w:tcPr>
            <w:tcW w:w="620" w:type="pct"/>
            <w:tcBorders>
              <w:top w:val="nil"/>
              <w:left w:val="nil"/>
              <w:bottom w:val="single" w:sz="4" w:space="0" w:color="auto"/>
              <w:right w:val="nil"/>
            </w:tcBorders>
            <w:noWrap/>
            <w:vAlign w:val="bottom"/>
          </w:tcPr>
          <w:p w14:paraId="183A04E8" w14:textId="77777777" w:rsidR="00DD6303" w:rsidRPr="001F3ADA" w:rsidRDefault="00DD6303" w:rsidP="00DD6303">
            <w:pPr>
              <w:jc w:val="right"/>
              <w:rPr>
                <w:rFonts w:ascii="Arial" w:hAnsi="Arial" w:cs="Arial"/>
                <w:b/>
                <w:bCs/>
                <w:sz w:val="18"/>
                <w:szCs w:val="18"/>
              </w:rPr>
            </w:pPr>
          </w:p>
        </w:tc>
        <w:tc>
          <w:tcPr>
            <w:tcW w:w="773" w:type="pct"/>
            <w:tcBorders>
              <w:top w:val="nil"/>
              <w:left w:val="nil"/>
              <w:bottom w:val="single" w:sz="4" w:space="0" w:color="auto"/>
              <w:right w:val="nil"/>
            </w:tcBorders>
            <w:vAlign w:val="bottom"/>
          </w:tcPr>
          <w:p w14:paraId="04DAFFB1" w14:textId="77777777" w:rsidR="00DD6303" w:rsidRPr="000740A4" w:rsidRDefault="00DD6303" w:rsidP="00DD6303">
            <w:pPr>
              <w:jc w:val="right"/>
              <w:rPr>
                <w:rFonts w:ascii="Arial" w:hAnsi="Arial" w:cs="Arial"/>
                <w:bCs/>
                <w:sz w:val="18"/>
                <w:szCs w:val="18"/>
              </w:rPr>
            </w:pPr>
          </w:p>
        </w:tc>
      </w:tr>
      <w:tr w:rsidR="00DD6303" w:rsidRPr="00EF1091" w14:paraId="7C1B5746" w14:textId="77777777" w:rsidTr="00150F22">
        <w:trPr>
          <w:trHeight w:val="255"/>
        </w:trPr>
        <w:tc>
          <w:tcPr>
            <w:tcW w:w="3204" w:type="pct"/>
            <w:tcBorders>
              <w:top w:val="single" w:sz="4" w:space="0" w:color="auto"/>
              <w:left w:val="nil"/>
              <w:bottom w:val="single" w:sz="12" w:space="0" w:color="auto"/>
              <w:right w:val="nil"/>
            </w:tcBorders>
            <w:noWrap/>
            <w:vAlign w:val="bottom"/>
          </w:tcPr>
          <w:p w14:paraId="0AADE91D" w14:textId="77777777" w:rsidR="00DD6303" w:rsidRPr="00EF1091" w:rsidRDefault="00DD6303" w:rsidP="00DD6303">
            <w:pPr>
              <w:rPr>
                <w:rFonts w:ascii="Arial" w:hAnsi="Arial" w:cs="Arial"/>
                <w:b/>
                <w:bCs/>
                <w:sz w:val="18"/>
                <w:szCs w:val="18"/>
              </w:rPr>
            </w:pPr>
            <w:r w:rsidRPr="00EF1091">
              <w:rPr>
                <w:rFonts w:ascii="Arial" w:hAnsi="Arial" w:cs="Arial"/>
                <w:b/>
                <w:bCs/>
                <w:sz w:val="18"/>
                <w:szCs w:val="18"/>
              </w:rPr>
              <w:t>Net assets</w:t>
            </w:r>
          </w:p>
        </w:tc>
        <w:tc>
          <w:tcPr>
            <w:tcW w:w="403" w:type="pct"/>
            <w:tcBorders>
              <w:top w:val="single" w:sz="4" w:space="0" w:color="auto"/>
              <w:left w:val="nil"/>
              <w:bottom w:val="single" w:sz="12" w:space="0" w:color="auto"/>
              <w:right w:val="nil"/>
            </w:tcBorders>
            <w:noWrap/>
            <w:vAlign w:val="bottom"/>
          </w:tcPr>
          <w:p w14:paraId="4CD4BC53" w14:textId="77777777" w:rsidR="00DD6303" w:rsidRPr="00EF1091" w:rsidRDefault="00DD6303" w:rsidP="00DD6303">
            <w:pPr>
              <w:jc w:val="center"/>
              <w:rPr>
                <w:rFonts w:ascii="Arial" w:hAnsi="Arial" w:cs="Arial"/>
                <w:sz w:val="18"/>
                <w:szCs w:val="18"/>
              </w:rPr>
            </w:pPr>
          </w:p>
        </w:tc>
        <w:tc>
          <w:tcPr>
            <w:tcW w:w="620" w:type="pct"/>
            <w:tcBorders>
              <w:top w:val="single" w:sz="4" w:space="0" w:color="auto"/>
              <w:left w:val="nil"/>
              <w:bottom w:val="single" w:sz="12" w:space="0" w:color="auto"/>
              <w:right w:val="nil"/>
            </w:tcBorders>
            <w:noWrap/>
            <w:vAlign w:val="bottom"/>
          </w:tcPr>
          <w:p w14:paraId="18499E3C" w14:textId="7C5DBDE7"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6,</w:t>
            </w:r>
            <w:r w:rsidR="001F3ADA" w:rsidRPr="001F3ADA">
              <w:rPr>
                <w:rFonts w:ascii="Arial" w:hAnsi="Arial" w:cs="Arial"/>
                <w:b/>
                <w:bCs/>
                <w:sz w:val="18"/>
                <w:szCs w:val="18"/>
              </w:rPr>
              <w:t>6</w:t>
            </w:r>
            <w:r w:rsidR="00945414">
              <w:rPr>
                <w:rFonts w:ascii="Arial" w:hAnsi="Arial" w:cs="Arial"/>
                <w:b/>
                <w:bCs/>
                <w:sz w:val="18"/>
                <w:szCs w:val="18"/>
              </w:rPr>
              <w:t>57</w:t>
            </w:r>
          </w:p>
        </w:tc>
        <w:tc>
          <w:tcPr>
            <w:tcW w:w="773" w:type="pct"/>
            <w:tcBorders>
              <w:top w:val="single" w:sz="4" w:space="0" w:color="auto"/>
              <w:left w:val="nil"/>
              <w:bottom w:val="single" w:sz="12" w:space="0" w:color="auto"/>
              <w:right w:val="nil"/>
            </w:tcBorders>
            <w:vAlign w:val="bottom"/>
          </w:tcPr>
          <w:p w14:paraId="5B4834B8"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6,748</w:t>
            </w:r>
          </w:p>
        </w:tc>
      </w:tr>
      <w:tr w:rsidR="00DD6303" w:rsidRPr="00EF1091" w14:paraId="019D8B02" w14:textId="77777777" w:rsidTr="00150F22">
        <w:trPr>
          <w:trHeight w:val="60"/>
        </w:trPr>
        <w:tc>
          <w:tcPr>
            <w:tcW w:w="3204" w:type="pct"/>
            <w:tcBorders>
              <w:top w:val="single" w:sz="12" w:space="0" w:color="auto"/>
              <w:left w:val="nil"/>
              <w:bottom w:val="nil"/>
              <w:right w:val="nil"/>
            </w:tcBorders>
            <w:noWrap/>
            <w:vAlign w:val="bottom"/>
          </w:tcPr>
          <w:p w14:paraId="3FF00FDE" w14:textId="77777777" w:rsidR="00DD6303" w:rsidRPr="00EF1091" w:rsidRDefault="00DD6303" w:rsidP="00DD6303">
            <w:pPr>
              <w:rPr>
                <w:rFonts w:ascii="Arial" w:hAnsi="Arial" w:cs="Arial"/>
                <w:sz w:val="18"/>
                <w:szCs w:val="18"/>
              </w:rPr>
            </w:pPr>
          </w:p>
        </w:tc>
        <w:tc>
          <w:tcPr>
            <w:tcW w:w="403" w:type="pct"/>
            <w:tcBorders>
              <w:top w:val="single" w:sz="12" w:space="0" w:color="auto"/>
              <w:left w:val="nil"/>
              <w:bottom w:val="nil"/>
              <w:right w:val="nil"/>
            </w:tcBorders>
            <w:noWrap/>
            <w:vAlign w:val="bottom"/>
          </w:tcPr>
          <w:p w14:paraId="779D7FCD" w14:textId="77777777" w:rsidR="00DD6303" w:rsidRPr="00EF1091" w:rsidRDefault="00DD6303" w:rsidP="00DD6303">
            <w:pPr>
              <w:jc w:val="center"/>
              <w:rPr>
                <w:rFonts w:ascii="Arial" w:hAnsi="Arial" w:cs="Arial"/>
                <w:sz w:val="18"/>
                <w:szCs w:val="18"/>
              </w:rPr>
            </w:pPr>
          </w:p>
        </w:tc>
        <w:tc>
          <w:tcPr>
            <w:tcW w:w="620" w:type="pct"/>
            <w:tcBorders>
              <w:top w:val="single" w:sz="12" w:space="0" w:color="auto"/>
              <w:left w:val="nil"/>
              <w:bottom w:val="nil"/>
              <w:right w:val="nil"/>
            </w:tcBorders>
            <w:noWrap/>
            <w:vAlign w:val="bottom"/>
          </w:tcPr>
          <w:p w14:paraId="703CD89A" w14:textId="77777777" w:rsidR="00DD6303" w:rsidRPr="001F3ADA" w:rsidRDefault="00DD6303" w:rsidP="00DD6303">
            <w:pPr>
              <w:jc w:val="right"/>
              <w:rPr>
                <w:rFonts w:ascii="Arial" w:hAnsi="Arial" w:cs="Arial"/>
                <w:b/>
                <w:bCs/>
                <w:sz w:val="18"/>
                <w:szCs w:val="18"/>
              </w:rPr>
            </w:pPr>
          </w:p>
        </w:tc>
        <w:tc>
          <w:tcPr>
            <w:tcW w:w="773" w:type="pct"/>
            <w:tcBorders>
              <w:top w:val="single" w:sz="12" w:space="0" w:color="auto"/>
              <w:left w:val="nil"/>
              <w:bottom w:val="nil"/>
              <w:right w:val="nil"/>
            </w:tcBorders>
            <w:vAlign w:val="bottom"/>
          </w:tcPr>
          <w:p w14:paraId="694E72F8" w14:textId="77777777" w:rsidR="00DD6303" w:rsidRPr="00B301D0" w:rsidRDefault="00DD6303" w:rsidP="00DD6303">
            <w:pPr>
              <w:jc w:val="right"/>
              <w:rPr>
                <w:rFonts w:ascii="Arial" w:hAnsi="Arial" w:cs="Arial"/>
                <w:bCs/>
                <w:sz w:val="18"/>
                <w:szCs w:val="18"/>
              </w:rPr>
            </w:pPr>
          </w:p>
        </w:tc>
      </w:tr>
      <w:tr w:rsidR="00DD6303" w:rsidRPr="00EF1091" w14:paraId="3A7E252F" w14:textId="77777777" w:rsidTr="00150F22">
        <w:trPr>
          <w:trHeight w:val="240"/>
        </w:trPr>
        <w:tc>
          <w:tcPr>
            <w:tcW w:w="3204" w:type="pct"/>
            <w:tcBorders>
              <w:top w:val="nil"/>
              <w:left w:val="nil"/>
              <w:bottom w:val="nil"/>
              <w:right w:val="nil"/>
            </w:tcBorders>
            <w:noWrap/>
            <w:vAlign w:val="bottom"/>
          </w:tcPr>
          <w:p w14:paraId="13EA8952" w14:textId="77777777" w:rsidR="00DD6303" w:rsidRPr="00EF1091" w:rsidRDefault="00DD6303" w:rsidP="00DD6303">
            <w:pPr>
              <w:rPr>
                <w:rFonts w:ascii="Arial" w:hAnsi="Arial" w:cs="Arial"/>
                <w:b/>
                <w:bCs/>
                <w:sz w:val="18"/>
                <w:szCs w:val="18"/>
              </w:rPr>
            </w:pPr>
            <w:r w:rsidRPr="00EF1091">
              <w:rPr>
                <w:rFonts w:ascii="Arial" w:hAnsi="Arial" w:cs="Arial"/>
                <w:b/>
                <w:bCs/>
                <w:sz w:val="18"/>
                <w:szCs w:val="18"/>
              </w:rPr>
              <w:t>Equity</w:t>
            </w:r>
          </w:p>
        </w:tc>
        <w:tc>
          <w:tcPr>
            <w:tcW w:w="403" w:type="pct"/>
            <w:tcBorders>
              <w:top w:val="nil"/>
              <w:left w:val="nil"/>
              <w:bottom w:val="nil"/>
              <w:right w:val="nil"/>
            </w:tcBorders>
            <w:noWrap/>
            <w:vAlign w:val="bottom"/>
          </w:tcPr>
          <w:p w14:paraId="27A2CE1B" w14:textId="77777777" w:rsidR="00DD6303" w:rsidRPr="00EF1091" w:rsidRDefault="00DD6303" w:rsidP="00DD6303">
            <w:pPr>
              <w:jc w:val="center"/>
              <w:rPr>
                <w:rFonts w:ascii="Arial" w:hAnsi="Arial" w:cs="Arial"/>
                <w:sz w:val="18"/>
                <w:szCs w:val="18"/>
              </w:rPr>
            </w:pPr>
          </w:p>
        </w:tc>
        <w:tc>
          <w:tcPr>
            <w:tcW w:w="620" w:type="pct"/>
            <w:tcBorders>
              <w:top w:val="nil"/>
              <w:left w:val="nil"/>
              <w:bottom w:val="nil"/>
              <w:right w:val="nil"/>
            </w:tcBorders>
            <w:noWrap/>
            <w:vAlign w:val="bottom"/>
          </w:tcPr>
          <w:p w14:paraId="2BC9B372" w14:textId="77777777" w:rsidR="00DD6303" w:rsidRPr="001F3ADA" w:rsidRDefault="00DD6303" w:rsidP="00DD6303">
            <w:pPr>
              <w:jc w:val="right"/>
              <w:rPr>
                <w:rFonts w:ascii="Arial" w:hAnsi="Arial" w:cs="Arial"/>
                <w:b/>
                <w:bCs/>
                <w:sz w:val="18"/>
                <w:szCs w:val="18"/>
              </w:rPr>
            </w:pPr>
          </w:p>
        </w:tc>
        <w:tc>
          <w:tcPr>
            <w:tcW w:w="773" w:type="pct"/>
            <w:tcBorders>
              <w:top w:val="nil"/>
              <w:left w:val="nil"/>
              <w:bottom w:val="nil"/>
              <w:right w:val="nil"/>
            </w:tcBorders>
            <w:vAlign w:val="bottom"/>
          </w:tcPr>
          <w:p w14:paraId="73F5DF23" w14:textId="77777777" w:rsidR="00DD6303" w:rsidRPr="00B301D0" w:rsidRDefault="00DD6303" w:rsidP="00DD6303">
            <w:pPr>
              <w:jc w:val="right"/>
              <w:rPr>
                <w:rFonts w:ascii="Arial" w:hAnsi="Arial" w:cs="Arial"/>
                <w:bCs/>
                <w:sz w:val="18"/>
                <w:szCs w:val="18"/>
              </w:rPr>
            </w:pPr>
          </w:p>
        </w:tc>
      </w:tr>
      <w:tr w:rsidR="00DD6303" w:rsidRPr="00EF1091" w14:paraId="4380C0C7" w14:textId="77777777" w:rsidTr="00150F22">
        <w:trPr>
          <w:trHeight w:val="240"/>
        </w:trPr>
        <w:tc>
          <w:tcPr>
            <w:tcW w:w="3204" w:type="pct"/>
            <w:tcBorders>
              <w:top w:val="nil"/>
              <w:left w:val="nil"/>
              <w:bottom w:val="nil"/>
              <w:right w:val="nil"/>
            </w:tcBorders>
            <w:noWrap/>
            <w:vAlign w:val="bottom"/>
          </w:tcPr>
          <w:p w14:paraId="146547AE" w14:textId="77777777" w:rsidR="00DD6303" w:rsidRPr="00EF1091" w:rsidRDefault="00DD6303" w:rsidP="00DD6303">
            <w:pPr>
              <w:rPr>
                <w:rFonts w:ascii="Arial" w:hAnsi="Arial" w:cs="Arial"/>
                <w:sz w:val="18"/>
                <w:szCs w:val="18"/>
              </w:rPr>
            </w:pPr>
            <w:r w:rsidRPr="00EF1091">
              <w:rPr>
                <w:rFonts w:ascii="Arial" w:hAnsi="Arial" w:cs="Arial"/>
                <w:sz w:val="18"/>
                <w:szCs w:val="18"/>
              </w:rPr>
              <w:t>Share capital</w:t>
            </w:r>
          </w:p>
        </w:tc>
        <w:tc>
          <w:tcPr>
            <w:tcW w:w="403" w:type="pct"/>
            <w:tcBorders>
              <w:top w:val="nil"/>
              <w:left w:val="nil"/>
              <w:bottom w:val="nil"/>
              <w:right w:val="nil"/>
            </w:tcBorders>
            <w:noWrap/>
            <w:vAlign w:val="bottom"/>
          </w:tcPr>
          <w:p w14:paraId="0C7B9C41" w14:textId="77777777" w:rsidR="00DD6303" w:rsidRPr="00EF1091" w:rsidRDefault="00DD6303" w:rsidP="00DD6303">
            <w:pPr>
              <w:jc w:val="center"/>
              <w:rPr>
                <w:rFonts w:ascii="Arial" w:hAnsi="Arial" w:cs="Arial"/>
                <w:sz w:val="18"/>
                <w:szCs w:val="18"/>
              </w:rPr>
            </w:pPr>
          </w:p>
        </w:tc>
        <w:tc>
          <w:tcPr>
            <w:tcW w:w="620" w:type="pct"/>
            <w:tcBorders>
              <w:top w:val="nil"/>
              <w:left w:val="nil"/>
              <w:bottom w:val="nil"/>
              <w:right w:val="nil"/>
            </w:tcBorders>
            <w:noWrap/>
            <w:vAlign w:val="bottom"/>
          </w:tcPr>
          <w:p w14:paraId="7D262C5F" w14:textId="77777777"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3</w:t>
            </w:r>
            <w:r w:rsidR="001F3ADA" w:rsidRPr="001F3ADA">
              <w:rPr>
                <w:rFonts w:ascii="Arial" w:hAnsi="Arial" w:cs="Arial"/>
                <w:b/>
                <w:bCs/>
                <w:sz w:val="18"/>
                <w:szCs w:val="18"/>
              </w:rPr>
              <w:t>32</w:t>
            </w:r>
          </w:p>
        </w:tc>
        <w:tc>
          <w:tcPr>
            <w:tcW w:w="773" w:type="pct"/>
            <w:tcBorders>
              <w:top w:val="nil"/>
              <w:left w:val="nil"/>
              <w:bottom w:val="nil"/>
              <w:right w:val="nil"/>
            </w:tcBorders>
            <w:vAlign w:val="bottom"/>
          </w:tcPr>
          <w:p w14:paraId="3C8132A5"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340</w:t>
            </w:r>
          </w:p>
        </w:tc>
      </w:tr>
      <w:tr w:rsidR="00DD6303" w:rsidRPr="00EF1091" w14:paraId="7CD4FB6A" w14:textId="77777777" w:rsidTr="00150F22">
        <w:trPr>
          <w:trHeight w:val="240"/>
        </w:trPr>
        <w:tc>
          <w:tcPr>
            <w:tcW w:w="3204" w:type="pct"/>
            <w:tcBorders>
              <w:top w:val="nil"/>
              <w:left w:val="nil"/>
              <w:bottom w:val="nil"/>
              <w:right w:val="nil"/>
            </w:tcBorders>
            <w:noWrap/>
            <w:vAlign w:val="bottom"/>
          </w:tcPr>
          <w:p w14:paraId="3D706E28" w14:textId="77777777" w:rsidR="00DD6303" w:rsidRPr="00EF1091" w:rsidRDefault="00DD6303" w:rsidP="00DD6303">
            <w:pPr>
              <w:rPr>
                <w:rFonts w:ascii="Arial" w:hAnsi="Arial" w:cs="Arial"/>
                <w:sz w:val="18"/>
                <w:szCs w:val="18"/>
              </w:rPr>
            </w:pPr>
            <w:r w:rsidRPr="00EF1091">
              <w:rPr>
                <w:rFonts w:ascii="Arial" w:hAnsi="Arial" w:cs="Arial"/>
                <w:sz w:val="18"/>
                <w:szCs w:val="18"/>
              </w:rPr>
              <w:t>Share premium</w:t>
            </w:r>
          </w:p>
        </w:tc>
        <w:tc>
          <w:tcPr>
            <w:tcW w:w="403" w:type="pct"/>
            <w:tcBorders>
              <w:top w:val="nil"/>
              <w:left w:val="nil"/>
              <w:bottom w:val="nil"/>
              <w:right w:val="nil"/>
            </w:tcBorders>
            <w:noWrap/>
            <w:vAlign w:val="bottom"/>
          </w:tcPr>
          <w:p w14:paraId="1D3EC289" w14:textId="77777777" w:rsidR="00DD6303" w:rsidRPr="00EF1091" w:rsidRDefault="00DD6303" w:rsidP="00DD6303">
            <w:pPr>
              <w:jc w:val="center"/>
              <w:rPr>
                <w:rFonts w:ascii="Arial" w:hAnsi="Arial" w:cs="Arial"/>
                <w:sz w:val="18"/>
                <w:szCs w:val="18"/>
              </w:rPr>
            </w:pPr>
          </w:p>
        </w:tc>
        <w:tc>
          <w:tcPr>
            <w:tcW w:w="620" w:type="pct"/>
            <w:tcBorders>
              <w:top w:val="nil"/>
              <w:left w:val="nil"/>
              <w:bottom w:val="nil"/>
              <w:right w:val="nil"/>
            </w:tcBorders>
            <w:noWrap/>
            <w:vAlign w:val="bottom"/>
          </w:tcPr>
          <w:p w14:paraId="0BB9B89F" w14:textId="77777777"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2,228</w:t>
            </w:r>
          </w:p>
        </w:tc>
        <w:tc>
          <w:tcPr>
            <w:tcW w:w="773" w:type="pct"/>
            <w:tcBorders>
              <w:top w:val="nil"/>
              <w:left w:val="nil"/>
              <w:bottom w:val="nil"/>
              <w:right w:val="nil"/>
            </w:tcBorders>
            <w:vAlign w:val="bottom"/>
          </w:tcPr>
          <w:p w14:paraId="6EEC5DBD"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2,228</w:t>
            </w:r>
          </w:p>
        </w:tc>
      </w:tr>
      <w:tr w:rsidR="00DD6303" w:rsidRPr="00EF1091" w14:paraId="17E9E10F" w14:textId="77777777" w:rsidTr="00150F22">
        <w:trPr>
          <w:trHeight w:val="240"/>
        </w:trPr>
        <w:tc>
          <w:tcPr>
            <w:tcW w:w="3204" w:type="pct"/>
            <w:tcBorders>
              <w:top w:val="nil"/>
              <w:left w:val="nil"/>
              <w:bottom w:val="nil"/>
              <w:right w:val="nil"/>
            </w:tcBorders>
            <w:noWrap/>
            <w:vAlign w:val="bottom"/>
          </w:tcPr>
          <w:p w14:paraId="11BE171C" w14:textId="77777777" w:rsidR="00DD6303" w:rsidRPr="00EF1091" w:rsidRDefault="00DD6303" w:rsidP="00DD6303">
            <w:pPr>
              <w:rPr>
                <w:rFonts w:ascii="Arial" w:hAnsi="Arial" w:cs="Arial"/>
                <w:sz w:val="18"/>
                <w:szCs w:val="18"/>
              </w:rPr>
            </w:pPr>
            <w:r w:rsidRPr="00EF1091">
              <w:rPr>
                <w:rFonts w:ascii="Arial" w:hAnsi="Arial" w:cs="Arial"/>
                <w:sz w:val="18"/>
                <w:szCs w:val="18"/>
              </w:rPr>
              <w:t xml:space="preserve">Own shares held </w:t>
            </w:r>
            <w:r>
              <w:rPr>
                <w:rFonts w:ascii="Arial" w:hAnsi="Arial" w:cs="Arial"/>
                <w:sz w:val="18"/>
                <w:szCs w:val="18"/>
              </w:rPr>
              <w:t>in ESOP trust</w:t>
            </w:r>
          </w:p>
        </w:tc>
        <w:tc>
          <w:tcPr>
            <w:tcW w:w="403" w:type="pct"/>
            <w:tcBorders>
              <w:top w:val="nil"/>
              <w:left w:val="nil"/>
              <w:bottom w:val="nil"/>
              <w:right w:val="nil"/>
            </w:tcBorders>
            <w:noWrap/>
            <w:vAlign w:val="bottom"/>
          </w:tcPr>
          <w:p w14:paraId="44893B8D" w14:textId="77777777" w:rsidR="00DD6303" w:rsidRPr="00EF1091" w:rsidRDefault="00DD6303" w:rsidP="00DD6303">
            <w:pPr>
              <w:jc w:val="center"/>
              <w:rPr>
                <w:rFonts w:ascii="Arial" w:hAnsi="Arial" w:cs="Arial"/>
                <w:sz w:val="18"/>
                <w:szCs w:val="18"/>
              </w:rPr>
            </w:pPr>
          </w:p>
        </w:tc>
        <w:tc>
          <w:tcPr>
            <w:tcW w:w="620" w:type="pct"/>
            <w:tcBorders>
              <w:top w:val="nil"/>
              <w:left w:val="nil"/>
              <w:bottom w:val="nil"/>
              <w:right w:val="nil"/>
            </w:tcBorders>
            <w:noWrap/>
            <w:vAlign w:val="bottom"/>
          </w:tcPr>
          <w:p w14:paraId="5FBE7AC5" w14:textId="77777777"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(2</w:t>
            </w:r>
            <w:r w:rsidR="001F3ADA" w:rsidRPr="001F3ADA">
              <w:rPr>
                <w:rFonts w:ascii="Arial" w:hAnsi="Arial" w:cs="Arial"/>
                <w:b/>
                <w:bCs/>
                <w:sz w:val="18"/>
                <w:szCs w:val="18"/>
              </w:rPr>
              <w:t>5</w:t>
            </w:r>
            <w:r w:rsidRPr="001F3ADA">
              <w:rPr>
                <w:rFonts w:ascii="Arial" w:hAnsi="Arial" w:cs="Arial"/>
                <w:b/>
                <w:bCs/>
                <w:sz w:val="18"/>
                <w:szCs w:val="18"/>
              </w:rPr>
              <w:t>)</w:t>
            </w:r>
          </w:p>
        </w:tc>
        <w:tc>
          <w:tcPr>
            <w:tcW w:w="773" w:type="pct"/>
            <w:tcBorders>
              <w:top w:val="nil"/>
              <w:left w:val="nil"/>
              <w:bottom w:val="nil"/>
              <w:right w:val="nil"/>
            </w:tcBorders>
            <w:vAlign w:val="bottom"/>
          </w:tcPr>
          <w:p w14:paraId="2978BCA5"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(29)</w:t>
            </w:r>
          </w:p>
        </w:tc>
      </w:tr>
      <w:tr w:rsidR="00DD6303" w:rsidRPr="00EF1091" w14:paraId="7563EADD" w14:textId="77777777" w:rsidTr="00150F22">
        <w:trPr>
          <w:trHeight w:val="240"/>
        </w:trPr>
        <w:tc>
          <w:tcPr>
            <w:tcW w:w="3204" w:type="pct"/>
            <w:tcBorders>
              <w:top w:val="nil"/>
              <w:left w:val="nil"/>
              <w:right w:val="nil"/>
            </w:tcBorders>
            <w:noWrap/>
            <w:vAlign w:val="bottom"/>
          </w:tcPr>
          <w:p w14:paraId="026BAB22" w14:textId="77777777" w:rsidR="00DD6303" w:rsidRPr="00EF1091" w:rsidRDefault="00DD6303" w:rsidP="00DD6303">
            <w:pPr>
              <w:rPr>
                <w:rFonts w:ascii="Arial" w:hAnsi="Arial" w:cs="Arial"/>
                <w:sz w:val="18"/>
                <w:szCs w:val="18"/>
              </w:rPr>
            </w:pPr>
            <w:r>
              <w:rPr>
                <w:rFonts w:ascii="Arial" w:hAnsi="Arial" w:cs="Arial"/>
                <w:sz w:val="18"/>
                <w:szCs w:val="18"/>
              </w:rPr>
              <w:t>Retained earnings</w:t>
            </w:r>
          </w:p>
        </w:tc>
        <w:tc>
          <w:tcPr>
            <w:tcW w:w="403" w:type="pct"/>
            <w:tcBorders>
              <w:top w:val="nil"/>
              <w:left w:val="nil"/>
              <w:right w:val="nil"/>
            </w:tcBorders>
            <w:noWrap/>
            <w:vAlign w:val="bottom"/>
          </w:tcPr>
          <w:p w14:paraId="7790F10B" w14:textId="77777777" w:rsidR="00DD6303" w:rsidRPr="00EF1091" w:rsidRDefault="00DD6303" w:rsidP="00DD6303">
            <w:pPr>
              <w:jc w:val="center"/>
              <w:rPr>
                <w:rFonts w:ascii="Arial" w:hAnsi="Arial" w:cs="Arial"/>
                <w:sz w:val="18"/>
                <w:szCs w:val="18"/>
              </w:rPr>
            </w:pPr>
          </w:p>
        </w:tc>
        <w:tc>
          <w:tcPr>
            <w:tcW w:w="620" w:type="pct"/>
            <w:tcBorders>
              <w:top w:val="nil"/>
              <w:left w:val="nil"/>
              <w:right w:val="nil"/>
            </w:tcBorders>
            <w:noWrap/>
            <w:vAlign w:val="bottom"/>
          </w:tcPr>
          <w:p w14:paraId="0E7C2DF6" w14:textId="68171779"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3,</w:t>
            </w:r>
            <w:r w:rsidR="00945414">
              <w:rPr>
                <w:rFonts w:ascii="Arial" w:hAnsi="Arial" w:cs="Arial"/>
                <w:b/>
                <w:bCs/>
                <w:sz w:val="18"/>
                <w:szCs w:val="18"/>
              </w:rPr>
              <w:t>696</w:t>
            </w:r>
          </w:p>
        </w:tc>
        <w:tc>
          <w:tcPr>
            <w:tcW w:w="773" w:type="pct"/>
            <w:tcBorders>
              <w:top w:val="nil"/>
              <w:left w:val="nil"/>
              <w:right w:val="nil"/>
            </w:tcBorders>
            <w:vAlign w:val="bottom"/>
          </w:tcPr>
          <w:p w14:paraId="4CFBDD41"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3,790</w:t>
            </w:r>
          </w:p>
        </w:tc>
      </w:tr>
      <w:tr w:rsidR="00DD6303" w:rsidRPr="00EF1091" w14:paraId="39529498" w14:textId="77777777" w:rsidTr="00150F22">
        <w:trPr>
          <w:trHeight w:val="240"/>
        </w:trPr>
        <w:tc>
          <w:tcPr>
            <w:tcW w:w="3204" w:type="pct"/>
            <w:tcBorders>
              <w:top w:val="nil"/>
              <w:left w:val="nil"/>
              <w:right w:val="nil"/>
            </w:tcBorders>
            <w:noWrap/>
            <w:vAlign w:val="bottom"/>
          </w:tcPr>
          <w:p w14:paraId="153621D7" w14:textId="77777777" w:rsidR="00DD6303" w:rsidRDefault="00DD6303" w:rsidP="00DD6303">
            <w:pPr>
              <w:rPr>
                <w:rFonts w:ascii="Arial" w:hAnsi="Arial" w:cs="Arial"/>
                <w:sz w:val="18"/>
                <w:szCs w:val="18"/>
              </w:rPr>
            </w:pPr>
            <w:r w:rsidRPr="00FA21A3">
              <w:rPr>
                <w:rFonts w:ascii="Arial" w:hAnsi="Arial" w:cs="Arial"/>
                <w:sz w:val="18"/>
                <w:szCs w:val="18"/>
              </w:rPr>
              <w:t>Capital redemption reserve</w:t>
            </w:r>
          </w:p>
        </w:tc>
        <w:tc>
          <w:tcPr>
            <w:tcW w:w="403" w:type="pct"/>
            <w:tcBorders>
              <w:top w:val="nil"/>
              <w:left w:val="nil"/>
              <w:right w:val="nil"/>
            </w:tcBorders>
            <w:noWrap/>
            <w:vAlign w:val="bottom"/>
          </w:tcPr>
          <w:p w14:paraId="58BCEAD4" w14:textId="77777777" w:rsidR="00DD6303" w:rsidRPr="00EF1091" w:rsidRDefault="00DD6303" w:rsidP="00DD6303">
            <w:pPr>
              <w:jc w:val="center"/>
              <w:rPr>
                <w:rFonts w:ascii="Arial" w:hAnsi="Arial" w:cs="Arial"/>
                <w:sz w:val="18"/>
                <w:szCs w:val="18"/>
              </w:rPr>
            </w:pPr>
          </w:p>
        </w:tc>
        <w:tc>
          <w:tcPr>
            <w:tcW w:w="620" w:type="pct"/>
            <w:tcBorders>
              <w:top w:val="nil"/>
              <w:left w:val="nil"/>
              <w:right w:val="nil"/>
            </w:tcBorders>
            <w:noWrap/>
            <w:vAlign w:val="bottom"/>
          </w:tcPr>
          <w:p w14:paraId="6289A9EB" w14:textId="77777777" w:rsidR="00DD6303" w:rsidRPr="001F3ADA" w:rsidRDefault="001F3ADA" w:rsidP="00DD6303">
            <w:pPr>
              <w:jc w:val="right"/>
              <w:rPr>
                <w:rFonts w:ascii="Arial" w:hAnsi="Arial" w:cs="Arial"/>
                <w:b/>
                <w:bCs/>
                <w:sz w:val="18"/>
                <w:szCs w:val="18"/>
              </w:rPr>
            </w:pPr>
            <w:r w:rsidRPr="001F3ADA">
              <w:rPr>
                <w:rFonts w:ascii="Arial" w:hAnsi="Arial" w:cs="Arial"/>
                <w:b/>
                <w:bCs/>
                <w:sz w:val="18"/>
                <w:szCs w:val="18"/>
              </w:rPr>
              <w:t>43</w:t>
            </w:r>
          </w:p>
        </w:tc>
        <w:tc>
          <w:tcPr>
            <w:tcW w:w="773" w:type="pct"/>
            <w:tcBorders>
              <w:top w:val="nil"/>
              <w:left w:val="nil"/>
              <w:right w:val="nil"/>
            </w:tcBorders>
            <w:vAlign w:val="bottom"/>
          </w:tcPr>
          <w:p w14:paraId="56489395"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35</w:t>
            </w:r>
          </w:p>
        </w:tc>
      </w:tr>
      <w:tr w:rsidR="00DD6303" w:rsidRPr="00EF1091" w14:paraId="62C6B010" w14:textId="77777777" w:rsidTr="00150F22">
        <w:trPr>
          <w:trHeight w:val="240"/>
        </w:trPr>
        <w:tc>
          <w:tcPr>
            <w:tcW w:w="3204" w:type="pct"/>
            <w:tcBorders>
              <w:top w:val="nil"/>
              <w:left w:val="nil"/>
              <w:bottom w:val="single" w:sz="4" w:space="0" w:color="auto"/>
              <w:right w:val="nil"/>
            </w:tcBorders>
            <w:noWrap/>
            <w:vAlign w:val="bottom"/>
          </w:tcPr>
          <w:p w14:paraId="301B606A" w14:textId="77777777" w:rsidR="00DD6303" w:rsidRPr="00EF1091" w:rsidRDefault="00DD6303" w:rsidP="00DD6303">
            <w:pPr>
              <w:rPr>
                <w:rFonts w:ascii="Arial" w:hAnsi="Arial" w:cs="Arial"/>
                <w:sz w:val="18"/>
                <w:szCs w:val="18"/>
              </w:rPr>
            </w:pPr>
            <w:r>
              <w:rPr>
                <w:rFonts w:ascii="Arial" w:hAnsi="Arial" w:cs="Arial"/>
                <w:sz w:val="18"/>
                <w:szCs w:val="18"/>
              </w:rPr>
              <w:t>Other r</w:t>
            </w:r>
            <w:r w:rsidRPr="00BA7064">
              <w:rPr>
                <w:rFonts w:ascii="Arial" w:hAnsi="Arial" w:cs="Arial"/>
                <w:sz w:val="18"/>
                <w:szCs w:val="18"/>
              </w:rPr>
              <w:t>eserves</w:t>
            </w:r>
          </w:p>
        </w:tc>
        <w:tc>
          <w:tcPr>
            <w:tcW w:w="403" w:type="pct"/>
            <w:tcBorders>
              <w:top w:val="nil"/>
              <w:left w:val="nil"/>
              <w:bottom w:val="single" w:sz="4" w:space="0" w:color="auto"/>
              <w:right w:val="nil"/>
            </w:tcBorders>
            <w:noWrap/>
            <w:vAlign w:val="bottom"/>
          </w:tcPr>
          <w:p w14:paraId="254E8A24" w14:textId="77777777" w:rsidR="00DD6303" w:rsidRPr="00EF1091" w:rsidRDefault="00DD6303" w:rsidP="00DD6303">
            <w:pPr>
              <w:jc w:val="center"/>
              <w:rPr>
                <w:rFonts w:ascii="Arial" w:hAnsi="Arial" w:cs="Arial"/>
                <w:sz w:val="18"/>
                <w:szCs w:val="18"/>
              </w:rPr>
            </w:pPr>
          </w:p>
        </w:tc>
        <w:tc>
          <w:tcPr>
            <w:tcW w:w="620" w:type="pct"/>
            <w:tcBorders>
              <w:top w:val="nil"/>
              <w:left w:val="nil"/>
              <w:bottom w:val="single" w:sz="4" w:space="0" w:color="auto"/>
              <w:right w:val="nil"/>
            </w:tcBorders>
            <w:noWrap/>
            <w:vAlign w:val="bottom"/>
          </w:tcPr>
          <w:p w14:paraId="5116536E" w14:textId="58EC7D3C"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38</w:t>
            </w:r>
            <w:r w:rsidR="00945414">
              <w:rPr>
                <w:rFonts w:ascii="Arial" w:hAnsi="Arial" w:cs="Arial"/>
                <w:b/>
                <w:bCs/>
                <w:sz w:val="18"/>
                <w:szCs w:val="18"/>
              </w:rPr>
              <w:t>3</w:t>
            </w:r>
          </w:p>
        </w:tc>
        <w:tc>
          <w:tcPr>
            <w:tcW w:w="773" w:type="pct"/>
            <w:tcBorders>
              <w:top w:val="nil"/>
              <w:left w:val="nil"/>
              <w:bottom w:val="single" w:sz="4" w:space="0" w:color="auto"/>
              <w:right w:val="nil"/>
            </w:tcBorders>
            <w:vAlign w:val="bottom"/>
          </w:tcPr>
          <w:p w14:paraId="608B8052"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384</w:t>
            </w:r>
          </w:p>
        </w:tc>
      </w:tr>
      <w:tr w:rsidR="00DD6303" w:rsidRPr="00EF1091" w14:paraId="286F796B" w14:textId="77777777" w:rsidTr="00FF3A76">
        <w:trPr>
          <w:trHeight w:val="255"/>
        </w:trPr>
        <w:tc>
          <w:tcPr>
            <w:tcW w:w="3204" w:type="pct"/>
            <w:tcBorders>
              <w:top w:val="single" w:sz="4" w:space="0" w:color="auto"/>
              <w:left w:val="nil"/>
              <w:bottom w:val="single" w:sz="12" w:space="0" w:color="auto"/>
              <w:right w:val="nil"/>
            </w:tcBorders>
            <w:noWrap/>
            <w:vAlign w:val="bottom"/>
          </w:tcPr>
          <w:p w14:paraId="7B5D53B0" w14:textId="77777777" w:rsidR="00DD6303" w:rsidRPr="00EF1091" w:rsidRDefault="00DD6303" w:rsidP="00DD6303">
            <w:pPr>
              <w:rPr>
                <w:rFonts w:ascii="Arial" w:hAnsi="Arial" w:cs="Arial"/>
                <w:b/>
                <w:bCs/>
                <w:sz w:val="18"/>
                <w:szCs w:val="18"/>
              </w:rPr>
            </w:pPr>
            <w:r w:rsidRPr="00530956">
              <w:rPr>
                <w:rFonts w:ascii="Arial" w:hAnsi="Arial" w:cs="Arial"/>
                <w:b/>
                <w:sz w:val="18"/>
                <w:szCs w:val="18"/>
              </w:rPr>
              <w:t xml:space="preserve">Total </w:t>
            </w:r>
            <w:r>
              <w:rPr>
                <w:rFonts w:ascii="Arial" w:hAnsi="Arial" w:cs="Arial"/>
                <w:b/>
                <w:sz w:val="18"/>
                <w:szCs w:val="18"/>
              </w:rPr>
              <w:t>equity</w:t>
            </w:r>
          </w:p>
        </w:tc>
        <w:tc>
          <w:tcPr>
            <w:tcW w:w="403" w:type="pct"/>
            <w:tcBorders>
              <w:top w:val="single" w:sz="4" w:space="0" w:color="auto"/>
              <w:left w:val="nil"/>
              <w:bottom w:val="single" w:sz="12" w:space="0" w:color="auto"/>
              <w:right w:val="nil"/>
            </w:tcBorders>
            <w:noWrap/>
            <w:vAlign w:val="bottom"/>
          </w:tcPr>
          <w:p w14:paraId="46608D22" w14:textId="77777777" w:rsidR="00DD6303" w:rsidRPr="00EF1091" w:rsidRDefault="00DD6303" w:rsidP="00DD6303">
            <w:pPr>
              <w:jc w:val="center"/>
              <w:rPr>
                <w:rFonts w:ascii="Arial" w:hAnsi="Arial" w:cs="Arial"/>
                <w:sz w:val="18"/>
                <w:szCs w:val="18"/>
              </w:rPr>
            </w:pPr>
          </w:p>
        </w:tc>
        <w:tc>
          <w:tcPr>
            <w:tcW w:w="620" w:type="pct"/>
            <w:tcBorders>
              <w:top w:val="single" w:sz="4" w:space="0" w:color="auto"/>
              <w:left w:val="nil"/>
              <w:bottom w:val="single" w:sz="12" w:space="0" w:color="auto"/>
              <w:right w:val="nil"/>
            </w:tcBorders>
            <w:noWrap/>
            <w:vAlign w:val="bottom"/>
          </w:tcPr>
          <w:p w14:paraId="0113377C" w14:textId="038D3F71" w:rsidR="00DD6303" w:rsidRPr="001F3ADA" w:rsidRDefault="00DD6303" w:rsidP="00DD6303">
            <w:pPr>
              <w:jc w:val="right"/>
              <w:rPr>
                <w:rFonts w:ascii="Arial" w:hAnsi="Arial" w:cs="Arial"/>
                <w:b/>
                <w:bCs/>
                <w:sz w:val="18"/>
                <w:szCs w:val="18"/>
              </w:rPr>
            </w:pPr>
            <w:r w:rsidRPr="001F3ADA">
              <w:rPr>
                <w:rFonts w:ascii="Arial" w:hAnsi="Arial" w:cs="Arial"/>
                <w:b/>
                <w:bCs/>
                <w:sz w:val="18"/>
                <w:szCs w:val="18"/>
              </w:rPr>
              <w:t>6,</w:t>
            </w:r>
            <w:r w:rsidR="001F3ADA" w:rsidRPr="001F3ADA">
              <w:rPr>
                <w:rFonts w:ascii="Arial" w:hAnsi="Arial" w:cs="Arial"/>
                <w:b/>
                <w:bCs/>
                <w:sz w:val="18"/>
                <w:szCs w:val="18"/>
              </w:rPr>
              <w:t>6</w:t>
            </w:r>
            <w:r w:rsidR="00945414">
              <w:rPr>
                <w:rFonts w:ascii="Arial" w:hAnsi="Arial" w:cs="Arial"/>
                <w:b/>
                <w:bCs/>
                <w:sz w:val="18"/>
                <w:szCs w:val="18"/>
              </w:rPr>
              <w:t>57</w:t>
            </w:r>
          </w:p>
        </w:tc>
        <w:tc>
          <w:tcPr>
            <w:tcW w:w="773" w:type="pct"/>
            <w:tcBorders>
              <w:top w:val="single" w:sz="4" w:space="0" w:color="auto"/>
              <w:left w:val="nil"/>
              <w:bottom w:val="single" w:sz="12" w:space="0" w:color="auto"/>
              <w:right w:val="nil"/>
            </w:tcBorders>
            <w:vAlign w:val="bottom"/>
          </w:tcPr>
          <w:p w14:paraId="59443343" w14:textId="77777777" w:rsidR="00DD6303" w:rsidRPr="000740A4" w:rsidRDefault="00DD6303" w:rsidP="00DD6303">
            <w:pPr>
              <w:jc w:val="right"/>
              <w:rPr>
                <w:rFonts w:ascii="Arial" w:hAnsi="Arial" w:cs="Arial"/>
                <w:bCs/>
                <w:sz w:val="18"/>
                <w:szCs w:val="18"/>
              </w:rPr>
            </w:pPr>
            <w:r w:rsidRPr="000740A4">
              <w:rPr>
                <w:rFonts w:ascii="Arial" w:hAnsi="Arial" w:cs="Arial"/>
                <w:bCs/>
                <w:sz w:val="18"/>
                <w:szCs w:val="18"/>
              </w:rPr>
              <w:t>6,748</w:t>
            </w:r>
          </w:p>
        </w:tc>
      </w:tr>
    </w:tbl>
    <w:p w14:paraId="5791C846" w14:textId="77777777" w:rsidR="00277D58" w:rsidRDefault="00277D58">
      <w:pPr>
        <w:rPr>
          <w:rFonts w:ascii="Arial" w:hAnsi="Arial" w:cs="Arial"/>
          <w:sz w:val="18"/>
          <w:szCs w:val="18"/>
        </w:rPr>
      </w:pPr>
    </w:p>
    <w:p w14:paraId="0EBD0D6F" w14:textId="77777777" w:rsidR="00DC25B4" w:rsidRPr="00EF1091" w:rsidRDefault="00DC25B4">
      <w:pPr>
        <w:rPr>
          <w:rFonts w:ascii="Arial" w:hAnsi="Arial" w:cs="Arial"/>
          <w:sz w:val="18"/>
          <w:szCs w:val="18"/>
        </w:rPr>
      </w:pPr>
      <w:r w:rsidRPr="00EF1091">
        <w:rPr>
          <w:rFonts w:ascii="Arial" w:hAnsi="Arial" w:cs="Arial"/>
          <w:sz w:val="18"/>
          <w:szCs w:val="18"/>
        </w:rPr>
        <w:t xml:space="preserve">The financial statements were approved by the Board of </w:t>
      </w:r>
      <w:r w:rsidRPr="0047604C">
        <w:rPr>
          <w:rFonts w:ascii="Arial" w:hAnsi="Arial" w:cs="Arial"/>
          <w:sz w:val="18"/>
          <w:szCs w:val="18"/>
        </w:rPr>
        <w:t xml:space="preserve">Directors on </w:t>
      </w:r>
      <w:r w:rsidR="00164D83">
        <w:rPr>
          <w:rFonts w:ascii="Arial" w:hAnsi="Arial" w:cs="Arial"/>
          <w:sz w:val="18"/>
          <w:szCs w:val="18"/>
        </w:rPr>
        <w:t>19</w:t>
      </w:r>
      <w:r w:rsidR="00F25CDE" w:rsidRPr="00B87BBF">
        <w:rPr>
          <w:rFonts w:ascii="Arial" w:hAnsi="Arial" w:cs="Arial"/>
          <w:sz w:val="18"/>
          <w:szCs w:val="18"/>
        </w:rPr>
        <w:t xml:space="preserve"> </w:t>
      </w:r>
      <w:r w:rsidRPr="00B87BBF">
        <w:rPr>
          <w:rFonts w:ascii="Arial" w:hAnsi="Arial" w:cs="Arial"/>
          <w:sz w:val="18"/>
          <w:szCs w:val="18"/>
        </w:rPr>
        <w:t xml:space="preserve">March </w:t>
      </w:r>
      <w:r w:rsidR="001A1B04" w:rsidRPr="00B87BBF">
        <w:rPr>
          <w:rFonts w:ascii="Arial" w:hAnsi="Arial" w:cs="Arial"/>
          <w:sz w:val="18"/>
          <w:szCs w:val="18"/>
        </w:rPr>
        <w:t>201</w:t>
      </w:r>
      <w:r w:rsidR="00C34C5F">
        <w:rPr>
          <w:rFonts w:ascii="Arial" w:hAnsi="Arial" w:cs="Arial"/>
          <w:sz w:val="18"/>
          <w:szCs w:val="18"/>
        </w:rPr>
        <w:t>9</w:t>
      </w:r>
      <w:r w:rsidR="001A1B04" w:rsidRPr="0047604C">
        <w:rPr>
          <w:rFonts w:ascii="Arial" w:hAnsi="Arial" w:cs="Arial"/>
          <w:sz w:val="18"/>
          <w:szCs w:val="18"/>
        </w:rPr>
        <w:t xml:space="preserve"> </w:t>
      </w:r>
      <w:r w:rsidRPr="0047604C">
        <w:rPr>
          <w:rFonts w:ascii="Arial" w:hAnsi="Arial" w:cs="Arial"/>
          <w:sz w:val="18"/>
          <w:szCs w:val="18"/>
        </w:rPr>
        <w:t>and</w:t>
      </w:r>
      <w:r w:rsidRPr="00EF1091">
        <w:rPr>
          <w:rFonts w:ascii="Arial" w:hAnsi="Arial" w:cs="Arial"/>
          <w:sz w:val="18"/>
          <w:szCs w:val="18"/>
        </w:rPr>
        <w:t xml:space="preserve"> signed on its behalf by:</w:t>
      </w:r>
    </w:p>
    <w:p w14:paraId="05B9134D" w14:textId="77777777" w:rsidR="000B19EC" w:rsidRDefault="000B19EC">
      <w:pPr>
        <w:rPr>
          <w:rFonts w:ascii="Arial" w:hAnsi="Arial" w:cs="Arial"/>
          <w:sz w:val="18"/>
          <w:szCs w:val="18"/>
        </w:rPr>
      </w:pPr>
    </w:p>
    <w:p w14:paraId="28261863" w14:textId="77777777" w:rsidR="00B45F67" w:rsidRDefault="00B45F67">
      <w:pPr>
        <w:rPr>
          <w:rFonts w:ascii="Arial" w:hAnsi="Arial" w:cs="Arial"/>
          <w:sz w:val="18"/>
          <w:szCs w:val="18"/>
        </w:rPr>
      </w:pPr>
    </w:p>
    <w:p w14:paraId="58825645" w14:textId="77777777" w:rsidR="00B45F67" w:rsidRPr="00EF1091" w:rsidRDefault="00B45F67">
      <w:pPr>
        <w:rPr>
          <w:rFonts w:ascii="Arial" w:hAnsi="Arial" w:cs="Arial"/>
          <w:sz w:val="18"/>
          <w:szCs w:val="18"/>
        </w:rPr>
      </w:pPr>
    </w:p>
    <w:p w14:paraId="1B3479C6" w14:textId="77777777" w:rsidR="00DC25B4" w:rsidRPr="00BA5B0D" w:rsidRDefault="001A1B04">
      <w:pPr>
        <w:rPr>
          <w:rFonts w:ascii="Arial" w:hAnsi="Arial" w:cs="Arial"/>
          <w:b/>
          <w:sz w:val="18"/>
          <w:szCs w:val="18"/>
        </w:rPr>
      </w:pPr>
      <w:r>
        <w:rPr>
          <w:rFonts w:ascii="Arial" w:hAnsi="Arial" w:cs="Arial"/>
          <w:b/>
          <w:bCs/>
          <w:sz w:val="18"/>
          <w:szCs w:val="18"/>
        </w:rPr>
        <w:t>Véronique Laury</w:t>
      </w:r>
      <w:r>
        <w:rPr>
          <w:rFonts w:ascii="Arial" w:hAnsi="Arial" w:cs="Arial"/>
          <w:b/>
          <w:bCs/>
          <w:sz w:val="18"/>
          <w:szCs w:val="18"/>
        </w:rPr>
        <w:tab/>
      </w:r>
      <w:r w:rsidR="00DC25B4" w:rsidRPr="00BA5B0D">
        <w:rPr>
          <w:rFonts w:ascii="Arial" w:hAnsi="Arial" w:cs="Arial"/>
          <w:b/>
          <w:bCs/>
          <w:sz w:val="18"/>
          <w:szCs w:val="18"/>
        </w:rPr>
        <w:tab/>
      </w:r>
      <w:r w:rsidR="00DC25B4" w:rsidRPr="00BA5B0D">
        <w:rPr>
          <w:rFonts w:ascii="Arial" w:hAnsi="Arial" w:cs="Arial"/>
          <w:b/>
          <w:bCs/>
          <w:sz w:val="18"/>
          <w:szCs w:val="18"/>
        </w:rPr>
        <w:tab/>
      </w:r>
      <w:r w:rsidR="00DC25B4" w:rsidRPr="00BA5B0D">
        <w:rPr>
          <w:rFonts w:ascii="Arial" w:hAnsi="Arial" w:cs="Arial"/>
          <w:b/>
          <w:bCs/>
          <w:sz w:val="18"/>
          <w:szCs w:val="18"/>
        </w:rPr>
        <w:tab/>
      </w:r>
      <w:r w:rsidR="005110E8" w:rsidRPr="00BA5B0D">
        <w:rPr>
          <w:rFonts w:ascii="Arial" w:hAnsi="Arial" w:cs="Arial"/>
          <w:b/>
          <w:bCs/>
          <w:sz w:val="18"/>
          <w:szCs w:val="18"/>
        </w:rPr>
        <w:tab/>
      </w:r>
      <w:r w:rsidR="00A20521">
        <w:rPr>
          <w:rFonts w:ascii="Arial" w:hAnsi="Arial" w:cs="Arial"/>
          <w:b/>
          <w:bCs/>
          <w:sz w:val="18"/>
          <w:szCs w:val="18"/>
        </w:rPr>
        <w:t>Karen Witts</w:t>
      </w:r>
    </w:p>
    <w:p w14:paraId="47305933" w14:textId="77777777" w:rsidR="00FF3A76" w:rsidRDefault="00CA6F51">
      <w:pPr>
        <w:rPr>
          <w:rFonts w:ascii="Arial" w:hAnsi="Arial" w:cs="Arial"/>
          <w:iCs/>
          <w:sz w:val="18"/>
          <w:szCs w:val="18"/>
        </w:rPr>
      </w:pPr>
      <w:r>
        <w:rPr>
          <w:rFonts w:ascii="Arial" w:hAnsi="Arial" w:cs="Arial"/>
          <w:iCs/>
          <w:sz w:val="18"/>
          <w:szCs w:val="18"/>
        </w:rPr>
        <w:t>Chief Executive</w:t>
      </w:r>
      <w:r w:rsidR="00C6225C">
        <w:rPr>
          <w:rFonts w:ascii="Arial" w:hAnsi="Arial" w:cs="Arial"/>
          <w:iCs/>
          <w:sz w:val="18"/>
          <w:szCs w:val="18"/>
        </w:rPr>
        <w:t xml:space="preserve"> Officer</w:t>
      </w:r>
      <w:r w:rsidR="00C6225C">
        <w:rPr>
          <w:rFonts w:ascii="Arial" w:hAnsi="Arial" w:cs="Arial"/>
          <w:iCs/>
          <w:sz w:val="18"/>
          <w:szCs w:val="18"/>
        </w:rPr>
        <w:tab/>
      </w:r>
      <w:r w:rsidR="00DC25B4" w:rsidRPr="00EF1091">
        <w:rPr>
          <w:rFonts w:ascii="Arial" w:hAnsi="Arial" w:cs="Arial"/>
          <w:iCs/>
          <w:sz w:val="18"/>
          <w:szCs w:val="18"/>
        </w:rPr>
        <w:tab/>
      </w:r>
      <w:r w:rsidR="00DC25B4" w:rsidRPr="00EF1091">
        <w:rPr>
          <w:rFonts w:ascii="Arial" w:hAnsi="Arial" w:cs="Arial"/>
          <w:iCs/>
          <w:sz w:val="18"/>
          <w:szCs w:val="18"/>
        </w:rPr>
        <w:tab/>
      </w:r>
      <w:r w:rsidR="005110E8">
        <w:rPr>
          <w:rFonts w:ascii="Arial" w:hAnsi="Arial" w:cs="Arial"/>
          <w:iCs/>
          <w:sz w:val="18"/>
          <w:szCs w:val="18"/>
        </w:rPr>
        <w:tab/>
      </w:r>
      <w:r w:rsidR="00C6225C">
        <w:rPr>
          <w:rFonts w:ascii="Arial" w:hAnsi="Arial" w:cs="Arial"/>
          <w:iCs/>
          <w:sz w:val="18"/>
          <w:szCs w:val="18"/>
        </w:rPr>
        <w:t>Chief Financial Officer</w:t>
      </w:r>
    </w:p>
    <w:p w14:paraId="24DAE32E" w14:textId="77777777" w:rsidR="008E2E1A" w:rsidRDefault="00FF3A76">
      <w:pPr>
        <w:rPr>
          <w:rFonts w:ascii="Arial" w:hAnsi="Arial" w:cs="Arial"/>
          <w:iCs/>
          <w:sz w:val="18"/>
          <w:szCs w:val="18"/>
        </w:rPr>
      </w:pPr>
      <w:r>
        <w:rPr>
          <w:rFonts w:ascii="Arial" w:hAnsi="Arial" w:cs="Arial"/>
          <w:iCs/>
          <w:sz w:val="18"/>
          <w:szCs w:val="18"/>
        </w:rPr>
        <w:br w:type="page"/>
      </w:r>
    </w:p>
    <w:tbl>
      <w:tblPr>
        <w:tblW w:w="5000" w:type="pct"/>
        <w:tblLayout w:type="fixed"/>
        <w:tblLook w:val="0000" w:firstRow="0" w:lastRow="0" w:firstColumn="0" w:lastColumn="0" w:noHBand="0" w:noVBand="0"/>
      </w:tblPr>
      <w:tblGrid>
        <w:gridCol w:w="6399"/>
        <w:gridCol w:w="844"/>
        <w:gridCol w:w="979"/>
        <w:gridCol w:w="1184"/>
        <w:gridCol w:w="233"/>
      </w:tblGrid>
      <w:tr w:rsidR="00CA3EE0" w:rsidRPr="00EF1091" w14:paraId="59F4E738" w14:textId="77777777" w:rsidTr="001606EE">
        <w:trPr>
          <w:trHeight w:val="402"/>
        </w:trPr>
        <w:tc>
          <w:tcPr>
            <w:tcW w:w="3319" w:type="pct"/>
            <w:tcBorders>
              <w:top w:val="nil"/>
              <w:left w:val="nil"/>
              <w:bottom w:val="nil"/>
              <w:right w:val="nil"/>
            </w:tcBorders>
            <w:noWrap/>
            <w:vAlign w:val="bottom"/>
          </w:tcPr>
          <w:p w14:paraId="7C4A1387" w14:textId="77777777" w:rsidR="00CA3EE0" w:rsidRPr="00EF1091" w:rsidRDefault="00624F57">
            <w:pPr>
              <w:rPr>
                <w:rFonts w:ascii="Arial" w:hAnsi="Arial" w:cs="Arial"/>
                <w:b/>
                <w:bCs/>
                <w:sz w:val="18"/>
                <w:szCs w:val="18"/>
              </w:rPr>
            </w:pPr>
            <w:r>
              <w:rPr>
                <w:rFonts w:ascii="Arial" w:hAnsi="Arial" w:cs="Arial"/>
                <w:iCs/>
                <w:sz w:val="18"/>
                <w:szCs w:val="18"/>
              </w:rPr>
              <w:lastRenderedPageBreak/>
              <w:br w:type="page"/>
            </w:r>
            <w:r w:rsidR="00CA3EE0" w:rsidRPr="00EF1091">
              <w:rPr>
                <w:rFonts w:ascii="Arial" w:hAnsi="Arial" w:cs="Arial"/>
                <w:b/>
                <w:bCs/>
                <w:sz w:val="18"/>
                <w:szCs w:val="18"/>
              </w:rPr>
              <w:t>Consolidated cash flow statement</w:t>
            </w:r>
          </w:p>
        </w:tc>
        <w:tc>
          <w:tcPr>
            <w:tcW w:w="1681" w:type="pct"/>
            <w:gridSpan w:val="4"/>
            <w:tcBorders>
              <w:top w:val="nil"/>
              <w:left w:val="nil"/>
              <w:bottom w:val="nil"/>
              <w:right w:val="nil"/>
            </w:tcBorders>
            <w:vAlign w:val="bottom"/>
          </w:tcPr>
          <w:p w14:paraId="40DC2E9C" w14:textId="77777777" w:rsidR="00CA3EE0" w:rsidRPr="00EF1091" w:rsidRDefault="00CA3EE0">
            <w:pPr>
              <w:rPr>
                <w:rFonts w:ascii="Arial" w:hAnsi="Arial" w:cs="Arial"/>
                <w:b/>
                <w:bCs/>
                <w:sz w:val="18"/>
                <w:szCs w:val="18"/>
              </w:rPr>
            </w:pPr>
          </w:p>
        </w:tc>
      </w:tr>
      <w:tr w:rsidR="00CA3EE0" w:rsidRPr="00EF1091" w14:paraId="3ADE6D04" w14:textId="77777777" w:rsidTr="001606EE">
        <w:trPr>
          <w:trHeight w:val="282"/>
        </w:trPr>
        <w:tc>
          <w:tcPr>
            <w:tcW w:w="3319" w:type="pct"/>
            <w:tcBorders>
              <w:top w:val="nil"/>
              <w:left w:val="nil"/>
              <w:bottom w:val="nil"/>
              <w:right w:val="nil"/>
            </w:tcBorders>
            <w:noWrap/>
            <w:vAlign w:val="bottom"/>
          </w:tcPr>
          <w:p w14:paraId="2357334D" w14:textId="77777777" w:rsidR="00CA3EE0" w:rsidRPr="00EF1091" w:rsidRDefault="00965CD2" w:rsidP="008C583A">
            <w:pPr>
              <w:rPr>
                <w:rFonts w:ascii="Arial" w:hAnsi="Arial" w:cs="Arial"/>
                <w:sz w:val="18"/>
                <w:szCs w:val="18"/>
              </w:rPr>
            </w:pPr>
            <w:r>
              <w:rPr>
                <w:rFonts w:ascii="Arial" w:hAnsi="Arial" w:cs="Arial"/>
                <w:sz w:val="18"/>
                <w:szCs w:val="18"/>
              </w:rPr>
              <w:t>Y</w:t>
            </w:r>
            <w:r w:rsidR="00CA3EE0" w:rsidRPr="00EF1091">
              <w:rPr>
                <w:rFonts w:ascii="Arial" w:hAnsi="Arial" w:cs="Arial"/>
                <w:sz w:val="18"/>
                <w:szCs w:val="18"/>
              </w:rPr>
              <w:t xml:space="preserve">ear ended </w:t>
            </w:r>
            <w:r w:rsidR="00FC37BE">
              <w:rPr>
                <w:rFonts w:ascii="Arial" w:hAnsi="Arial" w:cs="Arial"/>
                <w:sz w:val="18"/>
                <w:szCs w:val="18"/>
              </w:rPr>
              <w:t>31 January 201</w:t>
            </w:r>
            <w:r w:rsidR="000740A4">
              <w:rPr>
                <w:rFonts w:ascii="Arial" w:hAnsi="Arial" w:cs="Arial"/>
                <w:sz w:val="18"/>
                <w:szCs w:val="18"/>
              </w:rPr>
              <w:t>9</w:t>
            </w:r>
          </w:p>
        </w:tc>
        <w:tc>
          <w:tcPr>
            <w:tcW w:w="1681" w:type="pct"/>
            <w:gridSpan w:val="4"/>
            <w:tcBorders>
              <w:top w:val="nil"/>
              <w:left w:val="nil"/>
              <w:bottom w:val="nil"/>
              <w:right w:val="nil"/>
            </w:tcBorders>
            <w:vAlign w:val="bottom"/>
          </w:tcPr>
          <w:p w14:paraId="6357D049" w14:textId="77777777" w:rsidR="00CA3EE0" w:rsidRPr="00EF1091" w:rsidRDefault="00CA3EE0">
            <w:pPr>
              <w:rPr>
                <w:rFonts w:ascii="Arial" w:hAnsi="Arial" w:cs="Arial"/>
                <w:sz w:val="18"/>
                <w:szCs w:val="18"/>
              </w:rPr>
            </w:pPr>
          </w:p>
        </w:tc>
      </w:tr>
      <w:tr w:rsidR="00CA3EE0" w:rsidRPr="00EF1091" w14:paraId="322AE1E4" w14:textId="77777777" w:rsidTr="001606EE">
        <w:trPr>
          <w:trHeight w:val="282"/>
        </w:trPr>
        <w:tc>
          <w:tcPr>
            <w:tcW w:w="3319" w:type="pct"/>
            <w:tcBorders>
              <w:top w:val="nil"/>
              <w:left w:val="nil"/>
              <w:bottom w:val="nil"/>
              <w:right w:val="nil"/>
            </w:tcBorders>
            <w:noWrap/>
            <w:vAlign w:val="bottom"/>
          </w:tcPr>
          <w:p w14:paraId="02090CE5" w14:textId="77777777" w:rsidR="00CA3EE0" w:rsidRPr="00EF1091" w:rsidRDefault="00CA3EE0">
            <w:pPr>
              <w:rPr>
                <w:rFonts w:ascii="Arial" w:hAnsi="Arial" w:cs="Arial"/>
                <w:sz w:val="18"/>
                <w:szCs w:val="18"/>
              </w:rPr>
            </w:pPr>
          </w:p>
        </w:tc>
        <w:tc>
          <w:tcPr>
            <w:tcW w:w="1681" w:type="pct"/>
            <w:gridSpan w:val="4"/>
            <w:tcBorders>
              <w:top w:val="nil"/>
              <w:left w:val="nil"/>
              <w:bottom w:val="nil"/>
              <w:right w:val="nil"/>
            </w:tcBorders>
            <w:vAlign w:val="bottom"/>
          </w:tcPr>
          <w:p w14:paraId="304069E2" w14:textId="77777777" w:rsidR="00CA3EE0" w:rsidRPr="00EF1091" w:rsidRDefault="00CA3EE0">
            <w:pPr>
              <w:rPr>
                <w:rFonts w:ascii="Arial" w:hAnsi="Arial" w:cs="Arial"/>
                <w:sz w:val="18"/>
                <w:szCs w:val="18"/>
              </w:rPr>
            </w:pPr>
          </w:p>
        </w:tc>
      </w:tr>
      <w:tr w:rsidR="000D007B" w14:paraId="4359023A" w14:textId="77777777" w:rsidTr="001606EE">
        <w:trPr>
          <w:gridAfter w:val="1"/>
          <w:wAfter w:w="121" w:type="pct"/>
          <w:trHeight w:val="255"/>
        </w:trPr>
        <w:tc>
          <w:tcPr>
            <w:tcW w:w="3319" w:type="pct"/>
            <w:tcBorders>
              <w:top w:val="nil"/>
              <w:left w:val="nil"/>
              <w:bottom w:val="single" w:sz="4" w:space="0" w:color="auto"/>
              <w:right w:val="nil"/>
            </w:tcBorders>
            <w:shd w:val="clear" w:color="auto" w:fill="auto"/>
            <w:noWrap/>
            <w:vAlign w:val="bottom"/>
          </w:tcPr>
          <w:p w14:paraId="3228A9B1" w14:textId="77777777" w:rsidR="000D007B" w:rsidRPr="00A54BAA" w:rsidRDefault="000D007B" w:rsidP="00A54BAA">
            <w:pPr>
              <w:rPr>
                <w:rFonts w:ascii="Arial" w:hAnsi="Arial" w:cs="Arial"/>
                <w:sz w:val="18"/>
                <w:szCs w:val="18"/>
              </w:rPr>
            </w:pPr>
            <w:r w:rsidRPr="00A54BAA">
              <w:rPr>
                <w:rFonts w:ascii="Arial" w:hAnsi="Arial" w:cs="Arial"/>
                <w:sz w:val="18"/>
                <w:szCs w:val="18"/>
              </w:rPr>
              <w:t>£ millions</w:t>
            </w:r>
          </w:p>
        </w:tc>
        <w:tc>
          <w:tcPr>
            <w:tcW w:w="438" w:type="pct"/>
            <w:tcBorders>
              <w:top w:val="nil"/>
              <w:left w:val="nil"/>
              <w:bottom w:val="single" w:sz="4" w:space="0" w:color="auto"/>
              <w:right w:val="nil"/>
            </w:tcBorders>
            <w:vAlign w:val="bottom"/>
          </w:tcPr>
          <w:p w14:paraId="5D02B82D" w14:textId="77777777" w:rsidR="000D007B" w:rsidRPr="00CF4660" w:rsidRDefault="000D007B" w:rsidP="00CA3EE0">
            <w:pPr>
              <w:jc w:val="center"/>
              <w:rPr>
                <w:rFonts w:ascii="Arial" w:hAnsi="Arial" w:cs="Arial"/>
                <w:bCs/>
                <w:sz w:val="18"/>
                <w:szCs w:val="18"/>
              </w:rPr>
            </w:pPr>
            <w:r>
              <w:rPr>
                <w:rFonts w:ascii="Arial" w:hAnsi="Arial" w:cs="Arial"/>
                <w:bCs/>
                <w:sz w:val="18"/>
                <w:szCs w:val="18"/>
              </w:rPr>
              <w:t>Notes</w:t>
            </w:r>
          </w:p>
        </w:tc>
        <w:tc>
          <w:tcPr>
            <w:tcW w:w="508" w:type="pct"/>
            <w:tcBorders>
              <w:top w:val="nil"/>
              <w:left w:val="nil"/>
              <w:bottom w:val="single" w:sz="4" w:space="0" w:color="auto"/>
              <w:right w:val="nil"/>
            </w:tcBorders>
            <w:shd w:val="clear" w:color="auto" w:fill="auto"/>
            <w:noWrap/>
            <w:vAlign w:val="bottom"/>
          </w:tcPr>
          <w:p w14:paraId="4C607E1F" w14:textId="77777777" w:rsidR="000D007B" w:rsidRPr="00CF4660" w:rsidRDefault="000D007B" w:rsidP="00B301D0">
            <w:pPr>
              <w:jc w:val="right"/>
              <w:rPr>
                <w:rFonts w:ascii="Arial" w:hAnsi="Arial" w:cs="Arial"/>
                <w:bCs/>
                <w:sz w:val="18"/>
                <w:szCs w:val="18"/>
              </w:rPr>
            </w:pPr>
            <w:r w:rsidRPr="00CF4660">
              <w:rPr>
                <w:rFonts w:ascii="Arial" w:hAnsi="Arial" w:cs="Arial"/>
                <w:bCs/>
                <w:sz w:val="18"/>
                <w:szCs w:val="18"/>
              </w:rPr>
              <w:t xml:space="preserve"> 20</w:t>
            </w:r>
            <w:r w:rsidR="00B301D0">
              <w:rPr>
                <w:rFonts w:ascii="Arial" w:hAnsi="Arial" w:cs="Arial"/>
                <w:bCs/>
                <w:sz w:val="18"/>
                <w:szCs w:val="18"/>
              </w:rPr>
              <w:t>1</w:t>
            </w:r>
            <w:r w:rsidR="000740A4">
              <w:rPr>
                <w:rFonts w:ascii="Arial" w:hAnsi="Arial" w:cs="Arial"/>
                <w:bCs/>
                <w:sz w:val="18"/>
                <w:szCs w:val="18"/>
              </w:rPr>
              <w:t>8</w:t>
            </w:r>
            <w:r w:rsidRPr="00CF4660">
              <w:rPr>
                <w:rFonts w:ascii="Arial" w:hAnsi="Arial" w:cs="Arial"/>
                <w:bCs/>
                <w:sz w:val="18"/>
                <w:szCs w:val="18"/>
              </w:rPr>
              <w:t>/</w:t>
            </w:r>
            <w:r>
              <w:rPr>
                <w:rFonts w:ascii="Arial" w:hAnsi="Arial" w:cs="Arial"/>
                <w:bCs/>
                <w:sz w:val="18"/>
                <w:szCs w:val="18"/>
              </w:rPr>
              <w:t>1</w:t>
            </w:r>
            <w:r w:rsidR="000740A4">
              <w:rPr>
                <w:rFonts w:ascii="Arial" w:hAnsi="Arial" w:cs="Arial"/>
                <w:bCs/>
                <w:sz w:val="18"/>
                <w:szCs w:val="18"/>
              </w:rPr>
              <w:t>9</w:t>
            </w:r>
          </w:p>
        </w:tc>
        <w:tc>
          <w:tcPr>
            <w:tcW w:w="614" w:type="pct"/>
            <w:tcBorders>
              <w:top w:val="nil"/>
              <w:left w:val="nil"/>
              <w:bottom w:val="single" w:sz="4" w:space="0" w:color="auto"/>
              <w:right w:val="nil"/>
            </w:tcBorders>
            <w:shd w:val="clear" w:color="auto" w:fill="auto"/>
            <w:noWrap/>
            <w:vAlign w:val="bottom"/>
          </w:tcPr>
          <w:p w14:paraId="2CD35B0E" w14:textId="77777777" w:rsidR="000D007B" w:rsidRPr="000C6980" w:rsidRDefault="000D007B" w:rsidP="00B301D0">
            <w:pPr>
              <w:jc w:val="right"/>
              <w:rPr>
                <w:rFonts w:ascii="Arial" w:hAnsi="Arial" w:cs="Arial"/>
                <w:sz w:val="18"/>
                <w:szCs w:val="18"/>
              </w:rPr>
            </w:pPr>
            <w:r w:rsidRPr="00CF4660">
              <w:rPr>
                <w:rFonts w:ascii="Arial" w:hAnsi="Arial" w:cs="Arial"/>
                <w:bCs/>
                <w:sz w:val="18"/>
                <w:szCs w:val="18"/>
              </w:rPr>
              <w:t xml:space="preserve"> 20</w:t>
            </w:r>
            <w:r w:rsidR="00EB1368">
              <w:rPr>
                <w:rFonts w:ascii="Arial" w:hAnsi="Arial" w:cs="Arial"/>
                <w:bCs/>
                <w:sz w:val="18"/>
                <w:szCs w:val="18"/>
              </w:rPr>
              <w:t>1</w:t>
            </w:r>
            <w:r w:rsidR="000740A4">
              <w:rPr>
                <w:rFonts w:ascii="Arial" w:hAnsi="Arial" w:cs="Arial"/>
                <w:bCs/>
                <w:sz w:val="18"/>
                <w:szCs w:val="18"/>
              </w:rPr>
              <w:t>7</w:t>
            </w:r>
            <w:r w:rsidRPr="00CF4660">
              <w:rPr>
                <w:rFonts w:ascii="Arial" w:hAnsi="Arial" w:cs="Arial"/>
                <w:bCs/>
                <w:sz w:val="18"/>
                <w:szCs w:val="18"/>
              </w:rPr>
              <w:t>/</w:t>
            </w:r>
            <w:r>
              <w:rPr>
                <w:rFonts w:ascii="Arial" w:hAnsi="Arial" w:cs="Arial"/>
                <w:bCs/>
                <w:sz w:val="18"/>
                <w:szCs w:val="18"/>
              </w:rPr>
              <w:t>1</w:t>
            </w:r>
            <w:r w:rsidR="000740A4">
              <w:rPr>
                <w:rFonts w:ascii="Arial" w:hAnsi="Arial" w:cs="Arial"/>
                <w:bCs/>
                <w:sz w:val="18"/>
                <w:szCs w:val="18"/>
              </w:rPr>
              <w:t>8</w:t>
            </w:r>
          </w:p>
        </w:tc>
      </w:tr>
      <w:tr w:rsidR="000D007B" w:rsidRPr="003B1B97" w14:paraId="31DBD51E" w14:textId="77777777" w:rsidTr="001606EE">
        <w:trPr>
          <w:gridAfter w:val="1"/>
          <w:wAfter w:w="121" w:type="pct"/>
          <w:trHeight w:val="255"/>
        </w:trPr>
        <w:tc>
          <w:tcPr>
            <w:tcW w:w="3319" w:type="pct"/>
            <w:tcBorders>
              <w:top w:val="nil"/>
              <w:left w:val="nil"/>
              <w:right w:val="nil"/>
            </w:tcBorders>
            <w:shd w:val="clear" w:color="auto" w:fill="auto"/>
            <w:noWrap/>
            <w:vAlign w:val="bottom"/>
          </w:tcPr>
          <w:p w14:paraId="48B73241" w14:textId="77777777" w:rsidR="000D007B" w:rsidRPr="00A54BAA" w:rsidRDefault="000D007B" w:rsidP="00A54BAA">
            <w:pPr>
              <w:rPr>
                <w:rFonts w:ascii="Arial" w:hAnsi="Arial" w:cs="Arial"/>
                <w:b/>
                <w:bCs/>
                <w:sz w:val="18"/>
                <w:szCs w:val="18"/>
              </w:rPr>
            </w:pPr>
            <w:r>
              <w:rPr>
                <w:rFonts w:ascii="Arial" w:hAnsi="Arial" w:cs="Arial"/>
                <w:b/>
                <w:bCs/>
                <w:sz w:val="18"/>
                <w:szCs w:val="18"/>
              </w:rPr>
              <w:t>O</w:t>
            </w:r>
            <w:r w:rsidRPr="002A7D7A">
              <w:rPr>
                <w:rFonts w:ascii="Arial" w:hAnsi="Arial" w:cs="Arial"/>
                <w:b/>
                <w:bCs/>
                <w:sz w:val="18"/>
                <w:szCs w:val="18"/>
              </w:rPr>
              <w:t>perating activities</w:t>
            </w:r>
            <w:r>
              <w:rPr>
                <w:rFonts w:ascii="Arial" w:hAnsi="Arial" w:cs="Arial"/>
                <w:b/>
                <w:bCs/>
                <w:sz w:val="18"/>
                <w:szCs w:val="18"/>
              </w:rPr>
              <w:t xml:space="preserve"> </w:t>
            </w:r>
          </w:p>
        </w:tc>
        <w:tc>
          <w:tcPr>
            <w:tcW w:w="438" w:type="pct"/>
            <w:tcBorders>
              <w:top w:val="nil"/>
              <w:left w:val="nil"/>
              <w:right w:val="nil"/>
            </w:tcBorders>
            <w:vAlign w:val="bottom"/>
          </w:tcPr>
          <w:p w14:paraId="370FB085" w14:textId="77777777" w:rsidR="000D007B" w:rsidRPr="00CA3EE0" w:rsidRDefault="000D007B" w:rsidP="00CA3EE0">
            <w:pPr>
              <w:jc w:val="center"/>
              <w:rPr>
                <w:rFonts w:ascii="Arial" w:hAnsi="Arial" w:cs="Arial"/>
                <w:bCs/>
                <w:sz w:val="18"/>
                <w:szCs w:val="18"/>
              </w:rPr>
            </w:pPr>
          </w:p>
        </w:tc>
        <w:tc>
          <w:tcPr>
            <w:tcW w:w="508" w:type="pct"/>
            <w:tcBorders>
              <w:top w:val="nil"/>
              <w:left w:val="nil"/>
              <w:right w:val="nil"/>
            </w:tcBorders>
            <w:shd w:val="clear" w:color="auto" w:fill="auto"/>
            <w:noWrap/>
            <w:vAlign w:val="bottom"/>
          </w:tcPr>
          <w:p w14:paraId="6FF3AE0A" w14:textId="77777777" w:rsidR="000D007B" w:rsidRPr="00A54BAA" w:rsidRDefault="000D007B" w:rsidP="00A54BAA">
            <w:pPr>
              <w:jc w:val="right"/>
              <w:rPr>
                <w:rFonts w:ascii="Arial" w:hAnsi="Arial" w:cs="Arial"/>
                <w:b/>
                <w:bCs/>
                <w:sz w:val="18"/>
                <w:szCs w:val="18"/>
              </w:rPr>
            </w:pPr>
          </w:p>
        </w:tc>
        <w:tc>
          <w:tcPr>
            <w:tcW w:w="614" w:type="pct"/>
            <w:tcBorders>
              <w:top w:val="nil"/>
              <w:left w:val="nil"/>
              <w:right w:val="nil"/>
            </w:tcBorders>
            <w:shd w:val="clear" w:color="auto" w:fill="auto"/>
            <w:noWrap/>
            <w:vAlign w:val="bottom"/>
          </w:tcPr>
          <w:p w14:paraId="726899A9" w14:textId="77777777" w:rsidR="000D007B" w:rsidRPr="00E737D3" w:rsidRDefault="000D007B" w:rsidP="00A54BAA">
            <w:pPr>
              <w:jc w:val="right"/>
              <w:rPr>
                <w:rFonts w:ascii="Arial" w:hAnsi="Arial" w:cs="Arial"/>
                <w:sz w:val="18"/>
                <w:szCs w:val="18"/>
              </w:rPr>
            </w:pPr>
          </w:p>
        </w:tc>
      </w:tr>
      <w:tr w:rsidR="000740A4" w:rsidRPr="00FC44B0" w14:paraId="74858A57" w14:textId="77777777" w:rsidTr="001606EE">
        <w:trPr>
          <w:gridAfter w:val="1"/>
          <w:wAfter w:w="121" w:type="pct"/>
          <w:trHeight w:val="255"/>
        </w:trPr>
        <w:tc>
          <w:tcPr>
            <w:tcW w:w="3319" w:type="pct"/>
            <w:tcBorders>
              <w:top w:val="nil"/>
              <w:left w:val="nil"/>
              <w:right w:val="nil"/>
            </w:tcBorders>
            <w:shd w:val="clear" w:color="auto" w:fill="auto"/>
            <w:noWrap/>
            <w:vAlign w:val="bottom"/>
          </w:tcPr>
          <w:p w14:paraId="598BA8F4" w14:textId="77777777" w:rsidR="000740A4" w:rsidRDefault="000740A4" w:rsidP="000740A4">
            <w:pPr>
              <w:rPr>
                <w:rFonts w:ascii="Arial" w:hAnsi="Arial" w:cs="Arial"/>
                <w:sz w:val="18"/>
                <w:szCs w:val="18"/>
              </w:rPr>
            </w:pPr>
            <w:r>
              <w:rPr>
                <w:rFonts w:ascii="Arial" w:hAnsi="Arial" w:cs="Arial"/>
                <w:sz w:val="18"/>
                <w:szCs w:val="18"/>
              </w:rPr>
              <w:t>Cash generated by operations</w:t>
            </w:r>
          </w:p>
        </w:tc>
        <w:tc>
          <w:tcPr>
            <w:tcW w:w="438" w:type="pct"/>
            <w:tcBorders>
              <w:top w:val="nil"/>
              <w:left w:val="nil"/>
              <w:right w:val="nil"/>
            </w:tcBorders>
            <w:vAlign w:val="bottom"/>
          </w:tcPr>
          <w:p w14:paraId="5DDD764D" w14:textId="77777777" w:rsidR="000740A4" w:rsidRPr="00FC44B0" w:rsidRDefault="000740A4" w:rsidP="000740A4">
            <w:pPr>
              <w:jc w:val="center"/>
              <w:rPr>
                <w:rFonts w:ascii="Arial" w:hAnsi="Arial" w:cs="Arial"/>
                <w:sz w:val="18"/>
                <w:szCs w:val="18"/>
              </w:rPr>
            </w:pPr>
            <w:r>
              <w:rPr>
                <w:rFonts w:ascii="Arial" w:hAnsi="Arial" w:cs="Arial"/>
                <w:sz w:val="18"/>
                <w:szCs w:val="18"/>
              </w:rPr>
              <w:t>10</w:t>
            </w:r>
          </w:p>
        </w:tc>
        <w:tc>
          <w:tcPr>
            <w:tcW w:w="508" w:type="pct"/>
            <w:tcBorders>
              <w:top w:val="nil"/>
              <w:left w:val="nil"/>
              <w:bottom w:val="nil"/>
              <w:right w:val="nil"/>
            </w:tcBorders>
            <w:shd w:val="clear" w:color="auto" w:fill="auto"/>
            <w:noWrap/>
            <w:vAlign w:val="bottom"/>
          </w:tcPr>
          <w:p w14:paraId="141043C3" w14:textId="4B77AC8A" w:rsidR="000740A4" w:rsidRPr="007E5888" w:rsidRDefault="007B71A3" w:rsidP="000740A4">
            <w:pPr>
              <w:jc w:val="right"/>
              <w:rPr>
                <w:rFonts w:ascii="Arial" w:hAnsi="Arial" w:cs="Arial"/>
                <w:b/>
                <w:bCs/>
                <w:sz w:val="18"/>
                <w:szCs w:val="18"/>
              </w:rPr>
            </w:pPr>
            <w:r w:rsidRPr="007E5888">
              <w:rPr>
                <w:rFonts w:ascii="Arial" w:hAnsi="Arial" w:cs="Arial"/>
                <w:b/>
                <w:bCs/>
                <w:sz w:val="18"/>
                <w:szCs w:val="18"/>
              </w:rPr>
              <w:t>78</w:t>
            </w:r>
            <w:r w:rsidR="003C5454">
              <w:rPr>
                <w:rFonts w:ascii="Arial" w:hAnsi="Arial" w:cs="Arial"/>
                <w:b/>
                <w:bCs/>
                <w:sz w:val="18"/>
                <w:szCs w:val="18"/>
              </w:rPr>
              <w:t>1</w:t>
            </w:r>
          </w:p>
        </w:tc>
        <w:tc>
          <w:tcPr>
            <w:tcW w:w="614" w:type="pct"/>
            <w:tcBorders>
              <w:top w:val="nil"/>
              <w:left w:val="nil"/>
              <w:right w:val="nil"/>
            </w:tcBorders>
            <w:shd w:val="clear" w:color="auto" w:fill="auto"/>
            <w:noWrap/>
            <w:vAlign w:val="bottom"/>
          </w:tcPr>
          <w:p w14:paraId="4F0456DF"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475</w:t>
            </w:r>
          </w:p>
        </w:tc>
      </w:tr>
      <w:tr w:rsidR="000740A4" w:rsidRPr="003B1B97" w14:paraId="61C4F3DF" w14:textId="77777777" w:rsidTr="001606EE">
        <w:trPr>
          <w:gridAfter w:val="1"/>
          <w:wAfter w:w="121" w:type="pct"/>
          <w:trHeight w:val="255"/>
        </w:trPr>
        <w:tc>
          <w:tcPr>
            <w:tcW w:w="3319" w:type="pct"/>
            <w:tcBorders>
              <w:left w:val="nil"/>
              <w:right w:val="nil"/>
            </w:tcBorders>
            <w:shd w:val="clear" w:color="auto" w:fill="auto"/>
            <w:noWrap/>
            <w:vAlign w:val="bottom"/>
          </w:tcPr>
          <w:p w14:paraId="421929EF" w14:textId="77777777" w:rsidR="000740A4" w:rsidRPr="00A54BAA" w:rsidRDefault="000740A4" w:rsidP="000740A4">
            <w:pPr>
              <w:rPr>
                <w:rFonts w:ascii="Arial" w:hAnsi="Arial" w:cs="Arial"/>
                <w:sz w:val="18"/>
                <w:szCs w:val="18"/>
              </w:rPr>
            </w:pPr>
            <w:r>
              <w:rPr>
                <w:rFonts w:ascii="Arial" w:hAnsi="Arial" w:cs="Arial"/>
                <w:sz w:val="18"/>
                <w:szCs w:val="18"/>
              </w:rPr>
              <w:t>Income tax paid</w:t>
            </w:r>
          </w:p>
        </w:tc>
        <w:tc>
          <w:tcPr>
            <w:tcW w:w="438" w:type="pct"/>
            <w:tcBorders>
              <w:left w:val="nil"/>
              <w:right w:val="nil"/>
            </w:tcBorders>
            <w:vAlign w:val="bottom"/>
          </w:tcPr>
          <w:p w14:paraId="5A6A9941" w14:textId="77777777" w:rsidR="000740A4" w:rsidRPr="00A54BAA" w:rsidRDefault="000740A4" w:rsidP="000740A4">
            <w:pPr>
              <w:jc w:val="center"/>
              <w:rPr>
                <w:rFonts w:ascii="Arial" w:hAnsi="Arial" w:cs="Arial"/>
                <w:b/>
                <w:bCs/>
                <w:sz w:val="18"/>
                <w:szCs w:val="18"/>
              </w:rPr>
            </w:pPr>
          </w:p>
        </w:tc>
        <w:tc>
          <w:tcPr>
            <w:tcW w:w="508" w:type="pct"/>
            <w:tcBorders>
              <w:top w:val="nil"/>
              <w:left w:val="nil"/>
              <w:bottom w:val="single" w:sz="4" w:space="0" w:color="auto"/>
              <w:right w:val="nil"/>
            </w:tcBorders>
            <w:shd w:val="clear" w:color="auto" w:fill="auto"/>
            <w:noWrap/>
            <w:vAlign w:val="bottom"/>
          </w:tcPr>
          <w:p w14:paraId="46862DE0" w14:textId="77777777" w:rsidR="000740A4" w:rsidRPr="007E5888" w:rsidRDefault="000740A4" w:rsidP="000740A4">
            <w:pPr>
              <w:jc w:val="right"/>
              <w:rPr>
                <w:rFonts w:ascii="Arial" w:hAnsi="Arial" w:cs="Arial"/>
                <w:b/>
                <w:bCs/>
                <w:sz w:val="18"/>
                <w:szCs w:val="18"/>
              </w:rPr>
            </w:pPr>
            <w:r w:rsidRPr="007E5888">
              <w:rPr>
                <w:rFonts w:ascii="Arial" w:hAnsi="Arial" w:cs="Arial"/>
                <w:b/>
                <w:bCs/>
                <w:sz w:val="18"/>
                <w:szCs w:val="18"/>
              </w:rPr>
              <w:t>(1</w:t>
            </w:r>
            <w:r w:rsidR="00D40C79" w:rsidRPr="007E5888">
              <w:rPr>
                <w:rFonts w:ascii="Arial" w:hAnsi="Arial" w:cs="Arial"/>
                <w:b/>
                <w:bCs/>
                <w:sz w:val="18"/>
                <w:szCs w:val="18"/>
              </w:rPr>
              <w:t>3</w:t>
            </w:r>
            <w:r w:rsidRPr="007E5888">
              <w:rPr>
                <w:rFonts w:ascii="Arial" w:hAnsi="Arial" w:cs="Arial"/>
                <w:b/>
                <w:bCs/>
                <w:sz w:val="18"/>
                <w:szCs w:val="18"/>
              </w:rPr>
              <w:t>2)</w:t>
            </w:r>
          </w:p>
        </w:tc>
        <w:tc>
          <w:tcPr>
            <w:tcW w:w="614" w:type="pct"/>
            <w:tcBorders>
              <w:left w:val="nil"/>
              <w:right w:val="nil"/>
            </w:tcBorders>
            <w:shd w:val="clear" w:color="auto" w:fill="auto"/>
            <w:noWrap/>
            <w:vAlign w:val="bottom"/>
          </w:tcPr>
          <w:p w14:paraId="249ACD5B"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(182)</w:t>
            </w:r>
          </w:p>
        </w:tc>
      </w:tr>
      <w:tr w:rsidR="000740A4" w:rsidRPr="003B1B97" w14:paraId="6AD37475" w14:textId="77777777" w:rsidTr="001606EE">
        <w:trPr>
          <w:gridAfter w:val="1"/>
          <w:wAfter w:w="121" w:type="pct"/>
          <w:trHeight w:val="255"/>
        </w:trPr>
        <w:tc>
          <w:tcPr>
            <w:tcW w:w="3319" w:type="pct"/>
            <w:tcBorders>
              <w:top w:val="single" w:sz="4" w:space="0" w:color="auto"/>
              <w:left w:val="nil"/>
              <w:bottom w:val="nil"/>
              <w:right w:val="nil"/>
            </w:tcBorders>
            <w:shd w:val="clear" w:color="auto" w:fill="auto"/>
            <w:noWrap/>
            <w:vAlign w:val="bottom"/>
          </w:tcPr>
          <w:p w14:paraId="5BCCADB8" w14:textId="77777777" w:rsidR="000740A4" w:rsidRPr="00A54BAA" w:rsidRDefault="000740A4" w:rsidP="000740A4">
            <w:pPr>
              <w:rPr>
                <w:rFonts w:ascii="Arial" w:hAnsi="Arial" w:cs="Arial"/>
                <w:sz w:val="18"/>
                <w:szCs w:val="18"/>
              </w:rPr>
            </w:pPr>
            <w:r w:rsidRPr="002A7D7A">
              <w:rPr>
                <w:rFonts w:ascii="Arial" w:hAnsi="Arial" w:cs="Arial"/>
                <w:b/>
                <w:bCs/>
                <w:sz w:val="18"/>
                <w:szCs w:val="18"/>
              </w:rPr>
              <w:t>Net cash flows from operating activities</w:t>
            </w:r>
          </w:p>
        </w:tc>
        <w:tc>
          <w:tcPr>
            <w:tcW w:w="438" w:type="pct"/>
            <w:tcBorders>
              <w:top w:val="single" w:sz="4" w:space="0" w:color="auto"/>
              <w:left w:val="nil"/>
              <w:bottom w:val="nil"/>
              <w:right w:val="nil"/>
            </w:tcBorders>
            <w:vAlign w:val="bottom"/>
          </w:tcPr>
          <w:p w14:paraId="56314169" w14:textId="77777777" w:rsidR="000740A4" w:rsidRPr="00A54BAA" w:rsidRDefault="000740A4" w:rsidP="000740A4">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3AA7439E" w14:textId="1C5737E4" w:rsidR="000740A4" w:rsidRPr="007E5888" w:rsidRDefault="00650B1B" w:rsidP="000740A4">
            <w:pPr>
              <w:jc w:val="right"/>
              <w:rPr>
                <w:rFonts w:ascii="Arial" w:hAnsi="Arial" w:cs="Arial"/>
                <w:b/>
                <w:bCs/>
                <w:sz w:val="18"/>
                <w:szCs w:val="18"/>
              </w:rPr>
            </w:pPr>
            <w:r w:rsidRPr="007E5888">
              <w:rPr>
                <w:rFonts w:ascii="Arial" w:hAnsi="Arial" w:cs="Arial"/>
                <w:b/>
                <w:bCs/>
                <w:sz w:val="18"/>
                <w:szCs w:val="18"/>
              </w:rPr>
              <w:t>6</w:t>
            </w:r>
            <w:r w:rsidR="003C5454">
              <w:rPr>
                <w:rFonts w:ascii="Arial" w:hAnsi="Arial" w:cs="Arial"/>
                <w:b/>
                <w:bCs/>
                <w:sz w:val="18"/>
                <w:szCs w:val="18"/>
              </w:rPr>
              <w:t>49</w:t>
            </w:r>
          </w:p>
        </w:tc>
        <w:tc>
          <w:tcPr>
            <w:tcW w:w="614" w:type="pct"/>
            <w:tcBorders>
              <w:top w:val="single" w:sz="4" w:space="0" w:color="auto"/>
              <w:left w:val="nil"/>
              <w:bottom w:val="nil"/>
              <w:right w:val="nil"/>
            </w:tcBorders>
            <w:shd w:val="clear" w:color="auto" w:fill="auto"/>
            <w:noWrap/>
            <w:vAlign w:val="bottom"/>
          </w:tcPr>
          <w:p w14:paraId="3DD9E282"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293</w:t>
            </w:r>
          </w:p>
        </w:tc>
      </w:tr>
      <w:tr w:rsidR="00B301D0" w:rsidRPr="003B1B97" w14:paraId="3A93B56A"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4D27A789" w14:textId="77777777" w:rsidR="00B301D0" w:rsidRPr="00A54BAA" w:rsidRDefault="00B301D0" w:rsidP="00B301D0">
            <w:pPr>
              <w:rPr>
                <w:rFonts w:ascii="Arial" w:hAnsi="Arial" w:cs="Arial"/>
                <w:sz w:val="18"/>
                <w:szCs w:val="18"/>
              </w:rPr>
            </w:pPr>
          </w:p>
        </w:tc>
        <w:tc>
          <w:tcPr>
            <w:tcW w:w="438" w:type="pct"/>
            <w:tcBorders>
              <w:top w:val="nil"/>
              <w:left w:val="nil"/>
              <w:bottom w:val="nil"/>
              <w:right w:val="nil"/>
            </w:tcBorders>
            <w:vAlign w:val="bottom"/>
          </w:tcPr>
          <w:p w14:paraId="05531681" w14:textId="77777777"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5F92FD45" w14:textId="77777777" w:rsidR="00B301D0" w:rsidRPr="007E5888" w:rsidRDefault="00B301D0" w:rsidP="00B301D0">
            <w:pPr>
              <w:jc w:val="right"/>
              <w:rPr>
                <w:rFonts w:ascii="Arial" w:hAnsi="Arial" w:cs="Arial"/>
                <w:b/>
                <w:bCs/>
                <w:sz w:val="18"/>
                <w:szCs w:val="18"/>
              </w:rPr>
            </w:pPr>
          </w:p>
        </w:tc>
        <w:tc>
          <w:tcPr>
            <w:tcW w:w="614" w:type="pct"/>
            <w:tcBorders>
              <w:top w:val="nil"/>
              <w:left w:val="nil"/>
              <w:bottom w:val="nil"/>
              <w:right w:val="nil"/>
            </w:tcBorders>
            <w:shd w:val="clear" w:color="auto" w:fill="auto"/>
            <w:noWrap/>
            <w:vAlign w:val="bottom"/>
          </w:tcPr>
          <w:p w14:paraId="250B38ED" w14:textId="77777777" w:rsidR="00B301D0" w:rsidRPr="00B301D0" w:rsidRDefault="00B301D0" w:rsidP="00B301D0">
            <w:pPr>
              <w:jc w:val="right"/>
              <w:rPr>
                <w:rFonts w:ascii="Arial" w:hAnsi="Arial" w:cs="Arial"/>
                <w:bCs/>
                <w:sz w:val="18"/>
                <w:szCs w:val="18"/>
              </w:rPr>
            </w:pPr>
          </w:p>
        </w:tc>
      </w:tr>
      <w:tr w:rsidR="00B301D0" w:rsidRPr="003B1B97" w14:paraId="300BCFD9"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4FA36AC4" w14:textId="77777777" w:rsidR="00B301D0" w:rsidRPr="00A54BAA" w:rsidRDefault="00B301D0" w:rsidP="00B301D0">
            <w:pPr>
              <w:rPr>
                <w:rFonts w:ascii="Arial" w:hAnsi="Arial" w:cs="Arial"/>
                <w:b/>
                <w:bCs/>
                <w:sz w:val="18"/>
                <w:szCs w:val="18"/>
              </w:rPr>
            </w:pPr>
            <w:r>
              <w:rPr>
                <w:rFonts w:ascii="Arial" w:hAnsi="Arial" w:cs="Arial"/>
                <w:b/>
                <w:bCs/>
                <w:sz w:val="18"/>
                <w:szCs w:val="18"/>
              </w:rPr>
              <w:t>I</w:t>
            </w:r>
            <w:r w:rsidRPr="00A54BAA">
              <w:rPr>
                <w:rFonts w:ascii="Arial" w:hAnsi="Arial" w:cs="Arial"/>
                <w:b/>
                <w:bCs/>
                <w:sz w:val="18"/>
                <w:szCs w:val="18"/>
              </w:rPr>
              <w:t>nvesting activities</w:t>
            </w:r>
            <w:r>
              <w:rPr>
                <w:rFonts w:ascii="Arial" w:hAnsi="Arial" w:cs="Arial"/>
                <w:b/>
                <w:bCs/>
                <w:sz w:val="18"/>
                <w:szCs w:val="18"/>
              </w:rPr>
              <w:t xml:space="preserve"> </w:t>
            </w:r>
          </w:p>
        </w:tc>
        <w:tc>
          <w:tcPr>
            <w:tcW w:w="438" w:type="pct"/>
            <w:tcBorders>
              <w:top w:val="nil"/>
              <w:left w:val="nil"/>
              <w:bottom w:val="nil"/>
              <w:right w:val="nil"/>
            </w:tcBorders>
            <w:vAlign w:val="bottom"/>
          </w:tcPr>
          <w:p w14:paraId="4B43B114" w14:textId="77777777"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7EED17DD" w14:textId="77777777" w:rsidR="00B301D0" w:rsidRPr="007E5888" w:rsidRDefault="00B301D0" w:rsidP="00B301D0">
            <w:pPr>
              <w:rPr>
                <w:sz w:val="18"/>
                <w:szCs w:val="18"/>
              </w:rPr>
            </w:pPr>
          </w:p>
        </w:tc>
        <w:tc>
          <w:tcPr>
            <w:tcW w:w="614" w:type="pct"/>
            <w:tcBorders>
              <w:top w:val="nil"/>
              <w:left w:val="nil"/>
              <w:bottom w:val="nil"/>
              <w:right w:val="nil"/>
            </w:tcBorders>
            <w:shd w:val="clear" w:color="auto" w:fill="auto"/>
            <w:noWrap/>
            <w:vAlign w:val="bottom"/>
          </w:tcPr>
          <w:p w14:paraId="68B9840D" w14:textId="77777777" w:rsidR="00B301D0" w:rsidRPr="00B301D0" w:rsidRDefault="00B301D0" w:rsidP="00B301D0">
            <w:pPr>
              <w:rPr>
                <w:sz w:val="18"/>
                <w:szCs w:val="18"/>
              </w:rPr>
            </w:pPr>
          </w:p>
        </w:tc>
      </w:tr>
      <w:tr w:rsidR="000740A4" w:rsidRPr="003B1B97" w14:paraId="1D044B3C"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50318B9A" w14:textId="77777777" w:rsidR="000740A4" w:rsidRDefault="000740A4" w:rsidP="000740A4">
            <w:pPr>
              <w:rPr>
                <w:rFonts w:ascii="Arial" w:hAnsi="Arial" w:cs="Arial"/>
                <w:sz w:val="18"/>
                <w:szCs w:val="18"/>
              </w:rPr>
            </w:pPr>
            <w:r>
              <w:rPr>
                <w:rFonts w:ascii="Arial" w:hAnsi="Arial" w:cs="Arial"/>
                <w:sz w:val="18"/>
                <w:szCs w:val="18"/>
              </w:rPr>
              <w:t>Purchase of</w:t>
            </w:r>
            <w:r w:rsidRPr="002A7D7A">
              <w:rPr>
                <w:rFonts w:ascii="Arial" w:hAnsi="Arial" w:cs="Arial"/>
                <w:sz w:val="18"/>
                <w:szCs w:val="18"/>
              </w:rPr>
              <w:t xml:space="preserve"> </w:t>
            </w:r>
            <w:r>
              <w:rPr>
                <w:rFonts w:ascii="Arial" w:hAnsi="Arial" w:cs="Arial"/>
                <w:sz w:val="18"/>
                <w:szCs w:val="18"/>
              </w:rPr>
              <w:t>property, plant and equipment and intangible assets</w:t>
            </w:r>
            <w:r w:rsidDel="005B4C94">
              <w:rPr>
                <w:rFonts w:ascii="Arial" w:hAnsi="Arial" w:cs="Arial"/>
                <w:sz w:val="18"/>
                <w:szCs w:val="18"/>
              </w:rPr>
              <w:t xml:space="preserve"> </w:t>
            </w:r>
          </w:p>
        </w:tc>
        <w:tc>
          <w:tcPr>
            <w:tcW w:w="438" w:type="pct"/>
            <w:tcBorders>
              <w:top w:val="nil"/>
              <w:left w:val="nil"/>
              <w:bottom w:val="nil"/>
              <w:right w:val="nil"/>
            </w:tcBorders>
            <w:vAlign w:val="bottom"/>
          </w:tcPr>
          <w:p w14:paraId="17C56FA2" w14:textId="77777777" w:rsidR="000740A4" w:rsidRPr="00BB6BB7" w:rsidRDefault="000740A4" w:rsidP="000740A4">
            <w:pPr>
              <w:jc w:val="center"/>
              <w:rPr>
                <w:rFonts w:ascii="Arial" w:hAnsi="Arial" w:cs="Arial"/>
                <w:bCs/>
                <w:sz w:val="18"/>
                <w:szCs w:val="18"/>
              </w:rPr>
            </w:pPr>
          </w:p>
        </w:tc>
        <w:tc>
          <w:tcPr>
            <w:tcW w:w="508" w:type="pct"/>
            <w:tcBorders>
              <w:top w:val="nil"/>
              <w:left w:val="nil"/>
              <w:bottom w:val="nil"/>
              <w:right w:val="nil"/>
            </w:tcBorders>
            <w:shd w:val="clear" w:color="auto" w:fill="auto"/>
            <w:noWrap/>
            <w:vAlign w:val="bottom"/>
          </w:tcPr>
          <w:p w14:paraId="0C5867C8" w14:textId="77777777" w:rsidR="000740A4" w:rsidRPr="007E5888" w:rsidRDefault="000740A4" w:rsidP="000740A4">
            <w:pPr>
              <w:jc w:val="right"/>
              <w:rPr>
                <w:rFonts w:ascii="Arial" w:hAnsi="Arial" w:cs="Arial"/>
                <w:b/>
                <w:bCs/>
                <w:sz w:val="18"/>
                <w:szCs w:val="18"/>
              </w:rPr>
            </w:pPr>
            <w:r w:rsidRPr="007E5888">
              <w:rPr>
                <w:rFonts w:ascii="Arial" w:hAnsi="Arial" w:cs="Arial"/>
                <w:b/>
                <w:bCs/>
                <w:sz w:val="18"/>
                <w:szCs w:val="18"/>
              </w:rPr>
              <w:t>(3</w:t>
            </w:r>
            <w:r w:rsidR="00650B1B" w:rsidRPr="007E5888">
              <w:rPr>
                <w:rFonts w:ascii="Arial" w:hAnsi="Arial" w:cs="Arial"/>
                <w:b/>
                <w:bCs/>
                <w:sz w:val="18"/>
                <w:szCs w:val="18"/>
              </w:rPr>
              <w:t>39</w:t>
            </w:r>
            <w:r w:rsidRPr="007E5888">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14:paraId="36921389"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(368)</w:t>
            </w:r>
          </w:p>
        </w:tc>
      </w:tr>
      <w:tr w:rsidR="000740A4" w:rsidRPr="003B1B97" w14:paraId="3BA8E327"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48C6F5D1" w14:textId="77777777" w:rsidR="000740A4" w:rsidRDefault="000740A4" w:rsidP="000740A4">
            <w:pPr>
              <w:rPr>
                <w:rFonts w:ascii="Arial" w:hAnsi="Arial" w:cs="Arial"/>
                <w:sz w:val="18"/>
                <w:szCs w:val="18"/>
              </w:rPr>
            </w:pPr>
            <w:r>
              <w:rPr>
                <w:rFonts w:ascii="Arial" w:hAnsi="Arial" w:cs="Arial"/>
                <w:sz w:val="18"/>
                <w:szCs w:val="18"/>
              </w:rPr>
              <w:t>Purchase of businesses, net of cash acquired</w:t>
            </w:r>
          </w:p>
        </w:tc>
        <w:tc>
          <w:tcPr>
            <w:tcW w:w="438" w:type="pct"/>
            <w:tcBorders>
              <w:top w:val="nil"/>
              <w:left w:val="nil"/>
              <w:bottom w:val="nil"/>
              <w:right w:val="nil"/>
            </w:tcBorders>
            <w:vAlign w:val="bottom"/>
          </w:tcPr>
          <w:p w14:paraId="13D13589" w14:textId="77777777" w:rsidR="000740A4" w:rsidRPr="00BB6BB7" w:rsidRDefault="000740A4" w:rsidP="000740A4">
            <w:pPr>
              <w:jc w:val="center"/>
              <w:rPr>
                <w:rFonts w:ascii="Arial" w:hAnsi="Arial" w:cs="Arial"/>
                <w:bCs/>
                <w:sz w:val="18"/>
                <w:szCs w:val="18"/>
              </w:rPr>
            </w:pPr>
            <w:r w:rsidRPr="00884E1E">
              <w:rPr>
                <w:rFonts w:ascii="Arial" w:hAnsi="Arial" w:cs="Arial"/>
                <w:bCs/>
                <w:sz w:val="18"/>
                <w:szCs w:val="18"/>
              </w:rPr>
              <w:t>12</w:t>
            </w:r>
          </w:p>
        </w:tc>
        <w:tc>
          <w:tcPr>
            <w:tcW w:w="508" w:type="pct"/>
            <w:tcBorders>
              <w:top w:val="nil"/>
              <w:left w:val="nil"/>
              <w:bottom w:val="nil"/>
              <w:right w:val="nil"/>
            </w:tcBorders>
            <w:shd w:val="clear" w:color="auto" w:fill="auto"/>
            <w:noWrap/>
            <w:vAlign w:val="bottom"/>
          </w:tcPr>
          <w:p w14:paraId="5BFF7DBE" w14:textId="77777777" w:rsidR="000740A4" w:rsidRPr="007E5888" w:rsidRDefault="00650B1B" w:rsidP="000740A4">
            <w:pPr>
              <w:jc w:val="right"/>
              <w:rPr>
                <w:rFonts w:ascii="Arial" w:hAnsi="Arial" w:cs="Arial"/>
                <w:b/>
                <w:bCs/>
                <w:sz w:val="18"/>
                <w:szCs w:val="18"/>
              </w:rPr>
            </w:pPr>
            <w:r w:rsidRPr="007E5888">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14:paraId="7387CBF8"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(12)</w:t>
            </w:r>
          </w:p>
        </w:tc>
      </w:tr>
      <w:tr w:rsidR="000740A4" w:rsidRPr="003B1B97" w14:paraId="57972967"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591F24F6" w14:textId="77777777" w:rsidR="000740A4" w:rsidRDefault="000740A4" w:rsidP="000740A4">
            <w:pPr>
              <w:rPr>
                <w:rFonts w:ascii="Arial" w:hAnsi="Arial" w:cs="Arial"/>
                <w:sz w:val="18"/>
                <w:szCs w:val="18"/>
              </w:rPr>
            </w:pPr>
            <w:r>
              <w:rPr>
                <w:rFonts w:ascii="Arial" w:hAnsi="Arial" w:cs="Arial"/>
                <w:sz w:val="18"/>
                <w:szCs w:val="18"/>
              </w:rPr>
              <w:t>Disposal</w:t>
            </w:r>
            <w:r w:rsidRPr="002A7D7A">
              <w:rPr>
                <w:rFonts w:ascii="Arial" w:hAnsi="Arial" w:cs="Arial"/>
                <w:sz w:val="18"/>
                <w:szCs w:val="18"/>
              </w:rPr>
              <w:t xml:space="preserve"> of</w:t>
            </w:r>
            <w:r>
              <w:rPr>
                <w:rFonts w:ascii="Arial" w:hAnsi="Arial" w:cs="Arial"/>
                <w:sz w:val="18"/>
                <w:szCs w:val="18"/>
              </w:rPr>
              <w:t xml:space="preserve"> property, plant and equipment, </w:t>
            </w:r>
            <w:r w:rsidRPr="002A7D7A">
              <w:rPr>
                <w:rFonts w:ascii="Arial" w:hAnsi="Arial" w:cs="Arial"/>
                <w:sz w:val="18"/>
                <w:szCs w:val="18"/>
              </w:rPr>
              <w:t>investment property</w:t>
            </w:r>
            <w:r>
              <w:rPr>
                <w:rFonts w:ascii="Arial" w:hAnsi="Arial" w:cs="Arial"/>
                <w:sz w:val="18"/>
                <w:szCs w:val="18"/>
              </w:rPr>
              <w:t xml:space="preserve"> and intangible assets</w:t>
            </w:r>
          </w:p>
        </w:tc>
        <w:tc>
          <w:tcPr>
            <w:tcW w:w="438" w:type="pct"/>
            <w:tcBorders>
              <w:top w:val="nil"/>
              <w:left w:val="nil"/>
              <w:bottom w:val="nil"/>
              <w:right w:val="nil"/>
            </w:tcBorders>
            <w:vAlign w:val="bottom"/>
          </w:tcPr>
          <w:p w14:paraId="1AD9CA62" w14:textId="77777777" w:rsidR="000740A4" w:rsidRPr="00BB6BB7" w:rsidRDefault="000740A4" w:rsidP="000740A4">
            <w:pPr>
              <w:jc w:val="center"/>
              <w:rPr>
                <w:rFonts w:ascii="Arial" w:hAnsi="Arial" w:cs="Arial"/>
                <w:bCs/>
                <w:sz w:val="18"/>
                <w:szCs w:val="18"/>
              </w:rPr>
            </w:pPr>
          </w:p>
        </w:tc>
        <w:tc>
          <w:tcPr>
            <w:tcW w:w="508" w:type="pct"/>
            <w:tcBorders>
              <w:top w:val="nil"/>
              <w:left w:val="nil"/>
              <w:bottom w:val="nil"/>
              <w:right w:val="nil"/>
            </w:tcBorders>
            <w:shd w:val="clear" w:color="auto" w:fill="auto"/>
            <w:noWrap/>
            <w:vAlign w:val="bottom"/>
          </w:tcPr>
          <w:p w14:paraId="3035E35A" w14:textId="77777777" w:rsidR="000740A4" w:rsidRPr="007E5888" w:rsidRDefault="00650B1B" w:rsidP="000740A4">
            <w:pPr>
              <w:jc w:val="right"/>
              <w:rPr>
                <w:rFonts w:ascii="Arial" w:hAnsi="Arial" w:cs="Arial"/>
                <w:b/>
                <w:bCs/>
                <w:sz w:val="18"/>
                <w:szCs w:val="18"/>
              </w:rPr>
            </w:pPr>
            <w:r w:rsidRPr="007E5888">
              <w:rPr>
                <w:rFonts w:ascii="Arial" w:hAnsi="Arial" w:cs="Arial"/>
                <w:b/>
                <w:bCs/>
                <w:sz w:val="18"/>
                <w:szCs w:val="18"/>
              </w:rPr>
              <w:t>45</w:t>
            </w:r>
          </w:p>
        </w:tc>
        <w:tc>
          <w:tcPr>
            <w:tcW w:w="614" w:type="pct"/>
            <w:tcBorders>
              <w:top w:val="nil"/>
              <w:left w:val="nil"/>
              <w:bottom w:val="nil"/>
              <w:right w:val="nil"/>
            </w:tcBorders>
            <w:shd w:val="clear" w:color="auto" w:fill="auto"/>
            <w:noWrap/>
            <w:vAlign w:val="bottom"/>
          </w:tcPr>
          <w:p w14:paraId="1E5FADB1"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6</w:t>
            </w:r>
          </w:p>
        </w:tc>
      </w:tr>
      <w:tr w:rsidR="000740A4" w:rsidRPr="003B1B97" w14:paraId="18E768FC"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5D1C46E8" w14:textId="77777777" w:rsidR="000740A4" w:rsidRPr="002A7D7A" w:rsidRDefault="00164D83" w:rsidP="000740A4">
            <w:pPr>
              <w:rPr>
                <w:rFonts w:ascii="Arial" w:hAnsi="Arial" w:cs="Arial"/>
                <w:sz w:val="18"/>
                <w:szCs w:val="18"/>
              </w:rPr>
            </w:pPr>
            <w:r>
              <w:rPr>
                <w:rFonts w:ascii="Arial" w:hAnsi="Arial" w:cs="Arial"/>
                <w:sz w:val="18"/>
                <w:szCs w:val="18"/>
              </w:rPr>
              <w:t>Interest received</w:t>
            </w:r>
          </w:p>
        </w:tc>
        <w:tc>
          <w:tcPr>
            <w:tcW w:w="438" w:type="pct"/>
            <w:tcBorders>
              <w:top w:val="nil"/>
              <w:left w:val="nil"/>
              <w:bottom w:val="nil"/>
              <w:right w:val="nil"/>
            </w:tcBorders>
            <w:vAlign w:val="bottom"/>
          </w:tcPr>
          <w:p w14:paraId="20D9211A" w14:textId="77777777" w:rsidR="000740A4" w:rsidRPr="00A54BAA" w:rsidRDefault="000740A4" w:rsidP="000740A4">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44D7AEB9" w14:textId="77777777" w:rsidR="000740A4" w:rsidRPr="007E5888" w:rsidRDefault="00164D83" w:rsidP="000740A4">
            <w:pPr>
              <w:jc w:val="right"/>
              <w:rPr>
                <w:rFonts w:ascii="Arial" w:hAnsi="Arial" w:cs="Arial"/>
                <w:b/>
                <w:bCs/>
                <w:sz w:val="18"/>
                <w:szCs w:val="18"/>
              </w:rPr>
            </w:pPr>
            <w:r w:rsidRPr="007E5888">
              <w:rPr>
                <w:rFonts w:ascii="Arial" w:hAnsi="Arial" w:cs="Arial"/>
                <w:b/>
                <w:bCs/>
                <w:sz w:val="18"/>
                <w:szCs w:val="18"/>
              </w:rPr>
              <w:t>11</w:t>
            </w:r>
          </w:p>
        </w:tc>
        <w:tc>
          <w:tcPr>
            <w:tcW w:w="614" w:type="pct"/>
            <w:tcBorders>
              <w:top w:val="nil"/>
              <w:left w:val="nil"/>
              <w:bottom w:val="nil"/>
              <w:right w:val="nil"/>
            </w:tcBorders>
            <w:shd w:val="clear" w:color="auto" w:fill="auto"/>
            <w:noWrap/>
            <w:vAlign w:val="bottom"/>
          </w:tcPr>
          <w:p w14:paraId="2156C59A" w14:textId="77777777" w:rsidR="000740A4" w:rsidRPr="000740A4" w:rsidRDefault="00164D83" w:rsidP="000740A4">
            <w:pPr>
              <w:jc w:val="right"/>
              <w:rPr>
                <w:rFonts w:ascii="Arial" w:hAnsi="Arial" w:cs="Arial"/>
                <w:bCs/>
                <w:sz w:val="18"/>
                <w:szCs w:val="18"/>
              </w:rPr>
            </w:pPr>
            <w:r>
              <w:rPr>
                <w:rFonts w:ascii="Arial" w:hAnsi="Arial" w:cs="Arial"/>
                <w:bCs/>
                <w:sz w:val="18"/>
                <w:szCs w:val="18"/>
              </w:rPr>
              <w:t>11</w:t>
            </w:r>
          </w:p>
        </w:tc>
      </w:tr>
      <w:tr w:rsidR="000740A4" w:rsidRPr="003B1B97" w14:paraId="57E56F44"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00B33C54" w14:textId="77777777" w:rsidR="000740A4" w:rsidRPr="002A7D7A" w:rsidRDefault="00164D83" w:rsidP="000740A4">
            <w:pPr>
              <w:rPr>
                <w:rFonts w:ascii="Arial" w:hAnsi="Arial" w:cs="Arial"/>
                <w:sz w:val="18"/>
                <w:szCs w:val="18"/>
              </w:rPr>
            </w:pPr>
            <w:r>
              <w:rPr>
                <w:rFonts w:ascii="Arial" w:hAnsi="Arial" w:cs="Arial"/>
                <w:sz w:val="18"/>
                <w:szCs w:val="18"/>
              </w:rPr>
              <w:t>Dividends received from joint ventures and associates</w:t>
            </w:r>
          </w:p>
        </w:tc>
        <w:tc>
          <w:tcPr>
            <w:tcW w:w="438" w:type="pct"/>
            <w:tcBorders>
              <w:top w:val="nil"/>
              <w:left w:val="nil"/>
              <w:bottom w:val="nil"/>
              <w:right w:val="nil"/>
            </w:tcBorders>
            <w:vAlign w:val="bottom"/>
          </w:tcPr>
          <w:p w14:paraId="771E1F81" w14:textId="77777777" w:rsidR="000740A4" w:rsidRPr="00A54BAA" w:rsidRDefault="000740A4" w:rsidP="000740A4">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59AB9285" w14:textId="77777777" w:rsidR="000740A4" w:rsidRPr="007E5888" w:rsidRDefault="00650B1B" w:rsidP="000740A4">
            <w:pPr>
              <w:jc w:val="right"/>
              <w:rPr>
                <w:rFonts w:ascii="Arial" w:hAnsi="Arial" w:cs="Arial"/>
                <w:b/>
                <w:bCs/>
                <w:sz w:val="18"/>
                <w:szCs w:val="18"/>
              </w:rPr>
            </w:pPr>
            <w:r w:rsidRPr="007E5888">
              <w:rPr>
                <w:rFonts w:ascii="Arial" w:hAnsi="Arial" w:cs="Arial"/>
                <w:b/>
                <w:bCs/>
                <w:sz w:val="18"/>
                <w:szCs w:val="18"/>
              </w:rPr>
              <w:t>5</w:t>
            </w:r>
          </w:p>
        </w:tc>
        <w:tc>
          <w:tcPr>
            <w:tcW w:w="614" w:type="pct"/>
            <w:tcBorders>
              <w:top w:val="nil"/>
              <w:left w:val="nil"/>
              <w:bottom w:val="nil"/>
              <w:right w:val="nil"/>
            </w:tcBorders>
            <w:shd w:val="clear" w:color="auto" w:fill="auto"/>
            <w:noWrap/>
            <w:vAlign w:val="bottom"/>
          </w:tcPr>
          <w:p w14:paraId="2620EB09" w14:textId="77777777" w:rsidR="000740A4" w:rsidRPr="000740A4" w:rsidRDefault="00164D83" w:rsidP="000740A4">
            <w:pPr>
              <w:jc w:val="right"/>
              <w:rPr>
                <w:rFonts w:ascii="Arial" w:hAnsi="Arial" w:cs="Arial"/>
                <w:bCs/>
                <w:sz w:val="18"/>
                <w:szCs w:val="18"/>
              </w:rPr>
            </w:pPr>
            <w:r>
              <w:rPr>
                <w:rFonts w:ascii="Arial" w:hAnsi="Arial" w:cs="Arial"/>
                <w:bCs/>
                <w:sz w:val="18"/>
                <w:szCs w:val="18"/>
              </w:rPr>
              <w:t>-</w:t>
            </w:r>
          </w:p>
        </w:tc>
      </w:tr>
      <w:tr w:rsidR="000740A4" w:rsidRPr="003B1B97" w14:paraId="3D79416F" w14:textId="77777777" w:rsidTr="001606EE">
        <w:trPr>
          <w:gridAfter w:val="1"/>
          <w:wAfter w:w="121" w:type="pct"/>
          <w:trHeight w:val="255"/>
        </w:trPr>
        <w:tc>
          <w:tcPr>
            <w:tcW w:w="3319" w:type="pct"/>
            <w:tcBorders>
              <w:top w:val="single" w:sz="4" w:space="0" w:color="auto"/>
              <w:left w:val="nil"/>
              <w:bottom w:val="nil"/>
              <w:right w:val="nil"/>
            </w:tcBorders>
            <w:shd w:val="clear" w:color="auto" w:fill="auto"/>
            <w:noWrap/>
            <w:vAlign w:val="bottom"/>
          </w:tcPr>
          <w:p w14:paraId="17EA69FC" w14:textId="77777777" w:rsidR="000740A4" w:rsidRPr="00A54BAA" w:rsidRDefault="000740A4" w:rsidP="000740A4">
            <w:pPr>
              <w:rPr>
                <w:rFonts w:ascii="Arial" w:hAnsi="Arial" w:cs="Arial"/>
                <w:b/>
                <w:bCs/>
                <w:sz w:val="18"/>
                <w:szCs w:val="18"/>
              </w:rPr>
            </w:pPr>
            <w:r w:rsidRPr="00A54BAA">
              <w:rPr>
                <w:rFonts w:ascii="Arial" w:hAnsi="Arial" w:cs="Arial"/>
                <w:b/>
                <w:bCs/>
                <w:sz w:val="18"/>
                <w:szCs w:val="18"/>
              </w:rPr>
              <w:t xml:space="preserve">Net cash flows </w:t>
            </w:r>
            <w:r>
              <w:rPr>
                <w:rFonts w:ascii="Arial" w:hAnsi="Arial" w:cs="Arial"/>
                <w:b/>
                <w:bCs/>
                <w:sz w:val="18"/>
                <w:szCs w:val="18"/>
              </w:rPr>
              <w:t xml:space="preserve">used in </w:t>
            </w:r>
            <w:r w:rsidRPr="00A54BAA">
              <w:rPr>
                <w:rFonts w:ascii="Arial" w:hAnsi="Arial" w:cs="Arial"/>
                <w:b/>
                <w:bCs/>
                <w:sz w:val="18"/>
                <w:szCs w:val="18"/>
              </w:rPr>
              <w:t>investing activities</w:t>
            </w:r>
          </w:p>
        </w:tc>
        <w:tc>
          <w:tcPr>
            <w:tcW w:w="438" w:type="pct"/>
            <w:tcBorders>
              <w:top w:val="single" w:sz="4" w:space="0" w:color="auto"/>
              <w:left w:val="nil"/>
              <w:bottom w:val="nil"/>
              <w:right w:val="nil"/>
            </w:tcBorders>
            <w:vAlign w:val="bottom"/>
          </w:tcPr>
          <w:p w14:paraId="16F099B4" w14:textId="77777777" w:rsidR="000740A4" w:rsidRPr="00A54BAA" w:rsidRDefault="000740A4" w:rsidP="000740A4">
            <w:pPr>
              <w:jc w:val="center"/>
              <w:rPr>
                <w:rFonts w:ascii="Arial" w:hAnsi="Arial" w:cs="Arial"/>
                <w:b/>
                <w:bCs/>
                <w:sz w:val="18"/>
                <w:szCs w:val="18"/>
              </w:rPr>
            </w:pPr>
          </w:p>
        </w:tc>
        <w:tc>
          <w:tcPr>
            <w:tcW w:w="508" w:type="pct"/>
            <w:tcBorders>
              <w:top w:val="single" w:sz="4" w:space="0" w:color="auto"/>
              <w:left w:val="nil"/>
              <w:bottom w:val="nil"/>
              <w:right w:val="nil"/>
            </w:tcBorders>
            <w:shd w:val="clear" w:color="auto" w:fill="auto"/>
            <w:noWrap/>
            <w:vAlign w:val="bottom"/>
          </w:tcPr>
          <w:p w14:paraId="274547DD" w14:textId="77777777" w:rsidR="000740A4" w:rsidRPr="007E5888" w:rsidRDefault="000740A4" w:rsidP="000740A4">
            <w:pPr>
              <w:jc w:val="right"/>
              <w:rPr>
                <w:rFonts w:ascii="Arial" w:hAnsi="Arial" w:cs="Arial"/>
                <w:b/>
                <w:bCs/>
                <w:sz w:val="18"/>
                <w:szCs w:val="18"/>
              </w:rPr>
            </w:pPr>
            <w:r w:rsidRPr="007E5888">
              <w:rPr>
                <w:rFonts w:ascii="Arial" w:hAnsi="Arial" w:cs="Arial"/>
                <w:b/>
                <w:bCs/>
                <w:sz w:val="18"/>
                <w:szCs w:val="18"/>
              </w:rPr>
              <w:t>(</w:t>
            </w:r>
            <w:r w:rsidR="00650B1B" w:rsidRPr="007E5888">
              <w:rPr>
                <w:rFonts w:ascii="Arial" w:hAnsi="Arial" w:cs="Arial"/>
                <w:b/>
                <w:bCs/>
                <w:sz w:val="18"/>
                <w:szCs w:val="18"/>
              </w:rPr>
              <w:t>278</w:t>
            </w:r>
            <w:r w:rsidRPr="007E5888">
              <w:rPr>
                <w:rFonts w:ascii="Arial" w:hAnsi="Arial" w:cs="Arial"/>
                <w:b/>
                <w:bCs/>
                <w:sz w:val="18"/>
                <w:szCs w:val="18"/>
              </w:rPr>
              <w:t>)</w:t>
            </w:r>
          </w:p>
        </w:tc>
        <w:tc>
          <w:tcPr>
            <w:tcW w:w="614" w:type="pct"/>
            <w:tcBorders>
              <w:top w:val="single" w:sz="4" w:space="0" w:color="auto"/>
              <w:left w:val="nil"/>
              <w:bottom w:val="nil"/>
              <w:right w:val="nil"/>
            </w:tcBorders>
            <w:shd w:val="clear" w:color="auto" w:fill="auto"/>
            <w:noWrap/>
            <w:vAlign w:val="bottom"/>
          </w:tcPr>
          <w:p w14:paraId="27E2A8FA"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(363)</w:t>
            </w:r>
          </w:p>
        </w:tc>
      </w:tr>
      <w:tr w:rsidR="00B301D0" w:rsidRPr="003B1B97" w14:paraId="521E8A5B"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6FD00528" w14:textId="77777777" w:rsidR="00B301D0" w:rsidRPr="00A54BAA" w:rsidRDefault="00B301D0" w:rsidP="00B301D0">
            <w:pPr>
              <w:rPr>
                <w:rFonts w:ascii="Arial" w:hAnsi="Arial" w:cs="Arial"/>
                <w:sz w:val="18"/>
                <w:szCs w:val="18"/>
              </w:rPr>
            </w:pPr>
          </w:p>
        </w:tc>
        <w:tc>
          <w:tcPr>
            <w:tcW w:w="438" w:type="pct"/>
            <w:tcBorders>
              <w:top w:val="nil"/>
              <w:left w:val="nil"/>
              <w:bottom w:val="nil"/>
              <w:right w:val="nil"/>
            </w:tcBorders>
            <w:vAlign w:val="bottom"/>
          </w:tcPr>
          <w:p w14:paraId="1A62B476" w14:textId="77777777"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57B1E01E" w14:textId="77777777" w:rsidR="00B301D0" w:rsidRPr="007E5888" w:rsidRDefault="00B301D0" w:rsidP="00B301D0">
            <w:pPr>
              <w:jc w:val="right"/>
              <w:rPr>
                <w:rFonts w:ascii="Arial" w:hAnsi="Arial" w:cs="Arial"/>
                <w:b/>
                <w:bCs/>
                <w:sz w:val="18"/>
                <w:szCs w:val="18"/>
              </w:rPr>
            </w:pPr>
          </w:p>
        </w:tc>
        <w:tc>
          <w:tcPr>
            <w:tcW w:w="614" w:type="pct"/>
            <w:tcBorders>
              <w:top w:val="nil"/>
              <w:left w:val="nil"/>
              <w:bottom w:val="nil"/>
              <w:right w:val="nil"/>
            </w:tcBorders>
            <w:shd w:val="clear" w:color="auto" w:fill="auto"/>
            <w:noWrap/>
            <w:vAlign w:val="bottom"/>
          </w:tcPr>
          <w:p w14:paraId="5DEFC327" w14:textId="77777777" w:rsidR="00B301D0" w:rsidRPr="00B301D0" w:rsidRDefault="00B301D0" w:rsidP="00B301D0">
            <w:pPr>
              <w:jc w:val="right"/>
              <w:rPr>
                <w:rFonts w:ascii="Arial" w:hAnsi="Arial" w:cs="Arial"/>
                <w:bCs/>
                <w:sz w:val="18"/>
                <w:szCs w:val="18"/>
              </w:rPr>
            </w:pPr>
          </w:p>
        </w:tc>
      </w:tr>
      <w:tr w:rsidR="00B301D0" w:rsidRPr="003B1B97" w14:paraId="7711620F"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78AEA111" w14:textId="77777777" w:rsidR="00B301D0" w:rsidRPr="00A54BAA" w:rsidRDefault="00B301D0" w:rsidP="00B301D0">
            <w:pPr>
              <w:rPr>
                <w:rFonts w:ascii="Arial" w:hAnsi="Arial" w:cs="Arial"/>
                <w:b/>
                <w:bCs/>
                <w:sz w:val="18"/>
                <w:szCs w:val="18"/>
              </w:rPr>
            </w:pPr>
            <w:r>
              <w:rPr>
                <w:rFonts w:ascii="Arial" w:hAnsi="Arial" w:cs="Arial"/>
                <w:b/>
                <w:bCs/>
                <w:sz w:val="18"/>
                <w:szCs w:val="18"/>
              </w:rPr>
              <w:t>F</w:t>
            </w:r>
            <w:r w:rsidRPr="00A54BAA">
              <w:rPr>
                <w:rFonts w:ascii="Arial" w:hAnsi="Arial" w:cs="Arial"/>
                <w:b/>
                <w:bCs/>
                <w:sz w:val="18"/>
                <w:szCs w:val="18"/>
              </w:rPr>
              <w:t>inancing activities</w:t>
            </w:r>
            <w:r>
              <w:rPr>
                <w:rFonts w:ascii="Arial" w:hAnsi="Arial" w:cs="Arial"/>
                <w:b/>
                <w:bCs/>
                <w:sz w:val="18"/>
                <w:szCs w:val="18"/>
              </w:rPr>
              <w:t xml:space="preserve"> </w:t>
            </w:r>
          </w:p>
        </w:tc>
        <w:tc>
          <w:tcPr>
            <w:tcW w:w="438" w:type="pct"/>
            <w:tcBorders>
              <w:top w:val="nil"/>
              <w:left w:val="nil"/>
              <w:bottom w:val="nil"/>
              <w:right w:val="nil"/>
            </w:tcBorders>
            <w:vAlign w:val="bottom"/>
          </w:tcPr>
          <w:p w14:paraId="5E660B79" w14:textId="77777777" w:rsidR="00B301D0" w:rsidRPr="00A54BAA" w:rsidRDefault="00B301D0" w:rsidP="00B301D0">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0BD31C5E" w14:textId="77777777" w:rsidR="00B301D0" w:rsidRPr="007E5888" w:rsidRDefault="00B301D0" w:rsidP="00B301D0">
            <w:pPr>
              <w:jc w:val="right"/>
              <w:rPr>
                <w:rFonts w:ascii="Arial" w:hAnsi="Arial" w:cs="Arial"/>
                <w:b/>
                <w:bCs/>
                <w:sz w:val="18"/>
                <w:szCs w:val="18"/>
              </w:rPr>
            </w:pPr>
          </w:p>
        </w:tc>
        <w:tc>
          <w:tcPr>
            <w:tcW w:w="614" w:type="pct"/>
            <w:tcBorders>
              <w:top w:val="nil"/>
              <w:left w:val="nil"/>
              <w:bottom w:val="nil"/>
              <w:right w:val="nil"/>
            </w:tcBorders>
            <w:shd w:val="clear" w:color="auto" w:fill="auto"/>
            <w:noWrap/>
            <w:vAlign w:val="bottom"/>
          </w:tcPr>
          <w:p w14:paraId="3CF3FBD8" w14:textId="77777777" w:rsidR="00B301D0" w:rsidRPr="00B301D0" w:rsidRDefault="00B301D0" w:rsidP="00B301D0">
            <w:pPr>
              <w:jc w:val="right"/>
              <w:rPr>
                <w:rFonts w:ascii="Arial" w:hAnsi="Arial" w:cs="Arial"/>
                <w:bCs/>
                <w:sz w:val="18"/>
                <w:szCs w:val="18"/>
              </w:rPr>
            </w:pPr>
          </w:p>
        </w:tc>
      </w:tr>
      <w:tr w:rsidR="000740A4" w:rsidRPr="003B1B97" w14:paraId="4958BB95"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70EBDC6C" w14:textId="77777777" w:rsidR="000740A4" w:rsidRPr="002A7D7A" w:rsidRDefault="000740A4" w:rsidP="000740A4">
            <w:pPr>
              <w:rPr>
                <w:rFonts w:ascii="Arial" w:hAnsi="Arial" w:cs="Arial"/>
                <w:sz w:val="18"/>
                <w:szCs w:val="18"/>
              </w:rPr>
            </w:pPr>
            <w:r w:rsidRPr="002A7D7A">
              <w:rPr>
                <w:rFonts w:ascii="Arial" w:hAnsi="Arial" w:cs="Arial"/>
                <w:sz w:val="18"/>
                <w:szCs w:val="18"/>
              </w:rPr>
              <w:t>Interest paid</w:t>
            </w:r>
          </w:p>
        </w:tc>
        <w:tc>
          <w:tcPr>
            <w:tcW w:w="438" w:type="pct"/>
            <w:tcBorders>
              <w:top w:val="nil"/>
              <w:left w:val="nil"/>
              <w:bottom w:val="nil"/>
              <w:right w:val="nil"/>
            </w:tcBorders>
            <w:vAlign w:val="bottom"/>
          </w:tcPr>
          <w:p w14:paraId="2374088F" w14:textId="77777777" w:rsidR="000740A4" w:rsidRPr="00A54BAA" w:rsidRDefault="000740A4" w:rsidP="000740A4">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35790A06" w14:textId="77777777" w:rsidR="000740A4" w:rsidRPr="007E5888" w:rsidDel="000C6980" w:rsidRDefault="000740A4" w:rsidP="000740A4">
            <w:pPr>
              <w:jc w:val="right"/>
              <w:rPr>
                <w:rFonts w:ascii="Arial" w:hAnsi="Arial" w:cs="Arial"/>
                <w:b/>
                <w:bCs/>
                <w:sz w:val="18"/>
                <w:szCs w:val="18"/>
              </w:rPr>
            </w:pPr>
            <w:r w:rsidRPr="007E5888">
              <w:rPr>
                <w:rFonts w:ascii="Arial" w:hAnsi="Arial" w:cs="Arial"/>
                <w:b/>
                <w:bCs/>
                <w:sz w:val="18"/>
                <w:szCs w:val="18"/>
              </w:rPr>
              <w:t>(1</w:t>
            </w:r>
            <w:r w:rsidR="00650B1B" w:rsidRPr="007E5888">
              <w:rPr>
                <w:rFonts w:ascii="Arial" w:hAnsi="Arial" w:cs="Arial"/>
                <w:b/>
                <w:bCs/>
                <w:sz w:val="18"/>
                <w:szCs w:val="18"/>
              </w:rPr>
              <w:t>9</w:t>
            </w:r>
            <w:r w:rsidRPr="007E5888">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14:paraId="7F826B3B" w14:textId="77777777" w:rsidR="000740A4" w:rsidRPr="000740A4" w:rsidDel="000C6980" w:rsidRDefault="000740A4" w:rsidP="000740A4">
            <w:pPr>
              <w:jc w:val="right"/>
              <w:rPr>
                <w:rFonts w:ascii="Arial" w:hAnsi="Arial" w:cs="Arial"/>
                <w:bCs/>
                <w:sz w:val="18"/>
                <w:szCs w:val="18"/>
              </w:rPr>
            </w:pPr>
            <w:r w:rsidRPr="000740A4">
              <w:rPr>
                <w:rFonts w:ascii="Arial" w:hAnsi="Arial" w:cs="Arial"/>
                <w:bCs/>
                <w:sz w:val="18"/>
                <w:szCs w:val="18"/>
              </w:rPr>
              <w:t>(10)</w:t>
            </w:r>
          </w:p>
        </w:tc>
      </w:tr>
      <w:tr w:rsidR="000740A4" w:rsidRPr="003B1B97" w14:paraId="2164D51A"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6C21146C" w14:textId="77777777" w:rsidR="000740A4" w:rsidRPr="002A7D7A" w:rsidRDefault="000740A4" w:rsidP="000740A4">
            <w:pPr>
              <w:rPr>
                <w:rFonts w:ascii="Arial" w:hAnsi="Arial" w:cs="Arial"/>
                <w:sz w:val="18"/>
                <w:szCs w:val="18"/>
              </w:rPr>
            </w:pPr>
            <w:r w:rsidRPr="002A7D7A">
              <w:rPr>
                <w:rFonts w:ascii="Arial" w:hAnsi="Arial" w:cs="Arial"/>
                <w:sz w:val="18"/>
                <w:szCs w:val="18"/>
              </w:rPr>
              <w:t>Interest element of finance lease rental payments</w:t>
            </w:r>
          </w:p>
        </w:tc>
        <w:tc>
          <w:tcPr>
            <w:tcW w:w="438" w:type="pct"/>
            <w:tcBorders>
              <w:top w:val="nil"/>
              <w:left w:val="nil"/>
              <w:bottom w:val="nil"/>
              <w:right w:val="nil"/>
            </w:tcBorders>
            <w:vAlign w:val="bottom"/>
          </w:tcPr>
          <w:p w14:paraId="4C197682" w14:textId="77777777" w:rsidR="000740A4" w:rsidRPr="00A54BAA" w:rsidRDefault="000740A4" w:rsidP="000740A4">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07E43C10" w14:textId="77777777" w:rsidR="000740A4" w:rsidRPr="007E5888" w:rsidDel="000C6980" w:rsidRDefault="000740A4" w:rsidP="000740A4">
            <w:pPr>
              <w:jc w:val="right"/>
              <w:rPr>
                <w:rFonts w:ascii="Arial" w:hAnsi="Arial" w:cs="Arial"/>
                <w:b/>
                <w:bCs/>
                <w:sz w:val="18"/>
                <w:szCs w:val="18"/>
              </w:rPr>
            </w:pPr>
            <w:r w:rsidRPr="007E5888">
              <w:rPr>
                <w:rFonts w:ascii="Arial" w:hAnsi="Arial" w:cs="Arial"/>
                <w:b/>
                <w:bCs/>
                <w:sz w:val="18"/>
                <w:szCs w:val="18"/>
              </w:rPr>
              <w:t>(2)</w:t>
            </w:r>
          </w:p>
        </w:tc>
        <w:tc>
          <w:tcPr>
            <w:tcW w:w="614" w:type="pct"/>
            <w:tcBorders>
              <w:top w:val="nil"/>
              <w:left w:val="nil"/>
              <w:bottom w:val="nil"/>
              <w:right w:val="nil"/>
            </w:tcBorders>
            <w:shd w:val="clear" w:color="auto" w:fill="auto"/>
            <w:noWrap/>
            <w:vAlign w:val="bottom"/>
          </w:tcPr>
          <w:p w14:paraId="59E0D554" w14:textId="77777777" w:rsidR="000740A4" w:rsidRPr="000740A4" w:rsidDel="000C6980" w:rsidRDefault="000740A4" w:rsidP="000740A4">
            <w:pPr>
              <w:jc w:val="right"/>
              <w:rPr>
                <w:rFonts w:ascii="Arial" w:hAnsi="Arial" w:cs="Arial"/>
                <w:bCs/>
                <w:sz w:val="18"/>
                <w:szCs w:val="18"/>
              </w:rPr>
            </w:pPr>
            <w:r w:rsidRPr="000740A4">
              <w:rPr>
                <w:rFonts w:ascii="Arial" w:hAnsi="Arial" w:cs="Arial"/>
                <w:bCs/>
                <w:sz w:val="18"/>
                <w:szCs w:val="18"/>
              </w:rPr>
              <w:t>(2)</w:t>
            </w:r>
          </w:p>
        </w:tc>
      </w:tr>
      <w:tr w:rsidR="000740A4" w:rsidRPr="003B1B97" w14:paraId="5C43B9F5"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34501B44" w14:textId="77777777" w:rsidR="000740A4" w:rsidRPr="002A7D7A" w:rsidRDefault="000740A4" w:rsidP="000740A4">
            <w:pPr>
              <w:rPr>
                <w:rFonts w:ascii="Arial" w:hAnsi="Arial" w:cs="Arial"/>
                <w:sz w:val="18"/>
                <w:szCs w:val="18"/>
              </w:rPr>
            </w:pPr>
            <w:r>
              <w:rPr>
                <w:rFonts w:ascii="Arial" w:hAnsi="Arial" w:cs="Arial"/>
                <w:sz w:val="18"/>
                <w:szCs w:val="18"/>
              </w:rPr>
              <w:t>Repayment</w:t>
            </w:r>
            <w:r w:rsidDel="007041C8">
              <w:rPr>
                <w:rFonts w:ascii="Arial" w:hAnsi="Arial" w:cs="Arial"/>
                <w:sz w:val="18"/>
                <w:szCs w:val="18"/>
              </w:rPr>
              <w:t xml:space="preserve"> </w:t>
            </w:r>
            <w:r>
              <w:rPr>
                <w:rFonts w:ascii="Arial" w:hAnsi="Arial" w:cs="Arial"/>
                <w:sz w:val="18"/>
                <w:szCs w:val="18"/>
              </w:rPr>
              <w:t>of bank</w:t>
            </w:r>
            <w:r w:rsidRPr="002A7D7A">
              <w:rPr>
                <w:rFonts w:ascii="Arial" w:hAnsi="Arial" w:cs="Arial"/>
                <w:sz w:val="18"/>
                <w:szCs w:val="18"/>
              </w:rPr>
              <w:t xml:space="preserve"> loans</w:t>
            </w:r>
          </w:p>
        </w:tc>
        <w:tc>
          <w:tcPr>
            <w:tcW w:w="438" w:type="pct"/>
            <w:tcBorders>
              <w:top w:val="nil"/>
              <w:left w:val="nil"/>
              <w:bottom w:val="nil"/>
              <w:right w:val="nil"/>
            </w:tcBorders>
            <w:vAlign w:val="bottom"/>
          </w:tcPr>
          <w:p w14:paraId="0032CADC" w14:textId="77777777" w:rsidR="000740A4" w:rsidRPr="00A54BAA" w:rsidRDefault="000740A4" w:rsidP="000740A4">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379D1484" w14:textId="6CAB059A" w:rsidR="000740A4" w:rsidRPr="007E5888" w:rsidRDefault="005258B5" w:rsidP="000740A4">
            <w:pPr>
              <w:jc w:val="right"/>
              <w:rPr>
                <w:rFonts w:ascii="Arial" w:hAnsi="Arial" w:cs="Arial"/>
                <w:b/>
                <w:bCs/>
                <w:sz w:val="18"/>
                <w:szCs w:val="18"/>
              </w:rPr>
            </w:pPr>
            <w:r>
              <w:rPr>
                <w:rFonts w:ascii="Arial" w:hAnsi="Arial" w:cs="Arial"/>
                <w:b/>
                <w:bCs/>
                <w:sz w:val="18"/>
                <w:szCs w:val="18"/>
              </w:rPr>
              <w:t>(1)</w:t>
            </w:r>
          </w:p>
        </w:tc>
        <w:tc>
          <w:tcPr>
            <w:tcW w:w="614" w:type="pct"/>
            <w:tcBorders>
              <w:top w:val="nil"/>
              <w:left w:val="nil"/>
              <w:bottom w:val="nil"/>
              <w:right w:val="nil"/>
            </w:tcBorders>
            <w:shd w:val="clear" w:color="auto" w:fill="auto"/>
            <w:noWrap/>
            <w:vAlign w:val="bottom"/>
          </w:tcPr>
          <w:p w14:paraId="2028E772"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(7)</w:t>
            </w:r>
          </w:p>
        </w:tc>
      </w:tr>
      <w:tr w:rsidR="000740A4" w:rsidRPr="003B1B97" w14:paraId="2AC8A8ED"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479DA606" w14:textId="77777777" w:rsidR="000740A4" w:rsidRPr="002A7D7A" w:rsidRDefault="000740A4" w:rsidP="000740A4">
            <w:pPr>
              <w:rPr>
                <w:rFonts w:ascii="Arial" w:hAnsi="Arial" w:cs="Arial"/>
                <w:sz w:val="18"/>
                <w:szCs w:val="18"/>
              </w:rPr>
            </w:pPr>
            <w:r>
              <w:rPr>
                <w:rFonts w:ascii="Arial" w:hAnsi="Arial" w:cs="Arial"/>
                <w:sz w:val="18"/>
                <w:szCs w:val="18"/>
              </w:rPr>
              <w:t>Repayment of fixed term debt</w:t>
            </w:r>
          </w:p>
        </w:tc>
        <w:tc>
          <w:tcPr>
            <w:tcW w:w="438" w:type="pct"/>
            <w:tcBorders>
              <w:top w:val="nil"/>
              <w:left w:val="nil"/>
              <w:bottom w:val="nil"/>
              <w:right w:val="nil"/>
            </w:tcBorders>
            <w:vAlign w:val="bottom"/>
          </w:tcPr>
          <w:p w14:paraId="05F701E2" w14:textId="77777777" w:rsidR="000740A4" w:rsidRPr="00A54BAA" w:rsidRDefault="000740A4" w:rsidP="000740A4">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700FFC70" w14:textId="77777777" w:rsidR="000740A4" w:rsidRPr="007E5888" w:rsidRDefault="00650B1B" w:rsidP="000740A4">
            <w:pPr>
              <w:jc w:val="right"/>
              <w:rPr>
                <w:rFonts w:ascii="Arial" w:hAnsi="Arial" w:cs="Arial"/>
                <w:b/>
                <w:bCs/>
                <w:sz w:val="18"/>
                <w:szCs w:val="18"/>
              </w:rPr>
            </w:pPr>
            <w:r w:rsidRPr="007E5888">
              <w:rPr>
                <w:rFonts w:ascii="Arial" w:hAnsi="Arial" w:cs="Arial"/>
                <w:b/>
                <w:bCs/>
                <w:sz w:val="18"/>
                <w:szCs w:val="18"/>
              </w:rPr>
              <w:t>(134)</w:t>
            </w:r>
          </w:p>
        </w:tc>
        <w:tc>
          <w:tcPr>
            <w:tcW w:w="614" w:type="pct"/>
            <w:tcBorders>
              <w:top w:val="nil"/>
              <w:left w:val="nil"/>
              <w:bottom w:val="nil"/>
              <w:right w:val="nil"/>
            </w:tcBorders>
            <w:shd w:val="clear" w:color="auto" w:fill="auto"/>
            <w:noWrap/>
            <w:vAlign w:val="bottom"/>
          </w:tcPr>
          <w:p w14:paraId="30543D83"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w:t>
            </w:r>
          </w:p>
        </w:tc>
      </w:tr>
      <w:tr w:rsidR="00650B1B" w:rsidRPr="003B1B97" w14:paraId="68DF0F1E"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6F0559DF" w14:textId="77777777" w:rsidR="00650B1B" w:rsidRDefault="00650B1B" w:rsidP="000740A4">
            <w:pPr>
              <w:rPr>
                <w:rFonts w:ascii="Arial" w:hAnsi="Arial" w:cs="Arial"/>
                <w:sz w:val="18"/>
                <w:szCs w:val="18"/>
              </w:rPr>
            </w:pPr>
            <w:r>
              <w:rPr>
                <w:rFonts w:ascii="Arial" w:hAnsi="Arial" w:cs="Arial"/>
                <w:sz w:val="18"/>
                <w:szCs w:val="18"/>
              </w:rPr>
              <w:t>Issue of fixed term debt</w:t>
            </w:r>
          </w:p>
        </w:tc>
        <w:tc>
          <w:tcPr>
            <w:tcW w:w="438" w:type="pct"/>
            <w:tcBorders>
              <w:top w:val="nil"/>
              <w:left w:val="nil"/>
              <w:bottom w:val="nil"/>
              <w:right w:val="nil"/>
            </w:tcBorders>
            <w:vAlign w:val="bottom"/>
          </w:tcPr>
          <w:p w14:paraId="3B55AEAE" w14:textId="77777777" w:rsidR="00650B1B" w:rsidRPr="00A54BAA" w:rsidRDefault="00650B1B" w:rsidP="000740A4">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611B2DFD" w14:textId="1F7A32DF" w:rsidR="00650B1B" w:rsidRPr="007E5888" w:rsidRDefault="005258B5" w:rsidP="000740A4">
            <w:pPr>
              <w:jc w:val="right"/>
              <w:rPr>
                <w:rFonts w:ascii="Arial" w:hAnsi="Arial" w:cs="Arial"/>
                <w:b/>
                <w:bCs/>
                <w:sz w:val="18"/>
                <w:szCs w:val="18"/>
              </w:rPr>
            </w:pPr>
            <w:r>
              <w:rPr>
                <w:rFonts w:ascii="Arial" w:hAnsi="Arial" w:cs="Arial"/>
                <w:b/>
                <w:bCs/>
                <w:sz w:val="18"/>
                <w:szCs w:val="18"/>
              </w:rPr>
              <w:t>139</w:t>
            </w:r>
          </w:p>
        </w:tc>
        <w:tc>
          <w:tcPr>
            <w:tcW w:w="614" w:type="pct"/>
            <w:tcBorders>
              <w:top w:val="nil"/>
              <w:left w:val="nil"/>
              <w:bottom w:val="nil"/>
              <w:right w:val="nil"/>
            </w:tcBorders>
            <w:shd w:val="clear" w:color="auto" w:fill="auto"/>
            <w:noWrap/>
            <w:vAlign w:val="bottom"/>
          </w:tcPr>
          <w:p w14:paraId="6AC02883" w14:textId="77777777" w:rsidR="00650B1B" w:rsidRPr="000740A4" w:rsidRDefault="00650B1B" w:rsidP="000740A4">
            <w:pPr>
              <w:jc w:val="right"/>
              <w:rPr>
                <w:rFonts w:ascii="Arial" w:hAnsi="Arial" w:cs="Arial"/>
                <w:bCs/>
                <w:sz w:val="18"/>
                <w:szCs w:val="18"/>
              </w:rPr>
            </w:pPr>
            <w:r w:rsidRPr="000740A4">
              <w:rPr>
                <w:rFonts w:ascii="Arial" w:hAnsi="Arial" w:cs="Arial"/>
                <w:bCs/>
                <w:sz w:val="18"/>
                <w:szCs w:val="18"/>
              </w:rPr>
              <w:t>–</w:t>
            </w:r>
          </w:p>
        </w:tc>
      </w:tr>
      <w:tr w:rsidR="000740A4" w:rsidRPr="003B1B97" w14:paraId="1B6BAF3F"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5053D075" w14:textId="77777777" w:rsidR="000740A4" w:rsidRPr="004E5DC0" w:rsidRDefault="000740A4" w:rsidP="000740A4">
            <w:pPr>
              <w:rPr>
                <w:rFonts w:ascii="Arial" w:hAnsi="Arial" w:cs="Arial"/>
                <w:sz w:val="18"/>
                <w:szCs w:val="18"/>
              </w:rPr>
            </w:pPr>
            <w:r>
              <w:rPr>
                <w:rFonts w:ascii="Arial" w:hAnsi="Arial" w:cs="Arial"/>
                <w:sz w:val="18"/>
                <w:szCs w:val="18"/>
              </w:rPr>
              <w:t>Receipt</w:t>
            </w:r>
            <w:r w:rsidRPr="004E5DC0">
              <w:rPr>
                <w:rFonts w:ascii="Arial" w:hAnsi="Arial" w:cs="Arial"/>
                <w:sz w:val="18"/>
                <w:szCs w:val="18"/>
              </w:rPr>
              <w:t xml:space="preserve"> on financing derivatives</w:t>
            </w:r>
          </w:p>
        </w:tc>
        <w:tc>
          <w:tcPr>
            <w:tcW w:w="438" w:type="pct"/>
            <w:tcBorders>
              <w:top w:val="nil"/>
              <w:left w:val="nil"/>
              <w:bottom w:val="nil"/>
              <w:right w:val="nil"/>
            </w:tcBorders>
            <w:vAlign w:val="bottom"/>
          </w:tcPr>
          <w:p w14:paraId="3A70FB2F" w14:textId="77777777" w:rsidR="000740A4" w:rsidRPr="004E5DC0" w:rsidRDefault="000740A4" w:rsidP="000740A4">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1B611C62" w14:textId="77777777" w:rsidR="000740A4" w:rsidRPr="007E5888" w:rsidRDefault="00650B1B" w:rsidP="000740A4">
            <w:pPr>
              <w:jc w:val="right"/>
              <w:rPr>
                <w:rFonts w:ascii="Arial" w:hAnsi="Arial" w:cs="Arial"/>
                <w:b/>
                <w:bCs/>
                <w:sz w:val="18"/>
                <w:szCs w:val="18"/>
              </w:rPr>
            </w:pPr>
            <w:r w:rsidRPr="007E5888">
              <w:rPr>
                <w:rFonts w:ascii="Arial" w:hAnsi="Arial" w:cs="Arial"/>
                <w:b/>
                <w:bCs/>
                <w:sz w:val="18"/>
                <w:szCs w:val="18"/>
              </w:rPr>
              <w:t>37</w:t>
            </w:r>
          </w:p>
        </w:tc>
        <w:tc>
          <w:tcPr>
            <w:tcW w:w="614" w:type="pct"/>
            <w:tcBorders>
              <w:top w:val="nil"/>
              <w:left w:val="nil"/>
              <w:bottom w:val="nil"/>
              <w:right w:val="nil"/>
            </w:tcBorders>
            <w:shd w:val="clear" w:color="auto" w:fill="auto"/>
            <w:noWrap/>
            <w:vAlign w:val="bottom"/>
          </w:tcPr>
          <w:p w14:paraId="778A9B10"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w:t>
            </w:r>
          </w:p>
        </w:tc>
      </w:tr>
      <w:tr w:rsidR="000740A4" w:rsidRPr="003B1B97" w14:paraId="2C3908A7"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0D2ED63D" w14:textId="77777777" w:rsidR="000740A4" w:rsidRDefault="000740A4" w:rsidP="000740A4">
            <w:pPr>
              <w:rPr>
                <w:rFonts w:ascii="Arial" w:hAnsi="Arial" w:cs="Arial"/>
                <w:sz w:val="18"/>
                <w:szCs w:val="18"/>
              </w:rPr>
            </w:pPr>
            <w:r>
              <w:rPr>
                <w:rFonts w:ascii="Arial" w:hAnsi="Arial" w:cs="Arial"/>
                <w:sz w:val="18"/>
                <w:szCs w:val="18"/>
              </w:rPr>
              <w:t xml:space="preserve">Capital element of finance lease rental payments </w:t>
            </w:r>
          </w:p>
        </w:tc>
        <w:tc>
          <w:tcPr>
            <w:tcW w:w="438" w:type="pct"/>
            <w:tcBorders>
              <w:top w:val="nil"/>
              <w:left w:val="nil"/>
              <w:bottom w:val="nil"/>
              <w:right w:val="nil"/>
            </w:tcBorders>
            <w:vAlign w:val="bottom"/>
          </w:tcPr>
          <w:p w14:paraId="58DD872C" w14:textId="77777777" w:rsidR="000740A4" w:rsidRPr="00A54BAA" w:rsidRDefault="000740A4" w:rsidP="000740A4">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459798D9" w14:textId="77777777" w:rsidR="000740A4" w:rsidRPr="007E5888" w:rsidRDefault="000740A4" w:rsidP="000740A4">
            <w:pPr>
              <w:jc w:val="right"/>
              <w:rPr>
                <w:rFonts w:ascii="Arial" w:hAnsi="Arial" w:cs="Arial"/>
                <w:b/>
                <w:bCs/>
                <w:sz w:val="18"/>
                <w:szCs w:val="18"/>
              </w:rPr>
            </w:pPr>
            <w:r w:rsidRPr="007E5888">
              <w:rPr>
                <w:rFonts w:ascii="Arial" w:hAnsi="Arial" w:cs="Arial"/>
                <w:b/>
                <w:bCs/>
                <w:sz w:val="18"/>
                <w:szCs w:val="18"/>
              </w:rPr>
              <w:t>(1</w:t>
            </w:r>
            <w:r w:rsidR="00650B1B" w:rsidRPr="007E5888">
              <w:rPr>
                <w:rFonts w:ascii="Arial" w:hAnsi="Arial" w:cs="Arial"/>
                <w:b/>
                <w:bCs/>
                <w:sz w:val="18"/>
                <w:szCs w:val="18"/>
              </w:rPr>
              <w:t>0</w:t>
            </w:r>
            <w:r w:rsidRPr="007E5888">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14:paraId="63CF8BF4"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(11)</w:t>
            </w:r>
          </w:p>
        </w:tc>
      </w:tr>
      <w:tr w:rsidR="000740A4" w:rsidRPr="003B1B97" w14:paraId="2C4928F5"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230DAF8F" w14:textId="77777777" w:rsidR="000740A4" w:rsidRPr="002A7D7A" w:rsidRDefault="000740A4" w:rsidP="000740A4">
            <w:pPr>
              <w:rPr>
                <w:rFonts w:ascii="Arial" w:hAnsi="Arial" w:cs="Arial"/>
                <w:sz w:val="18"/>
                <w:szCs w:val="18"/>
              </w:rPr>
            </w:pPr>
            <w:r>
              <w:rPr>
                <w:rFonts w:ascii="Arial" w:hAnsi="Arial" w:cs="Arial"/>
                <w:sz w:val="18"/>
                <w:szCs w:val="18"/>
              </w:rPr>
              <w:t>New shares issued under share schemes</w:t>
            </w:r>
            <w:r w:rsidRPr="002A7D7A" w:rsidDel="009C71AE">
              <w:rPr>
                <w:rFonts w:ascii="Arial" w:hAnsi="Arial" w:cs="Arial"/>
                <w:sz w:val="18"/>
                <w:szCs w:val="18"/>
              </w:rPr>
              <w:t xml:space="preserve"> </w:t>
            </w:r>
          </w:p>
        </w:tc>
        <w:tc>
          <w:tcPr>
            <w:tcW w:w="438" w:type="pct"/>
            <w:tcBorders>
              <w:top w:val="nil"/>
              <w:left w:val="nil"/>
              <w:bottom w:val="nil"/>
              <w:right w:val="nil"/>
            </w:tcBorders>
            <w:vAlign w:val="bottom"/>
          </w:tcPr>
          <w:p w14:paraId="5F14BFF6" w14:textId="77777777" w:rsidR="000740A4" w:rsidRPr="00A54BAA" w:rsidRDefault="000740A4" w:rsidP="000740A4">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3A15375B" w14:textId="2DFE517B" w:rsidR="000740A4" w:rsidRPr="000740A4" w:rsidRDefault="00C356D9" w:rsidP="000740A4">
            <w:pPr>
              <w:jc w:val="right"/>
              <w:rPr>
                <w:rFonts w:ascii="Arial" w:hAnsi="Arial" w:cs="Arial"/>
                <w:b/>
                <w:bCs/>
                <w:sz w:val="18"/>
                <w:szCs w:val="18"/>
                <w:highlight w:val="yellow"/>
              </w:rPr>
            </w:pPr>
            <w:r>
              <w:rPr>
                <w:rFonts w:ascii="Arial" w:hAnsi="Arial" w:cs="Arial"/>
                <w:b/>
                <w:bCs/>
                <w:sz w:val="18"/>
                <w:szCs w:val="18"/>
              </w:rPr>
              <w:t>2</w:t>
            </w:r>
          </w:p>
        </w:tc>
        <w:tc>
          <w:tcPr>
            <w:tcW w:w="614" w:type="pct"/>
            <w:tcBorders>
              <w:top w:val="nil"/>
              <w:left w:val="nil"/>
              <w:bottom w:val="nil"/>
              <w:right w:val="nil"/>
            </w:tcBorders>
            <w:shd w:val="clear" w:color="auto" w:fill="auto"/>
            <w:noWrap/>
            <w:vAlign w:val="bottom"/>
          </w:tcPr>
          <w:p w14:paraId="5AF9629E"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8</w:t>
            </w:r>
          </w:p>
        </w:tc>
      </w:tr>
      <w:tr w:rsidR="000740A4" w:rsidRPr="003B1B97" w14:paraId="471651B6"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0DB50584" w14:textId="3F64EBDB" w:rsidR="000740A4" w:rsidRPr="002A7D7A" w:rsidRDefault="009A0369" w:rsidP="000740A4">
            <w:pPr>
              <w:rPr>
                <w:rFonts w:ascii="Arial" w:hAnsi="Arial" w:cs="Arial"/>
                <w:sz w:val="18"/>
                <w:szCs w:val="18"/>
              </w:rPr>
            </w:pPr>
            <w:r>
              <w:rPr>
                <w:rFonts w:ascii="Arial" w:hAnsi="Arial" w:cs="Arial"/>
                <w:sz w:val="18"/>
                <w:szCs w:val="18"/>
              </w:rPr>
              <w:t xml:space="preserve">Purchase of own shares for </w:t>
            </w:r>
            <w:r w:rsidR="00BC7181">
              <w:rPr>
                <w:rFonts w:ascii="Arial" w:hAnsi="Arial" w:cs="Arial"/>
                <w:sz w:val="18"/>
                <w:szCs w:val="18"/>
              </w:rPr>
              <w:t>ESOP trust</w:t>
            </w:r>
          </w:p>
        </w:tc>
        <w:tc>
          <w:tcPr>
            <w:tcW w:w="438" w:type="pct"/>
            <w:tcBorders>
              <w:top w:val="nil"/>
              <w:left w:val="nil"/>
              <w:bottom w:val="nil"/>
              <w:right w:val="nil"/>
            </w:tcBorders>
            <w:vAlign w:val="bottom"/>
          </w:tcPr>
          <w:p w14:paraId="74A14981" w14:textId="77777777" w:rsidR="000740A4" w:rsidRPr="00A54BAA" w:rsidRDefault="000740A4" w:rsidP="000740A4">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6A8DCEAD" w14:textId="77777777" w:rsidR="000740A4" w:rsidRPr="000740A4" w:rsidRDefault="000740A4" w:rsidP="000740A4">
            <w:pPr>
              <w:jc w:val="right"/>
              <w:rPr>
                <w:rFonts w:ascii="Arial" w:hAnsi="Arial" w:cs="Arial"/>
                <w:b/>
                <w:bCs/>
                <w:sz w:val="18"/>
                <w:szCs w:val="18"/>
                <w:highlight w:val="yellow"/>
              </w:rPr>
            </w:pPr>
            <w:r w:rsidRPr="00A454CF">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14:paraId="5D3EA394" w14:textId="120B7CFB" w:rsidR="000740A4" w:rsidRPr="000740A4" w:rsidRDefault="00BC7181" w:rsidP="000740A4">
            <w:pPr>
              <w:jc w:val="right"/>
              <w:rPr>
                <w:rFonts w:ascii="Arial" w:hAnsi="Arial" w:cs="Arial"/>
                <w:bCs/>
                <w:sz w:val="18"/>
                <w:szCs w:val="18"/>
              </w:rPr>
            </w:pPr>
            <w:r>
              <w:rPr>
                <w:rFonts w:ascii="Arial" w:hAnsi="Arial" w:cs="Arial"/>
                <w:bCs/>
                <w:sz w:val="18"/>
                <w:szCs w:val="18"/>
              </w:rPr>
              <w:t>(13)</w:t>
            </w:r>
          </w:p>
        </w:tc>
      </w:tr>
      <w:tr w:rsidR="000740A4" w:rsidRPr="003B1B97" w14:paraId="092463A6"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3E499101" w14:textId="77777777" w:rsidR="000740A4" w:rsidRDefault="000740A4" w:rsidP="000740A4">
            <w:pPr>
              <w:rPr>
                <w:rFonts w:ascii="Arial" w:hAnsi="Arial" w:cs="Arial"/>
                <w:sz w:val="18"/>
                <w:szCs w:val="18"/>
              </w:rPr>
            </w:pPr>
            <w:r>
              <w:rPr>
                <w:rFonts w:ascii="Arial" w:hAnsi="Arial" w:cs="Arial"/>
                <w:sz w:val="18"/>
                <w:szCs w:val="18"/>
              </w:rPr>
              <w:t>Purchase of own shares for cancellation</w:t>
            </w:r>
          </w:p>
        </w:tc>
        <w:tc>
          <w:tcPr>
            <w:tcW w:w="438" w:type="pct"/>
            <w:tcBorders>
              <w:top w:val="nil"/>
              <w:left w:val="nil"/>
              <w:bottom w:val="nil"/>
              <w:right w:val="nil"/>
            </w:tcBorders>
            <w:vAlign w:val="bottom"/>
          </w:tcPr>
          <w:p w14:paraId="274C9DB2" w14:textId="77777777" w:rsidR="000740A4" w:rsidRPr="00A54BAA" w:rsidRDefault="000740A4" w:rsidP="000740A4">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414A7055" w14:textId="6DFACEEA" w:rsidR="000740A4" w:rsidRPr="00A454CF" w:rsidRDefault="000740A4" w:rsidP="000740A4">
            <w:pPr>
              <w:jc w:val="right"/>
              <w:rPr>
                <w:rFonts w:ascii="Arial" w:hAnsi="Arial" w:cs="Arial"/>
                <w:b/>
                <w:bCs/>
                <w:sz w:val="18"/>
                <w:szCs w:val="18"/>
              </w:rPr>
            </w:pPr>
            <w:r w:rsidRPr="00A454CF">
              <w:rPr>
                <w:rFonts w:ascii="Arial" w:hAnsi="Arial" w:cs="Arial"/>
                <w:b/>
                <w:bCs/>
                <w:sz w:val="18"/>
                <w:szCs w:val="18"/>
              </w:rPr>
              <w:t>(</w:t>
            </w:r>
            <w:r w:rsidR="00A454CF" w:rsidRPr="00A454CF">
              <w:rPr>
                <w:rFonts w:ascii="Arial" w:hAnsi="Arial" w:cs="Arial"/>
                <w:b/>
                <w:bCs/>
                <w:sz w:val="18"/>
                <w:szCs w:val="18"/>
              </w:rPr>
              <w:t>140</w:t>
            </w:r>
            <w:r w:rsidRPr="00A454CF">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14:paraId="5FC44F55"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(260)</w:t>
            </w:r>
          </w:p>
        </w:tc>
      </w:tr>
      <w:tr w:rsidR="000740A4" w:rsidRPr="003B1B97" w14:paraId="276381B8" w14:textId="77777777" w:rsidTr="001606EE">
        <w:trPr>
          <w:gridAfter w:val="1"/>
          <w:wAfter w:w="121" w:type="pct"/>
          <w:trHeight w:val="255"/>
        </w:trPr>
        <w:tc>
          <w:tcPr>
            <w:tcW w:w="3319" w:type="pct"/>
            <w:tcBorders>
              <w:top w:val="nil"/>
              <w:left w:val="nil"/>
              <w:right w:val="nil"/>
            </w:tcBorders>
            <w:shd w:val="clear" w:color="auto" w:fill="auto"/>
            <w:noWrap/>
            <w:vAlign w:val="bottom"/>
          </w:tcPr>
          <w:p w14:paraId="540F7CC5" w14:textId="77777777" w:rsidR="000740A4" w:rsidRPr="002A7D7A" w:rsidRDefault="000740A4" w:rsidP="000740A4">
            <w:pPr>
              <w:rPr>
                <w:rFonts w:ascii="Arial" w:hAnsi="Arial" w:cs="Arial"/>
                <w:sz w:val="18"/>
                <w:szCs w:val="18"/>
              </w:rPr>
            </w:pPr>
            <w:r>
              <w:rPr>
                <w:rFonts w:ascii="Arial" w:hAnsi="Arial" w:cs="Arial"/>
                <w:sz w:val="18"/>
                <w:szCs w:val="18"/>
              </w:rPr>
              <w:t>Ordinary dividends paid to equity shareholders of the Company</w:t>
            </w:r>
          </w:p>
        </w:tc>
        <w:tc>
          <w:tcPr>
            <w:tcW w:w="438" w:type="pct"/>
            <w:tcBorders>
              <w:top w:val="nil"/>
              <w:left w:val="nil"/>
              <w:right w:val="nil"/>
            </w:tcBorders>
            <w:vAlign w:val="bottom"/>
          </w:tcPr>
          <w:p w14:paraId="71326482" w14:textId="77777777" w:rsidR="000740A4" w:rsidRPr="00A54BAA" w:rsidRDefault="000740A4" w:rsidP="000740A4">
            <w:pPr>
              <w:jc w:val="center"/>
              <w:rPr>
                <w:rFonts w:ascii="Arial" w:hAnsi="Arial" w:cs="Arial"/>
                <w:b/>
                <w:bCs/>
                <w:sz w:val="18"/>
                <w:szCs w:val="18"/>
              </w:rPr>
            </w:pPr>
          </w:p>
        </w:tc>
        <w:tc>
          <w:tcPr>
            <w:tcW w:w="508" w:type="pct"/>
            <w:tcBorders>
              <w:top w:val="nil"/>
              <w:left w:val="nil"/>
              <w:right w:val="nil"/>
            </w:tcBorders>
            <w:shd w:val="clear" w:color="auto" w:fill="auto"/>
            <w:noWrap/>
            <w:vAlign w:val="bottom"/>
          </w:tcPr>
          <w:p w14:paraId="3546D25A" w14:textId="77777777" w:rsidR="000740A4" w:rsidRPr="00A454CF" w:rsidRDefault="000740A4" w:rsidP="000740A4">
            <w:pPr>
              <w:jc w:val="right"/>
              <w:rPr>
                <w:rFonts w:ascii="Arial" w:hAnsi="Arial" w:cs="Arial"/>
                <w:b/>
                <w:sz w:val="18"/>
                <w:szCs w:val="18"/>
              </w:rPr>
            </w:pPr>
            <w:r w:rsidRPr="00A454CF">
              <w:rPr>
                <w:rFonts w:ascii="Arial" w:hAnsi="Arial" w:cs="Arial"/>
                <w:b/>
                <w:sz w:val="18"/>
                <w:szCs w:val="18"/>
              </w:rPr>
              <w:t>(231)</w:t>
            </w:r>
          </w:p>
        </w:tc>
        <w:tc>
          <w:tcPr>
            <w:tcW w:w="614" w:type="pct"/>
            <w:tcBorders>
              <w:top w:val="nil"/>
              <w:left w:val="nil"/>
              <w:right w:val="nil"/>
            </w:tcBorders>
            <w:shd w:val="clear" w:color="auto" w:fill="auto"/>
            <w:noWrap/>
            <w:vAlign w:val="bottom"/>
          </w:tcPr>
          <w:p w14:paraId="79009BBC" w14:textId="77777777" w:rsidR="000740A4" w:rsidRPr="000740A4" w:rsidRDefault="000740A4" w:rsidP="000740A4">
            <w:pPr>
              <w:jc w:val="right"/>
              <w:rPr>
                <w:rFonts w:ascii="Arial" w:hAnsi="Arial" w:cs="Arial"/>
                <w:sz w:val="18"/>
                <w:szCs w:val="18"/>
              </w:rPr>
            </w:pPr>
            <w:r w:rsidRPr="000740A4">
              <w:rPr>
                <w:rFonts w:ascii="Arial" w:hAnsi="Arial" w:cs="Arial"/>
                <w:sz w:val="18"/>
                <w:szCs w:val="18"/>
              </w:rPr>
              <w:t>(231)</w:t>
            </w:r>
          </w:p>
        </w:tc>
      </w:tr>
      <w:tr w:rsidR="000740A4" w:rsidRPr="003B1B97" w14:paraId="5A90AA7A" w14:textId="77777777" w:rsidTr="001606EE">
        <w:trPr>
          <w:gridAfter w:val="1"/>
          <w:wAfter w:w="121" w:type="pct"/>
          <w:trHeight w:val="255"/>
        </w:trPr>
        <w:tc>
          <w:tcPr>
            <w:tcW w:w="3319" w:type="pct"/>
            <w:tcBorders>
              <w:top w:val="single" w:sz="4" w:space="0" w:color="auto"/>
              <w:left w:val="nil"/>
              <w:right w:val="nil"/>
            </w:tcBorders>
            <w:shd w:val="clear" w:color="auto" w:fill="auto"/>
            <w:noWrap/>
            <w:vAlign w:val="bottom"/>
          </w:tcPr>
          <w:p w14:paraId="2F744497" w14:textId="77777777" w:rsidR="000740A4" w:rsidRPr="00A54BAA" w:rsidRDefault="000740A4" w:rsidP="000740A4">
            <w:pPr>
              <w:rPr>
                <w:rFonts w:ascii="Arial" w:hAnsi="Arial" w:cs="Arial"/>
                <w:b/>
                <w:bCs/>
                <w:sz w:val="18"/>
                <w:szCs w:val="18"/>
              </w:rPr>
            </w:pPr>
            <w:r w:rsidRPr="00A54BAA">
              <w:rPr>
                <w:rFonts w:ascii="Arial" w:hAnsi="Arial" w:cs="Arial"/>
                <w:b/>
                <w:bCs/>
                <w:sz w:val="18"/>
                <w:szCs w:val="18"/>
              </w:rPr>
              <w:t>Net cash flows from financing activities</w:t>
            </w:r>
          </w:p>
        </w:tc>
        <w:tc>
          <w:tcPr>
            <w:tcW w:w="438" w:type="pct"/>
            <w:tcBorders>
              <w:top w:val="single" w:sz="4" w:space="0" w:color="auto"/>
              <w:left w:val="nil"/>
              <w:right w:val="nil"/>
            </w:tcBorders>
            <w:vAlign w:val="bottom"/>
          </w:tcPr>
          <w:p w14:paraId="1A78190B" w14:textId="77777777" w:rsidR="000740A4" w:rsidRPr="00A54BAA" w:rsidRDefault="000740A4" w:rsidP="000740A4">
            <w:pPr>
              <w:jc w:val="center"/>
              <w:rPr>
                <w:rFonts w:ascii="Arial" w:hAnsi="Arial" w:cs="Arial"/>
                <w:b/>
                <w:bCs/>
                <w:sz w:val="18"/>
                <w:szCs w:val="18"/>
              </w:rPr>
            </w:pPr>
          </w:p>
        </w:tc>
        <w:tc>
          <w:tcPr>
            <w:tcW w:w="508" w:type="pct"/>
            <w:tcBorders>
              <w:top w:val="single" w:sz="4" w:space="0" w:color="auto"/>
              <w:left w:val="nil"/>
              <w:right w:val="nil"/>
            </w:tcBorders>
            <w:shd w:val="clear" w:color="auto" w:fill="auto"/>
            <w:noWrap/>
            <w:vAlign w:val="bottom"/>
          </w:tcPr>
          <w:p w14:paraId="0C6579B7" w14:textId="654462E5" w:rsidR="000740A4" w:rsidRPr="00A454CF" w:rsidRDefault="000740A4" w:rsidP="000740A4">
            <w:pPr>
              <w:jc w:val="right"/>
              <w:rPr>
                <w:rFonts w:ascii="Arial" w:hAnsi="Arial" w:cs="Arial"/>
                <w:b/>
                <w:bCs/>
                <w:sz w:val="18"/>
                <w:szCs w:val="18"/>
              </w:rPr>
            </w:pPr>
            <w:r w:rsidRPr="00A454CF">
              <w:rPr>
                <w:rFonts w:ascii="Arial" w:hAnsi="Arial" w:cs="Arial"/>
                <w:b/>
                <w:bCs/>
                <w:sz w:val="18"/>
                <w:szCs w:val="18"/>
              </w:rPr>
              <w:t>(</w:t>
            </w:r>
            <w:r w:rsidR="00A454CF" w:rsidRPr="00A454CF">
              <w:rPr>
                <w:rFonts w:ascii="Arial" w:hAnsi="Arial" w:cs="Arial"/>
                <w:b/>
                <w:bCs/>
                <w:sz w:val="18"/>
                <w:szCs w:val="18"/>
              </w:rPr>
              <w:t>3</w:t>
            </w:r>
            <w:r w:rsidR="00C356D9">
              <w:rPr>
                <w:rFonts w:ascii="Arial" w:hAnsi="Arial" w:cs="Arial"/>
                <w:b/>
                <w:bCs/>
                <w:sz w:val="18"/>
                <w:szCs w:val="18"/>
              </w:rPr>
              <w:t>59</w:t>
            </w:r>
            <w:r w:rsidRPr="00A454CF">
              <w:rPr>
                <w:rFonts w:ascii="Arial" w:hAnsi="Arial" w:cs="Arial"/>
                <w:b/>
                <w:bCs/>
                <w:sz w:val="18"/>
                <w:szCs w:val="18"/>
              </w:rPr>
              <w:t>)</w:t>
            </w:r>
          </w:p>
        </w:tc>
        <w:tc>
          <w:tcPr>
            <w:tcW w:w="614" w:type="pct"/>
            <w:tcBorders>
              <w:top w:val="single" w:sz="4" w:space="0" w:color="auto"/>
              <w:left w:val="nil"/>
              <w:right w:val="nil"/>
            </w:tcBorders>
            <w:shd w:val="clear" w:color="auto" w:fill="auto"/>
            <w:noWrap/>
            <w:vAlign w:val="bottom"/>
          </w:tcPr>
          <w:p w14:paraId="2BFB163B"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(526)</w:t>
            </w:r>
          </w:p>
        </w:tc>
      </w:tr>
      <w:tr w:rsidR="000740A4" w:rsidRPr="003B1B97" w14:paraId="324F50B0" w14:textId="77777777" w:rsidTr="001606EE">
        <w:trPr>
          <w:gridAfter w:val="1"/>
          <w:wAfter w:w="121" w:type="pct"/>
          <w:trHeight w:val="255"/>
        </w:trPr>
        <w:tc>
          <w:tcPr>
            <w:tcW w:w="3319" w:type="pct"/>
            <w:tcBorders>
              <w:top w:val="nil"/>
              <w:left w:val="nil"/>
              <w:right w:val="nil"/>
            </w:tcBorders>
            <w:shd w:val="clear" w:color="auto" w:fill="auto"/>
            <w:noWrap/>
            <w:vAlign w:val="bottom"/>
          </w:tcPr>
          <w:p w14:paraId="7AE8EA60" w14:textId="77777777" w:rsidR="000740A4" w:rsidRPr="00A54BAA" w:rsidRDefault="000740A4" w:rsidP="000740A4">
            <w:pPr>
              <w:rPr>
                <w:rFonts w:ascii="Arial" w:hAnsi="Arial" w:cs="Arial"/>
                <w:sz w:val="18"/>
                <w:szCs w:val="18"/>
              </w:rPr>
            </w:pPr>
            <w:r w:rsidRPr="00A54BAA">
              <w:rPr>
                <w:rFonts w:ascii="Arial" w:hAnsi="Arial" w:cs="Arial"/>
                <w:sz w:val="18"/>
                <w:szCs w:val="18"/>
              </w:rPr>
              <w:t> </w:t>
            </w:r>
          </w:p>
        </w:tc>
        <w:tc>
          <w:tcPr>
            <w:tcW w:w="438" w:type="pct"/>
            <w:tcBorders>
              <w:top w:val="nil"/>
              <w:left w:val="nil"/>
              <w:right w:val="nil"/>
            </w:tcBorders>
            <w:vAlign w:val="bottom"/>
          </w:tcPr>
          <w:p w14:paraId="54745FD5" w14:textId="77777777" w:rsidR="000740A4" w:rsidRPr="00A54BAA" w:rsidRDefault="000740A4" w:rsidP="000740A4">
            <w:pPr>
              <w:jc w:val="center"/>
              <w:rPr>
                <w:rFonts w:ascii="Arial" w:hAnsi="Arial" w:cs="Arial"/>
                <w:b/>
                <w:bCs/>
                <w:sz w:val="18"/>
                <w:szCs w:val="18"/>
              </w:rPr>
            </w:pPr>
          </w:p>
        </w:tc>
        <w:tc>
          <w:tcPr>
            <w:tcW w:w="508" w:type="pct"/>
            <w:tcBorders>
              <w:top w:val="nil"/>
              <w:left w:val="nil"/>
              <w:right w:val="nil"/>
            </w:tcBorders>
            <w:shd w:val="clear" w:color="auto" w:fill="auto"/>
            <w:noWrap/>
            <w:vAlign w:val="bottom"/>
          </w:tcPr>
          <w:p w14:paraId="0F8D4B12" w14:textId="77777777" w:rsidR="000740A4" w:rsidRPr="000740A4" w:rsidRDefault="000740A4" w:rsidP="000740A4">
            <w:pPr>
              <w:jc w:val="right"/>
              <w:rPr>
                <w:rFonts w:ascii="Arial" w:hAnsi="Arial" w:cs="Arial"/>
                <w:b/>
                <w:bCs/>
                <w:sz w:val="18"/>
                <w:szCs w:val="18"/>
                <w:highlight w:val="yellow"/>
              </w:rPr>
            </w:pPr>
          </w:p>
        </w:tc>
        <w:tc>
          <w:tcPr>
            <w:tcW w:w="614" w:type="pct"/>
            <w:tcBorders>
              <w:top w:val="nil"/>
              <w:left w:val="nil"/>
              <w:right w:val="nil"/>
            </w:tcBorders>
            <w:shd w:val="clear" w:color="auto" w:fill="auto"/>
            <w:noWrap/>
            <w:vAlign w:val="bottom"/>
          </w:tcPr>
          <w:p w14:paraId="3A85991A" w14:textId="77777777" w:rsidR="000740A4" w:rsidRPr="000740A4" w:rsidRDefault="000740A4" w:rsidP="000740A4">
            <w:pPr>
              <w:jc w:val="right"/>
              <w:rPr>
                <w:rFonts w:ascii="Arial" w:hAnsi="Arial" w:cs="Arial"/>
                <w:bCs/>
                <w:sz w:val="18"/>
                <w:szCs w:val="18"/>
              </w:rPr>
            </w:pPr>
          </w:p>
        </w:tc>
      </w:tr>
      <w:tr w:rsidR="000740A4" w:rsidRPr="003B1B97" w14:paraId="72240D13" w14:textId="77777777" w:rsidTr="001606EE">
        <w:trPr>
          <w:gridAfter w:val="1"/>
          <w:wAfter w:w="121" w:type="pct"/>
          <w:trHeight w:val="255"/>
        </w:trPr>
        <w:tc>
          <w:tcPr>
            <w:tcW w:w="3319" w:type="pct"/>
            <w:tcBorders>
              <w:top w:val="single" w:sz="4" w:space="0" w:color="auto"/>
              <w:left w:val="nil"/>
              <w:bottom w:val="nil"/>
              <w:right w:val="nil"/>
            </w:tcBorders>
            <w:shd w:val="clear" w:color="auto" w:fill="auto"/>
            <w:noWrap/>
            <w:vAlign w:val="bottom"/>
          </w:tcPr>
          <w:p w14:paraId="27D74C67" w14:textId="0B92E661" w:rsidR="000740A4" w:rsidRPr="00DE439A" w:rsidRDefault="000740A4" w:rsidP="000740A4">
            <w:pPr>
              <w:rPr>
                <w:rFonts w:ascii="Arial" w:hAnsi="Arial" w:cs="Arial"/>
                <w:b/>
                <w:bCs/>
                <w:sz w:val="18"/>
                <w:szCs w:val="18"/>
              </w:rPr>
            </w:pPr>
            <w:r w:rsidRPr="00555EB2">
              <w:rPr>
                <w:rFonts w:ascii="Arial" w:hAnsi="Arial" w:cs="Arial"/>
                <w:b/>
                <w:bCs/>
                <w:sz w:val="18"/>
                <w:szCs w:val="18"/>
              </w:rPr>
              <w:t>Net</w:t>
            </w:r>
            <w:r>
              <w:rPr>
                <w:rFonts w:ascii="Arial" w:hAnsi="Arial" w:cs="Arial"/>
                <w:b/>
                <w:bCs/>
                <w:sz w:val="18"/>
                <w:szCs w:val="18"/>
              </w:rPr>
              <w:t xml:space="preserve"> </w:t>
            </w:r>
            <w:r w:rsidR="000B484F">
              <w:rPr>
                <w:rFonts w:ascii="Arial" w:hAnsi="Arial" w:cs="Arial"/>
                <w:b/>
                <w:bCs/>
                <w:sz w:val="18"/>
                <w:szCs w:val="18"/>
              </w:rPr>
              <w:t>increase/</w:t>
            </w:r>
            <w:r>
              <w:rPr>
                <w:rFonts w:ascii="Arial" w:hAnsi="Arial" w:cs="Arial"/>
                <w:b/>
                <w:bCs/>
                <w:sz w:val="18"/>
                <w:szCs w:val="18"/>
              </w:rPr>
              <w:t>(decrease)</w:t>
            </w:r>
            <w:r w:rsidRPr="00555EB2">
              <w:rPr>
                <w:rFonts w:ascii="Arial" w:hAnsi="Arial" w:cs="Arial"/>
                <w:b/>
                <w:bCs/>
                <w:sz w:val="18"/>
                <w:szCs w:val="18"/>
              </w:rPr>
              <w:t xml:space="preserve"> in cash and cash </w:t>
            </w:r>
            <w:r>
              <w:rPr>
                <w:rFonts w:ascii="Arial" w:hAnsi="Arial" w:cs="Arial"/>
                <w:b/>
                <w:bCs/>
                <w:sz w:val="18"/>
                <w:szCs w:val="18"/>
              </w:rPr>
              <w:t>equivalents</w:t>
            </w:r>
          </w:p>
        </w:tc>
        <w:tc>
          <w:tcPr>
            <w:tcW w:w="438" w:type="pct"/>
            <w:tcBorders>
              <w:top w:val="single" w:sz="4" w:space="0" w:color="auto"/>
              <w:left w:val="nil"/>
              <w:bottom w:val="nil"/>
              <w:right w:val="nil"/>
            </w:tcBorders>
            <w:vAlign w:val="bottom"/>
          </w:tcPr>
          <w:p w14:paraId="099AC471" w14:textId="77777777" w:rsidR="000740A4" w:rsidRPr="00A54BAA" w:rsidRDefault="000740A4" w:rsidP="000740A4">
            <w:pPr>
              <w:jc w:val="center"/>
              <w:rPr>
                <w:rFonts w:ascii="Arial" w:hAnsi="Arial" w:cs="Arial"/>
                <w:b/>
                <w:bCs/>
                <w:sz w:val="18"/>
                <w:szCs w:val="18"/>
              </w:rPr>
            </w:pPr>
          </w:p>
        </w:tc>
        <w:tc>
          <w:tcPr>
            <w:tcW w:w="508" w:type="pct"/>
            <w:tcBorders>
              <w:top w:val="single" w:sz="4" w:space="0" w:color="auto"/>
              <w:left w:val="nil"/>
              <w:bottom w:val="nil"/>
              <w:right w:val="nil"/>
            </w:tcBorders>
            <w:shd w:val="clear" w:color="auto" w:fill="auto"/>
            <w:noWrap/>
            <w:vAlign w:val="bottom"/>
          </w:tcPr>
          <w:p w14:paraId="116EDF4C" w14:textId="1D9CBC08" w:rsidR="000740A4" w:rsidRPr="00A454CF" w:rsidRDefault="00A454CF" w:rsidP="000740A4">
            <w:pPr>
              <w:jc w:val="right"/>
              <w:rPr>
                <w:rFonts w:ascii="Arial" w:hAnsi="Arial" w:cs="Arial"/>
                <w:b/>
                <w:bCs/>
                <w:sz w:val="18"/>
                <w:szCs w:val="18"/>
              </w:rPr>
            </w:pPr>
            <w:r w:rsidRPr="00A454CF">
              <w:rPr>
                <w:rFonts w:ascii="Arial" w:hAnsi="Arial" w:cs="Arial"/>
                <w:b/>
                <w:bCs/>
                <w:sz w:val="18"/>
                <w:szCs w:val="18"/>
              </w:rPr>
              <w:t>1</w:t>
            </w:r>
            <w:r w:rsidR="00C356D9">
              <w:rPr>
                <w:rFonts w:ascii="Arial" w:hAnsi="Arial" w:cs="Arial"/>
                <w:b/>
                <w:bCs/>
                <w:sz w:val="18"/>
                <w:szCs w:val="18"/>
              </w:rPr>
              <w:t>2</w:t>
            </w:r>
          </w:p>
        </w:tc>
        <w:tc>
          <w:tcPr>
            <w:tcW w:w="614" w:type="pct"/>
            <w:tcBorders>
              <w:top w:val="single" w:sz="4" w:space="0" w:color="auto"/>
              <w:left w:val="nil"/>
              <w:bottom w:val="nil"/>
              <w:right w:val="nil"/>
            </w:tcBorders>
            <w:shd w:val="clear" w:color="auto" w:fill="auto"/>
            <w:noWrap/>
            <w:vAlign w:val="bottom"/>
          </w:tcPr>
          <w:p w14:paraId="65791B95"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(596)</w:t>
            </w:r>
          </w:p>
        </w:tc>
      </w:tr>
      <w:tr w:rsidR="000740A4" w:rsidRPr="004E5DC0" w14:paraId="1E783194"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6C168BF5" w14:textId="3B38BEFD" w:rsidR="000740A4" w:rsidRPr="00555EB2" w:rsidRDefault="000740A4" w:rsidP="000740A4">
            <w:pPr>
              <w:rPr>
                <w:rFonts w:ascii="Arial" w:hAnsi="Arial" w:cs="Arial"/>
                <w:bCs/>
                <w:sz w:val="18"/>
                <w:szCs w:val="18"/>
              </w:rPr>
            </w:pPr>
            <w:r w:rsidRPr="00555EB2">
              <w:rPr>
                <w:rFonts w:ascii="Arial" w:hAnsi="Arial" w:cs="Arial"/>
                <w:bCs/>
                <w:sz w:val="18"/>
                <w:szCs w:val="18"/>
              </w:rPr>
              <w:t>Cash and cash equivalents at beginning of year</w:t>
            </w:r>
          </w:p>
        </w:tc>
        <w:tc>
          <w:tcPr>
            <w:tcW w:w="438" w:type="pct"/>
            <w:tcBorders>
              <w:top w:val="nil"/>
              <w:left w:val="nil"/>
              <w:bottom w:val="nil"/>
              <w:right w:val="nil"/>
            </w:tcBorders>
            <w:vAlign w:val="bottom"/>
          </w:tcPr>
          <w:p w14:paraId="38043229" w14:textId="77777777" w:rsidR="000740A4" w:rsidRPr="004E5DC0" w:rsidRDefault="000740A4" w:rsidP="000740A4">
            <w:pPr>
              <w:jc w:val="center"/>
              <w:rPr>
                <w:rFonts w:ascii="Arial" w:hAnsi="Arial" w:cs="Arial"/>
                <w:bCs/>
                <w:sz w:val="18"/>
                <w:szCs w:val="18"/>
              </w:rPr>
            </w:pPr>
          </w:p>
        </w:tc>
        <w:tc>
          <w:tcPr>
            <w:tcW w:w="508" w:type="pct"/>
            <w:tcBorders>
              <w:top w:val="nil"/>
              <w:left w:val="nil"/>
              <w:bottom w:val="nil"/>
              <w:right w:val="nil"/>
            </w:tcBorders>
            <w:shd w:val="clear" w:color="auto" w:fill="auto"/>
            <w:noWrap/>
            <w:vAlign w:val="bottom"/>
          </w:tcPr>
          <w:p w14:paraId="140527FD" w14:textId="69C9CEC3" w:rsidR="000740A4" w:rsidRPr="00A454CF" w:rsidRDefault="00A454CF" w:rsidP="000740A4">
            <w:pPr>
              <w:jc w:val="right"/>
              <w:rPr>
                <w:rFonts w:ascii="Arial" w:hAnsi="Arial" w:cs="Arial"/>
                <w:b/>
                <w:bCs/>
                <w:sz w:val="18"/>
                <w:szCs w:val="18"/>
              </w:rPr>
            </w:pPr>
            <w:r w:rsidRPr="00A454CF">
              <w:rPr>
                <w:rFonts w:ascii="Arial" w:hAnsi="Arial" w:cs="Arial"/>
                <w:b/>
                <w:bCs/>
                <w:sz w:val="18"/>
                <w:szCs w:val="18"/>
              </w:rPr>
              <w:t>230</w:t>
            </w:r>
          </w:p>
        </w:tc>
        <w:tc>
          <w:tcPr>
            <w:tcW w:w="614" w:type="pct"/>
            <w:tcBorders>
              <w:top w:val="nil"/>
              <w:left w:val="nil"/>
              <w:bottom w:val="nil"/>
              <w:right w:val="nil"/>
            </w:tcBorders>
            <w:shd w:val="clear" w:color="auto" w:fill="auto"/>
            <w:noWrap/>
            <w:vAlign w:val="bottom"/>
          </w:tcPr>
          <w:p w14:paraId="24DBC744"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795</w:t>
            </w:r>
          </w:p>
        </w:tc>
      </w:tr>
      <w:tr w:rsidR="000740A4" w:rsidRPr="003B1B97" w14:paraId="2151C799" w14:textId="77777777" w:rsidTr="001606EE">
        <w:trPr>
          <w:gridAfter w:val="1"/>
          <w:wAfter w:w="121" w:type="pct"/>
          <w:trHeight w:val="255"/>
        </w:trPr>
        <w:tc>
          <w:tcPr>
            <w:tcW w:w="3319" w:type="pct"/>
            <w:tcBorders>
              <w:top w:val="nil"/>
              <w:left w:val="nil"/>
              <w:bottom w:val="nil"/>
              <w:right w:val="nil"/>
            </w:tcBorders>
            <w:shd w:val="clear" w:color="auto" w:fill="auto"/>
            <w:noWrap/>
            <w:vAlign w:val="bottom"/>
          </w:tcPr>
          <w:p w14:paraId="0412C540" w14:textId="77777777" w:rsidR="000740A4" w:rsidRPr="00A54BAA" w:rsidRDefault="000740A4" w:rsidP="000740A4">
            <w:pPr>
              <w:rPr>
                <w:rFonts w:ascii="Arial" w:hAnsi="Arial" w:cs="Arial"/>
                <w:sz w:val="18"/>
                <w:szCs w:val="18"/>
              </w:rPr>
            </w:pPr>
            <w:r w:rsidRPr="00A54BAA">
              <w:rPr>
                <w:rFonts w:ascii="Arial" w:hAnsi="Arial" w:cs="Arial"/>
                <w:sz w:val="18"/>
                <w:szCs w:val="18"/>
              </w:rPr>
              <w:t xml:space="preserve">Exchange differences </w:t>
            </w:r>
          </w:p>
        </w:tc>
        <w:tc>
          <w:tcPr>
            <w:tcW w:w="438" w:type="pct"/>
            <w:tcBorders>
              <w:top w:val="nil"/>
              <w:left w:val="nil"/>
              <w:bottom w:val="nil"/>
              <w:right w:val="nil"/>
            </w:tcBorders>
            <w:vAlign w:val="bottom"/>
          </w:tcPr>
          <w:p w14:paraId="5F25CA7E" w14:textId="77777777" w:rsidR="000740A4" w:rsidRPr="00A54BAA" w:rsidRDefault="000740A4" w:rsidP="000740A4">
            <w:pPr>
              <w:jc w:val="center"/>
              <w:rPr>
                <w:rFonts w:ascii="Arial" w:hAnsi="Arial" w:cs="Arial"/>
                <w:b/>
                <w:bCs/>
                <w:sz w:val="18"/>
                <w:szCs w:val="18"/>
              </w:rPr>
            </w:pPr>
          </w:p>
        </w:tc>
        <w:tc>
          <w:tcPr>
            <w:tcW w:w="508" w:type="pct"/>
            <w:tcBorders>
              <w:top w:val="nil"/>
              <w:left w:val="nil"/>
              <w:bottom w:val="nil"/>
              <w:right w:val="nil"/>
            </w:tcBorders>
            <w:shd w:val="clear" w:color="auto" w:fill="auto"/>
            <w:noWrap/>
            <w:vAlign w:val="bottom"/>
          </w:tcPr>
          <w:p w14:paraId="47D61DFD" w14:textId="0B03C170" w:rsidR="000740A4" w:rsidRPr="00A454CF" w:rsidRDefault="00A454CF" w:rsidP="000740A4">
            <w:pPr>
              <w:jc w:val="right"/>
              <w:rPr>
                <w:rFonts w:ascii="Arial" w:hAnsi="Arial" w:cs="Arial"/>
                <w:b/>
                <w:bCs/>
                <w:sz w:val="18"/>
                <w:szCs w:val="18"/>
              </w:rPr>
            </w:pPr>
            <w:r w:rsidRPr="00A454CF">
              <w:rPr>
                <w:rFonts w:ascii="Arial" w:hAnsi="Arial" w:cs="Arial"/>
                <w:b/>
                <w:bCs/>
                <w:sz w:val="18"/>
                <w:szCs w:val="18"/>
              </w:rPr>
              <w:t>(1</w:t>
            </w:r>
            <w:r w:rsidR="00C356D9">
              <w:rPr>
                <w:rFonts w:ascii="Arial" w:hAnsi="Arial" w:cs="Arial"/>
                <w:b/>
                <w:bCs/>
                <w:sz w:val="18"/>
                <w:szCs w:val="18"/>
              </w:rPr>
              <w:t>3</w:t>
            </w:r>
            <w:r w:rsidRPr="00A454CF">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14:paraId="7C49410F"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31</w:t>
            </w:r>
          </w:p>
        </w:tc>
      </w:tr>
      <w:tr w:rsidR="000740A4" w:rsidRPr="003B1B97" w14:paraId="49B41DA3" w14:textId="77777777" w:rsidTr="001606EE">
        <w:trPr>
          <w:gridAfter w:val="1"/>
          <w:wAfter w:w="121" w:type="pct"/>
          <w:trHeight w:val="270"/>
        </w:trPr>
        <w:tc>
          <w:tcPr>
            <w:tcW w:w="3319" w:type="pct"/>
            <w:tcBorders>
              <w:top w:val="single" w:sz="4" w:space="0" w:color="auto"/>
              <w:left w:val="nil"/>
              <w:bottom w:val="single" w:sz="12" w:space="0" w:color="auto"/>
              <w:right w:val="nil"/>
            </w:tcBorders>
            <w:shd w:val="clear" w:color="auto" w:fill="auto"/>
            <w:noWrap/>
            <w:vAlign w:val="bottom"/>
          </w:tcPr>
          <w:p w14:paraId="596308D4" w14:textId="2A208AC7" w:rsidR="000740A4" w:rsidRPr="00A54BAA" w:rsidRDefault="000740A4" w:rsidP="000740A4">
            <w:pPr>
              <w:rPr>
                <w:rFonts w:ascii="Arial" w:hAnsi="Arial" w:cs="Arial"/>
                <w:b/>
                <w:bCs/>
                <w:sz w:val="18"/>
                <w:szCs w:val="18"/>
              </w:rPr>
            </w:pPr>
            <w:r w:rsidRPr="00A54BAA">
              <w:rPr>
                <w:rFonts w:ascii="Arial" w:hAnsi="Arial" w:cs="Arial"/>
                <w:b/>
                <w:bCs/>
                <w:sz w:val="18"/>
                <w:szCs w:val="18"/>
              </w:rPr>
              <w:t xml:space="preserve">Cash and cash equivalents at end of </w:t>
            </w:r>
            <w:r>
              <w:rPr>
                <w:rFonts w:ascii="Arial" w:hAnsi="Arial" w:cs="Arial"/>
                <w:b/>
                <w:bCs/>
                <w:sz w:val="18"/>
                <w:szCs w:val="18"/>
              </w:rPr>
              <w:t>year</w:t>
            </w:r>
          </w:p>
        </w:tc>
        <w:tc>
          <w:tcPr>
            <w:tcW w:w="438" w:type="pct"/>
            <w:tcBorders>
              <w:top w:val="single" w:sz="4" w:space="0" w:color="auto"/>
              <w:left w:val="nil"/>
              <w:bottom w:val="single" w:sz="12" w:space="0" w:color="auto"/>
              <w:right w:val="nil"/>
            </w:tcBorders>
            <w:vAlign w:val="bottom"/>
          </w:tcPr>
          <w:p w14:paraId="47569B76" w14:textId="3D78CAC3" w:rsidR="000740A4" w:rsidRPr="00085EA6" w:rsidRDefault="000740A4" w:rsidP="000740A4">
            <w:pPr>
              <w:jc w:val="center"/>
              <w:rPr>
                <w:rFonts w:ascii="Arial" w:hAnsi="Arial" w:cs="Arial"/>
                <w:bCs/>
                <w:sz w:val="18"/>
                <w:szCs w:val="18"/>
              </w:rPr>
            </w:pPr>
          </w:p>
        </w:tc>
        <w:tc>
          <w:tcPr>
            <w:tcW w:w="508" w:type="pct"/>
            <w:tcBorders>
              <w:top w:val="single" w:sz="4" w:space="0" w:color="auto"/>
              <w:left w:val="nil"/>
              <w:bottom w:val="single" w:sz="12" w:space="0" w:color="auto"/>
              <w:right w:val="nil"/>
            </w:tcBorders>
            <w:shd w:val="clear" w:color="auto" w:fill="auto"/>
            <w:noWrap/>
            <w:vAlign w:val="bottom"/>
          </w:tcPr>
          <w:p w14:paraId="6096CDAA" w14:textId="6329DF63" w:rsidR="000740A4" w:rsidRPr="00A454CF" w:rsidRDefault="000740A4" w:rsidP="000740A4">
            <w:pPr>
              <w:jc w:val="right"/>
              <w:rPr>
                <w:rFonts w:ascii="Arial" w:hAnsi="Arial" w:cs="Arial"/>
                <w:b/>
                <w:bCs/>
                <w:sz w:val="18"/>
                <w:szCs w:val="18"/>
              </w:rPr>
            </w:pPr>
            <w:r w:rsidRPr="00A454CF">
              <w:rPr>
                <w:rFonts w:ascii="Arial" w:hAnsi="Arial" w:cs="Arial"/>
                <w:b/>
                <w:bCs/>
                <w:sz w:val="18"/>
                <w:szCs w:val="18"/>
              </w:rPr>
              <w:t>2</w:t>
            </w:r>
            <w:r w:rsidR="00A454CF" w:rsidRPr="00A454CF">
              <w:rPr>
                <w:rFonts w:ascii="Arial" w:hAnsi="Arial" w:cs="Arial"/>
                <w:b/>
                <w:bCs/>
                <w:sz w:val="18"/>
                <w:szCs w:val="18"/>
              </w:rPr>
              <w:t>29</w:t>
            </w:r>
          </w:p>
        </w:tc>
        <w:tc>
          <w:tcPr>
            <w:tcW w:w="614" w:type="pct"/>
            <w:tcBorders>
              <w:top w:val="single" w:sz="4" w:space="0" w:color="auto"/>
              <w:left w:val="nil"/>
              <w:bottom w:val="single" w:sz="12" w:space="0" w:color="auto"/>
              <w:right w:val="nil"/>
            </w:tcBorders>
            <w:shd w:val="clear" w:color="auto" w:fill="auto"/>
            <w:noWrap/>
            <w:vAlign w:val="bottom"/>
          </w:tcPr>
          <w:p w14:paraId="145CDDC2" w14:textId="77777777" w:rsidR="000740A4" w:rsidRPr="000740A4" w:rsidRDefault="000740A4" w:rsidP="000740A4">
            <w:pPr>
              <w:jc w:val="right"/>
              <w:rPr>
                <w:rFonts w:ascii="Arial" w:hAnsi="Arial" w:cs="Arial"/>
                <w:bCs/>
                <w:sz w:val="18"/>
                <w:szCs w:val="18"/>
              </w:rPr>
            </w:pPr>
            <w:r w:rsidRPr="000740A4">
              <w:rPr>
                <w:rFonts w:ascii="Arial" w:hAnsi="Arial" w:cs="Arial"/>
                <w:bCs/>
                <w:sz w:val="18"/>
                <w:szCs w:val="18"/>
              </w:rPr>
              <w:t>230</w:t>
            </w:r>
          </w:p>
        </w:tc>
      </w:tr>
    </w:tbl>
    <w:p w14:paraId="1DE1DEF8" w14:textId="77777777" w:rsidR="00DC25B4" w:rsidRPr="00EF1091" w:rsidRDefault="00DC25B4" w:rsidP="00BA0967">
      <w:pPr>
        <w:jc w:val="both"/>
        <w:rPr>
          <w:rFonts w:ascii="Arial" w:hAnsi="Arial" w:cs="Arial"/>
          <w:b/>
          <w:spacing w:val="14"/>
          <w:sz w:val="18"/>
          <w:szCs w:val="18"/>
        </w:rPr>
      </w:pPr>
      <w:r w:rsidRPr="00EF1091">
        <w:rPr>
          <w:rFonts w:ascii="Arial" w:hAnsi="Arial" w:cs="Arial"/>
          <w:sz w:val="18"/>
          <w:szCs w:val="18"/>
        </w:rPr>
        <w:br w:type="page"/>
      </w:r>
      <w:r w:rsidRPr="00EF1091">
        <w:rPr>
          <w:rFonts w:ascii="Arial" w:hAnsi="Arial" w:cs="Arial"/>
          <w:b/>
          <w:spacing w:val="14"/>
          <w:sz w:val="18"/>
          <w:szCs w:val="18"/>
        </w:rPr>
        <w:lastRenderedPageBreak/>
        <w:t>Notes</w:t>
      </w:r>
    </w:p>
    <w:p w14:paraId="7D338105" w14:textId="77777777" w:rsidR="00DC25B4" w:rsidRPr="00EF1091" w:rsidRDefault="00DC25B4" w:rsidP="00BA0967">
      <w:pPr>
        <w:jc w:val="both"/>
        <w:rPr>
          <w:rFonts w:ascii="Arial" w:hAnsi="Arial" w:cs="Arial"/>
          <w:b/>
          <w:spacing w:val="14"/>
          <w:sz w:val="18"/>
          <w:szCs w:val="18"/>
        </w:rPr>
      </w:pPr>
    </w:p>
    <w:p w14:paraId="3BE98E1C" w14:textId="77777777" w:rsidR="00DC25B4" w:rsidRPr="00EF1091" w:rsidRDefault="00DC25B4" w:rsidP="00BA0967">
      <w:pPr>
        <w:numPr>
          <w:ilvl w:val="0"/>
          <w:numId w:val="1"/>
        </w:numPr>
        <w:tabs>
          <w:tab w:val="clear" w:pos="570"/>
          <w:tab w:val="num" w:pos="0"/>
        </w:tabs>
        <w:ind w:left="0" w:hanging="567"/>
        <w:jc w:val="both"/>
        <w:rPr>
          <w:rFonts w:ascii="Arial" w:hAnsi="Arial" w:cs="Arial"/>
          <w:b/>
          <w:sz w:val="18"/>
          <w:szCs w:val="18"/>
        </w:rPr>
      </w:pPr>
      <w:r w:rsidRPr="00EF1091">
        <w:rPr>
          <w:rFonts w:ascii="Arial" w:hAnsi="Arial" w:cs="Arial"/>
          <w:b/>
          <w:sz w:val="18"/>
          <w:szCs w:val="18"/>
        </w:rPr>
        <w:t>General information</w:t>
      </w:r>
    </w:p>
    <w:p w14:paraId="09FD943A" w14:textId="77777777" w:rsidR="00DC25B4" w:rsidRPr="00EF1091" w:rsidRDefault="00DC25B4" w:rsidP="00BA0967">
      <w:pPr>
        <w:jc w:val="both"/>
        <w:rPr>
          <w:rFonts w:ascii="Arial" w:hAnsi="Arial" w:cs="Arial"/>
          <w:sz w:val="18"/>
          <w:szCs w:val="18"/>
        </w:rPr>
      </w:pPr>
    </w:p>
    <w:p w14:paraId="602C368E" w14:textId="77777777" w:rsidR="00DC25B4" w:rsidRPr="00EF1091" w:rsidRDefault="00DC25B4" w:rsidP="00BA0967">
      <w:pPr>
        <w:jc w:val="both"/>
        <w:rPr>
          <w:rFonts w:ascii="Arial" w:hAnsi="Arial" w:cs="Arial"/>
          <w:sz w:val="18"/>
          <w:szCs w:val="18"/>
        </w:rPr>
      </w:pPr>
      <w:r w:rsidRPr="00EF1091">
        <w:rPr>
          <w:rFonts w:ascii="Arial" w:hAnsi="Arial" w:cs="Arial"/>
          <w:sz w:val="18"/>
          <w:szCs w:val="18"/>
        </w:rPr>
        <w:t>Kingfisher plc (</w:t>
      </w:r>
      <w:r w:rsidR="00E94CA4">
        <w:rPr>
          <w:rFonts w:ascii="Arial" w:hAnsi="Arial" w:cs="Arial"/>
          <w:sz w:val="18"/>
          <w:szCs w:val="18"/>
        </w:rPr>
        <w:t>‘</w:t>
      </w:r>
      <w:r w:rsidRPr="00EF1091">
        <w:rPr>
          <w:rFonts w:ascii="Arial" w:hAnsi="Arial" w:cs="Arial"/>
          <w:sz w:val="18"/>
          <w:szCs w:val="18"/>
        </w:rPr>
        <w:t>the Company</w:t>
      </w:r>
      <w:r w:rsidR="00E94CA4">
        <w:rPr>
          <w:rFonts w:ascii="Arial" w:hAnsi="Arial" w:cs="Arial"/>
          <w:sz w:val="18"/>
          <w:szCs w:val="18"/>
        </w:rPr>
        <w:t>’</w:t>
      </w:r>
      <w:r w:rsidRPr="00EF1091">
        <w:rPr>
          <w:rFonts w:ascii="Arial" w:hAnsi="Arial" w:cs="Arial"/>
          <w:sz w:val="18"/>
          <w:szCs w:val="18"/>
        </w:rPr>
        <w:t>)</w:t>
      </w:r>
      <w:r w:rsidR="007A5A32">
        <w:rPr>
          <w:rFonts w:ascii="Arial" w:hAnsi="Arial" w:cs="Arial"/>
          <w:sz w:val="18"/>
          <w:szCs w:val="18"/>
        </w:rPr>
        <w:t xml:space="preserve">, </w:t>
      </w:r>
      <w:r w:rsidRPr="00EF1091">
        <w:rPr>
          <w:rFonts w:ascii="Arial" w:hAnsi="Arial" w:cs="Arial"/>
          <w:sz w:val="18"/>
          <w:szCs w:val="18"/>
        </w:rPr>
        <w:t>its subsidiaries</w:t>
      </w:r>
      <w:r w:rsidR="007A5A32">
        <w:rPr>
          <w:rFonts w:ascii="Arial" w:hAnsi="Arial" w:cs="Arial"/>
          <w:sz w:val="18"/>
          <w:szCs w:val="18"/>
        </w:rPr>
        <w:t>, joint ventures and associates</w:t>
      </w:r>
      <w:r w:rsidRPr="00EF1091">
        <w:rPr>
          <w:rFonts w:ascii="Arial" w:hAnsi="Arial" w:cs="Arial"/>
          <w:sz w:val="18"/>
          <w:szCs w:val="18"/>
        </w:rPr>
        <w:t xml:space="preserve"> (together </w:t>
      </w:r>
      <w:r w:rsidR="00E94CA4">
        <w:rPr>
          <w:rFonts w:ascii="Arial" w:hAnsi="Arial" w:cs="Arial"/>
          <w:sz w:val="18"/>
          <w:szCs w:val="18"/>
        </w:rPr>
        <w:t>‘</w:t>
      </w:r>
      <w:r w:rsidRPr="00EF1091">
        <w:rPr>
          <w:rFonts w:ascii="Arial" w:hAnsi="Arial" w:cs="Arial"/>
          <w:sz w:val="18"/>
          <w:szCs w:val="18"/>
        </w:rPr>
        <w:t>the Group</w:t>
      </w:r>
      <w:r w:rsidR="00E94CA4">
        <w:rPr>
          <w:rFonts w:ascii="Arial" w:hAnsi="Arial" w:cs="Arial"/>
          <w:sz w:val="18"/>
          <w:szCs w:val="18"/>
        </w:rPr>
        <w:t>’</w:t>
      </w:r>
      <w:r w:rsidRPr="00EF1091">
        <w:rPr>
          <w:rFonts w:ascii="Arial" w:hAnsi="Arial" w:cs="Arial"/>
          <w:sz w:val="18"/>
          <w:szCs w:val="18"/>
        </w:rPr>
        <w:t xml:space="preserve">) </w:t>
      </w:r>
      <w:r w:rsidR="0080251D">
        <w:rPr>
          <w:rFonts w:ascii="Arial" w:hAnsi="Arial" w:cs="Arial"/>
          <w:sz w:val="18"/>
          <w:szCs w:val="18"/>
        </w:rPr>
        <w:t>supply</w:t>
      </w:r>
      <w:r w:rsidRPr="00EF1091">
        <w:rPr>
          <w:rFonts w:ascii="Arial" w:hAnsi="Arial" w:cs="Arial"/>
          <w:sz w:val="18"/>
          <w:szCs w:val="18"/>
        </w:rPr>
        <w:t xml:space="preserve"> home improvement products </w:t>
      </w:r>
      <w:r w:rsidR="0080251D">
        <w:rPr>
          <w:rFonts w:ascii="Arial" w:hAnsi="Arial" w:cs="Arial"/>
          <w:sz w:val="18"/>
          <w:szCs w:val="18"/>
        </w:rPr>
        <w:t xml:space="preserve">and services </w:t>
      </w:r>
      <w:r w:rsidRPr="00EF1091">
        <w:rPr>
          <w:rFonts w:ascii="Arial" w:hAnsi="Arial" w:cs="Arial"/>
          <w:sz w:val="18"/>
          <w:szCs w:val="18"/>
        </w:rPr>
        <w:t xml:space="preserve">through a network of retail </w:t>
      </w:r>
      <w:r w:rsidR="0080251D">
        <w:rPr>
          <w:rFonts w:ascii="Arial" w:hAnsi="Arial" w:cs="Arial"/>
          <w:sz w:val="18"/>
          <w:szCs w:val="18"/>
        </w:rPr>
        <w:t>stores and other channels</w:t>
      </w:r>
      <w:r w:rsidRPr="00EF1091">
        <w:rPr>
          <w:rFonts w:ascii="Arial" w:hAnsi="Arial" w:cs="Arial"/>
          <w:sz w:val="18"/>
          <w:szCs w:val="18"/>
        </w:rPr>
        <w:t>, located mainly in the United Kingdom</w:t>
      </w:r>
      <w:r w:rsidR="00CD6F3E">
        <w:rPr>
          <w:rFonts w:ascii="Arial" w:hAnsi="Arial" w:cs="Arial"/>
          <w:sz w:val="18"/>
          <w:szCs w:val="18"/>
        </w:rPr>
        <w:t xml:space="preserve"> and</w:t>
      </w:r>
      <w:r w:rsidRPr="00EF1091">
        <w:rPr>
          <w:rFonts w:ascii="Arial" w:hAnsi="Arial" w:cs="Arial"/>
          <w:sz w:val="18"/>
          <w:szCs w:val="18"/>
        </w:rPr>
        <w:t xml:space="preserve"> </w:t>
      </w:r>
      <w:r w:rsidR="004F20DB">
        <w:rPr>
          <w:rFonts w:ascii="Arial" w:hAnsi="Arial" w:cs="Arial"/>
          <w:sz w:val="18"/>
          <w:szCs w:val="18"/>
        </w:rPr>
        <w:t xml:space="preserve">continental </w:t>
      </w:r>
      <w:r w:rsidRPr="00395A58">
        <w:rPr>
          <w:rFonts w:ascii="Arial" w:hAnsi="Arial" w:cs="Arial"/>
          <w:sz w:val="18"/>
          <w:szCs w:val="18"/>
        </w:rPr>
        <w:t>Europe</w:t>
      </w:r>
      <w:r w:rsidR="00CD6F3E">
        <w:rPr>
          <w:rFonts w:ascii="Arial" w:hAnsi="Arial" w:cs="Arial"/>
          <w:sz w:val="18"/>
          <w:szCs w:val="18"/>
        </w:rPr>
        <w:t>.</w:t>
      </w:r>
    </w:p>
    <w:p w14:paraId="1B35DC5A" w14:textId="77777777" w:rsidR="00DC25B4" w:rsidRPr="00EF1091" w:rsidRDefault="00DC25B4" w:rsidP="00BA0967">
      <w:pPr>
        <w:jc w:val="both"/>
        <w:rPr>
          <w:rFonts w:ascii="Arial" w:hAnsi="Arial" w:cs="Arial"/>
          <w:sz w:val="18"/>
          <w:szCs w:val="18"/>
        </w:rPr>
      </w:pPr>
    </w:p>
    <w:p w14:paraId="7C531859" w14:textId="77777777" w:rsidR="00DC25B4" w:rsidRDefault="0000538E" w:rsidP="0000538E">
      <w:pPr>
        <w:jc w:val="both"/>
        <w:rPr>
          <w:rFonts w:ascii="Arial" w:hAnsi="Arial" w:cs="Arial"/>
          <w:sz w:val="18"/>
          <w:szCs w:val="18"/>
        </w:rPr>
      </w:pPr>
      <w:r w:rsidRPr="0000538E">
        <w:rPr>
          <w:rFonts w:ascii="Arial" w:hAnsi="Arial" w:cs="Arial"/>
          <w:sz w:val="18"/>
          <w:szCs w:val="18"/>
        </w:rPr>
        <w:t xml:space="preserve">The Company is incorporated in </w:t>
      </w:r>
      <w:r w:rsidR="00A8310B">
        <w:rPr>
          <w:rFonts w:ascii="Arial" w:hAnsi="Arial" w:cs="Arial"/>
          <w:sz w:val="18"/>
          <w:szCs w:val="18"/>
        </w:rPr>
        <w:t>the</w:t>
      </w:r>
      <w:r w:rsidR="00190480" w:rsidRPr="0000538E">
        <w:rPr>
          <w:rFonts w:ascii="Arial" w:hAnsi="Arial" w:cs="Arial"/>
          <w:sz w:val="18"/>
          <w:szCs w:val="18"/>
        </w:rPr>
        <w:t xml:space="preserve"> United</w:t>
      </w:r>
      <w:r w:rsidRPr="0000538E">
        <w:rPr>
          <w:rFonts w:ascii="Arial" w:hAnsi="Arial" w:cs="Arial"/>
          <w:sz w:val="18"/>
          <w:szCs w:val="18"/>
        </w:rPr>
        <w:t xml:space="preserve"> Kingdom</w:t>
      </w:r>
      <w:r w:rsidR="002F1EEE">
        <w:rPr>
          <w:rFonts w:ascii="Arial" w:hAnsi="Arial" w:cs="Arial"/>
          <w:sz w:val="18"/>
          <w:szCs w:val="18"/>
        </w:rPr>
        <w:t>,</w:t>
      </w:r>
      <w:r w:rsidRPr="0000538E">
        <w:rPr>
          <w:rFonts w:ascii="Arial" w:hAnsi="Arial" w:cs="Arial"/>
          <w:sz w:val="18"/>
          <w:szCs w:val="18"/>
        </w:rPr>
        <w:t xml:space="preserve"> and is listed on the London Stock Exchange. The address of its registered office is 3 Sheldon Square, Paddington, London W2 6PX.</w:t>
      </w:r>
    </w:p>
    <w:p w14:paraId="1AD9FC41" w14:textId="77777777" w:rsidR="0000538E" w:rsidRPr="00EF1091" w:rsidRDefault="0000538E" w:rsidP="0000538E">
      <w:pPr>
        <w:jc w:val="both"/>
        <w:rPr>
          <w:rFonts w:ascii="Arial" w:hAnsi="Arial" w:cs="Arial"/>
          <w:sz w:val="18"/>
          <w:szCs w:val="18"/>
        </w:rPr>
      </w:pPr>
    </w:p>
    <w:p w14:paraId="37AF0F13" w14:textId="77777777" w:rsidR="00DC25B4" w:rsidRPr="00EF1091" w:rsidRDefault="007331A9" w:rsidP="00BA0967">
      <w:pPr>
        <w:numPr>
          <w:ilvl w:val="0"/>
          <w:numId w:val="1"/>
        </w:numPr>
        <w:tabs>
          <w:tab w:val="clear" w:pos="570"/>
          <w:tab w:val="num" w:pos="0"/>
        </w:tabs>
        <w:ind w:left="0" w:hanging="567"/>
        <w:jc w:val="both"/>
        <w:rPr>
          <w:rFonts w:ascii="Arial" w:hAnsi="Arial" w:cs="Arial"/>
          <w:b/>
          <w:sz w:val="18"/>
          <w:szCs w:val="18"/>
        </w:rPr>
      </w:pPr>
      <w:r>
        <w:rPr>
          <w:rFonts w:ascii="Arial" w:hAnsi="Arial" w:cs="Arial"/>
          <w:b/>
          <w:sz w:val="18"/>
          <w:szCs w:val="18"/>
        </w:rPr>
        <w:t>Basis of preparation</w:t>
      </w:r>
    </w:p>
    <w:p w14:paraId="51E20DFD" w14:textId="77777777" w:rsidR="00DC25B4" w:rsidRPr="00F4305E" w:rsidRDefault="00DC25B4" w:rsidP="00BA0967">
      <w:pPr>
        <w:jc w:val="both"/>
        <w:rPr>
          <w:rFonts w:ascii="Arial" w:hAnsi="Arial" w:cs="Arial"/>
          <w:sz w:val="18"/>
          <w:szCs w:val="18"/>
        </w:rPr>
      </w:pPr>
    </w:p>
    <w:p w14:paraId="683F84B0" w14:textId="1B0E499B" w:rsidR="00B07D6F" w:rsidRDefault="0036282A" w:rsidP="00BA0967">
      <w:pPr>
        <w:jc w:val="both"/>
        <w:rPr>
          <w:rFonts w:ascii="Arial" w:hAnsi="Arial" w:cs="Arial"/>
          <w:sz w:val="18"/>
          <w:szCs w:val="18"/>
          <w:highlight w:val="yellow"/>
        </w:rPr>
      </w:pPr>
      <w:r w:rsidRPr="0036282A">
        <w:rPr>
          <w:rFonts w:ascii="Arial" w:hAnsi="Arial" w:cs="Arial"/>
          <w:sz w:val="18"/>
          <w:szCs w:val="18"/>
        </w:rPr>
        <w:t>The consolidated financial statements of the Company, its subsidiaries, joint ventures and associates are made up to 31 January</w:t>
      </w:r>
      <w:r w:rsidR="00DC25B4" w:rsidRPr="00C27DA7">
        <w:rPr>
          <w:rFonts w:ascii="Arial" w:hAnsi="Arial" w:cs="Arial"/>
          <w:sz w:val="18"/>
          <w:szCs w:val="18"/>
        </w:rPr>
        <w:t xml:space="preserve">. </w:t>
      </w:r>
      <w:r w:rsidRPr="0036282A">
        <w:rPr>
          <w:rFonts w:ascii="Arial" w:hAnsi="Arial" w:cs="Arial"/>
          <w:sz w:val="18"/>
          <w:szCs w:val="18"/>
        </w:rPr>
        <w:t xml:space="preserve">The current financial year is the </w:t>
      </w:r>
      <w:r w:rsidR="00831349">
        <w:rPr>
          <w:rFonts w:ascii="Arial" w:hAnsi="Arial" w:cs="Arial"/>
          <w:sz w:val="18"/>
          <w:szCs w:val="18"/>
        </w:rPr>
        <w:t>year ended 31 January 201</w:t>
      </w:r>
      <w:r w:rsidR="000740A4">
        <w:rPr>
          <w:rFonts w:ascii="Arial" w:hAnsi="Arial" w:cs="Arial"/>
          <w:sz w:val="18"/>
          <w:szCs w:val="18"/>
        </w:rPr>
        <w:t>9</w:t>
      </w:r>
      <w:r w:rsidR="00831349">
        <w:rPr>
          <w:rFonts w:ascii="Arial" w:hAnsi="Arial" w:cs="Arial"/>
          <w:sz w:val="18"/>
          <w:szCs w:val="18"/>
        </w:rPr>
        <w:t xml:space="preserve"> (‘the year’ or ‘201</w:t>
      </w:r>
      <w:r w:rsidR="000740A4">
        <w:rPr>
          <w:rFonts w:ascii="Arial" w:hAnsi="Arial" w:cs="Arial"/>
          <w:sz w:val="18"/>
          <w:szCs w:val="18"/>
        </w:rPr>
        <w:t>8</w:t>
      </w:r>
      <w:r w:rsidR="00831349">
        <w:rPr>
          <w:rFonts w:ascii="Arial" w:hAnsi="Arial" w:cs="Arial"/>
          <w:sz w:val="18"/>
          <w:szCs w:val="18"/>
        </w:rPr>
        <w:t>/1</w:t>
      </w:r>
      <w:r w:rsidR="000740A4">
        <w:rPr>
          <w:rFonts w:ascii="Arial" w:hAnsi="Arial" w:cs="Arial"/>
          <w:sz w:val="18"/>
          <w:szCs w:val="18"/>
        </w:rPr>
        <w:t>9</w:t>
      </w:r>
      <w:r w:rsidRPr="0036282A">
        <w:rPr>
          <w:rFonts w:ascii="Arial" w:hAnsi="Arial" w:cs="Arial"/>
          <w:sz w:val="18"/>
          <w:szCs w:val="18"/>
        </w:rPr>
        <w:t>’). The comparative financial year is th</w:t>
      </w:r>
      <w:r w:rsidR="00831349">
        <w:rPr>
          <w:rFonts w:ascii="Arial" w:hAnsi="Arial" w:cs="Arial"/>
          <w:sz w:val="18"/>
          <w:szCs w:val="18"/>
        </w:rPr>
        <w:t xml:space="preserve">e </w:t>
      </w:r>
      <w:r w:rsidR="009756F7">
        <w:rPr>
          <w:rFonts w:ascii="Arial" w:hAnsi="Arial" w:cs="Arial"/>
          <w:sz w:val="18"/>
          <w:szCs w:val="18"/>
        </w:rPr>
        <w:t>year</w:t>
      </w:r>
      <w:r w:rsidR="00831349">
        <w:rPr>
          <w:rFonts w:ascii="Arial" w:hAnsi="Arial" w:cs="Arial"/>
          <w:sz w:val="18"/>
          <w:szCs w:val="18"/>
        </w:rPr>
        <w:t xml:space="preserve"> ended 31 January 201</w:t>
      </w:r>
      <w:r w:rsidR="000740A4">
        <w:rPr>
          <w:rFonts w:ascii="Arial" w:hAnsi="Arial" w:cs="Arial"/>
          <w:sz w:val="18"/>
          <w:szCs w:val="18"/>
        </w:rPr>
        <w:t>8</w:t>
      </w:r>
      <w:r w:rsidR="00831349">
        <w:rPr>
          <w:rFonts w:ascii="Arial" w:hAnsi="Arial" w:cs="Arial"/>
          <w:sz w:val="18"/>
          <w:szCs w:val="18"/>
        </w:rPr>
        <w:t xml:space="preserve"> (‘the prior year’ or ‘201</w:t>
      </w:r>
      <w:r w:rsidR="000740A4">
        <w:rPr>
          <w:rFonts w:ascii="Arial" w:hAnsi="Arial" w:cs="Arial"/>
          <w:sz w:val="18"/>
          <w:szCs w:val="18"/>
        </w:rPr>
        <w:t>7</w:t>
      </w:r>
      <w:r w:rsidR="00831349">
        <w:rPr>
          <w:rFonts w:ascii="Arial" w:hAnsi="Arial" w:cs="Arial"/>
          <w:sz w:val="18"/>
          <w:szCs w:val="18"/>
        </w:rPr>
        <w:t>/1</w:t>
      </w:r>
      <w:r w:rsidR="000740A4">
        <w:rPr>
          <w:rFonts w:ascii="Arial" w:hAnsi="Arial" w:cs="Arial"/>
          <w:sz w:val="18"/>
          <w:szCs w:val="18"/>
        </w:rPr>
        <w:t>8</w:t>
      </w:r>
      <w:r w:rsidRPr="0036282A">
        <w:rPr>
          <w:rFonts w:ascii="Arial" w:hAnsi="Arial" w:cs="Arial"/>
          <w:sz w:val="18"/>
          <w:szCs w:val="18"/>
        </w:rPr>
        <w:t>’).</w:t>
      </w:r>
    </w:p>
    <w:p w14:paraId="67D255B6" w14:textId="77777777" w:rsidR="00DC25B4" w:rsidRDefault="00DC25B4" w:rsidP="00BA0967">
      <w:pPr>
        <w:jc w:val="both"/>
        <w:rPr>
          <w:rFonts w:ascii="Arial" w:hAnsi="Arial" w:cs="Arial"/>
          <w:sz w:val="18"/>
          <w:szCs w:val="18"/>
        </w:rPr>
      </w:pPr>
    </w:p>
    <w:p w14:paraId="0B2F180A" w14:textId="77777777" w:rsidR="00AA495D" w:rsidRDefault="00AA495D" w:rsidP="00BA0967">
      <w:pPr>
        <w:jc w:val="both"/>
        <w:rPr>
          <w:rFonts w:ascii="Arial" w:hAnsi="Arial" w:cs="Arial"/>
          <w:sz w:val="18"/>
          <w:szCs w:val="18"/>
        </w:rPr>
      </w:pPr>
      <w:r w:rsidRPr="00FD32C6">
        <w:rPr>
          <w:rFonts w:ascii="Arial" w:hAnsi="Arial" w:cs="Arial"/>
          <w:sz w:val="18"/>
          <w:szCs w:val="18"/>
        </w:rPr>
        <w:t xml:space="preserve">The </w:t>
      </w:r>
      <w:r w:rsidR="00523E3E" w:rsidRPr="00FD32C6">
        <w:rPr>
          <w:rFonts w:ascii="Arial" w:hAnsi="Arial" w:cs="Arial"/>
          <w:sz w:val="18"/>
          <w:szCs w:val="18"/>
        </w:rPr>
        <w:t>d</w:t>
      </w:r>
      <w:r w:rsidRPr="00FD32C6">
        <w:rPr>
          <w:rFonts w:ascii="Arial" w:hAnsi="Arial" w:cs="Arial"/>
          <w:sz w:val="18"/>
          <w:szCs w:val="18"/>
        </w:rPr>
        <w:t xml:space="preserve">irectors of Kingfisher plc, having made appropriate enquiries, consider that adequate resources exist for the Group to continue in operational existence and that, therefore, it is appropriate to adopt the going concern basis in preparing the </w:t>
      </w:r>
      <w:r w:rsidR="00DF0850" w:rsidRPr="00FD32C6">
        <w:rPr>
          <w:rFonts w:ascii="Arial" w:hAnsi="Arial" w:cs="Arial"/>
          <w:sz w:val="18"/>
          <w:szCs w:val="18"/>
        </w:rPr>
        <w:t>consolidated financial statements</w:t>
      </w:r>
      <w:r w:rsidRPr="00FD32C6">
        <w:rPr>
          <w:rFonts w:ascii="Arial" w:hAnsi="Arial" w:cs="Arial"/>
          <w:sz w:val="18"/>
          <w:szCs w:val="18"/>
        </w:rPr>
        <w:t xml:space="preserve"> for the year ended </w:t>
      </w:r>
      <w:r w:rsidR="003D1DE1">
        <w:rPr>
          <w:rFonts w:ascii="Arial" w:hAnsi="Arial" w:cs="Arial"/>
          <w:sz w:val="18"/>
          <w:szCs w:val="18"/>
        </w:rPr>
        <w:t>31 January 201</w:t>
      </w:r>
      <w:r w:rsidR="000740A4">
        <w:rPr>
          <w:rFonts w:ascii="Arial" w:hAnsi="Arial" w:cs="Arial"/>
          <w:sz w:val="18"/>
          <w:szCs w:val="18"/>
        </w:rPr>
        <w:t>9</w:t>
      </w:r>
      <w:r w:rsidRPr="00FD32C6">
        <w:rPr>
          <w:rFonts w:ascii="Arial" w:hAnsi="Arial" w:cs="Arial"/>
          <w:sz w:val="18"/>
          <w:szCs w:val="18"/>
        </w:rPr>
        <w:t>.</w:t>
      </w:r>
    </w:p>
    <w:p w14:paraId="28B9E0D8" w14:textId="77777777" w:rsidR="00CD6F3E" w:rsidRPr="00CD6F3E" w:rsidRDefault="00CD6F3E" w:rsidP="00BA0967">
      <w:pPr>
        <w:jc w:val="both"/>
        <w:rPr>
          <w:rFonts w:ascii="Arial" w:hAnsi="Arial" w:cs="Arial"/>
          <w:sz w:val="18"/>
          <w:szCs w:val="18"/>
        </w:rPr>
      </w:pPr>
    </w:p>
    <w:p w14:paraId="7DF3948F" w14:textId="77777777" w:rsidR="00F60078" w:rsidRPr="00D779A5" w:rsidRDefault="00F60078" w:rsidP="00BA0967">
      <w:pPr>
        <w:jc w:val="both"/>
        <w:rPr>
          <w:sz w:val="24"/>
          <w:szCs w:val="24"/>
        </w:rPr>
      </w:pPr>
      <w:r w:rsidRPr="00D779A5">
        <w:rPr>
          <w:rFonts w:ascii="Arial" w:hAnsi="Arial" w:cs="Arial"/>
          <w:sz w:val="18"/>
          <w:szCs w:val="18"/>
          <w:lang w:val="en-US"/>
        </w:rPr>
        <w:t xml:space="preserve">The condensed financial information, which comprises the consolidated income statement, consolidated statement of comprehensive income, </w:t>
      </w:r>
      <w:r>
        <w:rPr>
          <w:rFonts w:ascii="Arial" w:hAnsi="Arial" w:cs="Arial"/>
          <w:sz w:val="18"/>
          <w:szCs w:val="18"/>
          <w:lang w:val="en-US"/>
        </w:rPr>
        <w:t xml:space="preserve">consolidated statement of changes in equity, </w:t>
      </w:r>
      <w:r w:rsidRPr="00D779A5">
        <w:rPr>
          <w:rFonts w:ascii="Arial" w:hAnsi="Arial" w:cs="Arial"/>
          <w:sz w:val="18"/>
          <w:szCs w:val="18"/>
          <w:lang w:val="en-US"/>
        </w:rPr>
        <w:t xml:space="preserve">consolidated balance sheet, consolidated cash flow statement and related notes do not constitute statutory financial statements for the </w:t>
      </w:r>
      <w:r w:rsidR="004C5D7D">
        <w:rPr>
          <w:rFonts w:ascii="Arial" w:hAnsi="Arial" w:cs="Arial"/>
          <w:sz w:val="18"/>
          <w:szCs w:val="18"/>
        </w:rPr>
        <w:t>year</w:t>
      </w:r>
      <w:r w:rsidR="0097097F" w:rsidRPr="00EF1091">
        <w:rPr>
          <w:rFonts w:ascii="Arial" w:hAnsi="Arial" w:cs="Arial"/>
          <w:sz w:val="18"/>
          <w:szCs w:val="18"/>
        </w:rPr>
        <w:t xml:space="preserve"> </w:t>
      </w:r>
      <w:r w:rsidR="0097097F" w:rsidRPr="00512EED">
        <w:rPr>
          <w:rFonts w:ascii="Arial" w:hAnsi="Arial" w:cs="Arial"/>
          <w:sz w:val="18"/>
          <w:szCs w:val="18"/>
        </w:rPr>
        <w:t xml:space="preserve">ended </w:t>
      </w:r>
      <w:r w:rsidR="001A5C1B">
        <w:rPr>
          <w:rFonts w:ascii="Arial" w:hAnsi="Arial" w:cs="Arial"/>
          <w:sz w:val="18"/>
          <w:szCs w:val="18"/>
        </w:rPr>
        <w:t>31 January 201</w:t>
      </w:r>
      <w:r w:rsidR="000740A4">
        <w:rPr>
          <w:rFonts w:ascii="Arial" w:hAnsi="Arial" w:cs="Arial"/>
          <w:sz w:val="18"/>
          <w:szCs w:val="18"/>
        </w:rPr>
        <w:t>9</w:t>
      </w:r>
      <w:r w:rsidRPr="00512EED">
        <w:rPr>
          <w:rFonts w:ascii="Arial" w:hAnsi="Arial" w:cs="Arial"/>
          <w:sz w:val="18"/>
          <w:szCs w:val="18"/>
          <w:lang w:val="en-US"/>
        </w:rPr>
        <w:t xml:space="preserve">, but are derived from those statements. </w:t>
      </w:r>
      <w:r w:rsidR="0016558D" w:rsidRPr="00512EED">
        <w:rPr>
          <w:rFonts w:ascii="Arial" w:hAnsi="Arial" w:cs="Arial"/>
          <w:sz w:val="18"/>
          <w:szCs w:val="18"/>
        </w:rPr>
        <w:t>S</w:t>
      </w:r>
      <w:r w:rsidRPr="00512EED">
        <w:rPr>
          <w:rFonts w:ascii="Arial" w:hAnsi="Arial" w:cs="Arial"/>
          <w:sz w:val="18"/>
          <w:szCs w:val="18"/>
        </w:rPr>
        <w:t>tatutory financial statements for 20</w:t>
      </w:r>
      <w:r w:rsidR="00491C1A" w:rsidRPr="00512EED">
        <w:rPr>
          <w:rFonts w:ascii="Arial" w:hAnsi="Arial" w:cs="Arial"/>
          <w:sz w:val="18"/>
          <w:szCs w:val="18"/>
        </w:rPr>
        <w:t>1</w:t>
      </w:r>
      <w:r w:rsidR="000740A4">
        <w:rPr>
          <w:rFonts w:ascii="Arial" w:hAnsi="Arial" w:cs="Arial"/>
          <w:sz w:val="18"/>
          <w:szCs w:val="18"/>
        </w:rPr>
        <w:t>7</w:t>
      </w:r>
      <w:r w:rsidRPr="00512EED">
        <w:rPr>
          <w:rFonts w:ascii="Arial" w:hAnsi="Arial" w:cs="Arial"/>
          <w:sz w:val="18"/>
          <w:szCs w:val="18"/>
        </w:rPr>
        <w:t>/</w:t>
      </w:r>
      <w:r w:rsidR="0096316F" w:rsidRPr="00512EED">
        <w:rPr>
          <w:rFonts w:ascii="Arial" w:hAnsi="Arial" w:cs="Arial"/>
          <w:sz w:val="18"/>
          <w:szCs w:val="18"/>
        </w:rPr>
        <w:t>1</w:t>
      </w:r>
      <w:r w:rsidR="000740A4">
        <w:rPr>
          <w:rFonts w:ascii="Arial" w:hAnsi="Arial" w:cs="Arial"/>
          <w:sz w:val="18"/>
          <w:szCs w:val="18"/>
        </w:rPr>
        <w:t>8</w:t>
      </w:r>
      <w:r w:rsidRPr="00512EED">
        <w:rPr>
          <w:rFonts w:ascii="Arial" w:hAnsi="Arial" w:cs="Arial"/>
          <w:sz w:val="18"/>
          <w:szCs w:val="18"/>
        </w:rPr>
        <w:t xml:space="preserve"> have been filed with the Registrar of Companies</w:t>
      </w:r>
      <w:r w:rsidR="001C3E9C" w:rsidRPr="00512EED">
        <w:rPr>
          <w:rFonts w:ascii="Arial" w:hAnsi="Arial" w:cs="Arial"/>
          <w:sz w:val="18"/>
          <w:szCs w:val="18"/>
        </w:rPr>
        <w:t xml:space="preserve"> and those for 201</w:t>
      </w:r>
      <w:r w:rsidR="000740A4">
        <w:rPr>
          <w:rFonts w:ascii="Arial" w:hAnsi="Arial" w:cs="Arial"/>
          <w:sz w:val="18"/>
          <w:szCs w:val="18"/>
        </w:rPr>
        <w:t>8</w:t>
      </w:r>
      <w:r w:rsidR="0016558D" w:rsidRPr="00512EED">
        <w:rPr>
          <w:rFonts w:ascii="Arial" w:hAnsi="Arial" w:cs="Arial"/>
          <w:sz w:val="18"/>
          <w:szCs w:val="18"/>
        </w:rPr>
        <w:t>/1</w:t>
      </w:r>
      <w:r w:rsidR="000740A4">
        <w:rPr>
          <w:rFonts w:ascii="Arial" w:hAnsi="Arial" w:cs="Arial"/>
          <w:sz w:val="18"/>
          <w:szCs w:val="18"/>
        </w:rPr>
        <w:t>9</w:t>
      </w:r>
      <w:r w:rsidR="0016558D" w:rsidRPr="00512EED">
        <w:rPr>
          <w:rFonts w:ascii="Arial" w:hAnsi="Arial" w:cs="Arial"/>
          <w:sz w:val="18"/>
          <w:szCs w:val="18"/>
        </w:rPr>
        <w:t xml:space="preserve"> will be filed in due course</w:t>
      </w:r>
      <w:r w:rsidRPr="00512EED">
        <w:rPr>
          <w:rFonts w:ascii="Arial" w:hAnsi="Arial" w:cs="Arial"/>
          <w:sz w:val="18"/>
          <w:szCs w:val="18"/>
        </w:rPr>
        <w:t>. The Group's auditors have reported</w:t>
      </w:r>
      <w:r w:rsidRPr="00D779A5">
        <w:rPr>
          <w:rFonts w:ascii="Arial" w:hAnsi="Arial" w:cs="Arial"/>
          <w:sz w:val="18"/>
          <w:szCs w:val="18"/>
        </w:rPr>
        <w:t xml:space="preserve"> on </w:t>
      </w:r>
      <w:r w:rsidR="0016558D">
        <w:rPr>
          <w:rFonts w:ascii="Arial" w:hAnsi="Arial" w:cs="Arial"/>
          <w:sz w:val="18"/>
          <w:szCs w:val="18"/>
        </w:rPr>
        <w:t>both years’</w:t>
      </w:r>
      <w:r w:rsidRPr="00D779A5">
        <w:rPr>
          <w:rFonts w:ascii="Arial" w:hAnsi="Arial" w:cs="Arial"/>
          <w:sz w:val="18"/>
          <w:szCs w:val="18"/>
        </w:rPr>
        <w:t xml:space="preserve"> accounts; their reports were unqualified and did not contain statements </w:t>
      </w:r>
      <w:r w:rsidR="0096316F" w:rsidRPr="00D779A5">
        <w:rPr>
          <w:rFonts w:ascii="Arial" w:hAnsi="Arial" w:cs="Arial"/>
          <w:sz w:val="18"/>
          <w:szCs w:val="18"/>
        </w:rPr>
        <w:t>under Section 498 (2) or (3) of the Companies Act 2006</w:t>
      </w:r>
      <w:r w:rsidRPr="00D779A5">
        <w:rPr>
          <w:rFonts w:ascii="Arial" w:hAnsi="Arial" w:cs="Arial"/>
          <w:sz w:val="18"/>
          <w:szCs w:val="18"/>
        </w:rPr>
        <w:t>. </w:t>
      </w:r>
    </w:p>
    <w:p w14:paraId="049726D7" w14:textId="77777777" w:rsidR="00F60078" w:rsidRPr="00D779A5" w:rsidRDefault="00F60078" w:rsidP="00BA0967">
      <w:pPr>
        <w:jc w:val="both"/>
        <w:rPr>
          <w:sz w:val="24"/>
          <w:szCs w:val="24"/>
        </w:rPr>
      </w:pPr>
      <w:r w:rsidRPr="00D779A5">
        <w:rPr>
          <w:rFonts w:ascii="Arial" w:hAnsi="Arial" w:cs="Arial"/>
          <w:sz w:val="18"/>
          <w:szCs w:val="18"/>
        </w:rPr>
        <w:t> </w:t>
      </w:r>
    </w:p>
    <w:p w14:paraId="35B9C75E" w14:textId="77777777" w:rsidR="00F60078" w:rsidRDefault="00F60078" w:rsidP="00BA0967">
      <w:pPr>
        <w:jc w:val="both"/>
        <w:rPr>
          <w:rFonts w:ascii="Arial" w:hAnsi="Arial" w:cs="Arial"/>
          <w:sz w:val="18"/>
          <w:szCs w:val="18"/>
        </w:rPr>
      </w:pPr>
      <w:r w:rsidRPr="00D779A5">
        <w:rPr>
          <w:rFonts w:ascii="Arial" w:hAnsi="Arial" w:cs="Arial"/>
          <w:sz w:val="18"/>
          <w:szCs w:val="18"/>
        </w:rPr>
        <w:t xml:space="preserve">The condensed financial information has been abridged from the </w:t>
      </w:r>
      <w:r w:rsidR="0096316F">
        <w:rPr>
          <w:rFonts w:ascii="Arial" w:hAnsi="Arial" w:cs="Arial"/>
          <w:sz w:val="18"/>
          <w:szCs w:val="18"/>
        </w:rPr>
        <w:t>201</w:t>
      </w:r>
      <w:r w:rsidR="000740A4">
        <w:rPr>
          <w:rFonts w:ascii="Arial" w:hAnsi="Arial" w:cs="Arial"/>
          <w:sz w:val="18"/>
          <w:szCs w:val="18"/>
        </w:rPr>
        <w:t>8</w:t>
      </w:r>
      <w:r w:rsidR="0096316F">
        <w:rPr>
          <w:rFonts w:ascii="Arial" w:hAnsi="Arial" w:cs="Arial"/>
          <w:sz w:val="18"/>
          <w:szCs w:val="18"/>
        </w:rPr>
        <w:t>/1</w:t>
      </w:r>
      <w:r w:rsidR="000740A4">
        <w:rPr>
          <w:rFonts w:ascii="Arial" w:hAnsi="Arial" w:cs="Arial"/>
          <w:sz w:val="18"/>
          <w:szCs w:val="18"/>
        </w:rPr>
        <w:t>9</w:t>
      </w:r>
      <w:r w:rsidRPr="00D779A5">
        <w:rPr>
          <w:rFonts w:ascii="Arial" w:hAnsi="Arial" w:cs="Arial"/>
          <w:sz w:val="18"/>
          <w:szCs w:val="18"/>
        </w:rPr>
        <w:t xml:space="preserve"> statutory financial statements, which have been prepared in accordance with International Financial Reporting Standards</w:t>
      </w:r>
      <w:r w:rsidR="007E4D7D">
        <w:rPr>
          <w:rFonts w:ascii="Arial" w:hAnsi="Arial" w:cs="Arial"/>
          <w:sz w:val="18"/>
          <w:szCs w:val="18"/>
        </w:rPr>
        <w:t xml:space="preserve"> </w:t>
      </w:r>
      <w:r w:rsidRPr="00D779A5">
        <w:rPr>
          <w:rFonts w:ascii="Arial" w:hAnsi="Arial" w:cs="Arial"/>
          <w:sz w:val="18"/>
          <w:szCs w:val="18"/>
        </w:rPr>
        <w:t xml:space="preserve">as adopted by the </w:t>
      </w:r>
      <w:r w:rsidRPr="001B73BC">
        <w:rPr>
          <w:rFonts w:ascii="Arial" w:hAnsi="Arial" w:cs="Arial"/>
          <w:sz w:val="18"/>
          <w:szCs w:val="18"/>
        </w:rPr>
        <w:t>European Union</w:t>
      </w:r>
      <w:r w:rsidR="007E4D7D" w:rsidRPr="001B73BC">
        <w:rPr>
          <w:rFonts w:ascii="Arial" w:hAnsi="Arial" w:cs="Arial"/>
          <w:sz w:val="18"/>
          <w:szCs w:val="18"/>
        </w:rPr>
        <w:t xml:space="preserve"> (‘IFRS’) </w:t>
      </w:r>
      <w:r w:rsidRPr="001B73BC">
        <w:rPr>
          <w:rFonts w:ascii="Arial" w:hAnsi="Arial" w:cs="Arial"/>
          <w:sz w:val="18"/>
          <w:szCs w:val="18"/>
        </w:rPr>
        <w:t>and those parts of the Companies Act 2006 applicable to companies reporting under IFRS</w:t>
      </w:r>
      <w:r w:rsidR="001B73BC" w:rsidRPr="001B73BC">
        <w:rPr>
          <w:rFonts w:ascii="Arial" w:hAnsi="Arial" w:cs="Arial"/>
          <w:sz w:val="18"/>
          <w:szCs w:val="18"/>
        </w:rPr>
        <w:t xml:space="preserve"> </w:t>
      </w:r>
      <w:r w:rsidR="001B73BC" w:rsidRPr="001B73BC">
        <w:rPr>
          <w:rFonts w:ascii="Arial" w:hAnsi="Arial" w:cs="Arial"/>
          <w:color w:val="000000"/>
          <w:sz w:val="18"/>
          <w:szCs w:val="18"/>
        </w:rPr>
        <w:t>and therefore the consolidated financial statements comply with Article 4 of the EU IAS legislation</w:t>
      </w:r>
      <w:r w:rsidRPr="001B73BC">
        <w:rPr>
          <w:rFonts w:ascii="Arial" w:hAnsi="Arial" w:cs="Arial"/>
          <w:sz w:val="18"/>
          <w:szCs w:val="18"/>
        </w:rPr>
        <w:t xml:space="preserve">. </w:t>
      </w:r>
      <w:r w:rsidR="00512EED" w:rsidRPr="00512EED">
        <w:rPr>
          <w:rFonts w:ascii="Arial" w:hAnsi="Arial" w:cs="Arial"/>
          <w:sz w:val="18"/>
          <w:szCs w:val="18"/>
        </w:rPr>
        <w:t>The consolidated income statement and related notes represent results for continuing operations, there being no discontinued opera</w:t>
      </w:r>
      <w:r w:rsidR="00512EED">
        <w:rPr>
          <w:rFonts w:ascii="Arial" w:hAnsi="Arial" w:cs="Arial"/>
          <w:sz w:val="18"/>
          <w:szCs w:val="18"/>
        </w:rPr>
        <w:t xml:space="preserve">tions in the </w:t>
      </w:r>
      <w:r w:rsidR="001F0A80">
        <w:rPr>
          <w:rFonts w:ascii="Arial" w:hAnsi="Arial" w:cs="Arial"/>
          <w:sz w:val="18"/>
          <w:szCs w:val="18"/>
        </w:rPr>
        <w:t xml:space="preserve">years </w:t>
      </w:r>
      <w:r w:rsidR="00512EED">
        <w:rPr>
          <w:rFonts w:ascii="Arial" w:hAnsi="Arial" w:cs="Arial"/>
          <w:sz w:val="18"/>
          <w:szCs w:val="18"/>
        </w:rPr>
        <w:t xml:space="preserve">presented. </w:t>
      </w:r>
      <w:r w:rsidRPr="001B73BC">
        <w:rPr>
          <w:rFonts w:ascii="Arial" w:hAnsi="Arial" w:cs="Arial"/>
          <w:sz w:val="18"/>
          <w:szCs w:val="18"/>
        </w:rPr>
        <w:t>The condensed</w:t>
      </w:r>
      <w:r w:rsidRPr="00D779A5">
        <w:rPr>
          <w:rFonts w:ascii="Arial" w:hAnsi="Arial" w:cs="Arial"/>
          <w:sz w:val="18"/>
          <w:szCs w:val="18"/>
        </w:rPr>
        <w:t xml:space="preserve"> financial information has been prepared under the historical cost convention, as modified by the use of valuations for certain financial instruments, share-based payments and post</w:t>
      </w:r>
      <w:r w:rsidR="00C7725C">
        <w:rPr>
          <w:rFonts w:ascii="Arial" w:hAnsi="Arial" w:cs="Arial"/>
          <w:sz w:val="18"/>
          <w:szCs w:val="18"/>
        </w:rPr>
        <w:t>-</w:t>
      </w:r>
      <w:r w:rsidRPr="00D779A5">
        <w:rPr>
          <w:rFonts w:ascii="Arial" w:hAnsi="Arial" w:cs="Arial"/>
          <w:sz w:val="18"/>
          <w:szCs w:val="18"/>
        </w:rPr>
        <w:t>employment benefits.</w:t>
      </w:r>
    </w:p>
    <w:p w14:paraId="33224302" w14:textId="77777777" w:rsidR="004C5D7D" w:rsidRDefault="004C5D7D" w:rsidP="00BA0967">
      <w:pPr>
        <w:jc w:val="both"/>
        <w:rPr>
          <w:rFonts w:ascii="Arial" w:hAnsi="Arial" w:cs="Arial"/>
          <w:sz w:val="18"/>
          <w:szCs w:val="18"/>
        </w:rPr>
      </w:pPr>
    </w:p>
    <w:p w14:paraId="44715FBF" w14:textId="77777777" w:rsidR="00767D0A" w:rsidRPr="00767D0A" w:rsidRDefault="00767D0A" w:rsidP="00BA0967">
      <w:pPr>
        <w:jc w:val="both"/>
        <w:rPr>
          <w:rFonts w:ascii="Arial" w:hAnsi="Arial" w:cs="Arial"/>
          <w:b/>
          <w:i/>
          <w:sz w:val="18"/>
          <w:szCs w:val="18"/>
        </w:rPr>
      </w:pPr>
      <w:r w:rsidRPr="006E2E8E">
        <w:rPr>
          <w:rFonts w:ascii="Arial" w:hAnsi="Arial" w:cs="Arial"/>
          <w:b/>
          <w:i/>
          <w:sz w:val="18"/>
          <w:szCs w:val="18"/>
        </w:rPr>
        <w:t>Accounting policies</w:t>
      </w:r>
    </w:p>
    <w:p w14:paraId="4C72E8D2" w14:textId="77777777" w:rsidR="00767D0A" w:rsidRPr="00EF1091" w:rsidRDefault="00767D0A" w:rsidP="00BA0967">
      <w:pPr>
        <w:jc w:val="both"/>
        <w:rPr>
          <w:rFonts w:ascii="Arial" w:hAnsi="Arial" w:cs="Arial"/>
          <w:sz w:val="18"/>
          <w:szCs w:val="18"/>
        </w:rPr>
      </w:pPr>
    </w:p>
    <w:p w14:paraId="6F5A903C" w14:textId="77777777" w:rsidR="00677D90" w:rsidRPr="00D036DE" w:rsidRDefault="00677D90" w:rsidP="00FC742C">
      <w:pPr>
        <w:jc w:val="both"/>
        <w:rPr>
          <w:rFonts w:ascii="Arial" w:hAnsi="Arial" w:cs="Arial"/>
          <w:sz w:val="18"/>
          <w:szCs w:val="18"/>
        </w:rPr>
      </w:pPr>
      <w:r w:rsidRPr="00D036DE">
        <w:rPr>
          <w:rFonts w:ascii="Arial" w:hAnsi="Arial" w:cs="Arial"/>
          <w:sz w:val="18"/>
          <w:szCs w:val="18"/>
        </w:rPr>
        <w:t>The accounting policies adopted are consistent with those of the annual financial statements for the year ended 31 January 2018, as described in note 2 of those financial statements, except where set out below.</w:t>
      </w:r>
    </w:p>
    <w:p w14:paraId="005C46BC" w14:textId="77777777" w:rsidR="00677D90" w:rsidRPr="00D036DE" w:rsidRDefault="00677D90" w:rsidP="00FC742C">
      <w:pPr>
        <w:jc w:val="both"/>
        <w:rPr>
          <w:rFonts w:ascii="Arial" w:hAnsi="Arial" w:cs="Arial"/>
          <w:sz w:val="18"/>
          <w:szCs w:val="18"/>
        </w:rPr>
      </w:pPr>
    </w:p>
    <w:p w14:paraId="6F12545D" w14:textId="77777777" w:rsidR="00677D90" w:rsidRPr="004A2EE8" w:rsidRDefault="00677D90" w:rsidP="00FC742C">
      <w:pPr>
        <w:jc w:val="both"/>
        <w:rPr>
          <w:rFonts w:ascii="Arial" w:hAnsi="Arial" w:cs="Arial"/>
          <w:i/>
          <w:sz w:val="18"/>
          <w:szCs w:val="18"/>
        </w:rPr>
      </w:pPr>
      <w:bookmarkStart w:id="1" w:name="_Hlk2347530"/>
      <w:r w:rsidRPr="004A2EE8">
        <w:rPr>
          <w:rFonts w:ascii="Arial" w:hAnsi="Arial" w:cs="Arial"/>
          <w:i/>
          <w:sz w:val="18"/>
          <w:szCs w:val="18"/>
        </w:rPr>
        <w:t>Changes to accounting policies as a result of new standards issued and effective</w:t>
      </w:r>
    </w:p>
    <w:p w14:paraId="2D3B6B39" w14:textId="77777777" w:rsidR="00677D90" w:rsidRPr="004A2EE8" w:rsidRDefault="00677D90" w:rsidP="00FC742C">
      <w:pPr>
        <w:jc w:val="both"/>
        <w:rPr>
          <w:rFonts w:ascii="Arial" w:hAnsi="Arial" w:cs="Arial"/>
          <w:i/>
          <w:sz w:val="18"/>
          <w:szCs w:val="18"/>
        </w:rPr>
      </w:pPr>
    </w:p>
    <w:p w14:paraId="5B8D4019" w14:textId="5D85BC08" w:rsidR="00677D90" w:rsidRPr="004A2EE8" w:rsidRDefault="00677D90" w:rsidP="00FC742C">
      <w:pPr>
        <w:jc w:val="both"/>
        <w:rPr>
          <w:rFonts w:ascii="Arial" w:hAnsi="Arial" w:cs="Arial"/>
          <w:sz w:val="18"/>
          <w:szCs w:val="18"/>
        </w:rPr>
      </w:pPr>
      <w:r w:rsidRPr="004A2EE8">
        <w:rPr>
          <w:rFonts w:ascii="Arial" w:hAnsi="Arial" w:cs="Arial"/>
          <w:sz w:val="18"/>
          <w:szCs w:val="18"/>
        </w:rPr>
        <w:t xml:space="preserve">The Group has adopted IFRS 9 ‘Financial Instruments’ and IFRS 15 ‘Revenue from Contracts with Customers’ from 1 February 2018. The new standards have been adopted </w:t>
      </w:r>
      <w:r w:rsidR="00A65312">
        <w:rPr>
          <w:rFonts w:ascii="Arial" w:hAnsi="Arial" w:cs="Arial"/>
          <w:sz w:val="18"/>
          <w:szCs w:val="18"/>
        </w:rPr>
        <w:t>prospectively with no retrospective adjustments required</w:t>
      </w:r>
      <w:r w:rsidRPr="004A2EE8">
        <w:rPr>
          <w:rFonts w:ascii="Arial" w:hAnsi="Arial" w:cs="Arial"/>
          <w:sz w:val="18"/>
          <w:szCs w:val="18"/>
        </w:rPr>
        <w:t>. The effect of adopting these standards is outlined below.</w:t>
      </w:r>
    </w:p>
    <w:p w14:paraId="54E0E97B" w14:textId="77777777" w:rsidR="00677D90" w:rsidRPr="004A2EE8" w:rsidRDefault="00677D90" w:rsidP="00FC742C">
      <w:pPr>
        <w:jc w:val="both"/>
        <w:rPr>
          <w:rFonts w:ascii="Arial" w:hAnsi="Arial" w:cs="Arial"/>
          <w:sz w:val="18"/>
          <w:szCs w:val="18"/>
        </w:rPr>
      </w:pPr>
    </w:p>
    <w:p w14:paraId="5369EAD3" w14:textId="0480A334" w:rsidR="004A2EE8" w:rsidRPr="004A2EE8" w:rsidRDefault="00677D90" w:rsidP="00FC742C">
      <w:pPr>
        <w:jc w:val="both"/>
        <w:rPr>
          <w:rFonts w:ascii="Calibri" w:hAnsi="Calibri"/>
          <w:sz w:val="22"/>
          <w:szCs w:val="22"/>
          <w:lang w:eastAsia="en-US"/>
        </w:rPr>
      </w:pPr>
      <w:r w:rsidRPr="004A2EE8">
        <w:rPr>
          <w:rFonts w:ascii="Arial" w:hAnsi="Arial" w:cs="Arial"/>
          <w:sz w:val="18"/>
          <w:szCs w:val="18"/>
        </w:rPr>
        <w:t>IFRS 9 replaces IAS 39 ‘Financial Instruments: Recognition and Measurement’ and addresses the classification, measurement and recognition of financial assets and liabilities, and introduces a new impairment model for financial assets as well as new hedge accounting rules.</w:t>
      </w:r>
      <w:r w:rsidR="004A2EE8" w:rsidRPr="004A2EE8">
        <w:rPr>
          <w:rFonts w:ascii="Arial" w:hAnsi="Arial" w:cs="Arial"/>
          <w:sz w:val="18"/>
          <w:szCs w:val="18"/>
        </w:rPr>
        <w:t xml:space="preserve"> A detailed assessment of the new standard was undertaken and concluded that there are no material impacts on the consolidated financial statements, except for additional disclosure requirements relating to hedge accounting.</w:t>
      </w:r>
      <w:r w:rsidR="00716ACC">
        <w:rPr>
          <w:rFonts w:ascii="Arial" w:hAnsi="Arial" w:cs="Arial"/>
          <w:sz w:val="18"/>
          <w:szCs w:val="18"/>
        </w:rPr>
        <w:t xml:space="preserve"> The standard has also resulted in changes to the presentation of inventory cash flow hedge gains and losses within the consolidated statements of other comprehensive income and changes in equity.</w:t>
      </w:r>
    </w:p>
    <w:p w14:paraId="21628402" w14:textId="77777777" w:rsidR="00677D90" w:rsidRPr="004A2EE8" w:rsidRDefault="00677D90" w:rsidP="00FC742C">
      <w:pPr>
        <w:jc w:val="both"/>
        <w:rPr>
          <w:rFonts w:ascii="Arial" w:hAnsi="Arial" w:cs="Arial"/>
          <w:sz w:val="18"/>
          <w:szCs w:val="18"/>
        </w:rPr>
      </w:pPr>
    </w:p>
    <w:p w14:paraId="5B6F1505" w14:textId="77777777" w:rsidR="00677D90" w:rsidRPr="004A2EE8" w:rsidRDefault="00677D90" w:rsidP="00FC742C">
      <w:pPr>
        <w:jc w:val="both"/>
        <w:rPr>
          <w:rFonts w:ascii="Arial" w:hAnsi="Arial" w:cs="Arial"/>
          <w:sz w:val="18"/>
          <w:szCs w:val="18"/>
        </w:rPr>
      </w:pPr>
      <w:r w:rsidRPr="004A2EE8">
        <w:rPr>
          <w:rFonts w:ascii="Arial" w:hAnsi="Arial" w:cs="Arial"/>
          <w:sz w:val="18"/>
          <w:szCs w:val="18"/>
        </w:rPr>
        <w:t>IFRS 9 introduces the following new requirements:</w:t>
      </w:r>
    </w:p>
    <w:p w14:paraId="4F8647EB" w14:textId="77777777" w:rsidR="00677D90" w:rsidRPr="004A2EE8" w:rsidRDefault="00677D90" w:rsidP="00FC742C">
      <w:pPr>
        <w:pStyle w:val="ListParagraph"/>
        <w:numPr>
          <w:ilvl w:val="0"/>
          <w:numId w:val="8"/>
        </w:numPr>
        <w:jc w:val="both"/>
        <w:rPr>
          <w:rFonts w:ascii="Arial" w:hAnsi="Arial" w:cs="Arial"/>
          <w:sz w:val="18"/>
          <w:szCs w:val="18"/>
        </w:rPr>
      </w:pPr>
      <w:r w:rsidRPr="004A2EE8">
        <w:rPr>
          <w:rFonts w:ascii="Arial" w:hAnsi="Arial" w:cs="Arial"/>
          <w:sz w:val="18"/>
          <w:szCs w:val="18"/>
        </w:rPr>
        <w:t>The classification and measurement of financial assets is now based on the entity’s business model for managing the financial asset and its contractual cash flow characteristics. Given the nature of the Group’s financial assets, comprising principally derivatives, trade and other receivables and cash, this has had no material impact.</w:t>
      </w:r>
    </w:p>
    <w:p w14:paraId="6D81D9CF" w14:textId="77777777" w:rsidR="00677D90" w:rsidRPr="004A2EE8" w:rsidRDefault="00677D90" w:rsidP="00FC742C">
      <w:pPr>
        <w:pStyle w:val="ListParagraph"/>
        <w:numPr>
          <w:ilvl w:val="0"/>
          <w:numId w:val="8"/>
        </w:numPr>
        <w:jc w:val="both"/>
        <w:rPr>
          <w:rFonts w:ascii="Arial" w:hAnsi="Arial" w:cs="Arial"/>
          <w:sz w:val="18"/>
          <w:szCs w:val="18"/>
        </w:rPr>
      </w:pPr>
      <w:r w:rsidRPr="004A2EE8">
        <w:rPr>
          <w:rFonts w:ascii="Arial" w:hAnsi="Arial" w:cs="Arial"/>
          <w:sz w:val="18"/>
          <w:szCs w:val="18"/>
        </w:rPr>
        <w:t>The new impairment model requires the recognition of expected credit losses, in contrast to the requirement to recognise incurred credit losses under IAS 39. The Group does not hold financial assets for which application of the new impairment model is significant. The Group’s trade and other receivables mainly relate to trade receivables and rebates which comprise low individual balances with short maturity spread across a large number of unrelated customers and suppliers, resulting in low credit risk levels.</w:t>
      </w:r>
    </w:p>
    <w:p w14:paraId="298DD96E" w14:textId="77777777" w:rsidR="004A2EE8" w:rsidRPr="004A2EE8" w:rsidRDefault="004A2EE8" w:rsidP="00FC742C">
      <w:pPr>
        <w:jc w:val="both"/>
        <w:rPr>
          <w:rFonts w:ascii="Arial" w:hAnsi="Arial" w:cs="Arial"/>
          <w:sz w:val="18"/>
          <w:szCs w:val="18"/>
        </w:rPr>
      </w:pPr>
    </w:p>
    <w:p w14:paraId="41DB14EC" w14:textId="77777777" w:rsidR="00C57C9F" w:rsidRPr="004A2EE8" w:rsidRDefault="00677D90" w:rsidP="00FC742C">
      <w:pPr>
        <w:jc w:val="both"/>
        <w:rPr>
          <w:rFonts w:ascii="Arial" w:hAnsi="Arial" w:cs="Arial"/>
          <w:sz w:val="18"/>
          <w:szCs w:val="18"/>
        </w:rPr>
      </w:pPr>
      <w:r w:rsidRPr="004A2EE8">
        <w:rPr>
          <w:rFonts w:ascii="Arial" w:hAnsi="Arial" w:cs="Arial"/>
          <w:sz w:val="18"/>
          <w:szCs w:val="18"/>
        </w:rPr>
        <w:t>All Group hedging relationships designated under IAS 39 at 31 January 2018 met the criteria for hedge accounting under IFRS 9 at 1 February 2018, and are therefore regarded as continuing hedging relationships.</w:t>
      </w:r>
    </w:p>
    <w:p w14:paraId="0CBE71E9" w14:textId="77777777" w:rsidR="004A2EE8" w:rsidRPr="004A2EE8" w:rsidRDefault="004A2EE8" w:rsidP="00FC742C">
      <w:pPr>
        <w:jc w:val="both"/>
        <w:rPr>
          <w:rFonts w:ascii="Arial" w:hAnsi="Arial" w:cs="Arial"/>
          <w:sz w:val="18"/>
          <w:szCs w:val="18"/>
        </w:rPr>
      </w:pPr>
    </w:p>
    <w:p w14:paraId="0124B8C3" w14:textId="77777777" w:rsidR="00677D90" w:rsidRPr="004A2EE8" w:rsidRDefault="00677D90" w:rsidP="00FC742C">
      <w:pPr>
        <w:jc w:val="both"/>
        <w:rPr>
          <w:rFonts w:ascii="Arial" w:hAnsi="Arial" w:cs="Arial"/>
          <w:sz w:val="18"/>
          <w:szCs w:val="18"/>
        </w:rPr>
      </w:pPr>
      <w:r w:rsidRPr="004A2EE8">
        <w:rPr>
          <w:rFonts w:ascii="Arial" w:hAnsi="Arial" w:cs="Arial"/>
          <w:sz w:val="18"/>
          <w:szCs w:val="18"/>
        </w:rPr>
        <w:t xml:space="preserve">IFRS 15 replaces IAS 18 ‘Revenue’ and establishes a principles-based approach to revenue recognition and measurement based on the concept of recognising revenue when performance obligations are satisfied. </w:t>
      </w:r>
    </w:p>
    <w:p w14:paraId="78D0BE65" w14:textId="77777777" w:rsidR="00677D90" w:rsidRPr="004A2EE8" w:rsidRDefault="00677D90" w:rsidP="00FC742C">
      <w:pPr>
        <w:jc w:val="both"/>
        <w:rPr>
          <w:rFonts w:ascii="Arial" w:hAnsi="Arial" w:cs="Arial"/>
          <w:sz w:val="18"/>
          <w:szCs w:val="18"/>
        </w:rPr>
      </w:pPr>
    </w:p>
    <w:p w14:paraId="7B251350" w14:textId="493B1766" w:rsidR="00677D90" w:rsidRPr="004A2EE8" w:rsidRDefault="00677D90" w:rsidP="00FC742C">
      <w:pPr>
        <w:jc w:val="both"/>
        <w:rPr>
          <w:rFonts w:ascii="Arial" w:hAnsi="Arial" w:cs="Arial"/>
          <w:sz w:val="18"/>
          <w:szCs w:val="18"/>
        </w:rPr>
      </w:pPr>
      <w:r w:rsidRPr="004A2EE8">
        <w:rPr>
          <w:rFonts w:ascii="Arial" w:hAnsi="Arial" w:cs="Arial"/>
          <w:sz w:val="18"/>
          <w:szCs w:val="18"/>
        </w:rPr>
        <w:lastRenderedPageBreak/>
        <w:t>The adoption of IFRS 15 has not had a material effect on the financial statements or the amount, timing or nature of revenue recognised by the Group. All revenue from the Group relates to contracts with customers and the Group does not apply significant judg</w:t>
      </w:r>
      <w:r w:rsidR="0022759E">
        <w:rPr>
          <w:rFonts w:ascii="Arial" w:hAnsi="Arial" w:cs="Arial"/>
          <w:sz w:val="18"/>
          <w:szCs w:val="18"/>
        </w:rPr>
        <w:t>e</w:t>
      </w:r>
      <w:r w:rsidRPr="004A2EE8">
        <w:rPr>
          <w:rFonts w:ascii="Arial" w:hAnsi="Arial" w:cs="Arial"/>
          <w:sz w:val="18"/>
          <w:szCs w:val="18"/>
        </w:rPr>
        <w:t xml:space="preserve">ment in determining the timing of satisfaction of its performance obligations or the transaction price allocated to those performance obligations, as the vast majority of the Group’s revenue derives from in-store purchases of products by customers, where revenue is generally recognised at the point of cash receipt. Revenue arising from performance obligations satisfied over a period of time or at a future point in time (delivered products and services) typically have contract lengths of less than one year and represent only a small component of the Group’s sales. </w:t>
      </w:r>
    </w:p>
    <w:p w14:paraId="5862DBB9" w14:textId="77777777" w:rsidR="00677D90" w:rsidRPr="004A2EE8" w:rsidRDefault="00677D90" w:rsidP="00FC742C">
      <w:pPr>
        <w:jc w:val="both"/>
        <w:rPr>
          <w:rFonts w:ascii="Arial" w:hAnsi="Arial" w:cs="Arial"/>
          <w:sz w:val="18"/>
          <w:szCs w:val="18"/>
        </w:rPr>
      </w:pPr>
    </w:p>
    <w:p w14:paraId="63942531" w14:textId="0E2A7D94" w:rsidR="00677D90" w:rsidRPr="004A2EE8" w:rsidRDefault="00677D90" w:rsidP="00FC742C">
      <w:pPr>
        <w:jc w:val="both"/>
        <w:rPr>
          <w:rFonts w:ascii="Arial" w:hAnsi="Arial" w:cs="Arial"/>
          <w:sz w:val="18"/>
          <w:szCs w:val="18"/>
        </w:rPr>
      </w:pPr>
      <w:r w:rsidRPr="004A2EE8">
        <w:rPr>
          <w:rFonts w:ascii="Arial" w:hAnsi="Arial" w:cs="Arial"/>
          <w:sz w:val="18"/>
          <w:szCs w:val="18"/>
        </w:rPr>
        <w:t xml:space="preserve">The Group’s accounting policies for </w:t>
      </w:r>
      <w:r w:rsidR="005A5535" w:rsidRPr="004A2EE8">
        <w:rPr>
          <w:rFonts w:ascii="Arial" w:hAnsi="Arial" w:cs="Arial"/>
          <w:sz w:val="18"/>
          <w:szCs w:val="18"/>
        </w:rPr>
        <w:t xml:space="preserve">financial instruments </w:t>
      </w:r>
      <w:r w:rsidR="005A5535">
        <w:rPr>
          <w:rFonts w:ascii="Arial" w:hAnsi="Arial" w:cs="Arial"/>
          <w:sz w:val="18"/>
          <w:szCs w:val="18"/>
        </w:rPr>
        <w:t xml:space="preserve">and </w:t>
      </w:r>
      <w:r w:rsidRPr="004A2EE8">
        <w:rPr>
          <w:rFonts w:ascii="Arial" w:hAnsi="Arial" w:cs="Arial"/>
          <w:sz w:val="18"/>
          <w:szCs w:val="18"/>
        </w:rPr>
        <w:t>revenue recognition have been updated to reflect the above changes in requirements.</w:t>
      </w:r>
    </w:p>
    <w:p w14:paraId="4563B299" w14:textId="77777777" w:rsidR="00677D90" w:rsidRPr="004A2EE8" w:rsidRDefault="00677D90" w:rsidP="00FC742C">
      <w:pPr>
        <w:jc w:val="both"/>
        <w:rPr>
          <w:rFonts w:ascii="Arial" w:hAnsi="Arial" w:cs="Arial"/>
          <w:sz w:val="18"/>
          <w:szCs w:val="18"/>
        </w:rPr>
      </w:pPr>
    </w:p>
    <w:p w14:paraId="1CC783B5" w14:textId="77777777" w:rsidR="00677D90" w:rsidRPr="004A2EE8" w:rsidRDefault="00677D90" w:rsidP="00FC742C">
      <w:pPr>
        <w:jc w:val="both"/>
        <w:rPr>
          <w:rFonts w:ascii="Arial" w:hAnsi="Arial" w:cs="Arial"/>
          <w:sz w:val="18"/>
          <w:szCs w:val="18"/>
        </w:rPr>
      </w:pPr>
      <w:r w:rsidRPr="004A2EE8">
        <w:rPr>
          <w:rFonts w:ascii="Arial" w:hAnsi="Arial" w:cs="Arial"/>
          <w:sz w:val="18"/>
          <w:szCs w:val="18"/>
        </w:rPr>
        <w:t xml:space="preserve">No retrospective adjustments, restatements or changes to opening retained earnings have been made to the financial statements as a result of adopting IFRS 9 and IFRS 15. </w:t>
      </w:r>
    </w:p>
    <w:p w14:paraId="2D146E5A" w14:textId="77777777" w:rsidR="00677D90" w:rsidRPr="004A2EE8" w:rsidRDefault="00677D90" w:rsidP="00FC742C">
      <w:pPr>
        <w:jc w:val="both"/>
        <w:rPr>
          <w:rFonts w:ascii="Arial" w:hAnsi="Arial" w:cs="Arial"/>
          <w:sz w:val="18"/>
          <w:szCs w:val="18"/>
        </w:rPr>
      </w:pPr>
    </w:p>
    <w:p w14:paraId="03DA43FF" w14:textId="77777777" w:rsidR="00677D90" w:rsidRPr="004A2EE8" w:rsidRDefault="00677D90" w:rsidP="00FC742C">
      <w:pPr>
        <w:jc w:val="both"/>
        <w:rPr>
          <w:rFonts w:ascii="Arial" w:hAnsi="Arial" w:cs="Arial"/>
          <w:sz w:val="18"/>
          <w:szCs w:val="18"/>
        </w:rPr>
      </w:pPr>
      <w:r w:rsidRPr="004A2EE8">
        <w:rPr>
          <w:rFonts w:ascii="Arial" w:hAnsi="Arial" w:cs="Arial"/>
          <w:sz w:val="18"/>
          <w:szCs w:val="18"/>
        </w:rPr>
        <w:t>Other new standards, amendments and interpretations are in issue and effective for the Group’s financial year ended 31 January 2019, but they do not have a material impact on the consolidated financial statements.</w:t>
      </w:r>
    </w:p>
    <w:bookmarkEnd w:id="1"/>
    <w:p w14:paraId="676F442F" w14:textId="77777777" w:rsidR="00677D90" w:rsidRPr="00564522" w:rsidRDefault="00677D90" w:rsidP="00677D90">
      <w:pPr>
        <w:rPr>
          <w:rFonts w:ascii="Arial" w:hAnsi="Arial" w:cs="Arial"/>
          <w:sz w:val="18"/>
          <w:szCs w:val="18"/>
        </w:rPr>
      </w:pPr>
    </w:p>
    <w:p w14:paraId="4D71AA1C" w14:textId="77777777" w:rsidR="006A6797" w:rsidRDefault="006A6797" w:rsidP="006A6797">
      <w:pPr>
        <w:rPr>
          <w:rFonts w:ascii="Arial" w:hAnsi="Arial" w:cs="Arial"/>
          <w:sz w:val="18"/>
          <w:szCs w:val="18"/>
        </w:rPr>
      </w:pPr>
      <w:bookmarkStart w:id="2" w:name="_Hlk2347920"/>
      <w:bookmarkStart w:id="3" w:name="_Hlk2862388"/>
      <w:bookmarkStart w:id="4" w:name="_Hlk2352016"/>
      <w:r>
        <w:rPr>
          <w:rFonts w:ascii="Arial" w:hAnsi="Arial" w:cs="Arial"/>
          <w:i/>
          <w:iCs/>
          <w:sz w:val="18"/>
          <w:szCs w:val="18"/>
        </w:rPr>
        <w:t>Standards issued but not yet effective</w:t>
      </w:r>
    </w:p>
    <w:p w14:paraId="1C97C5B2" w14:textId="77777777" w:rsidR="006A6797" w:rsidRDefault="006A6797" w:rsidP="006A6797">
      <w:pPr>
        <w:rPr>
          <w:rFonts w:ascii="Arial" w:hAnsi="Arial" w:cs="Arial"/>
          <w:sz w:val="18"/>
          <w:szCs w:val="18"/>
        </w:rPr>
      </w:pPr>
    </w:p>
    <w:p w14:paraId="0588091F" w14:textId="77777777" w:rsidR="006A6797" w:rsidRDefault="006A6797" w:rsidP="006A6797">
      <w:pPr>
        <w:rPr>
          <w:rFonts w:ascii="Arial" w:hAnsi="Arial" w:cs="Arial"/>
          <w:sz w:val="18"/>
          <w:szCs w:val="18"/>
        </w:rPr>
      </w:pPr>
      <w:r>
        <w:rPr>
          <w:rFonts w:ascii="Arial" w:hAnsi="Arial" w:cs="Arial"/>
          <w:sz w:val="18"/>
          <w:szCs w:val="18"/>
        </w:rPr>
        <w:t>The following new standard will be effective for the Group’s 2019/20 financial year:</w:t>
      </w:r>
    </w:p>
    <w:p w14:paraId="4ED29A5D" w14:textId="77777777" w:rsidR="006A6797" w:rsidRDefault="006A6797" w:rsidP="006A6797">
      <w:pPr>
        <w:rPr>
          <w:rFonts w:ascii="Arial" w:hAnsi="Arial" w:cs="Arial"/>
          <w:sz w:val="18"/>
          <w:szCs w:val="18"/>
        </w:rPr>
      </w:pPr>
    </w:p>
    <w:bookmarkEnd w:id="2"/>
    <w:p w14:paraId="0078D328" w14:textId="77777777" w:rsidR="006A6797" w:rsidRDefault="006A6797" w:rsidP="006A6797">
      <w:pPr>
        <w:jc w:val="both"/>
        <w:rPr>
          <w:rFonts w:ascii="Arial" w:hAnsi="Arial" w:cs="Arial"/>
          <w:sz w:val="18"/>
          <w:szCs w:val="18"/>
        </w:rPr>
      </w:pPr>
      <w:r>
        <w:rPr>
          <w:rFonts w:ascii="Arial" w:hAnsi="Arial" w:cs="Arial"/>
          <w:sz w:val="18"/>
          <w:szCs w:val="18"/>
        </w:rPr>
        <w:t>IFRS 16 ‘Leases’ was issued by the IASB in January 2016 and has been endorsed by the European Union. The standard supersedes IAS 17 ‘Leases’ and is effective for periods beginning on or after 1 January 2019. The adoption of IFRS 16 will have a material impact on the Group’s primary financial statements, including impacts on operating profit, profit before tax, total assets and total liabilities lines. The project is being led by Group Finance and has a steering committee in place to provide appropriate oversight and governance.</w:t>
      </w:r>
    </w:p>
    <w:p w14:paraId="36495230" w14:textId="77777777" w:rsidR="006A6797" w:rsidRDefault="006A6797" w:rsidP="006A6797">
      <w:pPr>
        <w:jc w:val="both"/>
        <w:rPr>
          <w:rFonts w:ascii="Arial" w:hAnsi="Arial" w:cs="Arial"/>
          <w:sz w:val="18"/>
          <w:szCs w:val="18"/>
        </w:rPr>
      </w:pPr>
    </w:p>
    <w:p w14:paraId="35E2DF2B" w14:textId="77777777" w:rsidR="006A6797" w:rsidRDefault="006A6797" w:rsidP="006A6797">
      <w:pPr>
        <w:jc w:val="both"/>
        <w:rPr>
          <w:rFonts w:ascii="Arial" w:hAnsi="Arial" w:cs="Arial"/>
          <w:i/>
          <w:iCs/>
          <w:sz w:val="18"/>
          <w:szCs w:val="18"/>
        </w:rPr>
      </w:pPr>
      <w:r>
        <w:rPr>
          <w:rFonts w:ascii="Arial" w:hAnsi="Arial" w:cs="Arial"/>
          <w:i/>
          <w:iCs/>
          <w:sz w:val="18"/>
          <w:szCs w:val="18"/>
        </w:rPr>
        <w:t>Lessee accounting</w:t>
      </w:r>
    </w:p>
    <w:p w14:paraId="5B9850DB" w14:textId="77777777" w:rsidR="006A6797" w:rsidRDefault="006A6797" w:rsidP="006A6797">
      <w:pPr>
        <w:jc w:val="both"/>
        <w:rPr>
          <w:rFonts w:ascii="Arial" w:hAnsi="Arial" w:cs="Arial"/>
          <w:sz w:val="18"/>
          <w:szCs w:val="18"/>
        </w:rPr>
      </w:pPr>
    </w:p>
    <w:p w14:paraId="7D62D266" w14:textId="77777777" w:rsidR="006A6797" w:rsidRDefault="006A6797" w:rsidP="006A6797">
      <w:pPr>
        <w:jc w:val="both"/>
        <w:rPr>
          <w:rFonts w:ascii="Arial" w:hAnsi="Arial" w:cs="Arial"/>
          <w:sz w:val="18"/>
          <w:szCs w:val="18"/>
        </w:rPr>
      </w:pPr>
      <w:r>
        <w:rPr>
          <w:rFonts w:ascii="Arial" w:hAnsi="Arial" w:cs="Arial"/>
          <w:sz w:val="18"/>
          <w:szCs w:val="18"/>
        </w:rPr>
        <w:t>For operating leases in which the Group is a lessee, the Group will recognise a new right-of-use asset and a new lease liability for its leases of properties and equipment assets. Existing finance leases and onerous lease provisions for rental charges will be derecognised under IFRS 16.</w:t>
      </w:r>
    </w:p>
    <w:p w14:paraId="532E8206" w14:textId="77777777" w:rsidR="006A6797" w:rsidRDefault="006A6797" w:rsidP="006A6797">
      <w:pPr>
        <w:jc w:val="both"/>
        <w:rPr>
          <w:rFonts w:ascii="Arial" w:hAnsi="Arial" w:cs="Arial"/>
          <w:sz w:val="18"/>
          <w:szCs w:val="18"/>
        </w:rPr>
      </w:pPr>
    </w:p>
    <w:p w14:paraId="3A3EFA78" w14:textId="611F029D" w:rsidR="006A6797" w:rsidRDefault="006A6797" w:rsidP="006A6797">
      <w:pPr>
        <w:jc w:val="both"/>
        <w:rPr>
          <w:rFonts w:ascii="Arial" w:hAnsi="Arial" w:cs="Arial"/>
          <w:sz w:val="18"/>
          <w:szCs w:val="18"/>
        </w:rPr>
      </w:pPr>
      <w:r>
        <w:rPr>
          <w:rFonts w:ascii="Arial" w:hAnsi="Arial" w:cs="Arial"/>
          <w:sz w:val="18"/>
          <w:szCs w:val="18"/>
        </w:rPr>
        <w:t xml:space="preserve">Under IFRS 16 the income statement expense comprises a straight-line depreciation charge on the right-of-use asset and a front-loaded interest charge on the lease liability, both over the term of the lease. For an individual lease, this provides </w:t>
      </w:r>
      <w:r w:rsidR="000116C7">
        <w:rPr>
          <w:rFonts w:ascii="Arial" w:hAnsi="Arial" w:cs="Arial"/>
          <w:sz w:val="18"/>
          <w:szCs w:val="18"/>
        </w:rPr>
        <w:t xml:space="preserve">an overall front-loaded </w:t>
      </w:r>
      <w:r>
        <w:rPr>
          <w:rFonts w:ascii="Arial" w:hAnsi="Arial" w:cs="Arial"/>
          <w:sz w:val="18"/>
          <w:szCs w:val="18"/>
        </w:rPr>
        <w:t xml:space="preserve">expense profile </w:t>
      </w:r>
      <w:r w:rsidR="000116C7">
        <w:rPr>
          <w:rFonts w:ascii="Arial" w:hAnsi="Arial" w:cs="Arial"/>
          <w:sz w:val="18"/>
          <w:szCs w:val="18"/>
        </w:rPr>
        <w:t xml:space="preserve">compared with </w:t>
      </w:r>
      <w:r>
        <w:rPr>
          <w:rFonts w:ascii="Arial" w:hAnsi="Arial" w:cs="Arial"/>
          <w:sz w:val="18"/>
          <w:szCs w:val="18"/>
        </w:rPr>
        <w:t xml:space="preserve">the straight-line rental charge recognised under IAS 17. </w:t>
      </w:r>
    </w:p>
    <w:p w14:paraId="1D1BA2B7" w14:textId="77777777" w:rsidR="006A6797" w:rsidRDefault="006A6797" w:rsidP="006A6797">
      <w:pPr>
        <w:jc w:val="both"/>
        <w:rPr>
          <w:rFonts w:ascii="Arial" w:hAnsi="Arial" w:cs="Arial"/>
          <w:sz w:val="18"/>
          <w:szCs w:val="18"/>
        </w:rPr>
      </w:pPr>
    </w:p>
    <w:p w14:paraId="483E0725" w14:textId="77777777" w:rsidR="006A6797" w:rsidRDefault="006A6797" w:rsidP="006A6797">
      <w:pPr>
        <w:jc w:val="both"/>
        <w:rPr>
          <w:rFonts w:ascii="Arial" w:hAnsi="Arial" w:cs="Arial"/>
          <w:sz w:val="18"/>
          <w:szCs w:val="18"/>
        </w:rPr>
      </w:pPr>
      <w:r>
        <w:rPr>
          <w:rFonts w:ascii="Arial" w:hAnsi="Arial" w:cs="Arial"/>
          <w:sz w:val="18"/>
          <w:szCs w:val="18"/>
        </w:rPr>
        <w:t>The historical discount rates applied have been based on the incremental borrowing rate where the implicit rate in the lease is not readily determinable. The lease term comprises the non-cancellable lease term, in addition to optional periods when the Group is reasonably certain to exercise an option to extend (or not to terminate) a lease.</w:t>
      </w:r>
    </w:p>
    <w:p w14:paraId="0EA4E6EB" w14:textId="77777777" w:rsidR="006A6797" w:rsidRDefault="006A6797" w:rsidP="006A6797">
      <w:pPr>
        <w:jc w:val="both"/>
        <w:rPr>
          <w:rFonts w:ascii="Arial" w:hAnsi="Arial" w:cs="Arial"/>
          <w:sz w:val="18"/>
          <w:szCs w:val="18"/>
        </w:rPr>
      </w:pPr>
    </w:p>
    <w:p w14:paraId="673B7BFE" w14:textId="77777777" w:rsidR="006A6797" w:rsidRDefault="006A6797" w:rsidP="006A6797">
      <w:pPr>
        <w:jc w:val="both"/>
        <w:rPr>
          <w:rFonts w:ascii="Arial" w:hAnsi="Arial" w:cs="Arial"/>
          <w:i/>
          <w:iCs/>
          <w:sz w:val="18"/>
          <w:szCs w:val="18"/>
        </w:rPr>
      </w:pPr>
      <w:r>
        <w:rPr>
          <w:rFonts w:ascii="Arial" w:hAnsi="Arial" w:cs="Arial"/>
          <w:i/>
          <w:iCs/>
          <w:sz w:val="18"/>
          <w:szCs w:val="18"/>
        </w:rPr>
        <w:t>Lessor accounting</w:t>
      </w:r>
    </w:p>
    <w:p w14:paraId="7010A912" w14:textId="77777777" w:rsidR="006A6797" w:rsidRDefault="006A6797" w:rsidP="006A6797">
      <w:pPr>
        <w:jc w:val="both"/>
        <w:rPr>
          <w:rFonts w:ascii="Arial" w:hAnsi="Arial" w:cs="Arial"/>
          <w:sz w:val="18"/>
          <w:szCs w:val="18"/>
        </w:rPr>
      </w:pPr>
    </w:p>
    <w:p w14:paraId="4A3303A9" w14:textId="7DB42EA7" w:rsidR="006A6797" w:rsidRDefault="006A6797" w:rsidP="006A6797">
      <w:pPr>
        <w:jc w:val="both"/>
        <w:rPr>
          <w:rFonts w:ascii="Arial" w:hAnsi="Arial" w:cs="Arial"/>
          <w:sz w:val="18"/>
          <w:szCs w:val="18"/>
        </w:rPr>
      </w:pPr>
      <w:r>
        <w:rPr>
          <w:rFonts w:ascii="Arial" w:hAnsi="Arial" w:cs="Arial"/>
          <w:sz w:val="18"/>
          <w:szCs w:val="18"/>
        </w:rPr>
        <w:t xml:space="preserve">No significant impact is expected for leases in which the Group is a lessor. Where the Group subleases assets, it is determined whether the sublease should be classified as an operating lease or a finance lease, </w:t>
      </w:r>
      <w:r w:rsidR="00794DD3">
        <w:rPr>
          <w:rFonts w:ascii="Arial" w:hAnsi="Arial" w:cs="Arial"/>
          <w:sz w:val="18"/>
          <w:szCs w:val="18"/>
        </w:rPr>
        <w:t>with reference to the right-of-use asset (not the underlying asset as per IAS 17)</w:t>
      </w:r>
      <w:r>
        <w:rPr>
          <w:rFonts w:ascii="Arial" w:hAnsi="Arial" w:cs="Arial"/>
          <w:sz w:val="18"/>
          <w:szCs w:val="18"/>
        </w:rPr>
        <w:t xml:space="preserve">. </w:t>
      </w:r>
    </w:p>
    <w:p w14:paraId="2220486F" w14:textId="77777777" w:rsidR="006A6797" w:rsidRDefault="006A6797" w:rsidP="006A6797">
      <w:pPr>
        <w:jc w:val="both"/>
        <w:rPr>
          <w:rFonts w:ascii="Arial" w:hAnsi="Arial" w:cs="Arial"/>
          <w:sz w:val="18"/>
          <w:szCs w:val="18"/>
        </w:rPr>
      </w:pPr>
    </w:p>
    <w:p w14:paraId="4B877C3A" w14:textId="77777777" w:rsidR="006A6797" w:rsidRDefault="006A6797" w:rsidP="006A6797">
      <w:pPr>
        <w:jc w:val="both"/>
        <w:rPr>
          <w:rFonts w:ascii="Arial" w:hAnsi="Arial" w:cs="Arial"/>
          <w:i/>
          <w:iCs/>
          <w:sz w:val="18"/>
          <w:szCs w:val="18"/>
        </w:rPr>
      </w:pPr>
      <w:r>
        <w:rPr>
          <w:rFonts w:ascii="Arial" w:hAnsi="Arial" w:cs="Arial"/>
          <w:i/>
          <w:iCs/>
          <w:sz w:val="18"/>
          <w:szCs w:val="18"/>
        </w:rPr>
        <w:t>Transition</w:t>
      </w:r>
    </w:p>
    <w:p w14:paraId="27B595DD" w14:textId="77777777" w:rsidR="006A6797" w:rsidRDefault="006A6797" w:rsidP="006A6797">
      <w:pPr>
        <w:jc w:val="both"/>
        <w:rPr>
          <w:rFonts w:ascii="Arial" w:hAnsi="Arial" w:cs="Arial"/>
          <w:sz w:val="18"/>
          <w:szCs w:val="18"/>
        </w:rPr>
      </w:pPr>
    </w:p>
    <w:p w14:paraId="7C42FC20" w14:textId="046EBE5F" w:rsidR="006A6797" w:rsidRDefault="006A6797" w:rsidP="006A6797">
      <w:pPr>
        <w:jc w:val="both"/>
        <w:rPr>
          <w:rFonts w:ascii="Arial" w:hAnsi="Arial" w:cs="Arial"/>
          <w:sz w:val="18"/>
          <w:szCs w:val="18"/>
        </w:rPr>
      </w:pPr>
      <w:r>
        <w:rPr>
          <w:rFonts w:ascii="Arial" w:hAnsi="Arial" w:cs="Arial"/>
          <w:sz w:val="18"/>
          <w:szCs w:val="18"/>
        </w:rPr>
        <w:t xml:space="preserve">The Group plans to apply IFRS 16 from 1 February 2019 using the full retrospective method and will thereby restate the comparatives for the year ended 31 January </w:t>
      </w:r>
      <w:r w:rsidR="005A5535">
        <w:rPr>
          <w:rFonts w:ascii="Arial" w:hAnsi="Arial" w:cs="Arial"/>
          <w:sz w:val="18"/>
          <w:szCs w:val="18"/>
        </w:rPr>
        <w:t>2019</w:t>
      </w:r>
      <w:r>
        <w:rPr>
          <w:rFonts w:ascii="Arial" w:hAnsi="Arial" w:cs="Arial"/>
          <w:sz w:val="18"/>
          <w:szCs w:val="18"/>
        </w:rPr>
        <w:t>. The Group plans to apply the practical expedient available for low-value items and short-term leases, recognising rental payments for these leases on a straight-line basis but not recognising a right-of-use asset or lease liability.</w:t>
      </w:r>
    </w:p>
    <w:p w14:paraId="30CF4459" w14:textId="77777777" w:rsidR="006A6797" w:rsidRDefault="006A6797" w:rsidP="006A6797">
      <w:pPr>
        <w:jc w:val="both"/>
        <w:rPr>
          <w:rFonts w:ascii="Arial" w:hAnsi="Arial" w:cs="Arial"/>
          <w:sz w:val="18"/>
          <w:szCs w:val="18"/>
        </w:rPr>
      </w:pPr>
    </w:p>
    <w:p w14:paraId="1A7DD364" w14:textId="77777777" w:rsidR="006A6797" w:rsidRDefault="006A6797" w:rsidP="006A6797">
      <w:pPr>
        <w:jc w:val="both"/>
        <w:rPr>
          <w:rFonts w:ascii="Arial" w:hAnsi="Arial" w:cs="Arial"/>
          <w:i/>
          <w:iCs/>
          <w:sz w:val="18"/>
          <w:szCs w:val="18"/>
        </w:rPr>
      </w:pPr>
      <w:r>
        <w:rPr>
          <w:rFonts w:ascii="Arial" w:hAnsi="Arial" w:cs="Arial"/>
          <w:i/>
          <w:iCs/>
          <w:sz w:val="18"/>
          <w:szCs w:val="18"/>
        </w:rPr>
        <w:t>Impact of the new standard</w:t>
      </w:r>
    </w:p>
    <w:p w14:paraId="68235AA0" w14:textId="77777777" w:rsidR="006A6797" w:rsidRDefault="006A6797" w:rsidP="006A6797">
      <w:pPr>
        <w:jc w:val="both"/>
        <w:rPr>
          <w:rFonts w:ascii="Arial" w:hAnsi="Arial" w:cs="Arial"/>
          <w:sz w:val="18"/>
          <w:szCs w:val="18"/>
        </w:rPr>
      </w:pPr>
    </w:p>
    <w:p w14:paraId="2F5887EA" w14:textId="278A062C" w:rsidR="006A6797" w:rsidRDefault="006A6797" w:rsidP="006A6797">
      <w:pPr>
        <w:jc w:val="both"/>
        <w:rPr>
          <w:rFonts w:ascii="Arial" w:hAnsi="Arial" w:cs="Arial"/>
          <w:sz w:val="18"/>
          <w:szCs w:val="18"/>
        </w:rPr>
      </w:pPr>
      <w:r>
        <w:rPr>
          <w:rFonts w:ascii="Arial" w:hAnsi="Arial" w:cs="Arial"/>
          <w:sz w:val="18"/>
          <w:szCs w:val="18"/>
        </w:rPr>
        <w:t xml:space="preserve">The Group has </w:t>
      </w:r>
      <w:r w:rsidR="005A5535">
        <w:rPr>
          <w:rFonts w:ascii="Arial" w:hAnsi="Arial" w:cs="Arial"/>
          <w:sz w:val="18"/>
          <w:szCs w:val="18"/>
        </w:rPr>
        <w:t xml:space="preserve">assessed </w:t>
      </w:r>
      <w:r>
        <w:rPr>
          <w:rFonts w:ascii="Arial" w:hAnsi="Arial" w:cs="Arial"/>
          <w:sz w:val="18"/>
          <w:szCs w:val="18"/>
        </w:rPr>
        <w:t xml:space="preserve">the impact that the application of IFRS 16 has on its income statement for the </w:t>
      </w:r>
      <w:r w:rsidR="005A5535">
        <w:rPr>
          <w:rFonts w:ascii="Arial" w:hAnsi="Arial" w:cs="Arial"/>
          <w:sz w:val="18"/>
          <w:szCs w:val="18"/>
        </w:rPr>
        <w:t xml:space="preserve">year </w:t>
      </w:r>
      <w:r>
        <w:rPr>
          <w:rFonts w:ascii="Arial" w:hAnsi="Arial" w:cs="Arial"/>
          <w:sz w:val="18"/>
          <w:szCs w:val="18"/>
        </w:rPr>
        <w:t>end</w:t>
      </w:r>
      <w:r w:rsidR="00261128">
        <w:rPr>
          <w:rFonts w:ascii="Arial" w:hAnsi="Arial" w:cs="Arial"/>
          <w:sz w:val="18"/>
          <w:szCs w:val="18"/>
        </w:rPr>
        <w:t>ed</w:t>
      </w:r>
      <w:r>
        <w:rPr>
          <w:rFonts w:ascii="Arial" w:hAnsi="Arial" w:cs="Arial"/>
          <w:sz w:val="18"/>
          <w:szCs w:val="18"/>
        </w:rPr>
        <w:t xml:space="preserve"> 31 January 2019 and on its balance sheet as at that date. The </w:t>
      </w:r>
      <w:r w:rsidR="005A5535">
        <w:rPr>
          <w:rFonts w:ascii="Arial" w:hAnsi="Arial" w:cs="Arial"/>
          <w:sz w:val="18"/>
          <w:szCs w:val="18"/>
        </w:rPr>
        <w:t xml:space="preserve">standard is not expected to result in a material impact on </w:t>
      </w:r>
      <w:r w:rsidR="00BB1BDD">
        <w:rPr>
          <w:rFonts w:ascii="Arial" w:hAnsi="Arial" w:cs="Arial"/>
          <w:sz w:val="18"/>
          <w:szCs w:val="18"/>
        </w:rPr>
        <w:t xml:space="preserve">restated </w:t>
      </w:r>
      <w:r w:rsidRPr="00DC06E1">
        <w:rPr>
          <w:rFonts w:ascii="Arial" w:hAnsi="Arial" w:cs="Arial"/>
          <w:sz w:val="18"/>
          <w:szCs w:val="18"/>
        </w:rPr>
        <w:t xml:space="preserve">underlying profit before tax. It is expected that the right-of-use asset recognised on the </w:t>
      </w:r>
      <w:r w:rsidR="00BB1BDD">
        <w:rPr>
          <w:rFonts w:ascii="Arial" w:hAnsi="Arial" w:cs="Arial"/>
          <w:sz w:val="18"/>
          <w:szCs w:val="18"/>
        </w:rPr>
        <w:t xml:space="preserve">restated </w:t>
      </w:r>
      <w:r w:rsidRPr="00DC06E1">
        <w:rPr>
          <w:rFonts w:ascii="Arial" w:hAnsi="Arial" w:cs="Arial"/>
          <w:sz w:val="18"/>
          <w:szCs w:val="18"/>
        </w:rPr>
        <w:t>balance sheet as at 31 January 2019 will be c.£</w:t>
      </w:r>
      <w:r w:rsidR="00534519">
        <w:rPr>
          <w:rFonts w:ascii="Arial" w:hAnsi="Arial" w:cs="Arial"/>
          <w:sz w:val="18"/>
          <w:szCs w:val="18"/>
        </w:rPr>
        <w:t>2.0</w:t>
      </w:r>
      <w:r w:rsidRPr="00DC06E1">
        <w:rPr>
          <w:rFonts w:ascii="Arial" w:hAnsi="Arial" w:cs="Arial"/>
          <w:sz w:val="18"/>
          <w:szCs w:val="18"/>
        </w:rPr>
        <w:t>bn</w:t>
      </w:r>
      <w:r>
        <w:rPr>
          <w:rFonts w:ascii="Arial" w:hAnsi="Arial" w:cs="Arial"/>
          <w:sz w:val="18"/>
          <w:szCs w:val="18"/>
        </w:rPr>
        <w:t>, whilst the lease liability will be c.£2.6bn.</w:t>
      </w:r>
    </w:p>
    <w:p w14:paraId="7262E309" w14:textId="77777777" w:rsidR="006A6797" w:rsidRDefault="006A6797" w:rsidP="006A6797"/>
    <w:p w14:paraId="338F7178" w14:textId="77777777" w:rsidR="000E059D" w:rsidRDefault="000E059D">
      <w:pPr>
        <w:rPr>
          <w:rFonts w:ascii="Arial" w:hAnsi="Arial" w:cs="Arial"/>
          <w:i/>
          <w:sz w:val="18"/>
          <w:szCs w:val="18"/>
        </w:rPr>
      </w:pPr>
      <w:r>
        <w:rPr>
          <w:rFonts w:ascii="Arial" w:hAnsi="Arial" w:cs="Arial"/>
          <w:i/>
          <w:sz w:val="18"/>
          <w:szCs w:val="18"/>
        </w:rPr>
        <w:br w:type="page"/>
      </w:r>
    </w:p>
    <w:p w14:paraId="56ACD7F7" w14:textId="0C451E45" w:rsidR="006A6797" w:rsidRPr="00DC06E1" w:rsidRDefault="006A6797" w:rsidP="006A6797">
      <w:pPr>
        <w:rPr>
          <w:rFonts w:ascii="Arial" w:hAnsi="Arial" w:cs="Arial"/>
          <w:i/>
          <w:sz w:val="18"/>
          <w:szCs w:val="18"/>
        </w:rPr>
      </w:pPr>
      <w:r w:rsidRPr="00DC06E1">
        <w:rPr>
          <w:rFonts w:ascii="Arial" w:hAnsi="Arial" w:cs="Arial"/>
          <w:i/>
          <w:sz w:val="18"/>
          <w:szCs w:val="18"/>
        </w:rPr>
        <w:lastRenderedPageBreak/>
        <w:t xml:space="preserve">IFRS 16 </w:t>
      </w:r>
      <w:r w:rsidR="00261128">
        <w:rPr>
          <w:rFonts w:ascii="Arial" w:hAnsi="Arial" w:cs="Arial"/>
          <w:i/>
          <w:sz w:val="18"/>
          <w:szCs w:val="18"/>
        </w:rPr>
        <w:t xml:space="preserve">indicative </w:t>
      </w:r>
      <w:r w:rsidRPr="00DC06E1">
        <w:rPr>
          <w:rFonts w:ascii="Arial" w:hAnsi="Arial" w:cs="Arial"/>
          <w:i/>
          <w:sz w:val="18"/>
          <w:szCs w:val="18"/>
        </w:rPr>
        <w:t xml:space="preserve">impact on </w:t>
      </w:r>
      <w:r>
        <w:rPr>
          <w:rFonts w:ascii="Arial" w:hAnsi="Arial" w:cs="Arial"/>
          <w:i/>
          <w:sz w:val="18"/>
          <w:szCs w:val="18"/>
        </w:rPr>
        <w:t xml:space="preserve">FY 2018/19 </w:t>
      </w:r>
      <w:r w:rsidRPr="00DC06E1">
        <w:rPr>
          <w:rFonts w:ascii="Arial" w:hAnsi="Arial" w:cs="Arial"/>
          <w:i/>
          <w:sz w:val="18"/>
          <w:szCs w:val="18"/>
        </w:rPr>
        <w:t>income statement</w:t>
      </w:r>
    </w:p>
    <w:p w14:paraId="3FE5F6C6" w14:textId="77777777" w:rsidR="006A6797" w:rsidRDefault="006A6797" w:rsidP="006A6797"/>
    <w:tbl>
      <w:tblPr>
        <w:tblW w:w="9234" w:type="dxa"/>
        <w:tblLook w:val="04A0" w:firstRow="1" w:lastRow="0" w:firstColumn="1" w:lastColumn="0" w:noHBand="0" w:noVBand="1"/>
      </w:tblPr>
      <w:tblGrid>
        <w:gridCol w:w="4724"/>
        <w:gridCol w:w="1446"/>
        <w:gridCol w:w="1618"/>
        <w:gridCol w:w="1446"/>
      </w:tblGrid>
      <w:tr w:rsidR="006A6797" w:rsidRPr="00491202" w14:paraId="11BA704F" w14:textId="77777777" w:rsidTr="00085137">
        <w:trPr>
          <w:trHeight w:val="256"/>
        </w:trPr>
        <w:tc>
          <w:tcPr>
            <w:tcW w:w="4724" w:type="dxa"/>
            <w:tcBorders>
              <w:top w:val="nil"/>
              <w:left w:val="nil"/>
              <w:bottom w:val="nil"/>
              <w:right w:val="nil"/>
            </w:tcBorders>
            <w:shd w:val="clear" w:color="000000" w:fill="FFFFFF"/>
            <w:noWrap/>
            <w:vAlign w:val="bottom"/>
            <w:hideMark/>
          </w:tcPr>
          <w:p w14:paraId="7438CDD0" w14:textId="77777777" w:rsidR="006A6797" w:rsidRPr="00491202" w:rsidRDefault="006A6797" w:rsidP="00085137">
            <w:pPr>
              <w:rPr>
                <w:rFonts w:ascii="Arial" w:hAnsi="Arial" w:cs="Arial"/>
                <w:b/>
                <w:bCs/>
                <w:sz w:val="18"/>
                <w:szCs w:val="16"/>
              </w:rPr>
            </w:pPr>
            <w:r w:rsidRPr="00491202">
              <w:rPr>
                <w:rFonts w:ascii="Arial" w:hAnsi="Arial" w:cs="Arial"/>
                <w:b/>
                <w:bCs/>
                <w:sz w:val="18"/>
                <w:szCs w:val="16"/>
              </w:rPr>
              <w:t>£m</w:t>
            </w:r>
          </w:p>
        </w:tc>
        <w:tc>
          <w:tcPr>
            <w:tcW w:w="1446" w:type="dxa"/>
            <w:tcBorders>
              <w:top w:val="nil"/>
              <w:left w:val="nil"/>
              <w:bottom w:val="nil"/>
              <w:right w:val="nil"/>
            </w:tcBorders>
            <w:shd w:val="clear" w:color="000000" w:fill="FFFFFF"/>
            <w:noWrap/>
            <w:vAlign w:val="bottom"/>
            <w:hideMark/>
          </w:tcPr>
          <w:p w14:paraId="423C9422" w14:textId="77777777" w:rsidR="006A6797" w:rsidRPr="00491202" w:rsidRDefault="006A6797" w:rsidP="00085137">
            <w:pPr>
              <w:jc w:val="center"/>
              <w:rPr>
                <w:rFonts w:ascii="Arial" w:hAnsi="Arial" w:cs="Arial"/>
                <w:b/>
                <w:bCs/>
                <w:sz w:val="18"/>
                <w:szCs w:val="16"/>
              </w:rPr>
            </w:pPr>
            <w:r w:rsidRPr="00491202">
              <w:rPr>
                <w:rFonts w:ascii="Arial" w:hAnsi="Arial" w:cs="Arial"/>
                <w:b/>
                <w:bCs/>
                <w:sz w:val="18"/>
                <w:szCs w:val="16"/>
              </w:rPr>
              <w:t>IAS 17</w:t>
            </w:r>
          </w:p>
        </w:tc>
        <w:tc>
          <w:tcPr>
            <w:tcW w:w="1618" w:type="dxa"/>
            <w:tcBorders>
              <w:top w:val="nil"/>
              <w:left w:val="nil"/>
              <w:bottom w:val="nil"/>
              <w:right w:val="nil"/>
            </w:tcBorders>
            <w:shd w:val="clear" w:color="000000" w:fill="FFFFFF"/>
            <w:noWrap/>
            <w:vAlign w:val="bottom"/>
            <w:hideMark/>
          </w:tcPr>
          <w:p w14:paraId="290BA1A9" w14:textId="77777777" w:rsidR="006A6797" w:rsidRPr="00491202" w:rsidRDefault="006A6797" w:rsidP="00085137">
            <w:pPr>
              <w:jc w:val="center"/>
              <w:rPr>
                <w:rFonts w:ascii="Arial" w:hAnsi="Arial" w:cs="Arial"/>
                <w:b/>
                <w:bCs/>
                <w:sz w:val="18"/>
                <w:szCs w:val="16"/>
              </w:rPr>
            </w:pPr>
            <w:r w:rsidRPr="00491202">
              <w:rPr>
                <w:rFonts w:ascii="Arial" w:hAnsi="Arial" w:cs="Arial"/>
                <w:b/>
                <w:bCs/>
                <w:sz w:val="18"/>
                <w:szCs w:val="16"/>
              </w:rPr>
              <w:t>Adjustment</w:t>
            </w:r>
            <w:r>
              <w:rPr>
                <w:rFonts w:ascii="Arial" w:hAnsi="Arial" w:cs="Arial"/>
                <w:b/>
                <w:bCs/>
                <w:sz w:val="18"/>
                <w:szCs w:val="16"/>
              </w:rPr>
              <w:t xml:space="preserve"> </w:t>
            </w:r>
            <w:r w:rsidRPr="00FB3444">
              <w:rPr>
                <w:rFonts w:ascii="Arial" w:hAnsi="Arial" w:cs="Arial"/>
                <w:b/>
                <w:bCs/>
                <w:sz w:val="18"/>
                <w:szCs w:val="16"/>
                <w:vertAlign w:val="superscript"/>
              </w:rPr>
              <w:t>(1)</w:t>
            </w:r>
          </w:p>
        </w:tc>
        <w:tc>
          <w:tcPr>
            <w:tcW w:w="1446" w:type="dxa"/>
            <w:tcBorders>
              <w:top w:val="nil"/>
              <w:left w:val="nil"/>
              <w:bottom w:val="nil"/>
              <w:right w:val="nil"/>
            </w:tcBorders>
            <w:shd w:val="clear" w:color="000000" w:fill="FFFFFF"/>
            <w:noWrap/>
            <w:vAlign w:val="bottom"/>
            <w:hideMark/>
          </w:tcPr>
          <w:p w14:paraId="3E45AAE9" w14:textId="77777777" w:rsidR="006A6797" w:rsidRPr="00491202" w:rsidRDefault="006A6797" w:rsidP="00085137">
            <w:pPr>
              <w:jc w:val="center"/>
              <w:rPr>
                <w:rFonts w:ascii="Arial" w:hAnsi="Arial" w:cs="Arial"/>
                <w:b/>
                <w:bCs/>
                <w:sz w:val="18"/>
                <w:szCs w:val="16"/>
              </w:rPr>
            </w:pPr>
            <w:r w:rsidRPr="00491202">
              <w:rPr>
                <w:rFonts w:ascii="Arial" w:hAnsi="Arial" w:cs="Arial"/>
                <w:b/>
                <w:bCs/>
                <w:sz w:val="18"/>
                <w:szCs w:val="16"/>
              </w:rPr>
              <w:t>IFRS 16</w:t>
            </w:r>
          </w:p>
        </w:tc>
      </w:tr>
      <w:tr w:rsidR="006A6797" w:rsidRPr="00491202" w14:paraId="6FD8297E" w14:textId="77777777" w:rsidTr="00085137">
        <w:trPr>
          <w:trHeight w:val="256"/>
        </w:trPr>
        <w:tc>
          <w:tcPr>
            <w:tcW w:w="4724" w:type="dxa"/>
            <w:tcBorders>
              <w:top w:val="nil"/>
              <w:left w:val="nil"/>
              <w:bottom w:val="nil"/>
              <w:right w:val="nil"/>
            </w:tcBorders>
            <w:shd w:val="clear" w:color="000000" w:fill="FFFFFF"/>
            <w:noWrap/>
            <w:vAlign w:val="bottom"/>
            <w:hideMark/>
          </w:tcPr>
          <w:p w14:paraId="38733B00" w14:textId="77777777" w:rsidR="006A6797" w:rsidRPr="00491202" w:rsidRDefault="006A6797" w:rsidP="00085137">
            <w:pPr>
              <w:rPr>
                <w:rFonts w:ascii="Arial" w:hAnsi="Arial" w:cs="Arial"/>
                <w:b/>
                <w:bCs/>
                <w:sz w:val="18"/>
                <w:szCs w:val="16"/>
              </w:rPr>
            </w:pPr>
            <w:r w:rsidRPr="00491202">
              <w:rPr>
                <w:rFonts w:ascii="Arial" w:hAnsi="Arial" w:cs="Arial"/>
                <w:b/>
                <w:bCs/>
                <w:sz w:val="18"/>
                <w:szCs w:val="16"/>
              </w:rPr>
              <w:t> </w:t>
            </w:r>
          </w:p>
        </w:tc>
        <w:tc>
          <w:tcPr>
            <w:tcW w:w="1446" w:type="dxa"/>
            <w:tcBorders>
              <w:top w:val="nil"/>
              <w:left w:val="nil"/>
              <w:bottom w:val="nil"/>
              <w:right w:val="nil"/>
            </w:tcBorders>
            <w:shd w:val="clear" w:color="000000" w:fill="FFFFFF"/>
            <w:noWrap/>
            <w:vAlign w:val="bottom"/>
            <w:hideMark/>
          </w:tcPr>
          <w:p w14:paraId="37AB4099"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 </w:t>
            </w:r>
          </w:p>
        </w:tc>
        <w:tc>
          <w:tcPr>
            <w:tcW w:w="1618" w:type="dxa"/>
            <w:tcBorders>
              <w:top w:val="nil"/>
              <w:left w:val="nil"/>
              <w:bottom w:val="nil"/>
              <w:right w:val="nil"/>
            </w:tcBorders>
            <w:shd w:val="clear" w:color="000000" w:fill="FFFFFF"/>
            <w:noWrap/>
            <w:vAlign w:val="bottom"/>
            <w:hideMark/>
          </w:tcPr>
          <w:p w14:paraId="3FDA0001"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 </w:t>
            </w:r>
          </w:p>
        </w:tc>
        <w:tc>
          <w:tcPr>
            <w:tcW w:w="1446" w:type="dxa"/>
            <w:tcBorders>
              <w:top w:val="nil"/>
              <w:left w:val="nil"/>
              <w:bottom w:val="nil"/>
              <w:right w:val="nil"/>
            </w:tcBorders>
            <w:shd w:val="clear" w:color="000000" w:fill="FFFFFF"/>
            <w:noWrap/>
            <w:vAlign w:val="bottom"/>
            <w:hideMark/>
          </w:tcPr>
          <w:p w14:paraId="293EF8B6"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 </w:t>
            </w:r>
          </w:p>
        </w:tc>
      </w:tr>
      <w:tr w:rsidR="006A6797" w:rsidRPr="00491202" w14:paraId="5D598E14" w14:textId="77777777" w:rsidTr="00085137">
        <w:trPr>
          <w:trHeight w:val="256"/>
        </w:trPr>
        <w:tc>
          <w:tcPr>
            <w:tcW w:w="4724" w:type="dxa"/>
            <w:tcBorders>
              <w:top w:val="nil"/>
              <w:left w:val="nil"/>
              <w:bottom w:val="single" w:sz="4" w:space="0" w:color="auto"/>
              <w:right w:val="nil"/>
            </w:tcBorders>
            <w:shd w:val="clear" w:color="000000" w:fill="FFFFFF"/>
            <w:noWrap/>
            <w:vAlign w:val="bottom"/>
            <w:hideMark/>
          </w:tcPr>
          <w:p w14:paraId="52BCBCA3" w14:textId="751BA0A5" w:rsidR="006A6797" w:rsidRPr="00491202" w:rsidRDefault="005367F9" w:rsidP="00085137">
            <w:pPr>
              <w:rPr>
                <w:rFonts w:ascii="Arial" w:hAnsi="Arial" w:cs="Arial"/>
                <w:b/>
                <w:bCs/>
                <w:sz w:val="18"/>
                <w:szCs w:val="16"/>
              </w:rPr>
            </w:pPr>
            <w:r>
              <w:rPr>
                <w:rFonts w:ascii="Arial" w:hAnsi="Arial" w:cs="Arial"/>
                <w:b/>
                <w:bCs/>
                <w:sz w:val="18"/>
                <w:szCs w:val="16"/>
              </w:rPr>
              <w:t>Sales</w:t>
            </w:r>
          </w:p>
        </w:tc>
        <w:tc>
          <w:tcPr>
            <w:tcW w:w="1446" w:type="dxa"/>
            <w:tcBorders>
              <w:top w:val="nil"/>
              <w:left w:val="nil"/>
              <w:bottom w:val="single" w:sz="4" w:space="0" w:color="auto"/>
              <w:right w:val="nil"/>
            </w:tcBorders>
            <w:shd w:val="clear" w:color="000000" w:fill="FFFFFF"/>
            <w:noWrap/>
            <w:vAlign w:val="bottom"/>
            <w:hideMark/>
          </w:tcPr>
          <w:p w14:paraId="2D9D886A" w14:textId="77777777" w:rsidR="006A6797" w:rsidRPr="00491202" w:rsidRDefault="006A6797" w:rsidP="00085137">
            <w:pPr>
              <w:jc w:val="center"/>
              <w:rPr>
                <w:rFonts w:ascii="Arial" w:hAnsi="Arial" w:cs="Arial"/>
                <w:b/>
                <w:bCs/>
                <w:sz w:val="18"/>
                <w:szCs w:val="16"/>
              </w:rPr>
            </w:pPr>
            <w:r w:rsidRPr="00491202">
              <w:rPr>
                <w:rFonts w:ascii="Arial" w:hAnsi="Arial" w:cs="Arial"/>
                <w:b/>
                <w:bCs/>
                <w:sz w:val="18"/>
                <w:szCs w:val="16"/>
              </w:rPr>
              <w:t>11,685</w:t>
            </w:r>
          </w:p>
        </w:tc>
        <w:tc>
          <w:tcPr>
            <w:tcW w:w="1618" w:type="dxa"/>
            <w:tcBorders>
              <w:top w:val="nil"/>
              <w:left w:val="nil"/>
              <w:bottom w:val="single" w:sz="4" w:space="0" w:color="auto"/>
              <w:right w:val="nil"/>
            </w:tcBorders>
            <w:shd w:val="clear" w:color="000000" w:fill="FFFFFF"/>
            <w:noWrap/>
            <w:vAlign w:val="bottom"/>
            <w:hideMark/>
          </w:tcPr>
          <w:p w14:paraId="0F872420" w14:textId="77777777" w:rsidR="006A6797" w:rsidRPr="00491202" w:rsidRDefault="006A6797" w:rsidP="00085137">
            <w:pPr>
              <w:jc w:val="center"/>
              <w:rPr>
                <w:rFonts w:ascii="Arial" w:hAnsi="Arial" w:cs="Arial"/>
                <w:b/>
                <w:bCs/>
                <w:sz w:val="18"/>
                <w:szCs w:val="16"/>
              </w:rPr>
            </w:pPr>
            <w:r w:rsidRPr="00491202">
              <w:rPr>
                <w:rFonts w:ascii="Arial" w:hAnsi="Arial" w:cs="Arial"/>
                <w:b/>
                <w:bCs/>
                <w:sz w:val="18"/>
                <w:szCs w:val="16"/>
              </w:rPr>
              <w:t>-</w:t>
            </w:r>
          </w:p>
        </w:tc>
        <w:tc>
          <w:tcPr>
            <w:tcW w:w="1446" w:type="dxa"/>
            <w:tcBorders>
              <w:top w:val="nil"/>
              <w:left w:val="nil"/>
              <w:bottom w:val="single" w:sz="4" w:space="0" w:color="auto"/>
              <w:right w:val="nil"/>
            </w:tcBorders>
            <w:shd w:val="clear" w:color="000000" w:fill="FFFFFF"/>
            <w:noWrap/>
            <w:vAlign w:val="bottom"/>
            <w:hideMark/>
          </w:tcPr>
          <w:p w14:paraId="4E819C64" w14:textId="77777777" w:rsidR="006A6797" w:rsidRPr="00491202" w:rsidRDefault="006A6797" w:rsidP="00085137">
            <w:pPr>
              <w:jc w:val="center"/>
              <w:rPr>
                <w:rFonts w:ascii="Arial" w:hAnsi="Arial" w:cs="Arial"/>
                <w:b/>
                <w:bCs/>
                <w:sz w:val="18"/>
                <w:szCs w:val="16"/>
              </w:rPr>
            </w:pPr>
            <w:r w:rsidRPr="00491202">
              <w:rPr>
                <w:rFonts w:ascii="Arial" w:hAnsi="Arial" w:cs="Arial"/>
                <w:b/>
                <w:bCs/>
                <w:sz w:val="18"/>
                <w:szCs w:val="16"/>
              </w:rPr>
              <w:t>11,685</w:t>
            </w:r>
          </w:p>
        </w:tc>
      </w:tr>
      <w:tr w:rsidR="006A6797" w:rsidRPr="00491202" w14:paraId="608E9916" w14:textId="77777777" w:rsidTr="00085137">
        <w:trPr>
          <w:trHeight w:val="256"/>
        </w:trPr>
        <w:tc>
          <w:tcPr>
            <w:tcW w:w="4724" w:type="dxa"/>
            <w:tcBorders>
              <w:top w:val="nil"/>
              <w:left w:val="nil"/>
              <w:bottom w:val="nil"/>
              <w:right w:val="nil"/>
            </w:tcBorders>
            <w:shd w:val="clear" w:color="000000" w:fill="FFFFFF"/>
            <w:noWrap/>
            <w:vAlign w:val="bottom"/>
            <w:hideMark/>
          </w:tcPr>
          <w:p w14:paraId="4FAC88BB" w14:textId="77777777" w:rsidR="006A6797" w:rsidRPr="00491202" w:rsidRDefault="006A6797" w:rsidP="00085137">
            <w:pPr>
              <w:rPr>
                <w:rFonts w:ascii="Arial" w:hAnsi="Arial" w:cs="Arial"/>
                <w:b/>
                <w:bCs/>
                <w:sz w:val="18"/>
                <w:szCs w:val="16"/>
              </w:rPr>
            </w:pPr>
            <w:r w:rsidRPr="00491202">
              <w:rPr>
                <w:rFonts w:ascii="Arial" w:hAnsi="Arial" w:cs="Arial"/>
                <w:b/>
                <w:bCs/>
                <w:sz w:val="18"/>
                <w:szCs w:val="16"/>
              </w:rPr>
              <w:t>Retail profit</w:t>
            </w:r>
          </w:p>
        </w:tc>
        <w:tc>
          <w:tcPr>
            <w:tcW w:w="1446" w:type="dxa"/>
            <w:tcBorders>
              <w:top w:val="nil"/>
              <w:left w:val="nil"/>
              <w:bottom w:val="nil"/>
              <w:right w:val="nil"/>
            </w:tcBorders>
            <w:shd w:val="clear" w:color="000000" w:fill="FFFFFF"/>
            <w:noWrap/>
            <w:vAlign w:val="bottom"/>
            <w:hideMark/>
          </w:tcPr>
          <w:p w14:paraId="29064441" w14:textId="77777777" w:rsidR="006A6797" w:rsidRPr="00491202" w:rsidRDefault="006A6797" w:rsidP="00085137">
            <w:pPr>
              <w:jc w:val="center"/>
              <w:rPr>
                <w:rFonts w:ascii="Arial" w:hAnsi="Arial" w:cs="Arial"/>
                <w:b/>
                <w:bCs/>
                <w:sz w:val="18"/>
                <w:szCs w:val="16"/>
              </w:rPr>
            </w:pPr>
            <w:r w:rsidRPr="00491202">
              <w:rPr>
                <w:rFonts w:ascii="Arial" w:hAnsi="Arial" w:cs="Arial"/>
                <w:b/>
                <w:bCs/>
                <w:sz w:val="18"/>
                <w:szCs w:val="16"/>
              </w:rPr>
              <w:t>75</w:t>
            </w:r>
            <w:r>
              <w:rPr>
                <w:rFonts w:ascii="Arial" w:hAnsi="Arial" w:cs="Arial"/>
                <w:b/>
                <w:bCs/>
                <w:sz w:val="18"/>
                <w:szCs w:val="16"/>
              </w:rPr>
              <w:t>3</w:t>
            </w:r>
          </w:p>
        </w:tc>
        <w:tc>
          <w:tcPr>
            <w:tcW w:w="1618" w:type="dxa"/>
            <w:tcBorders>
              <w:top w:val="nil"/>
              <w:left w:val="nil"/>
              <w:bottom w:val="nil"/>
              <w:right w:val="nil"/>
            </w:tcBorders>
            <w:shd w:val="clear" w:color="000000" w:fill="FFFFFF"/>
            <w:noWrap/>
            <w:vAlign w:val="bottom"/>
            <w:hideMark/>
          </w:tcPr>
          <w:p w14:paraId="70752EAD" w14:textId="77777777" w:rsidR="006A6797" w:rsidRPr="00491202" w:rsidRDefault="006A6797" w:rsidP="00085137">
            <w:pPr>
              <w:jc w:val="center"/>
              <w:rPr>
                <w:rFonts w:ascii="Arial" w:hAnsi="Arial" w:cs="Arial"/>
                <w:b/>
                <w:bCs/>
                <w:sz w:val="18"/>
                <w:szCs w:val="16"/>
              </w:rPr>
            </w:pPr>
            <w:r w:rsidRPr="00491202">
              <w:rPr>
                <w:rFonts w:ascii="Arial" w:hAnsi="Arial" w:cs="Arial"/>
                <w:b/>
                <w:bCs/>
                <w:sz w:val="18"/>
                <w:szCs w:val="16"/>
              </w:rPr>
              <w:t>160</w:t>
            </w:r>
          </w:p>
        </w:tc>
        <w:tc>
          <w:tcPr>
            <w:tcW w:w="1446" w:type="dxa"/>
            <w:tcBorders>
              <w:top w:val="nil"/>
              <w:left w:val="nil"/>
              <w:bottom w:val="nil"/>
              <w:right w:val="nil"/>
            </w:tcBorders>
            <w:shd w:val="clear" w:color="000000" w:fill="FFFFFF"/>
            <w:noWrap/>
            <w:vAlign w:val="bottom"/>
            <w:hideMark/>
          </w:tcPr>
          <w:p w14:paraId="5A8CA479" w14:textId="77777777" w:rsidR="006A6797" w:rsidRPr="00491202" w:rsidRDefault="006A6797" w:rsidP="00085137">
            <w:pPr>
              <w:jc w:val="center"/>
              <w:rPr>
                <w:rFonts w:ascii="Arial" w:hAnsi="Arial" w:cs="Arial"/>
                <w:b/>
                <w:bCs/>
                <w:sz w:val="18"/>
                <w:szCs w:val="16"/>
              </w:rPr>
            </w:pPr>
            <w:r w:rsidRPr="00491202">
              <w:rPr>
                <w:rFonts w:ascii="Arial" w:hAnsi="Arial" w:cs="Arial"/>
                <w:b/>
                <w:bCs/>
                <w:sz w:val="18"/>
                <w:szCs w:val="16"/>
              </w:rPr>
              <w:t>91</w:t>
            </w:r>
            <w:r>
              <w:rPr>
                <w:rFonts w:ascii="Arial" w:hAnsi="Arial" w:cs="Arial"/>
                <w:b/>
                <w:bCs/>
                <w:sz w:val="18"/>
                <w:szCs w:val="16"/>
              </w:rPr>
              <w:t>3</w:t>
            </w:r>
          </w:p>
        </w:tc>
      </w:tr>
      <w:tr w:rsidR="006A6797" w:rsidRPr="00491202" w14:paraId="0D214D44" w14:textId="77777777" w:rsidTr="00085137">
        <w:trPr>
          <w:trHeight w:val="256"/>
        </w:trPr>
        <w:tc>
          <w:tcPr>
            <w:tcW w:w="4724" w:type="dxa"/>
            <w:tcBorders>
              <w:top w:val="nil"/>
              <w:left w:val="nil"/>
              <w:bottom w:val="nil"/>
              <w:right w:val="nil"/>
            </w:tcBorders>
            <w:shd w:val="clear" w:color="000000" w:fill="FFFFFF"/>
            <w:noWrap/>
            <w:vAlign w:val="bottom"/>
            <w:hideMark/>
          </w:tcPr>
          <w:p w14:paraId="5993C6BE" w14:textId="47F75D6A" w:rsidR="006A6797" w:rsidRPr="00491202" w:rsidRDefault="006A6797" w:rsidP="00085137">
            <w:pPr>
              <w:rPr>
                <w:rFonts w:ascii="Arial" w:hAnsi="Arial" w:cs="Arial"/>
                <w:sz w:val="18"/>
                <w:szCs w:val="16"/>
              </w:rPr>
            </w:pPr>
            <w:r w:rsidRPr="00491202">
              <w:rPr>
                <w:rFonts w:ascii="Arial" w:hAnsi="Arial" w:cs="Arial"/>
                <w:sz w:val="18"/>
                <w:szCs w:val="16"/>
              </w:rPr>
              <w:t>Central costs</w:t>
            </w:r>
            <w:r w:rsidR="0027420C">
              <w:rPr>
                <w:rFonts w:ascii="Arial" w:hAnsi="Arial" w:cs="Arial"/>
                <w:sz w:val="18"/>
                <w:szCs w:val="16"/>
              </w:rPr>
              <w:t>, joint venture</w:t>
            </w:r>
            <w:r w:rsidRPr="00491202">
              <w:rPr>
                <w:rFonts w:ascii="Arial" w:hAnsi="Arial" w:cs="Arial"/>
                <w:sz w:val="18"/>
                <w:szCs w:val="16"/>
              </w:rPr>
              <w:t>/associate interest</w:t>
            </w:r>
            <w:r w:rsidR="0027420C">
              <w:rPr>
                <w:rFonts w:ascii="Arial" w:hAnsi="Arial" w:cs="Arial"/>
                <w:sz w:val="18"/>
                <w:szCs w:val="16"/>
              </w:rPr>
              <w:t xml:space="preserve"> and </w:t>
            </w:r>
            <w:r w:rsidRPr="00491202">
              <w:rPr>
                <w:rFonts w:ascii="Arial" w:hAnsi="Arial" w:cs="Arial"/>
                <w:sz w:val="18"/>
                <w:szCs w:val="16"/>
              </w:rPr>
              <w:t>tax</w:t>
            </w:r>
          </w:p>
        </w:tc>
        <w:tc>
          <w:tcPr>
            <w:tcW w:w="1446" w:type="dxa"/>
            <w:tcBorders>
              <w:top w:val="nil"/>
              <w:left w:val="nil"/>
              <w:bottom w:val="nil"/>
              <w:right w:val="nil"/>
            </w:tcBorders>
            <w:shd w:val="clear" w:color="000000" w:fill="FFFFFF"/>
            <w:noWrap/>
            <w:vAlign w:val="bottom"/>
            <w:hideMark/>
          </w:tcPr>
          <w:p w14:paraId="153C5A7E" w14:textId="77777777" w:rsidR="006A6797" w:rsidRPr="00491202" w:rsidRDefault="006A6797" w:rsidP="00085137">
            <w:pPr>
              <w:jc w:val="center"/>
              <w:rPr>
                <w:rFonts w:ascii="Arial" w:hAnsi="Arial" w:cs="Arial"/>
                <w:sz w:val="18"/>
                <w:szCs w:val="16"/>
              </w:rPr>
            </w:pPr>
            <w:r w:rsidRPr="00067BBD">
              <w:rPr>
                <w:rFonts w:ascii="Arial" w:hAnsi="Arial" w:cs="Arial"/>
                <w:sz w:val="18"/>
                <w:szCs w:val="16"/>
              </w:rPr>
              <w:t>(53)</w:t>
            </w:r>
          </w:p>
        </w:tc>
        <w:tc>
          <w:tcPr>
            <w:tcW w:w="1618" w:type="dxa"/>
            <w:tcBorders>
              <w:top w:val="nil"/>
              <w:left w:val="nil"/>
              <w:bottom w:val="nil"/>
              <w:right w:val="nil"/>
            </w:tcBorders>
            <w:shd w:val="clear" w:color="000000" w:fill="FFFFFF"/>
            <w:noWrap/>
            <w:vAlign w:val="bottom"/>
            <w:hideMark/>
          </w:tcPr>
          <w:p w14:paraId="476843BA"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w:t>
            </w:r>
          </w:p>
        </w:tc>
        <w:tc>
          <w:tcPr>
            <w:tcW w:w="1446" w:type="dxa"/>
            <w:tcBorders>
              <w:top w:val="nil"/>
              <w:left w:val="nil"/>
              <w:bottom w:val="nil"/>
              <w:right w:val="nil"/>
            </w:tcBorders>
            <w:shd w:val="clear" w:color="000000" w:fill="FFFFFF"/>
            <w:noWrap/>
            <w:vAlign w:val="bottom"/>
            <w:hideMark/>
          </w:tcPr>
          <w:p w14:paraId="05FB1A01"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(53)</w:t>
            </w:r>
          </w:p>
        </w:tc>
      </w:tr>
      <w:tr w:rsidR="006A6797" w:rsidRPr="00491202" w14:paraId="7B9A066B" w14:textId="77777777" w:rsidTr="00085137">
        <w:trPr>
          <w:trHeight w:val="256"/>
        </w:trPr>
        <w:tc>
          <w:tcPr>
            <w:tcW w:w="4724" w:type="dxa"/>
            <w:tcBorders>
              <w:top w:val="nil"/>
              <w:left w:val="nil"/>
              <w:bottom w:val="single" w:sz="4" w:space="0" w:color="auto"/>
              <w:right w:val="nil"/>
            </w:tcBorders>
            <w:shd w:val="clear" w:color="000000" w:fill="FFFFFF"/>
            <w:noWrap/>
            <w:vAlign w:val="bottom"/>
            <w:hideMark/>
          </w:tcPr>
          <w:p w14:paraId="519DE652" w14:textId="77C784D2" w:rsidR="006A6797" w:rsidRPr="00491202" w:rsidRDefault="000F70AA" w:rsidP="00085137">
            <w:pPr>
              <w:rPr>
                <w:rFonts w:ascii="Arial" w:hAnsi="Arial" w:cs="Arial"/>
                <w:sz w:val="18"/>
                <w:szCs w:val="16"/>
              </w:rPr>
            </w:pPr>
            <w:r>
              <w:rPr>
                <w:rFonts w:ascii="Arial" w:hAnsi="Arial" w:cs="Arial"/>
                <w:sz w:val="18"/>
                <w:szCs w:val="16"/>
              </w:rPr>
              <w:t>Finance costs</w:t>
            </w:r>
            <w:r w:rsidRPr="00491202">
              <w:rPr>
                <w:rFonts w:ascii="Arial" w:hAnsi="Arial" w:cs="Arial"/>
                <w:sz w:val="18"/>
                <w:szCs w:val="16"/>
              </w:rPr>
              <w:t xml:space="preserve"> </w:t>
            </w:r>
            <w:r w:rsidR="006A6797" w:rsidRPr="00491202">
              <w:rPr>
                <w:rFonts w:ascii="Arial" w:hAnsi="Arial" w:cs="Arial"/>
                <w:sz w:val="18"/>
                <w:szCs w:val="16"/>
              </w:rPr>
              <w:t>(excl. lease FX)</w:t>
            </w:r>
            <w:r w:rsidR="006A6797">
              <w:rPr>
                <w:rFonts w:ascii="Arial" w:hAnsi="Arial" w:cs="Arial"/>
                <w:sz w:val="18"/>
                <w:szCs w:val="16"/>
              </w:rPr>
              <w:t xml:space="preserve"> </w:t>
            </w:r>
            <w:r w:rsidR="006A6797" w:rsidRPr="00607CCC">
              <w:rPr>
                <w:rFonts w:ascii="Arial" w:hAnsi="Arial" w:cs="Arial"/>
                <w:sz w:val="18"/>
                <w:szCs w:val="16"/>
                <w:vertAlign w:val="superscript"/>
              </w:rPr>
              <w:t>(2)</w:t>
            </w:r>
          </w:p>
        </w:tc>
        <w:tc>
          <w:tcPr>
            <w:tcW w:w="1446" w:type="dxa"/>
            <w:tcBorders>
              <w:top w:val="nil"/>
              <w:left w:val="nil"/>
              <w:bottom w:val="single" w:sz="4" w:space="0" w:color="auto"/>
              <w:right w:val="nil"/>
            </w:tcBorders>
            <w:shd w:val="clear" w:color="000000" w:fill="FFFFFF"/>
            <w:noWrap/>
            <w:vAlign w:val="bottom"/>
            <w:hideMark/>
          </w:tcPr>
          <w:p w14:paraId="3199AF9B"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(7)</w:t>
            </w:r>
          </w:p>
        </w:tc>
        <w:tc>
          <w:tcPr>
            <w:tcW w:w="1618" w:type="dxa"/>
            <w:tcBorders>
              <w:top w:val="nil"/>
              <w:left w:val="nil"/>
              <w:bottom w:val="single" w:sz="4" w:space="0" w:color="auto"/>
              <w:right w:val="nil"/>
            </w:tcBorders>
            <w:shd w:val="clear" w:color="000000" w:fill="FFFFFF"/>
            <w:noWrap/>
            <w:vAlign w:val="bottom"/>
            <w:hideMark/>
          </w:tcPr>
          <w:p w14:paraId="6FF2A2A6"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(170)</w:t>
            </w:r>
          </w:p>
        </w:tc>
        <w:tc>
          <w:tcPr>
            <w:tcW w:w="1446" w:type="dxa"/>
            <w:tcBorders>
              <w:top w:val="nil"/>
              <w:left w:val="nil"/>
              <w:bottom w:val="single" w:sz="4" w:space="0" w:color="auto"/>
              <w:right w:val="nil"/>
            </w:tcBorders>
            <w:shd w:val="clear" w:color="000000" w:fill="FFFFFF"/>
            <w:noWrap/>
            <w:vAlign w:val="bottom"/>
            <w:hideMark/>
          </w:tcPr>
          <w:p w14:paraId="4A56B63C"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(177)</w:t>
            </w:r>
          </w:p>
        </w:tc>
      </w:tr>
      <w:tr w:rsidR="006A6797" w:rsidRPr="00491202" w14:paraId="132AFC1A" w14:textId="77777777" w:rsidTr="00085137">
        <w:trPr>
          <w:trHeight w:val="271"/>
        </w:trPr>
        <w:tc>
          <w:tcPr>
            <w:tcW w:w="4724" w:type="dxa"/>
            <w:tcBorders>
              <w:top w:val="nil"/>
              <w:left w:val="nil"/>
              <w:bottom w:val="single" w:sz="12" w:space="0" w:color="auto"/>
              <w:right w:val="nil"/>
            </w:tcBorders>
            <w:shd w:val="clear" w:color="000000" w:fill="FFFFFF"/>
            <w:noWrap/>
            <w:vAlign w:val="bottom"/>
            <w:hideMark/>
          </w:tcPr>
          <w:p w14:paraId="5EF522EB" w14:textId="77777777" w:rsidR="006A6797" w:rsidRPr="00491202" w:rsidRDefault="006A6797" w:rsidP="00085137">
            <w:pPr>
              <w:rPr>
                <w:rFonts w:ascii="Arial" w:hAnsi="Arial" w:cs="Arial"/>
                <w:b/>
                <w:bCs/>
                <w:sz w:val="18"/>
                <w:szCs w:val="16"/>
              </w:rPr>
            </w:pPr>
            <w:r w:rsidRPr="00491202">
              <w:rPr>
                <w:rFonts w:ascii="Arial" w:hAnsi="Arial" w:cs="Arial"/>
                <w:b/>
                <w:bCs/>
                <w:sz w:val="18"/>
                <w:szCs w:val="16"/>
              </w:rPr>
              <w:t>Underlying pre-tax profit</w:t>
            </w:r>
          </w:p>
        </w:tc>
        <w:tc>
          <w:tcPr>
            <w:tcW w:w="1446" w:type="dxa"/>
            <w:tcBorders>
              <w:top w:val="nil"/>
              <w:left w:val="nil"/>
              <w:bottom w:val="single" w:sz="12" w:space="0" w:color="auto"/>
              <w:right w:val="nil"/>
            </w:tcBorders>
            <w:shd w:val="clear" w:color="000000" w:fill="FFFFFF"/>
            <w:noWrap/>
            <w:vAlign w:val="bottom"/>
            <w:hideMark/>
          </w:tcPr>
          <w:p w14:paraId="7D496882" w14:textId="77777777" w:rsidR="006A6797" w:rsidRPr="00491202" w:rsidRDefault="006A6797" w:rsidP="00085137">
            <w:pPr>
              <w:jc w:val="center"/>
              <w:rPr>
                <w:rFonts w:ascii="Arial" w:hAnsi="Arial" w:cs="Arial"/>
                <w:b/>
                <w:bCs/>
                <w:sz w:val="18"/>
                <w:szCs w:val="16"/>
              </w:rPr>
            </w:pPr>
            <w:r w:rsidRPr="00491202">
              <w:rPr>
                <w:rFonts w:ascii="Arial" w:hAnsi="Arial" w:cs="Arial"/>
                <w:b/>
                <w:bCs/>
                <w:sz w:val="18"/>
                <w:szCs w:val="16"/>
              </w:rPr>
              <w:t>69</w:t>
            </w:r>
            <w:r>
              <w:rPr>
                <w:rFonts w:ascii="Arial" w:hAnsi="Arial" w:cs="Arial"/>
                <w:b/>
                <w:bCs/>
                <w:sz w:val="18"/>
                <w:szCs w:val="16"/>
              </w:rPr>
              <w:t>3</w:t>
            </w:r>
          </w:p>
        </w:tc>
        <w:tc>
          <w:tcPr>
            <w:tcW w:w="1618" w:type="dxa"/>
            <w:tcBorders>
              <w:top w:val="nil"/>
              <w:left w:val="nil"/>
              <w:bottom w:val="single" w:sz="12" w:space="0" w:color="auto"/>
              <w:right w:val="nil"/>
            </w:tcBorders>
            <w:shd w:val="clear" w:color="000000" w:fill="FFFFFF"/>
            <w:noWrap/>
            <w:vAlign w:val="bottom"/>
            <w:hideMark/>
          </w:tcPr>
          <w:p w14:paraId="043B4CF3" w14:textId="77777777" w:rsidR="006A6797" w:rsidRPr="00491202" w:rsidRDefault="006A6797" w:rsidP="00085137">
            <w:pPr>
              <w:jc w:val="center"/>
              <w:rPr>
                <w:rFonts w:ascii="Arial" w:hAnsi="Arial" w:cs="Arial"/>
                <w:b/>
                <w:bCs/>
                <w:sz w:val="18"/>
                <w:szCs w:val="16"/>
              </w:rPr>
            </w:pPr>
            <w:r w:rsidRPr="00491202">
              <w:rPr>
                <w:rFonts w:ascii="Arial" w:hAnsi="Arial" w:cs="Arial"/>
                <w:b/>
                <w:bCs/>
                <w:sz w:val="18"/>
                <w:szCs w:val="16"/>
              </w:rPr>
              <w:t>(10)</w:t>
            </w:r>
          </w:p>
        </w:tc>
        <w:tc>
          <w:tcPr>
            <w:tcW w:w="1446" w:type="dxa"/>
            <w:tcBorders>
              <w:top w:val="nil"/>
              <w:left w:val="nil"/>
              <w:bottom w:val="single" w:sz="12" w:space="0" w:color="auto"/>
              <w:right w:val="nil"/>
            </w:tcBorders>
            <w:shd w:val="clear" w:color="000000" w:fill="FFFFFF"/>
            <w:noWrap/>
            <w:vAlign w:val="bottom"/>
            <w:hideMark/>
          </w:tcPr>
          <w:p w14:paraId="7203B45B" w14:textId="77777777" w:rsidR="006A6797" w:rsidRPr="00491202" w:rsidRDefault="006A6797" w:rsidP="00085137">
            <w:pPr>
              <w:jc w:val="center"/>
              <w:rPr>
                <w:rFonts w:ascii="Arial" w:hAnsi="Arial" w:cs="Arial"/>
                <w:b/>
                <w:bCs/>
                <w:sz w:val="18"/>
                <w:szCs w:val="16"/>
              </w:rPr>
            </w:pPr>
            <w:r w:rsidRPr="00491202">
              <w:rPr>
                <w:rFonts w:ascii="Arial" w:hAnsi="Arial" w:cs="Arial"/>
                <w:b/>
                <w:bCs/>
                <w:sz w:val="18"/>
                <w:szCs w:val="16"/>
              </w:rPr>
              <w:t>68</w:t>
            </w:r>
            <w:r>
              <w:rPr>
                <w:rFonts w:ascii="Arial" w:hAnsi="Arial" w:cs="Arial"/>
                <w:b/>
                <w:bCs/>
                <w:sz w:val="18"/>
                <w:szCs w:val="16"/>
              </w:rPr>
              <w:t>3</w:t>
            </w:r>
          </w:p>
        </w:tc>
      </w:tr>
      <w:tr w:rsidR="006A6797" w:rsidRPr="00491202" w14:paraId="6E5A737D" w14:textId="77777777" w:rsidTr="00085137">
        <w:trPr>
          <w:trHeight w:val="256"/>
        </w:trPr>
        <w:tc>
          <w:tcPr>
            <w:tcW w:w="4724" w:type="dxa"/>
            <w:tcBorders>
              <w:top w:val="single" w:sz="12" w:space="0" w:color="auto"/>
              <w:left w:val="nil"/>
              <w:bottom w:val="nil"/>
              <w:right w:val="nil"/>
            </w:tcBorders>
            <w:shd w:val="clear" w:color="000000" w:fill="FFFFFF"/>
            <w:noWrap/>
            <w:vAlign w:val="bottom"/>
            <w:hideMark/>
          </w:tcPr>
          <w:p w14:paraId="73161A6E" w14:textId="77777777" w:rsidR="006A6797" w:rsidRPr="00491202" w:rsidRDefault="006A6797" w:rsidP="00085137">
            <w:pPr>
              <w:rPr>
                <w:rFonts w:ascii="Arial" w:hAnsi="Arial" w:cs="Arial"/>
                <w:sz w:val="18"/>
                <w:szCs w:val="16"/>
              </w:rPr>
            </w:pPr>
            <w:r w:rsidRPr="00491202">
              <w:rPr>
                <w:rFonts w:ascii="Arial" w:hAnsi="Arial" w:cs="Arial"/>
                <w:sz w:val="18"/>
                <w:szCs w:val="16"/>
              </w:rPr>
              <w:t> </w:t>
            </w:r>
          </w:p>
        </w:tc>
        <w:tc>
          <w:tcPr>
            <w:tcW w:w="1446" w:type="dxa"/>
            <w:tcBorders>
              <w:top w:val="single" w:sz="12" w:space="0" w:color="auto"/>
              <w:left w:val="nil"/>
              <w:bottom w:val="nil"/>
              <w:right w:val="nil"/>
            </w:tcBorders>
            <w:shd w:val="clear" w:color="000000" w:fill="FFFFFF"/>
            <w:noWrap/>
            <w:vAlign w:val="bottom"/>
            <w:hideMark/>
          </w:tcPr>
          <w:p w14:paraId="3200D583"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 </w:t>
            </w:r>
          </w:p>
        </w:tc>
        <w:tc>
          <w:tcPr>
            <w:tcW w:w="1618" w:type="dxa"/>
            <w:tcBorders>
              <w:top w:val="single" w:sz="12" w:space="0" w:color="auto"/>
              <w:left w:val="nil"/>
              <w:bottom w:val="nil"/>
              <w:right w:val="nil"/>
            </w:tcBorders>
            <w:shd w:val="clear" w:color="000000" w:fill="FFFFFF"/>
            <w:noWrap/>
            <w:vAlign w:val="bottom"/>
            <w:hideMark/>
          </w:tcPr>
          <w:p w14:paraId="650BDDA0"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 </w:t>
            </w:r>
          </w:p>
        </w:tc>
        <w:tc>
          <w:tcPr>
            <w:tcW w:w="1446" w:type="dxa"/>
            <w:tcBorders>
              <w:top w:val="single" w:sz="12" w:space="0" w:color="auto"/>
              <w:left w:val="nil"/>
              <w:bottom w:val="nil"/>
              <w:right w:val="nil"/>
            </w:tcBorders>
            <w:shd w:val="clear" w:color="000000" w:fill="FFFFFF"/>
            <w:noWrap/>
            <w:vAlign w:val="bottom"/>
            <w:hideMark/>
          </w:tcPr>
          <w:p w14:paraId="13423791"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 </w:t>
            </w:r>
          </w:p>
        </w:tc>
      </w:tr>
      <w:tr w:rsidR="006A6797" w:rsidRPr="00491202" w14:paraId="52EA0333" w14:textId="77777777" w:rsidTr="00085137">
        <w:trPr>
          <w:trHeight w:val="256"/>
        </w:trPr>
        <w:tc>
          <w:tcPr>
            <w:tcW w:w="4724" w:type="dxa"/>
            <w:tcBorders>
              <w:top w:val="nil"/>
              <w:left w:val="nil"/>
              <w:bottom w:val="nil"/>
              <w:right w:val="nil"/>
            </w:tcBorders>
            <w:shd w:val="clear" w:color="000000" w:fill="FFFFFF"/>
            <w:noWrap/>
            <w:vAlign w:val="bottom"/>
            <w:hideMark/>
          </w:tcPr>
          <w:p w14:paraId="1F0D7CFF" w14:textId="77777777" w:rsidR="006A6797" w:rsidRPr="00491202" w:rsidRDefault="006A6797" w:rsidP="00085137">
            <w:pPr>
              <w:rPr>
                <w:rFonts w:ascii="Arial" w:hAnsi="Arial" w:cs="Arial"/>
                <w:i/>
                <w:iCs/>
                <w:sz w:val="18"/>
                <w:szCs w:val="16"/>
              </w:rPr>
            </w:pPr>
            <w:r w:rsidRPr="00491202">
              <w:rPr>
                <w:rFonts w:ascii="Arial" w:hAnsi="Arial" w:cs="Arial"/>
                <w:i/>
                <w:iCs/>
                <w:sz w:val="18"/>
                <w:szCs w:val="16"/>
              </w:rPr>
              <w:t>Rent elimination</w:t>
            </w:r>
          </w:p>
        </w:tc>
        <w:tc>
          <w:tcPr>
            <w:tcW w:w="1446" w:type="dxa"/>
            <w:tcBorders>
              <w:top w:val="nil"/>
              <w:left w:val="nil"/>
              <w:bottom w:val="nil"/>
              <w:right w:val="nil"/>
            </w:tcBorders>
            <w:shd w:val="clear" w:color="000000" w:fill="FFFFFF"/>
            <w:noWrap/>
            <w:vAlign w:val="bottom"/>
            <w:hideMark/>
          </w:tcPr>
          <w:p w14:paraId="6380FC68"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 </w:t>
            </w:r>
          </w:p>
        </w:tc>
        <w:tc>
          <w:tcPr>
            <w:tcW w:w="1618" w:type="dxa"/>
            <w:tcBorders>
              <w:top w:val="nil"/>
              <w:left w:val="nil"/>
              <w:bottom w:val="nil"/>
              <w:right w:val="nil"/>
            </w:tcBorders>
            <w:shd w:val="clear" w:color="000000" w:fill="FFFFFF"/>
            <w:noWrap/>
            <w:vAlign w:val="bottom"/>
            <w:hideMark/>
          </w:tcPr>
          <w:p w14:paraId="665FFD57"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430</w:t>
            </w:r>
          </w:p>
        </w:tc>
        <w:tc>
          <w:tcPr>
            <w:tcW w:w="1446" w:type="dxa"/>
            <w:tcBorders>
              <w:top w:val="nil"/>
              <w:left w:val="nil"/>
              <w:bottom w:val="nil"/>
              <w:right w:val="nil"/>
            </w:tcBorders>
            <w:shd w:val="clear" w:color="000000" w:fill="FFFFFF"/>
            <w:noWrap/>
            <w:vAlign w:val="bottom"/>
            <w:hideMark/>
          </w:tcPr>
          <w:p w14:paraId="0B86F176"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 </w:t>
            </w:r>
          </w:p>
        </w:tc>
      </w:tr>
      <w:tr w:rsidR="006A6797" w:rsidRPr="00491202" w14:paraId="3FEB3F76" w14:textId="77777777" w:rsidTr="00085137">
        <w:trPr>
          <w:trHeight w:val="256"/>
        </w:trPr>
        <w:tc>
          <w:tcPr>
            <w:tcW w:w="4724" w:type="dxa"/>
            <w:tcBorders>
              <w:top w:val="nil"/>
              <w:left w:val="nil"/>
              <w:bottom w:val="nil"/>
              <w:right w:val="nil"/>
            </w:tcBorders>
            <w:shd w:val="clear" w:color="000000" w:fill="FFFFFF"/>
            <w:noWrap/>
            <w:vAlign w:val="bottom"/>
            <w:hideMark/>
          </w:tcPr>
          <w:p w14:paraId="7689925E" w14:textId="77777777" w:rsidR="006A6797" w:rsidRPr="00491202" w:rsidRDefault="006A6797" w:rsidP="00085137">
            <w:pPr>
              <w:rPr>
                <w:rFonts w:ascii="Arial" w:hAnsi="Arial" w:cs="Arial"/>
                <w:i/>
                <w:iCs/>
                <w:sz w:val="18"/>
                <w:szCs w:val="16"/>
              </w:rPr>
            </w:pPr>
            <w:r w:rsidRPr="00491202">
              <w:rPr>
                <w:rFonts w:ascii="Arial" w:hAnsi="Arial" w:cs="Arial"/>
                <w:i/>
                <w:iCs/>
                <w:sz w:val="18"/>
                <w:szCs w:val="16"/>
              </w:rPr>
              <w:t>Right-of-use asset depreciation</w:t>
            </w:r>
          </w:p>
        </w:tc>
        <w:tc>
          <w:tcPr>
            <w:tcW w:w="1446" w:type="dxa"/>
            <w:tcBorders>
              <w:top w:val="nil"/>
              <w:left w:val="nil"/>
              <w:bottom w:val="nil"/>
              <w:right w:val="nil"/>
            </w:tcBorders>
            <w:shd w:val="clear" w:color="000000" w:fill="FFFFFF"/>
            <w:noWrap/>
            <w:vAlign w:val="bottom"/>
            <w:hideMark/>
          </w:tcPr>
          <w:p w14:paraId="16C10DFF"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 </w:t>
            </w:r>
          </w:p>
        </w:tc>
        <w:tc>
          <w:tcPr>
            <w:tcW w:w="1618" w:type="dxa"/>
            <w:tcBorders>
              <w:top w:val="nil"/>
              <w:left w:val="nil"/>
              <w:bottom w:val="nil"/>
              <w:right w:val="nil"/>
            </w:tcBorders>
            <w:shd w:val="clear" w:color="000000" w:fill="FFFFFF"/>
            <w:noWrap/>
            <w:vAlign w:val="bottom"/>
            <w:hideMark/>
          </w:tcPr>
          <w:p w14:paraId="0742AE35"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(2</w:t>
            </w:r>
            <w:r>
              <w:rPr>
                <w:rFonts w:ascii="Arial" w:hAnsi="Arial" w:cs="Arial"/>
                <w:sz w:val="18"/>
                <w:szCs w:val="16"/>
              </w:rPr>
              <w:t>7</w:t>
            </w:r>
            <w:r w:rsidRPr="00491202">
              <w:rPr>
                <w:rFonts w:ascii="Arial" w:hAnsi="Arial" w:cs="Arial"/>
                <w:sz w:val="18"/>
                <w:szCs w:val="16"/>
              </w:rPr>
              <w:t>0)</w:t>
            </w:r>
          </w:p>
        </w:tc>
        <w:tc>
          <w:tcPr>
            <w:tcW w:w="1446" w:type="dxa"/>
            <w:tcBorders>
              <w:top w:val="nil"/>
              <w:left w:val="nil"/>
              <w:bottom w:val="nil"/>
              <w:right w:val="nil"/>
            </w:tcBorders>
            <w:shd w:val="clear" w:color="000000" w:fill="FFFFFF"/>
            <w:noWrap/>
            <w:vAlign w:val="bottom"/>
            <w:hideMark/>
          </w:tcPr>
          <w:p w14:paraId="2421CE12"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 </w:t>
            </w:r>
          </w:p>
        </w:tc>
      </w:tr>
      <w:tr w:rsidR="006A6797" w:rsidRPr="00491202" w14:paraId="1B4D7A68" w14:textId="77777777" w:rsidTr="00085137">
        <w:trPr>
          <w:trHeight w:val="271"/>
        </w:trPr>
        <w:tc>
          <w:tcPr>
            <w:tcW w:w="4724" w:type="dxa"/>
            <w:tcBorders>
              <w:top w:val="single" w:sz="4" w:space="0" w:color="auto"/>
              <w:left w:val="nil"/>
              <w:bottom w:val="single" w:sz="12" w:space="0" w:color="auto"/>
              <w:right w:val="nil"/>
            </w:tcBorders>
            <w:shd w:val="clear" w:color="000000" w:fill="FFFFFF"/>
            <w:noWrap/>
            <w:vAlign w:val="bottom"/>
            <w:hideMark/>
          </w:tcPr>
          <w:p w14:paraId="3EEE712D" w14:textId="77777777" w:rsidR="006A6797" w:rsidRPr="00491202" w:rsidRDefault="006A6797" w:rsidP="00085137">
            <w:pPr>
              <w:rPr>
                <w:rFonts w:ascii="Arial" w:hAnsi="Arial" w:cs="Arial"/>
                <w:i/>
                <w:iCs/>
                <w:sz w:val="18"/>
                <w:szCs w:val="16"/>
              </w:rPr>
            </w:pPr>
            <w:r w:rsidRPr="00491202">
              <w:rPr>
                <w:rFonts w:ascii="Arial" w:hAnsi="Arial" w:cs="Arial"/>
                <w:b/>
                <w:bCs/>
                <w:i/>
                <w:iCs/>
                <w:sz w:val="18"/>
                <w:szCs w:val="16"/>
              </w:rPr>
              <w:t>Retail profit adjustment</w:t>
            </w:r>
          </w:p>
        </w:tc>
        <w:tc>
          <w:tcPr>
            <w:tcW w:w="1446" w:type="dxa"/>
            <w:tcBorders>
              <w:top w:val="single" w:sz="4" w:space="0" w:color="auto"/>
              <w:left w:val="nil"/>
              <w:bottom w:val="single" w:sz="12" w:space="0" w:color="auto"/>
              <w:right w:val="nil"/>
            </w:tcBorders>
            <w:shd w:val="clear" w:color="000000" w:fill="FFFFFF"/>
            <w:noWrap/>
            <w:vAlign w:val="bottom"/>
            <w:hideMark/>
          </w:tcPr>
          <w:p w14:paraId="5C78A6FC" w14:textId="77777777" w:rsidR="006A6797" w:rsidRPr="00491202" w:rsidRDefault="006A6797" w:rsidP="00085137">
            <w:pPr>
              <w:jc w:val="center"/>
              <w:rPr>
                <w:rFonts w:ascii="Arial" w:hAnsi="Arial" w:cs="Arial"/>
                <w:sz w:val="18"/>
                <w:szCs w:val="16"/>
              </w:rPr>
            </w:pPr>
            <w:r w:rsidRPr="00491202">
              <w:rPr>
                <w:rFonts w:ascii="Arial" w:hAnsi="Arial" w:cs="Arial"/>
                <w:b/>
                <w:bCs/>
                <w:i/>
                <w:iCs/>
                <w:sz w:val="18"/>
                <w:szCs w:val="16"/>
              </w:rPr>
              <w:t> </w:t>
            </w:r>
          </w:p>
        </w:tc>
        <w:tc>
          <w:tcPr>
            <w:tcW w:w="1618" w:type="dxa"/>
            <w:tcBorders>
              <w:top w:val="single" w:sz="4" w:space="0" w:color="auto"/>
              <w:left w:val="nil"/>
              <w:bottom w:val="single" w:sz="12" w:space="0" w:color="auto"/>
              <w:right w:val="nil"/>
            </w:tcBorders>
            <w:shd w:val="clear" w:color="000000" w:fill="FFFFFF"/>
            <w:noWrap/>
            <w:vAlign w:val="bottom"/>
            <w:hideMark/>
          </w:tcPr>
          <w:p w14:paraId="1BAAF102" w14:textId="77777777" w:rsidR="006A6797" w:rsidRPr="00491202" w:rsidRDefault="006A6797" w:rsidP="00085137">
            <w:pPr>
              <w:jc w:val="center"/>
              <w:rPr>
                <w:rFonts w:ascii="Arial" w:hAnsi="Arial" w:cs="Arial"/>
                <w:sz w:val="18"/>
                <w:szCs w:val="16"/>
              </w:rPr>
            </w:pPr>
            <w:r w:rsidRPr="00491202">
              <w:rPr>
                <w:rFonts w:ascii="Arial" w:hAnsi="Arial" w:cs="Arial"/>
                <w:b/>
                <w:bCs/>
                <w:i/>
                <w:iCs/>
                <w:sz w:val="18"/>
                <w:szCs w:val="16"/>
              </w:rPr>
              <w:t>160</w:t>
            </w:r>
          </w:p>
        </w:tc>
        <w:tc>
          <w:tcPr>
            <w:tcW w:w="1446" w:type="dxa"/>
            <w:tcBorders>
              <w:top w:val="nil"/>
              <w:left w:val="nil"/>
              <w:bottom w:val="nil"/>
              <w:right w:val="nil"/>
            </w:tcBorders>
            <w:shd w:val="clear" w:color="000000" w:fill="FFFFFF"/>
            <w:noWrap/>
            <w:vAlign w:val="bottom"/>
            <w:hideMark/>
          </w:tcPr>
          <w:p w14:paraId="07EC9CF1" w14:textId="77777777" w:rsidR="006A6797" w:rsidRPr="00491202" w:rsidRDefault="006A6797" w:rsidP="00085137">
            <w:pPr>
              <w:jc w:val="center"/>
              <w:rPr>
                <w:rFonts w:ascii="Arial" w:hAnsi="Arial" w:cs="Arial"/>
                <w:sz w:val="18"/>
                <w:szCs w:val="16"/>
              </w:rPr>
            </w:pPr>
            <w:r w:rsidRPr="00491202">
              <w:rPr>
                <w:rFonts w:ascii="Arial" w:hAnsi="Arial" w:cs="Arial"/>
                <w:sz w:val="18"/>
                <w:szCs w:val="16"/>
              </w:rPr>
              <w:t> </w:t>
            </w:r>
          </w:p>
        </w:tc>
      </w:tr>
    </w:tbl>
    <w:p w14:paraId="065DABBF" w14:textId="77777777" w:rsidR="006A6797" w:rsidRDefault="006A6797" w:rsidP="006A6797">
      <w:pPr>
        <w:rPr>
          <w:i/>
          <w:sz w:val="16"/>
        </w:rPr>
      </w:pPr>
    </w:p>
    <w:p w14:paraId="52926832" w14:textId="77777777" w:rsidR="006A6797" w:rsidRPr="00607CCC" w:rsidRDefault="006A6797" w:rsidP="006A6797">
      <w:pPr>
        <w:rPr>
          <w:rFonts w:ascii="Arial" w:hAnsi="Arial" w:cs="Arial"/>
          <w:i/>
          <w:sz w:val="16"/>
        </w:rPr>
      </w:pPr>
      <w:r>
        <w:rPr>
          <w:rFonts w:ascii="Arial" w:hAnsi="Arial" w:cs="Arial"/>
          <w:i/>
          <w:sz w:val="16"/>
        </w:rPr>
        <w:t xml:space="preserve">(1) </w:t>
      </w:r>
      <w:r w:rsidRPr="00607CCC">
        <w:rPr>
          <w:rFonts w:ascii="Arial" w:hAnsi="Arial" w:cs="Arial"/>
          <w:i/>
          <w:sz w:val="16"/>
        </w:rPr>
        <w:t>Numbers are rounded to the nearest £10m</w:t>
      </w:r>
    </w:p>
    <w:p w14:paraId="55B42DA4" w14:textId="3C3F59E9" w:rsidR="006A6797" w:rsidRPr="00607CCC" w:rsidRDefault="006A6797" w:rsidP="006A6797">
      <w:pPr>
        <w:rPr>
          <w:rFonts w:ascii="Arial" w:hAnsi="Arial" w:cs="Arial"/>
          <w:i/>
          <w:sz w:val="16"/>
        </w:rPr>
      </w:pPr>
      <w:r>
        <w:rPr>
          <w:rFonts w:ascii="Arial" w:hAnsi="Arial" w:cs="Arial"/>
          <w:i/>
          <w:sz w:val="16"/>
        </w:rPr>
        <w:t xml:space="preserve">(2) </w:t>
      </w:r>
      <w:r w:rsidRPr="00607CCC">
        <w:rPr>
          <w:rFonts w:ascii="Arial" w:hAnsi="Arial" w:cs="Arial"/>
          <w:i/>
          <w:sz w:val="16"/>
        </w:rPr>
        <w:t xml:space="preserve">Excludes </w:t>
      </w:r>
      <w:r w:rsidR="0027420C">
        <w:rPr>
          <w:rFonts w:ascii="Arial" w:hAnsi="Arial" w:cs="Arial"/>
          <w:i/>
          <w:sz w:val="16"/>
        </w:rPr>
        <w:t>foreign exchange differences</w:t>
      </w:r>
      <w:r w:rsidRPr="00607CCC">
        <w:rPr>
          <w:rFonts w:ascii="Arial" w:hAnsi="Arial" w:cs="Arial"/>
          <w:i/>
          <w:sz w:val="16"/>
        </w:rPr>
        <w:t xml:space="preserve"> relating to translation of leases denominated in non-functional currencies</w:t>
      </w:r>
    </w:p>
    <w:p w14:paraId="7C47C07F" w14:textId="77777777" w:rsidR="006A6797" w:rsidRDefault="006A6797" w:rsidP="006A6797">
      <w:pPr>
        <w:rPr>
          <w:sz w:val="24"/>
        </w:rPr>
      </w:pPr>
    </w:p>
    <w:p w14:paraId="65464CCB" w14:textId="66C30FAA" w:rsidR="006A6797" w:rsidRPr="00DC06E1" w:rsidRDefault="006A6797" w:rsidP="006A6797">
      <w:pPr>
        <w:rPr>
          <w:rFonts w:ascii="Arial" w:hAnsi="Arial" w:cs="Arial"/>
          <w:i/>
          <w:sz w:val="18"/>
          <w:szCs w:val="18"/>
        </w:rPr>
      </w:pPr>
      <w:r w:rsidRPr="00DC06E1">
        <w:rPr>
          <w:rFonts w:ascii="Arial" w:hAnsi="Arial" w:cs="Arial"/>
          <w:i/>
          <w:sz w:val="18"/>
          <w:szCs w:val="18"/>
        </w:rPr>
        <w:t>IFRS 16</w:t>
      </w:r>
      <w:r w:rsidR="00BB1BDD">
        <w:rPr>
          <w:rFonts w:ascii="Arial" w:hAnsi="Arial" w:cs="Arial"/>
          <w:i/>
          <w:sz w:val="18"/>
          <w:szCs w:val="18"/>
        </w:rPr>
        <w:t xml:space="preserve"> indicative</w:t>
      </w:r>
      <w:r w:rsidRPr="00DC06E1">
        <w:rPr>
          <w:rFonts w:ascii="Arial" w:hAnsi="Arial" w:cs="Arial"/>
          <w:i/>
          <w:sz w:val="18"/>
          <w:szCs w:val="18"/>
        </w:rPr>
        <w:t xml:space="preserve"> impact on 31 January 2019 balance sheet</w:t>
      </w:r>
    </w:p>
    <w:p w14:paraId="54FCF01F" w14:textId="77777777" w:rsidR="006A6797" w:rsidRDefault="006A6797" w:rsidP="006A6797"/>
    <w:tbl>
      <w:tblPr>
        <w:tblW w:w="9272" w:type="dxa"/>
        <w:tblLook w:val="04A0" w:firstRow="1" w:lastRow="0" w:firstColumn="1" w:lastColumn="0" w:noHBand="0" w:noVBand="1"/>
      </w:tblPr>
      <w:tblGrid>
        <w:gridCol w:w="4919"/>
        <w:gridCol w:w="1341"/>
        <w:gridCol w:w="1531"/>
        <w:gridCol w:w="1481"/>
      </w:tblGrid>
      <w:tr w:rsidR="006A6797" w:rsidRPr="002F292C" w14:paraId="0895A8BA" w14:textId="77777777" w:rsidTr="00085137">
        <w:trPr>
          <w:trHeight w:val="262"/>
        </w:trPr>
        <w:tc>
          <w:tcPr>
            <w:tcW w:w="4919" w:type="dxa"/>
            <w:tcBorders>
              <w:top w:val="nil"/>
              <w:left w:val="nil"/>
              <w:bottom w:val="nil"/>
              <w:right w:val="nil"/>
            </w:tcBorders>
            <w:shd w:val="clear" w:color="000000" w:fill="FFFFFF"/>
            <w:noWrap/>
            <w:vAlign w:val="bottom"/>
            <w:hideMark/>
          </w:tcPr>
          <w:p w14:paraId="0694B014" w14:textId="77777777" w:rsidR="006A6797" w:rsidRPr="002F292C" w:rsidRDefault="006A6797" w:rsidP="00085137">
            <w:pPr>
              <w:rPr>
                <w:rFonts w:ascii="Arial" w:hAnsi="Arial" w:cs="Arial"/>
                <w:b/>
                <w:bCs/>
                <w:sz w:val="18"/>
                <w:szCs w:val="16"/>
              </w:rPr>
            </w:pPr>
            <w:r w:rsidRPr="002F292C">
              <w:rPr>
                <w:rFonts w:ascii="Arial" w:hAnsi="Arial" w:cs="Arial"/>
                <w:b/>
                <w:bCs/>
                <w:sz w:val="18"/>
                <w:szCs w:val="16"/>
              </w:rPr>
              <w:t>£</w:t>
            </w:r>
            <w:r>
              <w:rPr>
                <w:rFonts w:ascii="Arial" w:hAnsi="Arial" w:cs="Arial"/>
                <w:b/>
                <w:bCs/>
                <w:sz w:val="18"/>
                <w:szCs w:val="16"/>
              </w:rPr>
              <w:t>bn</w:t>
            </w:r>
          </w:p>
        </w:tc>
        <w:tc>
          <w:tcPr>
            <w:tcW w:w="1341" w:type="dxa"/>
            <w:tcBorders>
              <w:top w:val="nil"/>
              <w:left w:val="nil"/>
              <w:bottom w:val="nil"/>
              <w:right w:val="nil"/>
            </w:tcBorders>
            <w:shd w:val="clear" w:color="000000" w:fill="FFFFFF"/>
            <w:noWrap/>
            <w:vAlign w:val="bottom"/>
            <w:hideMark/>
          </w:tcPr>
          <w:p w14:paraId="1133A870" w14:textId="77777777" w:rsidR="006A6797" w:rsidRPr="002F292C" w:rsidRDefault="006A6797" w:rsidP="00085137">
            <w:pPr>
              <w:jc w:val="center"/>
              <w:rPr>
                <w:rFonts w:ascii="Arial" w:hAnsi="Arial" w:cs="Arial"/>
                <w:b/>
                <w:bCs/>
                <w:sz w:val="18"/>
                <w:szCs w:val="16"/>
              </w:rPr>
            </w:pPr>
            <w:r w:rsidRPr="002F292C">
              <w:rPr>
                <w:rFonts w:ascii="Arial" w:hAnsi="Arial" w:cs="Arial"/>
                <w:b/>
                <w:bCs/>
                <w:sz w:val="18"/>
                <w:szCs w:val="16"/>
              </w:rPr>
              <w:t>IAS 17</w:t>
            </w:r>
          </w:p>
        </w:tc>
        <w:tc>
          <w:tcPr>
            <w:tcW w:w="1531" w:type="dxa"/>
            <w:tcBorders>
              <w:top w:val="nil"/>
              <w:left w:val="nil"/>
              <w:bottom w:val="nil"/>
              <w:right w:val="nil"/>
            </w:tcBorders>
            <w:shd w:val="clear" w:color="000000" w:fill="FFFFFF"/>
            <w:noWrap/>
            <w:vAlign w:val="bottom"/>
            <w:hideMark/>
          </w:tcPr>
          <w:p w14:paraId="05D19ADF" w14:textId="77777777" w:rsidR="006A6797" w:rsidRPr="002F292C" w:rsidRDefault="006A6797" w:rsidP="00085137">
            <w:pPr>
              <w:jc w:val="center"/>
              <w:rPr>
                <w:rFonts w:ascii="Arial" w:hAnsi="Arial" w:cs="Arial"/>
                <w:b/>
                <w:bCs/>
                <w:sz w:val="18"/>
                <w:szCs w:val="16"/>
              </w:rPr>
            </w:pPr>
            <w:r w:rsidRPr="002F292C">
              <w:rPr>
                <w:rFonts w:ascii="Arial" w:hAnsi="Arial" w:cs="Arial"/>
                <w:b/>
                <w:bCs/>
                <w:sz w:val="18"/>
                <w:szCs w:val="16"/>
              </w:rPr>
              <w:t>Adjustment</w:t>
            </w:r>
          </w:p>
        </w:tc>
        <w:tc>
          <w:tcPr>
            <w:tcW w:w="1481" w:type="dxa"/>
            <w:tcBorders>
              <w:top w:val="nil"/>
              <w:left w:val="nil"/>
              <w:bottom w:val="nil"/>
              <w:right w:val="nil"/>
            </w:tcBorders>
            <w:shd w:val="clear" w:color="000000" w:fill="FFFFFF"/>
            <w:noWrap/>
            <w:vAlign w:val="bottom"/>
            <w:hideMark/>
          </w:tcPr>
          <w:p w14:paraId="552F09BE" w14:textId="77777777" w:rsidR="006A6797" w:rsidRPr="002F292C" w:rsidRDefault="006A6797" w:rsidP="00085137">
            <w:pPr>
              <w:jc w:val="center"/>
              <w:rPr>
                <w:rFonts w:ascii="Arial" w:hAnsi="Arial" w:cs="Arial"/>
                <w:b/>
                <w:bCs/>
                <w:sz w:val="18"/>
                <w:szCs w:val="16"/>
              </w:rPr>
            </w:pPr>
            <w:r w:rsidRPr="002F292C">
              <w:rPr>
                <w:rFonts w:ascii="Arial" w:hAnsi="Arial" w:cs="Arial"/>
                <w:b/>
                <w:bCs/>
                <w:sz w:val="18"/>
                <w:szCs w:val="16"/>
              </w:rPr>
              <w:t>IFRS 16</w:t>
            </w:r>
          </w:p>
        </w:tc>
      </w:tr>
      <w:tr w:rsidR="006A6797" w:rsidRPr="002F292C" w14:paraId="7F037A54" w14:textId="77777777" w:rsidTr="00085137">
        <w:trPr>
          <w:trHeight w:val="262"/>
        </w:trPr>
        <w:tc>
          <w:tcPr>
            <w:tcW w:w="4919" w:type="dxa"/>
            <w:tcBorders>
              <w:top w:val="nil"/>
              <w:left w:val="nil"/>
              <w:bottom w:val="nil"/>
              <w:right w:val="nil"/>
            </w:tcBorders>
            <w:shd w:val="clear" w:color="000000" w:fill="FFFFFF"/>
            <w:noWrap/>
            <w:vAlign w:val="bottom"/>
            <w:hideMark/>
          </w:tcPr>
          <w:p w14:paraId="70768DDB"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 </w:t>
            </w:r>
          </w:p>
        </w:tc>
        <w:tc>
          <w:tcPr>
            <w:tcW w:w="1341" w:type="dxa"/>
            <w:tcBorders>
              <w:top w:val="nil"/>
              <w:left w:val="nil"/>
              <w:bottom w:val="nil"/>
              <w:right w:val="nil"/>
            </w:tcBorders>
            <w:shd w:val="clear" w:color="000000" w:fill="FFFFFF"/>
            <w:noWrap/>
            <w:vAlign w:val="bottom"/>
            <w:hideMark/>
          </w:tcPr>
          <w:p w14:paraId="0F2D03CC"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 </w:t>
            </w:r>
          </w:p>
        </w:tc>
        <w:tc>
          <w:tcPr>
            <w:tcW w:w="1531" w:type="dxa"/>
            <w:tcBorders>
              <w:top w:val="nil"/>
              <w:left w:val="nil"/>
              <w:bottom w:val="nil"/>
              <w:right w:val="nil"/>
            </w:tcBorders>
            <w:shd w:val="clear" w:color="000000" w:fill="FFFFFF"/>
            <w:noWrap/>
            <w:vAlign w:val="bottom"/>
            <w:hideMark/>
          </w:tcPr>
          <w:p w14:paraId="4CF758B0"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 </w:t>
            </w:r>
          </w:p>
        </w:tc>
        <w:tc>
          <w:tcPr>
            <w:tcW w:w="1481" w:type="dxa"/>
            <w:tcBorders>
              <w:top w:val="nil"/>
              <w:left w:val="nil"/>
              <w:bottom w:val="nil"/>
              <w:right w:val="nil"/>
            </w:tcBorders>
            <w:shd w:val="clear" w:color="000000" w:fill="FFFFFF"/>
            <w:noWrap/>
            <w:vAlign w:val="bottom"/>
            <w:hideMark/>
          </w:tcPr>
          <w:p w14:paraId="48123EE4"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 </w:t>
            </w:r>
          </w:p>
        </w:tc>
      </w:tr>
      <w:tr w:rsidR="006A6797" w:rsidRPr="002F292C" w14:paraId="119DEFB6" w14:textId="77777777" w:rsidTr="00085137">
        <w:trPr>
          <w:trHeight w:val="262"/>
        </w:trPr>
        <w:tc>
          <w:tcPr>
            <w:tcW w:w="4919" w:type="dxa"/>
            <w:tcBorders>
              <w:top w:val="nil"/>
              <w:left w:val="nil"/>
              <w:bottom w:val="nil"/>
              <w:right w:val="nil"/>
            </w:tcBorders>
            <w:shd w:val="clear" w:color="000000" w:fill="FFFFFF"/>
            <w:noWrap/>
            <w:vAlign w:val="bottom"/>
            <w:hideMark/>
          </w:tcPr>
          <w:p w14:paraId="4378EFFC" w14:textId="77777777" w:rsidR="006A6797" w:rsidRPr="002F292C" w:rsidRDefault="006A6797" w:rsidP="00085137">
            <w:pPr>
              <w:rPr>
                <w:rFonts w:ascii="Arial" w:hAnsi="Arial" w:cs="Arial"/>
                <w:sz w:val="18"/>
                <w:szCs w:val="16"/>
              </w:rPr>
            </w:pPr>
            <w:r w:rsidRPr="002F292C">
              <w:rPr>
                <w:rFonts w:ascii="Arial" w:hAnsi="Arial" w:cs="Arial"/>
                <w:sz w:val="18"/>
                <w:szCs w:val="16"/>
              </w:rPr>
              <w:t>Right-of-use assets</w:t>
            </w:r>
          </w:p>
        </w:tc>
        <w:tc>
          <w:tcPr>
            <w:tcW w:w="1341" w:type="dxa"/>
            <w:tcBorders>
              <w:top w:val="nil"/>
              <w:left w:val="nil"/>
              <w:bottom w:val="nil"/>
              <w:right w:val="nil"/>
            </w:tcBorders>
            <w:shd w:val="clear" w:color="000000" w:fill="FFFFFF"/>
            <w:noWrap/>
            <w:vAlign w:val="bottom"/>
            <w:hideMark/>
          </w:tcPr>
          <w:p w14:paraId="119B7FF9"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w:t>
            </w:r>
          </w:p>
        </w:tc>
        <w:tc>
          <w:tcPr>
            <w:tcW w:w="1531" w:type="dxa"/>
            <w:tcBorders>
              <w:top w:val="nil"/>
              <w:left w:val="nil"/>
              <w:bottom w:val="nil"/>
              <w:right w:val="nil"/>
            </w:tcBorders>
            <w:shd w:val="clear" w:color="000000" w:fill="FFFFFF"/>
            <w:noWrap/>
            <w:vAlign w:val="bottom"/>
            <w:hideMark/>
          </w:tcPr>
          <w:p w14:paraId="15893CBD" w14:textId="65690F97" w:rsidR="006A6797" w:rsidRPr="002F292C" w:rsidRDefault="003F6A61" w:rsidP="00085137">
            <w:pPr>
              <w:jc w:val="center"/>
              <w:rPr>
                <w:rFonts w:ascii="Arial" w:hAnsi="Arial" w:cs="Arial"/>
                <w:sz w:val="18"/>
                <w:szCs w:val="16"/>
              </w:rPr>
            </w:pPr>
            <w:r>
              <w:rPr>
                <w:rFonts w:ascii="Arial" w:hAnsi="Arial" w:cs="Arial"/>
                <w:sz w:val="18"/>
                <w:szCs w:val="16"/>
              </w:rPr>
              <w:t>2.0</w:t>
            </w:r>
          </w:p>
        </w:tc>
        <w:tc>
          <w:tcPr>
            <w:tcW w:w="1481" w:type="dxa"/>
            <w:tcBorders>
              <w:top w:val="nil"/>
              <w:left w:val="nil"/>
              <w:bottom w:val="nil"/>
              <w:right w:val="nil"/>
            </w:tcBorders>
            <w:shd w:val="clear" w:color="000000" w:fill="FFFFFF"/>
            <w:noWrap/>
            <w:vAlign w:val="bottom"/>
            <w:hideMark/>
          </w:tcPr>
          <w:p w14:paraId="4CEBEADD" w14:textId="0A880CCB" w:rsidR="006A6797" w:rsidRPr="002F292C" w:rsidRDefault="003F6A61" w:rsidP="00085137">
            <w:pPr>
              <w:jc w:val="center"/>
              <w:rPr>
                <w:rFonts w:ascii="Arial" w:hAnsi="Arial" w:cs="Arial"/>
                <w:sz w:val="18"/>
                <w:szCs w:val="16"/>
              </w:rPr>
            </w:pPr>
            <w:r>
              <w:rPr>
                <w:rFonts w:ascii="Arial" w:hAnsi="Arial" w:cs="Arial"/>
                <w:sz w:val="18"/>
                <w:szCs w:val="16"/>
              </w:rPr>
              <w:t>2.0</w:t>
            </w:r>
          </w:p>
        </w:tc>
      </w:tr>
      <w:tr w:rsidR="006A6797" w:rsidRPr="002F292C" w14:paraId="5F128490" w14:textId="77777777" w:rsidTr="00085137">
        <w:trPr>
          <w:trHeight w:val="262"/>
        </w:trPr>
        <w:tc>
          <w:tcPr>
            <w:tcW w:w="4919" w:type="dxa"/>
            <w:tcBorders>
              <w:top w:val="nil"/>
              <w:left w:val="nil"/>
              <w:bottom w:val="nil"/>
              <w:right w:val="nil"/>
            </w:tcBorders>
            <w:shd w:val="clear" w:color="000000" w:fill="FFFFFF"/>
            <w:noWrap/>
            <w:vAlign w:val="bottom"/>
            <w:hideMark/>
          </w:tcPr>
          <w:p w14:paraId="7301E145" w14:textId="77777777" w:rsidR="006A6797" w:rsidRPr="002F292C" w:rsidRDefault="006A6797" w:rsidP="00085137">
            <w:pPr>
              <w:rPr>
                <w:rFonts w:ascii="Arial" w:hAnsi="Arial" w:cs="Arial"/>
                <w:sz w:val="18"/>
                <w:szCs w:val="16"/>
              </w:rPr>
            </w:pPr>
            <w:r w:rsidRPr="002F292C">
              <w:rPr>
                <w:rFonts w:ascii="Arial" w:hAnsi="Arial" w:cs="Arial"/>
                <w:sz w:val="18"/>
                <w:szCs w:val="16"/>
              </w:rPr>
              <w:t>Other fixed assets</w:t>
            </w:r>
            <w:r w:rsidRPr="002F292C">
              <w:rPr>
                <w:rFonts w:ascii="Arial" w:hAnsi="Arial" w:cs="Arial"/>
                <w:i/>
                <w:iCs/>
                <w:sz w:val="18"/>
                <w:szCs w:val="16"/>
              </w:rPr>
              <w:t xml:space="preserve"> </w:t>
            </w:r>
            <w:r w:rsidRPr="002F292C">
              <w:rPr>
                <w:rFonts w:ascii="Arial" w:hAnsi="Arial" w:cs="Arial"/>
                <w:i/>
                <w:iCs/>
                <w:sz w:val="18"/>
                <w:szCs w:val="16"/>
                <w:vertAlign w:val="superscript"/>
              </w:rPr>
              <w:t>(1)</w:t>
            </w:r>
          </w:p>
        </w:tc>
        <w:tc>
          <w:tcPr>
            <w:tcW w:w="1341" w:type="dxa"/>
            <w:tcBorders>
              <w:top w:val="nil"/>
              <w:left w:val="nil"/>
              <w:bottom w:val="nil"/>
              <w:right w:val="nil"/>
            </w:tcBorders>
            <w:shd w:val="clear" w:color="000000" w:fill="FFFFFF"/>
            <w:noWrap/>
            <w:vAlign w:val="bottom"/>
            <w:hideMark/>
          </w:tcPr>
          <w:p w14:paraId="2A2C1133"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6.3</w:t>
            </w:r>
          </w:p>
        </w:tc>
        <w:tc>
          <w:tcPr>
            <w:tcW w:w="1531" w:type="dxa"/>
            <w:tcBorders>
              <w:top w:val="nil"/>
              <w:left w:val="nil"/>
              <w:bottom w:val="nil"/>
              <w:right w:val="nil"/>
            </w:tcBorders>
            <w:shd w:val="clear" w:color="000000" w:fill="FFFFFF"/>
            <w:noWrap/>
            <w:vAlign w:val="bottom"/>
            <w:hideMark/>
          </w:tcPr>
          <w:p w14:paraId="779C9230" w14:textId="205F81AB" w:rsidR="006A6797" w:rsidRPr="002F292C" w:rsidRDefault="003F6A61" w:rsidP="00085137">
            <w:pPr>
              <w:jc w:val="center"/>
              <w:rPr>
                <w:rFonts w:ascii="Arial" w:hAnsi="Arial" w:cs="Arial"/>
                <w:sz w:val="18"/>
                <w:szCs w:val="16"/>
              </w:rPr>
            </w:pPr>
            <w:r>
              <w:rPr>
                <w:rFonts w:ascii="Arial" w:hAnsi="Arial" w:cs="Arial"/>
                <w:sz w:val="18"/>
                <w:szCs w:val="16"/>
              </w:rPr>
              <w:t>(0.2)</w:t>
            </w:r>
          </w:p>
        </w:tc>
        <w:tc>
          <w:tcPr>
            <w:tcW w:w="1481" w:type="dxa"/>
            <w:tcBorders>
              <w:top w:val="nil"/>
              <w:left w:val="nil"/>
              <w:bottom w:val="nil"/>
              <w:right w:val="nil"/>
            </w:tcBorders>
            <w:shd w:val="clear" w:color="000000" w:fill="FFFFFF"/>
            <w:noWrap/>
            <w:vAlign w:val="bottom"/>
            <w:hideMark/>
          </w:tcPr>
          <w:p w14:paraId="4CA13246" w14:textId="0AFE4043" w:rsidR="006A6797" w:rsidRPr="002F292C" w:rsidRDefault="003F6A61" w:rsidP="00085137">
            <w:pPr>
              <w:jc w:val="center"/>
              <w:rPr>
                <w:rFonts w:ascii="Arial" w:hAnsi="Arial" w:cs="Arial"/>
                <w:sz w:val="18"/>
                <w:szCs w:val="16"/>
              </w:rPr>
            </w:pPr>
            <w:r>
              <w:rPr>
                <w:rFonts w:ascii="Arial" w:hAnsi="Arial" w:cs="Arial"/>
                <w:sz w:val="18"/>
                <w:szCs w:val="16"/>
              </w:rPr>
              <w:t>6.1</w:t>
            </w:r>
          </w:p>
        </w:tc>
      </w:tr>
      <w:tr w:rsidR="006A6797" w:rsidRPr="002F292C" w14:paraId="4BE5CDD7" w14:textId="77777777" w:rsidTr="00085137">
        <w:trPr>
          <w:trHeight w:val="262"/>
        </w:trPr>
        <w:tc>
          <w:tcPr>
            <w:tcW w:w="4919" w:type="dxa"/>
            <w:tcBorders>
              <w:top w:val="nil"/>
              <w:left w:val="nil"/>
              <w:bottom w:val="nil"/>
              <w:right w:val="nil"/>
            </w:tcBorders>
            <w:shd w:val="clear" w:color="auto" w:fill="auto"/>
            <w:noWrap/>
            <w:vAlign w:val="bottom"/>
            <w:hideMark/>
          </w:tcPr>
          <w:p w14:paraId="6474800C" w14:textId="77777777" w:rsidR="006A6797" w:rsidRPr="002F292C" w:rsidRDefault="006A6797" w:rsidP="00085137">
            <w:pPr>
              <w:rPr>
                <w:rFonts w:ascii="Arial" w:hAnsi="Arial" w:cs="Arial"/>
                <w:sz w:val="18"/>
                <w:szCs w:val="16"/>
              </w:rPr>
            </w:pPr>
            <w:r>
              <w:rPr>
                <w:rFonts w:ascii="Arial" w:hAnsi="Arial" w:cs="Arial"/>
                <w:sz w:val="18"/>
                <w:szCs w:val="16"/>
              </w:rPr>
              <w:t>Inventory, t</w:t>
            </w:r>
            <w:r w:rsidRPr="002F292C">
              <w:rPr>
                <w:rFonts w:ascii="Arial" w:hAnsi="Arial" w:cs="Arial"/>
                <w:sz w:val="18"/>
                <w:szCs w:val="16"/>
              </w:rPr>
              <w:t>rade and other receivables/payables</w:t>
            </w:r>
          </w:p>
        </w:tc>
        <w:tc>
          <w:tcPr>
            <w:tcW w:w="1341" w:type="dxa"/>
            <w:tcBorders>
              <w:top w:val="nil"/>
              <w:left w:val="nil"/>
              <w:bottom w:val="nil"/>
              <w:right w:val="nil"/>
            </w:tcBorders>
            <w:shd w:val="clear" w:color="000000" w:fill="FFFFFF"/>
            <w:noWrap/>
            <w:vAlign w:val="bottom"/>
            <w:hideMark/>
          </w:tcPr>
          <w:p w14:paraId="6461303D"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0.5</w:t>
            </w:r>
          </w:p>
        </w:tc>
        <w:tc>
          <w:tcPr>
            <w:tcW w:w="1531" w:type="dxa"/>
            <w:tcBorders>
              <w:top w:val="nil"/>
              <w:left w:val="nil"/>
              <w:bottom w:val="nil"/>
              <w:right w:val="nil"/>
            </w:tcBorders>
            <w:shd w:val="clear" w:color="000000" w:fill="FFFFFF"/>
            <w:noWrap/>
            <w:vAlign w:val="bottom"/>
            <w:hideMark/>
          </w:tcPr>
          <w:p w14:paraId="7F8472DE"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0.1</w:t>
            </w:r>
          </w:p>
        </w:tc>
        <w:tc>
          <w:tcPr>
            <w:tcW w:w="1481" w:type="dxa"/>
            <w:tcBorders>
              <w:top w:val="nil"/>
              <w:left w:val="nil"/>
              <w:bottom w:val="nil"/>
              <w:right w:val="nil"/>
            </w:tcBorders>
            <w:shd w:val="clear" w:color="000000" w:fill="FFFFFF"/>
            <w:noWrap/>
            <w:vAlign w:val="bottom"/>
            <w:hideMark/>
          </w:tcPr>
          <w:p w14:paraId="17379F45"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0.6</w:t>
            </w:r>
          </w:p>
        </w:tc>
      </w:tr>
      <w:tr w:rsidR="006A6797" w:rsidRPr="002F292C" w14:paraId="05205E51" w14:textId="77777777" w:rsidTr="00085137">
        <w:trPr>
          <w:trHeight w:val="262"/>
        </w:trPr>
        <w:tc>
          <w:tcPr>
            <w:tcW w:w="4919" w:type="dxa"/>
            <w:tcBorders>
              <w:top w:val="nil"/>
              <w:left w:val="nil"/>
              <w:bottom w:val="nil"/>
              <w:right w:val="nil"/>
            </w:tcBorders>
            <w:shd w:val="clear" w:color="000000" w:fill="FFFFFF"/>
            <w:noWrap/>
            <w:vAlign w:val="bottom"/>
            <w:hideMark/>
          </w:tcPr>
          <w:p w14:paraId="4A169EA6" w14:textId="77777777" w:rsidR="006A6797" w:rsidRPr="002F292C" w:rsidRDefault="006A6797" w:rsidP="00085137">
            <w:pPr>
              <w:rPr>
                <w:rFonts w:ascii="Arial" w:hAnsi="Arial" w:cs="Arial"/>
                <w:sz w:val="18"/>
                <w:szCs w:val="16"/>
              </w:rPr>
            </w:pPr>
            <w:r w:rsidRPr="002F292C">
              <w:rPr>
                <w:rFonts w:ascii="Arial" w:hAnsi="Arial" w:cs="Arial"/>
                <w:sz w:val="18"/>
                <w:szCs w:val="16"/>
              </w:rPr>
              <w:t>Provisions</w:t>
            </w:r>
          </w:p>
        </w:tc>
        <w:tc>
          <w:tcPr>
            <w:tcW w:w="1341" w:type="dxa"/>
            <w:tcBorders>
              <w:top w:val="nil"/>
              <w:left w:val="nil"/>
              <w:bottom w:val="nil"/>
              <w:right w:val="nil"/>
            </w:tcBorders>
            <w:shd w:val="clear" w:color="000000" w:fill="FFFFFF"/>
            <w:noWrap/>
            <w:vAlign w:val="bottom"/>
            <w:hideMark/>
          </w:tcPr>
          <w:p w14:paraId="60D13592"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(0.1)</w:t>
            </w:r>
          </w:p>
        </w:tc>
        <w:tc>
          <w:tcPr>
            <w:tcW w:w="1531" w:type="dxa"/>
            <w:tcBorders>
              <w:top w:val="nil"/>
              <w:left w:val="nil"/>
              <w:bottom w:val="nil"/>
              <w:right w:val="nil"/>
            </w:tcBorders>
            <w:shd w:val="clear" w:color="000000" w:fill="FFFFFF"/>
            <w:noWrap/>
            <w:vAlign w:val="bottom"/>
            <w:hideMark/>
          </w:tcPr>
          <w:p w14:paraId="55011820"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0.1</w:t>
            </w:r>
          </w:p>
        </w:tc>
        <w:tc>
          <w:tcPr>
            <w:tcW w:w="1481" w:type="dxa"/>
            <w:tcBorders>
              <w:top w:val="nil"/>
              <w:left w:val="nil"/>
              <w:bottom w:val="nil"/>
              <w:right w:val="nil"/>
            </w:tcBorders>
            <w:shd w:val="clear" w:color="000000" w:fill="FFFFFF"/>
            <w:noWrap/>
            <w:vAlign w:val="bottom"/>
            <w:hideMark/>
          </w:tcPr>
          <w:p w14:paraId="260767A8"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w:t>
            </w:r>
          </w:p>
        </w:tc>
      </w:tr>
      <w:tr w:rsidR="006A6797" w:rsidRPr="002F292C" w14:paraId="2454EDE0" w14:textId="77777777" w:rsidTr="00085137">
        <w:trPr>
          <w:trHeight w:val="262"/>
        </w:trPr>
        <w:tc>
          <w:tcPr>
            <w:tcW w:w="4919" w:type="dxa"/>
            <w:tcBorders>
              <w:top w:val="nil"/>
              <w:left w:val="nil"/>
              <w:bottom w:val="nil"/>
              <w:right w:val="nil"/>
            </w:tcBorders>
            <w:shd w:val="clear" w:color="000000" w:fill="FFFFFF"/>
            <w:noWrap/>
            <w:vAlign w:val="bottom"/>
            <w:hideMark/>
          </w:tcPr>
          <w:p w14:paraId="45CF0B70" w14:textId="77777777" w:rsidR="006A6797" w:rsidRPr="002F292C" w:rsidRDefault="006A6797" w:rsidP="00085137">
            <w:pPr>
              <w:rPr>
                <w:rFonts w:ascii="Arial" w:hAnsi="Arial" w:cs="Arial"/>
                <w:sz w:val="18"/>
                <w:szCs w:val="16"/>
              </w:rPr>
            </w:pPr>
            <w:r w:rsidRPr="002F292C">
              <w:rPr>
                <w:rFonts w:ascii="Arial" w:hAnsi="Arial" w:cs="Arial"/>
                <w:sz w:val="18"/>
                <w:szCs w:val="16"/>
              </w:rPr>
              <w:t>Current and deferred tax</w:t>
            </w:r>
          </w:p>
        </w:tc>
        <w:tc>
          <w:tcPr>
            <w:tcW w:w="1341" w:type="dxa"/>
            <w:tcBorders>
              <w:top w:val="nil"/>
              <w:left w:val="nil"/>
              <w:bottom w:val="nil"/>
              <w:right w:val="nil"/>
            </w:tcBorders>
            <w:shd w:val="clear" w:color="000000" w:fill="FFFFFF"/>
            <w:noWrap/>
            <w:vAlign w:val="bottom"/>
            <w:hideMark/>
          </w:tcPr>
          <w:p w14:paraId="32F6A280"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(0.4)</w:t>
            </w:r>
          </w:p>
        </w:tc>
        <w:tc>
          <w:tcPr>
            <w:tcW w:w="1531" w:type="dxa"/>
            <w:tcBorders>
              <w:top w:val="nil"/>
              <w:left w:val="nil"/>
              <w:bottom w:val="nil"/>
              <w:right w:val="nil"/>
            </w:tcBorders>
            <w:shd w:val="clear" w:color="000000" w:fill="FFFFFF"/>
            <w:noWrap/>
            <w:vAlign w:val="bottom"/>
            <w:hideMark/>
          </w:tcPr>
          <w:p w14:paraId="3AC4E809"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0.1</w:t>
            </w:r>
          </w:p>
        </w:tc>
        <w:tc>
          <w:tcPr>
            <w:tcW w:w="1481" w:type="dxa"/>
            <w:tcBorders>
              <w:top w:val="nil"/>
              <w:left w:val="nil"/>
              <w:bottom w:val="nil"/>
              <w:right w:val="nil"/>
            </w:tcBorders>
            <w:shd w:val="clear" w:color="000000" w:fill="FFFFFF"/>
            <w:noWrap/>
            <w:vAlign w:val="bottom"/>
            <w:hideMark/>
          </w:tcPr>
          <w:p w14:paraId="2F066B73"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(0.3)</w:t>
            </w:r>
          </w:p>
        </w:tc>
      </w:tr>
      <w:tr w:rsidR="006A6797" w:rsidRPr="002F292C" w14:paraId="5116EDB3" w14:textId="77777777" w:rsidTr="00085137">
        <w:trPr>
          <w:trHeight w:val="262"/>
        </w:trPr>
        <w:tc>
          <w:tcPr>
            <w:tcW w:w="4919" w:type="dxa"/>
            <w:tcBorders>
              <w:top w:val="single" w:sz="4" w:space="0" w:color="auto"/>
              <w:left w:val="single" w:sz="4" w:space="0" w:color="auto"/>
              <w:bottom w:val="nil"/>
              <w:right w:val="nil"/>
            </w:tcBorders>
            <w:shd w:val="clear" w:color="000000" w:fill="FFFFFF"/>
            <w:noWrap/>
            <w:vAlign w:val="bottom"/>
            <w:hideMark/>
          </w:tcPr>
          <w:p w14:paraId="69366EB5" w14:textId="77777777" w:rsidR="006A6797" w:rsidRPr="002F292C" w:rsidRDefault="006A6797" w:rsidP="00085137">
            <w:pPr>
              <w:rPr>
                <w:rFonts w:ascii="Arial" w:hAnsi="Arial" w:cs="Arial"/>
                <w:i/>
                <w:iCs/>
                <w:sz w:val="18"/>
                <w:szCs w:val="16"/>
              </w:rPr>
            </w:pPr>
            <w:r w:rsidRPr="002F292C">
              <w:rPr>
                <w:rFonts w:ascii="Arial" w:hAnsi="Arial" w:cs="Arial"/>
                <w:i/>
                <w:iCs/>
                <w:sz w:val="18"/>
                <w:szCs w:val="16"/>
              </w:rPr>
              <w:t>Lease debt</w:t>
            </w:r>
          </w:p>
        </w:tc>
        <w:tc>
          <w:tcPr>
            <w:tcW w:w="1341" w:type="dxa"/>
            <w:tcBorders>
              <w:top w:val="single" w:sz="4" w:space="0" w:color="auto"/>
              <w:left w:val="nil"/>
              <w:bottom w:val="nil"/>
              <w:right w:val="nil"/>
            </w:tcBorders>
            <w:shd w:val="clear" w:color="000000" w:fill="FFFFFF"/>
            <w:noWrap/>
            <w:vAlign w:val="bottom"/>
            <w:hideMark/>
          </w:tcPr>
          <w:p w14:paraId="684208C4" w14:textId="77777777" w:rsidR="006A6797" w:rsidRPr="002F292C" w:rsidRDefault="006A6797" w:rsidP="00085137">
            <w:pPr>
              <w:jc w:val="center"/>
              <w:rPr>
                <w:rFonts w:ascii="Arial" w:hAnsi="Arial" w:cs="Arial"/>
                <w:i/>
                <w:iCs/>
                <w:sz w:val="18"/>
                <w:szCs w:val="16"/>
              </w:rPr>
            </w:pPr>
            <w:r w:rsidRPr="002F292C">
              <w:rPr>
                <w:rFonts w:ascii="Arial" w:hAnsi="Arial" w:cs="Arial"/>
                <w:i/>
                <w:iCs/>
                <w:sz w:val="18"/>
                <w:szCs w:val="16"/>
              </w:rPr>
              <w:t>-</w:t>
            </w:r>
          </w:p>
        </w:tc>
        <w:tc>
          <w:tcPr>
            <w:tcW w:w="1531" w:type="dxa"/>
            <w:tcBorders>
              <w:top w:val="single" w:sz="4" w:space="0" w:color="auto"/>
              <w:left w:val="nil"/>
              <w:bottom w:val="nil"/>
              <w:right w:val="nil"/>
            </w:tcBorders>
            <w:shd w:val="clear" w:color="000000" w:fill="FFFFFF"/>
            <w:noWrap/>
            <w:vAlign w:val="bottom"/>
            <w:hideMark/>
          </w:tcPr>
          <w:p w14:paraId="48574070" w14:textId="77777777" w:rsidR="006A6797" w:rsidRPr="002F292C" w:rsidRDefault="006A6797" w:rsidP="00085137">
            <w:pPr>
              <w:jc w:val="center"/>
              <w:rPr>
                <w:rFonts w:ascii="Arial" w:hAnsi="Arial" w:cs="Arial"/>
                <w:i/>
                <w:iCs/>
                <w:sz w:val="18"/>
                <w:szCs w:val="16"/>
              </w:rPr>
            </w:pPr>
            <w:r w:rsidRPr="002F292C">
              <w:rPr>
                <w:rFonts w:ascii="Arial" w:hAnsi="Arial" w:cs="Arial"/>
                <w:i/>
                <w:iCs/>
                <w:sz w:val="18"/>
                <w:szCs w:val="16"/>
              </w:rPr>
              <w:t>(2.6)</w:t>
            </w:r>
          </w:p>
        </w:tc>
        <w:tc>
          <w:tcPr>
            <w:tcW w:w="1481" w:type="dxa"/>
            <w:tcBorders>
              <w:top w:val="single" w:sz="4" w:space="0" w:color="auto"/>
              <w:left w:val="nil"/>
              <w:bottom w:val="nil"/>
              <w:right w:val="single" w:sz="4" w:space="0" w:color="auto"/>
            </w:tcBorders>
            <w:shd w:val="clear" w:color="000000" w:fill="FFFFFF"/>
            <w:noWrap/>
            <w:vAlign w:val="bottom"/>
            <w:hideMark/>
          </w:tcPr>
          <w:p w14:paraId="564FDE7B" w14:textId="77777777" w:rsidR="006A6797" w:rsidRPr="002F292C" w:rsidRDefault="006A6797" w:rsidP="00085137">
            <w:pPr>
              <w:jc w:val="center"/>
              <w:rPr>
                <w:rFonts w:ascii="Arial" w:hAnsi="Arial" w:cs="Arial"/>
                <w:i/>
                <w:iCs/>
                <w:sz w:val="18"/>
                <w:szCs w:val="16"/>
              </w:rPr>
            </w:pPr>
            <w:r w:rsidRPr="002F292C">
              <w:rPr>
                <w:rFonts w:ascii="Arial" w:hAnsi="Arial" w:cs="Arial"/>
                <w:i/>
                <w:iCs/>
                <w:sz w:val="18"/>
                <w:szCs w:val="16"/>
              </w:rPr>
              <w:t>(2.6)</w:t>
            </w:r>
          </w:p>
        </w:tc>
      </w:tr>
      <w:tr w:rsidR="006A6797" w:rsidRPr="002F292C" w14:paraId="2BFD22DF" w14:textId="77777777" w:rsidTr="00085137">
        <w:trPr>
          <w:trHeight w:val="262"/>
        </w:trPr>
        <w:tc>
          <w:tcPr>
            <w:tcW w:w="4919" w:type="dxa"/>
            <w:tcBorders>
              <w:top w:val="nil"/>
              <w:left w:val="single" w:sz="4" w:space="0" w:color="auto"/>
              <w:bottom w:val="single" w:sz="4" w:space="0" w:color="auto"/>
              <w:right w:val="nil"/>
            </w:tcBorders>
            <w:shd w:val="clear" w:color="000000" w:fill="FFFFFF"/>
            <w:noWrap/>
            <w:vAlign w:val="bottom"/>
            <w:hideMark/>
          </w:tcPr>
          <w:p w14:paraId="77A9BDC5" w14:textId="77777777" w:rsidR="006A6797" w:rsidRPr="002F292C" w:rsidRDefault="006A6797" w:rsidP="00085137">
            <w:pPr>
              <w:rPr>
                <w:rFonts w:ascii="Arial" w:hAnsi="Arial" w:cs="Arial"/>
                <w:i/>
                <w:iCs/>
                <w:sz w:val="18"/>
                <w:szCs w:val="16"/>
              </w:rPr>
            </w:pPr>
            <w:r w:rsidRPr="002F292C">
              <w:rPr>
                <w:rFonts w:ascii="Arial" w:hAnsi="Arial" w:cs="Arial"/>
                <w:i/>
                <w:iCs/>
                <w:sz w:val="18"/>
                <w:szCs w:val="16"/>
              </w:rPr>
              <w:t>Financial net cash</w:t>
            </w:r>
          </w:p>
        </w:tc>
        <w:tc>
          <w:tcPr>
            <w:tcW w:w="1341" w:type="dxa"/>
            <w:tcBorders>
              <w:top w:val="nil"/>
              <w:left w:val="nil"/>
              <w:bottom w:val="single" w:sz="4" w:space="0" w:color="auto"/>
              <w:right w:val="nil"/>
            </w:tcBorders>
            <w:shd w:val="clear" w:color="000000" w:fill="FFFFFF"/>
            <w:noWrap/>
            <w:vAlign w:val="bottom"/>
            <w:hideMark/>
          </w:tcPr>
          <w:p w14:paraId="45E2354A" w14:textId="77777777" w:rsidR="006A6797" w:rsidRPr="002F292C" w:rsidRDefault="006A6797" w:rsidP="00085137">
            <w:pPr>
              <w:jc w:val="center"/>
              <w:rPr>
                <w:rFonts w:ascii="Arial" w:hAnsi="Arial" w:cs="Arial"/>
                <w:i/>
                <w:iCs/>
                <w:sz w:val="18"/>
                <w:szCs w:val="16"/>
              </w:rPr>
            </w:pPr>
            <w:r w:rsidRPr="002F292C">
              <w:rPr>
                <w:rFonts w:ascii="Arial" w:hAnsi="Arial" w:cs="Arial"/>
                <w:i/>
                <w:iCs/>
                <w:sz w:val="18"/>
                <w:szCs w:val="16"/>
              </w:rPr>
              <w:t>0.1</w:t>
            </w:r>
          </w:p>
        </w:tc>
        <w:tc>
          <w:tcPr>
            <w:tcW w:w="1531" w:type="dxa"/>
            <w:tcBorders>
              <w:top w:val="nil"/>
              <w:left w:val="nil"/>
              <w:bottom w:val="single" w:sz="4" w:space="0" w:color="auto"/>
              <w:right w:val="nil"/>
            </w:tcBorders>
            <w:shd w:val="clear" w:color="000000" w:fill="FFFFFF"/>
            <w:noWrap/>
            <w:vAlign w:val="bottom"/>
            <w:hideMark/>
          </w:tcPr>
          <w:p w14:paraId="12232224" w14:textId="77777777" w:rsidR="006A6797" w:rsidRPr="002F292C" w:rsidRDefault="006A6797" w:rsidP="00085137">
            <w:pPr>
              <w:jc w:val="center"/>
              <w:rPr>
                <w:rFonts w:ascii="Arial" w:hAnsi="Arial" w:cs="Arial"/>
                <w:i/>
                <w:iCs/>
                <w:sz w:val="18"/>
                <w:szCs w:val="16"/>
              </w:rPr>
            </w:pPr>
            <w:r w:rsidRPr="002F292C">
              <w:rPr>
                <w:rFonts w:ascii="Arial" w:hAnsi="Arial" w:cs="Arial"/>
                <w:i/>
                <w:iCs/>
                <w:sz w:val="18"/>
                <w:szCs w:val="16"/>
              </w:rPr>
              <w:t>-</w:t>
            </w:r>
          </w:p>
        </w:tc>
        <w:tc>
          <w:tcPr>
            <w:tcW w:w="1481" w:type="dxa"/>
            <w:tcBorders>
              <w:top w:val="nil"/>
              <w:left w:val="nil"/>
              <w:bottom w:val="single" w:sz="4" w:space="0" w:color="auto"/>
              <w:right w:val="single" w:sz="4" w:space="0" w:color="auto"/>
            </w:tcBorders>
            <w:shd w:val="clear" w:color="000000" w:fill="FFFFFF"/>
            <w:noWrap/>
            <w:vAlign w:val="bottom"/>
            <w:hideMark/>
          </w:tcPr>
          <w:p w14:paraId="68E172C7" w14:textId="77777777" w:rsidR="006A6797" w:rsidRPr="002F292C" w:rsidRDefault="006A6797" w:rsidP="00085137">
            <w:pPr>
              <w:jc w:val="center"/>
              <w:rPr>
                <w:rFonts w:ascii="Arial" w:hAnsi="Arial" w:cs="Arial"/>
                <w:i/>
                <w:iCs/>
                <w:sz w:val="18"/>
                <w:szCs w:val="16"/>
              </w:rPr>
            </w:pPr>
            <w:r w:rsidRPr="002F292C">
              <w:rPr>
                <w:rFonts w:ascii="Arial" w:hAnsi="Arial" w:cs="Arial"/>
                <w:i/>
                <w:iCs/>
                <w:sz w:val="18"/>
                <w:szCs w:val="16"/>
              </w:rPr>
              <w:t>0.1</w:t>
            </w:r>
          </w:p>
        </w:tc>
      </w:tr>
      <w:tr w:rsidR="006A6797" w:rsidRPr="002F292C" w14:paraId="33EED8A7" w14:textId="77777777" w:rsidTr="00085137">
        <w:trPr>
          <w:trHeight w:val="262"/>
        </w:trPr>
        <w:tc>
          <w:tcPr>
            <w:tcW w:w="4919" w:type="dxa"/>
            <w:tcBorders>
              <w:top w:val="nil"/>
              <w:left w:val="nil"/>
              <w:bottom w:val="nil"/>
              <w:right w:val="nil"/>
            </w:tcBorders>
            <w:shd w:val="clear" w:color="000000" w:fill="FFFFFF"/>
            <w:noWrap/>
            <w:vAlign w:val="bottom"/>
            <w:hideMark/>
          </w:tcPr>
          <w:p w14:paraId="292F920A" w14:textId="2C82E804" w:rsidR="006A6797" w:rsidRPr="002F292C" w:rsidRDefault="006A6797" w:rsidP="00085137">
            <w:pPr>
              <w:rPr>
                <w:rFonts w:ascii="Arial" w:hAnsi="Arial" w:cs="Arial"/>
                <w:sz w:val="18"/>
                <w:szCs w:val="16"/>
              </w:rPr>
            </w:pPr>
            <w:r w:rsidRPr="002F292C">
              <w:rPr>
                <w:rFonts w:ascii="Arial" w:hAnsi="Arial" w:cs="Arial"/>
                <w:sz w:val="18"/>
                <w:szCs w:val="16"/>
              </w:rPr>
              <w:t xml:space="preserve">Net </w:t>
            </w:r>
            <w:r w:rsidR="00067BBD">
              <w:rPr>
                <w:rFonts w:ascii="Arial" w:hAnsi="Arial" w:cs="Arial"/>
                <w:sz w:val="18"/>
                <w:szCs w:val="16"/>
              </w:rPr>
              <w:t>cash/(</w:t>
            </w:r>
            <w:r w:rsidRPr="002F292C">
              <w:rPr>
                <w:rFonts w:ascii="Arial" w:hAnsi="Arial" w:cs="Arial"/>
                <w:sz w:val="18"/>
                <w:szCs w:val="16"/>
              </w:rPr>
              <w:t>debt</w:t>
            </w:r>
            <w:r w:rsidR="00067BBD">
              <w:rPr>
                <w:rFonts w:ascii="Arial" w:hAnsi="Arial" w:cs="Arial"/>
                <w:sz w:val="18"/>
                <w:szCs w:val="16"/>
              </w:rPr>
              <w:t>)</w:t>
            </w:r>
            <w:r w:rsidR="000E059D">
              <w:rPr>
                <w:rFonts w:ascii="Arial" w:hAnsi="Arial" w:cs="Arial"/>
                <w:sz w:val="18"/>
                <w:szCs w:val="16"/>
              </w:rPr>
              <w:t xml:space="preserve"> </w:t>
            </w:r>
            <w:r w:rsidR="000E059D" w:rsidRPr="00067BBD">
              <w:rPr>
                <w:rFonts w:ascii="Arial" w:hAnsi="Arial" w:cs="Arial"/>
                <w:i/>
                <w:sz w:val="18"/>
                <w:szCs w:val="16"/>
                <w:vertAlign w:val="superscript"/>
              </w:rPr>
              <w:t>(2)</w:t>
            </w:r>
          </w:p>
        </w:tc>
        <w:tc>
          <w:tcPr>
            <w:tcW w:w="1341" w:type="dxa"/>
            <w:tcBorders>
              <w:top w:val="nil"/>
              <w:left w:val="nil"/>
              <w:bottom w:val="nil"/>
              <w:right w:val="nil"/>
            </w:tcBorders>
            <w:shd w:val="clear" w:color="000000" w:fill="FFFFFF"/>
            <w:noWrap/>
            <w:vAlign w:val="bottom"/>
            <w:hideMark/>
          </w:tcPr>
          <w:p w14:paraId="210258FC"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0.1</w:t>
            </w:r>
          </w:p>
        </w:tc>
        <w:tc>
          <w:tcPr>
            <w:tcW w:w="1531" w:type="dxa"/>
            <w:tcBorders>
              <w:top w:val="nil"/>
              <w:left w:val="nil"/>
              <w:bottom w:val="nil"/>
              <w:right w:val="nil"/>
            </w:tcBorders>
            <w:shd w:val="clear" w:color="000000" w:fill="FFFFFF"/>
            <w:noWrap/>
            <w:vAlign w:val="bottom"/>
            <w:hideMark/>
          </w:tcPr>
          <w:p w14:paraId="721C7CBB"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(2.6)</w:t>
            </w:r>
          </w:p>
        </w:tc>
        <w:tc>
          <w:tcPr>
            <w:tcW w:w="1481" w:type="dxa"/>
            <w:tcBorders>
              <w:top w:val="nil"/>
              <w:left w:val="nil"/>
              <w:bottom w:val="nil"/>
              <w:right w:val="nil"/>
            </w:tcBorders>
            <w:shd w:val="clear" w:color="000000" w:fill="FFFFFF"/>
            <w:noWrap/>
            <w:vAlign w:val="bottom"/>
            <w:hideMark/>
          </w:tcPr>
          <w:p w14:paraId="49EA132F"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(2.5)</w:t>
            </w:r>
          </w:p>
        </w:tc>
      </w:tr>
      <w:tr w:rsidR="006A6797" w:rsidRPr="002F292C" w14:paraId="54696C9F" w14:textId="77777777" w:rsidTr="00085137">
        <w:trPr>
          <w:trHeight w:val="262"/>
        </w:trPr>
        <w:tc>
          <w:tcPr>
            <w:tcW w:w="4919" w:type="dxa"/>
            <w:tcBorders>
              <w:top w:val="nil"/>
              <w:left w:val="nil"/>
              <w:bottom w:val="nil"/>
              <w:right w:val="nil"/>
            </w:tcBorders>
            <w:shd w:val="clear" w:color="000000" w:fill="FFFFFF"/>
            <w:noWrap/>
            <w:vAlign w:val="bottom"/>
            <w:hideMark/>
          </w:tcPr>
          <w:p w14:paraId="6CFA4BB1" w14:textId="77777777" w:rsidR="006A6797" w:rsidRPr="002F292C" w:rsidRDefault="006A6797" w:rsidP="00085137">
            <w:pPr>
              <w:rPr>
                <w:rFonts w:ascii="Arial" w:hAnsi="Arial" w:cs="Arial"/>
                <w:sz w:val="18"/>
                <w:szCs w:val="16"/>
              </w:rPr>
            </w:pPr>
            <w:r w:rsidRPr="002F292C">
              <w:rPr>
                <w:rFonts w:ascii="Arial" w:hAnsi="Arial" w:cs="Arial"/>
                <w:sz w:val="18"/>
                <w:szCs w:val="16"/>
              </w:rPr>
              <w:t>Other</w:t>
            </w:r>
          </w:p>
        </w:tc>
        <w:tc>
          <w:tcPr>
            <w:tcW w:w="1341" w:type="dxa"/>
            <w:tcBorders>
              <w:top w:val="nil"/>
              <w:left w:val="nil"/>
              <w:bottom w:val="nil"/>
              <w:right w:val="nil"/>
            </w:tcBorders>
            <w:shd w:val="clear" w:color="000000" w:fill="FFFFFF"/>
            <w:noWrap/>
            <w:vAlign w:val="bottom"/>
            <w:hideMark/>
          </w:tcPr>
          <w:p w14:paraId="5936BB03"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0.3</w:t>
            </w:r>
          </w:p>
        </w:tc>
        <w:tc>
          <w:tcPr>
            <w:tcW w:w="1531" w:type="dxa"/>
            <w:tcBorders>
              <w:top w:val="nil"/>
              <w:left w:val="nil"/>
              <w:bottom w:val="nil"/>
              <w:right w:val="nil"/>
            </w:tcBorders>
            <w:shd w:val="clear" w:color="000000" w:fill="FFFFFF"/>
            <w:noWrap/>
            <w:vAlign w:val="bottom"/>
            <w:hideMark/>
          </w:tcPr>
          <w:p w14:paraId="23B149B8"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w:t>
            </w:r>
          </w:p>
        </w:tc>
        <w:tc>
          <w:tcPr>
            <w:tcW w:w="1481" w:type="dxa"/>
            <w:tcBorders>
              <w:top w:val="nil"/>
              <w:left w:val="nil"/>
              <w:bottom w:val="nil"/>
              <w:right w:val="nil"/>
            </w:tcBorders>
            <w:shd w:val="clear" w:color="000000" w:fill="FFFFFF"/>
            <w:noWrap/>
            <w:vAlign w:val="bottom"/>
            <w:hideMark/>
          </w:tcPr>
          <w:p w14:paraId="6365D356" w14:textId="77777777" w:rsidR="006A6797" w:rsidRPr="002F292C" w:rsidRDefault="006A6797" w:rsidP="00085137">
            <w:pPr>
              <w:jc w:val="center"/>
              <w:rPr>
                <w:rFonts w:ascii="Arial" w:hAnsi="Arial" w:cs="Arial"/>
                <w:sz w:val="18"/>
                <w:szCs w:val="16"/>
              </w:rPr>
            </w:pPr>
            <w:r w:rsidRPr="002F292C">
              <w:rPr>
                <w:rFonts w:ascii="Arial" w:hAnsi="Arial" w:cs="Arial"/>
                <w:sz w:val="18"/>
                <w:szCs w:val="16"/>
              </w:rPr>
              <w:t>0.3</w:t>
            </w:r>
          </w:p>
        </w:tc>
      </w:tr>
      <w:tr w:rsidR="006A6797" w:rsidRPr="002F292C" w14:paraId="6F833DAB" w14:textId="77777777" w:rsidTr="00085137">
        <w:trPr>
          <w:trHeight w:val="277"/>
        </w:trPr>
        <w:tc>
          <w:tcPr>
            <w:tcW w:w="4919" w:type="dxa"/>
            <w:tcBorders>
              <w:top w:val="single" w:sz="4" w:space="0" w:color="auto"/>
              <w:left w:val="nil"/>
              <w:bottom w:val="single" w:sz="8" w:space="0" w:color="auto"/>
              <w:right w:val="nil"/>
            </w:tcBorders>
            <w:shd w:val="clear" w:color="000000" w:fill="FFFFFF"/>
            <w:noWrap/>
            <w:vAlign w:val="bottom"/>
            <w:hideMark/>
          </w:tcPr>
          <w:p w14:paraId="6B78FC8E" w14:textId="77777777" w:rsidR="006A6797" w:rsidRPr="002F292C" w:rsidRDefault="006A6797" w:rsidP="00085137">
            <w:pPr>
              <w:rPr>
                <w:rFonts w:ascii="Arial" w:hAnsi="Arial" w:cs="Arial"/>
                <w:b/>
                <w:bCs/>
                <w:sz w:val="18"/>
                <w:szCs w:val="16"/>
              </w:rPr>
            </w:pPr>
            <w:r w:rsidRPr="002F292C">
              <w:rPr>
                <w:rFonts w:ascii="Arial" w:hAnsi="Arial" w:cs="Arial"/>
                <w:b/>
                <w:bCs/>
                <w:sz w:val="18"/>
                <w:szCs w:val="16"/>
              </w:rPr>
              <w:t>Net assets</w:t>
            </w:r>
          </w:p>
        </w:tc>
        <w:tc>
          <w:tcPr>
            <w:tcW w:w="1341" w:type="dxa"/>
            <w:tcBorders>
              <w:top w:val="single" w:sz="4" w:space="0" w:color="auto"/>
              <w:left w:val="nil"/>
              <w:bottom w:val="single" w:sz="8" w:space="0" w:color="auto"/>
              <w:right w:val="nil"/>
            </w:tcBorders>
            <w:shd w:val="clear" w:color="000000" w:fill="FFFFFF"/>
            <w:noWrap/>
            <w:vAlign w:val="bottom"/>
            <w:hideMark/>
          </w:tcPr>
          <w:p w14:paraId="1B7DC9E6" w14:textId="77777777" w:rsidR="006A6797" w:rsidRPr="002F292C" w:rsidRDefault="006A6797" w:rsidP="00085137">
            <w:pPr>
              <w:jc w:val="center"/>
              <w:rPr>
                <w:rFonts w:ascii="Arial" w:hAnsi="Arial" w:cs="Arial"/>
                <w:b/>
                <w:bCs/>
                <w:sz w:val="18"/>
                <w:szCs w:val="16"/>
              </w:rPr>
            </w:pPr>
            <w:r w:rsidRPr="002F292C">
              <w:rPr>
                <w:rFonts w:ascii="Arial" w:hAnsi="Arial" w:cs="Arial"/>
                <w:b/>
                <w:bCs/>
                <w:sz w:val="18"/>
                <w:szCs w:val="16"/>
              </w:rPr>
              <w:t>6.7</w:t>
            </w:r>
          </w:p>
        </w:tc>
        <w:tc>
          <w:tcPr>
            <w:tcW w:w="1531" w:type="dxa"/>
            <w:tcBorders>
              <w:top w:val="single" w:sz="4" w:space="0" w:color="auto"/>
              <w:left w:val="nil"/>
              <w:bottom w:val="single" w:sz="8" w:space="0" w:color="auto"/>
              <w:right w:val="nil"/>
            </w:tcBorders>
            <w:shd w:val="clear" w:color="000000" w:fill="FFFFFF"/>
            <w:noWrap/>
            <w:vAlign w:val="bottom"/>
            <w:hideMark/>
          </w:tcPr>
          <w:p w14:paraId="43B74F33" w14:textId="77777777" w:rsidR="006A6797" w:rsidRPr="002F292C" w:rsidRDefault="006A6797" w:rsidP="00085137">
            <w:pPr>
              <w:jc w:val="center"/>
              <w:rPr>
                <w:rFonts w:ascii="Arial" w:hAnsi="Arial" w:cs="Arial"/>
                <w:b/>
                <w:bCs/>
                <w:sz w:val="18"/>
                <w:szCs w:val="16"/>
              </w:rPr>
            </w:pPr>
            <w:r w:rsidRPr="002F292C">
              <w:rPr>
                <w:rFonts w:ascii="Arial" w:hAnsi="Arial" w:cs="Arial"/>
                <w:b/>
                <w:bCs/>
                <w:sz w:val="18"/>
                <w:szCs w:val="16"/>
              </w:rPr>
              <w:t>(0.5)</w:t>
            </w:r>
          </w:p>
        </w:tc>
        <w:tc>
          <w:tcPr>
            <w:tcW w:w="1481" w:type="dxa"/>
            <w:tcBorders>
              <w:top w:val="single" w:sz="4" w:space="0" w:color="auto"/>
              <w:left w:val="nil"/>
              <w:bottom w:val="single" w:sz="8" w:space="0" w:color="auto"/>
              <w:right w:val="nil"/>
            </w:tcBorders>
            <w:shd w:val="clear" w:color="000000" w:fill="FFFFFF"/>
            <w:noWrap/>
            <w:vAlign w:val="bottom"/>
            <w:hideMark/>
          </w:tcPr>
          <w:p w14:paraId="6A663EC7" w14:textId="77777777" w:rsidR="006A6797" w:rsidRPr="002F292C" w:rsidRDefault="006A6797" w:rsidP="00085137">
            <w:pPr>
              <w:jc w:val="center"/>
              <w:rPr>
                <w:rFonts w:ascii="Arial" w:hAnsi="Arial" w:cs="Arial"/>
                <w:b/>
                <w:bCs/>
                <w:sz w:val="18"/>
                <w:szCs w:val="16"/>
              </w:rPr>
            </w:pPr>
            <w:r w:rsidRPr="002F292C">
              <w:rPr>
                <w:rFonts w:ascii="Arial" w:hAnsi="Arial" w:cs="Arial"/>
                <w:b/>
                <w:bCs/>
                <w:sz w:val="18"/>
                <w:szCs w:val="16"/>
              </w:rPr>
              <w:t>6.2</w:t>
            </w:r>
          </w:p>
        </w:tc>
      </w:tr>
    </w:tbl>
    <w:p w14:paraId="18E1C01C" w14:textId="77777777" w:rsidR="006A6797" w:rsidRDefault="006A6797" w:rsidP="006A6797">
      <w:pPr>
        <w:rPr>
          <w:rFonts w:ascii="Arial" w:hAnsi="Arial" w:cs="Arial"/>
          <w:i/>
          <w:iCs/>
          <w:sz w:val="16"/>
          <w:szCs w:val="16"/>
        </w:rPr>
      </w:pPr>
    </w:p>
    <w:p w14:paraId="2793B6BC" w14:textId="266D1505" w:rsidR="006A6797" w:rsidRPr="000E059D" w:rsidRDefault="006A6797" w:rsidP="000E059D">
      <w:pPr>
        <w:pStyle w:val="ListParagraph"/>
        <w:numPr>
          <w:ilvl w:val="0"/>
          <w:numId w:val="9"/>
        </w:numPr>
        <w:rPr>
          <w:rFonts w:ascii="Arial" w:hAnsi="Arial" w:cs="Arial"/>
          <w:i/>
          <w:iCs/>
          <w:sz w:val="16"/>
          <w:szCs w:val="16"/>
        </w:rPr>
      </w:pPr>
      <w:r w:rsidRPr="000E059D">
        <w:rPr>
          <w:rFonts w:ascii="Arial" w:hAnsi="Arial" w:cs="Arial"/>
          <w:i/>
          <w:iCs/>
          <w:sz w:val="16"/>
          <w:szCs w:val="16"/>
        </w:rPr>
        <w:t xml:space="preserve">Includes goodwill, </w:t>
      </w:r>
      <w:r w:rsidR="005E296C">
        <w:rPr>
          <w:rFonts w:ascii="Arial" w:hAnsi="Arial" w:cs="Arial"/>
          <w:i/>
          <w:iCs/>
          <w:sz w:val="16"/>
          <w:szCs w:val="16"/>
        </w:rPr>
        <w:t xml:space="preserve">other </w:t>
      </w:r>
      <w:r w:rsidR="005E296C" w:rsidRPr="000E059D">
        <w:rPr>
          <w:rFonts w:ascii="Arial" w:hAnsi="Arial" w:cs="Arial"/>
          <w:i/>
          <w:iCs/>
          <w:sz w:val="16"/>
          <w:szCs w:val="16"/>
        </w:rPr>
        <w:t>intangible</w:t>
      </w:r>
      <w:r w:rsidR="005E296C">
        <w:rPr>
          <w:rFonts w:ascii="Arial" w:hAnsi="Arial" w:cs="Arial"/>
          <w:i/>
          <w:iCs/>
          <w:sz w:val="16"/>
          <w:szCs w:val="16"/>
        </w:rPr>
        <w:t xml:space="preserve"> assets, property, plant and equipment</w:t>
      </w:r>
      <w:r w:rsidRPr="000E059D">
        <w:rPr>
          <w:rFonts w:ascii="Arial" w:hAnsi="Arial" w:cs="Arial"/>
          <w:i/>
          <w:iCs/>
          <w:sz w:val="16"/>
          <w:szCs w:val="16"/>
        </w:rPr>
        <w:t xml:space="preserve">, </w:t>
      </w:r>
      <w:r w:rsidR="005E296C">
        <w:rPr>
          <w:rFonts w:ascii="Arial" w:hAnsi="Arial" w:cs="Arial"/>
          <w:i/>
          <w:iCs/>
          <w:sz w:val="16"/>
          <w:szCs w:val="16"/>
        </w:rPr>
        <w:t xml:space="preserve">investment property and </w:t>
      </w:r>
      <w:r w:rsidRPr="000E059D">
        <w:rPr>
          <w:rFonts w:ascii="Arial" w:hAnsi="Arial" w:cs="Arial"/>
          <w:i/>
          <w:iCs/>
          <w:sz w:val="16"/>
          <w:szCs w:val="16"/>
        </w:rPr>
        <w:t xml:space="preserve">investments </w:t>
      </w:r>
      <w:r w:rsidR="005E296C">
        <w:rPr>
          <w:rFonts w:ascii="Arial" w:hAnsi="Arial" w:cs="Arial"/>
          <w:i/>
          <w:iCs/>
          <w:sz w:val="16"/>
          <w:szCs w:val="16"/>
        </w:rPr>
        <w:t>in joint ventures and associates</w:t>
      </w:r>
    </w:p>
    <w:p w14:paraId="3AF5A2BF" w14:textId="41CC247A" w:rsidR="000E059D" w:rsidRPr="000E059D" w:rsidRDefault="000E059D" w:rsidP="000E059D">
      <w:pPr>
        <w:pStyle w:val="ListParagraph"/>
        <w:numPr>
          <w:ilvl w:val="0"/>
          <w:numId w:val="9"/>
        </w:numPr>
        <w:rPr>
          <w:rFonts w:ascii="Arial" w:hAnsi="Arial" w:cs="Arial"/>
          <w:i/>
          <w:iCs/>
          <w:sz w:val="16"/>
          <w:szCs w:val="16"/>
        </w:rPr>
      </w:pPr>
      <w:r>
        <w:rPr>
          <w:rFonts w:ascii="Arial" w:hAnsi="Arial" w:cs="Arial"/>
          <w:i/>
          <w:iCs/>
          <w:sz w:val="16"/>
          <w:szCs w:val="16"/>
        </w:rPr>
        <w:t>Net debt under IFRS 16 comprises lease liabilities and financial net cash (‘net cash’ under IAS 17</w:t>
      </w:r>
      <w:r w:rsidR="005E296C">
        <w:rPr>
          <w:rFonts w:ascii="Arial" w:hAnsi="Arial" w:cs="Arial"/>
          <w:i/>
          <w:iCs/>
          <w:sz w:val="16"/>
          <w:szCs w:val="16"/>
        </w:rPr>
        <w:t xml:space="preserve"> excluding finance leases</w:t>
      </w:r>
      <w:r>
        <w:rPr>
          <w:rFonts w:ascii="Arial" w:hAnsi="Arial" w:cs="Arial"/>
          <w:i/>
          <w:iCs/>
          <w:sz w:val="16"/>
          <w:szCs w:val="16"/>
        </w:rPr>
        <w:t>)</w:t>
      </w:r>
    </w:p>
    <w:p w14:paraId="68D6057D" w14:textId="77777777" w:rsidR="006A6797" w:rsidRDefault="006A6797" w:rsidP="006A6797"/>
    <w:bookmarkEnd w:id="3"/>
    <w:p w14:paraId="1532F332" w14:textId="727AB9E1" w:rsidR="00517D1C" w:rsidRDefault="00677D90" w:rsidP="00B07C62">
      <w:pPr>
        <w:rPr>
          <w:rFonts w:ascii="Arial" w:hAnsi="Arial" w:cs="Arial"/>
          <w:sz w:val="18"/>
          <w:szCs w:val="18"/>
        </w:rPr>
      </w:pPr>
      <w:r w:rsidRPr="00564522">
        <w:rPr>
          <w:rFonts w:ascii="Arial" w:hAnsi="Arial" w:cs="Arial"/>
          <w:sz w:val="18"/>
          <w:szCs w:val="18"/>
        </w:rPr>
        <w:t>Other new standards, amendments and interpretations which are in issue but not yet effective are not expected to have a material impact on the consolidated financial statements</w:t>
      </w:r>
      <w:r w:rsidR="000E059D">
        <w:rPr>
          <w:rFonts w:ascii="Arial" w:hAnsi="Arial" w:cs="Arial"/>
          <w:sz w:val="18"/>
          <w:szCs w:val="18"/>
        </w:rPr>
        <w:t>.</w:t>
      </w:r>
    </w:p>
    <w:bookmarkEnd w:id="4"/>
    <w:p w14:paraId="5EA894F6" w14:textId="77777777" w:rsidR="000C6684" w:rsidRPr="004D59D2" w:rsidRDefault="000C6684" w:rsidP="004D59D2">
      <w:pPr>
        <w:jc w:val="both"/>
        <w:rPr>
          <w:rFonts w:ascii="Arial" w:hAnsi="Arial" w:cs="Arial"/>
          <w:sz w:val="18"/>
          <w:szCs w:val="18"/>
        </w:rPr>
      </w:pPr>
    </w:p>
    <w:p w14:paraId="04678C5E" w14:textId="77777777" w:rsidR="00BF0550" w:rsidRPr="00BE4C64" w:rsidRDefault="00BF0550" w:rsidP="00BA0967">
      <w:pPr>
        <w:jc w:val="both"/>
        <w:rPr>
          <w:rFonts w:ascii="Arial" w:hAnsi="Arial" w:cs="Arial"/>
          <w:b/>
          <w:i/>
          <w:sz w:val="18"/>
          <w:szCs w:val="18"/>
        </w:rPr>
      </w:pPr>
      <w:r w:rsidRPr="00BE4C64">
        <w:rPr>
          <w:rFonts w:ascii="Arial" w:hAnsi="Arial" w:cs="Arial"/>
          <w:b/>
          <w:i/>
          <w:sz w:val="18"/>
          <w:szCs w:val="18"/>
        </w:rPr>
        <w:t>Principal rates of exchange</w:t>
      </w:r>
      <w:r w:rsidR="0018034B">
        <w:rPr>
          <w:rFonts w:ascii="Arial" w:hAnsi="Arial" w:cs="Arial"/>
          <w:b/>
          <w:i/>
          <w:sz w:val="18"/>
          <w:szCs w:val="18"/>
        </w:rPr>
        <w:t xml:space="preserve"> against Sterling</w:t>
      </w:r>
    </w:p>
    <w:p w14:paraId="1380B450" w14:textId="77777777" w:rsidR="00BF0550" w:rsidRDefault="00BF0550" w:rsidP="00BF0550">
      <w:pPr>
        <w:rPr>
          <w:rFonts w:ascii="Arial" w:hAnsi="Arial" w:cs="Arial"/>
          <w:sz w:val="18"/>
          <w:szCs w:val="18"/>
        </w:rPr>
      </w:pPr>
    </w:p>
    <w:tbl>
      <w:tblPr>
        <w:tblW w:w="5000" w:type="pct"/>
        <w:tblLook w:val="01E0" w:firstRow="1" w:lastRow="1" w:firstColumn="1" w:lastColumn="1" w:noHBand="0" w:noVBand="0"/>
      </w:tblPr>
      <w:tblGrid>
        <w:gridCol w:w="3911"/>
        <w:gridCol w:w="1412"/>
        <w:gridCol w:w="1412"/>
        <w:gridCol w:w="1412"/>
        <w:gridCol w:w="1492"/>
      </w:tblGrid>
      <w:tr w:rsidR="00D37B68" w:rsidRPr="002565C4" w14:paraId="61F85324" w14:textId="77777777" w:rsidTr="00F47D62">
        <w:tc>
          <w:tcPr>
            <w:tcW w:w="3911" w:type="dxa"/>
            <w:shd w:val="clear" w:color="auto" w:fill="auto"/>
            <w:vAlign w:val="bottom"/>
          </w:tcPr>
          <w:p w14:paraId="4B922373" w14:textId="77777777" w:rsidR="00BF0550" w:rsidRPr="002565C4" w:rsidRDefault="00BF0550" w:rsidP="007713F0">
            <w:pPr>
              <w:rPr>
                <w:rFonts w:ascii="Arial" w:hAnsi="Arial" w:cs="Arial"/>
                <w:sz w:val="18"/>
                <w:szCs w:val="18"/>
              </w:rPr>
            </w:pPr>
          </w:p>
        </w:tc>
        <w:tc>
          <w:tcPr>
            <w:tcW w:w="1412" w:type="dxa"/>
            <w:tcBorders>
              <w:bottom w:val="single" w:sz="4" w:space="0" w:color="auto"/>
            </w:tcBorders>
            <w:shd w:val="clear" w:color="auto" w:fill="auto"/>
            <w:vAlign w:val="bottom"/>
          </w:tcPr>
          <w:p w14:paraId="4066CA12" w14:textId="77777777" w:rsidR="00BF0550" w:rsidRPr="002565C4" w:rsidRDefault="00BF0550" w:rsidP="007713F0">
            <w:pPr>
              <w:rPr>
                <w:rFonts w:ascii="Arial" w:hAnsi="Arial" w:cs="Arial"/>
                <w:sz w:val="18"/>
                <w:szCs w:val="18"/>
              </w:rPr>
            </w:pPr>
          </w:p>
        </w:tc>
        <w:tc>
          <w:tcPr>
            <w:tcW w:w="1412" w:type="dxa"/>
            <w:tcBorders>
              <w:bottom w:val="single" w:sz="4" w:space="0" w:color="auto"/>
            </w:tcBorders>
            <w:shd w:val="clear" w:color="auto" w:fill="auto"/>
            <w:vAlign w:val="bottom"/>
          </w:tcPr>
          <w:p w14:paraId="4262DF78" w14:textId="77777777" w:rsidR="00BF0550" w:rsidRPr="002565C4" w:rsidRDefault="00BF0550" w:rsidP="00F47D62">
            <w:pPr>
              <w:jc w:val="right"/>
              <w:rPr>
                <w:rFonts w:ascii="Arial" w:hAnsi="Arial" w:cs="Arial"/>
                <w:sz w:val="18"/>
                <w:szCs w:val="18"/>
              </w:rPr>
            </w:pPr>
            <w:r w:rsidRPr="002565C4">
              <w:rPr>
                <w:rFonts w:ascii="Arial" w:hAnsi="Arial" w:cs="Arial"/>
                <w:sz w:val="18"/>
                <w:szCs w:val="18"/>
              </w:rPr>
              <w:t>201</w:t>
            </w:r>
            <w:r w:rsidR="004A5A3C">
              <w:rPr>
                <w:rFonts w:ascii="Arial" w:hAnsi="Arial" w:cs="Arial"/>
                <w:sz w:val="18"/>
                <w:szCs w:val="18"/>
              </w:rPr>
              <w:t>8</w:t>
            </w:r>
            <w:r w:rsidRPr="002565C4">
              <w:rPr>
                <w:rFonts w:ascii="Arial" w:hAnsi="Arial" w:cs="Arial"/>
                <w:sz w:val="18"/>
                <w:szCs w:val="18"/>
              </w:rPr>
              <w:t>/1</w:t>
            </w:r>
            <w:r w:rsidR="004A5A3C">
              <w:rPr>
                <w:rFonts w:ascii="Arial" w:hAnsi="Arial" w:cs="Arial"/>
                <w:sz w:val="18"/>
                <w:szCs w:val="18"/>
              </w:rPr>
              <w:t>9</w:t>
            </w:r>
          </w:p>
        </w:tc>
        <w:tc>
          <w:tcPr>
            <w:tcW w:w="1412" w:type="dxa"/>
            <w:tcBorders>
              <w:bottom w:val="single" w:sz="4" w:space="0" w:color="auto"/>
            </w:tcBorders>
            <w:shd w:val="clear" w:color="auto" w:fill="auto"/>
            <w:vAlign w:val="bottom"/>
          </w:tcPr>
          <w:p w14:paraId="6623CAA5" w14:textId="77777777" w:rsidR="00BF0550" w:rsidRPr="002565C4" w:rsidRDefault="00BF0550" w:rsidP="002565C4">
            <w:pPr>
              <w:jc w:val="right"/>
              <w:rPr>
                <w:rFonts w:ascii="Arial" w:hAnsi="Arial" w:cs="Arial"/>
                <w:sz w:val="18"/>
                <w:szCs w:val="18"/>
              </w:rPr>
            </w:pPr>
          </w:p>
        </w:tc>
        <w:tc>
          <w:tcPr>
            <w:tcW w:w="1492" w:type="dxa"/>
            <w:tcBorders>
              <w:bottom w:val="single" w:sz="4" w:space="0" w:color="auto"/>
            </w:tcBorders>
            <w:shd w:val="clear" w:color="auto" w:fill="auto"/>
            <w:vAlign w:val="bottom"/>
          </w:tcPr>
          <w:p w14:paraId="062203CC" w14:textId="77777777" w:rsidR="00BF0550" w:rsidRPr="002565C4" w:rsidRDefault="00F47D62" w:rsidP="002565C4">
            <w:pPr>
              <w:jc w:val="right"/>
              <w:rPr>
                <w:rFonts w:ascii="Arial" w:hAnsi="Arial" w:cs="Arial"/>
                <w:sz w:val="18"/>
                <w:szCs w:val="18"/>
              </w:rPr>
            </w:pPr>
            <w:r w:rsidRPr="002565C4">
              <w:rPr>
                <w:rFonts w:ascii="Arial" w:hAnsi="Arial" w:cs="Arial"/>
                <w:sz w:val="18"/>
                <w:szCs w:val="18"/>
              </w:rPr>
              <w:t>201</w:t>
            </w:r>
            <w:r w:rsidR="004A5A3C">
              <w:rPr>
                <w:rFonts w:ascii="Arial" w:hAnsi="Arial" w:cs="Arial"/>
                <w:sz w:val="18"/>
                <w:szCs w:val="18"/>
              </w:rPr>
              <w:t>7</w:t>
            </w:r>
            <w:r w:rsidRPr="002565C4">
              <w:rPr>
                <w:rFonts w:ascii="Arial" w:hAnsi="Arial" w:cs="Arial"/>
                <w:sz w:val="18"/>
                <w:szCs w:val="18"/>
              </w:rPr>
              <w:t>/1</w:t>
            </w:r>
            <w:r w:rsidR="004A5A3C">
              <w:rPr>
                <w:rFonts w:ascii="Arial" w:hAnsi="Arial" w:cs="Arial"/>
                <w:sz w:val="18"/>
                <w:szCs w:val="18"/>
              </w:rPr>
              <w:t>8</w:t>
            </w:r>
          </w:p>
        </w:tc>
      </w:tr>
      <w:tr w:rsidR="00B07D6F" w:rsidRPr="002565C4" w14:paraId="16056AF0" w14:textId="77777777" w:rsidTr="00F47D62">
        <w:tc>
          <w:tcPr>
            <w:tcW w:w="3911" w:type="dxa"/>
            <w:tcBorders>
              <w:bottom w:val="single" w:sz="4" w:space="0" w:color="auto"/>
            </w:tcBorders>
            <w:shd w:val="clear" w:color="auto" w:fill="auto"/>
            <w:vAlign w:val="bottom"/>
          </w:tcPr>
          <w:p w14:paraId="0E9A8876" w14:textId="77777777" w:rsidR="00B07D6F" w:rsidRPr="002565C4" w:rsidRDefault="00B07D6F" w:rsidP="007713F0">
            <w:pPr>
              <w:rPr>
                <w:rFonts w:ascii="Arial" w:hAnsi="Arial" w:cs="Arial"/>
                <w:sz w:val="18"/>
                <w:szCs w:val="18"/>
              </w:rPr>
            </w:pPr>
          </w:p>
        </w:tc>
        <w:tc>
          <w:tcPr>
            <w:tcW w:w="1412" w:type="dxa"/>
            <w:tcBorders>
              <w:top w:val="single" w:sz="4" w:space="0" w:color="auto"/>
              <w:bottom w:val="single" w:sz="4" w:space="0" w:color="auto"/>
            </w:tcBorders>
            <w:shd w:val="clear" w:color="auto" w:fill="auto"/>
            <w:vAlign w:val="bottom"/>
          </w:tcPr>
          <w:p w14:paraId="5971DE6C" w14:textId="77777777" w:rsidR="00B07D6F" w:rsidRPr="002565C4" w:rsidRDefault="00B07D6F" w:rsidP="002565C4">
            <w:pPr>
              <w:jc w:val="right"/>
              <w:rPr>
                <w:rFonts w:ascii="Arial" w:hAnsi="Arial" w:cs="Arial"/>
                <w:sz w:val="18"/>
                <w:szCs w:val="18"/>
              </w:rPr>
            </w:pPr>
            <w:r w:rsidRPr="002565C4">
              <w:rPr>
                <w:rFonts w:ascii="Arial" w:hAnsi="Arial" w:cs="Arial"/>
                <w:sz w:val="18"/>
                <w:szCs w:val="18"/>
              </w:rPr>
              <w:t>Average rate</w:t>
            </w:r>
          </w:p>
        </w:tc>
        <w:tc>
          <w:tcPr>
            <w:tcW w:w="1412" w:type="dxa"/>
            <w:tcBorders>
              <w:top w:val="single" w:sz="4" w:space="0" w:color="auto"/>
              <w:bottom w:val="single" w:sz="4" w:space="0" w:color="auto"/>
            </w:tcBorders>
            <w:shd w:val="clear" w:color="auto" w:fill="auto"/>
            <w:vAlign w:val="bottom"/>
          </w:tcPr>
          <w:p w14:paraId="006EC0FC" w14:textId="77777777" w:rsidR="00B07D6F" w:rsidRPr="002565C4" w:rsidRDefault="00B07D6F" w:rsidP="002565C4">
            <w:pPr>
              <w:jc w:val="right"/>
              <w:rPr>
                <w:rFonts w:ascii="Arial" w:hAnsi="Arial" w:cs="Arial"/>
                <w:sz w:val="18"/>
                <w:szCs w:val="18"/>
              </w:rPr>
            </w:pPr>
            <w:r w:rsidRPr="002565C4">
              <w:rPr>
                <w:rFonts w:ascii="Arial" w:hAnsi="Arial" w:cs="Arial"/>
                <w:sz w:val="18"/>
                <w:szCs w:val="18"/>
              </w:rPr>
              <w:t>Year end rate</w:t>
            </w:r>
          </w:p>
        </w:tc>
        <w:tc>
          <w:tcPr>
            <w:tcW w:w="1412" w:type="dxa"/>
            <w:tcBorders>
              <w:top w:val="single" w:sz="4" w:space="0" w:color="auto"/>
              <w:bottom w:val="single" w:sz="4" w:space="0" w:color="auto"/>
            </w:tcBorders>
            <w:shd w:val="clear" w:color="auto" w:fill="auto"/>
            <w:vAlign w:val="bottom"/>
          </w:tcPr>
          <w:p w14:paraId="33EE3EAB" w14:textId="77777777" w:rsidR="00B07D6F" w:rsidRPr="002565C4" w:rsidRDefault="00B07D6F" w:rsidP="002565C4">
            <w:pPr>
              <w:jc w:val="right"/>
              <w:rPr>
                <w:rFonts w:ascii="Arial" w:hAnsi="Arial" w:cs="Arial"/>
                <w:sz w:val="18"/>
                <w:szCs w:val="18"/>
              </w:rPr>
            </w:pPr>
            <w:r w:rsidRPr="002565C4">
              <w:rPr>
                <w:rFonts w:ascii="Arial" w:hAnsi="Arial" w:cs="Arial"/>
                <w:sz w:val="18"/>
                <w:szCs w:val="18"/>
              </w:rPr>
              <w:t>Average rate</w:t>
            </w:r>
          </w:p>
        </w:tc>
        <w:tc>
          <w:tcPr>
            <w:tcW w:w="1492" w:type="dxa"/>
            <w:tcBorders>
              <w:top w:val="single" w:sz="4" w:space="0" w:color="auto"/>
              <w:bottom w:val="single" w:sz="4" w:space="0" w:color="auto"/>
            </w:tcBorders>
            <w:shd w:val="clear" w:color="auto" w:fill="auto"/>
            <w:vAlign w:val="bottom"/>
          </w:tcPr>
          <w:p w14:paraId="55E6E5A9" w14:textId="77777777" w:rsidR="00B07D6F" w:rsidRPr="002565C4" w:rsidRDefault="00B07D6F" w:rsidP="002565C4">
            <w:pPr>
              <w:jc w:val="right"/>
              <w:rPr>
                <w:rFonts w:ascii="Arial" w:hAnsi="Arial" w:cs="Arial"/>
                <w:sz w:val="18"/>
                <w:szCs w:val="18"/>
              </w:rPr>
            </w:pPr>
            <w:r w:rsidRPr="002565C4">
              <w:rPr>
                <w:rFonts w:ascii="Arial" w:hAnsi="Arial" w:cs="Arial"/>
                <w:sz w:val="18"/>
                <w:szCs w:val="18"/>
              </w:rPr>
              <w:t>Year end rate</w:t>
            </w:r>
          </w:p>
        </w:tc>
      </w:tr>
      <w:tr w:rsidR="004A5A3C" w:rsidRPr="002565C4" w14:paraId="168657E4" w14:textId="77777777" w:rsidTr="00F47D62">
        <w:trPr>
          <w:trHeight w:val="158"/>
        </w:trPr>
        <w:tc>
          <w:tcPr>
            <w:tcW w:w="3911" w:type="dxa"/>
            <w:shd w:val="clear" w:color="auto" w:fill="auto"/>
            <w:vAlign w:val="bottom"/>
          </w:tcPr>
          <w:p w14:paraId="68E42F95" w14:textId="77777777" w:rsidR="004A5A3C" w:rsidRPr="002565C4" w:rsidRDefault="004A5A3C" w:rsidP="004A5A3C">
            <w:pPr>
              <w:rPr>
                <w:rFonts w:ascii="Arial" w:hAnsi="Arial" w:cs="Arial"/>
                <w:sz w:val="18"/>
                <w:szCs w:val="18"/>
              </w:rPr>
            </w:pPr>
            <w:r w:rsidRPr="002565C4">
              <w:rPr>
                <w:rFonts w:ascii="Arial" w:hAnsi="Arial" w:cs="Arial"/>
                <w:sz w:val="18"/>
                <w:szCs w:val="18"/>
              </w:rPr>
              <w:t>Euro</w:t>
            </w:r>
          </w:p>
        </w:tc>
        <w:tc>
          <w:tcPr>
            <w:tcW w:w="1412" w:type="dxa"/>
            <w:shd w:val="clear" w:color="auto" w:fill="auto"/>
            <w:vAlign w:val="bottom"/>
          </w:tcPr>
          <w:p w14:paraId="15026264" w14:textId="77777777" w:rsidR="004A5A3C" w:rsidRPr="00B70556" w:rsidRDefault="004A5A3C" w:rsidP="004A5A3C">
            <w:pPr>
              <w:jc w:val="right"/>
              <w:rPr>
                <w:rFonts w:ascii="Arial" w:hAnsi="Arial" w:cs="Arial"/>
                <w:b/>
                <w:sz w:val="18"/>
                <w:szCs w:val="18"/>
              </w:rPr>
            </w:pPr>
            <w:r w:rsidRPr="00B70556">
              <w:rPr>
                <w:rFonts w:ascii="Arial" w:hAnsi="Arial" w:cs="Arial"/>
                <w:b/>
                <w:sz w:val="18"/>
                <w:szCs w:val="18"/>
              </w:rPr>
              <w:t>1.1</w:t>
            </w:r>
            <w:r w:rsidR="00B70556" w:rsidRPr="00B70556">
              <w:rPr>
                <w:rFonts w:ascii="Arial" w:hAnsi="Arial" w:cs="Arial"/>
                <w:b/>
                <w:sz w:val="18"/>
                <w:szCs w:val="18"/>
              </w:rPr>
              <w:t>3</w:t>
            </w:r>
          </w:p>
        </w:tc>
        <w:tc>
          <w:tcPr>
            <w:tcW w:w="1412" w:type="dxa"/>
            <w:shd w:val="clear" w:color="auto" w:fill="auto"/>
            <w:vAlign w:val="bottom"/>
          </w:tcPr>
          <w:p w14:paraId="17854217" w14:textId="77777777" w:rsidR="004A5A3C" w:rsidRPr="00B70556" w:rsidRDefault="004A5A3C" w:rsidP="004A5A3C">
            <w:pPr>
              <w:jc w:val="right"/>
              <w:rPr>
                <w:rFonts w:ascii="Arial" w:hAnsi="Arial" w:cs="Arial"/>
                <w:b/>
                <w:sz w:val="18"/>
                <w:szCs w:val="18"/>
              </w:rPr>
            </w:pPr>
            <w:r w:rsidRPr="00B70556">
              <w:rPr>
                <w:rFonts w:ascii="Arial" w:hAnsi="Arial" w:cs="Arial"/>
                <w:b/>
                <w:sz w:val="18"/>
                <w:szCs w:val="18"/>
              </w:rPr>
              <w:t>1.1</w:t>
            </w:r>
            <w:r w:rsidR="00B70556" w:rsidRPr="00B70556">
              <w:rPr>
                <w:rFonts w:ascii="Arial" w:hAnsi="Arial" w:cs="Arial"/>
                <w:b/>
                <w:sz w:val="18"/>
                <w:szCs w:val="18"/>
              </w:rPr>
              <w:t>5</w:t>
            </w:r>
          </w:p>
        </w:tc>
        <w:tc>
          <w:tcPr>
            <w:tcW w:w="1412" w:type="dxa"/>
            <w:shd w:val="clear" w:color="auto" w:fill="auto"/>
            <w:vAlign w:val="bottom"/>
          </w:tcPr>
          <w:p w14:paraId="6E4522D3"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1.14</w:t>
            </w:r>
          </w:p>
        </w:tc>
        <w:tc>
          <w:tcPr>
            <w:tcW w:w="1492" w:type="dxa"/>
            <w:shd w:val="clear" w:color="auto" w:fill="auto"/>
            <w:vAlign w:val="bottom"/>
          </w:tcPr>
          <w:p w14:paraId="6D55FAE0"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1.14</w:t>
            </w:r>
          </w:p>
        </w:tc>
      </w:tr>
      <w:tr w:rsidR="004A5A3C" w:rsidRPr="002565C4" w14:paraId="03802C84" w14:textId="77777777" w:rsidTr="00F47D62">
        <w:tc>
          <w:tcPr>
            <w:tcW w:w="3911" w:type="dxa"/>
            <w:shd w:val="clear" w:color="auto" w:fill="auto"/>
            <w:vAlign w:val="bottom"/>
          </w:tcPr>
          <w:p w14:paraId="3AE68AB0" w14:textId="77777777" w:rsidR="004A5A3C" w:rsidRPr="002565C4" w:rsidRDefault="004A5A3C" w:rsidP="004A5A3C">
            <w:pPr>
              <w:rPr>
                <w:rFonts w:ascii="Arial" w:hAnsi="Arial" w:cs="Arial"/>
                <w:sz w:val="18"/>
                <w:szCs w:val="18"/>
              </w:rPr>
            </w:pPr>
            <w:r w:rsidRPr="002565C4">
              <w:rPr>
                <w:rFonts w:ascii="Arial" w:hAnsi="Arial" w:cs="Arial"/>
                <w:sz w:val="18"/>
                <w:szCs w:val="18"/>
              </w:rPr>
              <w:t>US Dollar</w:t>
            </w:r>
          </w:p>
        </w:tc>
        <w:tc>
          <w:tcPr>
            <w:tcW w:w="1412" w:type="dxa"/>
            <w:shd w:val="clear" w:color="auto" w:fill="auto"/>
            <w:vAlign w:val="bottom"/>
          </w:tcPr>
          <w:p w14:paraId="39635901" w14:textId="77777777" w:rsidR="004A5A3C" w:rsidRPr="00B70556" w:rsidRDefault="004A5A3C" w:rsidP="004A5A3C">
            <w:pPr>
              <w:jc w:val="right"/>
              <w:rPr>
                <w:rFonts w:ascii="Arial" w:hAnsi="Arial" w:cs="Arial"/>
                <w:b/>
                <w:sz w:val="18"/>
                <w:szCs w:val="18"/>
              </w:rPr>
            </w:pPr>
            <w:r w:rsidRPr="00B70556">
              <w:rPr>
                <w:rFonts w:ascii="Arial" w:hAnsi="Arial" w:cs="Arial"/>
                <w:b/>
                <w:sz w:val="18"/>
                <w:szCs w:val="18"/>
              </w:rPr>
              <w:t>1.3</w:t>
            </w:r>
            <w:r w:rsidR="00B70556" w:rsidRPr="00B70556">
              <w:rPr>
                <w:rFonts w:ascii="Arial" w:hAnsi="Arial" w:cs="Arial"/>
                <w:b/>
                <w:sz w:val="18"/>
                <w:szCs w:val="18"/>
              </w:rPr>
              <w:t>3</w:t>
            </w:r>
          </w:p>
        </w:tc>
        <w:tc>
          <w:tcPr>
            <w:tcW w:w="1412" w:type="dxa"/>
            <w:shd w:val="clear" w:color="auto" w:fill="auto"/>
            <w:vAlign w:val="bottom"/>
          </w:tcPr>
          <w:p w14:paraId="335A57C0" w14:textId="77777777" w:rsidR="004A5A3C" w:rsidRPr="00B70556" w:rsidRDefault="004A5A3C" w:rsidP="004A5A3C">
            <w:pPr>
              <w:jc w:val="right"/>
              <w:rPr>
                <w:rFonts w:ascii="Arial" w:hAnsi="Arial" w:cs="Arial"/>
                <w:b/>
                <w:sz w:val="18"/>
                <w:szCs w:val="18"/>
              </w:rPr>
            </w:pPr>
            <w:r w:rsidRPr="00B70556">
              <w:rPr>
                <w:rFonts w:ascii="Arial" w:hAnsi="Arial" w:cs="Arial"/>
                <w:b/>
                <w:sz w:val="18"/>
                <w:szCs w:val="18"/>
              </w:rPr>
              <w:t>1.</w:t>
            </w:r>
            <w:r w:rsidR="00B70556" w:rsidRPr="00B70556">
              <w:rPr>
                <w:rFonts w:ascii="Arial" w:hAnsi="Arial" w:cs="Arial"/>
                <w:b/>
                <w:sz w:val="18"/>
                <w:szCs w:val="18"/>
              </w:rPr>
              <w:t>31</w:t>
            </w:r>
          </w:p>
        </w:tc>
        <w:tc>
          <w:tcPr>
            <w:tcW w:w="1412" w:type="dxa"/>
            <w:shd w:val="clear" w:color="auto" w:fill="auto"/>
            <w:vAlign w:val="bottom"/>
          </w:tcPr>
          <w:p w14:paraId="2BE5392B"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1.30</w:t>
            </w:r>
          </w:p>
        </w:tc>
        <w:tc>
          <w:tcPr>
            <w:tcW w:w="1492" w:type="dxa"/>
            <w:shd w:val="clear" w:color="auto" w:fill="auto"/>
            <w:vAlign w:val="bottom"/>
          </w:tcPr>
          <w:p w14:paraId="13CEE6FD"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1.42</w:t>
            </w:r>
          </w:p>
        </w:tc>
      </w:tr>
      <w:tr w:rsidR="004A5A3C" w:rsidRPr="002565C4" w14:paraId="3984611F" w14:textId="77777777" w:rsidTr="00F47D62">
        <w:tc>
          <w:tcPr>
            <w:tcW w:w="3911" w:type="dxa"/>
            <w:shd w:val="clear" w:color="auto" w:fill="auto"/>
            <w:vAlign w:val="bottom"/>
          </w:tcPr>
          <w:p w14:paraId="673864B2" w14:textId="77777777" w:rsidR="004A5A3C" w:rsidRPr="002565C4" w:rsidRDefault="004A5A3C" w:rsidP="004A5A3C">
            <w:pPr>
              <w:rPr>
                <w:rFonts w:ascii="Arial" w:hAnsi="Arial" w:cs="Arial"/>
                <w:sz w:val="18"/>
                <w:szCs w:val="18"/>
              </w:rPr>
            </w:pPr>
            <w:r w:rsidRPr="002565C4">
              <w:rPr>
                <w:rFonts w:ascii="Arial" w:hAnsi="Arial" w:cs="Arial"/>
                <w:sz w:val="18"/>
                <w:szCs w:val="18"/>
              </w:rPr>
              <w:t>Polish Zloty</w:t>
            </w:r>
          </w:p>
        </w:tc>
        <w:tc>
          <w:tcPr>
            <w:tcW w:w="1412" w:type="dxa"/>
            <w:shd w:val="clear" w:color="auto" w:fill="auto"/>
            <w:vAlign w:val="bottom"/>
          </w:tcPr>
          <w:p w14:paraId="797BE8F6" w14:textId="77777777" w:rsidR="004A5A3C" w:rsidRPr="00B70556" w:rsidRDefault="004A5A3C" w:rsidP="004A5A3C">
            <w:pPr>
              <w:jc w:val="right"/>
              <w:rPr>
                <w:rFonts w:ascii="Arial" w:hAnsi="Arial" w:cs="Arial"/>
                <w:b/>
                <w:sz w:val="18"/>
                <w:szCs w:val="18"/>
              </w:rPr>
            </w:pPr>
            <w:r w:rsidRPr="00B70556">
              <w:rPr>
                <w:rFonts w:ascii="Arial" w:hAnsi="Arial" w:cs="Arial"/>
                <w:b/>
                <w:sz w:val="18"/>
                <w:szCs w:val="18"/>
              </w:rPr>
              <w:t>4.83</w:t>
            </w:r>
          </w:p>
        </w:tc>
        <w:tc>
          <w:tcPr>
            <w:tcW w:w="1412" w:type="dxa"/>
            <w:shd w:val="clear" w:color="auto" w:fill="auto"/>
            <w:vAlign w:val="bottom"/>
          </w:tcPr>
          <w:p w14:paraId="21A51F94" w14:textId="77777777" w:rsidR="004A5A3C" w:rsidRPr="00B70556" w:rsidRDefault="004A5A3C" w:rsidP="004A5A3C">
            <w:pPr>
              <w:jc w:val="right"/>
              <w:rPr>
                <w:rFonts w:ascii="Arial" w:hAnsi="Arial" w:cs="Arial"/>
                <w:b/>
                <w:sz w:val="18"/>
                <w:szCs w:val="18"/>
              </w:rPr>
            </w:pPr>
            <w:r w:rsidRPr="00B70556">
              <w:rPr>
                <w:rFonts w:ascii="Arial" w:hAnsi="Arial" w:cs="Arial"/>
                <w:b/>
                <w:sz w:val="18"/>
                <w:szCs w:val="18"/>
              </w:rPr>
              <w:t>4.</w:t>
            </w:r>
            <w:r w:rsidR="00B70556" w:rsidRPr="00B70556">
              <w:rPr>
                <w:rFonts w:ascii="Arial" w:hAnsi="Arial" w:cs="Arial"/>
                <w:b/>
                <w:sz w:val="18"/>
                <w:szCs w:val="18"/>
              </w:rPr>
              <w:t>88</w:t>
            </w:r>
          </w:p>
        </w:tc>
        <w:tc>
          <w:tcPr>
            <w:tcW w:w="1412" w:type="dxa"/>
            <w:shd w:val="clear" w:color="auto" w:fill="auto"/>
            <w:vAlign w:val="bottom"/>
          </w:tcPr>
          <w:p w14:paraId="56B92E21"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4.83</w:t>
            </w:r>
          </w:p>
        </w:tc>
        <w:tc>
          <w:tcPr>
            <w:tcW w:w="1492" w:type="dxa"/>
            <w:shd w:val="clear" w:color="auto" w:fill="auto"/>
            <w:vAlign w:val="bottom"/>
          </w:tcPr>
          <w:p w14:paraId="192B9F21"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4.75</w:t>
            </w:r>
          </w:p>
        </w:tc>
      </w:tr>
      <w:tr w:rsidR="004A5A3C" w:rsidRPr="002565C4" w14:paraId="5A835CBB" w14:textId="77777777" w:rsidTr="00F47D62">
        <w:tc>
          <w:tcPr>
            <w:tcW w:w="3911" w:type="dxa"/>
            <w:tcBorders>
              <w:bottom w:val="single" w:sz="12" w:space="0" w:color="auto"/>
            </w:tcBorders>
            <w:shd w:val="clear" w:color="auto" w:fill="auto"/>
            <w:vAlign w:val="bottom"/>
          </w:tcPr>
          <w:p w14:paraId="268EBB94" w14:textId="77777777" w:rsidR="004A5A3C" w:rsidRPr="002565C4" w:rsidRDefault="004A5A3C" w:rsidP="004A5A3C">
            <w:pPr>
              <w:rPr>
                <w:rFonts w:ascii="Arial" w:hAnsi="Arial" w:cs="Arial"/>
                <w:sz w:val="18"/>
                <w:szCs w:val="18"/>
              </w:rPr>
            </w:pPr>
            <w:r>
              <w:rPr>
                <w:rFonts w:ascii="Arial" w:hAnsi="Arial" w:cs="Arial"/>
                <w:sz w:val="18"/>
                <w:szCs w:val="18"/>
              </w:rPr>
              <w:t>Russian Rouble</w:t>
            </w:r>
          </w:p>
        </w:tc>
        <w:tc>
          <w:tcPr>
            <w:tcW w:w="1412" w:type="dxa"/>
            <w:tcBorders>
              <w:bottom w:val="single" w:sz="12" w:space="0" w:color="auto"/>
            </w:tcBorders>
            <w:shd w:val="clear" w:color="auto" w:fill="auto"/>
            <w:vAlign w:val="bottom"/>
          </w:tcPr>
          <w:p w14:paraId="4CBEE406" w14:textId="77777777" w:rsidR="004A5A3C" w:rsidRPr="00B70556" w:rsidRDefault="00B70556" w:rsidP="004A5A3C">
            <w:pPr>
              <w:jc w:val="right"/>
              <w:rPr>
                <w:rFonts w:ascii="Arial" w:hAnsi="Arial" w:cs="Arial"/>
                <w:b/>
                <w:sz w:val="18"/>
                <w:szCs w:val="18"/>
              </w:rPr>
            </w:pPr>
            <w:r w:rsidRPr="00B70556">
              <w:rPr>
                <w:rFonts w:ascii="Arial" w:hAnsi="Arial" w:cs="Arial"/>
                <w:b/>
                <w:sz w:val="18"/>
                <w:szCs w:val="18"/>
              </w:rPr>
              <w:t>84.34</w:t>
            </w:r>
          </w:p>
        </w:tc>
        <w:tc>
          <w:tcPr>
            <w:tcW w:w="1412" w:type="dxa"/>
            <w:tcBorders>
              <w:bottom w:val="single" w:sz="12" w:space="0" w:color="auto"/>
            </w:tcBorders>
            <w:shd w:val="clear" w:color="auto" w:fill="auto"/>
            <w:vAlign w:val="bottom"/>
          </w:tcPr>
          <w:p w14:paraId="523E8A0D" w14:textId="77777777" w:rsidR="004A5A3C" w:rsidRPr="00B70556" w:rsidRDefault="00B70556" w:rsidP="004A5A3C">
            <w:pPr>
              <w:jc w:val="right"/>
              <w:rPr>
                <w:rFonts w:ascii="Arial" w:hAnsi="Arial" w:cs="Arial"/>
                <w:b/>
                <w:sz w:val="18"/>
                <w:szCs w:val="18"/>
              </w:rPr>
            </w:pPr>
            <w:r w:rsidRPr="00B70556">
              <w:rPr>
                <w:rFonts w:ascii="Arial" w:hAnsi="Arial" w:cs="Arial"/>
                <w:b/>
                <w:sz w:val="18"/>
                <w:szCs w:val="18"/>
              </w:rPr>
              <w:t>86.01</w:t>
            </w:r>
          </w:p>
        </w:tc>
        <w:tc>
          <w:tcPr>
            <w:tcW w:w="1412" w:type="dxa"/>
            <w:tcBorders>
              <w:bottom w:val="single" w:sz="12" w:space="0" w:color="auto"/>
            </w:tcBorders>
            <w:shd w:val="clear" w:color="auto" w:fill="auto"/>
            <w:vAlign w:val="bottom"/>
          </w:tcPr>
          <w:p w14:paraId="444306B0"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75.53</w:t>
            </w:r>
          </w:p>
        </w:tc>
        <w:tc>
          <w:tcPr>
            <w:tcW w:w="1492" w:type="dxa"/>
            <w:tcBorders>
              <w:bottom w:val="single" w:sz="12" w:space="0" w:color="auto"/>
            </w:tcBorders>
            <w:shd w:val="clear" w:color="auto" w:fill="auto"/>
            <w:vAlign w:val="bottom"/>
          </w:tcPr>
          <w:p w14:paraId="5A647257"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79.74</w:t>
            </w:r>
          </w:p>
        </w:tc>
      </w:tr>
    </w:tbl>
    <w:p w14:paraId="7C8945B3" w14:textId="77777777" w:rsidR="00BF0550" w:rsidRDefault="00BF0550">
      <w:pPr>
        <w:rPr>
          <w:rFonts w:ascii="Arial" w:hAnsi="Arial" w:cs="Arial"/>
          <w:sz w:val="18"/>
          <w:szCs w:val="18"/>
        </w:rPr>
      </w:pPr>
    </w:p>
    <w:p w14:paraId="391DE5EA" w14:textId="77777777" w:rsidR="004B68A4" w:rsidRPr="00B26CD5" w:rsidRDefault="004B68A4" w:rsidP="00BA0967">
      <w:pPr>
        <w:jc w:val="both"/>
        <w:rPr>
          <w:rFonts w:ascii="Arial" w:hAnsi="Arial" w:cs="Arial"/>
          <w:b/>
          <w:i/>
          <w:sz w:val="18"/>
          <w:szCs w:val="18"/>
        </w:rPr>
      </w:pPr>
      <w:bookmarkStart w:id="5" w:name="_Hlk2088994"/>
      <w:r w:rsidRPr="00B26CD5">
        <w:rPr>
          <w:rFonts w:ascii="Arial" w:hAnsi="Arial" w:cs="Arial"/>
          <w:b/>
          <w:i/>
          <w:sz w:val="18"/>
          <w:szCs w:val="18"/>
        </w:rPr>
        <w:t>Use of non-GAAP measures</w:t>
      </w:r>
    </w:p>
    <w:p w14:paraId="4B0A1A59" w14:textId="77777777" w:rsidR="004B68A4" w:rsidRPr="00B26CD5" w:rsidRDefault="004B68A4" w:rsidP="00BA0967">
      <w:pPr>
        <w:jc w:val="both"/>
        <w:rPr>
          <w:rFonts w:ascii="Arial" w:hAnsi="Arial" w:cs="Arial"/>
          <w:sz w:val="18"/>
          <w:szCs w:val="18"/>
        </w:rPr>
      </w:pPr>
    </w:p>
    <w:p w14:paraId="5DA1A817" w14:textId="77777777" w:rsidR="0026668B" w:rsidRPr="00B26CD5" w:rsidRDefault="0026668B" w:rsidP="001606EE">
      <w:pPr>
        <w:jc w:val="both"/>
        <w:rPr>
          <w:rFonts w:ascii="Arial" w:hAnsi="Arial" w:cs="Arial"/>
          <w:sz w:val="18"/>
          <w:szCs w:val="18"/>
        </w:rPr>
      </w:pPr>
      <w:r w:rsidRPr="00B26CD5">
        <w:rPr>
          <w:rFonts w:ascii="Arial" w:hAnsi="Arial" w:cs="Arial"/>
          <w:sz w:val="18"/>
          <w:szCs w:val="18"/>
        </w:rPr>
        <w:t xml:space="preserve">In the reporting of financial information, the Group uses certain measures that are not required under IFRS, the generally accepted accounting principles (‘GAAP’) under which the Group reports. Kingfisher believes that retail profit, underlying pre-tax profit, adjusted pre-tax profit, </w:t>
      </w:r>
      <w:r w:rsidR="00790E84">
        <w:rPr>
          <w:rFonts w:ascii="Arial" w:hAnsi="Arial" w:cs="Arial"/>
          <w:sz w:val="18"/>
          <w:szCs w:val="18"/>
        </w:rPr>
        <w:t xml:space="preserve">adjusted </w:t>
      </w:r>
      <w:r w:rsidRPr="00B26CD5">
        <w:rPr>
          <w:rFonts w:ascii="Arial" w:hAnsi="Arial" w:cs="Arial"/>
          <w:sz w:val="18"/>
          <w:szCs w:val="18"/>
        </w:rPr>
        <w:t>effective tax rate, underlying earnings per share and adjusted earnings per share provide additional useful information on performance and trends to shareholders. These and other non-GAAP measures</w:t>
      </w:r>
      <w:r w:rsidR="00210CD6">
        <w:rPr>
          <w:rFonts w:ascii="Arial" w:hAnsi="Arial" w:cs="Arial"/>
          <w:sz w:val="18"/>
          <w:szCs w:val="18"/>
        </w:rPr>
        <w:t xml:space="preserve"> (also known as ‘Alternative Performance Measures’)</w:t>
      </w:r>
      <w:r w:rsidR="00396F5E">
        <w:rPr>
          <w:rFonts w:ascii="Arial" w:hAnsi="Arial" w:cs="Arial"/>
          <w:sz w:val="18"/>
          <w:szCs w:val="18"/>
        </w:rPr>
        <w:t>,</w:t>
      </w:r>
      <w:r w:rsidRPr="00B26CD5">
        <w:rPr>
          <w:rFonts w:ascii="Arial" w:hAnsi="Arial" w:cs="Arial"/>
          <w:sz w:val="18"/>
          <w:szCs w:val="18"/>
        </w:rPr>
        <w:t xml:space="preserve"> such as net cash</w:t>
      </w:r>
      <w:r w:rsidR="00A77C95">
        <w:rPr>
          <w:rFonts w:ascii="Arial" w:hAnsi="Arial" w:cs="Arial"/>
          <w:sz w:val="18"/>
          <w:szCs w:val="18"/>
        </w:rPr>
        <w:t>,</w:t>
      </w:r>
      <w:r w:rsidRPr="00B26CD5">
        <w:rPr>
          <w:rFonts w:ascii="Arial" w:hAnsi="Arial" w:cs="Arial"/>
          <w:sz w:val="18"/>
          <w:szCs w:val="18"/>
        </w:rPr>
        <w:t xml:space="preserve"> are used by Kingfisher for internal performance analysis and incentive compensation arrangements for employees. The terms ‘retail profit’, ‘exceptional items’, ‘transformation costs’, ‘underlying’, ‘adjusted’, ‘</w:t>
      </w:r>
      <w:r w:rsidR="00790E84">
        <w:rPr>
          <w:rFonts w:ascii="Arial" w:hAnsi="Arial" w:cs="Arial"/>
          <w:sz w:val="18"/>
          <w:szCs w:val="18"/>
        </w:rPr>
        <w:t xml:space="preserve">adjusted </w:t>
      </w:r>
      <w:r w:rsidRPr="00B26CD5">
        <w:rPr>
          <w:rFonts w:ascii="Arial" w:hAnsi="Arial" w:cs="Arial"/>
          <w:sz w:val="18"/>
          <w:szCs w:val="18"/>
        </w:rPr>
        <w:t>effective tax rate’ and ‘net cash’ are not defined terms under IFRS and may therefore not be comparable with similarly titled measures reported by other companies. They are not intended to be a substitute for, or superior to, GAAP measures.</w:t>
      </w:r>
    </w:p>
    <w:p w14:paraId="1DBA5971" w14:textId="77777777" w:rsidR="0026668B" w:rsidRPr="00B26CD5" w:rsidRDefault="0026668B" w:rsidP="001606EE">
      <w:pPr>
        <w:jc w:val="both"/>
        <w:rPr>
          <w:rFonts w:ascii="Arial" w:hAnsi="Arial" w:cs="Arial"/>
          <w:sz w:val="18"/>
          <w:szCs w:val="18"/>
        </w:rPr>
      </w:pPr>
    </w:p>
    <w:p w14:paraId="11060AC9" w14:textId="5798A90F" w:rsidR="0026668B" w:rsidRPr="00B26CD5" w:rsidRDefault="0026668B" w:rsidP="001606EE">
      <w:pPr>
        <w:jc w:val="both"/>
        <w:rPr>
          <w:rFonts w:ascii="Arial" w:hAnsi="Arial" w:cs="Arial"/>
          <w:sz w:val="18"/>
          <w:szCs w:val="18"/>
        </w:rPr>
      </w:pPr>
      <w:r w:rsidRPr="00B26CD5">
        <w:rPr>
          <w:rFonts w:ascii="Arial" w:hAnsi="Arial" w:cs="Arial"/>
          <w:sz w:val="18"/>
          <w:szCs w:val="18"/>
        </w:rPr>
        <w:t>Retail profit is defined as continuing operating profit before central costs, the Group’s share of interest and tax of joint ventures and associates, transformation costs</w:t>
      </w:r>
      <w:r w:rsidR="002349CD">
        <w:rPr>
          <w:rFonts w:ascii="Arial" w:hAnsi="Arial" w:cs="Arial"/>
          <w:sz w:val="18"/>
          <w:szCs w:val="18"/>
        </w:rPr>
        <w:t xml:space="preserve"> and </w:t>
      </w:r>
      <w:r w:rsidRPr="00B26CD5">
        <w:rPr>
          <w:rFonts w:ascii="Arial" w:hAnsi="Arial" w:cs="Arial"/>
          <w:sz w:val="18"/>
          <w:szCs w:val="18"/>
        </w:rPr>
        <w:t>exceptional items</w:t>
      </w:r>
      <w:r w:rsidR="00CB0DEE">
        <w:rPr>
          <w:rFonts w:ascii="Arial" w:hAnsi="Arial" w:cs="Arial"/>
          <w:sz w:val="18"/>
          <w:szCs w:val="18"/>
        </w:rPr>
        <w:t>.</w:t>
      </w:r>
      <w:r w:rsidRPr="00B26CD5">
        <w:rPr>
          <w:rFonts w:ascii="Arial" w:hAnsi="Arial" w:cs="Arial"/>
          <w:sz w:val="18"/>
          <w:szCs w:val="18"/>
        </w:rPr>
        <w:t xml:space="preserve"> It includes the sustainable benefits of the</w:t>
      </w:r>
      <w:r w:rsidR="00620C25">
        <w:rPr>
          <w:rFonts w:ascii="Arial" w:hAnsi="Arial" w:cs="Arial"/>
          <w:sz w:val="18"/>
          <w:szCs w:val="18"/>
        </w:rPr>
        <w:t xml:space="preserve"> </w:t>
      </w:r>
      <w:r w:rsidRPr="00B26CD5">
        <w:rPr>
          <w:rFonts w:ascii="Arial" w:hAnsi="Arial" w:cs="Arial"/>
          <w:sz w:val="18"/>
          <w:szCs w:val="18"/>
        </w:rPr>
        <w:t xml:space="preserve">transformation </w:t>
      </w:r>
      <w:r w:rsidR="00264A01" w:rsidRPr="00B26CD5">
        <w:rPr>
          <w:rFonts w:ascii="Arial" w:hAnsi="Arial" w:cs="Arial"/>
          <w:sz w:val="18"/>
          <w:szCs w:val="18"/>
        </w:rPr>
        <w:t>p</w:t>
      </w:r>
      <w:r w:rsidR="00264A01">
        <w:rPr>
          <w:rFonts w:ascii="Arial" w:hAnsi="Arial" w:cs="Arial"/>
          <w:sz w:val="18"/>
          <w:szCs w:val="18"/>
        </w:rPr>
        <w:t>lan</w:t>
      </w:r>
      <w:r w:rsidRPr="00B26CD5">
        <w:rPr>
          <w:rFonts w:ascii="Arial" w:hAnsi="Arial" w:cs="Arial"/>
          <w:sz w:val="18"/>
          <w:szCs w:val="18"/>
        </w:rPr>
        <w:t xml:space="preserve">. </w:t>
      </w:r>
      <w:r w:rsidRPr="00B26CD5">
        <w:rPr>
          <w:rFonts w:ascii="Arial" w:hAnsi="Arial" w:cs="Arial"/>
          <w:bCs/>
          <w:sz w:val="18"/>
          <w:szCs w:val="18"/>
        </w:rPr>
        <w:t>Central costs principally comprise the costs of the Group’s head office before transformation costs</w:t>
      </w:r>
      <w:r w:rsidR="00E670A6">
        <w:rPr>
          <w:rFonts w:ascii="Arial" w:hAnsi="Arial" w:cs="Arial"/>
          <w:bCs/>
          <w:sz w:val="18"/>
          <w:szCs w:val="18"/>
        </w:rPr>
        <w:t xml:space="preserve"> and exceptional items</w:t>
      </w:r>
      <w:r w:rsidRPr="00B26CD5">
        <w:rPr>
          <w:rFonts w:ascii="Arial" w:hAnsi="Arial" w:cs="Arial"/>
          <w:bCs/>
          <w:sz w:val="18"/>
          <w:szCs w:val="18"/>
        </w:rPr>
        <w:t>.</w:t>
      </w:r>
    </w:p>
    <w:p w14:paraId="2FD8867B" w14:textId="77777777" w:rsidR="0026668B" w:rsidRPr="00B26CD5" w:rsidRDefault="0026668B" w:rsidP="001606EE">
      <w:pPr>
        <w:jc w:val="both"/>
        <w:rPr>
          <w:rFonts w:ascii="Arial" w:hAnsi="Arial" w:cs="Arial"/>
          <w:sz w:val="18"/>
          <w:szCs w:val="18"/>
        </w:rPr>
      </w:pPr>
    </w:p>
    <w:p w14:paraId="20ABDEC6" w14:textId="77777777" w:rsidR="0026668B" w:rsidRDefault="0026668B" w:rsidP="001606EE">
      <w:pPr>
        <w:jc w:val="both"/>
        <w:rPr>
          <w:rFonts w:ascii="Arial" w:hAnsi="Arial" w:cs="Arial"/>
          <w:sz w:val="18"/>
          <w:szCs w:val="18"/>
        </w:rPr>
      </w:pPr>
      <w:r w:rsidRPr="00B26CD5">
        <w:rPr>
          <w:rFonts w:ascii="Arial" w:hAnsi="Arial" w:cs="Arial"/>
          <w:sz w:val="18"/>
          <w:szCs w:val="18"/>
        </w:rPr>
        <w:t>The separate reporting of exceptional items, which are presented as exceptional within their relevant income statement category, helps provide an indication of the Group’s ongoing business performance. The principal items which are included as exceptional items are:</w:t>
      </w:r>
    </w:p>
    <w:p w14:paraId="7C8E0D58" w14:textId="77777777" w:rsidR="00210CD6" w:rsidRPr="00B26CD5" w:rsidRDefault="00210CD6" w:rsidP="001606EE">
      <w:pPr>
        <w:jc w:val="both"/>
        <w:rPr>
          <w:rFonts w:ascii="Arial" w:hAnsi="Arial" w:cs="Arial"/>
          <w:sz w:val="18"/>
          <w:szCs w:val="18"/>
        </w:rPr>
      </w:pPr>
    </w:p>
    <w:p w14:paraId="70A2EABE" w14:textId="77777777" w:rsidR="0026668B" w:rsidRPr="00B26CD5" w:rsidRDefault="0026668B" w:rsidP="001606EE">
      <w:pPr>
        <w:numPr>
          <w:ilvl w:val="0"/>
          <w:numId w:val="4"/>
        </w:numPr>
        <w:jc w:val="both"/>
        <w:rPr>
          <w:rFonts w:ascii="Arial" w:hAnsi="Arial" w:cs="Arial"/>
          <w:sz w:val="18"/>
          <w:szCs w:val="18"/>
        </w:rPr>
      </w:pPr>
      <w:r w:rsidRPr="00B26CD5">
        <w:rPr>
          <w:rFonts w:ascii="Arial" w:hAnsi="Arial" w:cs="Arial"/>
          <w:sz w:val="18"/>
          <w:szCs w:val="18"/>
        </w:rPr>
        <w:t>non-trading items included in operating profit such as profits and losses on the disposal, closure or impairment of subsidiaries, joint ventures, associates and investments which do not form part of the Group’s trading activities;</w:t>
      </w:r>
    </w:p>
    <w:p w14:paraId="35146BF1" w14:textId="77777777" w:rsidR="0026668B" w:rsidRPr="00B26CD5" w:rsidRDefault="0026668B" w:rsidP="001606EE">
      <w:pPr>
        <w:numPr>
          <w:ilvl w:val="0"/>
          <w:numId w:val="4"/>
        </w:numPr>
        <w:jc w:val="both"/>
        <w:rPr>
          <w:rFonts w:ascii="Arial" w:hAnsi="Arial" w:cs="Arial"/>
          <w:sz w:val="18"/>
          <w:szCs w:val="18"/>
        </w:rPr>
      </w:pPr>
      <w:r w:rsidRPr="00B26CD5">
        <w:rPr>
          <w:rFonts w:ascii="Arial" w:hAnsi="Arial" w:cs="Arial"/>
          <w:sz w:val="18"/>
          <w:szCs w:val="18"/>
        </w:rPr>
        <w:t>profits and losses on the disposal of properties and impairment losses on non-operational assets; and</w:t>
      </w:r>
    </w:p>
    <w:p w14:paraId="6B7DCC32" w14:textId="77777777" w:rsidR="0026668B" w:rsidRPr="00B26CD5" w:rsidRDefault="0026668B" w:rsidP="001606EE">
      <w:pPr>
        <w:numPr>
          <w:ilvl w:val="0"/>
          <w:numId w:val="4"/>
        </w:numPr>
        <w:jc w:val="both"/>
        <w:rPr>
          <w:rFonts w:ascii="Arial" w:hAnsi="Arial" w:cs="Arial"/>
          <w:sz w:val="18"/>
          <w:szCs w:val="18"/>
        </w:rPr>
      </w:pPr>
      <w:r w:rsidRPr="00B26CD5">
        <w:rPr>
          <w:rFonts w:ascii="Arial" w:hAnsi="Arial" w:cs="Arial"/>
          <w:sz w:val="18"/>
          <w:szCs w:val="18"/>
        </w:rPr>
        <w:t xml:space="preserve">the costs of significant restructuring, including certain restructuring costs of the Group’s five-year transformation </w:t>
      </w:r>
      <w:r w:rsidR="00264A01" w:rsidRPr="00B26CD5">
        <w:rPr>
          <w:rFonts w:ascii="Arial" w:hAnsi="Arial" w:cs="Arial"/>
          <w:sz w:val="18"/>
          <w:szCs w:val="18"/>
        </w:rPr>
        <w:t>p</w:t>
      </w:r>
      <w:r w:rsidR="00264A01">
        <w:rPr>
          <w:rFonts w:ascii="Arial" w:hAnsi="Arial" w:cs="Arial"/>
          <w:sz w:val="18"/>
          <w:szCs w:val="18"/>
        </w:rPr>
        <w:t>lan</w:t>
      </w:r>
      <w:r w:rsidR="00264A01" w:rsidRPr="00B26CD5">
        <w:rPr>
          <w:rFonts w:ascii="Arial" w:hAnsi="Arial" w:cs="Arial"/>
          <w:sz w:val="18"/>
          <w:szCs w:val="18"/>
        </w:rPr>
        <w:t xml:space="preserve"> </w:t>
      </w:r>
      <w:r w:rsidRPr="00B26CD5">
        <w:rPr>
          <w:rFonts w:ascii="Arial" w:hAnsi="Arial" w:cs="Arial"/>
          <w:sz w:val="18"/>
          <w:szCs w:val="18"/>
        </w:rPr>
        <w:t>launched in 2016/17, and incremental acquisition integration costs.</w:t>
      </w:r>
    </w:p>
    <w:p w14:paraId="540F9D96" w14:textId="77777777" w:rsidR="0026668B" w:rsidRPr="00B26CD5" w:rsidRDefault="0026668B" w:rsidP="001606EE">
      <w:pPr>
        <w:jc w:val="both"/>
        <w:rPr>
          <w:rFonts w:ascii="Arial" w:hAnsi="Arial" w:cs="Arial"/>
          <w:sz w:val="18"/>
          <w:szCs w:val="18"/>
        </w:rPr>
      </w:pPr>
    </w:p>
    <w:p w14:paraId="761D7468" w14:textId="77777777" w:rsidR="0026668B" w:rsidRPr="00B26CD5" w:rsidRDefault="0026668B" w:rsidP="001606EE">
      <w:pPr>
        <w:jc w:val="both"/>
        <w:rPr>
          <w:rFonts w:ascii="Arial" w:hAnsi="Arial" w:cs="Arial"/>
          <w:sz w:val="18"/>
          <w:szCs w:val="18"/>
        </w:rPr>
      </w:pPr>
      <w:r w:rsidRPr="00B26CD5">
        <w:rPr>
          <w:rFonts w:ascii="Arial" w:hAnsi="Arial" w:cs="Arial"/>
          <w:sz w:val="18"/>
          <w:szCs w:val="18"/>
        </w:rPr>
        <w:t>The term ‘adjusted’ refers to the relevant measure being reported for continuing operations excluding exceptional items, financing fair value remeasurements,</w:t>
      </w:r>
      <w:r w:rsidR="00CB0DEE">
        <w:rPr>
          <w:rFonts w:ascii="Arial" w:hAnsi="Arial" w:cs="Arial"/>
          <w:sz w:val="18"/>
          <w:szCs w:val="18"/>
        </w:rPr>
        <w:t xml:space="preserve"> </w:t>
      </w:r>
      <w:r w:rsidRPr="00B26CD5">
        <w:rPr>
          <w:rFonts w:ascii="Arial" w:hAnsi="Arial" w:cs="Arial"/>
          <w:sz w:val="18"/>
          <w:szCs w:val="18"/>
        </w:rPr>
        <w:t>related tax items and prior year tax items (including the impact of changes in tax rates on deferred tax). Financing fair value remeasurements represent changes in the fair value of financing derivatives, excluding interest accruals, offset by fair value adjustments to the carrying amount of borrowings and other hedged items under fair value hedge relationships. Financing derivatives are those that relate to hedged items of a financing nature.</w:t>
      </w:r>
    </w:p>
    <w:p w14:paraId="6307AFB7" w14:textId="77777777" w:rsidR="0026668B" w:rsidRPr="00B26CD5" w:rsidRDefault="0026668B" w:rsidP="001606EE">
      <w:pPr>
        <w:jc w:val="both"/>
        <w:rPr>
          <w:rFonts w:ascii="Arial" w:hAnsi="Arial" w:cs="Arial"/>
          <w:sz w:val="18"/>
          <w:szCs w:val="18"/>
        </w:rPr>
      </w:pPr>
    </w:p>
    <w:p w14:paraId="38ECFC16" w14:textId="77777777" w:rsidR="0026668B" w:rsidRPr="00B26CD5" w:rsidRDefault="0026668B" w:rsidP="001606EE">
      <w:pPr>
        <w:jc w:val="both"/>
        <w:rPr>
          <w:rFonts w:ascii="Arial" w:hAnsi="Arial" w:cs="Arial"/>
          <w:sz w:val="18"/>
          <w:szCs w:val="18"/>
        </w:rPr>
      </w:pPr>
      <w:r w:rsidRPr="00B26CD5">
        <w:rPr>
          <w:rFonts w:ascii="Arial" w:hAnsi="Arial" w:cs="Arial"/>
          <w:sz w:val="18"/>
          <w:szCs w:val="18"/>
        </w:rPr>
        <w:t>The term ‘underlying’ refers to the relevant adjusted measure being reported before non-exceptional transformation costs. Non-exceptional transformation costs represent the</w:t>
      </w:r>
      <w:r w:rsidR="00264A01">
        <w:rPr>
          <w:rFonts w:ascii="Arial" w:hAnsi="Arial" w:cs="Arial"/>
          <w:sz w:val="18"/>
          <w:szCs w:val="18"/>
        </w:rPr>
        <w:t xml:space="preserve"> </w:t>
      </w:r>
      <w:r w:rsidRPr="00B26CD5">
        <w:rPr>
          <w:rFonts w:ascii="Arial" w:hAnsi="Arial" w:cs="Arial"/>
          <w:sz w:val="18"/>
          <w:szCs w:val="18"/>
        </w:rPr>
        <w:t xml:space="preserve">additional costs that arise only as a result of the transformation </w:t>
      </w:r>
      <w:r w:rsidR="00264A01" w:rsidRPr="00B26CD5">
        <w:rPr>
          <w:rFonts w:ascii="Arial" w:hAnsi="Arial" w:cs="Arial"/>
          <w:sz w:val="18"/>
          <w:szCs w:val="18"/>
        </w:rPr>
        <w:t>p</w:t>
      </w:r>
      <w:r w:rsidR="00264A01">
        <w:rPr>
          <w:rFonts w:ascii="Arial" w:hAnsi="Arial" w:cs="Arial"/>
          <w:sz w:val="18"/>
          <w:szCs w:val="18"/>
        </w:rPr>
        <w:t>lan</w:t>
      </w:r>
      <w:r w:rsidR="00264A01" w:rsidRPr="00B26CD5">
        <w:rPr>
          <w:rFonts w:ascii="Arial" w:hAnsi="Arial" w:cs="Arial"/>
          <w:sz w:val="18"/>
          <w:szCs w:val="18"/>
        </w:rPr>
        <w:t xml:space="preserve"> </w:t>
      </w:r>
      <w:r w:rsidRPr="00B26CD5">
        <w:rPr>
          <w:rFonts w:ascii="Arial" w:hAnsi="Arial" w:cs="Arial"/>
          <w:sz w:val="18"/>
          <w:szCs w:val="18"/>
        </w:rPr>
        <w:t xml:space="preserve">launched in 2016/17, which either because of their nature or the length of the period over which they are incurred are not considered as exceptional items. These costs principally relate to the unified and unique offer range implementation and the digital strategic initiative. The separate reporting of such costs (in addition to exceptional items) helps provide an indication of the Group’s underlying business performance, which includes the sustainable benefits of the transformation </w:t>
      </w:r>
      <w:r w:rsidR="00264A01" w:rsidRPr="00B26CD5">
        <w:rPr>
          <w:rFonts w:ascii="Arial" w:hAnsi="Arial" w:cs="Arial"/>
          <w:sz w:val="18"/>
          <w:szCs w:val="18"/>
        </w:rPr>
        <w:t>p</w:t>
      </w:r>
      <w:r w:rsidR="00264A01">
        <w:rPr>
          <w:rFonts w:ascii="Arial" w:hAnsi="Arial" w:cs="Arial"/>
          <w:sz w:val="18"/>
          <w:szCs w:val="18"/>
        </w:rPr>
        <w:t>lan</w:t>
      </w:r>
      <w:r w:rsidRPr="00B26CD5">
        <w:rPr>
          <w:rFonts w:ascii="Arial" w:hAnsi="Arial" w:cs="Arial"/>
          <w:sz w:val="18"/>
          <w:szCs w:val="18"/>
        </w:rPr>
        <w:t xml:space="preserve">. </w:t>
      </w:r>
    </w:p>
    <w:p w14:paraId="768FB473" w14:textId="77777777" w:rsidR="0026668B" w:rsidRPr="00B26CD5" w:rsidRDefault="0026668B" w:rsidP="001606EE">
      <w:pPr>
        <w:jc w:val="both"/>
        <w:rPr>
          <w:rFonts w:ascii="Arial" w:hAnsi="Arial" w:cs="Arial"/>
          <w:sz w:val="18"/>
          <w:szCs w:val="18"/>
        </w:rPr>
      </w:pPr>
    </w:p>
    <w:p w14:paraId="020AA587" w14:textId="77777777" w:rsidR="0026668B" w:rsidRPr="00B26CD5" w:rsidRDefault="0026668B" w:rsidP="001606EE">
      <w:pPr>
        <w:jc w:val="both"/>
        <w:rPr>
          <w:rFonts w:ascii="Arial" w:hAnsi="Arial" w:cs="Arial"/>
          <w:sz w:val="18"/>
          <w:szCs w:val="18"/>
        </w:rPr>
      </w:pPr>
      <w:r w:rsidRPr="00B26CD5">
        <w:rPr>
          <w:rFonts w:ascii="Arial" w:hAnsi="Arial" w:cs="Arial"/>
          <w:sz w:val="18"/>
          <w:szCs w:val="18"/>
        </w:rPr>
        <w:t>The</w:t>
      </w:r>
      <w:r w:rsidR="002F1EEE">
        <w:rPr>
          <w:rFonts w:ascii="Arial" w:hAnsi="Arial" w:cs="Arial"/>
          <w:sz w:val="18"/>
          <w:szCs w:val="18"/>
        </w:rPr>
        <w:t xml:space="preserve"> </w:t>
      </w:r>
      <w:r w:rsidR="00790E84">
        <w:rPr>
          <w:rFonts w:ascii="Arial" w:hAnsi="Arial" w:cs="Arial"/>
          <w:sz w:val="18"/>
          <w:szCs w:val="18"/>
        </w:rPr>
        <w:t xml:space="preserve">adjusted </w:t>
      </w:r>
      <w:r w:rsidRPr="00B26CD5">
        <w:rPr>
          <w:rFonts w:ascii="Arial" w:hAnsi="Arial" w:cs="Arial"/>
          <w:sz w:val="18"/>
          <w:szCs w:val="18"/>
        </w:rPr>
        <w:t>effective tax rate is calculated as continuing income tax expense excluding tax on exceptional items and adjustments in respect of prior years and the impact of changes in tax rates on deferred tax, divided by continuing profit before taxation excluding exceptional items.</w:t>
      </w:r>
      <w:r w:rsidR="00503963" w:rsidRPr="00503963">
        <w:t xml:space="preserve"> </w:t>
      </w:r>
      <w:r w:rsidR="00503963" w:rsidRPr="00503963">
        <w:rPr>
          <w:rFonts w:ascii="Arial" w:hAnsi="Arial" w:cs="Arial"/>
          <w:sz w:val="18"/>
          <w:szCs w:val="18"/>
        </w:rPr>
        <w:t>The exclusion of items relating to prior years and those not in the ordinary course of business helps provide a better indication of the Group’s ongoing rate of tax.</w:t>
      </w:r>
      <w:r w:rsidR="00503963">
        <w:rPr>
          <w:rFonts w:ascii="Arial" w:hAnsi="Arial" w:cs="Arial"/>
          <w:sz w:val="18"/>
          <w:szCs w:val="18"/>
        </w:rPr>
        <w:t xml:space="preserve"> </w:t>
      </w:r>
    </w:p>
    <w:p w14:paraId="6D7CE85C" w14:textId="77777777" w:rsidR="0026668B" w:rsidRPr="00B26CD5" w:rsidRDefault="0026668B" w:rsidP="001606EE">
      <w:pPr>
        <w:jc w:val="both"/>
        <w:rPr>
          <w:rFonts w:ascii="Arial" w:hAnsi="Arial" w:cs="Arial"/>
          <w:sz w:val="18"/>
          <w:szCs w:val="18"/>
        </w:rPr>
      </w:pPr>
    </w:p>
    <w:p w14:paraId="6BEAF3BA" w14:textId="77777777" w:rsidR="0026668B" w:rsidRPr="009630B6" w:rsidRDefault="0026668B" w:rsidP="001606EE">
      <w:pPr>
        <w:jc w:val="both"/>
        <w:rPr>
          <w:rFonts w:ascii="Arial" w:hAnsi="Arial" w:cs="Arial"/>
          <w:sz w:val="18"/>
          <w:szCs w:val="18"/>
        </w:rPr>
      </w:pPr>
      <w:r w:rsidRPr="00B26CD5">
        <w:rPr>
          <w:rFonts w:ascii="Arial" w:hAnsi="Arial" w:cs="Arial"/>
          <w:sz w:val="18"/>
          <w:szCs w:val="18"/>
        </w:rPr>
        <w:t>Net cash comprises cash and cash equivalents and short-term deposits less borrowings and financing derivatives (excluding accrued interest).</w:t>
      </w:r>
    </w:p>
    <w:p w14:paraId="2F95237A" w14:textId="77777777" w:rsidR="007A1D8B" w:rsidRPr="00EF1091" w:rsidRDefault="007A1D8B" w:rsidP="00BA0967">
      <w:pPr>
        <w:jc w:val="both"/>
        <w:rPr>
          <w:rFonts w:ascii="Arial" w:hAnsi="Arial" w:cs="Arial"/>
          <w:sz w:val="18"/>
          <w:szCs w:val="18"/>
        </w:rPr>
      </w:pPr>
    </w:p>
    <w:p w14:paraId="077ED15F" w14:textId="77777777" w:rsidR="00DC25B4" w:rsidRPr="0058225A" w:rsidRDefault="008573F5" w:rsidP="00F764F7">
      <w:pPr>
        <w:numPr>
          <w:ilvl w:val="0"/>
          <w:numId w:val="1"/>
        </w:numPr>
        <w:tabs>
          <w:tab w:val="clear" w:pos="570"/>
          <w:tab w:val="num" w:pos="0"/>
        </w:tabs>
        <w:ind w:left="0" w:hanging="567"/>
        <w:rPr>
          <w:rFonts w:ascii="Arial" w:hAnsi="Arial" w:cs="Arial"/>
          <w:b/>
          <w:sz w:val="18"/>
          <w:szCs w:val="18"/>
        </w:rPr>
      </w:pPr>
      <w:r>
        <w:rPr>
          <w:rFonts w:ascii="Arial" w:hAnsi="Arial" w:cs="Arial"/>
          <w:b/>
          <w:sz w:val="18"/>
          <w:szCs w:val="18"/>
        </w:rPr>
        <w:br w:type="page"/>
      </w:r>
      <w:bookmarkEnd w:id="5"/>
      <w:r w:rsidR="00DC25B4" w:rsidRPr="0058225A">
        <w:rPr>
          <w:rFonts w:ascii="Arial" w:hAnsi="Arial" w:cs="Arial"/>
          <w:b/>
          <w:sz w:val="18"/>
          <w:szCs w:val="18"/>
        </w:rPr>
        <w:lastRenderedPageBreak/>
        <w:t>Segmental analysis</w:t>
      </w:r>
    </w:p>
    <w:p w14:paraId="2732D905" w14:textId="77777777" w:rsidR="00DC25B4" w:rsidRPr="00EF1091" w:rsidRDefault="00DC25B4">
      <w:pPr>
        <w:rPr>
          <w:rFonts w:ascii="Arial" w:hAnsi="Arial" w:cs="Arial"/>
          <w:sz w:val="18"/>
          <w:szCs w:val="18"/>
        </w:rPr>
      </w:pPr>
    </w:p>
    <w:p w14:paraId="64BC4E6F" w14:textId="77777777" w:rsidR="00DC25B4" w:rsidRDefault="00DC25B4">
      <w:pPr>
        <w:rPr>
          <w:rFonts w:ascii="Arial" w:hAnsi="Arial" w:cs="Arial"/>
          <w:b/>
          <w:sz w:val="18"/>
          <w:szCs w:val="18"/>
        </w:rPr>
      </w:pPr>
      <w:r w:rsidRPr="00EF1091">
        <w:rPr>
          <w:rFonts w:ascii="Arial" w:hAnsi="Arial" w:cs="Arial"/>
          <w:b/>
          <w:sz w:val="18"/>
          <w:szCs w:val="18"/>
        </w:rPr>
        <w:t xml:space="preserve">Income statement </w:t>
      </w:r>
    </w:p>
    <w:tbl>
      <w:tblPr>
        <w:tblW w:w="5026" w:type="pct"/>
        <w:tblLayout w:type="fixed"/>
        <w:tblLook w:val="0000" w:firstRow="0" w:lastRow="0" w:firstColumn="0" w:lastColumn="0" w:noHBand="0" w:noVBand="0"/>
      </w:tblPr>
      <w:tblGrid>
        <w:gridCol w:w="4875"/>
        <w:gridCol w:w="1352"/>
        <w:gridCol w:w="853"/>
        <w:gridCol w:w="884"/>
        <w:gridCol w:w="857"/>
        <w:gridCol w:w="851"/>
        <w:gridCol w:w="17"/>
      </w:tblGrid>
      <w:tr w:rsidR="000665A6" w:rsidRPr="004E18F2" w14:paraId="0E97EDB2" w14:textId="77777777" w:rsidTr="00FA21A3">
        <w:trPr>
          <w:trHeight w:val="240"/>
        </w:trPr>
        <w:tc>
          <w:tcPr>
            <w:tcW w:w="2516" w:type="pct"/>
            <w:tcBorders>
              <w:left w:val="nil"/>
              <w:right w:val="nil"/>
            </w:tcBorders>
            <w:shd w:val="clear" w:color="auto" w:fill="auto"/>
            <w:noWrap/>
            <w:vAlign w:val="bottom"/>
          </w:tcPr>
          <w:p w14:paraId="2719EC51" w14:textId="77777777" w:rsidR="000665A6" w:rsidRPr="00462DCC" w:rsidRDefault="000665A6" w:rsidP="00912BFE">
            <w:pPr>
              <w:rPr>
                <w:rFonts w:ascii="Arial" w:hAnsi="Arial" w:cs="Arial"/>
                <w:bCs/>
                <w:sz w:val="18"/>
                <w:szCs w:val="18"/>
              </w:rPr>
            </w:pPr>
          </w:p>
        </w:tc>
        <w:tc>
          <w:tcPr>
            <w:tcW w:w="2484" w:type="pct"/>
            <w:gridSpan w:val="6"/>
            <w:tcBorders>
              <w:left w:val="nil"/>
              <w:bottom w:val="single" w:sz="4" w:space="0" w:color="auto"/>
              <w:right w:val="nil"/>
            </w:tcBorders>
            <w:shd w:val="clear" w:color="auto" w:fill="auto"/>
            <w:noWrap/>
            <w:vAlign w:val="bottom"/>
          </w:tcPr>
          <w:p w14:paraId="288B99CC" w14:textId="77777777" w:rsidR="000665A6" w:rsidRPr="000665A6" w:rsidDel="00096834" w:rsidRDefault="00D60AC2" w:rsidP="0011516C">
            <w:pPr>
              <w:jc w:val="right"/>
              <w:rPr>
                <w:rFonts w:ascii="Arial" w:hAnsi="Arial" w:cs="Arial"/>
                <w:sz w:val="18"/>
                <w:szCs w:val="18"/>
              </w:rPr>
            </w:pPr>
            <w:r>
              <w:rPr>
                <w:rFonts w:ascii="Arial" w:hAnsi="Arial" w:cs="Arial"/>
                <w:sz w:val="18"/>
                <w:szCs w:val="18"/>
              </w:rPr>
              <w:t>20</w:t>
            </w:r>
            <w:r w:rsidR="00872DCA">
              <w:rPr>
                <w:rFonts w:ascii="Arial" w:hAnsi="Arial" w:cs="Arial"/>
                <w:sz w:val="18"/>
                <w:szCs w:val="18"/>
              </w:rPr>
              <w:t>1</w:t>
            </w:r>
            <w:r w:rsidR="004A5A3C">
              <w:rPr>
                <w:rFonts w:ascii="Arial" w:hAnsi="Arial" w:cs="Arial"/>
                <w:sz w:val="18"/>
                <w:szCs w:val="18"/>
              </w:rPr>
              <w:t>8</w:t>
            </w:r>
            <w:r>
              <w:rPr>
                <w:rFonts w:ascii="Arial" w:hAnsi="Arial" w:cs="Arial"/>
                <w:sz w:val="18"/>
                <w:szCs w:val="18"/>
              </w:rPr>
              <w:t>/</w:t>
            </w:r>
            <w:r w:rsidR="00E4769C">
              <w:rPr>
                <w:rFonts w:ascii="Arial" w:hAnsi="Arial" w:cs="Arial"/>
                <w:sz w:val="18"/>
                <w:szCs w:val="18"/>
              </w:rPr>
              <w:t>1</w:t>
            </w:r>
            <w:r w:rsidR="004A5A3C">
              <w:rPr>
                <w:rFonts w:ascii="Arial" w:hAnsi="Arial" w:cs="Arial"/>
                <w:sz w:val="18"/>
                <w:szCs w:val="18"/>
              </w:rPr>
              <w:t>9</w:t>
            </w:r>
          </w:p>
        </w:tc>
      </w:tr>
      <w:tr w:rsidR="000665A6" w14:paraId="2BDAA85B" w14:textId="77777777" w:rsidTr="00FA21A3">
        <w:trPr>
          <w:gridAfter w:val="1"/>
          <w:wAfter w:w="8" w:type="pct"/>
          <w:trHeight w:val="240"/>
        </w:trPr>
        <w:tc>
          <w:tcPr>
            <w:tcW w:w="2516" w:type="pct"/>
            <w:vMerge w:val="restart"/>
            <w:tcBorders>
              <w:top w:val="nil"/>
              <w:left w:val="nil"/>
              <w:right w:val="nil"/>
            </w:tcBorders>
            <w:shd w:val="clear" w:color="auto" w:fill="auto"/>
            <w:vAlign w:val="bottom"/>
          </w:tcPr>
          <w:p w14:paraId="75867D2F" w14:textId="77777777" w:rsidR="000665A6" w:rsidRPr="00CD0107" w:rsidRDefault="000665A6" w:rsidP="00912BFE">
            <w:pPr>
              <w:rPr>
                <w:rFonts w:ascii="Arial" w:hAnsi="Arial" w:cs="Arial"/>
                <w:sz w:val="18"/>
                <w:szCs w:val="18"/>
              </w:rPr>
            </w:pPr>
            <w:r w:rsidRPr="00CD0107">
              <w:rPr>
                <w:rFonts w:ascii="Arial" w:hAnsi="Arial" w:cs="Arial"/>
                <w:sz w:val="18"/>
                <w:szCs w:val="18"/>
              </w:rPr>
              <w:t>£ millions</w:t>
            </w:r>
          </w:p>
        </w:tc>
        <w:tc>
          <w:tcPr>
            <w:tcW w:w="698" w:type="pct"/>
            <w:vMerge w:val="restart"/>
            <w:tcBorders>
              <w:top w:val="nil"/>
              <w:left w:val="nil"/>
              <w:right w:val="nil"/>
            </w:tcBorders>
            <w:shd w:val="clear" w:color="auto" w:fill="auto"/>
            <w:vAlign w:val="bottom"/>
          </w:tcPr>
          <w:p w14:paraId="437D64C4" w14:textId="77777777" w:rsidR="000665A6" w:rsidRPr="00CD0107" w:rsidRDefault="00970BAF" w:rsidP="00912BFE">
            <w:pPr>
              <w:jc w:val="right"/>
              <w:rPr>
                <w:rFonts w:ascii="Arial" w:hAnsi="Arial" w:cs="Arial"/>
                <w:sz w:val="18"/>
                <w:szCs w:val="18"/>
              </w:rPr>
            </w:pPr>
            <w:r>
              <w:rPr>
                <w:rFonts w:ascii="Arial" w:hAnsi="Arial" w:cs="Arial"/>
                <w:sz w:val="18"/>
                <w:szCs w:val="18"/>
              </w:rPr>
              <w:t>UK &amp; Ireland</w:t>
            </w:r>
          </w:p>
        </w:tc>
        <w:tc>
          <w:tcPr>
            <w:tcW w:w="440" w:type="pct"/>
            <w:vMerge w:val="restart"/>
            <w:tcBorders>
              <w:top w:val="nil"/>
              <w:left w:val="nil"/>
              <w:right w:val="nil"/>
            </w:tcBorders>
            <w:shd w:val="clear" w:color="auto" w:fill="auto"/>
            <w:vAlign w:val="bottom"/>
          </w:tcPr>
          <w:p w14:paraId="3C8F943C" w14:textId="77777777" w:rsidR="000665A6" w:rsidRPr="00CD0107" w:rsidRDefault="00970BAF" w:rsidP="00912BFE">
            <w:pPr>
              <w:jc w:val="right"/>
              <w:rPr>
                <w:rFonts w:ascii="Arial" w:hAnsi="Arial" w:cs="Arial"/>
                <w:sz w:val="18"/>
                <w:szCs w:val="18"/>
              </w:rPr>
            </w:pPr>
            <w:r>
              <w:rPr>
                <w:rFonts w:ascii="Arial" w:hAnsi="Arial" w:cs="Arial"/>
                <w:sz w:val="18"/>
                <w:szCs w:val="18"/>
              </w:rPr>
              <w:t>France</w:t>
            </w:r>
          </w:p>
        </w:tc>
        <w:tc>
          <w:tcPr>
            <w:tcW w:w="898" w:type="pct"/>
            <w:gridSpan w:val="2"/>
            <w:tcBorders>
              <w:top w:val="nil"/>
              <w:left w:val="nil"/>
              <w:bottom w:val="single" w:sz="2" w:space="0" w:color="auto"/>
              <w:right w:val="nil"/>
            </w:tcBorders>
            <w:shd w:val="clear" w:color="auto" w:fill="auto"/>
            <w:vAlign w:val="bottom"/>
          </w:tcPr>
          <w:p w14:paraId="6B36A440" w14:textId="77777777" w:rsidR="000665A6" w:rsidRPr="00CD0107" w:rsidRDefault="000665A6" w:rsidP="00912BFE">
            <w:pPr>
              <w:jc w:val="right"/>
              <w:rPr>
                <w:rFonts w:ascii="Arial" w:hAnsi="Arial" w:cs="Arial"/>
                <w:sz w:val="18"/>
                <w:szCs w:val="18"/>
              </w:rPr>
            </w:pPr>
            <w:r>
              <w:rPr>
                <w:rFonts w:ascii="Arial" w:hAnsi="Arial" w:cs="Arial"/>
                <w:sz w:val="18"/>
                <w:szCs w:val="18"/>
              </w:rPr>
              <w:t>Other International</w:t>
            </w:r>
          </w:p>
        </w:tc>
        <w:tc>
          <w:tcPr>
            <w:tcW w:w="439" w:type="pct"/>
            <w:vMerge w:val="restart"/>
            <w:tcBorders>
              <w:top w:val="nil"/>
              <w:left w:val="nil"/>
              <w:right w:val="nil"/>
            </w:tcBorders>
            <w:shd w:val="clear" w:color="auto" w:fill="auto"/>
            <w:vAlign w:val="bottom"/>
          </w:tcPr>
          <w:p w14:paraId="2A481F04" w14:textId="77777777" w:rsidR="000665A6" w:rsidRPr="00CD0107" w:rsidRDefault="000665A6" w:rsidP="00912BFE">
            <w:pPr>
              <w:jc w:val="right"/>
              <w:rPr>
                <w:rFonts w:ascii="Arial" w:hAnsi="Arial" w:cs="Arial"/>
                <w:sz w:val="18"/>
                <w:szCs w:val="18"/>
              </w:rPr>
            </w:pPr>
            <w:r w:rsidRPr="00CD0107">
              <w:rPr>
                <w:rFonts w:ascii="Arial" w:hAnsi="Arial" w:cs="Arial"/>
                <w:sz w:val="18"/>
                <w:szCs w:val="18"/>
              </w:rPr>
              <w:t>Total</w:t>
            </w:r>
          </w:p>
        </w:tc>
      </w:tr>
      <w:tr w:rsidR="000665A6" w14:paraId="736C4E02" w14:textId="77777777" w:rsidTr="00FA21A3">
        <w:trPr>
          <w:gridAfter w:val="1"/>
          <w:wAfter w:w="8" w:type="pct"/>
          <w:trHeight w:val="240"/>
        </w:trPr>
        <w:tc>
          <w:tcPr>
            <w:tcW w:w="2516" w:type="pct"/>
            <w:vMerge/>
            <w:tcBorders>
              <w:left w:val="nil"/>
              <w:bottom w:val="single" w:sz="4" w:space="0" w:color="auto"/>
              <w:right w:val="nil"/>
            </w:tcBorders>
            <w:shd w:val="clear" w:color="auto" w:fill="auto"/>
            <w:vAlign w:val="bottom"/>
          </w:tcPr>
          <w:p w14:paraId="7E7984F8" w14:textId="77777777" w:rsidR="000665A6" w:rsidRPr="00CD0107" w:rsidRDefault="000665A6" w:rsidP="00912BFE">
            <w:pPr>
              <w:rPr>
                <w:rFonts w:ascii="Arial" w:hAnsi="Arial" w:cs="Arial"/>
                <w:sz w:val="18"/>
                <w:szCs w:val="18"/>
              </w:rPr>
            </w:pPr>
          </w:p>
        </w:tc>
        <w:tc>
          <w:tcPr>
            <w:tcW w:w="698" w:type="pct"/>
            <w:vMerge/>
            <w:tcBorders>
              <w:left w:val="nil"/>
              <w:bottom w:val="single" w:sz="4" w:space="0" w:color="auto"/>
              <w:right w:val="nil"/>
            </w:tcBorders>
            <w:shd w:val="clear" w:color="auto" w:fill="auto"/>
            <w:vAlign w:val="bottom"/>
          </w:tcPr>
          <w:p w14:paraId="16EF1D1A" w14:textId="77777777" w:rsidR="000665A6" w:rsidRDefault="000665A6" w:rsidP="00912BFE">
            <w:pPr>
              <w:jc w:val="right"/>
              <w:rPr>
                <w:rFonts w:ascii="Arial" w:hAnsi="Arial" w:cs="Arial"/>
                <w:sz w:val="18"/>
                <w:szCs w:val="18"/>
              </w:rPr>
            </w:pPr>
          </w:p>
        </w:tc>
        <w:tc>
          <w:tcPr>
            <w:tcW w:w="440" w:type="pct"/>
            <w:vMerge/>
            <w:tcBorders>
              <w:left w:val="nil"/>
              <w:bottom w:val="single" w:sz="4" w:space="0" w:color="auto"/>
              <w:right w:val="nil"/>
            </w:tcBorders>
            <w:shd w:val="clear" w:color="auto" w:fill="auto"/>
            <w:vAlign w:val="bottom"/>
          </w:tcPr>
          <w:p w14:paraId="6E3C1D6C" w14:textId="77777777" w:rsidR="000665A6" w:rsidRPr="00CD0107" w:rsidRDefault="000665A6" w:rsidP="00912BFE">
            <w:pPr>
              <w:jc w:val="right"/>
              <w:rPr>
                <w:rFonts w:ascii="Arial" w:hAnsi="Arial" w:cs="Arial"/>
                <w:sz w:val="18"/>
                <w:szCs w:val="18"/>
              </w:rPr>
            </w:pPr>
          </w:p>
        </w:tc>
        <w:tc>
          <w:tcPr>
            <w:tcW w:w="456" w:type="pct"/>
            <w:tcBorders>
              <w:top w:val="nil"/>
              <w:left w:val="nil"/>
              <w:bottom w:val="single" w:sz="4" w:space="0" w:color="auto"/>
              <w:right w:val="nil"/>
            </w:tcBorders>
            <w:shd w:val="clear" w:color="auto" w:fill="auto"/>
            <w:vAlign w:val="bottom"/>
          </w:tcPr>
          <w:p w14:paraId="1341B42B" w14:textId="77777777" w:rsidR="000665A6" w:rsidRPr="00CD0107" w:rsidRDefault="000665A6" w:rsidP="00912BFE">
            <w:pPr>
              <w:jc w:val="right"/>
              <w:rPr>
                <w:rFonts w:ascii="Arial" w:hAnsi="Arial" w:cs="Arial"/>
                <w:sz w:val="18"/>
                <w:szCs w:val="18"/>
              </w:rPr>
            </w:pPr>
            <w:smartTag w:uri="urn:schemas-microsoft-com:office:smarttags" w:element="place">
              <w:smartTag w:uri="urn:schemas-microsoft-com:office:smarttags" w:element="country-region">
                <w:r w:rsidRPr="00CD0107">
                  <w:rPr>
                    <w:rFonts w:ascii="Arial" w:hAnsi="Arial" w:cs="Arial"/>
                    <w:sz w:val="18"/>
                    <w:szCs w:val="18"/>
                  </w:rPr>
                  <w:t>Poland</w:t>
                </w:r>
              </w:smartTag>
            </w:smartTag>
          </w:p>
        </w:tc>
        <w:tc>
          <w:tcPr>
            <w:tcW w:w="442" w:type="pct"/>
            <w:tcBorders>
              <w:top w:val="nil"/>
              <w:left w:val="nil"/>
              <w:bottom w:val="single" w:sz="4" w:space="0" w:color="auto"/>
              <w:right w:val="nil"/>
            </w:tcBorders>
            <w:shd w:val="clear" w:color="auto" w:fill="auto"/>
            <w:vAlign w:val="bottom"/>
          </w:tcPr>
          <w:p w14:paraId="5AA999E1" w14:textId="77777777" w:rsidR="000665A6" w:rsidRPr="00CD0107" w:rsidRDefault="000665A6" w:rsidP="00912BFE">
            <w:pPr>
              <w:jc w:val="right"/>
              <w:rPr>
                <w:rFonts w:ascii="Arial" w:hAnsi="Arial" w:cs="Arial"/>
                <w:sz w:val="18"/>
                <w:szCs w:val="18"/>
              </w:rPr>
            </w:pPr>
            <w:r>
              <w:rPr>
                <w:rFonts w:ascii="Arial" w:hAnsi="Arial" w:cs="Arial"/>
                <w:sz w:val="18"/>
                <w:szCs w:val="18"/>
              </w:rPr>
              <w:t>Other</w:t>
            </w:r>
          </w:p>
        </w:tc>
        <w:tc>
          <w:tcPr>
            <w:tcW w:w="439" w:type="pct"/>
            <w:vMerge/>
            <w:tcBorders>
              <w:left w:val="nil"/>
              <w:bottom w:val="single" w:sz="4" w:space="0" w:color="auto"/>
              <w:right w:val="nil"/>
            </w:tcBorders>
            <w:shd w:val="clear" w:color="auto" w:fill="auto"/>
            <w:vAlign w:val="bottom"/>
          </w:tcPr>
          <w:p w14:paraId="378138C9" w14:textId="77777777" w:rsidR="000665A6" w:rsidRPr="00CD0107" w:rsidRDefault="000665A6" w:rsidP="00912BFE">
            <w:pPr>
              <w:jc w:val="right"/>
              <w:rPr>
                <w:rFonts w:ascii="Arial" w:hAnsi="Arial" w:cs="Arial"/>
                <w:sz w:val="18"/>
                <w:szCs w:val="18"/>
              </w:rPr>
            </w:pPr>
          </w:p>
        </w:tc>
      </w:tr>
      <w:tr w:rsidR="00B07D6F" w14:paraId="44730860" w14:textId="77777777" w:rsidTr="00FA21A3">
        <w:trPr>
          <w:gridAfter w:val="1"/>
          <w:wAfter w:w="8" w:type="pct"/>
          <w:trHeight w:val="240"/>
        </w:trPr>
        <w:tc>
          <w:tcPr>
            <w:tcW w:w="2516" w:type="pct"/>
            <w:tcBorders>
              <w:top w:val="single" w:sz="2" w:space="0" w:color="auto"/>
              <w:left w:val="nil"/>
              <w:bottom w:val="single" w:sz="4" w:space="0" w:color="auto"/>
              <w:right w:val="nil"/>
            </w:tcBorders>
            <w:shd w:val="clear" w:color="auto" w:fill="auto"/>
            <w:noWrap/>
            <w:vAlign w:val="bottom"/>
          </w:tcPr>
          <w:p w14:paraId="1CF99E83" w14:textId="77777777" w:rsidR="00B07D6F" w:rsidRPr="00CD0107" w:rsidRDefault="00B07D6F" w:rsidP="00912BFE">
            <w:pPr>
              <w:rPr>
                <w:rFonts w:ascii="Arial" w:hAnsi="Arial" w:cs="Arial"/>
                <w:b/>
                <w:bCs/>
                <w:sz w:val="18"/>
                <w:szCs w:val="18"/>
              </w:rPr>
            </w:pPr>
            <w:r>
              <w:rPr>
                <w:rFonts w:ascii="Arial" w:hAnsi="Arial" w:cs="Arial"/>
                <w:b/>
                <w:bCs/>
                <w:sz w:val="18"/>
                <w:szCs w:val="18"/>
              </w:rPr>
              <w:t>Sales</w:t>
            </w:r>
          </w:p>
        </w:tc>
        <w:tc>
          <w:tcPr>
            <w:tcW w:w="698" w:type="pct"/>
            <w:tcBorders>
              <w:top w:val="single" w:sz="2" w:space="0" w:color="auto"/>
              <w:left w:val="nil"/>
              <w:bottom w:val="single" w:sz="4" w:space="0" w:color="auto"/>
              <w:right w:val="nil"/>
            </w:tcBorders>
            <w:shd w:val="clear" w:color="auto" w:fill="auto"/>
            <w:noWrap/>
            <w:vAlign w:val="bottom"/>
          </w:tcPr>
          <w:p w14:paraId="2F42BDC4" w14:textId="77777777" w:rsidR="00B07D6F" w:rsidRPr="00083970" w:rsidRDefault="0016029B" w:rsidP="00695F40">
            <w:pPr>
              <w:jc w:val="right"/>
              <w:rPr>
                <w:rFonts w:ascii="Arial" w:hAnsi="Arial" w:cs="Arial"/>
                <w:b/>
                <w:sz w:val="18"/>
                <w:szCs w:val="18"/>
              </w:rPr>
            </w:pPr>
            <w:r w:rsidRPr="00083970">
              <w:rPr>
                <w:rFonts w:ascii="Arial" w:hAnsi="Arial" w:cs="Arial"/>
                <w:b/>
                <w:sz w:val="18"/>
                <w:szCs w:val="18"/>
              </w:rPr>
              <w:t>5,0</w:t>
            </w:r>
            <w:r w:rsidR="00083970" w:rsidRPr="00083970">
              <w:rPr>
                <w:rFonts w:ascii="Arial" w:hAnsi="Arial" w:cs="Arial"/>
                <w:b/>
                <w:sz w:val="18"/>
                <w:szCs w:val="18"/>
              </w:rPr>
              <w:t>61</w:t>
            </w:r>
          </w:p>
        </w:tc>
        <w:tc>
          <w:tcPr>
            <w:tcW w:w="440" w:type="pct"/>
            <w:tcBorders>
              <w:top w:val="single" w:sz="2" w:space="0" w:color="auto"/>
              <w:left w:val="nil"/>
              <w:bottom w:val="single" w:sz="4" w:space="0" w:color="auto"/>
              <w:right w:val="nil"/>
            </w:tcBorders>
            <w:shd w:val="clear" w:color="auto" w:fill="auto"/>
            <w:noWrap/>
            <w:vAlign w:val="bottom"/>
          </w:tcPr>
          <w:p w14:paraId="2E76C831" w14:textId="77777777" w:rsidR="00B07D6F" w:rsidRPr="00083970" w:rsidRDefault="0016029B" w:rsidP="00695F40">
            <w:pPr>
              <w:jc w:val="right"/>
              <w:rPr>
                <w:rFonts w:ascii="Arial" w:hAnsi="Arial" w:cs="Arial"/>
                <w:b/>
                <w:sz w:val="18"/>
                <w:szCs w:val="18"/>
              </w:rPr>
            </w:pPr>
            <w:r w:rsidRPr="00083970">
              <w:rPr>
                <w:rFonts w:ascii="Arial" w:hAnsi="Arial" w:cs="Arial"/>
                <w:b/>
                <w:sz w:val="18"/>
                <w:szCs w:val="18"/>
              </w:rPr>
              <w:t>4,</w:t>
            </w:r>
            <w:r w:rsidR="00083970" w:rsidRPr="00083970">
              <w:rPr>
                <w:rFonts w:ascii="Arial" w:hAnsi="Arial" w:cs="Arial"/>
                <w:b/>
                <w:sz w:val="18"/>
                <w:szCs w:val="18"/>
              </w:rPr>
              <w:t>272</w:t>
            </w:r>
          </w:p>
        </w:tc>
        <w:tc>
          <w:tcPr>
            <w:tcW w:w="456" w:type="pct"/>
            <w:tcBorders>
              <w:top w:val="single" w:sz="2" w:space="0" w:color="auto"/>
              <w:left w:val="nil"/>
              <w:bottom w:val="single" w:sz="4" w:space="0" w:color="auto"/>
              <w:right w:val="nil"/>
            </w:tcBorders>
            <w:shd w:val="clear" w:color="auto" w:fill="auto"/>
            <w:noWrap/>
            <w:vAlign w:val="bottom"/>
          </w:tcPr>
          <w:p w14:paraId="1DEADE4A" w14:textId="77777777" w:rsidR="00B07D6F" w:rsidRPr="00083970" w:rsidRDefault="0016029B" w:rsidP="00695F40">
            <w:pPr>
              <w:jc w:val="right"/>
              <w:rPr>
                <w:rFonts w:ascii="Arial" w:hAnsi="Arial" w:cs="Arial"/>
                <w:b/>
                <w:sz w:val="18"/>
                <w:szCs w:val="18"/>
              </w:rPr>
            </w:pPr>
            <w:r w:rsidRPr="00083970">
              <w:rPr>
                <w:rFonts w:ascii="Arial" w:hAnsi="Arial" w:cs="Arial"/>
                <w:b/>
                <w:sz w:val="18"/>
                <w:szCs w:val="18"/>
              </w:rPr>
              <w:t>1,</w:t>
            </w:r>
            <w:r w:rsidR="00083970" w:rsidRPr="00083970">
              <w:rPr>
                <w:rFonts w:ascii="Arial" w:hAnsi="Arial" w:cs="Arial"/>
                <w:b/>
                <w:sz w:val="18"/>
                <w:szCs w:val="18"/>
              </w:rPr>
              <w:t>431</w:t>
            </w:r>
          </w:p>
        </w:tc>
        <w:tc>
          <w:tcPr>
            <w:tcW w:w="442" w:type="pct"/>
            <w:tcBorders>
              <w:top w:val="single" w:sz="2" w:space="0" w:color="auto"/>
              <w:left w:val="nil"/>
              <w:bottom w:val="single" w:sz="4" w:space="0" w:color="auto"/>
              <w:right w:val="nil"/>
            </w:tcBorders>
            <w:shd w:val="clear" w:color="auto" w:fill="auto"/>
            <w:noWrap/>
            <w:vAlign w:val="bottom"/>
          </w:tcPr>
          <w:p w14:paraId="565E723B" w14:textId="77777777" w:rsidR="00B07D6F" w:rsidRPr="00083970" w:rsidRDefault="00083970" w:rsidP="00695F40">
            <w:pPr>
              <w:jc w:val="right"/>
              <w:rPr>
                <w:rFonts w:ascii="Arial" w:hAnsi="Arial" w:cs="Arial"/>
                <w:b/>
                <w:sz w:val="18"/>
                <w:szCs w:val="18"/>
              </w:rPr>
            </w:pPr>
            <w:r w:rsidRPr="00083970">
              <w:rPr>
                <w:rFonts w:ascii="Arial" w:hAnsi="Arial" w:cs="Arial"/>
                <w:b/>
                <w:sz w:val="18"/>
                <w:szCs w:val="18"/>
              </w:rPr>
              <w:t>921</w:t>
            </w:r>
          </w:p>
        </w:tc>
        <w:tc>
          <w:tcPr>
            <w:tcW w:w="439" w:type="pct"/>
            <w:tcBorders>
              <w:top w:val="single" w:sz="2" w:space="0" w:color="auto"/>
              <w:left w:val="nil"/>
              <w:bottom w:val="single" w:sz="4" w:space="0" w:color="auto"/>
              <w:right w:val="nil"/>
            </w:tcBorders>
            <w:shd w:val="clear" w:color="auto" w:fill="auto"/>
            <w:noWrap/>
            <w:vAlign w:val="bottom"/>
          </w:tcPr>
          <w:p w14:paraId="005127DD" w14:textId="77777777" w:rsidR="00B07D6F" w:rsidRPr="00083970" w:rsidRDefault="0016029B" w:rsidP="00695F40">
            <w:pPr>
              <w:jc w:val="right"/>
              <w:rPr>
                <w:rFonts w:ascii="Arial" w:hAnsi="Arial" w:cs="Arial"/>
                <w:b/>
                <w:sz w:val="18"/>
                <w:szCs w:val="18"/>
              </w:rPr>
            </w:pPr>
            <w:r w:rsidRPr="00083970">
              <w:rPr>
                <w:rFonts w:ascii="Arial" w:hAnsi="Arial" w:cs="Arial"/>
                <w:b/>
                <w:sz w:val="18"/>
                <w:szCs w:val="18"/>
              </w:rPr>
              <w:t>11,6</w:t>
            </w:r>
            <w:r w:rsidR="00083970" w:rsidRPr="00083970">
              <w:rPr>
                <w:rFonts w:ascii="Arial" w:hAnsi="Arial" w:cs="Arial"/>
                <w:b/>
                <w:sz w:val="18"/>
                <w:szCs w:val="18"/>
              </w:rPr>
              <w:t>8</w:t>
            </w:r>
            <w:r w:rsidRPr="00083970">
              <w:rPr>
                <w:rFonts w:ascii="Arial" w:hAnsi="Arial" w:cs="Arial"/>
                <w:b/>
                <w:sz w:val="18"/>
                <w:szCs w:val="18"/>
              </w:rPr>
              <w:t>5</w:t>
            </w:r>
          </w:p>
        </w:tc>
      </w:tr>
      <w:tr w:rsidR="00B07D6F" w:rsidRPr="004E18F2" w14:paraId="2B9BCB4D" w14:textId="77777777" w:rsidTr="00FA21A3">
        <w:trPr>
          <w:gridAfter w:val="1"/>
          <w:wAfter w:w="8" w:type="pct"/>
          <w:trHeight w:val="240"/>
        </w:trPr>
        <w:tc>
          <w:tcPr>
            <w:tcW w:w="2516" w:type="pct"/>
            <w:tcBorders>
              <w:top w:val="nil"/>
              <w:left w:val="nil"/>
              <w:right w:val="nil"/>
            </w:tcBorders>
            <w:shd w:val="clear" w:color="auto" w:fill="auto"/>
            <w:noWrap/>
            <w:vAlign w:val="bottom"/>
          </w:tcPr>
          <w:p w14:paraId="0C152279" w14:textId="77777777" w:rsidR="00B07D6F" w:rsidRPr="0080364A" w:rsidRDefault="00B07D6F" w:rsidP="00912BFE">
            <w:pPr>
              <w:rPr>
                <w:rFonts w:ascii="Arial" w:hAnsi="Arial" w:cs="Arial"/>
                <w:b/>
                <w:sz w:val="18"/>
                <w:szCs w:val="18"/>
              </w:rPr>
            </w:pPr>
            <w:r w:rsidRPr="0080364A">
              <w:rPr>
                <w:rFonts w:ascii="Arial" w:hAnsi="Arial" w:cs="Arial"/>
                <w:b/>
                <w:sz w:val="18"/>
                <w:szCs w:val="18"/>
              </w:rPr>
              <w:t xml:space="preserve">Retail profit </w:t>
            </w:r>
          </w:p>
        </w:tc>
        <w:tc>
          <w:tcPr>
            <w:tcW w:w="698" w:type="pct"/>
            <w:tcBorders>
              <w:top w:val="nil"/>
              <w:left w:val="nil"/>
              <w:right w:val="nil"/>
            </w:tcBorders>
            <w:shd w:val="clear" w:color="auto" w:fill="auto"/>
            <w:noWrap/>
            <w:vAlign w:val="bottom"/>
          </w:tcPr>
          <w:p w14:paraId="21D8246C" w14:textId="77777777" w:rsidR="00B07D6F" w:rsidRPr="00083970" w:rsidRDefault="00473513" w:rsidP="00695F40">
            <w:pPr>
              <w:jc w:val="right"/>
              <w:rPr>
                <w:rFonts w:ascii="Arial" w:hAnsi="Arial" w:cs="Arial"/>
                <w:b/>
                <w:sz w:val="18"/>
                <w:szCs w:val="18"/>
              </w:rPr>
            </w:pPr>
            <w:r w:rsidRPr="00083970">
              <w:rPr>
                <w:rFonts w:ascii="Arial" w:hAnsi="Arial" w:cs="Arial"/>
                <w:b/>
                <w:sz w:val="18"/>
                <w:szCs w:val="18"/>
              </w:rPr>
              <w:t>3</w:t>
            </w:r>
            <w:r w:rsidR="00083970" w:rsidRPr="00083970">
              <w:rPr>
                <w:rFonts w:ascii="Arial" w:hAnsi="Arial" w:cs="Arial"/>
                <w:b/>
                <w:sz w:val="18"/>
                <w:szCs w:val="18"/>
              </w:rPr>
              <w:t>99</w:t>
            </w:r>
          </w:p>
        </w:tc>
        <w:tc>
          <w:tcPr>
            <w:tcW w:w="440" w:type="pct"/>
            <w:tcBorders>
              <w:top w:val="nil"/>
              <w:left w:val="nil"/>
              <w:right w:val="nil"/>
            </w:tcBorders>
            <w:shd w:val="clear" w:color="auto" w:fill="auto"/>
            <w:noWrap/>
            <w:vAlign w:val="bottom"/>
          </w:tcPr>
          <w:p w14:paraId="7BF9FA01" w14:textId="77777777" w:rsidR="00B07D6F" w:rsidRPr="00083970" w:rsidRDefault="0016029B" w:rsidP="00695F40">
            <w:pPr>
              <w:jc w:val="right"/>
              <w:rPr>
                <w:rFonts w:ascii="Arial" w:hAnsi="Arial" w:cs="Arial"/>
                <w:b/>
                <w:sz w:val="18"/>
                <w:szCs w:val="18"/>
              </w:rPr>
            </w:pPr>
            <w:r w:rsidRPr="00083970">
              <w:rPr>
                <w:rFonts w:ascii="Arial" w:hAnsi="Arial" w:cs="Arial"/>
                <w:b/>
                <w:sz w:val="18"/>
                <w:szCs w:val="18"/>
              </w:rPr>
              <w:t>20</w:t>
            </w:r>
            <w:r w:rsidR="00083970" w:rsidRPr="00083970">
              <w:rPr>
                <w:rFonts w:ascii="Arial" w:hAnsi="Arial" w:cs="Arial"/>
                <w:b/>
                <w:sz w:val="18"/>
                <w:szCs w:val="18"/>
              </w:rPr>
              <w:t>9</w:t>
            </w:r>
          </w:p>
        </w:tc>
        <w:tc>
          <w:tcPr>
            <w:tcW w:w="456" w:type="pct"/>
            <w:tcBorders>
              <w:top w:val="nil"/>
              <w:left w:val="nil"/>
              <w:right w:val="nil"/>
            </w:tcBorders>
            <w:shd w:val="clear" w:color="auto" w:fill="auto"/>
            <w:noWrap/>
            <w:vAlign w:val="bottom"/>
          </w:tcPr>
          <w:p w14:paraId="3FF8F019" w14:textId="77777777" w:rsidR="00B07D6F" w:rsidRPr="00083970" w:rsidRDefault="0016029B" w:rsidP="00695F40">
            <w:pPr>
              <w:jc w:val="right"/>
              <w:rPr>
                <w:rFonts w:ascii="Arial" w:hAnsi="Arial" w:cs="Arial"/>
                <w:b/>
                <w:sz w:val="18"/>
                <w:szCs w:val="18"/>
              </w:rPr>
            </w:pPr>
            <w:r w:rsidRPr="00083970">
              <w:rPr>
                <w:rFonts w:ascii="Arial" w:hAnsi="Arial" w:cs="Arial"/>
                <w:b/>
                <w:sz w:val="18"/>
                <w:szCs w:val="18"/>
              </w:rPr>
              <w:t>1</w:t>
            </w:r>
            <w:r w:rsidR="00083970" w:rsidRPr="00083970">
              <w:rPr>
                <w:rFonts w:ascii="Arial" w:hAnsi="Arial" w:cs="Arial"/>
                <w:b/>
                <w:sz w:val="18"/>
                <w:szCs w:val="18"/>
              </w:rPr>
              <w:t>8</w:t>
            </w:r>
            <w:r w:rsidR="00411685">
              <w:rPr>
                <w:rFonts w:ascii="Arial" w:hAnsi="Arial" w:cs="Arial"/>
                <w:b/>
                <w:sz w:val="18"/>
                <w:szCs w:val="18"/>
              </w:rPr>
              <w:t>1</w:t>
            </w:r>
          </w:p>
        </w:tc>
        <w:tc>
          <w:tcPr>
            <w:tcW w:w="442" w:type="pct"/>
            <w:tcBorders>
              <w:top w:val="nil"/>
              <w:left w:val="nil"/>
              <w:right w:val="nil"/>
            </w:tcBorders>
            <w:shd w:val="clear" w:color="auto" w:fill="auto"/>
            <w:noWrap/>
            <w:vAlign w:val="bottom"/>
          </w:tcPr>
          <w:p w14:paraId="4C1FD31C" w14:textId="77777777" w:rsidR="00B07D6F" w:rsidRPr="00083970" w:rsidRDefault="00473513" w:rsidP="00695F40">
            <w:pPr>
              <w:jc w:val="right"/>
              <w:rPr>
                <w:rFonts w:ascii="Arial" w:hAnsi="Arial" w:cs="Arial"/>
                <w:b/>
                <w:sz w:val="18"/>
                <w:szCs w:val="18"/>
              </w:rPr>
            </w:pPr>
            <w:r w:rsidRPr="00083970">
              <w:rPr>
                <w:rFonts w:ascii="Arial" w:hAnsi="Arial" w:cs="Arial"/>
                <w:b/>
                <w:sz w:val="18"/>
                <w:szCs w:val="18"/>
              </w:rPr>
              <w:t>(</w:t>
            </w:r>
            <w:r w:rsidR="00083970" w:rsidRPr="00083970">
              <w:rPr>
                <w:rFonts w:ascii="Arial" w:hAnsi="Arial" w:cs="Arial"/>
                <w:b/>
                <w:sz w:val="18"/>
                <w:szCs w:val="18"/>
              </w:rPr>
              <w:t>3</w:t>
            </w:r>
            <w:r w:rsidRPr="00083970">
              <w:rPr>
                <w:rFonts w:ascii="Arial" w:hAnsi="Arial" w:cs="Arial"/>
                <w:b/>
                <w:sz w:val="18"/>
                <w:szCs w:val="18"/>
              </w:rPr>
              <w:t>6)</w:t>
            </w:r>
          </w:p>
        </w:tc>
        <w:tc>
          <w:tcPr>
            <w:tcW w:w="439" w:type="pct"/>
            <w:tcBorders>
              <w:top w:val="nil"/>
              <w:left w:val="nil"/>
              <w:right w:val="nil"/>
            </w:tcBorders>
            <w:shd w:val="clear" w:color="auto" w:fill="auto"/>
            <w:noWrap/>
            <w:vAlign w:val="bottom"/>
          </w:tcPr>
          <w:p w14:paraId="7BF2C5D1" w14:textId="77777777" w:rsidR="00B07D6F" w:rsidRPr="00083970" w:rsidRDefault="00083970" w:rsidP="00695F40">
            <w:pPr>
              <w:jc w:val="right"/>
              <w:rPr>
                <w:rFonts w:ascii="Arial" w:hAnsi="Arial" w:cs="Arial"/>
                <w:b/>
                <w:bCs/>
                <w:sz w:val="18"/>
                <w:szCs w:val="18"/>
              </w:rPr>
            </w:pPr>
            <w:r w:rsidRPr="00083970">
              <w:rPr>
                <w:rFonts w:ascii="Arial" w:hAnsi="Arial" w:cs="Arial"/>
                <w:b/>
                <w:bCs/>
                <w:sz w:val="18"/>
                <w:szCs w:val="18"/>
              </w:rPr>
              <w:t>75</w:t>
            </w:r>
            <w:r w:rsidR="00411685">
              <w:rPr>
                <w:rFonts w:ascii="Arial" w:hAnsi="Arial" w:cs="Arial"/>
                <w:b/>
                <w:bCs/>
                <w:sz w:val="18"/>
                <w:szCs w:val="18"/>
              </w:rPr>
              <w:t>3</w:t>
            </w:r>
          </w:p>
        </w:tc>
      </w:tr>
      <w:tr w:rsidR="00B07D6F" w:rsidRPr="004E18F2" w14:paraId="1FECF0B9" w14:textId="77777777" w:rsidTr="00FA21A3">
        <w:trPr>
          <w:gridAfter w:val="1"/>
          <w:wAfter w:w="8" w:type="pct"/>
          <w:trHeight w:val="240"/>
        </w:trPr>
        <w:tc>
          <w:tcPr>
            <w:tcW w:w="2516" w:type="pct"/>
            <w:tcBorders>
              <w:top w:val="nil"/>
              <w:left w:val="nil"/>
              <w:right w:val="nil"/>
            </w:tcBorders>
            <w:shd w:val="clear" w:color="auto" w:fill="auto"/>
            <w:noWrap/>
            <w:vAlign w:val="bottom"/>
          </w:tcPr>
          <w:p w14:paraId="12D323DD" w14:textId="77777777" w:rsidR="00B07D6F" w:rsidRDefault="00B07D6F" w:rsidP="00912BFE">
            <w:pPr>
              <w:rPr>
                <w:rFonts w:ascii="Arial" w:hAnsi="Arial" w:cs="Arial"/>
                <w:sz w:val="18"/>
                <w:szCs w:val="18"/>
              </w:rPr>
            </w:pPr>
            <w:r>
              <w:rPr>
                <w:rFonts w:ascii="Arial" w:hAnsi="Arial" w:cs="Arial"/>
                <w:sz w:val="18"/>
                <w:szCs w:val="18"/>
              </w:rPr>
              <w:t>Central costs</w:t>
            </w:r>
          </w:p>
        </w:tc>
        <w:tc>
          <w:tcPr>
            <w:tcW w:w="698" w:type="pct"/>
            <w:tcBorders>
              <w:top w:val="nil"/>
              <w:left w:val="nil"/>
              <w:right w:val="nil"/>
            </w:tcBorders>
            <w:shd w:val="clear" w:color="auto" w:fill="auto"/>
            <w:noWrap/>
            <w:vAlign w:val="bottom"/>
          </w:tcPr>
          <w:p w14:paraId="4913956C" w14:textId="77777777" w:rsidR="00B07D6F" w:rsidRPr="00083970" w:rsidRDefault="00B07D6F" w:rsidP="00695F40">
            <w:pPr>
              <w:jc w:val="right"/>
              <w:rPr>
                <w:rFonts w:ascii="Arial" w:hAnsi="Arial" w:cs="Arial"/>
                <w:b/>
                <w:sz w:val="18"/>
                <w:szCs w:val="18"/>
              </w:rPr>
            </w:pPr>
          </w:p>
        </w:tc>
        <w:tc>
          <w:tcPr>
            <w:tcW w:w="440" w:type="pct"/>
            <w:tcBorders>
              <w:top w:val="nil"/>
              <w:left w:val="nil"/>
              <w:right w:val="nil"/>
            </w:tcBorders>
            <w:shd w:val="clear" w:color="auto" w:fill="auto"/>
            <w:noWrap/>
            <w:vAlign w:val="bottom"/>
          </w:tcPr>
          <w:p w14:paraId="0F583CA9" w14:textId="77777777" w:rsidR="00B07D6F" w:rsidRPr="00083970" w:rsidRDefault="00B07D6F" w:rsidP="00695F40">
            <w:pPr>
              <w:jc w:val="right"/>
              <w:rPr>
                <w:rFonts w:ascii="Arial" w:hAnsi="Arial" w:cs="Arial"/>
                <w:b/>
                <w:sz w:val="18"/>
                <w:szCs w:val="18"/>
              </w:rPr>
            </w:pPr>
          </w:p>
        </w:tc>
        <w:tc>
          <w:tcPr>
            <w:tcW w:w="456" w:type="pct"/>
            <w:tcBorders>
              <w:top w:val="nil"/>
              <w:left w:val="nil"/>
              <w:right w:val="nil"/>
            </w:tcBorders>
            <w:shd w:val="clear" w:color="auto" w:fill="auto"/>
            <w:noWrap/>
            <w:vAlign w:val="bottom"/>
          </w:tcPr>
          <w:p w14:paraId="471BCC80" w14:textId="77777777" w:rsidR="00B07D6F" w:rsidRPr="00083970" w:rsidRDefault="00B07D6F" w:rsidP="00695F40">
            <w:pPr>
              <w:jc w:val="right"/>
              <w:rPr>
                <w:rFonts w:ascii="Arial" w:hAnsi="Arial" w:cs="Arial"/>
                <w:b/>
                <w:sz w:val="18"/>
                <w:szCs w:val="18"/>
              </w:rPr>
            </w:pPr>
          </w:p>
        </w:tc>
        <w:tc>
          <w:tcPr>
            <w:tcW w:w="442" w:type="pct"/>
            <w:tcBorders>
              <w:top w:val="nil"/>
              <w:left w:val="nil"/>
              <w:right w:val="nil"/>
            </w:tcBorders>
            <w:shd w:val="clear" w:color="auto" w:fill="auto"/>
            <w:noWrap/>
            <w:vAlign w:val="bottom"/>
          </w:tcPr>
          <w:p w14:paraId="108131AE" w14:textId="77777777" w:rsidR="00B07D6F" w:rsidRPr="00083970" w:rsidRDefault="00B07D6F" w:rsidP="00695F40">
            <w:pPr>
              <w:jc w:val="right"/>
              <w:rPr>
                <w:rFonts w:ascii="Arial" w:hAnsi="Arial" w:cs="Arial"/>
                <w:b/>
                <w:sz w:val="18"/>
                <w:szCs w:val="18"/>
              </w:rPr>
            </w:pPr>
          </w:p>
        </w:tc>
        <w:tc>
          <w:tcPr>
            <w:tcW w:w="439" w:type="pct"/>
            <w:tcBorders>
              <w:top w:val="nil"/>
              <w:left w:val="nil"/>
              <w:right w:val="nil"/>
            </w:tcBorders>
            <w:shd w:val="clear" w:color="auto" w:fill="auto"/>
            <w:noWrap/>
            <w:vAlign w:val="bottom"/>
          </w:tcPr>
          <w:p w14:paraId="475B9842" w14:textId="77777777" w:rsidR="00B07D6F" w:rsidRPr="00083970" w:rsidRDefault="0016029B" w:rsidP="00695F40">
            <w:pPr>
              <w:jc w:val="right"/>
              <w:rPr>
                <w:rFonts w:ascii="Arial" w:hAnsi="Arial" w:cs="Arial"/>
                <w:b/>
                <w:bCs/>
                <w:sz w:val="18"/>
                <w:szCs w:val="18"/>
              </w:rPr>
            </w:pPr>
            <w:r w:rsidRPr="00083970">
              <w:rPr>
                <w:rFonts w:ascii="Arial" w:hAnsi="Arial" w:cs="Arial"/>
                <w:b/>
                <w:bCs/>
                <w:sz w:val="18"/>
                <w:szCs w:val="18"/>
              </w:rPr>
              <w:t>(4</w:t>
            </w:r>
            <w:r w:rsidR="00083970" w:rsidRPr="00083970">
              <w:rPr>
                <w:rFonts w:ascii="Arial" w:hAnsi="Arial" w:cs="Arial"/>
                <w:b/>
                <w:bCs/>
                <w:sz w:val="18"/>
                <w:szCs w:val="18"/>
              </w:rPr>
              <w:t>9</w:t>
            </w:r>
            <w:r w:rsidRPr="00083970">
              <w:rPr>
                <w:rFonts w:ascii="Arial" w:hAnsi="Arial" w:cs="Arial"/>
                <w:b/>
                <w:bCs/>
                <w:sz w:val="18"/>
                <w:szCs w:val="18"/>
              </w:rPr>
              <w:t>)</w:t>
            </w:r>
          </w:p>
        </w:tc>
      </w:tr>
      <w:tr w:rsidR="00B07D6F" w:rsidRPr="004E18F2" w14:paraId="0997A786" w14:textId="77777777" w:rsidTr="00FA21A3">
        <w:trPr>
          <w:gridAfter w:val="1"/>
          <w:wAfter w:w="8" w:type="pct"/>
          <w:trHeight w:val="240"/>
        </w:trPr>
        <w:tc>
          <w:tcPr>
            <w:tcW w:w="2516" w:type="pct"/>
            <w:tcBorders>
              <w:top w:val="nil"/>
              <w:left w:val="nil"/>
              <w:right w:val="nil"/>
            </w:tcBorders>
            <w:shd w:val="clear" w:color="auto" w:fill="auto"/>
            <w:noWrap/>
            <w:vAlign w:val="bottom"/>
          </w:tcPr>
          <w:p w14:paraId="5FDBAD64" w14:textId="77777777" w:rsidR="00B07D6F" w:rsidRPr="0080723D" w:rsidRDefault="00B07D6F" w:rsidP="00912BFE">
            <w:pPr>
              <w:rPr>
                <w:rFonts w:ascii="Arial" w:hAnsi="Arial" w:cs="Arial"/>
                <w:sz w:val="18"/>
                <w:szCs w:val="18"/>
              </w:rPr>
            </w:pPr>
            <w:r>
              <w:rPr>
                <w:rFonts w:ascii="Arial" w:hAnsi="Arial" w:cs="Arial"/>
                <w:sz w:val="18"/>
                <w:szCs w:val="18"/>
              </w:rPr>
              <w:t>Share of interest and tax of joint ventures and associates</w:t>
            </w:r>
          </w:p>
        </w:tc>
        <w:tc>
          <w:tcPr>
            <w:tcW w:w="698" w:type="pct"/>
            <w:tcBorders>
              <w:top w:val="nil"/>
              <w:left w:val="nil"/>
              <w:right w:val="nil"/>
            </w:tcBorders>
            <w:shd w:val="clear" w:color="auto" w:fill="auto"/>
            <w:noWrap/>
            <w:vAlign w:val="bottom"/>
          </w:tcPr>
          <w:p w14:paraId="0997BA69" w14:textId="77777777" w:rsidR="00B07D6F" w:rsidRPr="00083970" w:rsidRDefault="00B07D6F" w:rsidP="00695F40">
            <w:pPr>
              <w:jc w:val="right"/>
              <w:rPr>
                <w:rFonts w:ascii="Arial" w:hAnsi="Arial" w:cs="Arial"/>
                <w:b/>
                <w:sz w:val="18"/>
                <w:szCs w:val="18"/>
              </w:rPr>
            </w:pPr>
          </w:p>
        </w:tc>
        <w:tc>
          <w:tcPr>
            <w:tcW w:w="440" w:type="pct"/>
            <w:tcBorders>
              <w:top w:val="nil"/>
              <w:left w:val="nil"/>
              <w:right w:val="nil"/>
            </w:tcBorders>
            <w:shd w:val="clear" w:color="auto" w:fill="auto"/>
            <w:noWrap/>
            <w:vAlign w:val="bottom"/>
          </w:tcPr>
          <w:p w14:paraId="1CD702E6" w14:textId="77777777" w:rsidR="00B07D6F" w:rsidRPr="00083970" w:rsidRDefault="00B07D6F" w:rsidP="00695F40">
            <w:pPr>
              <w:jc w:val="right"/>
              <w:rPr>
                <w:rFonts w:ascii="Arial" w:hAnsi="Arial" w:cs="Arial"/>
                <w:b/>
                <w:sz w:val="18"/>
                <w:szCs w:val="18"/>
              </w:rPr>
            </w:pPr>
          </w:p>
        </w:tc>
        <w:tc>
          <w:tcPr>
            <w:tcW w:w="456" w:type="pct"/>
            <w:tcBorders>
              <w:top w:val="nil"/>
              <w:left w:val="nil"/>
              <w:right w:val="nil"/>
            </w:tcBorders>
            <w:shd w:val="clear" w:color="auto" w:fill="auto"/>
            <w:noWrap/>
            <w:vAlign w:val="bottom"/>
          </w:tcPr>
          <w:p w14:paraId="7F96E03B" w14:textId="77777777" w:rsidR="00B07D6F" w:rsidRPr="00083970" w:rsidRDefault="00B07D6F" w:rsidP="00695F40">
            <w:pPr>
              <w:jc w:val="right"/>
              <w:rPr>
                <w:rFonts w:ascii="Arial" w:hAnsi="Arial" w:cs="Arial"/>
                <w:b/>
                <w:sz w:val="18"/>
                <w:szCs w:val="18"/>
              </w:rPr>
            </w:pPr>
          </w:p>
        </w:tc>
        <w:tc>
          <w:tcPr>
            <w:tcW w:w="442" w:type="pct"/>
            <w:tcBorders>
              <w:top w:val="nil"/>
              <w:left w:val="nil"/>
              <w:right w:val="nil"/>
            </w:tcBorders>
            <w:shd w:val="clear" w:color="auto" w:fill="auto"/>
            <w:noWrap/>
            <w:vAlign w:val="bottom"/>
          </w:tcPr>
          <w:p w14:paraId="5A253DDB" w14:textId="77777777" w:rsidR="00B07D6F" w:rsidRPr="00083970" w:rsidRDefault="00B07D6F" w:rsidP="00695F40">
            <w:pPr>
              <w:jc w:val="right"/>
              <w:rPr>
                <w:rFonts w:ascii="Arial" w:hAnsi="Arial" w:cs="Arial"/>
                <w:b/>
                <w:sz w:val="18"/>
                <w:szCs w:val="18"/>
              </w:rPr>
            </w:pPr>
          </w:p>
        </w:tc>
        <w:tc>
          <w:tcPr>
            <w:tcW w:w="439" w:type="pct"/>
            <w:tcBorders>
              <w:top w:val="nil"/>
              <w:left w:val="nil"/>
              <w:right w:val="nil"/>
            </w:tcBorders>
            <w:shd w:val="clear" w:color="auto" w:fill="auto"/>
            <w:noWrap/>
            <w:vAlign w:val="bottom"/>
          </w:tcPr>
          <w:p w14:paraId="61C2CF4D" w14:textId="50A24E3B" w:rsidR="00B07D6F" w:rsidRPr="00083970" w:rsidRDefault="0016029B" w:rsidP="00695F40">
            <w:pPr>
              <w:jc w:val="right"/>
              <w:rPr>
                <w:rFonts w:ascii="Arial" w:hAnsi="Arial" w:cs="Arial"/>
                <w:b/>
                <w:bCs/>
                <w:sz w:val="18"/>
                <w:szCs w:val="18"/>
              </w:rPr>
            </w:pPr>
            <w:r w:rsidRPr="00083970">
              <w:rPr>
                <w:rFonts w:ascii="Arial" w:hAnsi="Arial" w:cs="Arial"/>
                <w:b/>
                <w:bCs/>
                <w:sz w:val="18"/>
                <w:szCs w:val="18"/>
              </w:rPr>
              <w:t>(</w:t>
            </w:r>
            <w:r w:rsidR="00EF1FCC">
              <w:rPr>
                <w:rFonts w:ascii="Arial" w:hAnsi="Arial" w:cs="Arial"/>
                <w:b/>
                <w:bCs/>
                <w:sz w:val="18"/>
                <w:szCs w:val="18"/>
              </w:rPr>
              <w:t>4</w:t>
            </w:r>
            <w:r w:rsidRPr="00083970">
              <w:rPr>
                <w:rFonts w:ascii="Arial" w:hAnsi="Arial" w:cs="Arial"/>
                <w:b/>
                <w:bCs/>
                <w:sz w:val="18"/>
                <w:szCs w:val="18"/>
              </w:rPr>
              <w:t>)</w:t>
            </w:r>
          </w:p>
        </w:tc>
      </w:tr>
      <w:tr w:rsidR="00055FA5" w:rsidRPr="004E18F2" w14:paraId="08E36E58" w14:textId="77777777" w:rsidTr="00FA21A3">
        <w:trPr>
          <w:gridAfter w:val="1"/>
          <w:wAfter w:w="8" w:type="pct"/>
          <w:trHeight w:val="240"/>
        </w:trPr>
        <w:tc>
          <w:tcPr>
            <w:tcW w:w="2516" w:type="pct"/>
            <w:tcBorders>
              <w:top w:val="nil"/>
              <w:left w:val="nil"/>
              <w:right w:val="nil"/>
            </w:tcBorders>
            <w:shd w:val="clear" w:color="auto" w:fill="auto"/>
            <w:noWrap/>
            <w:vAlign w:val="bottom"/>
          </w:tcPr>
          <w:p w14:paraId="1A027E66" w14:textId="77777777" w:rsidR="00055FA5" w:rsidRDefault="00FA43D3" w:rsidP="00912BFE">
            <w:pPr>
              <w:rPr>
                <w:rFonts w:ascii="Arial" w:hAnsi="Arial" w:cs="Arial"/>
                <w:sz w:val="18"/>
                <w:szCs w:val="18"/>
              </w:rPr>
            </w:pPr>
            <w:r>
              <w:rPr>
                <w:rFonts w:ascii="Arial" w:hAnsi="Arial" w:cs="Arial"/>
                <w:sz w:val="18"/>
                <w:szCs w:val="18"/>
              </w:rPr>
              <w:t>Transformation costs before exceptional items</w:t>
            </w:r>
          </w:p>
        </w:tc>
        <w:tc>
          <w:tcPr>
            <w:tcW w:w="698" w:type="pct"/>
            <w:tcBorders>
              <w:top w:val="nil"/>
              <w:left w:val="nil"/>
              <w:right w:val="nil"/>
            </w:tcBorders>
            <w:shd w:val="clear" w:color="auto" w:fill="auto"/>
            <w:noWrap/>
            <w:vAlign w:val="bottom"/>
          </w:tcPr>
          <w:p w14:paraId="6CB7C3CD" w14:textId="77777777" w:rsidR="00055FA5" w:rsidRPr="00083970" w:rsidRDefault="00055FA5" w:rsidP="00695F40">
            <w:pPr>
              <w:jc w:val="right"/>
              <w:rPr>
                <w:rFonts w:ascii="Arial" w:hAnsi="Arial" w:cs="Arial"/>
                <w:b/>
                <w:sz w:val="18"/>
                <w:szCs w:val="18"/>
              </w:rPr>
            </w:pPr>
          </w:p>
        </w:tc>
        <w:tc>
          <w:tcPr>
            <w:tcW w:w="440" w:type="pct"/>
            <w:tcBorders>
              <w:top w:val="nil"/>
              <w:left w:val="nil"/>
              <w:right w:val="nil"/>
            </w:tcBorders>
            <w:shd w:val="clear" w:color="auto" w:fill="auto"/>
            <w:noWrap/>
            <w:vAlign w:val="bottom"/>
          </w:tcPr>
          <w:p w14:paraId="60DF8AE1" w14:textId="77777777" w:rsidR="00055FA5" w:rsidRPr="00083970" w:rsidRDefault="00055FA5" w:rsidP="00695F40">
            <w:pPr>
              <w:jc w:val="right"/>
              <w:rPr>
                <w:rFonts w:ascii="Arial" w:hAnsi="Arial" w:cs="Arial"/>
                <w:b/>
                <w:sz w:val="18"/>
                <w:szCs w:val="18"/>
              </w:rPr>
            </w:pPr>
          </w:p>
        </w:tc>
        <w:tc>
          <w:tcPr>
            <w:tcW w:w="456" w:type="pct"/>
            <w:tcBorders>
              <w:top w:val="nil"/>
              <w:left w:val="nil"/>
              <w:right w:val="nil"/>
            </w:tcBorders>
            <w:shd w:val="clear" w:color="auto" w:fill="auto"/>
            <w:noWrap/>
            <w:vAlign w:val="bottom"/>
          </w:tcPr>
          <w:p w14:paraId="7ADFB9DE" w14:textId="77777777" w:rsidR="00055FA5" w:rsidRPr="00083970" w:rsidRDefault="00055FA5" w:rsidP="00695F40">
            <w:pPr>
              <w:jc w:val="right"/>
              <w:rPr>
                <w:rFonts w:ascii="Arial" w:hAnsi="Arial" w:cs="Arial"/>
                <w:b/>
                <w:sz w:val="18"/>
                <w:szCs w:val="18"/>
              </w:rPr>
            </w:pPr>
          </w:p>
        </w:tc>
        <w:tc>
          <w:tcPr>
            <w:tcW w:w="442" w:type="pct"/>
            <w:tcBorders>
              <w:top w:val="nil"/>
              <w:left w:val="nil"/>
              <w:right w:val="nil"/>
            </w:tcBorders>
            <w:shd w:val="clear" w:color="auto" w:fill="auto"/>
            <w:noWrap/>
            <w:vAlign w:val="bottom"/>
          </w:tcPr>
          <w:p w14:paraId="73EA7B92" w14:textId="77777777" w:rsidR="00055FA5" w:rsidRPr="00083970" w:rsidRDefault="00055FA5" w:rsidP="00695F40">
            <w:pPr>
              <w:jc w:val="right"/>
              <w:rPr>
                <w:rFonts w:ascii="Arial" w:hAnsi="Arial" w:cs="Arial"/>
                <w:b/>
                <w:sz w:val="18"/>
                <w:szCs w:val="18"/>
              </w:rPr>
            </w:pPr>
          </w:p>
        </w:tc>
        <w:tc>
          <w:tcPr>
            <w:tcW w:w="439" w:type="pct"/>
            <w:tcBorders>
              <w:top w:val="nil"/>
              <w:left w:val="nil"/>
              <w:right w:val="nil"/>
            </w:tcBorders>
            <w:shd w:val="clear" w:color="auto" w:fill="auto"/>
            <w:noWrap/>
            <w:vAlign w:val="bottom"/>
          </w:tcPr>
          <w:p w14:paraId="05938F0C" w14:textId="77777777" w:rsidR="00055FA5" w:rsidRPr="00083970" w:rsidDel="005A350B" w:rsidRDefault="0016029B" w:rsidP="00695F40">
            <w:pPr>
              <w:jc w:val="right"/>
              <w:rPr>
                <w:rFonts w:ascii="Arial" w:hAnsi="Arial" w:cs="Arial"/>
                <w:b/>
                <w:sz w:val="18"/>
                <w:szCs w:val="18"/>
              </w:rPr>
            </w:pPr>
            <w:r w:rsidRPr="00083970">
              <w:rPr>
                <w:rFonts w:ascii="Arial" w:hAnsi="Arial" w:cs="Arial"/>
                <w:b/>
                <w:sz w:val="18"/>
                <w:szCs w:val="18"/>
              </w:rPr>
              <w:t>(1</w:t>
            </w:r>
            <w:r w:rsidR="00083970" w:rsidRPr="00083970">
              <w:rPr>
                <w:rFonts w:ascii="Arial" w:hAnsi="Arial" w:cs="Arial"/>
                <w:b/>
                <w:sz w:val="18"/>
                <w:szCs w:val="18"/>
              </w:rPr>
              <w:t>20</w:t>
            </w:r>
            <w:r w:rsidRPr="00083970">
              <w:rPr>
                <w:rFonts w:ascii="Arial" w:hAnsi="Arial" w:cs="Arial"/>
                <w:b/>
                <w:sz w:val="18"/>
                <w:szCs w:val="18"/>
              </w:rPr>
              <w:t>)</w:t>
            </w:r>
          </w:p>
        </w:tc>
      </w:tr>
      <w:tr w:rsidR="00083970" w:rsidRPr="004E18F2" w14:paraId="5E5C1B93" w14:textId="77777777" w:rsidTr="00FA21A3">
        <w:trPr>
          <w:gridAfter w:val="1"/>
          <w:wAfter w:w="8" w:type="pct"/>
          <w:trHeight w:val="240"/>
        </w:trPr>
        <w:tc>
          <w:tcPr>
            <w:tcW w:w="2516" w:type="pct"/>
            <w:tcBorders>
              <w:top w:val="nil"/>
              <w:left w:val="nil"/>
              <w:right w:val="nil"/>
            </w:tcBorders>
            <w:shd w:val="clear" w:color="auto" w:fill="auto"/>
            <w:noWrap/>
            <w:vAlign w:val="bottom"/>
          </w:tcPr>
          <w:p w14:paraId="180CD52D" w14:textId="77777777" w:rsidR="00083970" w:rsidRDefault="00083970" w:rsidP="00912BFE">
            <w:pPr>
              <w:rPr>
                <w:rFonts w:ascii="Arial" w:hAnsi="Arial" w:cs="Arial"/>
                <w:sz w:val="18"/>
                <w:szCs w:val="18"/>
              </w:rPr>
            </w:pPr>
            <w:r>
              <w:rPr>
                <w:rFonts w:ascii="Arial" w:hAnsi="Arial" w:cs="Arial"/>
                <w:sz w:val="18"/>
                <w:szCs w:val="18"/>
              </w:rPr>
              <w:t>Exceptional items</w:t>
            </w:r>
          </w:p>
        </w:tc>
        <w:tc>
          <w:tcPr>
            <w:tcW w:w="698" w:type="pct"/>
            <w:tcBorders>
              <w:top w:val="nil"/>
              <w:left w:val="nil"/>
              <w:right w:val="nil"/>
            </w:tcBorders>
            <w:shd w:val="clear" w:color="auto" w:fill="auto"/>
            <w:noWrap/>
            <w:vAlign w:val="bottom"/>
          </w:tcPr>
          <w:p w14:paraId="3F5AE375" w14:textId="77777777" w:rsidR="00083970" w:rsidRPr="00083970" w:rsidRDefault="00083970" w:rsidP="00695F40">
            <w:pPr>
              <w:jc w:val="right"/>
              <w:rPr>
                <w:rFonts w:ascii="Arial" w:hAnsi="Arial" w:cs="Arial"/>
                <w:b/>
                <w:sz w:val="18"/>
                <w:szCs w:val="18"/>
              </w:rPr>
            </w:pPr>
          </w:p>
        </w:tc>
        <w:tc>
          <w:tcPr>
            <w:tcW w:w="440" w:type="pct"/>
            <w:tcBorders>
              <w:top w:val="nil"/>
              <w:left w:val="nil"/>
              <w:right w:val="nil"/>
            </w:tcBorders>
            <w:shd w:val="clear" w:color="auto" w:fill="auto"/>
            <w:noWrap/>
            <w:vAlign w:val="bottom"/>
          </w:tcPr>
          <w:p w14:paraId="1CD4DD9E" w14:textId="77777777" w:rsidR="00083970" w:rsidRPr="00083970" w:rsidRDefault="00083970" w:rsidP="00695F40">
            <w:pPr>
              <w:jc w:val="right"/>
              <w:rPr>
                <w:rFonts w:ascii="Arial" w:hAnsi="Arial" w:cs="Arial"/>
                <w:b/>
                <w:sz w:val="18"/>
                <w:szCs w:val="18"/>
              </w:rPr>
            </w:pPr>
          </w:p>
        </w:tc>
        <w:tc>
          <w:tcPr>
            <w:tcW w:w="456" w:type="pct"/>
            <w:tcBorders>
              <w:top w:val="nil"/>
              <w:left w:val="nil"/>
              <w:right w:val="nil"/>
            </w:tcBorders>
            <w:shd w:val="clear" w:color="auto" w:fill="auto"/>
            <w:noWrap/>
            <w:vAlign w:val="bottom"/>
          </w:tcPr>
          <w:p w14:paraId="2D46AF45" w14:textId="77777777" w:rsidR="00083970" w:rsidRPr="00083970" w:rsidRDefault="00083970" w:rsidP="00695F40">
            <w:pPr>
              <w:jc w:val="right"/>
              <w:rPr>
                <w:rFonts w:ascii="Arial" w:hAnsi="Arial" w:cs="Arial"/>
                <w:b/>
                <w:sz w:val="18"/>
                <w:szCs w:val="18"/>
              </w:rPr>
            </w:pPr>
          </w:p>
        </w:tc>
        <w:tc>
          <w:tcPr>
            <w:tcW w:w="442" w:type="pct"/>
            <w:tcBorders>
              <w:top w:val="nil"/>
              <w:left w:val="nil"/>
              <w:right w:val="nil"/>
            </w:tcBorders>
            <w:shd w:val="clear" w:color="auto" w:fill="auto"/>
            <w:noWrap/>
            <w:vAlign w:val="bottom"/>
          </w:tcPr>
          <w:p w14:paraId="0BBEBEBD" w14:textId="77777777" w:rsidR="00083970" w:rsidRPr="00083970" w:rsidRDefault="00083970" w:rsidP="00695F40">
            <w:pPr>
              <w:jc w:val="right"/>
              <w:rPr>
                <w:rFonts w:ascii="Arial" w:hAnsi="Arial" w:cs="Arial"/>
                <w:b/>
                <w:sz w:val="18"/>
                <w:szCs w:val="18"/>
              </w:rPr>
            </w:pPr>
          </w:p>
        </w:tc>
        <w:tc>
          <w:tcPr>
            <w:tcW w:w="439" w:type="pct"/>
            <w:tcBorders>
              <w:top w:val="nil"/>
              <w:left w:val="nil"/>
              <w:right w:val="nil"/>
            </w:tcBorders>
            <w:shd w:val="clear" w:color="auto" w:fill="auto"/>
            <w:noWrap/>
            <w:vAlign w:val="bottom"/>
          </w:tcPr>
          <w:p w14:paraId="2FA815E1" w14:textId="47159C45" w:rsidR="00083970" w:rsidRPr="00083970" w:rsidRDefault="00083970" w:rsidP="00695F40">
            <w:pPr>
              <w:jc w:val="right"/>
              <w:rPr>
                <w:rFonts w:ascii="Arial" w:hAnsi="Arial" w:cs="Arial"/>
                <w:b/>
                <w:sz w:val="18"/>
                <w:szCs w:val="18"/>
              </w:rPr>
            </w:pPr>
            <w:r w:rsidRPr="00083970">
              <w:rPr>
                <w:rFonts w:ascii="Arial" w:hAnsi="Arial" w:cs="Arial"/>
                <w:b/>
                <w:sz w:val="18"/>
                <w:szCs w:val="18"/>
              </w:rPr>
              <w:t>(2</w:t>
            </w:r>
            <w:r w:rsidR="00C356D9">
              <w:rPr>
                <w:rFonts w:ascii="Arial" w:hAnsi="Arial" w:cs="Arial"/>
                <w:b/>
                <w:sz w:val="18"/>
                <w:szCs w:val="18"/>
              </w:rPr>
              <w:t>51</w:t>
            </w:r>
            <w:r w:rsidRPr="00083970">
              <w:rPr>
                <w:rFonts w:ascii="Arial" w:hAnsi="Arial" w:cs="Arial"/>
                <w:b/>
                <w:sz w:val="18"/>
                <w:szCs w:val="18"/>
              </w:rPr>
              <w:t>)</w:t>
            </w:r>
          </w:p>
        </w:tc>
      </w:tr>
      <w:tr w:rsidR="00B07D6F" w14:paraId="054FA028" w14:textId="77777777" w:rsidTr="00FA21A3">
        <w:trPr>
          <w:gridAfter w:val="1"/>
          <w:wAfter w:w="8" w:type="pct"/>
          <w:trHeight w:val="240"/>
        </w:trPr>
        <w:tc>
          <w:tcPr>
            <w:tcW w:w="2516" w:type="pct"/>
            <w:tcBorders>
              <w:top w:val="single" w:sz="4" w:space="0" w:color="auto"/>
              <w:left w:val="nil"/>
              <w:bottom w:val="nil"/>
              <w:right w:val="nil"/>
            </w:tcBorders>
            <w:shd w:val="clear" w:color="auto" w:fill="auto"/>
            <w:noWrap/>
            <w:vAlign w:val="bottom"/>
          </w:tcPr>
          <w:p w14:paraId="0E9AB125" w14:textId="77777777" w:rsidR="00B07D6F" w:rsidRPr="00CD0107" w:rsidRDefault="00B07D6F" w:rsidP="00912BFE">
            <w:pPr>
              <w:rPr>
                <w:rFonts w:ascii="Arial" w:hAnsi="Arial" w:cs="Arial"/>
                <w:sz w:val="18"/>
                <w:szCs w:val="18"/>
              </w:rPr>
            </w:pPr>
            <w:r w:rsidRPr="00FF3F75">
              <w:rPr>
                <w:rFonts w:ascii="Arial" w:hAnsi="Arial" w:cs="Arial"/>
                <w:b/>
                <w:sz w:val="18"/>
                <w:szCs w:val="18"/>
              </w:rPr>
              <w:t>Operating profit</w:t>
            </w:r>
          </w:p>
        </w:tc>
        <w:tc>
          <w:tcPr>
            <w:tcW w:w="698" w:type="pct"/>
            <w:tcBorders>
              <w:top w:val="single" w:sz="4" w:space="0" w:color="auto"/>
              <w:left w:val="nil"/>
              <w:bottom w:val="nil"/>
              <w:right w:val="nil"/>
            </w:tcBorders>
            <w:shd w:val="clear" w:color="auto" w:fill="auto"/>
            <w:noWrap/>
            <w:vAlign w:val="bottom"/>
          </w:tcPr>
          <w:p w14:paraId="5F8A8AA4" w14:textId="77777777" w:rsidR="00B07D6F" w:rsidRPr="00083970" w:rsidRDefault="00B07D6F" w:rsidP="00695F40">
            <w:pPr>
              <w:jc w:val="right"/>
              <w:rPr>
                <w:rFonts w:ascii="Arial" w:hAnsi="Arial" w:cs="Arial"/>
                <w:b/>
                <w:sz w:val="18"/>
                <w:szCs w:val="18"/>
              </w:rPr>
            </w:pPr>
          </w:p>
        </w:tc>
        <w:tc>
          <w:tcPr>
            <w:tcW w:w="440" w:type="pct"/>
            <w:tcBorders>
              <w:top w:val="single" w:sz="4" w:space="0" w:color="auto"/>
              <w:left w:val="nil"/>
              <w:bottom w:val="nil"/>
              <w:right w:val="nil"/>
            </w:tcBorders>
            <w:shd w:val="clear" w:color="auto" w:fill="auto"/>
            <w:noWrap/>
            <w:vAlign w:val="bottom"/>
          </w:tcPr>
          <w:p w14:paraId="60F5AA3D" w14:textId="77777777" w:rsidR="00B07D6F" w:rsidRPr="00083970" w:rsidRDefault="00B07D6F" w:rsidP="00695F40">
            <w:pPr>
              <w:jc w:val="right"/>
              <w:rPr>
                <w:rFonts w:ascii="Arial" w:hAnsi="Arial" w:cs="Arial"/>
                <w:b/>
                <w:sz w:val="18"/>
                <w:szCs w:val="18"/>
              </w:rPr>
            </w:pPr>
          </w:p>
        </w:tc>
        <w:tc>
          <w:tcPr>
            <w:tcW w:w="456" w:type="pct"/>
            <w:tcBorders>
              <w:top w:val="single" w:sz="4" w:space="0" w:color="auto"/>
              <w:left w:val="nil"/>
              <w:bottom w:val="nil"/>
              <w:right w:val="nil"/>
            </w:tcBorders>
            <w:shd w:val="clear" w:color="auto" w:fill="auto"/>
            <w:noWrap/>
            <w:vAlign w:val="bottom"/>
          </w:tcPr>
          <w:p w14:paraId="4B90DF3E" w14:textId="77777777" w:rsidR="00B07D6F" w:rsidRPr="00083970" w:rsidRDefault="00B07D6F" w:rsidP="00695F40">
            <w:pPr>
              <w:jc w:val="right"/>
              <w:rPr>
                <w:rFonts w:ascii="Arial" w:hAnsi="Arial" w:cs="Arial"/>
                <w:b/>
                <w:sz w:val="18"/>
                <w:szCs w:val="18"/>
              </w:rPr>
            </w:pPr>
          </w:p>
        </w:tc>
        <w:tc>
          <w:tcPr>
            <w:tcW w:w="442" w:type="pct"/>
            <w:tcBorders>
              <w:top w:val="single" w:sz="4" w:space="0" w:color="auto"/>
              <w:left w:val="nil"/>
              <w:bottom w:val="nil"/>
              <w:right w:val="nil"/>
            </w:tcBorders>
            <w:shd w:val="clear" w:color="auto" w:fill="auto"/>
            <w:noWrap/>
            <w:vAlign w:val="bottom"/>
          </w:tcPr>
          <w:p w14:paraId="0FD13BBF" w14:textId="77777777" w:rsidR="00B07D6F" w:rsidRPr="00083970" w:rsidRDefault="00B07D6F" w:rsidP="00695F40">
            <w:pPr>
              <w:jc w:val="right"/>
              <w:rPr>
                <w:rFonts w:ascii="Arial" w:hAnsi="Arial" w:cs="Arial"/>
                <w:b/>
                <w:sz w:val="18"/>
                <w:szCs w:val="18"/>
              </w:rPr>
            </w:pPr>
          </w:p>
        </w:tc>
        <w:tc>
          <w:tcPr>
            <w:tcW w:w="439" w:type="pct"/>
            <w:tcBorders>
              <w:top w:val="single" w:sz="4" w:space="0" w:color="auto"/>
              <w:left w:val="nil"/>
              <w:bottom w:val="nil"/>
              <w:right w:val="nil"/>
            </w:tcBorders>
            <w:shd w:val="clear" w:color="auto" w:fill="auto"/>
            <w:noWrap/>
            <w:vAlign w:val="bottom"/>
          </w:tcPr>
          <w:p w14:paraId="68EDC947" w14:textId="2318EFA4" w:rsidR="00B07D6F" w:rsidRPr="00083970" w:rsidRDefault="00083970" w:rsidP="00695F40">
            <w:pPr>
              <w:jc w:val="right"/>
              <w:rPr>
                <w:rFonts w:ascii="Arial" w:hAnsi="Arial" w:cs="Arial"/>
                <w:b/>
                <w:sz w:val="18"/>
                <w:szCs w:val="18"/>
              </w:rPr>
            </w:pPr>
            <w:r w:rsidRPr="00083970">
              <w:rPr>
                <w:rFonts w:ascii="Arial" w:hAnsi="Arial" w:cs="Arial"/>
                <w:b/>
                <w:sz w:val="18"/>
                <w:szCs w:val="18"/>
              </w:rPr>
              <w:t>3</w:t>
            </w:r>
            <w:r w:rsidR="00C356D9">
              <w:rPr>
                <w:rFonts w:ascii="Arial" w:hAnsi="Arial" w:cs="Arial"/>
                <w:b/>
                <w:sz w:val="18"/>
                <w:szCs w:val="18"/>
              </w:rPr>
              <w:t>29</w:t>
            </w:r>
          </w:p>
        </w:tc>
      </w:tr>
      <w:tr w:rsidR="00B07D6F" w:rsidRPr="004E18F2" w14:paraId="1BE60666" w14:textId="77777777" w:rsidTr="00FA21A3">
        <w:trPr>
          <w:gridAfter w:val="1"/>
          <w:wAfter w:w="8" w:type="pct"/>
          <w:trHeight w:val="240"/>
        </w:trPr>
        <w:tc>
          <w:tcPr>
            <w:tcW w:w="2516" w:type="pct"/>
            <w:tcBorders>
              <w:top w:val="nil"/>
              <w:left w:val="nil"/>
              <w:bottom w:val="single" w:sz="4" w:space="0" w:color="auto"/>
              <w:right w:val="nil"/>
            </w:tcBorders>
            <w:shd w:val="clear" w:color="auto" w:fill="auto"/>
            <w:noWrap/>
            <w:vAlign w:val="bottom"/>
          </w:tcPr>
          <w:p w14:paraId="5ABFDF91" w14:textId="77777777" w:rsidR="00B07D6F" w:rsidRPr="00CD0107" w:rsidRDefault="00B07D6F" w:rsidP="00AA6169">
            <w:pPr>
              <w:rPr>
                <w:rFonts w:ascii="Arial" w:hAnsi="Arial" w:cs="Arial"/>
                <w:sz w:val="18"/>
                <w:szCs w:val="18"/>
              </w:rPr>
            </w:pPr>
            <w:r w:rsidRPr="0080364A">
              <w:rPr>
                <w:rFonts w:ascii="Arial" w:hAnsi="Arial" w:cs="Arial"/>
                <w:sz w:val="18"/>
                <w:szCs w:val="18"/>
              </w:rPr>
              <w:t xml:space="preserve">Net finance </w:t>
            </w:r>
            <w:r w:rsidR="00463DB6">
              <w:rPr>
                <w:rFonts w:ascii="Arial" w:hAnsi="Arial" w:cs="Arial"/>
                <w:sz w:val="18"/>
                <w:szCs w:val="18"/>
              </w:rPr>
              <w:t>costs</w:t>
            </w:r>
          </w:p>
        </w:tc>
        <w:tc>
          <w:tcPr>
            <w:tcW w:w="698" w:type="pct"/>
            <w:tcBorders>
              <w:top w:val="nil"/>
              <w:left w:val="nil"/>
              <w:bottom w:val="single" w:sz="4" w:space="0" w:color="auto"/>
              <w:right w:val="nil"/>
            </w:tcBorders>
            <w:shd w:val="clear" w:color="auto" w:fill="auto"/>
            <w:noWrap/>
            <w:vAlign w:val="bottom"/>
          </w:tcPr>
          <w:p w14:paraId="0DF0B0FE" w14:textId="77777777" w:rsidR="00B07D6F" w:rsidRPr="00083970" w:rsidRDefault="00B07D6F" w:rsidP="00695F40">
            <w:pPr>
              <w:jc w:val="right"/>
              <w:rPr>
                <w:rFonts w:ascii="Arial" w:hAnsi="Arial" w:cs="Arial"/>
                <w:b/>
                <w:sz w:val="18"/>
                <w:szCs w:val="18"/>
              </w:rPr>
            </w:pPr>
          </w:p>
        </w:tc>
        <w:tc>
          <w:tcPr>
            <w:tcW w:w="440" w:type="pct"/>
            <w:tcBorders>
              <w:top w:val="nil"/>
              <w:left w:val="nil"/>
              <w:bottom w:val="single" w:sz="4" w:space="0" w:color="auto"/>
              <w:right w:val="nil"/>
            </w:tcBorders>
            <w:shd w:val="clear" w:color="auto" w:fill="auto"/>
            <w:noWrap/>
            <w:vAlign w:val="bottom"/>
          </w:tcPr>
          <w:p w14:paraId="65C2C8A7" w14:textId="77777777" w:rsidR="00B07D6F" w:rsidRPr="00083970" w:rsidRDefault="00B07D6F" w:rsidP="00695F40">
            <w:pPr>
              <w:jc w:val="right"/>
              <w:rPr>
                <w:rFonts w:ascii="Arial" w:hAnsi="Arial" w:cs="Arial"/>
                <w:b/>
                <w:sz w:val="18"/>
                <w:szCs w:val="18"/>
              </w:rPr>
            </w:pPr>
          </w:p>
        </w:tc>
        <w:tc>
          <w:tcPr>
            <w:tcW w:w="456" w:type="pct"/>
            <w:tcBorders>
              <w:top w:val="nil"/>
              <w:left w:val="nil"/>
              <w:bottom w:val="single" w:sz="4" w:space="0" w:color="auto"/>
              <w:right w:val="nil"/>
            </w:tcBorders>
            <w:shd w:val="clear" w:color="auto" w:fill="auto"/>
            <w:noWrap/>
            <w:vAlign w:val="bottom"/>
          </w:tcPr>
          <w:p w14:paraId="7C989A56" w14:textId="77777777" w:rsidR="00B07D6F" w:rsidRPr="00083970" w:rsidRDefault="00B07D6F" w:rsidP="00695F40">
            <w:pPr>
              <w:jc w:val="right"/>
              <w:rPr>
                <w:rFonts w:ascii="Arial" w:hAnsi="Arial" w:cs="Arial"/>
                <w:b/>
                <w:sz w:val="18"/>
                <w:szCs w:val="18"/>
              </w:rPr>
            </w:pPr>
          </w:p>
        </w:tc>
        <w:tc>
          <w:tcPr>
            <w:tcW w:w="442" w:type="pct"/>
            <w:tcBorders>
              <w:top w:val="nil"/>
              <w:left w:val="nil"/>
              <w:bottom w:val="single" w:sz="4" w:space="0" w:color="auto"/>
              <w:right w:val="nil"/>
            </w:tcBorders>
            <w:shd w:val="clear" w:color="auto" w:fill="auto"/>
            <w:noWrap/>
            <w:vAlign w:val="bottom"/>
          </w:tcPr>
          <w:p w14:paraId="0565D61F" w14:textId="77777777" w:rsidR="00B07D6F" w:rsidRPr="00083970" w:rsidRDefault="00B07D6F" w:rsidP="00695F40">
            <w:pPr>
              <w:jc w:val="right"/>
              <w:rPr>
                <w:rFonts w:ascii="Arial" w:hAnsi="Arial" w:cs="Arial"/>
                <w:b/>
                <w:sz w:val="18"/>
                <w:szCs w:val="18"/>
              </w:rPr>
            </w:pPr>
          </w:p>
        </w:tc>
        <w:tc>
          <w:tcPr>
            <w:tcW w:w="439" w:type="pct"/>
            <w:tcBorders>
              <w:top w:val="nil"/>
              <w:left w:val="nil"/>
              <w:bottom w:val="single" w:sz="4" w:space="0" w:color="auto"/>
              <w:right w:val="nil"/>
            </w:tcBorders>
            <w:shd w:val="clear" w:color="auto" w:fill="auto"/>
            <w:noWrap/>
            <w:vAlign w:val="bottom"/>
          </w:tcPr>
          <w:p w14:paraId="2ED426EC" w14:textId="77777777" w:rsidR="00B07D6F" w:rsidRPr="00083970" w:rsidRDefault="0016029B" w:rsidP="00695F40">
            <w:pPr>
              <w:jc w:val="right"/>
              <w:rPr>
                <w:rFonts w:ascii="Arial" w:hAnsi="Arial" w:cs="Arial"/>
                <w:b/>
                <w:sz w:val="18"/>
                <w:szCs w:val="18"/>
              </w:rPr>
            </w:pPr>
            <w:r w:rsidRPr="00083970">
              <w:rPr>
                <w:rFonts w:ascii="Arial" w:hAnsi="Arial" w:cs="Arial"/>
                <w:b/>
                <w:sz w:val="18"/>
                <w:szCs w:val="18"/>
              </w:rPr>
              <w:t>(</w:t>
            </w:r>
            <w:r w:rsidR="00083970" w:rsidRPr="00083970">
              <w:rPr>
                <w:rFonts w:ascii="Arial" w:hAnsi="Arial" w:cs="Arial"/>
                <w:b/>
                <w:sz w:val="18"/>
                <w:szCs w:val="18"/>
              </w:rPr>
              <w:t>7</w:t>
            </w:r>
            <w:r w:rsidRPr="00083970">
              <w:rPr>
                <w:rFonts w:ascii="Arial" w:hAnsi="Arial" w:cs="Arial"/>
                <w:b/>
                <w:sz w:val="18"/>
                <w:szCs w:val="18"/>
              </w:rPr>
              <w:t>)</w:t>
            </w:r>
          </w:p>
        </w:tc>
      </w:tr>
      <w:tr w:rsidR="00B07D6F" w14:paraId="2DB37C02" w14:textId="77777777" w:rsidTr="00FA21A3">
        <w:trPr>
          <w:gridAfter w:val="1"/>
          <w:wAfter w:w="8" w:type="pct"/>
          <w:trHeight w:val="240"/>
        </w:trPr>
        <w:tc>
          <w:tcPr>
            <w:tcW w:w="2516" w:type="pct"/>
            <w:tcBorders>
              <w:top w:val="single" w:sz="4" w:space="0" w:color="auto"/>
              <w:left w:val="nil"/>
              <w:bottom w:val="single" w:sz="12" w:space="0" w:color="auto"/>
              <w:right w:val="nil"/>
            </w:tcBorders>
            <w:shd w:val="clear" w:color="auto" w:fill="auto"/>
            <w:vAlign w:val="bottom"/>
          </w:tcPr>
          <w:p w14:paraId="629048A6" w14:textId="77777777" w:rsidR="00B07D6F" w:rsidRPr="00C7107B" w:rsidRDefault="00B07D6F" w:rsidP="00912BFE">
            <w:pPr>
              <w:rPr>
                <w:rFonts w:ascii="Arial" w:hAnsi="Arial" w:cs="Arial"/>
                <w:b/>
                <w:bCs/>
                <w:sz w:val="18"/>
                <w:szCs w:val="18"/>
              </w:rPr>
            </w:pPr>
            <w:r w:rsidRPr="00024F35">
              <w:rPr>
                <w:rFonts w:ascii="Arial" w:hAnsi="Arial" w:cs="Arial"/>
                <w:b/>
                <w:bCs/>
                <w:sz w:val="18"/>
                <w:szCs w:val="18"/>
              </w:rPr>
              <w:t>Profit before taxation</w:t>
            </w:r>
          </w:p>
        </w:tc>
        <w:tc>
          <w:tcPr>
            <w:tcW w:w="698" w:type="pct"/>
            <w:tcBorders>
              <w:top w:val="single" w:sz="4" w:space="0" w:color="auto"/>
              <w:left w:val="nil"/>
              <w:bottom w:val="single" w:sz="12" w:space="0" w:color="auto"/>
              <w:right w:val="nil"/>
            </w:tcBorders>
            <w:shd w:val="clear" w:color="auto" w:fill="auto"/>
            <w:noWrap/>
            <w:vAlign w:val="bottom"/>
          </w:tcPr>
          <w:p w14:paraId="54400117" w14:textId="77777777" w:rsidR="00B07D6F" w:rsidRPr="00083970" w:rsidRDefault="00B07D6F" w:rsidP="00695F40">
            <w:pPr>
              <w:jc w:val="right"/>
              <w:rPr>
                <w:rFonts w:ascii="Arial" w:hAnsi="Arial" w:cs="Arial"/>
                <w:b/>
                <w:bCs/>
                <w:sz w:val="18"/>
                <w:szCs w:val="18"/>
              </w:rPr>
            </w:pPr>
          </w:p>
        </w:tc>
        <w:tc>
          <w:tcPr>
            <w:tcW w:w="440" w:type="pct"/>
            <w:tcBorders>
              <w:top w:val="single" w:sz="4" w:space="0" w:color="auto"/>
              <w:left w:val="nil"/>
              <w:bottom w:val="single" w:sz="12" w:space="0" w:color="auto"/>
              <w:right w:val="nil"/>
            </w:tcBorders>
            <w:shd w:val="clear" w:color="auto" w:fill="auto"/>
            <w:noWrap/>
            <w:vAlign w:val="bottom"/>
          </w:tcPr>
          <w:p w14:paraId="3676A1B4" w14:textId="77777777" w:rsidR="00B07D6F" w:rsidRPr="00083970" w:rsidRDefault="00B07D6F" w:rsidP="00695F40">
            <w:pPr>
              <w:jc w:val="right"/>
              <w:rPr>
                <w:rFonts w:ascii="Arial" w:hAnsi="Arial" w:cs="Arial"/>
                <w:b/>
                <w:bCs/>
                <w:sz w:val="18"/>
                <w:szCs w:val="18"/>
              </w:rPr>
            </w:pPr>
          </w:p>
        </w:tc>
        <w:tc>
          <w:tcPr>
            <w:tcW w:w="456" w:type="pct"/>
            <w:tcBorders>
              <w:top w:val="single" w:sz="4" w:space="0" w:color="auto"/>
              <w:left w:val="nil"/>
              <w:bottom w:val="single" w:sz="12" w:space="0" w:color="auto"/>
              <w:right w:val="nil"/>
            </w:tcBorders>
            <w:shd w:val="clear" w:color="auto" w:fill="auto"/>
            <w:noWrap/>
            <w:vAlign w:val="bottom"/>
          </w:tcPr>
          <w:p w14:paraId="002641C6" w14:textId="77777777" w:rsidR="00B07D6F" w:rsidRPr="00083970" w:rsidRDefault="00B07D6F" w:rsidP="00695F40">
            <w:pPr>
              <w:jc w:val="right"/>
              <w:rPr>
                <w:rFonts w:ascii="Arial" w:hAnsi="Arial" w:cs="Arial"/>
                <w:b/>
                <w:bCs/>
                <w:sz w:val="18"/>
                <w:szCs w:val="18"/>
              </w:rPr>
            </w:pPr>
          </w:p>
        </w:tc>
        <w:tc>
          <w:tcPr>
            <w:tcW w:w="442" w:type="pct"/>
            <w:tcBorders>
              <w:top w:val="single" w:sz="4" w:space="0" w:color="auto"/>
              <w:left w:val="nil"/>
              <w:bottom w:val="single" w:sz="12" w:space="0" w:color="auto"/>
              <w:right w:val="nil"/>
            </w:tcBorders>
            <w:shd w:val="clear" w:color="auto" w:fill="auto"/>
            <w:noWrap/>
            <w:vAlign w:val="bottom"/>
          </w:tcPr>
          <w:p w14:paraId="56B5F210" w14:textId="77777777" w:rsidR="00B07D6F" w:rsidRPr="00083970" w:rsidRDefault="00B07D6F" w:rsidP="00695F40">
            <w:pPr>
              <w:jc w:val="right"/>
              <w:rPr>
                <w:rFonts w:ascii="Arial" w:hAnsi="Arial" w:cs="Arial"/>
                <w:b/>
                <w:bCs/>
                <w:sz w:val="18"/>
                <w:szCs w:val="18"/>
              </w:rPr>
            </w:pPr>
          </w:p>
        </w:tc>
        <w:tc>
          <w:tcPr>
            <w:tcW w:w="439" w:type="pct"/>
            <w:tcBorders>
              <w:top w:val="single" w:sz="4" w:space="0" w:color="auto"/>
              <w:left w:val="nil"/>
              <w:bottom w:val="single" w:sz="12" w:space="0" w:color="auto"/>
              <w:right w:val="nil"/>
            </w:tcBorders>
            <w:shd w:val="clear" w:color="auto" w:fill="auto"/>
            <w:noWrap/>
            <w:vAlign w:val="bottom"/>
          </w:tcPr>
          <w:p w14:paraId="1D14454E" w14:textId="0EAE21A0" w:rsidR="00B07D6F" w:rsidRPr="00083970" w:rsidRDefault="00083970" w:rsidP="00695F40">
            <w:pPr>
              <w:jc w:val="right"/>
              <w:rPr>
                <w:rFonts w:ascii="Arial" w:hAnsi="Arial" w:cs="Arial"/>
                <w:b/>
                <w:bCs/>
                <w:sz w:val="18"/>
                <w:szCs w:val="18"/>
              </w:rPr>
            </w:pPr>
            <w:r w:rsidRPr="00083970">
              <w:rPr>
                <w:rFonts w:ascii="Arial" w:hAnsi="Arial" w:cs="Arial"/>
                <w:b/>
                <w:bCs/>
                <w:sz w:val="18"/>
                <w:szCs w:val="18"/>
              </w:rPr>
              <w:t>3</w:t>
            </w:r>
            <w:r w:rsidR="00C356D9">
              <w:rPr>
                <w:rFonts w:ascii="Arial" w:hAnsi="Arial" w:cs="Arial"/>
                <w:b/>
                <w:bCs/>
                <w:sz w:val="18"/>
                <w:szCs w:val="18"/>
              </w:rPr>
              <w:t>22</w:t>
            </w:r>
          </w:p>
        </w:tc>
      </w:tr>
    </w:tbl>
    <w:p w14:paraId="59A914D1" w14:textId="77777777" w:rsidR="000665A6" w:rsidRPr="00EF1091" w:rsidRDefault="000665A6">
      <w:pPr>
        <w:rPr>
          <w:rFonts w:ascii="Arial" w:hAnsi="Arial" w:cs="Arial"/>
          <w:sz w:val="18"/>
          <w:szCs w:val="18"/>
        </w:rPr>
      </w:pPr>
    </w:p>
    <w:tbl>
      <w:tblPr>
        <w:tblW w:w="5026" w:type="pct"/>
        <w:tblLayout w:type="fixed"/>
        <w:tblLook w:val="0000" w:firstRow="0" w:lastRow="0" w:firstColumn="0" w:lastColumn="0" w:noHBand="0" w:noVBand="0"/>
      </w:tblPr>
      <w:tblGrid>
        <w:gridCol w:w="4875"/>
        <w:gridCol w:w="1352"/>
        <w:gridCol w:w="849"/>
        <w:gridCol w:w="888"/>
        <w:gridCol w:w="858"/>
        <w:gridCol w:w="851"/>
        <w:gridCol w:w="16"/>
      </w:tblGrid>
      <w:tr w:rsidR="000665A6" w:rsidRPr="004E18F2" w14:paraId="22271FF0" w14:textId="77777777" w:rsidTr="0011516C">
        <w:trPr>
          <w:trHeight w:val="240"/>
        </w:trPr>
        <w:tc>
          <w:tcPr>
            <w:tcW w:w="2516" w:type="pct"/>
            <w:tcBorders>
              <w:left w:val="nil"/>
              <w:right w:val="nil"/>
            </w:tcBorders>
            <w:shd w:val="clear" w:color="auto" w:fill="auto"/>
            <w:noWrap/>
            <w:vAlign w:val="bottom"/>
          </w:tcPr>
          <w:p w14:paraId="469089B1" w14:textId="77777777" w:rsidR="000665A6" w:rsidRPr="00462DCC" w:rsidRDefault="000665A6" w:rsidP="00912BFE">
            <w:pPr>
              <w:rPr>
                <w:rFonts w:ascii="Arial" w:hAnsi="Arial" w:cs="Arial"/>
                <w:bCs/>
                <w:sz w:val="18"/>
                <w:szCs w:val="18"/>
              </w:rPr>
            </w:pPr>
          </w:p>
        </w:tc>
        <w:tc>
          <w:tcPr>
            <w:tcW w:w="2484" w:type="pct"/>
            <w:gridSpan w:val="6"/>
            <w:tcBorders>
              <w:left w:val="nil"/>
              <w:bottom w:val="single" w:sz="4" w:space="0" w:color="auto"/>
              <w:right w:val="nil"/>
            </w:tcBorders>
            <w:shd w:val="clear" w:color="auto" w:fill="auto"/>
            <w:noWrap/>
            <w:vAlign w:val="bottom"/>
          </w:tcPr>
          <w:p w14:paraId="31FF1721" w14:textId="77777777" w:rsidR="00A054B7" w:rsidRPr="001B4058" w:rsidDel="00096834" w:rsidRDefault="004702E4" w:rsidP="0011516C">
            <w:pPr>
              <w:jc w:val="right"/>
              <w:rPr>
                <w:rFonts w:ascii="Arial" w:hAnsi="Arial" w:cs="Arial"/>
                <w:sz w:val="18"/>
                <w:szCs w:val="18"/>
              </w:rPr>
            </w:pPr>
            <w:r>
              <w:rPr>
                <w:rFonts w:ascii="Arial" w:hAnsi="Arial" w:cs="Arial"/>
                <w:sz w:val="18"/>
                <w:szCs w:val="18"/>
              </w:rPr>
              <w:t>201</w:t>
            </w:r>
            <w:r w:rsidR="004A5A3C">
              <w:rPr>
                <w:rFonts w:ascii="Arial" w:hAnsi="Arial" w:cs="Arial"/>
                <w:sz w:val="18"/>
                <w:szCs w:val="18"/>
              </w:rPr>
              <w:t>7</w:t>
            </w:r>
            <w:r>
              <w:rPr>
                <w:rFonts w:ascii="Arial" w:hAnsi="Arial" w:cs="Arial"/>
                <w:sz w:val="18"/>
                <w:szCs w:val="18"/>
              </w:rPr>
              <w:t>/1</w:t>
            </w:r>
            <w:r w:rsidR="004A5A3C">
              <w:rPr>
                <w:rFonts w:ascii="Arial" w:hAnsi="Arial" w:cs="Arial"/>
                <w:sz w:val="18"/>
                <w:szCs w:val="18"/>
              </w:rPr>
              <w:t>8</w:t>
            </w:r>
            <w:r w:rsidRPr="00EB6FEB">
              <w:rPr>
                <w:rFonts w:ascii="Arial" w:hAnsi="Arial" w:cs="Arial"/>
                <w:sz w:val="18"/>
                <w:szCs w:val="18"/>
              </w:rPr>
              <w:t xml:space="preserve"> </w:t>
            </w:r>
          </w:p>
        </w:tc>
      </w:tr>
      <w:tr w:rsidR="000665A6" w14:paraId="31E104BD" w14:textId="77777777" w:rsidTr="0011516C">
        <w:trPr>
          <w:gridAfter w:val="1"/>
          <w:wAfter w:w="8" w:type="pct"/>
          <w:trHeight w:val="240"/>
        </w:trPr>
        <w:tc>
          <w:tcPr>
            <w:tcW w:w="2516" w:type="pct"/>
            <w:vMerge w:val="restart"/>
            <w:tcBorders>
              <w:top w:val="nil"/>
              <w:left w:val="nil"/>
              <w:right w:val="nil"/>
            </w:tcBorders>
            <w:shd w:val="clear" w:color="auto" w:fill="auto"/>
            <w:vAlign w:val="bottom"/>
          </w:tcPr>
          <w:p w14:paraId="5200F096" w14:textId="77777777" w:rsidR="000665A6" w:rsidRPr="00CD0107" w:rsidRDefault="000665A6" w:rsidP="00912BFE">
            <w:pPr>
              <w:rPr>
                <w:rFonts w:ascii="Arial" w:hAnsi="Arial" w:cs="Arial"/>
                <w:sz w:val="18"/>
                <w:szCs w:val="18"/>
              </w:rPr>
            </w:pPr>
            <w:r w:rsidRPr="00CD0107">
              <w:rPr>
                <w:rFonts w:ascii="Arial" w:hAnsi="Arial" w:cs="Arial"/>
                <w:sz w:val="18"/>
                <w:szCs w:val="18"/>
              </w:rPr>
              <w:t>£ millions</w:t>
            </w:r>
          </w:p>
        </w:tc>
        <w:tc>
          <w:tcPr>
            <w:tcW w:w="698" w:type="pct"/>
            <w:vMerge w:val="restart"/>
            <w:tcBorders>
              <w:top w:val="nil"/>
              <w:left w:val="nil"/>
              <w:right w:val="nil"/>
            </w:tcBorders>
            <w:shd w:val="clear" w:color="auto" w:fill="auto"/>
            <w:vAlign w:val="bottom"/>
          </w:tcPr>
          <w:p w14:paraId="091A7F64" w14:textId="77777777" w:rsidR="000665A6" w:rsidRPr="001F5B32" w:rsidRDefault="001F5B32" w:rsidP="00912BFE">
            <w:pPr>
              <w:jc w:val="right"/>
              <w:rPr>
                <w:rFonts w:ascii="Arial" w:hAnsi="Arial" w:cs="Arial"/>
                <w:sz w:val="18"/>
                <w:szCs w:val="18"/>
              </w:rPr>
            </w:pPr>
            <w:r w:rsidRPr="001F5B32">
              <w:rPr>
                <w:rFonts w:ascii="Arial" w:hAnsi="Arial" w:cs="Arial"/>
                <w:sz w:val="18"/>
                <w:szCs w:val="18"/>
              </w:rPr>
              <w:t>UK &amp; Ireland</w:t>
            </w:r>
          </w:p>
        </w:tc>
        <w:tc>
          <w:tcPr>
            <w:tcW w:w="438" w:type="pct"/>
            <w:vMerge w:val="restart"/>
            <w:tcBorders>
              <w:top w:val="nil"/>
              <w:left w:val="nil"/>
              <w:right w:val="nil"/>
            </w:tcBorders>
            <w:shd w:val="clear" w:color="auto" w:fill="auto"/>
            <w:vAlign w:val="bottom"/>
          </w:tcPr>
          <w:p w14:paraId="5895CB16" w14:textId="77777777" w:rsidR="000665A6" w:rsidRPr="001F5B32" w:rsidRDefault="001F5B32" w:rsidP="00912BFE">
            <w:pPr>
              <w:jc w:val="right"/>
              <w:rPr>
                <w:rFonts w:ascii="Arial" w:hAnsi="Arial" w:cs="Arial"/>
                <w:sz w:val="18"/>
                <w:szCs w:val="18"/>
              </w:rPr>
            </w:pPr>
            <w:r w:rsidRPr="001F5B32">
              <w:rPr>
                <w:rFonts w:ascii="Arial" w:hAnsi="Arial" w:cs="Arial"/>
                <w:sz w:val="18"/>
                <w:szCs w:val="18"/>
              </w:rPr>
              <w:t>France</w:t>
            </w:r>
          </w:p>
        </w:tc>
        <w:tc>
          <w:tcPr>
            <w:tcW w:w="901" w:type="pct"/>
            <w:gridSpan w:val="2"/>
            <w:tcBorders>
              <w:top w:val="nil"/>
              <w:left w:val="nil"/>
              <w:bottom w:val="single" w:sz="2" w:space="0" w:color="auto"/>
              <w:right w:val="nil"/>
            </w:tcBorders>
            <w:shd w:val="clear" w:color="auto" w:fill="auto"/>
            <w:vAlign w:val="bottom"/>
          </w:tcPr>
          <w:p w14:paraId="059CE7D5" w14:textId="77777777" w:rsidR="000665A6" w:rsidRPr="00CD0107" w:rsidRDefault="000665A6" w:rsidP="00912BFE">
            <w:pPr>
              <w:jc w:val="right"/>
              <w:rPr>
                <w:rFonts w:ascii="Arial" w:hAnsi="Arial" w:cs="Arial"/>
                <w:sz w:val="18"/>
                <w:szCs w:val="18"/>
              </w:rPr>
            </w:pPr>
            <w:r>
              <w:rPr>
                <w:rFonts w:ascii="Arial" w:hAnsi="Arial" w:cs="Arial"/>
                <w:sz w:val="18"/>
                <w:szCs w:val="18"/>
              </w:rPr>
              <w:t>Other International</w:t>
            </w:r>
          </w:p>
        </w:tc>
        <w:tc>
          <w:tcPr>
            <w:tcW w:w="439" w:type="pct"/>
            <w:vMerge w:val="restart"/>
            <w:tcBorders>
              <w:top w:val="nil"/>
              <w:left w:val="nil"/>
              <w:right w:val="nil"/>
            </w:tcBorders>
            <w:shd w:val="clear" w:color="auto" w:fill="auto"/>
            <w:vAlign w:val="bottom"/>
          </w:tcPr>
          <w:p w14:paraId="6F768BE0" w14:textId="77777777" w:rsidR="000665A6" w:rsidRPr="00CD0107" w:rsidRDefault="000665A6" w:rsidP="00912BFE">
            <w:pPr>
              <w:jc w:val="right"/>
              <w:rPr>
                <w:rFonts w:ascii="Arial" w:hAnsi="Arial" w:cs="Arial"/>
                <w:sz w:val="18"/>
                <w:szCs w:val="18"/>
              </w:rPr>
            </w:pPr>
            <w:r w:rsidRPr="00CD0107">
              <w:rPr>
                <w:rFonts w:ascii="Arial" w:hAnsi="Arial" w:cs="Arial"/>
                <w:sz w:val="18"/>
                <w:szCs w:val="18"/>
              </w:rPr>
              <w:t>Total</w:t>
            </w:r>
          </w:p>
        </w:tc>
      </w:tr>
      <w:tr w:rsidR="000665A6" w14:paraId="0AEC3BDB" w14:textId="77777777" w:rsidTr="0011516C">
        <w:trPr>
          <w:gridAfter w:val="1"/>
          <w:wAfter w:w="8" w:type="pct"/>
          <w:trHeight w:val="240"/>
        </w:trPr>
        <w:tc>
          <w:tcPr>
            <w:tcW w:w="2516" w:type="pct"/>
            <w:vMerge/>
            <w:tcBorders>
              <w:left w:val="nil"/>
              <w:bottom w:val="single" w:sz="4" w:space="0" w:color="auto"/>
              <w:right w:val="nil"/>
            </w:tcBorders>
            <w:shd w:val="clear" w:color="auto" w:fill="auto"/>
            <w:vAlign w:val="bottom"/>
          </w:tcPr>
          <w:p w14:paraId="207FA3F3" w14:textId="77777777" w:rsidR="000665A6" w:rsidRPr="00CD0107" w:rsidRDefault="000665A6" w:rsidP="00912BFE">
            <w:pPr>
              <w:rPr>
                <w:rFonts w:ascii="Arial" w:hAnsi="Arial" w:cs="Arial"/>
                <w:sz w:val="18"/>
                <w:szCs w:val="18"/>
              </w:rPr>
            </w:pPr>
          </w:p>
        </w:tc>
        <w:tc>
          <w:tcPr>
            <w:tcW w:w="698" w:type="pct"/>
            <w:vMerge/>
            <w:tcBorders>
              <w:left w:val="nil"/>
              <w:bottom w:val="single" w:sz="4" w:space="0" w:color="auto"/>
              <w:right w:val="nil"/>
            </w:tcBorders>
            <w:shd w:val="clear" w:color="auto" w:fill="auto"/>
            <w:vAlign w:val="bottom"/>
          </w:tcPr>
          <w:p w14:paraId="5BC15A39" w14:textId="77777777" w:rsidR="000665A6" w:rsidRPr="001F5B32" w:rsidRDefault="000665A6" w:rsidP="00912BFE">
            <w:pPr>
              <w:jc w:val="right"/>
              <w:rPr>
                <w:rFonts w:ascii="Arial" w:hAnsi="Arial" w:cs="Arial"/>
                <w:sz w:val="18"/>
                <w:szCs w:val="18"/>
              </w:rPr>
            </w:pPr>
          </w:p>
        </w:tc>
        <w:tc>
          <w:tcPr>
            <w:tcW w:w="438" w:type="pct"/>
            <w:vMerge/>
            <w:tcBorders>
              <w:left w:val="nil"/>
              <w:bottom w:val="single" w:sz="4" w:space="0" w:color="auto"/>
              <w:right w:val="nil"/>
            </w:tcBorders>
            <w:shd w:val="clear" w:color="auto" w:fill="auto"/>
            <w:vAlign w:val="bottom"/>
          </w:tcPr>
          <w:p w14:paraId="23AF1859" w14:textId="77777777" w:rsidR="000665A6" w:rsidRPr="001F5B32" w:rsidRDefault="000665A6" w:rsidP="00912BFE">
            <w:pPr>
              <w:jc w:val="right"/>
              <w:rPr>
                <w:rFonts w:ascii="Arial" w:hAnsi="Arial" w:cs="Arial"/>
                <w:sz w:val="18"/>
                <w:szCs w:val="18"/>
              </w:rPr>
            </w:pPr>
          </w:p>
        </w:tc>
        <w:tc>
          <w:tcPr>
            <w:tcW w:w="458" w:type="pct"/>
            <w:tcBorders>
              <w:top w:val="nil"/>
              <w:left w:val="nil"/>
              <w:bottom w:val="single" w:sz="4" w:space="0" w:color="auto"/>
              <w:right w:val="nil"/>
            </w:tcBorders>
            <w:shd w:val="clear" w:color="auto" w:fill="auto"/>
            <w:vAlign w:val="bottom"/>
          </w:tcPr>
          <w:p w14:paraId="0F45C76E" w14:textId="77777777" w:rsidR="000665A6" w:rsidRPr="00CD0107" w:rsidRDefault="000665A6" w:rsidP="00912BFE">
            <w:pPr>
              <w:jc w:val="right"/>
              <w:rPr>
                <w:rFonts w:ascii="Arial" w:hAnsi="Arial" w:cs="Arial"/>
                <w:sz w:val="18"/>
                <w:szCs w:val="18"/>
              </w:rPr>
            </w:pPr>
            <w:smartTag w:uri="urn:schemas-microsoft-com:office:smarttags" w:element="place">
              <w:smartTag w:uri="urn:schemas-microsoft-com:office:smarttags" w:element="country-region">
                <w:r w:rsidRPr="00CD0107">
                  <w:rPr>
                    <w:rFonts w:ascii="Arial" w:hAnsi="Arial" w:cs="Arial"/>
                    <w:sz w:val="18"/>
                    <w:szCs w:val="18"/>
                  </w:rPr>
                  <w:t>Poland</w:t>
                </w:r>
              </w:smartTag>
            </w:smartTag>
          </w:p>
        </w:tc>
        <w:tc>
          <w:tcPr>
            <w:tcW w:w="443" w:type="pct"/>
            <w:tcBorders>
              <w:top w:val="nil"/>
              <w:left w:val="nil"/>
              <w:bottom w:val="single" w:sz="4" w:space="0" w:color="auto"/>
              <w:right w:val="nil"/>
            </w:tcBorders>
            <w:shd w:val="clear" w:color="auto" w:fill="auto"/>
            <w:vAlign w:val="bottom"/>
          </w:tcPr>
          <w:p w14:paraId="03008A2D" w14:textId="77777777" w:rsidR="000665A6" w:rsidRPr="00CD0107" w:rsidRDefault="000665A6" w:rsidP="00912BFE">
            <w:pPr>
              <w:jc w:val="right"/>
              <w:rPr>
                <w:rFonts w:ascii="Arial" w:hAnsi="Arial" w:cs="Arial"/>
                <w:sz w:val="18"/>
                <w:szCs w:val="18"/>
              </w:rPr>
            </w:pPr>
            <w:r>
              <w:rPr>
                <w:rFonts w:ascii="Arial" w:hAnsi="Arial" w:cs="Arial"/>
                <w:sz w:val="18"/>
                <w:szCs w:val="18"/>
              </w:rPr>
              <w:t>Other</w:t>
            </w:r>
          </w:p>
        </w:tc>
        <w:tc>
          <w:tcPr>
            <w:tcW w:w="439" w:type="pct"/>
            <w:vMerge/>
            <w:tcBorders>
              <w:left w:val="nil"/>
              <w:bottom w:val="single" w:sz="4" w:space="0" w:color="auto"/>
              <w:right w:val="nil"/>
            </w:tcBorders>
            <w:shd w:val="clear" w:color="auto" w:fill="auto"/>
            <w:vAlign w:val="bottom"/>
          </w:tcPr>
          <w:p w14:paraId="46C19133" w14:textId="77777777" w:rsidR="000665A6" w:rsidRPr="00CD0107" w:rsidRDefault="000665A6" w:rsidP="00912BFE">
            <w:pPr>
              <w:jc w:val="right"/>
              <w:rPr>
                <w:rFonts w:ascii="Arial" w:hAnsi="Arial" w:cs="Arial"/>
                <w:sz w:val="18"/>
                <w:szCs w:val="18"/>
              </w:rPr>
            </w:pPr>
          </w:p>
        </w:tc>
      </w:tr>
      <w:tr w:rsidR="004A5A3C" w14:paraId="790CC89D" w14:textId="77777777" w:rsidTr="0011516C">
        <w:trPr>
          <w:gridAfter w:val="1"/>
          <w:wAfter w:w="8" w:type="pct"/>
          <w:trHeight w:val="240"/>
        </w:trPr>
        <w:tc>
          <w:tcPr>
            <w:tcW w:w="2516" w:type="pct"/>
            <w:tcBorders>
              <w:top w:val="single" w:sz="4" w:space="0" w:color="auto"/>
              <w:left w:val="nil"/>
              <w:bottom w:val="single" w:sz="4" w:space="0" w:color="auto"/>
              <w:right w:val="nil"/>
            </w:tcBorders>
            <w:shd w:val="clear" w:color="auto" w:fill="FFFFFF"/>
            <w:vAlign w:val="bottom"/>
          </w:tcPr>
          <w:p w14:paraId="23C10160" w14:textId="77777777" w:rsidR="004A5A3C" w:rsidRPr="00281AF4" w:rsidRDefault="004A5A3C" w:rsidP="004A5A3C">
            <w:pPr>
              <w:rPr>
                <w:rFonts w:ascii="Arial" w:hAnsi="Arial" w:cs="Arial"/>
                <w:b/>
                <w:sz w:val="18"/>
                <w:szCs w:val="18"/>
              </w:rPr>
            </w:pPr>
            <w:r>
              <w:rPr>
                <w:rFonts w:ascii="Arial" w:hAnsi="Arial" w:cs="Arial"/>
                <w:b/>
                <w:sz w:val="18"/>
                <w:szCs w:val="18"/>
              </w:rPr>
              <w:t>S</w:t>
            </w:r>
            <w:r w:rsidRPr="00281AF4">
              <w:rPr>
                <w:rFonts w:ascii="Arial" w:hAnsi="Arial" w:cs="Arial"/>
                <w:b/>
                <w:sz w:val="18"/>
                <w:szCs w:val="18"/>
              </w:rPr>
              <w:t>ales</w:t>
            </w:r>
          </w:p>
        </w:tc>
        <w:tc>
          <w:tcPr>
            <w:tcW w:w="698" w:type="pct"/>
            <w:tcBorders>
              <w:top w:val="single" w:sz="4" w:space="0" w:color="auto"/>
              <w:left w:val="nil"/>
              <w:bottom w:val="single" w:sz="4" w:space="0" w:color="auto"/>
              <w:right w:val="nil"/>
            </w:tcBorders>
            <w:shd w:val="clear" w:color="auto" w:fill="FFFFFF"/>
            <w:vAlign w:val="bottom"/>
          </w:tcPr>
          <w:p w14:paraId="3E5E77EC"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5,003</w:t>
            </w:r>
          </w:p>
        </w:tc>
        <w:tc>
          <w:tcPr>
            <w:tcW w:w="438" w:type="pct"/>
            <w:tcBorders>
              <w:top w:val="single" w:sz="4" w:space="0" w:color="auto"/>
              <w:left w:val="nil"/>
              <w:bottom w:val="single" w:sz="4" w:space="0" w:color="auto"/>
              <w:right w:val="nil"/>
            </w:tcBorders>
            <w:shd w:val="clear" w:color="auto" w:fill="FFFFFF"/>
            <w:vAlign w:val="bottom"/>
          </w:tcPr>
          <w:p w14:paraId="492B6D7A"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4,387</w:t>
            </w:r>
          </w:p>
        </w:tc>
        <w:tc>
          <w:tcPr>
            <w:tcW w:w="458" w:type="pct"/>
            <w:tcBorders>
              <w:top w:val="single" w:sz="4" w:space="0" w:color="auto"/>
              <w:left w:val="nil"/>
              <w:bottom w:val="single" w:sz="4" w:space="0" w:color="auto"/>
              <w:right w:val="nil"/>
            </w:tcBorders>
            <w:shd w:val="clear" w:color="auto" w:fill="FFFFFF"/>
            <w:vAlign w:val="bottom"/>
          </w:tcPr>
          <w:p w14:paraId="2213CBDF"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1,384</w:t>
            </w:r>
          </w:p>
        </w:tc>
        <w:tc>
          <w:tcPr>
            <w:tcW w:w="443" w:type="pct"/>
            <w:tcBorders>
              <w:top w:val="single" w:sz="4" w:space="0" w:color="auto"/>
              <w:left w:val="nil"/>
              <w:bottom w:val="single" w:sz="4" w:space="0" w:color="auto"/>
              <w:right w:val="nil"/>
            </w:tcBorders>
            <w:shd w:val="clear" w:color="auto" w:fill="FFFFFF"/>
            <w:vAlign w:val="bottom"/>
          </w:tcPr>
          <w:p w14:paraId="6C80E8B9"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881</w:t>
            </w:r>
          </w:p>
        </w:tc>
        <w:tc>
          <w:tcPr>
            <w:tcW w:w="439" w:type="pct"/>
            <w:tcBorders>
              <w:top w:val="single" w:sz="4" w:space="0" w:color="auto"/>
              <w:left w:val="nil"/>
              <w:bottom w:val="single" w:sz="4" w:space="0" w:color="auto"/>
              <w:right w:val="nil"/>
            </w:tcBorders>
            <w:shd w:val="clear" w:color="auto" w:fill="FFFFFF"/>
            <w:vAlign w:val="bottom"/>
          </w:tcPr>
          <w:p w14:paraId="286D02AF"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11,655</w:t>
            </w:r>
          </w:p>
        </w:tc>
      </w:tr>
      <w:tr w:rsidR="004A5A3C" w:rsidRPr="004E18F2" w14:paraId="3DE2DF34" w14:textId="77777777" w:rsidTr="0011516C">
        <w:trPr>
          <w:gridAfter w:val="1"/>
          <w:wAfter w:w="8" w:type="pct"/>
          <w:trHeight w:val="240"/>
        </w:trPr>
        <w:tc>
          <w:tcPr>
            <w:tcW w:w="2516" w:type="pct"/>
            <w:tcBorders>
              <w:top w:val="nil"/>
              <w:left w:val="nil"/>
              <w:right w:val="nil"/>
            </w:tcBorders>
            <w:shd w:val="clear" w:color="auto" w:fill="auto"/>
            <w:noWrap/>
            <w:vAlign w:val="bottom"/>
          </w:tcPr>
          <w:p w14:paraId="7A793574" w14:textId="77777777" w:rsidR="004A5A3C" w:rsidRPr="0080364A" w:rsidRDefault="004A5A3C" w:rsidP="004A5A3C">
            <w:pPr>
              <w:rPr>
                <w:rFonts w:ascii="Arial" w:hAnsi="Arial" w:cs="Arial"/>
                <w:b/>
                <w:sz w:val="18"/>
                <w:szCs w:val="18"/>
              </w:rPr>
            </w:pPr>
            <w:r w:rsidRPr="0080364A">
              <w:rPr>
                <w:rFonts w:ascii="Arial" w:hAnsi="Arial" w:cs="Arial"/>
                <w:b/>
                <w:sz w:val="18"/>
                <w:szCs w:val="18"/>
              </w:rPr>
              <w:t xml:space="preserve">Retail profit </w:t>
            </w:r>
          </w:p>
        </w:tc>
        <w:tc>
          <w:tcPr>
            <w:tcW w:w="698" w:type="pct"/>
            <w:tcBorders>
              <w:top w:val="nil"/>
              <w:left w:val="nil"/>
              <w:right w:val="nil"/>
            </w:tcBorders>
            <w:shd w:val="clear" w:color="auto" w:fill="auto"/>
            <w:noWrap/>
            <w:vAlign w:val="bottom"/>
          </w:tcPr>
          <w:p w14:paraId="17049E40"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375</w:t>
            </w:r>
          </w:p>
        </w:tc>
        <w:tc>
          <w:tcPr>
            <w:tcW w:w="438" w:type="pct"/>
            <w:tcBorders>
              <w:top w:val="nil"/>
              <w:left w:val="nil"/>
              <w:right w:val="nil"/>
            </w:tcBorders>
            <w:shd w:val="clear" w:color="auto" w:fill="auto"/>
            <w:noWrap/>
            <w:vAlign w:val="bottom"/>
          </w:tcPr>
          <w:p w14:paraId="2737C183"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320</w:t>
            </w:r>
          </w:p>
        </w:tc>
        <w:tc>
          <w:tcPr>
            <w:tcW w:w="458" w:type="pct"/>
            <w:tcBorders>
              <w:top w:val="nil"/>
              <w:left w:val="nil"/>
              <w:right w:val="nil"/>
            </w:tcBorders>
            <w:shd w:val="clear" w:color="auto" w:fill="auto"/>
            <w:noWrap/>
            <w:vAlign w:val="bottom"/>
          </w:tcPr>
          <w:p w14:paraId="21078446"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170</w:t>
            </w:r>
          </w:p>
        </w:tc>
        <w:tc>
          <w:tcPr>
            <w:tcW w:w="443" w:type="pct"/>
            <w:tcBorders>
              <w:top w:val="nil"/>
              <w:left w:val="nil"/>
              <w:right w:val="nil"/>
            </w:tcBorders>
            <w:shd w:val="clear" w:color="auto" w:fill="auto"/>
            <w:noWrap/>
            <w:vAlign w:val="bottom"/>
          </w:tcPr>
          <w:p w14:paraId="386A486C"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(16)</w:t>
            </w:r>
          </w:p>
        </w:tc>
        <w:tc>
          <w:tcPr>
            <w:tcW w:w="439" w:type="pct"/>
            <w:tcBorders>
              <w:top w:val="nil"/>
              <w:left w:val="nil"/>
              <w:right w:val="nil"/>
            </w:tcBorders>
            <w:shd w:val="clear" w:color="auto" w:fill="auto"/>
            <w:noWrap/>
            <w:vAlign w:val="bottom"/>
          </w:tcPr>
          <w:p w14:paraId="60692CA7" w14:textId="77777777" w:rsidR="004A5A3C" w:rsidRPr="004A5A3C" w:rsidRDefault="004A5A3C" w:rsidP="004A5A3C">
            <w:pPr>
              <w:jc w:val="right"/>
              <w:rPr>
                <w:rFonts w:ascii="Arial" w:hAnsi="Arial" w:cs="Arial"/>
                <w:bCs/>
                <w:sz w:val="18"/>
                <w:szCs w:val="18"/>
              </w:rPr>
            </w:pPr>
            <w:r w:rsidRPr="004A5A3C">
              <w:rPr>
                <w:rFonts w:ascii="Arial" w:hAnsi="Arial" w:cs="Arial"/>
                <w:bCs/>
                <w:sz w:val="18"/>
                <w:szCs w:val="18"/>
              </w:rPr>
              <w:t>849</w:t>
            </w:r>
          </w:p>
        </w:tc>
      </w:tr>
      <w:tr w:rsidR="004A5A3C" w:rsidRPr="004E18F2" w14:paraId="10CCB34E" w14:textId="77777777" w:rsidTr="0011516C">
        <w:trPr>
          <w:gridAfter w:val="1"/>
          <w:wAfter w:w="8" w:type="pct"/>
          <w:trHeight w:val="240"/>
        </w:trPr>
        <w:tc>
          <w:tcPr>
            <w:tcW w:w="2516" w:type="pct"/>
            <w:tcBorders>
              <w:top w:val="nil"/>
              <w:left w:val="nil"/>
              <w:right w:val="nil"/>
            </w:tcBorders>
            <w:shd w:val="clear" w:color="auto" w:fill="auto"/>
            <w:noWrap/>
            <w:vAlign w:val="bottom"/>
          </w:tcPr>
          <w:p w14:paraId="4399B43E" w14:textId="77777777" w:rsidR="004A5A3C" w:rsidRDefault="004A5A3C" w:rsidP="004A5A3C">
            <w:pPr>
              <w:rPr>
                <w:rFonts w:ascii="Arial" w:hAnsi="Arial" w:cs="Arial"/>
                <w:sz w:val="18"/>
                <w:szCs w:val="18"/>
              </w:rPr>
            </w:pPr>
            <w:r>
              <w:rPr>
                <w:rFonts w:ascii="Arial" w:hAnsi="Arial" w:cs="Arial"/>
                <w:sz w:val="18"/>
                <w:szCs w:val="18"/>
              </w:rPr>
              <w:t>Central costs</w:t>
            </w:r>
          </w:p>
        </w:tc>
        <w:tc>
          <w:tcPr>
            <w:tcW w:w="698" w:type="pct"/>
            <w:tcBorders>
              <w:top w:val="nil"/>
              <w:left w:val="nil"/>
              <w:right w:val="nil"/>
            </w:tcBorders>
            <w:shd w:val="clear" w:color="auto" w:fill="auto"/>
            <w:noWrap/>
            <w:vAlign w:val="bottom"/>
          </w:tcPr>
          <w:p w14:paraId="7AA48D01" w14:textId="77777777" w:rsidR="004A5A3C" w:rsidRPr="004A5A3C" w:rsidRDefault="004A5A3C" w:rsidP="004A5A3C">
            <w:pPr>
              <w:jc w:val="right"/>
              <w:rPr>
                <w:rFonts w:ascii="Arial" w:hAnsi="Arial" w:cs="Arial"/>
                <w:sz w:val="18"/>
                <w:szCs w:val="18"/>
              </w:rPr>
            </w:pPr>
          </w:p>
        </w:tc>
        <w:tc>
          <w:tcPr>
            <w:tcW w:w="438" w:type="pct"/>
            <w:tcBorders>
              <w:top w:val="nil"/>
              <w:left w:val="nil"/>
              <w:right w:val="nil"/>
            </w:tcBorders>
            <w:shd w:val="clear" w:color="auto" w:fill="auto"/>
            <w:noWrap/>
            <w:vAlign w:val="bottom"/>
          </w:tcPr>
          <w:p w14:paraId="15C26171" w14:textId="77777777" w:rsidR="004A5A3C" w:rsidRPr="004A5A3C" w:rsidRDefault="004A5A3C" w:rsidP="004A5A3C">
            <w:pPr>
              <w:jc w:val="right"/>
              <w:rPr>
                <w:rFonts w:ascii="Arial" w:hAnsi="Arial" w:cs="Arial"/>
                <w:sz w:val="18"/>
                <w:szCs w:val="18"/>
              </w:rPr>
            </w:pPr>
          </w:p>
        </w:tc>
        <w:tc>
          <w:tcPr>
            <w:tcW w:w="458" w:type="pct"/>
            <w:tcBorders>
              <w:top w:val="nil"/>
              <w:left w:val="nil"/>
              <w:right w:val="nil"/>
            </w:tcBorders>
            <w:shd w:val="clear" w:color="auto" w:fill="auto"/>
            <w:noWrap/>
            <w:vAlign w:val="bottom"/>
          </w:tcPr>
          <w:p w14:paraId="5D20EC1D" w14:textId="77777777" w:rsidR="004A5A3C" w:rsidRPr="004A5A3C" w:rsidRDefault="004A5A3C" w:rsidP="004A5A3C">
            <w:pPr>
              <w:jc w:val="right"/>
              <w:rPr>
                <w:rFonts w:ascii="Arial" w:hAnsi="Arial" w:cs="Arial"/>
                <w:sz w:val="18"/>
                <w:szCs w:val="18"/>
              </w:rPr>
            </w:pPr>
          </w:p>
        </w:tc>
        <w:tc>
          <w:tcPr>
            <w:tcW w:w="443" w:type="pct"/>
            <w:tcBorders>
              <w:top w:val="nil"/>
              <w:left w:val="nil"/>
              <w:right w:val="nil"/>
            </w:tcBorders>
            <w:shd w:val="clear" w:color="auto" w:fill="auto"/>
            <w:noWrap/>
            <w:vAlign w:val="bottom"/>
          </w:tcPr>
          <w:p w14:paraId="530EF9FD" w14:textId="77777777" w:rsidR="004A5A3C" w:rsidRPr="004A5A3C" w:rsidRDefault="004A5A3C" w:rsidP="004A5A3C">
            <w:pPr>
              <w:jc w:val="right"/>
              <w:rPr>
                <w:rFonts w:ascii="Arial" w:hAnsi="Arial" w:cs="Arial"/>
                <w:sz w:val="18"/>
                <w:szCs w:val="18"/>
              </w:rPr>
            </w:pPr>
          </w:p>
        </w:tc>
        <w:tc>
          <w:tcPr>
            <w:tcW w:w="439" w:type="pct"/>
            <w:tcBorders>
              <w:top w:val="nil"/>
              <w:left w:val="nil"/>
              <w:right w:val="nil"/>
            </w:tcBorders>
            <w:shd w:val="clear" w:color="auto" w:fill="auto"/>
            <w:noWrap/>
            <w:vAlign w:val="bottom"/>
          </w:tcPr>
          <w:p w14:paraId="00993681" w14:textId="77777777" w:rsidR="004A5A3C" w:rsidRPr="004A5A3C" w:rsidRDefault="004A5A3C" w:rsidP="004A5A3C">
            <w:pPr>
              <w:jc w:val="right"/>
              <w:rPr>
                <w:rFonts w:ascii="Arial" w:hAnsi="Arial" w:cs="Arial"/>
                <w:bCs/>
                <w:sz w:val="18"/>
                <w:szCs w:val="18"/>
              </w:rPr>
            </w:pPr>
            <w:r w:rsidRPr="004A5A3C">
              <w:rPr>
                <w:rFonts w:ascii="Arial" w:hAnsi="Arial" w:cs="Arial"/>
                <w:bCs/>
                <w:sz w:val="18"/>
                <w:szCs w:val="18"/>
              </w:rPr>
              <w:t>(46)</w:t>
            </w:r>
          </w:p>
        </w:tc>
      </w:tr>
      <w:tr w:rsidR="004A5A3C" w:rsidRPr="004E18F2" w14:paraId="52B08793" w14:textId="77777777" w:rsidTr="0011516C">
        <w:trPr>
          <w:gridAfter w:val="1"/>
          <w:wAfter w:w="8" w:type="pct"/>
          <w:trHeight w:val="240"/>
        </w:trPr>
        <w:tc>
          <w:tcPr>
            <w:tcW w:w="2516" w:type="pct"/>
            <w:tcBorders>
              <w:top w:val="nil"/>
              <w:left w:val="nil"/>
              <w:right w:val="nil"/>
            </w:tcBorders>
            <w:shd w:val="clear" w:color="auto" w:fill="auto"/>
            <w:noWrap/>
            <w:vAlign w:val="bottom"/>
          </w:tcPr>
          <w:p w14:paraId="180772E8" w14:textId="77777777" w:rsidR="004A5A3C" w:rsidRPr="0080723D" w:rsidRDefault="004A5A3C" w:rsidP="004A5A3C">
            <w:pPr>
              <w:rPr>
                <w:rFonts w:ascii="Arial" w:hAnsi="Arial" w:cs="Arial"/>
                <w:sz w:val="18"/>
                <w:szCs w:val="18"/>
              </w:rPr>
            </w:pPr>
            <w:r>
              <w:rPr>
                <w:rFonts w:ascii="Arial" w:hAnsi="Arial" w:cs="Arial"/>
                <w:sz w:val="18"/>
                <w:szCs w:val="18"/>
              </w:rPr>
              <w:t>Share of interest and tax of joint ventures and associates</w:t>
            </w:r>
          </w:p>
        </w:tc>
        <w:tc>
          <w:tcPr>
            <w:tcW w:w="698" w:type="pct"/>
            <w:tcBorders>
              <w:top w:val="nil"/>
              <w:left w:val="nil"/>
              <w:right w:val="nil"/>
            </w:tcBorders>
            <w:shd w:val="clear" w:color="auto" w:fill="auto"/>
            <w:noWrap/>
            <w:vAlign w:val="bottom"/>
          </w:tcPr>
          <w:p w14:paraId="70CFFCC4" w14:textId="77777777" w:rsidR="004A5A3C" w:rsidRPr="004A5A3C" w:rsidRDefault="004A5A3C" w:rsidP="004A5A3C">
            <w:pPr>
              <w:jc w:val="right"/>
              <w:rPr>
                <w:rFonts w:ascii="Arial" w:hAnsi="Arial" w:cs="Arial"/>
                <w:sz w:val="18"/>
                <w:szCs w:val="18"/>
              </w:rPr>
            </w:pPr>
          </w:p>
        </w:tc>
        <w:tc>
          <w:tcPr>
            <w:tcW w:w="438" w:type="pct"/>
            <w:tcBorders>
              <w:top w:val="nil"/>
              <w:left w:val="nil"/>
              <w:right w:val="nil"/>
            </w:tcBorders>
            <w:shd w:val="clear" w:color="auto" w:fill="auto"/>
            <w:noWrap/>
            <w:vAlign w:val="bottom"/>
          </w:tcPr>
          <w:p w14:paraId="7620E286" w14:textId="77777777" w:rsidR="004A5A3C" w:rsidRPr="004A5A3C" w:rsidRDefault="004A5A3C" w:rsidP="004A5A3C">
            <w:pPr>
              <w:jc w:val="right"/>
              <w:rPr>
                <w:rFonts w:ascii="Arial" w:hAnsi="Arial" w:cs="Arial"/>
                <w:sz w:val="18"/>
                <w:szCs w:val="18"/>
              </w:rPr>
            </w:pPr>
          </w:p>
        </w:tc>
        <w:tc>
          <w:tcPr>
            <w:tcW w:w="458" w:type="pct"/>
            <w:tcBorders>
              <w:top w:val="nil"/>
              <w:left w:val="nil"/>
              <w:right w:val="nil"/>
            </w:tcBorders>
            <w:shd w:val="clear" w:color="auto" w:fill="auto"/>
            <w:noWrap/>
            <w:vAlign w:val="bottom"/>
          </w:tcPr>
          <w:p w14:paraId="669F25E3" w14:textId="77777777" w:rsidR="004A5A3C" w:rsidRPr="004A5A3C" w:rsidRDefault="004A5A3C" w:rsidP="004A5A3C">
            <w:pPr>
              <w:jc w:val="right"/>
              <w:rPr>
                <w:rFonts w:ascii="Arial" w:hAnsi="Arial" w:cs="Arial"/>
                <w:sz w:val="18"/>
                <w:szCs w:val="18"/>
              </w:rPr>
            </w:pPr>
          </w:p>
        </w:tc>
        <w:tc>
          <w:tcPr>
            <w:tcW w:w="443" w:type="pct"/>
            <w:tcBorders>
              <w:top w:val="nil"/>
              <w:left w:val="nil"/>
              <w:right w:val="nil"/>
            </w:tcBorders>
            <w:shd w:val="clear" w:color="auto" w:fill="auto"/>
            <w:noWrap/>
            <w:vAlign w:val="bottom"/>
          </w:tcPr>
          <w:p w14:paraId="027D755F" w14:textId="77777777" w:rsidR="004A5A3C" w:rsidRPr="004A5A3C" w:rsidRDefault="004A5A3C" w:rsidP="004A5A3C">
            <w:pPr>
              <w:jc w:val="right"/>
              <w:rPr>
                <w:rFonts w:ascii="Arial" w:hAnsi="Arial" w:cs="Arial"/>
                <w:sz w:val="18"/>
                <w:szCs w:val="18"/>
              </w:rPr>
            </w:pPr>
          </w:p>
        </w:tc>
        <w:tc>
          <w:tcPr>
            <w:tcW w:w="439" w:type="pct"/>
            <w:tcBorders>
              <w:top w:val="nil"/>
              <w:left w:val="nil"/>
              <w:right w:val="nil"/>
            </w:tcBorders>
            <w:shd w:val="clear" w:color="auto" w:fill="auto"/>
            <w:noWrap/>
            <w:vAlign w:val="bottom"/>
          </w:tcPr>
          <w:p w14:paraId="220C7350" w14:textId="77777777" w:rsidR="004A5A3C" w:rsidRPr="004A5A3C" w:rsidRDefault="004A5A3C" w:rsidP="004A5A3C">
            <w:pPr>
              <w:jc w:val="right"/>
              <w:rPr>
                <w:rFonts w:ascii="Arial" w:hAnsi="Arial" w:cs="Arial"/>
                <w:bCs/>
                <w:sz w:val="18"/>
                <w:szCs w:val="18"/>
              </w:rPr>
            </w:pPr>
            <w:r w:rsidRPr="004A5A3C">
              <w:rPr>
                <w:rFonts w:ascii="Arial" w:hAnsi="Arial" w:cs="Arial"/>
                <w:bCs/>
                <w:sz w:val="18"/>
                <w:szCs w:val="18"/>
              </w:rPr>
              <w:t>(4)</w:t>
            </w:r>
          </w:p>
        </w:tc>
      </w:tr>
      <w:tr w:rsidR="004A5A3C" w:rsidRPr="004E18F2" w14:paraId="4F4A8EB0" w14:textId="77777777" w:rsidTr="0011516C">
        <w:trPr>
          <w:gridAfter w:val="1"/>
          <w:wAfter w:w="8" w:type="pct"/>
          <w:trHeight w:val="240"/>
        </w:trPr>
        <w:tc>
          <w:tcPr>
            <w:tcW w:w="2516" w:type="pct"/>
            <w:tcBorders>
              <w:top w:val="nil"/>
              <w:left w:val="nil"/>
              <w:right w:val="nil"/>
            </w:tcBorders>
            <w:shd w:val="clear" w:color="auto" w:fill="auto"/>
            <w:noWrap/>
            <w:vAlign w:val="bottom"/>
          </w:tcPr>
          <w:p w14:paraId="594DF621" w14:textId="77777777" w:rsidR="004A5A3C" w:rsidRDefault="004A5A3C" w:rsidP="004A5A3C">
            <w:pPr>
              <w:rPr>
                <w:rFonts w:ascii="Arial" w:hAnsi="Arial" w:cs="Arial"/>
                <w:sz w:val="18"/>
                <w:szCs w:val="18"/>
              </w:rPr>
            </w:pPr>
            <w:r>
              <w:rPr>
                <w:rFonts w:ascii="Arial" w:hAnsi="Arial" w:cs="Arial"/>
                <w:sz w:val="18"/>
                <w:szCs w:val="18"/>
              </w:rPr>
              <w:t>Transformation costs before exceptional items</w:t>
            </w:r>
          </w:p>
        </w:tc>
        <w:tc>
          <w:tcPr>
            <w:tcW w:w="698" w:type="pct"/>
            <w:tcBorders>
              <w:top w:val="nil"/>
              <w:left w:val="nil"/>
              <w:right w:val="nil"/>
            </w:tcBorders>
            <w:shd w:val="clear" w:color="auto" w:fill="auto"/>
            <w:noWrap/>
            <w:vAlign w:val="bottom"/>
          </w:tcPr>
          <w:p w14:paraId="1EE84720" w14:textId="77777777" w:rsidR="004A5A3C" w:rsidRPr="004A5A3C" w:rsidRDefault="004A5A3C" w:rsidP="004A5A3C">
            <w:pPr>
              <w:jc w:val="right"/>
              <w:rPr>
                <w:rFonts w:ascii="Arial" w:hAnsi="Arial" w:cs="Arial"/>
                <w:sz w:val="18"/>
                <w:szCs w:val="18"/>
              </w:rPr>
            </w:pPr>
          </w:p>
        </w:tc>
        <w:tc>
          <w:tcPr>
            <w:tcW w:w="438" w:type="pct"/>
            <w:tcBorders>
              <w:top w:val="nil"/>
              <w:left w:val="nil"/>
              <w:right w:val="nil"/>
            </w:tcBorders>
            <w:shd w:val="clear" w:color="auto" w:fill="auto"/>
            <w:noWrap/>
            <w:vAlign w:val="bottom"/>
          </w:tcPr>
          <w:p w14:paraId="4FFD691F" w14:textId="77777777" w:rsidR="004A5A3C" w:rsidRPr="004A5A3C" w:rsidRDefault="004A5A3C" w:rsidP="004A5A3C">
            <w:pPr>
              <w:jc w:val="right"/>
              <w:rPr>
                <w:rFonts w:ascii="Arial" w:hAnsi="Arial" w:cs="Arial"/>
                <w:sz w:val="18"/>
                <w:szCs w:val="18"/>
              </w:rPr>
            </w:pPr>
          </w:p>
        </w:tc>
        <w:tc>
          <w:tcPr>
            <w:tcW w:w="458" w:type="pct"/>
            <w:tcBorders>
              <w:top w:val="nil"/>
              <w:left w:val="nil"/>
              <w:right w:val="nil"/>
            </w:tcBorders>
            <w:shd w:val="clear" w:color="auto" w:fill="auto"/>
            <w:noWrap/>
            <w:vAlign w:val="bottom"/>
          </w:tcPr>
          <w:p w14:paraId="47B6A393" w14:textId="77777777" w:rsidR="004A5A3C" w:rsidRPr="004A5A3C" w:rsidRDefault="004A5A3C" w:rsidP="004A5A3C">
            <w:pPr>
              <w:jc w:val="right"/>
              <w:rPr>
                <w:rFonts w:ascii="Arial" w:hAnsi="Arial" w:cs="Arial"/>
                <w:sz w:val="18"/>
                <w:szCs w:val="18"/>
              </w:rPr>
            </w:pPr>
          </w:p>
        </w:tc>
        <w:tc>
          <w:tcPr>
            <w:tcW w:w="443" w:type="pct"/>
            <w:tcBorders>
              <w:top w:val="nil"/>
              <w:left w:val="nil"/>
              <w:right w:val="nil"/>
            </w:tcBorders>
            <w:shd w:val="clear" w:color="auto" w:fill="auto"/>
            <w:noWrap/>
            <w:vAlign w:val="bottom"/>
          </w:tcPr>
          <w:p w14:paraId="44AE2C06" w14:textId="77777777" w:rsidR="004A5A3C" w:rsidRPr="004A5A3C" w:rsidRDefault="004A5A3C" w:rsidP="004A5A3C">
            <w:pPr>
              <w:jc w:val="right"/>
              <w:rPr>
                <w:rFonts w:ascii="Arial" w:hAnsi="Arial" w:cs="Arial"/>
                <w:sz w:val="18"/>
                <w:szCs w:val="18"/>
              </w:rPr>
            </w:pPr>
          </w:p>
        </w:tc>
        <w:tc>
          <w:tcPr>
            <w:tcW w:w="439" w:type="pct"/>
            <w:tcBorders>
              <w:top w:val="nil"/>
              <w:left w:val="nil"/>
              <w:right w:val="nil"/>
            </w:tcBorders>
            <w:shd w:val="clear" w:color="auto" w:fill="auto"/>
            <w:noWrap/>
            <w:vAlign w:val="bottom"/>
          </w:tcPr>
          <w:p w14:paraId="68DBB20D" w14:textId="77777777" w:rsidR="004A5A3C" w:rsidRPr="004A5A3C" w:rsidDel="005A350B" w:rsidRDefault="004A5A3C" w:rsidP="004A5A3C">
            <w:pPr>
              <w:jc w:val="right"/>
              <w:rPr>
                <w:rFonts w:ascii="Arial" w:hAnsi="Arial" w:cs="Arial"/>
                <w:sz w:val="18"/>
                <w:szCs w:val="18"/>
              </w:rPr>
            </w:pPr>
            <w:r w:rsidRPr="004A5A3C">
              <w:rPr>
                <w:rFonts w:ascii="Arial" w:hAnsi="Arial" w:cs="Arial"/>
                <w:sz w:val="18"/>
                <w:szCs w:val="18"/>
              </w:rPr>
              <w:t>(114)</w:t>
            </w:r>
          </w:p>
        </w:tc>
      </w:tr>
      <w:tr w:rsidR="004A5A3C" w14:paraId="1DFAAFD4" w14:textId="77777777" w:rsidTr="0011516C">
        <w:trPr>
          <w:gridAfter w:val="1"/>
          <w:wAfter w:w="8" w:type="pct"/>
          <w:trHeight w:val="240"/>
        </w:trPr>
        <w:tc>
          <w:tcPr>
            <w:tcW w:w="2516" w:type="pct"/>
            <w:tcBorders>
              <w:top w:val="single" w:sz="4" w:space="0" w:color="auto"/>
              <w:left w:val="nil"/>
              <w:bottom w:val="nil"/>
              <w:right w:val="nil"/>
            </w:tcBorders>
            <w:shd w:val="clear" w:color="auto" w:fill="auto"/>
            <w:noWrap/>
            <w:vAlign w:val="bottom"/>
          </w:tcPr>
          <w:p w14:paraId="7A50DA57" w14:textId="77777777" w:rsidR="004A5A3C" w:rsidRPr="00E4769C" w:rsidRDefault="004A5A3C" w:rsidP="004A5A3C">
            <w:pPr>
              <w:rPr>
                <w:rFonts w:ascii="Arial" w:hAnsi="Arial" w:cs="Arial"/>
                <w:sz w:val="18"/>
                <w:szCs w:val="18"/>
              </w:rPr>
            </w:pPr>
            <w:r w:rsidRPr="00FF3F75">
              <w:rPr>
                <w:rFonts w:ascii="Arial" w:hAnsi="Arial" w:cs="Arial"/>
                <w:b/>
                <w:sz w:val="18"/>
                <w:szCs w:val="18"/>
              </w:rPr>
              <w:t>Operating profit</w:t>
            </w:r>
          </w:p>
        </w:tc>
        <w:tc>
          <w:tcPr>
            <w:tcW w:w="698" w:type="pct"/>
            <w:tcBorders>
              <w:top w:val="single" w:sz="4" w:space="0" w:color="auto"/>
              <w:left w:val="nil"/>
              <w:bottom w:val="nil"/>
              <w:right w:val="nil"/>
            </w:tcBorders>
            <w:shd w:val="clear" w:color="auto" w:fill="auto"/>
            <w:noWrap/>
            <w:vAlign w:val="bottom"/>
          </w:tcPr>
          <w:p w14:paraId="0AD524BC" w14:textId="77777777" w:rsidR="004A5A3C" w:rsidRPr="004A5A3C" w:rsidRDefault="004A5A3C" w:rsidP="004A5A3C">
            <w:pPr>
              <w:jc w:val="right"/>
              <w:rPr>
                <w:rFonts w:ascii="Arial" w:hAnsi="Arial" w:cs="Arial"/>
                <w:sz w:val="18"/>
                <w:szCs w:val="18"/>
              </w:rPr>
            </w:pPr>
          </w:p>
        </w:tc>
        <w:tc>
          <w:tcPr>
            <w:tcW w:w="438" w:type="pct"/>
            <w:tcBorders>
              <w:top w:val="single" w:sz="4" w:space="0" w:color="auto"/>
              <w:left w:val="nil"/>
              <w:bottom w:val="nil"/>
              <w:right w:val="nil"/>
            </w:tcBorders>
            <w:shd w:val="clear" w:color="auto" w:fill="auto"/>
            <w:noWrap/>
            <w:vAlign w:val="bottom"/>
          </w:tcPr>
          <w:p w14:paraId="2DEEEDC8" w14:textId="77777777" w:rsidR="004A5A3C" w:rsidRPr="004A5A3C" w:rsidRDefault="004A5A3C" w:rsidP="004A5A3C">
            <w:pPr>
              <w:jc w:val="right"/>
              <w:rPr>
                <w:rFonts w:ascii="Arial" w:hAnsi="Arial" w:cs="Arial"/>
                <w:sz w:val="18"/>
                <w:szCs w:val="18"/>
              </w:rPr>
            </w:pPr>
          </w:p>
        </w:tc>
        <w:tc>
          <w:tcPr>
            <w:tcW w:w="458" w:type="pct"/>
            <w:tcBorders>
              <w:top w:val="single" w:sz="4" w:space="0" w:color="auto"/>
              <w:left w:val="nil"/>
              <w:bottom w:val="nil"/>
              <w:right w:val="nil"/>
            </w:tcBorders>
            <w:shd w:val="clear" w:color="auto" w:fill="auto"/>
            <w:noWrap/>
            <w:vAlign w:val="bottom"/>
          </w:tcPr>
          <w:p w14:paraId="4224CEF3" w14:textId="77777777" w:rsidR="004A5A3C" w:rsidRPr="004A5A3C" w:rsidRDefault="004A5A3C" w:rsidP="004A5A3C">
            <w:pPr>
              <w:jc w:val="right"/>
              <w:rPr>
                <w:rFonts w:ascii="Arial" w:hAnsi="Arial" w:cs="Arial"/>
                <w:sz w:val="18"/>
                <w:szCs w:val="18"/>
              </w:rPr>
            </w:pPr>
          </w:p>
        </w:tc>
        <w:tc>
          <w:tcPr>
            <w:tcW w:w="443" w:type="pct"/>
            <w:tcBorders>
              <w:top w:val="single" w:sz="4" w:space="0" w:color="auto"/>
              <w:left w:val="nil"/>
              <w:bottom w:val="nil"/>
              <w:right w:val="nil"/>
            </w:tcBorders>
            <w:shd w:val="clear" w:color="auto" w:fill="auto"/>
            <w:noWrap/>
            <w:vAlign w:val="bottom"/>
          </w:tcPr>
          <w:p w14:paraId="19240A16" w14:textId="77777777" w:rsidR="004A5A3C" w:rsidRPr="004A5A3C" w:rsidRDefault="004A5A3C" w:rsidP="004A5A3C">
            <w:pPr>
              <w:jc w:val="right"/>
              <w:rPr>
                <w:rFonts w:ascii="Arial" w:hAnsi="Arial" w:cs="Arial"/>
                <w:sz w:val="18"/>
                <w:szCs w:val="18"/>
              </w:rPr>
            </w:pPr>
          </w:p>
        </w:tc>
        <w:tc>
          <w:tcPr>
            <w:tcW w:w="439" w:type="pct"/>
            <w:tcBorders>
              <w:top w:val="single" w:sz="4" w:space="0" w:color="auto"/>
              <w:left w:val="nil"/>
              <w:bottom w:val="nil"/>
              <w:right w:val="nil"/>
            </w:tcBorders>
            <w:shd w:val="clear" w:color="auto" w:fill="auto"/>
            <w:noWrap/>
            <w:vAlign w:val="bottom"/>
          </w:tcPr>
          <w:p w14:paraId="16A39E40"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685</w:t>
            </w:r>
          </w:p>
        </w:tc>
      </w:tr>
      <w:tr w:rsidR="004A5A3C" w:rsidRPr="004E18F2" w14:paraId="3C94617A" w14:textId="77777777" w:rsidTr="0011516C">
        <w:trPr>
          <w:gridAfter w:val="1"/>
          <w:wAfter w:w="8" w:type="pct"/>
          <w:trHeight w:val="240"/>
        </w:trPr>
        <w:tc>
          <w:tcPr>
            <w:tcW w:w="2516" w:type="pct"/>
            <w:tcBorders>
              <w:top w:val="nil"/>
              <w:left w:val="nil"/>
              <w:bottom w:val="single" w:sz="4" w:space="0" w:color="auto"/>
              <w:right w:val="nil"/>
            </w:tcBorders>
            <w:shd w:val="clear" w:color="auto" w:fill="auto"/>
            <w:noWrap/>
            <w:vAlign w:val="bottom"/>
          </w:tcPr>
          <w:p w14:paraId="353822CC" w14:textId="77777777" w:rsidR="004A5A3C" w:rsidRPr="00E4769C" w:rsidRDefault="004A5A3C" w:rsidP="004A5A3C">
            <w:pPr>
              <w:rPr>
                <w:rFonts w:ascii="Arial" w:hAnsi="Arial" w:cs="Arial"/>
                <w:sz w:val="18"/>
                <w:szCs w:val="18"/>
              </w:rPr>
            </w:pPr>
            <w:r w:rsidRPr="0080364A">
              <w:rPr>
                <w:rFonts w:ascii="Arial" w:hAnsi="Arial" w:cs="Arial"/>
                <w:sz w:val="18"/>
                <w:szCs w:val="18"/>
              </w:rPr>
              <w:t xml:space="preserve">Net finance </w:t>
            </w:r>
            <w:r>
              <w:rPr>
                <w:rFonts w:ascii="Arial" w:hAnsi="Arial" w:cs="Arial"/>
                <w:sz w:val="18"/>
                <w:szCs w:val="18"/>
              </w:rPr>
              <w:t>costs</w:t>
            </w:r>
          </w:p>
        </w:tc>
        <w:tc>
          <w:tcPr>
            <w:tcW w:w="698" w:type="pct"/>
            <w:tcBorders>
              <w:top w:val="nil"/>
              <w:left w:val="nil"/>
              <w:bottom w:val="single" w:sz="4" w:space="0" w:color="auto"/>
              <w:right w:val="nil"/>
            </w:tcBorders>
            <w:shd w:val="clear" w:color="auto" w:fill="auto"/>
            <w:noWrap/>
            <w:vAlign w:val="bottom"/>
          </w:tcPr>
          <w:p w14:paraId="459BAA3A" w14:textId="77777777" w:rsidR="004A5A3C" w:rsidRPr="004A5A3C" w:rsidRDefault="004A5A3C" w:rsidP="004A5A3C">
            <w:pPr>
              <w:jc w:val="right"/>
              <w:rPr>
                <w:rFonts w:ascii="Arial" w:hAnsi="Arial" w:cs="Arial"/>
                <w:sz w:val="18"/>
                <w:szCs w:val="18"/>
              </w:rPr>
            </w:pPr>
          </w:p>
        </w:tc>
        <w:tc>
          <w:tcPr>
            <w:tcW w:w="438" w:type="pct"/>
            <w:tcBorders>
              <w:top w:val="nil"/>
              <w:left w:val="nil"/>
              <w:bottom w:val="single" w:sz="4" w:space="0" w:color="auto"/>
              <w:right w:val="nil"/>
            </w:tcBorders>
            <w:shd w:val="clear" w:color="auto" w:fill="auto"/>
            <w:noWrap/>
            <w:vAlign w:val="bottom"/>
          </w:tcPr>
          <w:p w14:paraId="7FDE3CCC" w14:textId="77777777" w:rsidR="004A5A3C" w:rsidRPr="004A5A3C" w:rsidRDefault="004A5A3C" w:rsidP="004A5A3C">
            <w:pPr>
              <w:jc w:val="right"/>
              <w:rPr>
                <w:rFonts w:ascii="Arial" w:hAnsi="Arial" w:cs="Arial"/>
                <w:sz w:val="18"/>
                <w:szCs w:val="18"/>
              </w:rPr>
            </w:pPr>
          </w:p>
        </w:tc>
        <w:tc>
          <w:tcPr>
            <w:tcW w:w="458" w:type="pct"/>
            <w:tcBorders>
              <w:top w:val="nil"/>
              <w:left w:val="nil"/>
              <w:bottom w:val="single" w:sz="4" w:space="0" w:color="auto"/>
              <w:right w:val="nil"/>
            </w:tcBorders>
            <w:shd w:val="clear" w:color="auto" w:fill="auto"/>
            <w:noWrap/>
            <w:vAlign w:val="bottom"/>
          </w:tcPr>
          <w:p w14:paraId="0BCF5420" w14:textId="77777777" w:rsidR="004A5A3C" w:rsidRPr="004A5A3C" w:rsidRDefault="004A5A3C" w:rsidP="004A5A3C">
            <w:pPr>
              <w:jc w:val="right"/>
              <w:rPr>
                <w:rFonts w:ascii="Arial" w:hAnsi="Arial" w:cs="Arial"/>
                <w:sz w:val="18"/>
                <w:szCs w:val="18"/>
              </w:rPr>
            </w:pPr>
          </w:p>
        </w:tc>
        <w:tc>
          <w:tcPr>
            <w:tcW w:w="443" w:type="pct"/>
            <w:tcBorders>
              <w:top w:val="nil"/>
              <w:left w:val="nil"/>
              <w:bottom w:val="single" w:sz="4" w:space="0" w:color="auto"/>
              <w:right w:val="nil"/>
            </w:tcBorders>
            <w:shd w:val="clear" w:color="auto" w:fill="auto"/>
            <w:noWrap/>
            <w:vAlign w:val="bottom"/>
          </w:tcPr>
          <w:p w14:paraId="2BDB0666" w14:textId="77777777" w:rsidR="004A5A3C" w:rsidRPr="004A5A3C" w:rsidRDefault="004A5A3C" w:rsidP="004A5A3C">
            <w:pPr>
              <w:jc w:val="right"/>
              <w:rPr>
                <w:rFonts w:ascii="Arial" w:hAnsi="Arial" w:cs="Arial"/>
                <w:sz w:val="18"/>
                <w:szCs w:val="18"/>
              </w:rPr>
            </w:pPr>
          </w:p>
        </w:tc>
        <w:tc>
          <w:tcPr>
            <w:tcW w:w="439" w:type="pct"/>
            <w:tcBorders>
              <w:top w:val="nil"/>
              <w:left w:val="nil"/>
              <w:bottom w:val="single" w:sz="4" w:space="0" w:color="auto"/>
              <w:right w:val="nil"/>
            </w:tcBorders>
            <w:shd w:val="clear" w:color="auto" w:fill="auto"/>
            <w:noWrap/>
            <w:vAlign w:val="bottom"/>
          </w:tcPr>
          <w:p w14:paraId="0C91486E"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(3)</w:t>
            </w:r>
          </w:p>
        </w:tc>
      </w:tr>
      <w:tr w:rsidR="004A5A3C" w14:paraId="7991D72D" w14:textId="77777777" w:rsidTr="0011516C">
        <w:trPr>
          <w:gridAfter w:val="1"/>
          <w:wAfter w:w="8" w:type="pct"/>
          <w:trHeight w:val="240"/>
        </w:trPr>
        <w:tc>
          <w:tcPr>
            <w:tcW w:w="2516" w:type="pct"/>
            <w:tcBorders>
              <w:top w:val="single" w:sz="4" w:space="0" w:color="auto"/>
              <w:left w:val="nil"/>
              <w:bottom w:val="single" w:sz="12" w:space="0" w:color="auto"/>
              <w:right w:val="nil"/>
            </w:tcBorders>
            <w:shd w:val="clear" w:color="auto" w:fill="auto"/>
            <w:vAlign w:val="bottom"/>
          </w:tcPr>
          <w:p w14:paraId="236C6408" w14:textId="77777777" w:rsidR="004A5A3C" w:rsidRPr="00E4769C" w:rsidRDefault="004A5A3C" w:rsidP="004A5A3C">
            <w:pPr>
              <w:rPr>
                <w:rFonts w:ascii="Arial" w:hAnsi="Arial" w:cs="Arial"/>
                <w:sz w:val="18"/>
                <w:szCs w:val="18"/>
              </w:rPr>
            </w:pPr>
            <w:r w:rsidRPr="00024F35">
              <w:rPr>
                <w:rFonts w:ascii="Arial" w:hAnsi="Arial" w:cs="Arial"/>
                <w:b/>
                <w:bCs/>
                <w:sz w:val="18"/>
                <w:szCs w:val="18"/>
              </w:rPr>
              <w:t>Profit before taxation</w:t>
            </w:r>
          </w:p>
        </w:tc>
        <w:tc>
          <w:tcPr>
            <w:tcW w:w="698" w:type="pct"/>
            <w:tcBorders>
              <w:top w:val="single" w:sz="4" w:space="0" w:color="auto"/>
              <w:left w:val="nil"/>
              <w:bottom w:val="single" w:sz="12" w:space="0" w:color="auto"/>
              <w:right w:val="nil"/>
            </w:tcBorders>
            <w:shd w:val="clear" w:color="auto" w:fill="auto"/>
            <w:noWrap/>
            <w:vAlign w:val="bottom"/>
          </w:tcPr>
          <w:p w14:paraId="1046512A" w14:textId="77777777" w:rsidR="004A5A3C" w:rsidRPr="004A5A3C" w:rsidRDefault="004A5A3C" w:rsidP="004A5A3C">
            <w:pPr>
              <w:jc w:val="right"/>
              <w:rPr>
                <w:rFonts w:ascii="Arial" w:hAnsi="Arial" w:cs="Arial"/>
                <w:bCs/>
                <w:sz w:val="18"/>
                <w:szCs w:val="18"/>
              </w:rPr>
            </w:pPr>
          </w:p>
        </w:tc>
        <w:tc>
          <w:tcPr>
            <w:tcW w:w="438" w:type="pct"/>
            <w:tcBorders>
              <w:top w:val="single" w:sz="4" w:space="0" w:color="auto"/>
              <w:left w:val="nil"/>
              <w:bottom w:val="single" w:sz="12" w:space="0" w:color="auto"/>
              <w:right w:val="nil"/>
            </w:tcBorders>
            <w:shd w:val="clear" w:color="auto" w:fill="auto"/>
            <w:noWrap/>
            <w:vAlign w:val="bottom"/>
          </w:tcPr>
          <w:p w14:paraId="74A46BF5" w14:textId="77777777" w:rsidR="004A5A3C" w:rsidRPr="004A5A3C" w:rsidRDefault="004A5A3C" w:rsidP="004A5A3C">
            <w:pPr>
              <w:jc w:val="right"/>
              <w:rPr>
                <w:rFonts w:ascii="Arial" w:hAnsi="Arial" w:cs="Arial"/>
                <w:bCs/>
                <w:sz w:val="18"/>
                <w:szCs w:val="18"/>
              </w:rPr>
            </w:pPr>
          </w:p>
        </w:tc>
        <w:tc>
          <w:tcPr>
            <w:tcW w:w="458" w:type="pct"/>
            <w:tcBorders>
              <w:top w:val="single" w:sz="4" w:space="0" w:color="auto"/>
              <w:left w:val="nil"/>
              <w:bottom w:val="single" w:sz="12" w:space="0" w:color="auto"/>
              <w:right w:val="nil"/>
            </w:tcBorders>
            <w:shd w:val="clear" w:color="auto" w:fill="auto"/>
            <w:noWrap/>
            <w:vAlign w:val="bottom"/>
          </w:tcPr>
          <w:p w14:paraId="62CE7C94" w14:textId="77777777" w:rsidR="004A5A3C" w:rsidRPr="004A5A3C" w:rsidRDefault="004A5A3C" w:rsidP="004A5A3C">
            <w:pPr>
              <w:jc w:val="right"/>
              <w:rPr>
                <w:rFonts w:ascii="Arial" w:hAnsi="Arial" w:cs="Arial"/>
                <w:bCs/>
                <w:sz w:val="18"/>
                <w:szCs w:val="18"/>
              </w:rPr>
            </w:pPr>
          </w:p>
        </w:tc>
        <w:tc>
          <w:tcPr>
            <w:tcW w:w="443" w:type="pct"/>
            <w:tcBorders>
              <w:top w:val="single" w:sz="4" w:space="0" w:color="auto"/>
              <w:left w:val="nil"/>
              <w:bottom w:val="single" w:sz="12" w:space="0" w:color="auto"/>
              <w:right w:val="nil"/>
            </w:tcBorders>
            <w:shd w:val="clear" w:color="auto" w:fill="auto"/>
            <w:noWrap/>
            <w:vAlign w:val="bottom"/>
          </w:tcPr>
          <w:p w14:paraId="268E2D3B" w14:textId="77777777" w:rsidR="004A5A3C" w:rsidRPr="004A5A3C" w:rsidRDefault="004A5A3C" w:rsidP="004A5A3C">
            <w:pPr>
              <w:jc w:val="right"/>
              <w:rPr>
                <w:rFonts w:ascii="Arial" w:hAnsi="Arial" w:cs="Arial"/>
                <w:bCs/>
                <w:sz w:val="18"/>
                <w:szCs w:val="18"/>
              </w:rPr>
            </w:pPr>
          </w:p>
        </w:tc>
        <w:tc>
          <w:tcPr>
            <w:tcW w:w="439" w:type="pct"/>
            <w:tcBorders>
              <w:top w:val="single" w:sz="4" w:space="0" w:color="auto"/>
              <w:left w:val="nil"/>
              <w:bottom w:val="single" w:sz="12" w:space="0" w:color="auto"/>
              <w:right w:val="nil"/>
            </w:tcBorders>
            <w:shd w:val="clear" w:color="auto" w:fill="auto"/>
            <w:noWrap/>
            <w:vAlign w:val="bottom"/>
          </w:tcPr>
          <w:p w14:paraId="376A06C0" w14:textId="77777777" w:rsidR="004A5A3C" w:rsidRPr="004A5A3C" w:rsidRDefault="004A5A3C" w:rsidP="004A5A3C">
            <w:pPr>
              <w:jc w:val="right"/>
              <w:rPr>
                <w:rFonts w:ascii="Arial" w:hAnsi="Arial" w:cs="Arial"/>
                <w:bCs/>
                <w:sz w:val="18"/>
                <w:szCs w:val="18"/>
              </w:rPr>
            </w:pPr>
            <w:r w:rsidRPr="004A5A3C">
              <w:rPr>
                <w:rFonts w:ascii="Arial" w:hAnsi="Arial" w:cs="Arial"/>
                <w:bCs/>
                <w:sz w:val="18"/>
                <w:szCs w:val="18"/>
              </w:rPr>
              <w:t>682</w:t>
            </w:r>
          </w:p>
        </w:tc>
      </w:tr>
    </w:tbl>
    <w:p w14:paraId="6AF8DAF9" w14:textId="77777777" w:rsidR="007331A9" w:rsidRPr="009D3BC9" w:rsidRDefault="007331A9" w:rsidP="009D3BC9">
      <w:pPr>
        <w:jc w:val="both"/>
        <w:rPr>
          <w:rFonts w:ascii="Arial" w:hAnsi="Arial" w:cs="Arial"/>
          <w:sz w:val="18"/>
          <w:szCs w:val="18"/>
        </w:rPr>
      </w:pPr>
    </w:p>
    <w:p w14:paraId="67F56596" w14:textId="77777777" w:rsidR="009D3BC9" w:rsidRPr="009D3BC9" w:rsidRDefault="009D3BC9" w:rsidP="00FA21A3">
      <w:pPr>
        <w:jc w:val="both"/>
        <w:rPr>
          <w:rFonts w:ascii="Arial" w:hAnsi="Arial" w:cs="Arial"/>
          <w:sz w:val="18"/>
          <w:szCs w:val="18"/>
        </w:rPr>
      </w:pPr>
      <w:r w:rsidRPr="009D3BC9">
        <w:rPr>
          <w:rFonts w:ascii="Arial" w:hAnsi="Arial" w:cs="Arial"/>
          <w:sz w:val="18"/>
          <w:szCs w:val="18"/>
        </w:rPr>
        <w:t>The operating segments disclosed above are based on the information reported internally to the Board of Directors and Group Executive</w:t>
      </w:r>
      <w:r w:rsidR="001B59D5">
        <w:rPr>
          <w:rFonts w:ascii="Arial" w:hAnsi="Arial" w:cs="Arial"/>
          <w:sz w:val="18"/>
          <w:szCs w:val="18"/>
        </w:rPr>
        <w:t xml:space="preserve">, representing the </w:t>
      </w:r>
      <w:r w:rsidRPr="009D3BC9">
        <w:rPr>
          <w:rFonts w:ascii="Arial" w:hAnsi="Arial" w:cs="Arial"/>
          <w:sz w:val="18"/>
          <w:szCs w:val="18"/>
        </w:rPr>
        <w:t>geographical areas in which the Group operates. The Group only has one business segment being the supply of home improvement products and services.</w:t>
      </w:r>
    </w:p>
    <w:p w14:paraId="4C471152" w14:textId="77777777" w:rsidR="009D3BC9" w:rsidRPr="009D3BC9" w:rsidRDefault="009D3BC9" w:rsidP="00FA21A3">
      <w:pPr>
        <w:jc w:val="both"/>
        <w:rPr>
          <w:rFonts w:ascii="Arial" w:hAnsi="Arial" w:cs="Arial"/>
          <w:sz w:val="18"/>
          <w:szCs w:val="18"/>
        </w:rPr>
      </w:pPr>
    </w:p>
    <w:p w14:paraId="5D704ADB" w14:textId="77777777" w:rsidR="009D3BC9" w:rsidRPr="009D3BC9" w:rsidRDefault="009D3BC9" w:rsidP="00FA21A3">
      <w:pPr>
        <w:jc w:val="both"/>
        <w:rPr>
          <w:rFonts w:ascii="Arial" w:hAnsi="Arial" w:cs="Arial"/>
          <w:sz w:val="18"/>
          <w:szCs w:val="18"/>
        </w:rPr>
      </w:pPr>
      <w:r w:rsidRPr="009D3BC9">
        <w:rPr>
          <w:rFonts w:ascii="Arial" w:hAnsi="Arial" w:cs="Arial"/>
          <w:sz w:val="18"/>
          <w:szCs w:val="18"/>
        </w:rPr>
        <w:t xml:space="preserve">The ‘Other International’ segment consists of Poland, Spain, Portugal, Germany, Russia, Romania and the joint venture </w:t>
      </w:r>
      <w:r w:rsidR="00384C70" w:rsidRPr="00384C70">
        <w:rPr>
          <w:rFonts w:ascii="Arial" w:hAnsi="Arial" w:cs="Arial"/>
          <w:sz w:val="18"/>
          <w:szCs w:val="18"/>
        </w:rPr>
        <w:t>Koçtaş</w:t>
      </w:r>
      <w:r w:rsidRPr="009D3BC9">
        <w:rPr>
          <w:rFonts w:ascii="Arial" w:hAnsi="Arial" w:cs="Arial"/>
          <w:sz w:val="18"/>
          <w:szCs w:val="18"/>
        </w:rPr>
        <w:t xml:space="preserve"> in Turkey. Poland has been shown separately due to its significance.</w:t>
      </w:r>
    </w:p>
    <w:p w14:paraId="37F4AC1E" w14:textId="77777777" w:rsidR="009D3BC9" w:rsidRPr="009D3BC9" w:rsidRDefault="009D3BC9" w:rsidP="00FA21A3">
      <w:pPr>
        <w:jc w:val="both"/>
        <w:rPr>
          <w:rFonts w:ascii="Arial" w:hAnsi="Arial" w:cs="Arial"/>
          <w:sz w:val="18"/>
          <w:szCs w:val="18"/>
        </w:rPr>
      </w:pPr>
    </w:p>
    <w:p w14:paraId="407BDEB4" w14:textId="5F31AF6B" w:rsidR="001F5B32" w:rsidRDefault="001F5B32" w:rsidP="00FA21A3">
      <w:pPr>
        <w:jc w:val="both"/>
        <w:rPr>
          <w:rFonts w:ascii="Arial" w:hAnsi="Arial" w:cs="Arial"/>
          <w:bCs/>
          <w:sz w:val="18"/>
          <w:szCs w:val="18"/>
        </w:rPr>
      </w:pPr>
      <w:r w:rsidRPr="00EF1091">
        <w:rPr>
          <w:rFonts w:ascii="Arial" w:hAnsi="Arial" w:cs="Arial"/>
          <w:bCs/>
          <w:sz w:val="18"/>
          <w:szCs w:val="18"/>
        </w:rPr>
        <w:t xml:space="preserve">Central </w:t>
      </w:r>
      <w:r>
        <w:rPr>
          <w:rFonts w:ascii="Arial" w:hAnsi="Arial" w:cs="Arial"/>
          <w:bCs/>
          <w:sz w:val="18"/>
          <w:szCs w:val="18"/>
        </w:rPr>
        <w:t>costs principally comprise</w:t>
      </w:r>
      <w:r w:rsidRPr="00EF1091">
        <w:rPr>
          <w:rFonts w:ascii="Arial" w:hAnsi="Arial" w:cs="Arial"/>
          <w:bCs/>
          <w:sz w:val="18"/>
          <w:szCs w:val="18"/>
        </w:rPr>
        <w:t xml:space="preserve"> the </w:t>
      </w:r>
      <w:r>
        <w:rPr>
          <w:rFonts w:ascii="Arial" w:hAnsi="Arial" w:cs="Arial"/>
          <w:bCs/>
          <w:sz w:val="18"/>
          <w:szCs w:val="18"/>
        </w:rPr>
        <w:t>costs of the Group’s h</w:t>
      </w:r>
      <w:r w:rsidRPr="00EF1091">
        <w:rPr>
          <w:rFonts w:ascii="Arial" w:hAnsi="Arial" w:cs="Arial"/>
          <w:bCs/>
          <w:sz w:val="18"/>
          <w:szCs w:val="18"/>
        </w:rPr>
        <w:t xml:space="preserve">ead </w:t>
      </w:r>
      <w:r>
        <w:rPr>
          <w:rFonts w:ascii="Arial" w:hAnsi="Arial" w:cs="Arial"/>
          <w:bCs/>
          <w:sz w:val="18"/>
          <w:szCs w:val="18"/>
        </w:rPr>
        <w:t>o</w:t>
      </w:r>
      <w:r w:rsidRPr="00EF1091">
        <w:rPr>
          <w:rFonts w:ascii="Arial" w:hAnsi="Arial" w:cs="Arial"/>
          <w:bCs/>
          <w:sz w:val="18"/>
          <w:szCs w:val="18"/>
        </w:rPr>
        <w:t>ffice</w:t>
      </w:r>
      <w:r>
        <w:rPr>
          <w:rFonts w:ascii="Arial" w:hAnsi="Arial" w:cs="Arial"/>
          <w:bCs/>
          <w:sz w:val="18"/>
          <w:szCs w:val="18"/>
        </w:rPr>
        <w:t xml:space="preserve"> before transformation costs</w:t>
      </w:r>
      <w:r w:rsidR="00124396">
        <w:rPr>
          <w:rFonts w:ascii="Arial" w:hAnsi="Arial" w:cs="Arial"/>
          <w:bCs/>
          <w:sz w:val="18"/>
          <w:szCs w:val="18"/>
        </w:rPr>
        <w:t xml:space="preserve"> and exceptional items</w:t>
      </w:r>
      <w:r w:rsidRPr="00EF1091">
        <w:rPr>
          <w:rFonts w:ascii="Arial" w:hAnsi="Arial" w:cs="Arial"/>
          <w:bCs/>
          <w:sz w:val="18"/>
          <w:szCs w:val="18"/>
        </w:rPr>
        <w:t>.</w:t>
      </w:r>
    </w:p>
    <w:p w14:paraId="6B1B7721" w14:textId="77777777" w:rsidR="00EA2B1A" w:rsidRDefault="00EA2B1A" w:rsidP="00FA21A3">
      <w:pPr>
        <w:jc w:val="both"/>
        <w:rPr>
          <w:rFonts w:ascii="Arial" w:hAnsi="Arial" w:cs="Arial"/>
          <w:bCs/>
          <w:sz w:val="18"/>
          <w:szCs w:val="18"/>
        </w:rPr>
      </w:pPr>
    </w:p>
    <w:p w14:paraId="17B621BB" w14:textId="77777777" w:rsidR="00EA2B1A" w:rsidRPr="00FA21A3" w:rsidRDefault="00EA2B1A" w:rsidP="00FA21A3">
      <w:pPr>
        <w:jc w:val="both"/>
        <w:rPr>
          <w:rFonts w:ascii="Arial" w:hAnsi="Arial" w:cs="Arial"/>
          <w:sz w:val="18"/>
          <w:szCs w:val="18"/>
        </w:rPr>
      </w:pPr>
      <w:bookmarkStart w:id="6" w:name="_Hlk2080844"/>
      <w:r w:rsidRPr="00FA21A3">
        <w:rPr>
          <w:rFonts w:ascii="Arial" w:hAnsi="Arial" w:cs="Arial"/>
          <w:sz w:val="18"/>
          <w:szCs w:val="18"/>
        </w:rPr>
        <w:t>Transformation costs before exceptional items principally relate to the unified and unique offer range implementation and the digital strategic pillar, with £</w:t>
      </w:r>
      <w:r w:rsidR="00245B7E">
        <w:rPr>
          <w:rFonts w:ascii="Arial" w:hAnsi="Arial" w:cs="Arial"/>
          <w:sz w:val="18"/>
          <w:szCs w:val="18"/>
        </w:rPr>
        <w:t>4</w:t>
      </w:r>
      <w:r w:rsidR="005F6F30">
        <w:rPr>
          <w:rFonts w:ascii="Arial" w:hAnsi="Arial" w:cs="Arial"/>
          <w:sz w:val="18"/>
          <w:szCs w:val="18"/>
        </w:rPr>
        <w:t>7</w:t>
      </w:r>
      <w:r w:rsidRPr="00FA21A3">
        <w:rPr>
          <w:rFonts w:ascii="Arial" w:hAnsi="Arial" w:cs="Arial"/>
          <w:sz w:val="18"/>
          <w:szCs w:val="18"/>
        </w:rPr>
        <w:t>m (201</w:t>
      </w:r>
      <w:r w:rsidR="004A5A3C">
        <w:rPr>
          <w:rFonts w:ascii="Arial" w:hAnsi="Arial" w:cs="Arial"/>
          <w:sz w:val="18"/>
          <w:szCs w:val="18"/>
        </w:rPr>
        <w:t>7</w:t>
      </w:r>
      <w:r w:rsidRPr="00FA21A3">
        <w:rPr>
          <w:rFonts w:ascii="Arial" w:hAnsi="Arial" w:cs="Arial"/>
          <w:sz w:val="18"/>
          <w:szCs w:val="18"/>
        </w:rPr>
        <w:t>/1</w:t>
      </w:r>
      <w:r w:rsidR="004A5A3C">
        <w:rPr>
          <w:rFonts w:ascii="Arial" w:hAnsi="Arial" w:cs="Arial"/>
          <w:sz w:val="18"/>
          <w:szCs w:val="18"/>
        </w:rPr>
        <w:t>8</w:t>
      </w:r>
      <w:r w:rsidRPr="00FA21A3">
        <w:rPr>
          <w:rFonts w:ascii="Arial" w:hAnsi="Arial" w:cs="Arial"/>
          <w:sz w:val="18"/>
          <w:szCs w:val="18"/>
        </w:rPr>
        <w:t>: £</w:t>
      </w:r>
      <w:r w:rsidR="004A5A3C">
        <w:rPr>
          <w:rFonts w:ascii="Arial" w:hAnsi="Arial" w:cs="Arial"/>
          <w:sz w:val="18"/>
          <w:szCs w:val="18"/>
        </w:rPr>
        <w:t>42</w:t>
      </w:r>
      <w:r w:rsidRPr="00FA21A3">
        <w:rPr>
          <w:rFonts w:ascii="Arial" w:hAnsi="Arial" w:cs="Arial"/>
          <w:sz w:val="18"/>
          <w:szCs w:val="18"/>
        </w:rPr>
        <w:t>m) included within selling and distribution expenses and £</w:t>
      </w:r>
      <w:r w:rsidR="00245B7E">
        <w:rPr>
          <w:rFonts w:ascii="Arial" w:hAnsi="Arial" w:cs="Arial"/>
          <w:sz w:val="18"/>
          <w:szCs w:val="18"/>
        </w:rPr>
        <w:t>7</w:t>
      </w:r>
      <w:r w:rsidR="005F6F30">
        <w:rPr>
          <w:rFonts w:ascii="Arial" w:hAnsi="Arial" w:cs="Arial"/>
          <w:sz w:val="18"/>
          <w:szCs w:val="18"/>
        </w:rPr>
        <w:t>3</w:t>
      </w:r>
      <w:r w:rsidRPr="00FA21A3">
        <w:rPr>
          <w:rFonts w:ascii="Arial" w:hAnsi="Arial" w:cs="Arial"/>
          <w:sz w:val="18"/>
          <w:szCs w:val="18"/>
        </w:rPr>
        <w:t>m (201</w:t>
      </w:r>
      <w:r w:rsidR="004A5A3C">
        <w:rPr>
          <w:rFonts w:ascii="Arial" w:hAnsi="Arial" w:cs="Arial"/>
          <w:sz w:val="18"/>
          <w:szCs w:val="18"/>
        </w:rPr>
        <w:t>7</w:t>
      </w:r>
      <w:r w:rsidRPr="00FA21A3">
        <w:rPr>
          <w:rFonts w:ascii="Arial" w:hAnsi="Arial" w:cs="Arial"/>
          <w:sz w:val="18"/>
          <w:szCs w:val="18"/>
        </w:rPr>
        <w:t>/1</w:t>
      </w:r>
      <w:r w:rsidR="004A5A3C">
        <w:rPr>
          <w:rFonts w:ascii="Arial" w:hAnsi="Arial" w:cs="Arial"/>
          <w:sz w:val="18"/>
          <w:szCs w:val="18"/>
        </w:rPr>
        <w:t>8</w:t>
      </w:r>
      <w:r w:rsidRPr="00FA21A3">
        <w:rPr>
          <w:rFonts w:ascii="Arial" w:hAnsi="Arial" w:cs="Arial"/>
          <w:sz w:val="18"/>
          <w:szCs w:val="18"/>
        </w:rPr>
        <w:t>: £</w:t>
      </w:r>
      <w:r w:rsidR="004A5A3C">
        <w:rPr>
          <w:rFonts w:ascii="Arial" w:hAnsi="Arial" w:cs="Arial"/>
          <w:sz w:val="18"/>
          <w:szCs w:val="18"/>
        </w:rPr>
        <w:t>72</w:t>
      </w:r>
      <w:r w:rsidRPr="00FA21A3">
        <w:rPr>
          <w:rFonts w:ascii="Arial" w:hAnsi="Arial" w:cs="Arial"/>
          <w:sz w:val="18"/>
          <w:szCs w:val="18"/>
        </w:rPr>
        <w:t>m) included within administrative expenses.</w:t>
      </w:r>
    </w:p>
    <w:bookmarkEnd w:id="6"/>
    <w:p w14:paraId="4138B669" w14:textId="77777777" w:rsidR="00EA2B1A" w:rsidRDefault="00EA2B1A" w:rsidP="001F5B32">
      <w:pPr>
        <w:rPr>
          <w:rFonts w:ascii="Arial" w:hAnsi="Arial" w:cs="Arial"/>
          <w:bCs/>
          <w:sz w:val="18"/>
          <w:szCs w:val="18"/>
        </w:rPr>
      </w:pPr>
    </w:p>
    <w:p w14:paraId="37BAABD1" w14:textId="77777777" w:rsidR="00C62B0C" w:rsidRDefault="00C62B0C" w:rsidP="001F5B32">
      <w:pPr>
        <w:rPr>
          <w:rFonts w:ascii="Arial" w:hAnsi="Arial" w:cs="Arial"/>
          <w:bCs/>
          <w:sz w:val="18"/>
          <w:szCs w:val="18"/>
        </w:rPr>
      </w:pPr>
    </w:p>
    <w:p w14:paraId="0F5E4A52" w14:textId="77777777" w:rsidR="00B6538D" w:rsidRPr="00690302" w:rsidRDefault="00B6538D" w:rsidP="00BA0967">
      <w:pPr>
        <w:jc w:val="both"/>
        <w:rPr>
          <w:rFonts w:ascii="Arial" w:hAnsi="Arial" w:cs="Arial"/>
          <w:sz w:val="18"/>
          <w:szCs w:val="18"/>
        </w:rPr>
      </w:pPr>
    </w:p>
    <w:p w14:paraId="2F55D3A7" w14:textId="77777777" w:rsidR="0088762F" w:rsidRDefault="00063243" w:rsidP="00BA0967">
      <w:pPr>
        <w:pStyle w:val="Heading1"/>
        <w:ind w:left="-456"/>
        <w:jc w:val="both"/>
        <w:rPr>
          <w:rFonts w:ascii="Arial" w:hAnsi="Arial" w:cs="Arial"/>
          <w:b w:val="0"/>
          <w:bCs/>
          <w:szCs w:val="18"/>
        </w:rPr>
      </w:pPr>
      <w:r>
        <w:rPr>
          <w:rFonts w:ascii="Arial" w:hAnsi="Arial" w:cs="Arial"/>
          <w:b w:val="0"/>
          <w:bCs/>
          <w:szCs w:val="18"/>
        </w:rPr>
        <w:br w:type="page"/>
      </w:r>
    </w:p>
    <w:p w14:paraId="0AA5796D" w14:textId="77777777" w:rsidR="00DC25B4" w:rsidRPr="00FE7604" w:rsidRDefault="00F764F7" w:rsidP="00FE7604">
      <w:pPr>
        <w:pStyle w:val="Heading1"/>
        <w:ind w:left="-456"/>
        <w:rPr>
          <w:rFonts w:ascii="Arial" w:hAnsi="Arial" w:cs="Arial"/>
          <w:szCs w:val="18"/>
        </w:rPr>
      </w:pPr>
      <w:r w:rsidRPr="002C7BBF">
        <w:rPr>
          <w:rFonts w:ascii="Arial" w:hAnsi="Arial" w:cs="Arial"/>
          <w:szCs w:val="18"/>
        </w:rPr>
        <w:lastRenderedPageBreak/>
        <w:t>4</w:t>
      </w:r>
      <w:r w:rsidR="00FE7604" w:rsidRPr="002C7BBF">
        <w:rPr>
          <w:rFonts w:ascii="Arial" w:hAnsi="Arial" w:cs="Arial"/>
          <w:b w:val="0"/>
          <w:szCs w:val="18"/>
        </w:rPr>
        <w:tab/>
      </w:r>
      <w:bookmarkStart w:id="7" w:name="_Hlk2691512"/>
      <w:r w:rsidR="00DC25B4" w:rsidRPr="002C7BBF">
        <w:rPr>
          <w:rFonts w:ascii="Arial" w:hAnsi="Arial" w:cs="Arial"/>
          <w:szCs w:val="18"/>
        </w:rPr>
        <w:t>Exceptional items</w:t>
      </w:r>
      <w:r w:rsidR="00DC25B4" w:rsidRPr="00FE7604">
        <w:rPr>
          <w:rFonts w:ascii="Arial" w:hAnsi="Arial" w:cs="Arial"/>
          <w:szCs w:val="18"/>
        </w:rPr>
        <w:t xml:space="preserve"> </w:t>
      </w:r>
    </w:p>
    <w:p w14:paraId="092FF037" w14:textId="77777777" w:rsidR="00DC25B4" w:rsidRDefault="00DC25B4">
      <w:pPr>
        <w:pStyle w:val="BodyText3"/>
        <w:rPr>
          <w:rFonts w:ascii="Arial" w:hAnsi="Arial" w:cs="Arial"/>
          <w:color w:val="auto"/>
          <w:szCs w:val="18"/>
        </w:rPr>
      </w:pPr>
    </w:p>
    <w:tbl>
      <w:tblPr>
        <w:tblW w:w="5015" w:type="pct"/>
        <w:tblLook w:val="0000" w:firstRow="0" w:lastRow="0" w:firstColumn="0" w:lastColumn="0" w:noHBand="0" w:noVBand="0"/>
      </w:tblPr>
      <w:tblGrid>
        <w:gridCol w:w="7067"/>
        <w:gridCol w:w="1118"/>
        <w:gridCol w:w="1483"/>
      </w:tblGrid>
      <w:tr w:rsidR="00F84270" w14:paraId="3960BDF2" w14:textId="77777777" w:rsidTr="00281AF4">
        <w:trPr>
          <w:trHeight w:val="238"/>
        </w:trPr>
        <w:tc>
          <w:tcPr>
            <w:tcW w:w="3655" w:type="pct"/>
            <w:tcBorders>
              <w:top w:val="nil"/>
              <w:left w:val="nil"/>
              <w:bottom w:val="single" w:sz="4" w:space="0" w:color="auto"/>
              <w:right w:val="nil"/>
            </w:tcBorders>
            <w:shd w:val="clear" w:color="auto" w:fill="auto"/>
            <w:noWrap/>
            <w:vAlign w:val="bottom"/>
          </w:tcPr>
          <w:p w14:paraId="0F1F2881" w14:textId="77777777" w:rsidR="00F84270" w:rsidRPr="00171BB9" w:rsidRDefault="00F84270" w:rsidP="0093504B">
            <w:pPr>
              <w:rPr>
                <w:rFonts w:ascii="Arial" w:hAnsi="Arial" w:cs="Arial"/>
                <w:sz w:val="18"/>
                <w:szCs w:val="18"/>
              </w:rPr>
            </w:pPr>
            <w:r w:rsidRPr="00171BB9">
              <w:rPr>
                <w:rFonts w:ascii="Arial" w:hAnsi="Arial" w:cs="Arial"/>
                <w:sz w:val="18"/>
                <w:szCs w:val="18"/>
              </w:rPr>
              <w:t>£ millions</w:t>
            </w:r>
          </w:p>
        </w:tc>
        <w:tc>
          <w:tcPr>
            <w:tcW w:w="578" w:type="pct"/>
            <w:tcBorders>
              <w:top w:val="nil"/>
              <w:left w:val="nil"/>
              <w:bottom w:val="single" w:sz="4" w:space="0" w:color="auto"/>
              <w:right w:val="nil"/>
            </w:tcBorders>
            <w:shd w:val="clear" w:color="auto" w:fill="auto"/>
            <w:noWrap/>
            <w:vAlign w:val="bottom"/>
          </w:tcPr>
          <w:p w14:paraId="39618B05" w14:textId="77777777" w:rsidR="00F84270" w:rsidRPr="00CA4777" w:rsidRDefault="00F84270" w:rsidP="00010337">
            <w:pPr>
              <w:jc w:val="right"/>
              <w:rPr>
                <w:rFonts w:ascii="Arial" w:hAnsi="Arial" w:cs="Arial"/>
                <w:bCs/>
                <w:sz w:val="18"/>
                <w:szCs w:val="18"/>
              </w:rPr>
            </w:pPr>
            <w:r w:rsidRPr="00D83C7E">
              <w:rPr>
                <w:rFonts w:ascii="Arial" w:hAnsi="Arial" w:cs="Arial"/>
                <w:sz w:val="18"/>
                <w:szCs w:val="18"/>
              </w:rPr>
              <w:t>20</w:t>
            </w:r>
            <w:r w:rsidR="004702E4">
              <w:rPr>
                <w:rFonts w:ascii="Arial" w:hAnsi="Arial" w:cs="Arial"/>
                <w:sz w:val="18"/>
                <w:szCs w:val="18"/>
              </w:rPr>
              <w:t>1</w:t>
            </w:r>
            <w:r w:rsidR="004A5A3C">
              <w:rPr>
                <w:rFonts w:ascii="Arial" w:hAnsi="Arial" w:cs="Arial"/>
                <w:sz w:val="18"/>
                <w:szCs w:val="18"/>
              </w:rPr>
              <w:t>8</w:t>
            </w:r>
            <w:r>
              <w:rPr>
                <w:rFonts w:ascii="Arial" w:hAnsi="Arial" w:cs="Arial"/>
                <w:sz w:val="18"/>
                <w:szCs w:val="18"/>
              </w:rPr>
              <w:t>/1</w:t>
            </w:r>
            <w:r w:rsidR="004A5A3C">
              <w:rPr>
                <w:rFonts w:ascii="Arial" w:hAnsi="Arial" w:cs="Arial"/>
                <w:sz w:val="18"/>
                <w:szCs w:val="18"/>
              </w:rPr>
              <w:t>9</w:t>
            </w:r>
          </w:p>
        </w:tc>
        <w:tc>
          <w:tcPr>
            <w:tcW w:w="767" w:type="pct"/>
            <w:tcBorders>
              <w:top w:val="nil"/>
              <w:left w:val="nil"/>
              <w:bottom w:val="single" w:sz="4" w:space="0" w:color="auto"/>
              <w:right w:val="nil"/>
            </w:tcBorders>
            <w:vAlign w:val="bottom"/>
          </w:tcPr>
          <w:p w14:paraId="6E1F1475" w14:textId="77777777" w:rsidR="00F84270" w:rsidRPr="00D83C7E" w:rsidRDefault="004702E4" w:rsidP="00010337">
            <w:pPr>
              <w:jc w:val="right"/>
              <w:rPr>
                <w:rFonts w:ascii="Arial" w:hAnsi="Arial" w:cs="Arial"/>
                <w:sz w:val="18"/>
                <w:szCs w:val="18"/>
              </w:rPr>
            </w:pPr>
            <w:r w:rsidRPr="00D83C7E">
              <w:rPr>
                <w:rFonts w:ascii="Arial" w:hAnsi="Arial" w:cs="Arial"/>
                <w:sz w:val="18"/>
                <w:szCs w:val="18"/>
              </w:rPr>
              <w:t>20</w:t>
            </w:r>
            <w:r>
              <w:rPr>
                <w:rFonts w:ascii="Arial" w:hAnsi="Arial" w:cs="Arial"/>
                <w:sz w:val="18"/>
                <w:szCs w:val="18"/>
              </w:rPr>
              <w:t>1</w:t>
            </w:r>
            <w:r w:rsidR="004A5A3C">
              <w:rPr>
                <w:rFonts w:ascii="Arial" w:hAnsi="Arial" w:cs="Arial"/>
                <w:sz w:val="18"/>
                <w:szCs w:val="18"/>
              </w:rPr>
              <w:t>7</w:t>
            </w:r>
            <w:r>
              <w:rPr>
                <w:rFonts w:ascii="Arial" w:hAnsi="Arial" w:cs="Arial"/>
                <w:sz w:val="18"/>
                <w:szCs w:val="18"/>
              </w:rPr>
              <w:t>/1</w:t>
            </w:r>
            <w:r w:rsidR="004A5A3C">
              <w:rPr>
                <w:rFonts w:ascii="Arial" w:hAnsi="Arial" w:cs="Arial"/>
                <w:sz w:val="18"/>
                <w:szCs w:val="18"/>
              </w:rPr>
              <w:t>8</w:t>
            </w:r>
          </w:p>
        </w:tc>
      </w:tr>
      <w:tr w:rsidR="00F84270" w:rsidRPr="00065E22" w14:paraId="40AB262E" w14:textId="77777777" w:rsidTr="00281AF4">
        <w:trPr>
          <w:trHeight w:val="238"/>
        </w:trPr>
        <w:tc>
          <w:tcPr>
            <w:tcW w:w="3655" w:type="pct"/>
            <w:tcBorders>
              <w:left w:val="nil"/>
              <w:right w:val="nil"/>
            </w:tcBorders>
            <w:shd w:val="clear" w:color="auto" w:fill="auto"/>
            <w:noWrap/>
            <w:vAlign w:val="bottom"/>
          </w:tcPr>
          <w:p w14:paraId="4F63C70D" w14:textId="77777777" w:rsidR="00F84270" w:rsidRPr="001606EE" w:rsidRDefault="00F84270" w:rsidP="00491197">
            <w:pPr>
              <w:rPr>
                <w:rFonts w:ascii="Arial" w:hAnsi="Arial" w:cs="Arial"/>
                <w:b/>
                <w:bCs/>
                <w:sz w:val="18"/>
                <w:szCs w:val="18"/>
              </w:rPr>
            </w:pPr>
            <w:r w:rsidRPr="001606EE">
              <w:rPr>
                <w:rFonts w:ascii="Arial" w:hAnsi="Arial" w:cs="Arial"/>
                <w:b/>
                <w:bCs/>
                <w:sz w:val="18"/>
                <w:szCs w:val="18"/>
              </w:rPr>
              <w:t>Included within selling and distribution expenses</w:t>
            </w:r>
          </w:p>
        </w:tc>
        <w:tc>
          <w:tcPr>
            <w:tcW w:w="578" w:type="pct"/>
            <w:tcBorders>
              <w:left w:val="nil"/>
              <w:right w:val="nil"/>
            </w:tcBorders>
            <w:shd w:val="clear" w:color="auto" w:fill="auto"/>
            <w:noWrap/>
            <w:vAlign w:val="bottom"/>
          </w:tcPr>
          <w:p w14:paraId="41D82B45" w14:textId="77777777" w:rsidR="00F84270" w:rsidRPr="00065E22" w:rsidRDefault="00F84270" w:rsidP="0093504B">
            <w:pPr>
              <w:rPr>
                <w:rFonts w:ascii="Arial" w:hAnsi="Arial" w:cs="Arial"/>
                <w:bCs/>
                <w:i/>
                <w:sz w:val="18"/>
                <w:szCs w:val="18"/>
              </w:rPr>
            </w:pPr>
          </w:p>
        </w:tc>
        <w:tc>
          <w:tcPr>
            <w:tcW w:w="767" w:type="pct"/>
            <w:tcBorders>
              <w:left w:val="nil"/>
              <w:right w:val="nil"/>
            </w:tcBorders>
            <w:vAlign w:val="bottom"/>
          </w:tcPr>
          <w:p w14:paraId="1D00BEF9" w14:textId="77777777" w:rsidR="00F84270" w:rsidRPr="00E73540" w:rsidRDefault="00F84270" w:rsidP="00D2003E">
            <w:pPr>
              <w:rPr>
                <w:rFonts w:ascii="Arial" w:hAnsi="Arial" w:cs="Arial"/>
                <w:b/>
                <w:bCs/>
                <w:i/>
                <w:sz w:val="18"/>
                <w:szCs w:val="18"/>
              </w:rPr>
            </w:pPr>
          </w:p>
        </w:tc>
      </w:tr>
      <w:tr w:rsidR="004A5A3C" w14:paraId="1D33C966" w14:textId="77777777" w:rsidTr="00281AF4">
        <w:trPr>
          <w:trHeight w:val="238"/>
        </w:trPr>
        <w:tc>
          <w:tcPr>
            <w:tcW w:w="3655" w:type="pct"/>
            <w:tcBorders>
              <w:left w:val="nil"/>
              <w:right w:val="nil"/>
            </w:tcBorders>
            <w:shd w:val="clear" w:color="auto" w:fill="auto"/>
            <w:noWrap/>
            <w:vAlign w:val="bottom"/>
          </w:tcPr>
          <w:p w14:paraId="00E496BF" w14:textId="77777777" w:rsidR="004A5A3C" w:rsidRPr="008B0DA8" w:rsidRDefault="004A5A3C" w:rsidP="004A5A3C">
            <w:pPr>
              <w:rPr>
                <w:rFonts w:ascii="Arial" w:hAnsi="Arial" w:cs="Arial"/>
                <w:bCs/>
                <w:sz w:val="18"/>
                <w:szCs w:val="18"/>
              </w:rPr>
            </w:pPr>
            <w:r>
              <w:rPr>
                <w:rFonts w:ascii="Arial" w:hAnsi="Arial" w:cs="Arial"/>
                <w:bCs/>
                <w:sz w:val="18"/>
                <w:szCs w:val="18"/>
              </w:rPr>
              <w:t xml:space="preserve">UK &amp; Ireland and continental Europe </w:t>
            </w:r>
            <w:r w:rsidRPr="008B0DA8">
              <w:rPr>
                <w:rFonts w:ascii="Arial" w:hAnsi="Arial" w:cs="Arial"/>
                <w:bCs/>
                <w:sz w:val="18"/>
                <w:szCs w:val="18"/>
              </w:rPr>
              <w:t>restructuring</w:t>
            </w:r>
          </w:p>
        </w:tc>
        <w:tc>
          <w:tcPr>
            <w:tcW w:w="578" w:type="pct"/>
            <w:tcBorders>
              <w:left w:val="nil"/>
              <w:right w:val="nil"/>
            </w:tcBorders>
            <w:shd w:val="clear" w:color="auto" w:fill="auto"/>
            <w:noWrap/>
            <w:vAlign w:val="bottom"/>
          </w:tcPr>
          <w:p w14:paraId="5C77BD4E" w14:textId="1DFD1ED3" w:rsidR="004A5A3C" w:rsidRPr="00CA5D7D" w:rsidRDefault="00C50A56" w:rsidP="004A5A3C">
            <w:pPr>
              <w:jc w:val="right"/>
              <w:rPr>
                <w:rFonts w:ascii="Arial" w:hAnsi="Arial" w:cs="Arial"/>
                <w:b/>
                <w:bCs/>
                <w:sz w:val="18"/>
                <w:szCs w:val="18"/>
              </w:rPr>
            </w:pPr>
            <w:r w:rsidRPr="00CA5D7D">
              <w:rPr>
                <w:rFonts w:ascii="Arial" w:hAnsi="Arial" w:cs="Arial"/>
                <w:b/>
                <w:bCs/>
                <w:sz w:val="18"/>
                <w:szCs w:val="18"/>
              </w:rPr>
              <w:t>(</w:t>
            </w:r>
            <w:r w:rsidR="00C356D9">
              <w:rPr>
                <w:rFonts w:ascii="Arial" w:hAnsi="Arial" w:cs="Arial"/>
                <w:b/>
                <w:bCs/>
                <w:sz w:val="18"/>
                <w:szCs w:val="18"/>
              </w:rPr>
              <w:t>111</w:t>
            </w:r>
            <w:r w:rsidRPr="00CA5D7D">
              <w:rPr>
                <w:rFonts w:ascii="Arial" w:hAnsi="Arial" w:cs="Arial"/>
                <w:b/>
                <w:bCs/>
                <w:sz w:val="18"/>
                <w:szCs w:val="18"/>
              </w:rPr>
              <w:t>)</w:t>
            </w:r>
          </w:p>
        </w:tc>
        <w:tc>
          <w:tcPr>
            <w:tcW w:w="767" w:type="pct"/>
            <w:tcBorders>
              <w:left w:val="nil"/>
              <w:right w:val="nil"/>
            </w:tcBorders>
            <w:vAlign w:val="bottom"/>
          </w:tcPr>
          <w:p w14:paraId="78A641B6" w14:textId="77777777" w:rsidR="004A5A3C" w:rsidRPr="004A5A3C" w:rsidRDefault="004A5A3C" w:rsidP="004A5A3C">
            <w:pPr>
              <w:jc w:val="right"/>
              <w:rPr>
                <w:rFonts w:ascii="Arial" w:hAnsi="Arial" w:cs="Arial"/>
                <w:bCs/>
                <w:sz w:val="18"/>
                <w:szCs w:val="18"/>
              </w:rPr>
            </w:pPr>
            <w:r w:rsidRPr="004A5A3C">
              <w:rPr>
                <w:rFonts w:ascii="Arial" w:hAnsi="Arial" w:cs="Arial"/>
                <w:bCs/>
                <w:sz w:val="18"/>
                <w:szCs w:val="18"/>
              </w:rPr>
              <w:t>12</w:t>
            </w:r>
          </w:p>
        </w:tc>
      </w:tr>
      <w:tr w:rsidR="002E6FC0" w14:paraId="29501D2D" w14:textId="77777777" w:rsidTr="00281AF4">
        <w:trPr>
          <w:trHeight w:val="238"/>
        </w:trPr>
        <w:tc>
          <w:tcPr>
            <w:tcW w:w="3655" w:type="pct"/>
            <w:tcBorders>
              <w:left w:val="nil"/>
              <w:right w:val="nil"/>
            </w:tcBorders>
            <w:shd w:val="clear" w:color="auto" w:fill="auto"/>
            <w:noWrap/>
            <w:vAlign w:val="bottom"/>
          </w:tcPr>
          <w:p w14:paraId="66C1FF48" w14:textId="77777777" w:rsidR="002E6FC0" w:rsidRPr="004068E2" w:rsidRDefault="002E6FC0" w:rsidP="004A5A3C">
            <w:pPr>
              <w:rPr>
                <w:rFonts w:ascii="Arial" w:hAnsi="Arial" w:cs="Arial"/>
                <w:bCs/>
                <w:sz w:val="18"/>
                <w:szCs w:val="18"/>
              </w:rPr>
            </w:pPr>
            <w:r>
              <w:rPr>
                <w:rFonts w:ascii="Arial" w:hAnsi="Arial" w:cs="Arial"/>
                <w:bCs/>
                <w:sz w:val="18"/>
                <w:szCs w:val="18"/>
              </w:rPr>
              <w:t xml:space="preserve">Impairments of Russia and Iberia assets </w:t>
            </w:r>
          </w:p>
        </w:tc>
        <w:tc>
          <w:tcPr>
            <w:tcW w:w="578" w:type="pct"/>
            <w:tcBorders>
              <w:left w:val="nil"/>
              <w:right w:val="nil"/>
            </w:tcBorders>
            <w:shd w:val="clear" w:color="auto" w:fill="auto"/>
            <w:noWrap/>
            <w:vAlign w:val="bottom"/>
          </w:tcPr>
          <w:p w14:paraId="3B6B53F5" w14:textId="77777777" w:rsidR="002E6FC0" w:rsidRPr="00CA5D7D" w:rsidRDefault="002E6FC0" w:rsidP="004A5A3C">
            <w:pPr>
              <w:jc w:val="right"/>
              <w:rPr>
                <w:rFonts w:ascii="Arial" w:hAnsi="Arial" w:cs="Arial"/>
                <w:b/>
                <w:bCs/>
                <w:sz w:val="18"/>
                <w:szCs w:val="18"/>
              </w:rPr>
            </w:pPr>
            <w:r w:rsidRPr="00CA5D7D">
              <w:rPr>
                <w:rFonts w:ascii="Arial" w:hAnsi="Arial" w:cs="Arial"/>
                <w:b/>
                <w:bCs/>
                <w:sz w:val="18"/>
                <w:szCs w:val="18"/>
              </w:rPr>
              <w:t>(16)</w:t>
            </w:r>
          </w:p>
        </w:tc>
        <w:tc>
          <w:tcPr>
            <w:tcW w:w="767" w:type="pct"/>
            <w:tcBorders>
              <w:left w:val="nil"/>
              <w:right w:val="nil"/>
            </w:tcBorders>
            <w:vAlign w:val="bottom"/>
          </w:tcPr>
          <w:p w14:paraId="1F80BFF0" w14:textId="77777777" w:rsidR="002E6FC0" w:rsidRDefault="00D5348F" w:rsidP="004A5A3C">
            <w:pPr>
              <w:jc w:val="right"/>
              <w:rPr>
                <w:rFonts w:ascii="Arial" w:hAnsi="Arial" w:cs="Arial"/>
                <w:bCs/>
                <w:sz w:val="18"/>
                <w:szCs w:val="18"/>
              </w:rPr>
            </w:pPr>
            <w:r w:rsidRPr="004A5A3C">
              <w:rPr>
                <w:rFonts w:ascii="Arial" w:hAnsi="Arial" w:cs="Arial"/>
                <w:bCs/>
                <w:sz w:val="18"/>
                <w:szCs w:val="18"/>
              </w:rPr>
              <w:t>–</w:t>
            </w:r>
          </w:p>
        </w:tc>
      </w:tr>
      <w:tr w:rsidR="00C50A56" w14:paraId="667D0D5E" w14:textId="77777777" w:rsidTr="00281AF4">
        <w:trPr>
          <w:trHeight w:val="238"/>
        </w:trPr>
        <w:tc>
          <w:tcPr>
            <w:tcW w:w="3655" w:type="pct"/>
            <w:tcBorders>
              <w:left w:val="nil"/>
              <w:right w:val="nil"/>
            </w:tcBorders>
            <w:shd w:val="clear" w:color="auto" w:fill="auto"/>
            <w:noWrap/>
            <w:vAlign w:val="bottom"/>
          </w:tcPr>
          <w:p w14:paraId="017C09AA" w14:textId="77777777" w:rsidR="00C50A56" w:rsidRDefault="00C50A56" w:rsidP="004A5A3C">
            <w:pPr>
              <w:rPr>
                <w:rFonts w:ascii="Arial" w:hAnsi="Arial" w:cs="Arial"/>
                <w:bCs/>
                <w:sz w:val="18"/>
                <w:szCs w:val="18"/>
              </w:rPr>
            </w:pPr>
            <w:r>
              <w:rPr>
                <w:rFonts w:ascii="Arial" w:hAnsi="Arial" w:cs="Arial"/>
                <w:bCs/>
                <w:sz w:val="18"/>
                <w:szCs w:val="18"/>
              </w:rPr>
              <w:t>B&amp;Q store replenishment</w:t>
            </w:r>
          </w:p>
        </w:tc>
        <w:tc>
          <w:tcPr>
            <w:tcW w:w="578" w:type="pct"/>
            <w:tcBorders>
              <w:left w:val="nil"/>
              <w:right w:val="nil"/>
            </w:tcBorders>
            <w:shd w:val="clear" w:color="auto" w:fill="auto"/>
            <w:noWrap/>
            <w:vAlign w:val="bottom"/>
          </w:tcPr>
          <w:p w14:paraId="0E8B68B9" w14:textId="77777777" w:rsidR="00C50A56" w:rsidRPr="00CA5D7D" w:rsidRDefault="00C50A56" w:rsidP="004A5A3C">
            <w:pPr>
              <w:jc w:val="right"/>
              <w:rPr>
                <w:rFonts w:ascii="Arial" w:hAnsi="Arial" w:cs="Arial"/>
                <w:b/>
                <w:bCs/>
                <w:sz w:val="18"/>
                <w:szCs w:val="18"/>
              </w:rPr>
            </w:pPr>
            <w:r w:rsidRPr="00CA5D7D">
              <w:rPr>
                <w:rFonts w:ascii="Arial" w:hAnsi="Arial" w:cs="Arial"/>
                <w:b/>
                <w:bCs/>
                <w:sz w:val="18"/>
                <w:szCs w:val="18"/>
              </w:rPr>
              <w:t>(12)</w:t>
            </w:r>
          </w:p>
        </w:tc>
        <w:tc>
          <w:tcPr>
            <w:tcW w:w="767" w:type="pct"/>
            <w:tcBorders>
              <w:left w:val="nil"/>
              <w:right w:val="nil"/>
            </w:tcBorders>
            <w:vAlign w:val="bottom"/>
          </w:tcPr>
          <w:p w14:paraId="153D29E6" w14:textId="77777777" w:rsidR="00C50A56" w:rsidRPr="004A5A3C" w:rsidRDefault="00D5348F" w:rsidP="004A5A3C">
            <w:pPr>
              <w:jc w:val="right"/>
              <w:rPr>
                <w:rFonts w:ascii="Arial" w:hAnsi="Arial" w:cs="Arial"/>
                <w:bCs/>
                <w:sz w:val="18"/>
                <w:szCs w:val="18"/>
              </w:rPr>
            </w:pPr>
            <w:r w:rsidRPr="004A5A3C">
              <w:rPr>
                <w:rFonts w:ascii="Arial" w:hAnsi="Arial" w:cs="Arial"/>
                <w:bCs/>
                <w:sz w:val="18"/>
                <w:szCs w:val="18"/>
              </w:rPr>
              <w:t>–</w:t>
            </w:r>
          </w:p>
        </w:tc>
      </w:tr>
      <w:tr w:rsidR="004A5A3C" w14:paraId="2EB6F4A7" w14:textId="77777777" w:rsidTr="00281AF4">
        <w:trPr>
          <w:trHeight w:val="238"/>
        </w:trPr>
        <w:tc>
          <w:tcPr>
            <w:tcW w:w="3655" w:type="pct"/>
            <w:tcBorders>
              <w:left w:val="nil"/>
              <w:right w:val="nil"/>
            </w:tcBorders>
            <w:shd w:val="clear" w:color="auto" w:fill="auto"/>
            <w:noWrap/>
            <w:vAlign w:val="bottom"/>
          </w:tcPr>
          <w:p w14:paraId="6676C92B" w14:textId="77777777" w:rsidR="004A5A3C" w:rsidRPr="00745A92" w:rsidRDefault="004A5A3C" w:rsidP="004A5A3C">
            <w:pPr>
              <w:rPr>
                <w:rFonts w:ascii="Arial" w:hAnsi="Arial" w:cs="Arial"/>
                <w:bCs/>
                <w:sz w:val="18"/>
                <w:szCs w:val="18"/>
              </w:rPr>
            </w:pPr>
            <w:r w:rsidRPr="00745A92">
              <w:rPr>
                <w:rFonts w:ascii="Arial" w:hAnsi="Arial" w:cs="Arial"/>
                <w:bCs/>
                <w:sz w:val="18"/>
                <w:szCs w:val="18"/>
              </w:rPr>
              <w:t xml:space="preserve">Romania </w:t>
            </w:r>
            <w:r w:rsidR="00C50A56">
              <w:rPr>
                <w:rFonts w:ascii="Arial" w:hAnsi="Arial" w:cs="Arial"/>
                <w:bCs/>
                <w:sz w:val="18"/>
                <w:szCs w:val="18"/>
              </w:rPr>
              <w:t>acquisition integration</w:t>
            </w:r>
          </w:p>
        </w:tc>
        <w:tc>
          <w:tcPr>
            <w:tcW w:w="578" w:type="pct"/>
            <w:tcBorders>
              <w:left w:val="nil"/>
              <w:right w:val="nil"/>
            </w:tcBorders>
            <w:shd w:val="clear" w:color="auto" w:fill="auto"/>
            <w:noWrap/>
            <w:vAlign w:val="bottom"/>
          </w:tcPr>
          <w:p w14:paraId="76105C12" w14:textId="77777777" w:rsidR="004A5A3C" w:rsidRPr="00CA5D7D" w:rsidRDefault="00C50A56" w:rsidP="004A5A3C">
            <w:pPr>
              <w:jc w:val="right"/>
              <w:rPr>
                <w:rFonts w:ascii="Arial" w:hAnsi="Arial" w:cs="Arial"/>
                <w:b/>
                <w:bCs/>
                <w:sz w:val="18"/>
                <w:szCs w:val="18"/>
              </w:rPr>
            </w:pPr>
            <w:r w:rsidRPr="00CA5D7D">
              <w:rPr>
                <w:rFonts w:ascii="Arial" w:hAnsi="Arial" w:cs="Arial"/>
                <w:b/>
                <w:bCs/>
                <w:sz w:val="18"/>
                <w:szCs w:val="18"/>
              </w:rPr>
              <w:t>(15)</w:t>
            </w:r>
          </w:p>
        </w:tc>
        <w:tc>
          <w:tcPr>
            <w:tcW w:w="767" w:type="pct"/>
            <w:tcBorders>
              <w:left w:val="nil"/>
              <w:right w:val="nil"/>
            </w:tcBorders>
            <w:vAlign w:val="bottom"/>
          </w:tcPr>
          <w:p w14:paraId="6CA91C7E" w14:textId="77777777" w:rsidR="004A5A3C" w:rsidRPr="004A5A3C" w:rsidRDefault="004A5A3C" w:rsidP="004A5A3C">
            <w:pPr>
              <w:jc w:val="right"/>
              <w:rPr>
                <w:rFonts w:ascii="Arial" w:hAnsi="Arial" w:cs="Arial"/>
                <w:bCs/>
                <w:sz w:val="18"/>
                <w:szCs w:val="18"/>
              </w:rPr>
            </w:pPr>
            <w:r w:rsidRPr="004A5A3C">
              <w:rPr>
                <w:rFonts w:ascii="Arial" w:hAnsi="Arial" w:cs="Arial"/>
                <w:bCs/>
                <w:sz w:val="18"/>
                <w:szCs w:val="18"/>
              </w:rPr>
              <w:t>2</w:t>
            </w:r>
          </w:p>
        </w:tc>
      </w:tr>
      <w:tr w:rsidR="00C50A56" w14:paraId="59964348" w14:textId="77777777" w:rsidTr="00281AF4">
        <w:trPr>
          <w:trHeight w:val="238"/>
        </w:trPr>
        <w:tc>
          <w:tcPr>
            <w:tcW w:w="3655" w:type="pct"/>
            <w:tcBorders>
              <w:left w:val="nil"/>
              <w:right w:val="nil"/>
            </w:tcBorders>
            <w:shd w:val="clear" w:color="auto" w:fill="auto"/>
            <w:noWrap/>
            <w:vAlign w:val="bottom"/>
          </w:tcPr>
          <w:p w14:paraId="3BD46D48" w14:textId="77777777" w:rsidR="00C50A56" w:rsidRPr="00745A92" w:rsidRDefault="00C50A56" w:rsidP="004A5A3C">
            <w:pPr>
              <w:rPr>
                <w:rFonts w:ascii="Arial" w:hAnsi="Arial" w:cs="Arial"/>
                <w:bCs/>
                <w:sz w:val="18"/>
                <w:szCs w:val="18"/>
              </w:rPr>
            </w:pPr>
            <w:r>
              <w:rPr>
                <w:rFonts w:ascii="Arial" w:hAnsi="Arial" w:cs="Arial"/>
                <w:bCs/>
                <w:sz w:val="18"/>
                <w:szCs w:val="18"/>
              </w:rPr>
              <w:t xml:space="preserve">France </w:t>
            </w:r>
            <w:r w:rsidR="004068E2">
              <w:rPr>
                <w:rFonts w:ascii="Arial" w:hAnsi="Arial" w:cs="Arial"/>
                <w:bCs/>
                <w:sz w:val="18"/>
                <w:szCs w:val="18"/>
              </w:rPr>
              <w:t>exceptional employee bonus</w:t>
            </w:r>
          </w:p>
        </w:tc>
        <w:tc>
          <w:tcPr>
            <w:tcW w:w="578" w:type="pct"/>
            <w:tcBorders>
              <w:left w:val="nil"/>
              <w:right w:val="nil"/>
            </w:tcBorders>
            <w:shd w:val="clear" w:color="auto" w:fill="auto"/>
            <w:noWrap/>
            <w:vAlign w:val="bottom"/>
          </w:tcPr>
          <w:p w14:paraId="5F7128FD" w14:textId="77777777" w:rsidR="00C50A56" w:rsidRPr="00CA5D7D" w:rsidRDefault="004068E2" w:rsidP="004A5A3C">
            <w:pPr>
              <w:jc w:val="right"/>
              <w:rPr>
                <w:rFonts w:ascii="Arial" w:hAnsi="Arial" w:cs="Arial"/>
                <w:b/>
                <w:bCs/>
                <w:sz w:val="18"/>
                <w:szCs w:val="18"/>
              </w:rPr>
            </w:pPr>
            <w:r w:rsidRPr="00CA5D7D">
              <w:rPr>
                <w:rFonts w:ascii="Arial" w:hAnsi="Arial" w:cs="Arial"/>
                <w:b/>
                <w:bCs/>
                <w:sz w:val="18"/>
                <w:szCs w:val="18"/>
              </w:rPr>
              <w:t>(6)</w:t>
            </w:r>
          </w:p>
        </w:tc>
        <w:tc>
          <w:tcPr>
            <w:tcW w:w="767" w:type="pct"/>
            <w:tcBorders>
              <w:left w:val="nil"/>
              <w:right w:val="nil"/>
            </w:tcBorders>
            <w:vAlign w:val="bottom"/>
          </w:tcPr>
          <w:p w14:paraId="133E56D7" w14:textId="77777777" w:rsidR="00C50A56" w:rsidRPr="004A5A3C" w:rsidRDefault="00D5348F" w:rsidP="004A5A3C">
            <w:pPr>
              <w:jc w:val="right"/>
              <w:rPr>
                <w:rFonts w:ascii="Arial" w:hAnsi="Arial" w:cs="Arial"/>
                <w:bCs/>
                <w:sz w:val="18"/>
                <w:szCs w:val="18"/>
              </w:rPr>
            </w:pPr>
            <w:r w:rsidRPr="004A5A3C">
              <w:rPr>
                <w:rFonts w:ascii="Arial" w:hAnsi="Arial" w:cs="Arial"/>
                <w:bCs/>
                <w:sz w:val="18"/>
                <w:szCs w:val="18"/>
              </w:rPr>
              <w:t>–</w:t>
            </w:r>
          </w:p>
        </w:tc>
      </w:tr>
      <w:tr w:rsidR="004A5A3C" w14:paraId="0547C3E9" w14:textId="77777777" w:rsidTr="00281AF4">
        <w:trPr>
          <w:trHeight w:val="238"/>
        </w:trPr>
        <w:tc>
          <w:tcPr>
            <w:tcW w:w="3655" w:type="pct"/>
            <w:tcBorders>
              <w:top w:val="single" w:sz="2" w:space="0" w:color="auto"/>
              <w:left w:val="nil"/>
              <w:bottom w:val="single" w:sz="4" w:space="0" w:color="auto"/>
              <w:right w:val="nil"/>
            </w:tcBorders>
            <w:shd w:val="clear" w:color="auto" w:fill="auto"/>
            <w:noWrap/>
            <w:vAlign w:val="bottom"/>
          </w:tcPr>
          <w:p w14:paraId="749FFE70" w14:textId="77777777" w:rsidR="004A5A3C" w:rsidRDefault="004A5A3C" w:rsidP="004A5A3C">
            <w:pPr>
              <w:rPr>
                <w:rFonts w:ascii="Arial" w:hAnsi="Arial" w:cs="Arial"/>
                <w:b/>
                <w:bCs/>
                <w:sz w:val="18"/>
                <w:szCs w:val="18"/>
              </w:rPr>
            </w:pPr>
          </w:p>
        </w:tc>
        <w:tc>
          <w:tcPr>
            <w:tcW w:w="578" w:type="pct"/>
            <w:tcBorders>
              <w:top w:val="single" w:sz="2" w:space="0" w:color="auto"/>
              <w:left w:val="nil"/>
              <w:bottom w:val="single" w:sz="4" w:space="0" w:color="auto"/>
              <w:right w:val="nil"/>
            </w:tcBorders>
            <w:shd w:val="clear" w:color="auto" w:fill="auto"/>
            <w:noWrap/>
            <w:vAlign w:val="bottom"/>
          </w:tcPr>
          <w:p w14:paraId="38F1145C" w14:textId="5F282E65" w:rsidR="004A5A3C" w:rsidRPr="00CA5D7D" w:rsidRDefault="004068E2" w:rsidP="004A5A3C">
            <w:pPr>
              <w:jc w:val="right"/>
              <w:rPr>
                <w:rFonts w:ascii="Arial" w:hAnsi="Arial" w:cs="Arial"/>
                <w:b/>
                <w:bCs/>
                <w:sz w:val="18"/>
                <w:szCs w:val="18"/>
              </w:rPr>
            </w:pPr>
            <w:r w:rsidRPr="00CA5D7D">
              <w:rPr>
                <w:rFonts w:ascii="Arial" w:hAnsi="Arial" w:cs="Arial"/>
                <w:b/>
                <w:bCs/>
                <w:sz w:val="18"/>
                <w:szCs w:val="18"/>
              </w:rPr>
              <w:t>(1</w:t>
            </w:r>
            <w:r w:rsidR="00C356D9">
              <w:rPr>
                <w:rFonts w:ascii="Arial" w:hAnsi="Arial" w:cs="Arial"/>
                <w:b/>
                <w:bCs/>
                <w:sz w:val="18"/>
                <w:szCs w:val="18"/>
              </w:rPr>
              <w:t>60</w:t>
            </w:r>
            <w:r w:rsidRPr="00CA5D7D">
              <w:rPr>
                <w:rFonts w:ascii="Arial" w:hAnsi="Arial" w:cs="Arial"/>
                <w:b/>
                <w:bCs/>
                <w:sz w:val="18"/>
                <w:szCs w:val="18"/>
              </w:rPr>
              <w:t>)</w:t>
            </w:r>
          </w:p>
        </w:tc>
        <w:tc>
          <w:tcPr>
            <w:tcW w:w="767" w:type="pct"/>
            <w:tcBorders>
              <w:top w:val="single" w:sz="2" w:space="0" w:color="auto"/>
              <w:left w:val="nil"/>
              <w:bottom w:val="single" w:sz="4" w:space="0" w:color="auto"/>
              <w:right w:val="nil"/>
            </w:tcBorders>
            <w:vAlign w:val="bottom"/>
          </w:tcPr>
          <w:p w14:paraId="13A6E910" w14:textId="77777777" w:rsidR="004A5A3C" w:rsidRPr="004A5A3C" w:rsidRDefault="004A5A3C" w:rsidP="004A5A3C">
            <w:pPr>
              <w:jc w:val="right"/>
              <w:rPr>
                <w:rFonts w:ascii="Arial" w:hAnsi="Arial" w:cs="Arial"/>
                <w:bCs/>
                <w:sz w:val="18"/>
                <w:szCs w:val="18"/>
              </w:rPr>
            </w:pPr>
            <w:r w:rsidRPr="004A5A3C">
              <w:rPr>
                <w:rFonts w:ascii="Arial" w:hAnsi="Arial" w:cs="Arial"/>
                <w:bCs/>
                <w:sz w:val="18"/>
                <w:szCs w:val="18"/>
              </w:rPr>
              <w:t>14</w:t>
            </w:r>
          </w:p>
        </w:tc>
      </w:tr>
      <w:tr w:rsidR="004A5A3C" w:rsidRPr="00065E22" w14:paraId="46C7117F" w14:textId="77777777" w:rsidTr="0012283A">
        <w:trPr>
          <w:trHeight w:val="238"/>
        </w:trPr>
        <w:tc>
          <w:tcPr>
            <w:tcW w:w="3655" w:type="pct"/>
            <w:tcBorders>
              <w:left w:val="nil"/>
              <w:right w:val="nil"/>
            </w:tcBorders>
            <w:shd w:val="clear" w:color="auto" w:fill="auto"/>
            <w:noWrap/>
            <w:vAlign w:val="bottom"/>
          </w:tcPr>
          <w:p w14:paraId="2D3384DB" w14:textId="77777777" w:rsidR="004A5A3C" w:rsidRPr="001606EE" w:rsidRDefault="004A5A3C" w:rsidP="004A5A3C">
            <w:pPr>
              <w:rPr>
                <w:rFonts w:ascii="Arial" w:hAnsi="Arial" w:cs="Arial"/>
                <w:b/>
                <w:bCs/>
                <w:sz w:val="18"/>
                <w:szCs w:val="18"/>
              </w:rPr>
            </w:pPr>
            <w:r w:rsidRPr="001606EE">
              <w:rPr>
                <w:rFonts w:ascii="Arial" w:hAnsi="Arial" w:cs="Arial"/>
                <w:b/>
                <w:bCs/>
                <w:sz w:val="18"/>
                <w:szCs w:val="18"/>
              </w:rPr>
              <w:t>Included within administrative expenses</w:t>
            </w:r>
          </w:p>
          <w:p w14:paraId="2C7C9CC7" w14:textId="77777777" w:rsidR="004A5A3C" w:rsidRPr="00281AF4" w:rsidRDefault="004A5A3C" w:rsidP="004A5A3C">
            <w:pPr>
              <w:rPr>
                <w:rFonts w:ascii="Arial" w:hAnsi="Arial" w:cs="Arial"/>
                <w:bCs/>
                <w:sz w:val="18"/>
                <w:szCs w:val="18"/>
              </w:rPr>
            </w:pPr>
            <w:r>
              <w:rPr>
                <w:rFonts w:ascii="Arial" w:hAnsi="Arial" w:cs="Arial"/>
                <w:bCs/>
                <w:sz w:val="18"/>
                <w:szCs w:val="18"/>
              </w:rPr>
              <w:t>Transformation exceptional costs</w:t>
            </w:r>
          </w:p>
        </w:tc>
        <w:tc>
          <w:tcPr>
            <w:tcW w:w="578" w:type="pct"/>
            <w:tcBorders>
              <w:left w:val="nil"/>
              <w:right w:val="nil"/>
            </w:tcBorders>
            <w:shd w:val="clear" w:color="auto" w:fill="auto"/>
            <w:noWrap/>
            <w:vAlign w:val="bottom"/>
          </w:tcPr>
          <w:p w14:paraId="43974241" w14:textId="77777777" w:rsidR="004A5A3C" w:rsidRPr="00CA5D7D" w:rsidRDefault="004A5A3C" w:rsidP="004A5A3C">
            <w:pPr>
              <w:jc w:val="right"/>
              <w:rPr>
                <w:rFonts w:ascii="Arial" w:hAnsi="Arial" w:cs="Arial"/>
                <w:b/>
                <w:sz w:val="18"/>
                <w:szCs w:val="18"/>
              </w:rPr>
            </w:pPr>
            <w:r w:rsidRPr="00CA5D7D">
              <w:rPr>
                <w:rFonts w:ascii="Arial" w:hAnsi="Arial" w:cs="Arial"/>
                <w:b/>
                <w:sz w:val="18"/>
                <w:szCs w:val="18"/>
              </w:rPr>
              <w:t>(</w:t>
            </w:r>
            <w:r w:rsidR="00C50A56" w:rsidRPr="00CA5D7D">
              <w:rPr>
                <w:rFonts w:ascii="Arial" w:hAnsi="Arial" w:cs="Arial"/>
                <w:b/>
                <w:sz w:val="18"/>
                <w:szCs w:val="18"/>
              </w:rPr>
              <w:t>58</w:t>
            </w:r>
            <w:r w:rsidRPr="00CA5D7D">
              <w:rPr>
                <w:rFonts w:ascii="Arial" w:hAnsi="Arial" w:cs="Arial"/>
                <w:b/>
                <w:sz w:val="18"/>
                <w:szCs w:val="18"/>
              </w:rPr>
              <w:t>)</w:t>
            </w:r>
          </w:p>
        </w:tc>
        <w:tc>
          <w:tcPr>
            <w:tcW w:w="767" w:type="pct"/>
            <w:tcBorders>
              <w:left w:val="nil"/>
              <w:right w:val="nil"/>
            </w:tcBorders>
            <w:vAlign w:val="bottom"/>
          </w:tcPr>
          <w:p w14:paraId="1CD587CA"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(15)</w:t>
            </w:r>
          </w:p>
        </w:tc>
      </w:tr>
      <w:tr w:rsidR="004068E2" w:rsidRPr="00065E22" w14:paraId="3B351677" w14:textId="77777777" w:rsidTr="0012283A">
        <w:trPr>
          <w:trHeight w:val="238"/>
        </w:trPr>
        <w:tc>
          <w:tcPr>
            <w:tcW w:w="3655" w:type="pct"/>
            <w:tcBorders>
              <w:left w:val="nil"/>
              <w:right w:val="nil"/>
            </w:tcBorders>
            <w:shd w:val="clear" w:color="auto" w:fill="auto"/>
            <w:noWrap/>
            <w:vAlign w:val="bottom"/>
          </w:tcPr>
          <w:p w14:paraId="5DF7090E" w14:textId="77777777" w:rsidR="004068E2" w:rsidRPr="004068E2" w:rsidRDefault="004068E2" w:rsidP="004A5A3C">
            <w:pPr>
              <w:rPr>
                <w:rFonts w:ascii="Arial" w:hAnsi="Arial" w:cs="Arial"/>
                <w:bCs/>
                <w:sz w:val="18"/>
                <w:szCs w:val="18"/>
              </w:rPr>
            </w:pPr>
            <w:r w:rsidRPr="004068E2">
              <w:rPr>
                <w:rFonts w:ascii="Arial" w:hAnsi="Arial" w:cs="Arial"/>
                <w:bCs/>
                <w:sz w:val="18"/>
                <w:szCs w:val="18"/>
              </w:rPr>
              <w:t>UK guaranteed minimum pension charge</w:t>
            </w:r>
          </w:p>
        </w:tc>
        <w:tc>
          <w:tcPr>
            <w:tcW w:w="578" w:type="pct"/>
            <w:tcBorders>
              <w:left w:val="nil"/>
              <w:right w:val="nil"/>
            </w:tcBorders>
            <w:shd w:val="clear" w:color="auto" w:fill="auto"/>
            <w:noWrap/>
            <w:vAlign w:val="bottom"/>
          </w:tcPr>
          <w:p w14:paraId="692348B5" w14:textId="77777777" w:rsidR="004068E2" w:rsidRPr="00CA5D7D" w:rsidRDefault="004068E2" w:rsidP="004A5A3C">
            <w:pPr>
              <w:jc w:val="right"/>
              <w:rPr>
                <w:rFonts w:ascii="Arial" w:hAnsi="Arial" w:cs="Arial"/>
                <w:b/>
                <w:sz w:val="18"/>
                <w:szCs w:val="18"/>
              </w:rPr>
            </w:pPr>
            <w:r w:rsidRPr="00CA5D7D">
              <w:rPr>
                <w:rFonts w:ascii="Arial" w:hAnsi="Arial" w:cs="Arial"/>
                <w:b/>
                <w:sz w:val="18"/>
                <w:szCs w:val="18"/>
              </w:rPr>
              <w:t>(5)</w:t>
            </w:r>
          </w:p>
        </w:tc>
        <w:tc>
          <w:tcPr>
            <w:tcW w:w="767" w:type="pct"/>
            <w:tcBorders>
              <w:left w:val="nil"/>
              <w:right w:val="nil"/>
            </w:tcBorders>
            <w:vAlign w:val="bottom"/>
          </w:tcPr>
          <w:p w14:paraId="09A933CE" w14:textId="77777777" w:rsidR="004068E2" w:rsidRPr="004A5A3C" w:rsidRDefault="00D5348F" w:rsidP="004A5A3C">
            <w:pPr>
              <w:jc w:val="right"/>
              <w:rPr>
                <w:rFonts w:ascii="Arial" w:hAnsi="Arial" w:cs="Arial"/>
                <w:sz w:val="18"/>
                <w:szCs w:val="18"/>
              </w:rPr>
            </w:pPr>
            <w:r w:rsidRPr="004A5A3C">
              <w:rPr>
                <w:rFonts w:ascii="Arial" w:hAnsi="Arial" w:cs="Arial"/>
                <w:bCs/>
                <w:sz w:val="18"/>
                <w:szCs w:val="18"/>
              </w:rPr>
              <w:t>–</w:t>
            </w:r>
          </w:p>
        </w:tc>
      </w:tr>
      <w:tr w:rsidR="004A5A3C" w14:paraId="2A0010DC" w14:textId="77777777" w:rsidTr="0012283A">
        <w:trPr>
          <w:trHeight w:val="238"/>
        </w:trPr>
        <w:tc>
          <w:tcPr>
            <w:tcW w:w="3655" w:type="pct"/>
            <w:tcBorders>
              <w:top w:val="single" w:sz="4" w:space="0" w:color="auto"/>
              <w:left w:val="nil"/>
              <w:bottom w:val="single" w:sz="4" w:space="0" w:color="auto"/>
              <w:right w:val="nil"/>
            </w:tcBorders>
            <w:shd w:val="clear" w:color="auto" w:fill="auto"/>
            <w:noWrap/>
            <w:vAlign w:val="bottom"/>
          </w:tcPr>
          <w:p w14:paraId="7EABA8A5" w14:textId="77777777" w:rsidR="004A5A3C" w:rsidRPr="001E3112" w:rsidRDefault="004A5A3C" w:rsidP="004A5A3C">
            <w:pPr>
              <w:rPr>
                <w:rFonts w:ascii="Arial" w:hAnsi="Arial" w:cs="Arial"/>
                <w:bCs/>
                <w:sz w:val="18"/>
                <w:szCs w:val="18"/>
              </w:rPr>
            </w:pPr>
          </w:p>
        </w:tc>
        <w:tc>
          <w:tcPr>
            <w:tcW w:w="578" w:type="pct"/>
            <w:tcBorders>
              <w:top w:val="single" w:sz="4" w:space="0" w:color="auto"/>
              <w:left w:val="nil"/>
              <w:bottom w:val="single" w:sz="4" w:space="0" w:color="auto"/>
              <w:right w:val="nil"/>
            </w:tcBorders>
            <w:shd w:val="clear" w:color="auto" w:fill="auto"/>
            <w:noWrap/>
            <w:vAlign w:val="bottom"/>
          </w:tcPr>
          <w:p w14:paraId="1A71C4D8" w14:textId="77777777" w:rsidR="004A5A3C" w:rsidRPr="00CA5D7D" w:rsidRDefault="004A5A3C" w:rsidP="004A5A3C">
            <w:pPr>
              <w:jc w:val="right"/>
              <w:rPr>
                <w:rFonts w:ascii="Arial" w:hAnsi="Arial" w:cs="Arial"/>
                <w:b/>
                <w:bCs/>
                <w:sz w:val="18"/>
                <w:szCs w:val="18"/>
              </w:rPr>
            </w:pPr>
            <w:r w:rsidRPr="00CA5D7D">
              <w:rPr>
                <w:rFonts w:ascii="Arial" w:hAnsi="Arial" w:cs="Arial"/>
                <w:b/>
                <w:bCs/>
                <w:sz w:val="18"/>
                <w:szCs w:val="18"/>
              </w:rPr>
              <w:t>(</w:t>
            </w:r>
            <w:r w:rsidR="004068E2" w:rsidRPr="00CA5D7D">
              <w:rPr>
                <w:rFonts w:ascii="Arial" w:hAnsi="Arial" w:cs="Arial"/>
                <w:b/>
                <w:bCs/>
                <w:sz w:val="18"/>
                <w:szCs w:val="18"/>
              </w:rPr>
              <w:t>63</w:t>
            </w:r>
            <w:r w:rsidRPr="00CA5D7D">
              <w:rPr>
                <w:rFonts w:ascii="Arial" w:hAnsi="Arial" w:cs="Arial"/>
                <w:b/>
                <w:bCs/>
                <w:sz w:val="18"/>
                <w:szCs w:val="18"/>
              </w:rPr>
              <w:t>)</w:t>
            </w:r>
          </w:p>
        </w:tc>
        <w:tc>
          <w:tcPr>
            <w:tcW w:w="767" w:type="pct"/>
            <w:tcBorders>
              <w:top w:val="single" w:sz="4" w:space="0" w:color="auto"/>
              <w:left w:val="nil"/>
              <w:bottom w:val="single" w:sz="4" w:space="0" w:color="auto"/>
              <w:right w:val="nil"/>
            </w:tcBorders>
            <w:vAlign w:val="bottom"/>
          </w:tcPr>
          <w:p w14:paraId="19995289" w14:textId="77777777" w:rsidR="004A5A3C" w:rsidRPr="004A5A3C" w:rsidRDefault="004A5A3C" w:rsidP="004A5A3C">
            <w:pPr>
              <w:jc w:val="right"/>
              <w:rPr>
                <w:rFonts w:ascii="Arial" w:hAnsi="Arial" w:cs="Arial"/>
                <w:bCs/>
                <w:sz w:val="18"/>
                <w:szCs w:val="18"/>
              </w:rPr>
            </w:pPr>
            <w:r w:rsidRPr="004A5A3C">
              <w:rPr>
                <w:rFonts w:ascii="Arial" w:hAnsi="Arial" w:cs="Arial"/>
                <w:bCs/>
                <w:sz w:val="18"/>
                <w:szCs w:val="18"/>
              </w:rPr>
              <w:t>(15)</w:t>
            </w:r>
          </w:p>
        </w:tc>
      </w:tr>
      <w:tr w:rsidR="004A5A3C" w:rsidRPr="00065E22" w14:paraId="28F796FB" w14:textId="77777777" w:rsidTr="00281AF4">
        <w:trPr>
          <w:trHeight w:val="238"/>
        </w:trPr>
        <w:tc>
          <w:tcPr>
            <w:tcW w:w="3655" w:type="pct"/>
            <w:tcBorders>
              <w:left w:val="nil"/>
              <w:right w:val="nil"/>
            </w:tcBorders>
            <w:shd w:val="clear" w:color="auto" w:fill="auto"/>
            <w:noWrap/>
            <w:vAlign w:val="bottom"/>
          </w:tcPr>
          <w:p w14:paraId="5F939F83" w14:textId="77777777" w:rsidR="004A5A3C" w:rsidRPr="001606EE" w:rsidRDefault="004A5A3C" w:rsidP="004A5A3C">
            <w:pPr>
              <w:rPr>
                <w:rFonts w:ascii="Arial" w:hAnsi="Arial" w:cs="Arial"/>
                <w:b/>
                <w:bCs/>
                <w:sz w:val="18"/>
                <w:szCs w:val="18"/>
              </w:rPr>
            </w:pPr>
            <w:r w:rsidRPr="001606EE">
              <w:rPr>
                <w:rFonts w:ascii="Arial" w:hAnsi="Arial" w:cs="Arial"/>
                <w:b/>
                <w:bCs/>
                <w:sz w:val="18"/>
                <w:szCs w:val="18"/>
              </w:rPr>
              <w:t>Included within other income</w:t>
            </w:r>
            <w:r w:rsidR="00C214E3">
              <w:rPr>
                <w:rFonts w:ascii="Arial" w:hAnsi="Arial" w:cs="Arial"/>
                <w:b/>
                <w:bCs/>
                <w:sz w:val="18"/>
                <w:szCs w:val="18"/>
              </w:rPr>
              <w:t>/expenses</w:t>
            </w:r>
          </w:p>
          <w:p w14:paraId="3D5B4B64" w14:textId="77777777" w:rsidR="004A5A3C" w:rsidRPr="00281AF4" w:rsidRDefault="004A5A3C" w:rsidP="004A5A3C">
            <w:pPr>
              <w:rPr>
                <w:rFonts w:ascii="Arial" w:hAnsi="Arial" w:cs="Arial"/>
                <w:bCs/>
                <w:sz w:val="18"/>
                <w:szCs w:val="18"/>
              </w:rPr>
            </w:pPr>
            <w:r>
              <w:rPr>
                <w:rFonts w:ascii="Arial" w:hAnsi="Arial" w:cs="Arial"/>
                <w:sz w:val="18"/>
                <w:szCs w:val="18"/>
              </w:rPr>
              <w:t>Profit on d</w:t>
            </w:r>
            <w:r w:rsidRPr="00171BB9">
              <w:rPr>
                <w:rFonts w:ascii="Arial" w:hAnsi="Arial" w:cs="Arial"/>
                <w:sz w:val="18"/>
                <w:szCs w:val="18"/>
              </w:rPr>
              <w:t>isposal of properties</w:t>
            </w:r>
          </w:p>
        </w:tc>
        <w:tc>
          <w:tcPr>
            <w:tcW w:w="578" w:type="pct"/>
            <w:tcBorders>
              <w:left w:val="nil"/>
              <w:right w:val="nil"/>
            </w:tcBorders>
            <w:shd w:val="clear" w:color="auto" w:fill="auto"/>
            <w:noWrap/>
            <w:vAlign w:val="bottom"/>
          </w:tcPr>
          <w:p w14:paraId="72681D42" w14:textId="77777777" w:rsidR="004A5A3C" w:rsidRPr="00CA5D7D" w:rsidRDefault="004068E2" w:rsidP="004A5A3C">
            <w:pPr>
              <w:jc w:val="right"/>
              <w:rPr>
                <w:rFonts w:ascii="Arial" w:hAnsi="Arial" w:cs="Arial"/>
                <w:b/>
                <w:sz w:val="18"/>
                <w:szCs w:val="18"/>
              </w:rPr>
            </w:pPr>
            <w:r w:rsidRPr="00CA5D7D">
              <w:rPr>
                <w:rFonts w:ascii="Arial" w:hAnsi="Arial" w:cs="Arial"/>
                <w:b/>
                <w:sz w:val="18"/>
                <w:szCs w:val="18"/>
              </w:rPr>
              <w:t>29</w:t>
            </w:r>
          </w:p>
        </w:tc>
        <w:tc>
          <w:tcPr>
            <w:tcW w:w="767" w:type="pct"/>
            <w:tcBorders>
              <w:left w:val="nil"/>
              <w:right w:val="nil"/>
            </w:tcBorders>
            <w:vAlign w:val="bottom"/>
          </w:tcPr>
          <w:p w14:paraId="1F375654" w14:textId="77777777" w:rsidR="004A5A3C" w:rsidRPr="004A5A3C" w:rsidRDefault="004A5A3C" w:rsidP="004A5A3C">
            <w:pPr>
              <w:jc w:val="right"/>
              <w:rPr>
                <w:rFonts w:ascii="Arial" w:hAnsi="Arial" w:cs="Arial"/>
                <w:sz w:val="18"/>
                <w:szCs w:val="18"/>
              </w:rPr>
            </w:pPr>
            <w:r w:rsidRPr="004A5A3C">
              <w:rPr>
                <w:rFonts w:ascii="Arial" w:hAnsi="Arial" w:cs="Arial"/>
                <w:sz w:val="18"/>
                <w:szCs w:val="18"/>
              </w:rPr>
              <w:t>1</w:t>
            </w:r>
          </w:p>
        </w:tc>
      </w:tr>
      <w:tr w:rsidR="00C214E3" w14:paraId="2689C8DE" w14:textId="77777777" w:rsidTr="00C214E3">
        <w:trPr>
          <w:trHeight w:val="238"/>
        </w:trPr>
        <w:tc>
          <w:tcPr>
            <w:tcW w:w="3655" w:type="pct"/>
            <w:tcBorders>
              <w:left w:val="nil"/>
              <w:right w:val="nil"/>
            </w:tcBorders>
            <w:shd w:val="clear" w:color="auto" w:fill="auto"/>
            <w:noWrap/>
            <w:vAlign w:val="bottom"/>
          </w:tcPr>
          <w:p w14:paraId="3D67D315" w14:textId="77777777" w:rsidR="00C214E3" w:rsidRDefault="00C214E3" w:rsidP="00C214E3">
            <w:pPr>
              <w:rPr>
                <w:rFonts w:ascii="Arial" w:hAnsi="Arial" w:cs="Arial"/>
                <w:bCs/>
                <w:sz w:val="18"/>
                <w:szCs w:val="18"/>
              </w:rPr>
            </w:pPr>
            <w:r w:rsidRPr="004068E2">
              <w:rPr>
                <w:rFonts w:ascii="Arial" w:hAnsi="Arial" w:cs="Arial"/>
                <w:bCs/>
                <w:sz w:val="18"/>
                <w:szCs w:val="18"/>
              </w:rPr>
              <w:t>Impairments</w:t>
            </w:r>
            <w:r>
              <w:rPr>
                <w:rFonts w:ascii="Arial" w:hAnsi="Arial" w:cs="Arial"/>
                <w:bCs/>
                <w:sz w:val="18"/>
                <w:szCs w:val="18"/>
              </w:rPr>
              <w:t xml:space="preserve"> of properties held for sale</w:t>
            </w:r>
          </w:p>
        </w:tc>
        <w:tc>
          <w:tcPr>
            <w:tcW w:w="578" w:type="pct"/>
            <w:tcBorders>
              <w:left w:val="nil"/>
              <w:right w:val="nil"/>
            </w:tcBorders>
            <w:shd w:val="clear" w:color="auto" w:fill="auto"/>
            <w:noWrap/>
            <w:vAlign w:val="bottom"/>
          </w:tcPr>
          <w:p w14:paraId="5319936F" w14:textId="77777777" w:rsidR="00C214E3" w:rsidRPr="00CA5D7D" w:rsidRDefault="00C214E3" w:rsidP="00C214E3">
            <w:pPr>
              <w:jc w:val="right"/>
              <w:rPr>
                <w:rFonts w:ascii="Arial" w:hAnsi="Arial" w:cs="Arial"/>
                <w:b/>
                <w:bCs/>
                <w:sz w:val="18"/>
                <w:szCs w:val="18"/>
              </w:rPr>
            </w:pPr>
            <w:r w:rsidRPr="00CA5D7D">
              <w:rPr>
                <w:rFonts w:ascii="Arial" w:hAnsi="Arial" w:cs="Arial"/>
                <w:b/>
                <w:bCs/>
                <w:sz w:val="18"/>
                <w:szCs w:val="18"/>
              </w:rPr>
              <w:t>(57)</w:t>
            </w:r>
          </w:p>
        </w:tc>
        <w:tc>
          <w:tcPr>
            <w:tcW w:w="767" w:type="pct"/>
            <w:tcBorders>
              <w:left w:val="nil"/>
              <w:right w:val="nil"/>
            </w:tcBorders>
            <w:vAlign w:val="bottom"/>
          </w:tcPr>
          <w:p w14:paraId="1739FC1E" w14:textId="77777777" w:rsidR="00C214E3" w:rsidRPr="004A5A3C" w:rsidRDefault="00D5348F" w:rsidP="00C214E3">
            <w:pPr>
              <w:jc w:val="right"/>
              <w:rPr>
                <w:rFonts w:ascii="Arial" w:hAnsi="Arial" w:cs="Arial"/>
                <w:bCs/>
                <w:sz w:val="18"/>
                <w:szCs w:val="18"/>
              </w:rPr>
            </w:pPr>
            <w:r w:rsidRPr="004A5A3C">
              <w:rPr>
                <w:rFonts w:ascii="Arial" w:hAnsi="Arial" w:cs="Arial"/>
                <w:bCs/>
                <w:sz w:val="18"/>
                <w:szCs w:val="18"/>
              </w:rPr>
              <w:t>–</w:t>
            </w:r>
          </w:p>
        </w:tc>
      </w:tr>
      <w:tr w:rsidR="004068E2" w14:paraId="1E5722BC" w14:textId="77777777" w:rsidTr="00C214E3">
        <w:trPr>
          <w:trHeight w:val="238"/>
        </w:trPr>
        <w:tc>
          <w:tcPr>
            <w:tcW w:w="3655" w:type="pct"/>
            <w:tcBorders>
              <w:top w:val="single" w:sz="4" w:space="0" w:color="auto"/>
              <w:left w:val="nil"/>
              <w:bottom w:val="single" w:sz="4" w:space="0" w:color="auto"/>
              <w:right w:val="nil"/>
            </w:tcBorders>
            <w:shd w:val="clear" w:color="auto" w:fill="auto"/>
            <w:noWrap/>
            <w:vAlign w:val="bottom"/>
          </w:tcPr>
          <w:p w14:paraId="0EEBA872" w14:textId="77777777" w:rsidR="004068E2" w:rsidRPr="00EB5AFD" w:rsidRDefault="004068E2" w:rsidP="00C214E3">
            <w:pPr>
              <w:rPr>
                <w:rFonts w:ascii="Arial" w:hAnsi="Arial" w:cs="Arial"/>
                <w:bCs/>
                <w:i/>
                <w:sz w:val="18"/>
                <w:szCs w:val="18"/>
              </w:rPr>
            </w:pPr>
          </w:p>
        </w:tc>
        <w:tc>
          <w:tcPr>
            <w:tcW w:w="578" w:type="pct"/>
            <w:tcBorders>
              <w:top w:val="single" w:sz="4" w:space="0" w:color="auto"/>
              <w:left w:val="nil"/>
              <w:bottom w:val="single" w:sz="4" w:space="0" w:color="auto"/>
              <w:right w:val="nil"/>
            </w:tcBorders>
            <w:shd w:val="clear" w:color="auto" w:fill="auto"/>
            <w:noWrap/>
            <w:vAlign w:val="bottom"/>
          </w:tcPr>
          <w:p w14:paraId="01A9CEF2" w14:textId="77777777" w:rsidR="004068E2" w:rsidRPr="00CA5D7D" w:rsidRDefault="00364F66" w:rsidP="00C214E3">
            <w:pPr>
              <w:jc w:val="right"/>
              <w:rPr>
                <w:rFonts w:ascii="Arial" w:hAnsi="Arial" w:cs="Arial"/>
                <w:b/>
                <w:bCs/>
                <w:sz w:val="18"/>
                <w:szCs w:val="18"/>
              </w:rPr>
            </w:pPr>
            <w:r>
              <w:rPr>
                <w:rFonts w:ascii="Arial" w:hAnsi="Arial" w:cs="Arial"/>
                <w:b/>
                <w:bCs/>
                <w:sz w:val="18"/>
                <w:szCs w:val="18"/>
              </w:rPr>
              <w:t>(28)</w:t>
            </w:r>
          </w:p>
        </w:tc>
        <w:tc>
          <w:tcPr>
            <w:tcW w:w="767" w:type="pct"/>
            <w:tcBorders>
              <w:top w:val="single" w:sz="4" w:space="0" w:color="auto"/>
              <w:left w:val="nil"/>
              <w:bottom w:val="single" w:sz="4" w:space="0" w:color="auto"/>
              <w:right w:val="nil"/>
            </w:tcBorders>
            <w:vAlign w:val="bottom"/>
          </w:tcPr>
          <w:p w14:paraId="6A74CFDC" w14:textId="77777777" w:rsidR="004068E2" w:rsidRPr="004A5A3C" w:rsidRDefault="004068E2" w:rsidP="00C214E3">
            <w:pPr>
              <w:jc w:val="right"/>
              <w:rPr>
                <w:rFonts w:ascii="Arial" w:hAnsi="Arial" w:cs="Arial"/>
                <w:bCs/>
                <w:sz w:val="18"/>
                <w:szCs w:val="18"/>
              </w:rPr>
            </w:pPr>
            <w:r w:rsidRPr="004A5A3C">
              <w:rPr>
                <w:rFonts w:ascii="Arial" w:hAnsi="Arial" w:cs="Arial"/>
                <w:bCs/>
                <w:sz w:val="18"/>
                <w:szCs w:val="18"/>
              </w:rPr>
              <w:t>1</w:t>
            </w:r>
          </w:p>
        </w:tc>
      </w:tr>
      <w:tr w:rsidR="004A5A3C" w14:paraId="7E161984" w14:textId="77777777" w:rsidTr="00281AF4">
        <w:trPr>
          <w:trHeight w:val="238"/>
        </w:trPr>
        <w:tc>
          <w:tcPr>
            <w:tcW w:w="3655" w:type="pct"/>
            <w:tcBorders>
              <w:top w:val="single" w:sz="4" w:space="0" w:color="auto"/>
              <w:left w:val="nil"/>
              <w:right w:val="nil"/>
            </w:tcBorders>
            <w:shd w:val="clear" w:color="auto" w:fill="auto"/>
            <w:noWrap/>
            <w:vAlign w:val="bottom"/>
          </w:tcPr>
          <w:p w14:paraId="0FDC5640" w14:textId="77777777" w:rsidR="004A5A3C" w:rsidRPr="00171BB9" w:rsidRDefault="004A5A3C" w:rsidP="004A5A3C">
            <w:pPr>
              <w:rPr>
                <w:rFonts w:ascii="Arial" w:hAnsi="Arial" w:cs="Arial"/>
                <w:b/>
                <w:bCs/>
                <w:sz w:val="18"/>
                <w:szCs w:val="18"/>
              </w:rPr>
            </w:pPr>
            <w:r>
              <w:rPr>
                <w:rFonts w:ascii="Arial" w:hAnsi="Arial" w:cs="Arial"/>
                <w:b/>
                <w:bCs/>
                <w:sz w:val="18"/>
                <w:szCs w:val="18"/>
              </w:rPr>
              <w:t>E</w:t>
            </w:r>
            <w:r w:rsidRPr="00171BB9">
              <w:rPr>
                <w:rFonts w:ascii="Arial" w:hAnsi="Arial" w:cs="Arial"/>
                <w:b/>
                <w:bCs/>
                <w:sz w:val="18"/>
                <w:szCs w:val="18"/>
              </w:rPr>
              <w:t>xceptional items</w:t>
            </w:r>
            <w:r>
              <w:rPr>
                <w:rFonts w:ascii="Arial" w:hAnsi="Arial" w:cs="Arial"/>
                <w:b/>
                <w:bCs/>
                <w:sz w:val="18"/>
                <w:szCs w:val="18"/>
              </w:rPr>
              <w:t xml:space="preserve"> before tax</w:t>
            </w:r>
          </w:p>
        </w:tc>
        <w:tc>
          <w:tcPr>
            <w:tcW w:w="578" w:type="pct"/>
            <w:tcBorders>
              <w:top w:val="single" w:sz="4" w:space="0" w:color="auto"/>
              <w:left w:val="nil"/>
              <w:right w:val="nil"/>
            </w:tcBorders>
            <w:shd w:val="clear" w:color="auto" w:fill="auto"/>
            <w:noWrap/>
            <w:vAlign w:val="bottom"/>
          </w:tcPr>
          <w:p w14:paraId="12E58176" w14:textId="5074C336" w:rsidR="004A5A3C" w:rsidRPr="00CA5D7D" w:rsidRDefault="002E6FC0" w:rsidP="004A5A3C">
            <w:pPr>
              <w:jc w:val="right"/>
              <w:rPr>
                <w:rFonts w:ascii="Arial" w:hAnsi="Arial" w:cs="Arial"/>
                <w:b/>
                <w:bCs/>
                <w:sz w:val="18"/>
                <w:szCs w:val="18"/>
              </w:rPr>
            </w:pPr>
            <w:r w:rsidRPr="00CA5D7D">
              <w:rPr>
                <w:rFonts w:ascii="Arial" w:hAnsi="Arial" w:cs="Arial"/>
                <w:b/>
                <w:bCs/>
                <w:sz w:val="18"/>
                <w:szCs w:val="18"/>
              </w:rPr>
              <w:t>(2</w:t>
            </w:r>
            <w:r w:rsidR="00C356D9">
              <w:rPr>
                <w:rFonts w:ascii="Arial" w:hAnsi="Arial" w:cs="Arial"/>
                <w:b/>
                <w:bCs/>
                <w:sz w:val="18"/>
                <w:szCs w:val="18"/>
              </w:rPr>
              <w:t>51</w:t>
            </w:r>
            <w:r w:rsidRPr="00CA5D7D">
              <w:rPr>
                <w:rFonts w:ascii="Arial" w:hAnsi="Arial" w:cs="Arial"/>
                <w:b/>
                <w:bCs/>
                <w:sz w:val="18"/>
                <w:szCs w:val="18"/>
              </w:rPr>
              <w:t>)</w:t>
            </w:r>
          </w:p>
        </w:tc>
        <w:tc>
          <w:tcPr>
            <w:tcW w:w="767" w:type="pct"/>
            <w:tcBorders>
              <w:top w:val="single" w:sz="4" w:space="0" w:color="auto"/>
              <w:left w:val="nil"/>
              <w:right w:val="nil"/>
            </w:tcBorders>
            <w:vAlign w:val="bottom"/>
          </w:tcPr>
          <w:p w14:paraId="09A445CA" w14:textId="77777777" w:rsidR="004A5A3C" w:rsidRPr="004A5A3C" w:rsidRDefault="004A5A3C" w:rsidP="004A5A3C">
            <w:pPr>
              <w:jc w:val="right"/>
              <w:rPr>
                <w:rFonts w:ascii="Arial" w:hAnsi="Arial" w:cs="Arial"/>
                <w:bCs/>
                <w:sz w:val="18"/>
                <w:szCs w:val="18"/>
              </w:rPr>
            </w:pPr>
            <w:r w:rsidRPr="004A5A3C">
              <w:rPr>
                <w:rFonts w:ascii="Arial" w:hAnsi="Arial" w:cs="Arial"/>
                <w:bCs/>
                <w:sz w:val="18"/>
                <w:szCs w:val="18"/>
              </w:rPr>
              <w:t>–</w:t>
            </w:r>
          </w:p>
        </w:tc>
      </w:tr>
      <w:tr w:rsidR="004A5A3C" w:rsidRPr="009C1028" w14:paraId="0F601D52" w14:textId="77777777" w:rsidTr="00281AF4">
        <w:trPr>
          <w:trHeight w:val="238"/>
        </w:trPr>
        <w:tc>
          <w:tcPr>
            <w:tcW w:w="3655" w:type="pct"/>
            <w:tcBorders>
              <w:left w:val="nil"/>
              <w:right w:val="nil"/>
            </w:tcBorders>
            <w:shd w:val="clear" w:color="auto" w:fill="auto"/>
            <w:noWrap/>
            <w:vAlign w:val="bottom"/>
          </w:tcPr>
          <w:p w14:paraId="30DDD391" w14:textId="77777777" w:rsidR="004A5A3C" w:rsidRPr="009C1028" w:rsidRDefault="004A5A3C" w:rsidP="004A5A3C">
            <w:pPr>
              <w:rPr>
                <w:rFonts w:ascii="Arial" w:hAnsi="Arial" w:cs="Arial"/>
                <w:bCs/>
                <w:sz w:val="18"/>
                <w:szCs w:val="18"/>
              </w:rPr>
            </w:pPr>
            <w:r>
              <w:rPr>
                <w:rFonts w:ascii="Arial" w:hAnsi="Arial" w:cs="Arial"/>
                <w:bCs/>
                <w:sz w:val="18"/>
                <w:szCs w:val="18"/>
              </w:rPr>
              <w:t xml:space="preserve">Tax on exceptional items </w:t>
            </w:r>
          </w:p>
        </w:tc>
        <w:tc>
          <w:tcPr>
            <w:tcW w:w="578" w:type="pct"/>
            <w:tcBorders>
              <w:left w:val="nil"/>
              <w:right w:val="nil"/>
            </w:tcBorders>
            <w:shd w:val="clear" w:color="auto" w:fill="auto"/>
            <w:noWrap/>
            <w:vAlign w:val="bottom"/>
          </w:tcPr>
          <w:p w14:paraId="490A29D5" w14:textId="6D09A0CF" w:rsidR="004A5A3C" w:rsidRPr="00CA5D7D" w:rsidRDefault="00C356D9" w:rsidP="004A5A3C">
            <w:pPr>
              <w:jc w:val="right"/>
              <w:rPr>
                <w:rFonts w:ascii="Arial" w:hAnsi="Arial" w:cs="Arial"/>
                <w:b/>
                <w:bCs/>
                <w:sz w:val="18"/>
                <w:szCs w:val="18"/>
              </w:rPr>
            </w:pPr>
            <w:r>
              <w:rPr>
                <w:rFonts w:ascii="Arial" w:hAnsi="Arial" w:cs="Arial"/>
                <w:b/>
                <w:bCs/>
                <w:sz w:val="18"/>
                <w:szCs w:val="18"/>
              </w:rPr>
              <w:t>61</w:t>
            </w:r>
          </w:p>
        </w:tc>
        <w:tc>
          <w:tcPr>
            <w:tcW w:w="767" w:type="pct"/>
            <w:tcBorders>
              <w:left w:val="nil"/>
              <w:right w:val="nil"/>
            </w:tcBorders>
            <w:vAlign w:val="bottom"/>
          </w:tcPr>
          <w:p w14:paraId="25F3A726" w14:textId="77777777" w:rsidR="004A5A3C" w:rsidRPr="004A5A3C" w:rsidRDefault="004A5A3C" w:rsidP="004A5A3C">
            <w:pPr>
              <w:jc w:val="right"/>
              <w:rPr>
                <w:rFonts w:ascii="Arial" w:hAnsi="Arial" w:cs="Arial"/>
                <w:bCs/>
                <w:sz w:val="18"/>
                <w:szCs w:val="18"/>
              </w:rPr>
            </w:pPr>
            <w:r w:rsidRPr="004A5A3C">
              <w:rPr>
                <w:rFonts w:ascii="Arial" w:hAnsi="Arial" w:cs="Arial"/>
                <w:bCs/>
                <w:sz w:val="18"/>
                <w:szCs w:val="18"/>
              </w:rPr>
              <w:t>–</w:t>
            </w:r>
          </w:p>
        </w:tc>
      </w:tr>
      <w:tr w:rsidR="004A5A3C" w:rsidRPr="009C1028" w14:paraId="42A3D38E" w14:textId="77777777" w:rsidTr="00281AF4">
        <w:trPr>
          <w:trHeight w:val="238"/>
        </w:trPr>
        <w:tc>
          <w:tcPr>
            <w:tcW w:w="3655" w:type="pct"/>
            <w:tcBorders>
              <w:top w:val="single" w:sz="4" w:space="0" w:color="auto"/>
              <w:left w:val="nil"/>
              <w:bottom w:val="single" w:sz="12" w:space="0" w:color="auto"/>
              <w:right w:val="nil"/>
            </w:tcBorders>
            <w:shd w:val="clear" w:color="auto" w:fill="auto"/>
            <w:noWrap/>
            <w:vAlign w:val="bottom"/>
          </w:tcPr>
          <w:p w14:paraId="75519553" w14:textId="77777777" w:rsidR="004A5A3C" w:rsidRDefault="004A5A3C" w:rsidP="004A5A3C">
            <w:pPr>
              <w:rPr>
                <w:rFonts w:ascii="Arial" w:hAnsi="Arial" w:cs="Arial"/>
                <w:bCs/>
                <w:sz w:val="18"/>
                <w:szCs w:val="18"/>
              </w:rPr>
            </w:pPr>
            <w:r>
              <w:rPr>
                <w:rFonts w:ascii="Arial" w:hAnsi="Arial" w:cs="Arial"/>
                <w:b/>
                <w:bCs/>
                <w:sz w:val="18"/>
                <w:szCs w:val="18"/>
              </w:rPr>
              <w:t>E</w:t>
            </w:r>
            <w:r w:rsidRPr="00171BB9">
              <w:rPr>
                <w:rFonts w:ascii="Arial" w:hAnsi="Arial" w:cs="Arial"/>
                <w:b/>
                <w:bCs/>
                <w:sz w:val="18"/>
                <w:szCs w:val="18"/>
              </w:rPr>
              <w:t>xceptional items</w:t>
            </w:r>
          </w:p>
        </w:tc>
        <w:tc>
          <w:tcPr>
            <w:tcW w:w="578" w:type="pct"/>
            <w:tcBorders>
              <w:top w:val="single" w:sz="4" w:space="0" w:color="auto"/>
              <w:left w:val="nil"/>
              <w:bottom w:val="single" w:sz="12" w:space="0" w:color="auto"/>
              <w:right w:val="nil"/>
            </w:tcBorders>
            <w:shd w:val="clear" w:color="auto" w:fill="auto"/>
            <w:noWrap/>
            <w:vAlign w:val="bottom"/>
          </w:tcPr>
          <w:p w14:paraId="55DA7661" w14:textId="16596247" w:rsidR="004A5A3C" w:rsidRPr="00CA5D7D" w:rsidRDefault="00CA5D7D" w:rsidP="004A5A3C">
            <w:pPr>
              <w:jc w:val="right"/>
              <w:rPr>
                <w:rFonts w:ascii="Arial" w:hAnsi="Arial" w:cs="Arial"/>
                <w:b/>
                <w:bCs/>
                <w:sz w:val="18"/>
                <w:szCs w:val="18"/>
              </w:rPr>
            </w:pPr>
            <w:r w:rsidRPr="00CA5D7D">
              <w:rPr>
                <w:rFonts w:ascii="Arial" w:hAnsi="Arial" w:cs="Arial"/>
                <w:b/>
                <w:bCs/>
                <w:sz w:val="18"/>
                <w:szCs w:val="18"/>
              </w:rPr>
              <w:t>(1</w:t>
            </w:r>
            <w:r w:rsidR="00C356D9">
              <w:rPr>
                <w:rFonts w:ascii="Arial" w:hAnsi="Arial" w:cs="Arial"/>
                <w:b/>
                <w:bCs/>
                <w:sz w:val="18"/>
                <w:szCs w:val="18"/>
              </w:rPr>
              <w:t>90</w:t>
            </w:r>
            <w:r w:rsidRPr="00CA5D7D">
              <w:rPr>
                <w:rFonts w:ascii="Arial" w:hAnsi="Arial" w:cs="Arial"/>
                <w:b/>
                <w:bCs/>
                <w:sz w:val="18"/>
                <w:szCs w:val="18"/>
              </w:rPr>
              <w:t>)</w:t>
            </w:r>
          </w:p>
        </w:tc>
        <w:tc>
          <w:tcPr>
            <w:tcW w:w="767" w:type="pct"/>
            <w:tcBorders>
              <w:top w:val="single" w:sz="4" w:space="0" w:color="auto"/>
              <w:left w:val="nil"/>
              <w:bottom w:val="single" w:sz="12" w:space="0" w:color="auto"/>
              <w:right w:val="nil"/>
            </w:tcBorders>
            <w:vAlign w:val="bottom"/>
          </w:tcPr>
          <w:p w14:paraId="38FC505D" w14:textId="77777777" w:rsidR="004A5A3C" w:rsidRPr="004A5A3C" w:rsidRDefault="004A5A3C" w:rsidP="004A5A3C">
            <w:pPr>
              <w:jc w:val="right"/>
              <w:rPr>
                <w:rFonts w:ascii="Arial" w:hAnsi="Arial" w:cs="Arial"/>
                <w:bCs/>
                <w:sz w:val="18"/>
                <w:szCs w:val="18"/>
              </w:rPr>
            </w:pPr>
            <w:r w:rsidRPr="004A5A3C">
              <w:rPr>
                <w:rFonts w:ascii="Arial" w:hAnsi="Arial" w:cs="Arial"/>
                <w:bCs/>
                <w:sz w:val="18"/>
                <w:szCs w:val="18"/>
              </w:rPr>
              <w:t>–</w:t>
            </w:r>
          </w:p>
        </w:tc>
      </w:tr>
    </w:tbl>
    <w:p w14:paraId="21F7CB46" w14:textId="77777777" w:rsidR="00B3144B" w:rsidRPr="00527DF5" w:rsidRDefault="00B3144B" w:rsidP="00B3144B">
      <w:pPr>
        <w:rPr>
          <w:rFonts w:ascii="Arial" w:hAnsi="Arial" w:cs="Arial"/>
          <w:sz w:val="18"/>
          <w:szCs w:val="18"/>
        </w:rPr>
      </w:pPr>
    </w:p>
    <w:p w14:paraId="24036185" w14:textId="0AE5D039" w:rsidR="005F3973" w:rsidRDefault="002B1883" w:rsidP="002B1883">
      <w:pPr>
        <w:jc w:val="both"/>
        <w:rPr>
          <w:rFonts w:ascii="Arial" w:hAnsi="Arial" w:cs="Arial"/>
          <w:bCs/>
          <w:sz w:val="18"/>
          <w:szCs w:val="18"/>
        </w:rPr>
      </w:pPr>
      <w:bookmarkStart w:id="8" w:name="_Hlk2846475"/>
      <w:bookmarkStart w:id="9" w:name="_Hlk507925515"/>
      <w:r w:rsidRPr="002B1883">
        <w:rPr>
          <w:rFonts w:ascii="Arial" w:hAnsi="Arial" w:cs="Arial"/>
          <w:bCs/>
          <w:sz w:val="18"/>
          <w:szCs w:val="18"/>
        </w:rPr>
        <w:t>Current year exceptional items include a £</w:t>
      </w:r>
      <w:r w:rsidR="00512200">
        <w:rPr>
          <w:rFonts w:ascii="Arial" w:hAnsi="Arial" w:cs="Arial"/>
          <w:bCs/>
          <w:sz w:val="18"/>
          <w:szCs w:val="18"/>
        </w:rPr>
        <w:t>111</w:t>
      </w:r>
      <w:r w:rsidR="00512200" w:rsidRPr="002B1883">
        <w:rPr>
          <w:rFonts w:ascii="Arial" w:hAnsi="Arial" w:cs="Arial"/>
          <w:bCs/>
          <w:sz w:val="18"/>
          <w:szCs w:val="18"/>
        </w:rPr>
        <w:t xml:space="preserve">m </w:t>
      </w:r>
      <w:r w:rsidR="00625F7E">
        <w:rPr>
          <w:rFonts w:ascii="Arial" w:hAnsi="Arial" w:cs="Arial"/>
          <w:bCs/>
          <w:sz w:val="18"/>
          <w:szCs w:val="18"/>
        </w:rPr>
        <w:t xml:space="preserve">net </w:t>
      </w:r>
      <w:r w:rsidRPr="002B1883">
        <w:rPr>
          <w:rFonts w:ascii="Arial" w:hAnsi="Arial" w:cs="Arial"/>
          <w:bCs/>
          <w:sz w:val="18"/>
          <w:szCs w:val="18"/>
        </w:rPr>
        <w:t>restructuring charge</w:t>
      </w:r>
      <w:r w:rsidR="009E7D68">
        <w:rPr>
          <w:rFonts w:ascii="Arial" w:hAnsi="Arial" w:cs="Arial"/>
          <w:bCs/>
          <w:sz w:val="18"/>
          <w:szCs w:val="18"/>
        </w:rPr>
        <w:t xml:space="preserve"> principally relating to impairments for underperforming stores. This includes 15 stores across our business</w:t>
      </w:r>
      <w:r w:rsidR="00224247">
        <w:rPr>
          <w:rFonts w:ascii="Arial" w:hAnsi="Arial" w:cs="Arial"/>
          <w:bCs/>
          <w:sz w:val="18"/>
          <w:szCs w:val="18"/>
        </w:rPr>
        <w:t xml:space="preserve"> that</w:t>
      </w:r>
      <w:r w:rsidR="00740DCA">
        <w:rPr>
          <w:rFonts w:ascii="Arial" w:hAnsi="Arial" w:cs="Arial"/>
          <w:bCs/>
          <w:sz w:val="18"/>
          <w:szCs w:val="18"/>
        </w:rPr>
        <w:t xml:space="preserve"> </w:t>
      </w:r>
      <w:r w:rsidR="00864584">
        <w:rPr>
          <w:rFonts w:ascii="Arial" w:hAnsi="Arial" w:cs="Arial"/>
          <w:bCs/>
          <w:sz w:val="18"/>
          <w:szCs w:val="18"/>
        </w:rPr>
        <w:t>we are</w:t>
      </w:r>
      <w:r w:rsidR="00740DCA">
        <w:rPr>
          <w:rFonts w:ascii="Arial" w:hAnsi="Arial" w:cs="Arial"/>
          <w:bCs/>
          <w:sz w:val="18"/>
          <w:szCs w:val="18"/>
        </w:rPr>
        <w:t xml:space="preserve"> considering closing in the next two years</w:t>
      </w:r>
      <w:r w:rsidR="009E7D68">
        <w:rPr>
          <w:rFonts w:ascii="Arial" w:hAnsi="Arial" w:cs="Arial"/>
          <w:bCs/>
          <w:sz w:val="18"/>
          <w:szCs w:val="18"/>
        </w:rPr>
        <w:t xml:space="preserve"> and</w:t>
      </w:r>
      <w:r w:rsidRPr="002B1883">
        <w:rPr>
          <w:rFonts w:ascii="Arial" w:hAnsi="Arial" w:cs="Arial"/>
          <w:bCs/>
          <w:sz w:val="18"/>
          <w:szCs w:val="18"/>
        </w:rPr>
        <w:t xml:space="preserve"> </w:t>
      </w:r>
      <w:r w:rsidR="0070598B">
        <w:rPr>
          <w:rFonts w:ascii="Arial" w:hAnsi="Arial" w:cs="Arial"/>
          <w:bCs/>
          <w:sz w:val="18"/>
          <w:szCs w:val="18"/>
        </w:rPr>
        <w:t>19 Screwfix Germany outlets</w:t>
      </w:r>
      <w:r w:rsidRPr="002B1883">
        <w:rPr>
          <w:rFonts w:ascii="Arial" w:hAnsi="Arial" w:cs="Arial"/>
          <w:bCs/>
          <w:sz w:val="18"/>
          <w:szCs w:val="18"/>
        </w:rPr>
        <w:t>. In the prior year, a £12m credit was recognised, principally due to savings on B&amp;Q store exit costs as compared with the original restructuring provisions recognised.</w:t>
      </w:r>
    </w:p>
    <w:p w14:paraId="79201B4C" w14:textId="77777777" w:rsidR="002B1883" w:rsidRPr="002B1883" w:rsidRDefault="002B1883" w:rsidP="002B1883">
      <w:pPr>
        <w:jc w:val="both"/>
        <w:rPr>
          <w:rFonts w:ascii="Arial" w:hAnsi="Arial" w:cs="Arial"/>
          <w:bCs/>
          <w:sz w:val="18"/>
          <w:szCs w:val="18"/>
        </w:rPr>
      </w:pPr>
    </w:p>
    <w:p w14:paraId="5FC4356F" w14:textId="77777777" w:rsidR="00C214E3" w:rsidRDefault="00C214E3" w:rsidP="002B1883">
      <w:pPr>
        <w:jc w:val="both"/>
        <w:rPr>
          <w:rFonts w:ascii="Arial" w:hAnsi="Arial" w:cs="Arial"/>
          <w:bCs/>
          <w:sz w:val="18"/>
          <w:szCs w:val="18"/>
        </w:rPr>
      </w:pPr>
      <w:r>
        <w:rPr>
          <w:rFonts w:ascii="Arial" w:hAnsi="Arial" w:cs="Arial"/>
          <w:bCs/>
          <w:sz w:val="18"/>
          <w:szCs w:val="18"/>
        </w:rPr>
        <w:t>Im</w:t>
      </w:r>
      <w:r w:rsidR="003E7AC3">
        <w:rPr>
          <w:rFonts w:ascii="Arial" w:hAnsi="Arial" w:cs="Arial"/>
          <w:bCs/>
          <w:sz w:val="18"/>
          <w:szCs w:val="18"/>
        </w:rPr>
        <w:t xml:space="preserve">pairments of £16m have been recorded relating to assets, </w:t>
      </w:r>
      <w:r w:rsidR="006B76C1">
        <w:rPr>
          <w:rFonts w:ascii="Arial" w:hAnsi="Arial" w:cs="Arial"/>
          <w:bCs/>
          <w:sz w:val="18"/>
          <w:szCs w:val="18"/>
        </w:rPr>
        <w:t>including</w:t>
      </w:r>
      <w:r w:rsidR="003E7AC3">
        <w:rPr>
          <w:rFonts w:ascii="Arial" w:hAnsi="Arial" w:cs="Arial"/>
          <w:bCs/>
          <w:sz w:val="18"/>
          <w:szCs w:val="18"/>
        </w:rPr>
        <w:t xml:space="preserve"> stores</w:t>
      </w:r>
      <w:r w:rsidR="006B76C1">
        <w:rPr>
          <w:rFonts w:ascii="Arial" w:hAnsi="Arial" w:cs="Arial"/>
          <w:bCs/>
          <w:sz w:val="18"/>
          <w:szCs w:val="18"/>
        </w:rPr>
        <w:t xml:space="preserve"> and non-operational assets</w:t>
      </w:r>
      <w:r w:rsidR="003E7AC3">
        <w:rPr>
          <w:rFonts w:ascii="Arial" w:hAnsi="Arial" w:cs="Arial"/>
          <w:bCs/>
          <w:sz w:val="18"/>
          <w:szCs w:val="18"/>
        </w:rPr>
        <w:t>, in Russia and Iberia</w:t>
      </w:r>
      <w:r w:rsidR="002720C2">
        <w:rPr>
          <w:rFonts w:ascii="Arial" w:hAnsi="Arial" w:cs="Arial"/>
          <w:bCs/>
          <w:sz w:val="18"/>
          <w:szCs w:val="18"/>
        </w:rPr>
        <w:t xml:space="preserve">. </w:t>
      </w:r>
      <w:r w:rsidR="00986D7E">
        <w:rPr>
          <w:rFonts w:ascii="Arial" w:hAnsi="Arial" w:cs="Arial"/>
          <w:bCs/>
          <w:sz w:val="18"/>
          <w:szCs w:val="18"/>
        </w:rPr>
        <w:t>We</w:t>
      </w:r>
      <w:r w:rsidR="002720C2">
        <w:rPr>
          <w:rFonts w:ascii="Arial" w:hAnsi="Arial" w:cs="Arial"/>
          <w:bCs/>
          <w:sz w:val="18"/>
          <w:szCs w:val="18"/>
        </w:rPr>
        <w:t xml:space="preserve"> announced </w:t>
      </w:r>
      <w:r w:rsidR="00986D7E">
        <w:rPr>
          <w:rFonts w:ascii="Arial" w:hAnsi="Arial" w:cs="Arial"/>
          <w:bCs/>
          <w:sz w:val="18"/>
          <w:szCs w:val="18"/>
        </w:rPr>
        <w:t>in November 2018 the decision to exit these markets.</w:t>
      </w:r>
    </w:p>
    <w:p w14:paraId="0542C2DD" w14:textId="77777777" w:rsidR="006B76C1" w:rsidRDefault="006B76C1" w:rsidP="002B1883">
      <w:pPr>
        <w:jc w:val="both"/>
        <w:rPr>
          <w:rFonts w:ascii="Arial" w:hAnsi="Arial" w:cs="Arial"/>
          <w:bCs/>
          <w:sz w:val="18"/>
          <w:szCs w:val="18"/>
        </w:rPr>
      </w:pPr>
    </w:p>
    <w:p w14:paraId="6D3A3C19" w14:textId="77777777" w:rsidR="00C214E3" w:rsidRDefault="00622D57" w:rsidP="002B1883">
      <w:pPr>
        <w:jc w:val="both"/>
        <w:rPr>
          <w:rFonts w:ascii="Arial" w:hAnsi="Arial" w:cs="Arial"/>
          <w:bCs/>
          <w:sz w:val="18"/>
          <w:szCs w:val="18"/>
        </w:rPr>
      </w:pPr>
      <w:r>
        <w:rPr>
          <w:rFonts w:ascii="Arial" w:hAnsi="Arial" w:cs="Arial"/>
          <w:bCs/>
          <w:sz w:val="18"/>
          <w:szCs w:val="18"/>
        </w:rPr>
        <w:t>Costs of £</w:t>
      </w:r>
      <w:r w:rsidR="00CD4AC1">
        <w:rPr>
          <w:rFonts w:ascii="Arial" w:hAnsi="Arial" w:cs="Arial"/>
          <w:bCs/>
          <w:sz w:val="18"/>
          <w:szCs w:val="18"/>
        </w:rPr>
        <w:t>12m have been recognised relating to B&amp;Q redundancies associated with the local transfer of store replenishment routines from the night-time into the daytime.</w:t>
      </w:r>
    </w:p>
    <w:p w14:paraId="6E20848A" w14:textId="77777777" w:rsidR="00CD4AC1" w:rsidRDefault="00CD4AC1" w:rsidP="002B1883">
      <w:pPr>
        <w:jc w:val="both"/>
        <w:rPr>
          <w:rFonts w:ascii="Arial" w:hAnsi="Arial" w:cs="Arial"/>
          <w:bCs/>
          <w:sz w:val="18"/>
          <w:szCs w:val="18"/>
        </w:rPr>
      </w:pPr>
    </w:p>
    <w:p w14:paraId="70898CE7" w14:textId="77777777" w:rsidR="00CD4AC1" w:rsidRDefault="00536EA9" w:rsidP="002B1883">
      <w:pPr>
        <w:jc w:val="both"/>
        <w:rPr>
          <w:rFonts w:ascii="Arial" w:hAnsi="Arial" w:cs="Arial"/>
          <w:bCs/>
          <w:sz w:val="18"/>
          <w:szCs w:val="18"/>
        </w:rPr>
      </w:pPr>
      <w:r>
        <w:rPr>
          <w:rFonts w:ascii="Arial" w:hAnsi="Arial" w:cs="Arial"/>
          <w:bCs/>
          <w:sz w:val="18"/>
          <w:szCs w:val="18"/>
        </w:rPr>
        <w:t xml:space="preserve">Romania acquisition integration costs of £15m principally comprise the costs of </w:t>
      </w:r>
      <w:r w:rsidR="006F77C5">
        <w:rPr>
          <w:rFonts w:ascii="Arial" w:hAnsi="Arial" w:cs="Arial"/>
          <w:bCs/>
          <w:sz w:val="18"/>
          <w:szCs w:val="18"/>
        </w:rPr>
        <w:t xml:space="preserve">closure </w:t>
      </w:r>
      <w:r w:rsidR="00DF1D44">
        <w:rPr>
          <w:rFonts w:ascii="Arial" w:hAnsi="Arial" w:cs="Arial"/>
          <w:bCs/>
          <w:sz w:val="18"/>
          <w:szCs w:val="18"/>
        </w:rPr>
        <w:t xml:space="preserve">of </w:t>
      </w:r>
      <w:r w:rsidR="00620D7A">
        <w:rPr>
          <w:rFonts w:ascii="Arial" w:hAnsi="Arial" w:cs="Arial"/>
          <w:bCs/>
          <w:sz w:val="18"/>
          <w:szCs w:val="18"/>
        </w:rPr>
        <w:t xml:space="preserve">certain </w:t>
      </w:r>
      <w:r w:rsidR="00DF1D44">
        <w:rPr>
          <w:rFonts w:ascii="Arial" w:hAnsi="Arial" w:cs="Arial"/>
          <w:bCs/>
          <w:sz w:val="18"/>
          <w:szCs w:val="18"/>
        </w:rPr>
        <w:t>Praktiker stores acquired in November 2017</w:t>
      </w:r>
      <w:r w:rsidR="00620D7A">
        <w:rPr>
          <w:rFonts w:ascii="Arial" w:hAnsi="Arial" w:cs="Arial"/>
          <w:bCs/>
          <w:sz w:val="18"/>
          <w:szCs w:val="18"/>
        </w:rPr>
        <w:t>.</w:t>
      </w:r>
    </w:p>
    <w:p w14:paraId="67EF73F9" w14:textId="77777777" w:rsidR="00620D7A" w:rsidRDefault="00620D7A" w:rsidP="002B1883">
      <w:pPr>
        <w:jc w:val="both"/>
        <w:rPr>
          <w:rFonts w:ascii="Arial" w:hAnsi="Arial" w:cs="Arial"/>
          <w:bCs/>
          <w:sz w:val="18"/>
          <w:szCs w:val="18"/>
        </w:rPr>
      </w:pPr>
    </w:p>
    <w:p w14:paraId="6841139C" w14:textId="77777777" w:rsidR="00620D7A" w:rsidRDefault="00286A58" w:rsidP="002B1883">
      <w:pPr>
        <w:jc w:val="both"/>
        <w:rPr>
          <w:rFonts w:ascii="Arial" w:hAnsi="Arial" w:cs="Arial"/>
          <w:bCs/>
          <w:sz w:val="18"/>
          <w:szCs w:val="18"/>
        </w:rPr>
      </w:pPr>
      <w:r>
        <w:rPr>
          <w:rFonts w:ascii="Arial" w:hAnsi="Arial" w:cs="Arial"/>
          <w:bCs/>
          <w:sz w:val="18"/>
          <w:szCs w:val="18"/>
        </w:rPr>
        <w:t xml:space="preserve">Our businesses in </w:t>
      </w:r>
      <w:r w:rsidR="00011966">
        <w:rPr>
          <w:rFonts w:ascii="Arial" w:hAnsi="Arial" w:cs="Arial"/>
          <w:bCs/>
          <w:sz w:val="18"/>
          <w:szCs w:val="18"/>
        </w:rPr>
        <w:t>France</w:t>
      </w:r>
      <w:r>
        <w:rPr>
          <w:rFonts w:ascii="Arial" w:hAnsi="Arial" w:cs="Arial"/>
          <w:bCs/>
          <w:sz w:val="18"/>
          <w:szCs w:val="18"/>
        </w:rPr>
        <w:t xml:space="preserve"> have experienced significant disruption from national demonstrations. In</w:t>
      </w:r>
      <w:r w:rsidR="00301C8F">
        <w:rPr>
          <w:rFonts w:ascii="Arial" w:hAnsi="Arial" w:cs="Arial"/>
          <w:bCs/>
          <w:sz w:val="18"/>
          <w:szCs w:val="18"/>
        </w:rPr>
        <w:t xml:space="preserve"> line with a number of </w:t>
      </w:r>
      <w:r>
        <w:rPr>
          <w:rFonts w:ascii="Arial" w:hAnsi="Arial" w:cs="Arial"/>
          <w:bCs/>
          <w:sz w:val="18"/>
          <w:szCs w:val="18"/>
        </w:rPr>
        <w:t xml:space="preserve">other </w:t>
      </w:r>
      <w:r w:rsidR="00301C8F">
        <w:rPr>
          <w:rFonts w:ascii="Arial" w:hAnsi="Arial" w:cs="Arial"/>
          <w:bCs/>
          <w:sz w:val="18"/>
          <w:szCs w:val="18"/>
        </w:rPr>
        <w:t xml:space="preserve">large corporates, we have committed to </w:t>
      </w:r>
      <w:r w:rsidR="00BE3FDD">
        <w:rPr>
          <w:rFonts w:ascii="Arial" w:hAnsi="Arial" w:cs="Arial"/>
          <w:bCs/>
          <w:sz w:val="18"/>
          <w:szCs w:val="18"/>
        </w:rPr>
        <w:t xml:space="preserve">paying our staff </w:t>
      </w:r>
      <w:r w:rsidR="00301C8F">
        <w:rPr>
          <w:rFonts w:ascii="Arial" w:hAnsi="Arial" w:cs="Arial"/>
          <w:bCs/>
          <w:sz w:val="18"/>
          <w:szCs w:val="18"/>
        </w:rPr>
        <w:t xml:space="preserve">an exceptional end-of-year </w:t>
      </w:r>
      <w:r w:rsidR="00624327">
        <w:rPr>
          <w:rFonts w:ascii="Arial" w:hAnsi="Arial" w:cs="Arial"/>
          <w:bCs/>
          <w:sz w:val="18"/>
          <w:szCs w:val="18"/>
        </w:rPr>
        <w:t>bonus</w:t>
      </w:r>
      <w:r>
        <w:rPr>
          <w:rFonts w:ascii="Arial" w:hAnsi="Arial" w:cs="Arial"/>
          <w:bCs/>
          <w:sz w:val="18"/>
          <w:szCs w:val="18"/>
        </w:rPr>
        <w:t>, resulting in a</w:t>
      </w:r>
      <w:r w:rsidR="006B7EAC">
        <w:rPr>
          <w:rFonts w:ascii="Arial" w:hAnsi="Arial" w:cs="Arial"/>
          <w:bCs/>
          <w:sz w:val="18"/>
          <w:szCs w:val="18"/>
        </w:rPr>
        <w:t xml:space="preserve"> </w:t>
      </w:r>
      <w:r>
        <w:rPr>
          <w:rFonts w:ascii="Arial" w:hAnsi="Arial" w:cs="Arial"/>
          <w:bCs/>
          <w:sz w:val="18"/>
          <w:szCs w:val="18"/>
        </w:rPr>
        <w:t>charge of £6m</w:t>
      </w:r>
      <w:r w:rsidR="006B7EAC">
        <w:rPr>
          <w:rFonts w:ascii="Arial" w:hAnsi="Arial" w:cs="Arial"/>
          <w:bCs/>
          <w:sz w:val="18"/>
          <w:szCs w:val="18"/>
        </w:rPr>
        <w:t xml:space="preserve"> in the year</w:t>
      </w:r>
      <w:r>
        <w:rPr>
          <w:rFonts w:ascii="Arial" w:hAnsi="Arial" w:cs="Arial"/>
          <w:bCs/>
          <w:sz w:val="18"/>
          <w:szCs w:val="18"/>
        </w:rPr>
        <w:t>.</w:t>
      </w:r>
    </w:p>
    <w:p w14:paraId="239A470D" w14:textId="77777777" w:rsidR="0073263E" w:rsidRDefault="0073263E" w:rsidP="002B1883">
      <w:pPr>
        <w:jc w:val="both"/>
        <w:rPr>
          <w:rFonts w:ascii="Arial" w:hAnsi="Arial" w:cs="Arial"/>
          <w:bCs/>
          <w:sz w:val="18"/>
          <w:szCs w:val="18"/>
        </w:rPr>
      </w:pPr>
    </w:p>
    <w:p w14:paraId="70A48F77" w14:textId="37AAE3F3" w:rsidR="002B1883" w:rsidRDefault="002B1883" w:rsidP="002B1883">
      <w:pPr>
        <w:jc w:val="both"/>
        <w:rPr>
          <w:rFonts w:ascii="Arial" w:hAnsi="Arial" w:cs="Arial"/>
          <w:bCs/>
          <w:sz w:val="18"/>
          <w:szCs w:val="18"/>
          <w:highlight w:val="yellow"/>
        </w:rPr>
      </w:pPr>
      <w:r w:rsidRPr="002B1883">
        <w:rPr>
          <w:rFonts w:ascii="Arial" w:hAnsi="Arial" w:cs="Arial"/>
          <w:bCs/>
          <w:sz w:val="18"/>
          <w:szCs w:val="18"/>
        </w:rPr>
        <w:t>In February 2018, the Group commenced formal consultation with employee representatives regarding its plans in France to restructure the business as part of the Group’s transformation plan. Transformation exceptional costs of £5</w:t>
      </w:r>
      <w:r>
        <w:rPr>
          <w:rFonts w:ascii="Arial" w:hAnsi="Arial" w:cs="Arial"/>
          <w:bCs/>
          <w:sz w:val="18"/>
          <w:szCs w:val="18"/>
        </w:rPr>
        <w:t>8</w:t>
      </w:r>
      <w:r w:rsidRPr="002B1883">
        <w:rPr>
          <w:rFonts w:ascii="Arial" w:hAnsi="Arial" w:cs="Arial"/>
          <w:bCs/>
          <w:sz w:val="18"/>
          <w:szCs w:val="18"/>
        </w:rPr>
        <w:t xml:space="preserve">m have been recorded in the </w:t>
      </w:r>
      <w:r w:rsidR="003C59EB">
        <w:rPr>
          <w:rFonts w:ascii="Arial" w:hAnsi="Arial" w:cs="Arial"/>
          <w:bCs/>
          <w:sz w:val="18"/>
          <w:szCs w:val="18"/>
        </w:rPr>
        <w:t>year</w:t>
      </w:r>
      <w:r w:rsidRPr="002B1883">
        <w:rPr>
          <w:rFonts w:ascii="Arial" w:hAnsi="Arial" w:cs="Arial"/>
          <w:bCs/>
          <w:sz w:val="18"/>
          <w:szCs w:val="18"/>
        </w:rPr>
        <w:t>, principally representing restructuring costs in France of £3</w:t>
      </w:r>
      <w:r>
        <w:rPr>
          <w:rFonts w:ascii="Arial" w:hAnsi="Arial" w:cs="Arial"/>
          <w:bCs/>
          <w:sz w:val="18"/>
          <w:szCs w:val="18"/>
        </w:rPr>
        <w:t>9</w:t>
      </w:r>
      <w:r w:rsidRPr="002B1883">
        <w:rPr>
          <w:rFonts w:ascii="Arial" w:hAnsi="Arial" w:cs="Arial"/>
          <w:bCs/>
          <w:sz w:val="18"/>
          <w:szCs w:val="18"/>
        </w:rPr>
        <w:t>m and other costs of people change in the UK.</w:t>
      </w:r>
    </w:p>
    <w:p w14:paraId="7420CEF3" w14:textId="77777777" w:rsidR="002B1883" w:rsidRPr="00257060" w:rsidRDefault="002B1883" w:rsidP="00FA21A3">
      <w:pPr>
        <w:jc w:val="both"/>
        <w:rPr>
          <w:rFonts w:ascii="Arial" w:hAnsi="Arial" w:cs="Arial"/>
          <w:bCs/>
          <w:sz w:val="18"/>
          <w:szCs w:val="18"/>
        </w:rPr>
      </w:pPr>
    </w:p>
    <w:p w14:paraId="29B030E5" w14:textId="77777777" w:rsidR="00107659" w:rsidRDefault="003760BE" w:rsidP="00FA21A3">
      <w:pPr>
        <w:jc w:val="both"/>
        <w:rPr>
          <w:rFonts w:ascii="Arial" w:hAnsi="Arial" w:cs="Arial"/>
          <w:bCs/>
          <w:sz w:val="18"/>
          <w:szCs w:val="18"/>
        </w:rPr>
      </w:pPr>
      <w:r w:rsidRPr="00257060">
        <w:rPr>
          <w:rFonts w:ascii="Arial" w:hAnsi="Arial" w:cs="Arial"/>
          <w:bCs/>
          <w:sz w:val="18"/>
          <w:szCs w:val="18"/>
        </w:rPr>
        <w:t>In the UK we have incurred a £5m charge for the equalisation of guaranteed minimum pension benefits between men and women.</w:t>
      </w:r>
      <w:r w:rsidR="00257060" w:rsidRPr="00257060">
        <w:rPr>
          <w:rFonts w:ascii="Arial" w:hAnsi="Arial" w:cs="Arial"/>
          <w:bCs/>
          <w:sz w:val="18"/>
          <w:szCs w:val="18"/>
        </w:rPr>
        <w:t xml:space="preserve"> This increases the liabilities of our UK defined benefit scheme, which was closed to future accrual in 2012.</w:t>
      </w:r>
    </w:p>
    <w:p w14:paraId="67509B54" w14:textId="77777777" w:rsidR="00474F00" w:rsidRDefault="00474F00" w:rsidP="00FA21A3">
      <w:pPr>
        <w:jc w:val="both"/>
        <w:rPr>
          <w:rFonts w:ascii="Arial" w:hAnsi="Arial" w:cs="Arial"/>
          <w:bCs/>
          <w:sz w:val="18"/>
          <w:szCs w:val="18"/>
        </w:rPr>
      </w:pPr>
    </w:p>
    <w:p w14:paraId="1A63D310" w14:textId="77777777" w:rsidR="00474F00" w:rsidRPr="00257060" w:rsidRDefault="00F838F0" w:rsidP="00FA21A3">
      <w:pPr>
        <w:jc w:val="both"/>
        <w:rPr>
          <w:rFonts w:ascii="Arial" w:hAnsi="Arial" w:cs="Arial"/>
          <w:bCs/>
          <w:sz w:val="18"/>
          <w:szCs w:val="18"/>
        </w:rPr>
      </w:pPr>
      <w:r>
        <w:rPr>
          <w:rFonts w:ascii="Arial" w:hAnsi="Arial" w:cs="Arial"/>
          <w:bCs/>
          <w:sz w:val="18"/>
          <w:szCs w:val="18"/>
        </w:rPr>
        <w:t xml:space="preserve">A profit of £29m has been recorded on the disposal of properties in the UK and France. </w:t>
      </w:r>
      <w:r w:rsidR="003F6733">
        <w:rPr>
          <w:rFonts w:ascii="Arial" w:hAnsi="Arial" w:cs="Arial"/>
          <w:bCs/>
          <w:sz w:val="18"/>
          <w:szCs w:val="18"/>
        </w:rPr>
        <w:t>In addition, i</w:t>
      </w:r>
      <w:r>
        <w:rPr>
          <w:rFonts w:ascii="Arial" w:hAnsi="Arial" w:cs="Arial"/>
          <w:bCs/>
          <w:sz w:val="18"/>
          <w:szCs w:val="18"/>
        </w:rPr>
        <w:t xml:space="preserve">mpairment losses of £57m have been recognised in advance of planned disposals for properties </w:t>
      </w:r>
      <w:r w:rsidR="00B322AE">
        <w:rPr>
          <w:rFonts w:ascii="Arial" w:hAnsi="Arial" w:cs="Arial"/>
          <w:bCs/>
          <w:sz w:val="18"/>
          <w:szCs w:val="18"/>
        </w:rPr>
        <w:t xml:space="preserve">classified as </w:t>
      </w:r>
      <w:r>
        <w:rPr>
          <w:rFonts w:ascii="Arial" w:hAnsi="Arial" w:cs="Arial"/>
          <w:bCs/>
          <w:sz w:val="18"/>
          <w:szCs w:val="18"/>
        </w:rPr>
        <w:t>held for sale</w:t>
      </w:r>
      <w:r w:rsidR="00B322AE">
        <w:rPr>
          <w:rFonts w:ascii="Arial" w:hAnsi="Arial" w:cs="Arial"/>
          <w:bCs/>
          <w:sz w:val="18"/>
          <w:szCs w:val="18"/>
        </w:rPr>
        <w:t xml:space="preserve"> in the UK and Poland</w:t>
      </w:r>
      <w:bookmarkEnd w:id="8"/>
      <w:r>
        <w:rPr>
          <w:rFonts w:ascii="Arial" w:hAnsi="Arial" w:cs="Arial"/>
          <w:bCs/>
          <w:sz w:val="18"/>
          <w:szCs w:val="18"/>
        </w:rPr>
        <w:t>.</w:t>
      </w:r>
    </w:p>
    <w:bookmarkEnd w:id="7"/>
    <w:bookmarkEnd w:id="9"/>
    <w:p w14:paraId="02A4D5B9" w14:textId="77777777" w:rsidR="00E3482A" w:rsidRPr="000307F1" w:rsidRDefault="00E3482A" w:rsidP="00EB5AFD">
      <w:pPr>
        <w:rPr>
          <w:rFonts w:ascii="Arial" w:hAnsi="Arial" w:cs="Arial"/>
          <w:spacing w:val="-3"/>
          <w:sz w:val="18"/>
          <w:szCs w:val="18"/>
        </w:rPr>
      </w:pPr>
    </w:p>
    <w:p w14:paraId="08A7C392" w14:textId="77777777" w:rsidR="00237980" w:rsidRDefault="00063243" w:rsidP="00FD32C6">
      <w:r>
        <w:br w:type="page"/>
      </w:r>
    </w:p>
    <w:p w14:paraId="270675B6" w14:textId="77777777" w:rsidR="005028B9" w:rsidRDefault="00F764F7" w:rsidP="00F764F7">
      <w:pPr>
        <w:pStyle w:val="Heading1"/>
        <w:ind w:left="-456"/>
        <w:rPr>
          <w:rFonts w:ascii="Arial" w:hAnsi="Arial" w:cs="Arial"/>
          <w:szCs w:val="18"/>
        </w:rPr>
      </w:pPr>
      <w:bookmarkStart w:id="10" w:name="_Hlk2341759"/>
      <w:r>
        <w:rPr>
          <w:rFonts w:ascii="Arial" w:hAnsi="Arial" w:cs="Arial"/>
          <w:szCs w:val="18"/>
        </w:rPr>
        <w:lastRenderedPageBreak/>
        <w:t>5</w:t>
      </w:r>
      <w:r>
        <w:rPr>
          <w:rFonts w:ascii="Arial" w:hAnsi="Arial" w:cs="Arial"/>
          <w:szCs w:val="18"/>
        </w:rPr>
        <w:tab/>
      </w:r>
      <w:r w:rsidR="00DC25B4" w:rsidRPr="00EF1091">
        <w:rPr>
          <w:rFonts w:ascii="Arial" w:hAnsi="Arial" w:cs="Arial"/>
          <w:szCs w:val="18"/>
        </w:rPr>
        <w:t xml:space="preserve">Net finance </w:t>
      </w:r>
      <w:r w:rsidR="002C7BBF">
        <w:rPr>
          <w:rFonts w:ascii="Arial" w:hAnsi="Arial" w:cs="Arial"/>
          <w:szCs w:val="18"/>
        </w:rPr>
        <w:t>costs</w:t>
      </w:r>
    </w:p>
    <w:p w14:paraId="3DDE7E08" w14:textId="77777777" w:rsidR="00DC25B4" w:rsidRPr="00EF1091" w:rsidRDefault="00DC25B4" w:rsidP="005028B9">
      <w:pPr>
        <w:pStyle w:val="Heading1"/>
        <w:ind w:left="-456"/>
      </w:pPr>
    </w:p>
    <w:tbl>
      <w:tblPr>
        <w:tblW w:w="5001" w:type="pct"/>
        <w:tblLook w:val="0000" w:firstRow="0" w:lastRow="0" w:firstColumn="0" w:lastColumn="0" w:noHBand="0" w:noVBand="0"/>
      </w:tblPr>
      <w:tblGrid>
        <w:gridCol w:w="6662"/>
        <w:gridCol w:w="1593"/>
        <w:gridCol w:w="1386"/>
      </w:tblGrid>
      <w:tr w:rsidR="00B11F69" w:rsidRPr="00D83C7E" w14:paraId="5CE8E3D0" w14:textId="77777777" w:rsidTr="00281AF4">
        <w:trPr>
          <w:trHeight w:val="240"/>
        </w:trPr>
        <w:tc>
          <w:tcPr>
            <w:tcW w:w="3455" w:type="pct"/>
            <w:tcBorders>
              <w:top w:val="nil"/>
              <w:left w:val="nil"/>
              <w:bottom w:val="single" w:sz="4" w:space="0" w:color="auto"/>
              <w:right w:val="nil"/>
            </w:tcBorders>
            <w:noWrap/>
            <w:vAlign w:val="bottom"/>
          </w:tcPr>
          <w:p w14:paraId="1B95C8F8" w14:textId="77777777" w:rsidR="00B11F69" w:rsidRPr="0018754E" w:rsidRDefault="00B11F69" w:rsidP="00B11F69">
            <w:pPr>
              <w:rPr>
                <w:rFonts w:ascii="Arial" w:hAnsi="Arial" w:cs="Arial"/>
                <w:sz w:val="18"/>
                <w:szCs w:val="18"/>
              </w:rPr>
            </w:pPr>
            <w:r w:rsidRPr="0018754E">
              <w:rPr>
                <w:rFonts w:ascii="Arial" w:hAnsi="Arial" w:cs="Arial"/>
                <w:sz w:val="18"/>
                <w:szCs w:val="18"/>
              </w:rPr>
              <w:t>£ millions</w:t>
            </w:r>
          </w:p>
        </w:tc>
        <w:tc>
          <w:tcPr>
            <w:tcW w:w="826" w:type="pct"/>
            <w:tcBorders>
              <w:top w:val="nil"/>
              <w:left w:val="nil"/>
              <w:bottom w:val="single" w:sz="4" w:space="0" w:color="auto"/>
              <w:right w:val="nil"/>
            </w:tcBorders>
            <w:noWrap/>
            <w:vAlign w:val="bottom"/>
          </w:tcPr>
          <w:p w14:paraId="5C4B9BF9" w14:textId="77777777" w:rsidR="00B11F69" w:rsidRPr="0018754E" w:rsidRDefault="00B11F69" w:rsidP="00010337">
            <w:pPr>
              <w:jc w:val="right"/>
              <w:rPr>
                <w:rFonts w:ascii="Arial" w:hAnsi="Arial" w:cs="Arial"/>
                <w:bCs/>
                <w:sz w:val="18"/>
                <w:szCs w:val="18"/>
              </w:rPr>
            </w:pPr>
            <w:r w:rsidRPr="0018754E">
              <w:rPr>
                <w:rFonts w:ascii="Arial" w:hAnsi="Arial" w:cs="Arial"/>
                <w:bCs/>
                <w:sz w:val="18"/>
                <w:szCs w:val="18"/>
              </w:rPr>
              <w:t>201</w:t>
            </w:r>
            <w:r w:rsidR="00DD071B" w:rsidRPr="0018754E">
              <w:rPr>
                <w:rFonts w:ascii="Arial" w:hAnsi="Arial" w:cs="Arial"/>
                <w:bCs/>
                <w:sz w:val="18"/>
                <w:szCs w:val="18"/>
              </w:rPr>
              <w:t>8</w:t>
            </w:r>
            <w:r w:rsidRPr="0018754E">
              <w:rPr>
                <w:rFonts w:ascii="Arial" w:hAnsi="Arial" w:cs="Arial"/>
                <w:bCs/>
                <w:sz w:val="18"/>
                <w:szCs w:val="18"/>
              </w:rPr>
              <w:t>/1</w:t>
            </w:r>
            <w:r w:rsidR="00DD071B" w:rsidRPr="0018754E">
              <w:rPr>
                <w:rFonts w:ascii="Arial" w:hAnsi="Arial" w:cs="Arial"/>
                <w:bCs/>
                <w:sz w:val="18"/>
                <w:szCs w:val="18"/>
              </w:rPr>
              <w:t>9</w:t>
            </w:r>
          </w:p>
        </w:tc>
        <w:tc>
          <w:tcPr>
            <w:tcW w:w="719" w:type="pct"/>
            <w:tcBorders>
              <w:top w:val="nil"/>
              <w:left w:val="nil"/>
              <w:bottom w:val="single" w:sz="4" w:space="0" w:color="auto"/>
              <w:right w:val="nil"/>
            </w:tcBorders>
            <w:vAlign w:val="bottom"/>
          </w:tcPr>
          <w:p w14:paraId="5BAB7D0B" w14:textId="77777777" w:rsidR="00B11F69" w:rsidRPr="0018754E" w:rsidRDefault="000206F0" w:rsidP="00010337">
            <w:pPr>
              <w:jc w:val="right"/>
              <w:rPr>
                <w:rFonts w:ascii="Arial" w:hAnsi="Arial" w:cs="Arial"/>
                <w:bCs/>
                <w:sz w:val="18"/>
                <w:szCs w:val="18"/>
              </w:rPr>
            </w:pPr>
            <w:r w:rsidRPr="0018754E">
              <w:rPr>
                <w:rFonts w:ascii="Arial" w:hAnsi="Arial" w:cs="Arial"/>
                <w:bCs/>
                <w:sz w:val="18"/>
                <w:szCs w:val="18"/>
              </w:rPr>
              <w:t>201</w:t>
            </w:r>
            <w:r w:rsidR="00DD071B" w:rsidRPr="0018754E">
              <w:rPr>
                <w:rFonts w:ascii="Arial" w:hAnsi="Arial" w:cs="Arial"/>
                <w:bCs/>
                <w:sz w:val="18"/>
                <w:szCs w:val="18"/>
              </w:rPr>
              <w:t>7</w:t>
            </w:r>
            <w:r w:rsidRPr="0018754E">
              <w:rPr>
                <w:rFonts w:ascii="Arial" w:hAnsi="Arial" w:cs="Arial"/>
                <w:bCs/>
                <w:sz w:val="18"/>
                <w:szCs w:val="18"/>
              </w:rPr>
              <w:t>/1</w:t>
            </w:r>
            <w:r w:rsidR="00DD071B" w:rsidRPr="0018754E">
              <w:rPr>
                <w:rFonts w:ascii="Arial" w:hAnsi="Arial" w:cs="Arial"/>
                <w:bCs/>
                <w:sz w:val="18"/>
                <w:szCs w:val="18"/>
              </w:rPr>
              <w:t>8</w:t>
            </w:r>
          </w:p>
        </w:tc>
      </w:tr>
      <w:tr w:rsidR="00DD071B" w:rsidRPr="00EF1091" w14:paraId="09D5E16E" w14:textId="77777777" w:rsidTr="00281AF4">
        <w:trPr>
          <w:trHeight w:val="240"/>
        </w:trPr>
        <w:tc>
          <w:tcPr>
            <w:tcW w:w="3455" w:type="pct"/>
            <w:tcBorders>
              <w:top w:val="nil"/>
              <w:left w:val="nil"/>
              <w:right w:val="nil"/>
            </w:tcBorders>
            <w:noWrap/>
            <w:vAlign w:val="bottom"/>
          </w:tcPr>
          <w:p w14:paraId="6D789414" w14:textId="77777777" w:rsidR="00DD071B" w:rsidRPr="0018754E" w:rsidRDefault="00DD071B" w:rsidP="00DD071B">
            <w:pPr>
              <w:rPr>
                <w:rFonts w:ascii="Arial" w:hAnsi="Arial" w:cs="Arial"/>
                <w:sz w:val="18"/>
                <w:szCs w:val="18"/>
              </w:rPr>
            </w:pPr>
            <w:r w:rsidRPr="0018754E">
              <w:rPr>
                <w:rFonts w:ascii="Arial" w:hAnsi="Arial" w:cs="Arial"/>
                <w:sz w:val="18"/>
                <w:szCs w:val="18"/>
              </w:rPr>
              <w:t>Bank overdrafts and bank loans</w:t>
            </w:r>
          </w:p>
        </w:tc>
        <w:tc>
          <w:tcPr>
            <w:tcW w:w="826" w:type="pct"/>
            <w:tcBorders>
              <w:top w:val="nil"/>
              <w:left w:val="nil"/>
              <w:right w:val="nil"/>
            </w:tcBorders>
            <w:noWrap/>
            <w:vAlign w:val="bottom"/>
          </w:tcPr>
          <w:p w14:paraId="45D5A439" w14:textId="77777777" w:rsidR="00DD071B" w:rsidRPr="0018754E" w:rsidRDefault="00DD071B" w:rsidP="00DD071B">
            <w:pPr>
              <w:jc w:val="right"/>
              <w:rPr>
                <w:rFonts w:ascii="Arial" w:hAnsi="Arial" w:cs="Arial"/>
                <w:b/>
                <w:sz w:val="18"/>
                <w:szCs w:val="18"/>
              </w:rPr>
            </w:pPr>
            <w:r w:rsidRPr="0018754E">
              <w:rPr>
                <w:rFonts w:ascii="Arial" w:hAnsi="Arial" w:cs="Arial"/>
                <w:b/>
                <w:sz w:val="18"/>
                <w:szCs w:val="18"/>
              </w:rPr>
              <w:t>(</w:t>
            </w:r>
            <w:r w:rsidR="009443D5" w:rsidRPr="0018754E">
              <w:rPr>
                <w:rFonts w:ascii="Arial" w:hAnsi="Arial" w:cs="Arial"/>
                <w:b/>
                <w:sz w:val="18"/>
                <w:szCs w:val="18"/>
              </w:rPr>
              <w:t>15</w:t>
            </w:r>
            <w:r w:rsidRPr="0018754E">
              <w:rPr>
                <w:rFonts w:ascii="Arial" w:hAnsi="Arial" w:cs="Arial"/>
                <w:b/>
                <w:sz w:val="18"/>
                <w:szCs w:val="18"/>
              </w:rPr>
              <w:t>)</w:t>
            </w:r>
          </w:p>
        </w:tc>
        <w:tc>
          <w:tcPr>
            <w:tcW w:w="719" w:type="pct"/>
            <w:tcBorders>
              <w:top w:val="nil"/>
              <w:left w:val="nil"/>
              <w:right w:val="nil"/>
            </w:tcBorders>
            <w:vAlign w:val="bottom"/>
          </w:tcPr>
          <w:p w14:paraId="3009FA58" w14:textId="77777777" w:rsidR="00DD071B" w:rsidRPr="0018754E" w:rsidRDefault="00DD071B" w:rsidP="00DD071B">
            <w:pPr>
              <w:jc w:val="right"/>
              <w:rPr>
                <w:rFonts w:ascii="Arial" w:hAnsi="Arial" w:cs="Arial"/>
                <w:sz w:val="18"/>
                <w:szCs w:val="18"/>
              </w:rPr>
            </w:pPr>
            <w:r w:rsidRPr="0018754E">
              <w:rPr>
                <w:rFonts w:ascii="Arial" w:hAnsi="Arial" w:cs="Arial"/>
                <w:sz w:val="18"/>
                <w:szCs w:val="18"/>
              </w:rPr>
              <w:t>(10)</w:t>
            </w:r>
          </w:p>
        </w:tc>
      </w:tr>
      <w:tr w:rsidR="00DD071B" w:rsidRPr="00EF1091" w14:paraId="6DDC245E" w14:textId="77777777" w:rsidTr="00281AF4">
        <w:trPr>
          <w:trHeight w:val="240"/>
        </w:trPr>
        <w:tc>
          <w:tcPr>
            <w:tcW w:w="3455" w:type="pct"/>
            <w:tcBorders>
              <w:top w:val="nil"/>
              <w:left w:val="nil"/>
              <w:right w:val="nil"/>
            </w:tcBorders>
            <w:noWrap/>
            <w:vAlign w:val="bottom"/>
          </w:tcPr>
          <w:p w14:paraId="6D35FC2B" w14:textId="71368B8C" w:rsidR="00DD071B" w:rsidRPr="0018754E" w:rsidRDefault="00E34FFA" w:rsidP="00DD071B">
            <w:pPr>
              <w:rPr>
                <w:rFonts w:ascii="Arial" w:hAnsi="Arial" w:cs="Arial"/>
                <w:sz w:val="18"/>
                <w:szCs w:val="18"/>
              </w:rPr>
            </w:pPr>
            <w:r>
              <w:rPr>
                <w:rFonts w:ascii="Arial" w:hAnsi="Arial" w:cs="Arial"/>
                <w:sz w:val="18"/>
                <w:szCs w:val="18"/>
              </w:rPr>
              <w:t>F</w:t>
            </w:r>
            <w:r w:rsidR="00DD071B" w:rsidRPr="0018754E">
              <w:rPr>
                <w:rFonts w:ascii="Arial" w:hAnsi="Arial" w:cs="Arial"/>
                <w:sz w:val="18"/>
                <w:szCs w:val="18"/>
              </w:rPr>
              <w:t>ixed term debt</w:t>
            </w:r>
          </w:p>
        </w:tc>
        <w:tc>
          <w:tcPr>
            <w:tcW w:w="826" w:type="pct"/>
            <w:tcBorders>
              <w:top w:val="nil"/>
              <w:left w:val="nil"/>
              <w:right w:val="nil"/>
            </w:tcBorders>
            <w:noWrap/>
            <w:vAlign w:val="bottom"/>
          </w:tcPr>
          <w:p w14:paraId="4B17FB33" w14:textId="77777777" w:rsidR="00DD071B" w:rsidRPr="0018754E" w:rsidRDefault="00DD071B" w:rsidP="00DD071B">
            <w:pPr>
              <w:jc w:val="right"/>
              <w:rPr>
                <w:rFonts w:ascii="Arial" w:hAnsi="Arial" w:cs="Arial"/>
                <w:b/>
                <w:sz w:val="18"/>
                <w:szCs w:val="18"/>
              </w:rPr>
            </w:pPr>
            <w:r w:rsidRPr="0018754E">
              <w:rPr>
                <w:rFonts w:ascii="Arial" w:hAnsi="Arial" w:cs="Arial"/>
                <w:b/>
                <w:sz w:val="18"/>
                <w:szCs w:val="18"/>
              </w:rPr>
              <w:t>(</w:t>
            </w:r>
            <w:r w:rsidR="009443D5" w:rsidRPr="0018754E">
              <w:rPr>
                <w:rFonts w:ascii="Arial" w:hAnsi="Arial" w:cs="Arial"/>
                <w:b/>
                <w:sz w:val="18"/>
                <w:szCs w:val="18"/>
              </w:rPr>
              <w:t>3</w:t>
            </w:r>
            <w:r w:rsidRPr="0018754E">
              <w:rPr>
                <w:rFonts w:ascii="Arial" w:hAnsi="Arial" w:cs="Arial"/>
                <w:b/>
                <w:sz w:val="18"/>
                <w:szCs w:val="18"/>
              </w:rPr>
              <w:t>)</w:t>
            </w:r>
          </w:p>
        </w:tc>
        <w:tc>
          <w:tcPr>
            <w:tcW w:w="719" w:type="pct"/>
            <w:tcBorders>
              <w:top w:val="nil"/>
              <w:left w:val="nil"/>
              <w:right w:val="nil"/>
            </w:tcBorders>
            <w:vAlign w:val="bottom"/>
          </w:tcPr>
          <w:p w14:paraId="720CBDD9" w14:textId="77777777" w:rsidR="00DD071B" w:rsidRPr="0018754E" w:rsidRDefault="00DD071B" w:rsidP="00DD071B">
            <w:pPr>
              <w:jc w:val="right"/>
              <w:rPr>
                <w:rFonts w:ascii="Arial" w:hAnsi="Arial" w:cs="Arial"/>
                <w:sz w:val="18"/>
                <w:szCs w:val="18"/>
              </w:rPr>
            </w:pPr>
            <w:r w:rsidRPr="0018754E">
              <w:rPr>
                <w:rFonts w:ascii="Arial" w:hAnsi="Arial" w:cs="Arial"/>
                <w:sz w:val="18"/>
                <w:szCs w:val="18"/>
              </w:rPr>
              <w:t>(2)</w:t>
            </w:r>
          </w:p>
        </w:tc>
      </w:tr>
      <w:tr w:rsidR="00DD071B" w:rsidRPr="00EF1091" w14:paraId="230E06BE" w14:textId="77777777" w:rsidTr="00281AF4">
        <w:trPr>
          <w:trHeight w:val="240"/>
        </w:trPr>
        <w:tc>
          <w:tcPr>
            <w:tcW w:w="3455" w:type="pct"/>
            <w:tcBorders>
              <w:left w:val="nil"/>
              <w:bottom w:val="nil"/>
              <w:right w:val="nil"/>
            </w:tcBorders>
            <w:noWrap/>
            <w:vAlign w:val="bottom"/>
          </w:tcPr>
          <w:p w14:paraId="316C11C7" w14:textId="77777777" w:rsidR="00DD071B" w:rsidRPr="0018754E" w:rsidRDefault="00DD071B" w:rsidP="00DD071B">
            <w:pPr>
              <w:rPr>
                <w:rFonts w:ascii="Arial" w:hAnsi="Arial" w:cs="Arial"/>
                <w:sz w:val="18"/>
                <w:szCs w:val="18"/>
              </w:rPr>
            </w:pPr>
            <w:r w:rsidRPr="0018754E">
              <w:rPr>
                <w:rFonts w:ascii="Arial" w:hAnsi="Arial" w:cs="Arial"/>
                <w:sz w:val="18"/>
                <w:szCs w:val="18"/>
              </w:rPr>
              <w:t>Finance leases</w:t>
            </w:r>
          </w:p>
        </w:tc>
        <w:tc>
          <w:tcPr>
            <w:tcW w:w="826" w:type="pct"/>
            <w:tcBorders>
              <w:left w:val="nil"/>
              <w:bottom w:val="nil"/>
              <w:right w:val="nil"/>
            </w:tcBorders>
            <w:noWrap/>
            <w:vAlign w:val="bottom"/>
          </w:tcPr>
          <w:p w14:paraId="19F2BADD" w14:textId="77777777" w:rsidR="00DD071B" w:rsidRPr="0018754E" w:rsidRDefault="00DD071B" w:rsidP="00DD071B">
            <w:pPr>
              <w:jc w:val="right"/>
              <w:rPr>
                <w:rFonts w:ascii="Arial" w:hAnsi="Arial" w:cs="Arial"/>
                <w:b/>
                <w:sz w:val="18"/>
                <w:szCs w:val="18"/>
              </w:rPr>
            </w:pPr>
            <w:r w:rsidRPr="0018754E">
              <w:rPr>
                <w:rFonts w:ascii="Arial" w:hAnsi="Arial" w:cs="Arial"/>
                <w:b/>
                <w:sz w:val="18"/>
                <w:szCs w:val="18"/>
              </w:rPr>
              <w:t>(2)</w:t>
            </w:r>
          </w:p>
        </w:tc>
        <w:tc>
          <w:tcPr>
            <w:tcW w:w="719" w:type="pct"/>
            <w:tcBorders>
              <w:left w:val="nil"/>
              <w:bottom w:val="nil"/>
              <w:right w:val="nil"/>
            </w:tcBorders>
            <w:vAlign w:val="bottom"/>
          </w:tcPr>
          <w:p w14:paraId="0FF77346" w14:textId="77777777" w:rsidR="00DD071B" w:rsidRPr="0018754E" w:rsidRDefault="00DD071B" w:rsidP="00DD071B">
            <w:pPr>
              <w:jc w:val="right"/>
              <w:rPr>
                <w:rFonts w:ascii="Arial" w:hAnsi="Arial" w:cs="Arial"/>
                <w:sz w:val="18"/>
                <w:szCs w:val="18"/>
              </w:rPr>
            </w:pPr>
            <w:r w:rsidRPr="0018754E">
              <w:rPr>
                <w:rFonts w:ascii="Arial" w:hAnsi="Arial" w:cs="Arial"/>
                <w:sz w:val="18"/>
                <w:szCs w:val="18"/>
              </w:rPr>
              <w:t>(2)</w:t>
            </w:r>
          </w:p>
        </w:tc>
      </w:tr>
      <w:tr w:rsidR="00DD071B" w:rsidRPr="00EF1091" w14:paraId="2EE37E1D" w14:textId="77777777" w:rsidTr="00281AF4">
        <w:trPr>
          <w:trHeight w:val="240"/>
        </w:trPr>
        <w:tc>
          <w:tcPr>
            <w:tcW w:w="3455" w:type="pct"/>
            <w:tcBorders>
              <w:top w:val="nil"/>
              <w:left w:val="nil"/>
              <w:right w:val="nil"/>
            </w:tcBorders>
            <w:noWrap/>
            <w:vAlign w:val="bottom"/>
          </w:tcPr>
          <w:p w14:paraId="6C257758" w14:textId="77777777" w:rsidR="00DD071B" w:rsidRPr="0018754E" w:rsidRDefault="00DD071B" w:rsidP="00DD071B">
            <w:pPr>
              <w:rPr>
                <w:rFonts w:ascii="Arial" w:hAnsi="Arial" w:cs="Arial"/>
                <w:sz w:val="18"/>
                <w:szCs w:val="18"/>
              </w:rPr>
            </w:pPr>
            <w:r w:rsidRPr="0018754E">
              <w:rPr>
                <w:rFonts w:ascii="Arial" w:hAnsi="Arial" w:cs="Arial"/>
                <w:sz w:val="18"/>
                <w:szCs w:val="18"/>
              </w:rPr>
              <w:t>Financing fair value remeasurements</w:t>
            </w:r>
          </w:p>
        </w:tc>
        <w:tc>
          <w:tcPr>
            <w:tcW w:w="826" w:type="pct"/>
            <w:tcBorders>
              <w:top w:val="nil"/>
              <w:left w:val="nil"/>
              <w:right w:val="nil"/>
            </w:tcBorders>
            <w:noWrap/>
            <w:vAlign w:val="bottom"/>
          </w:tcPr>
          <w:p w14:paraId="74606061" w14:textId="77777777" w:rsidR="00DD071B" w:rsidRPr="0018754E" w:rsidRDefault="0018754E" w:rsidP="00DD071B">
            <w:pPr>
              <w:jc w:val="right"/>
              <w:rPr>
                <w:rFonts w:ascii="Arial" w:hAnsi="Arial" w:cs="Arial"/>
                <w:b/>
                <w:sz w:val="18"/>
                <w:szCs w:val="18"/>
              </w:rPr>
            </w:pPr>
            <w:r w:rsidRPr="0018754E">
              <w:rPr>
                <w:rFonts w:ascii="Arial" w:hAnsi="Arial" w:cs="Arial"/>
                <w:b/>
                <w:sz w:val="18"/>
                <w:szCs w:val="18"/>
              </w:rPr>
              <w:t>–</w:t>
            </w:r>
          </w:p>
        </w:tc>
        <w:tc>
          <w:tcPr>
            <w:tcW w:w="719" w:type="pct"/>
            <w:tcBorders>
              <w:top w:val="nil"/>
              <w:left w:val="nil"/>
              <w:right w:val="nil"/>
            </w:tcBorders>
            <w:vAlign w:val="bottom"/>
          </w:tcPr>
          <w:p w14:paraId="305E5B5B" w14:textId="77777777" w:rsidR="00DD071B" w:rsidRPr="0018754E" w:rsidRDefault="00DD071B" w:rsidP="00DD071B">
            <w:pPr>
              <w:jc w:val="right"/>
              <w:rPr>
                <w:rFonts w:ascii="Arial" w:hAnsi="Arial" w:cs="Arial"/>
                <w:sz w:val="18"/>
                <w:szCs w:val="18"/>
              </w:rPr>
            </w:pPr>
            <w:r w:rsidRPr="0018754E">
              <w:rPr>
                <w:rFonts w:ascii="Arial" w:hAnsi="Arial" w:cs="Arial"/>
                <w:sz w:val="18"/>
                <w:szCs w:val="18"/>
              </w:rPr>
              <w:t>(1)</w:t>
            </w:r>
          </w:p>
        </w:tc>
      </w:tr>
      <w:tr w:rsidR="00DD071B" w:rsidRPr="00EF1091" w14:paraId="31884394" w14:textId="77777777" w:rsidTr="00281AF4">
        <w:trPr>
          <w:trHeight w:val="240"/>
        </w:trPr>
        <w:tc>
          <w:tcPr>
            <w:tcW w:w="3455" w:type="pct"/>
            <w:tcBorders>
              <w:left w:val="nil"/>
              <w:right w:val="nil"/>
            </w:tcBorders>
            <w:noWrap/>
            <w:vAlign w:val="bottom"/>
          </w:tcPr>
          <w:p w14:paraId="6869E005" w14:textId="77777777" w:rsidR="00DD071B" w:rsidRPr="0018754E" w:rsidRDefault="00DD071B" w:rsidP="00DD071B">
            <w:pPr>
              <w:rPr>
                <w:rFonts w:ascii="Arial" w:hAnsi="Arial" w:cs="Arial"/>
                <w:sz w:val="18"/>
                <w:szCs w:val="18"/>
              </w:rPr>
            </w:pPr>
            <w:r w:rsidRPr="0018754E">
              <w:rPr>
                <w:rFonts w:ascii="Arial" w:hAnsi="Arial" w:cs="Arial"/>
                <w:sz w:val="18"/>
                <w:szCs w:val="18"/>
              </w:rPr>
              <w:t>Unwinding of discount on provisions</w:t>
            </w:r>
          </w:p>
        </w:tc>
        <w:tc>
          <w:tcPr>
            <w:tcW w:w="826" w:type="pct"/>
            <w:tcBorders>
              <w:left w:val="nil"/>
              <w:right w:val="nil"/>
            </w:tcBorders>
            <w:noWrap/>
            <w:vAlign w:val="bottom"/>
          </w:tcPr>
          <w:p w14:paraId="40C41694" w14:textId="77777777" w:rsidR="00DD071B" w:rsidRPr="0018754E" w:rsidRDefault="00DD071B" w:rsidP="00DD071B">
            <w:pPr>
              <w:jc w:val="right"/>
              <w:rPr>
                <w:rFonts w:ascii="Arial" w:hAnsi="Arial" w:cs="Arial"/>
                <w:b/>
                <w:sz w:val="18"/>
                <w:szCs w:val="18"/>
              </w:rPr>
            </w:pPr>
            <w:r w:rsidRPr="0018754E">
              <w:rPr>
                <w:rFonts w:ascii="Arial" w:hAnsi="Arial" w:cs="Arial"/>
                <w:b/>
                <w:sz w:val="18"/>
                <w:szCs w:val="18"/>
              </w:rPr>
              <w:t>(</w:t>
            </w:r>
            <w:r w:rsidR="00AC35D5">
              <w:rPr>
                <w:rFonts w:ascii="Arial" w:hAnsi="Arial" w:cs="Arial"/>
                <w:b/>
                <w:sz w:val="18"/>
                <w:szCs w:val="18"/>
              </w:rPr>
              <w:t>2</w:t>
            </w:r>
            <w:r w:rsidRPr="0018754E">
              <w:rPr>
                <w:rFonts w:ascii="Arial" w:hAnsi="Arial" w:cs="Arial"/>
                <w:b/>
                <w:sz w:val="18"/>
                <w:szCs w:val="18"/>
              </w:rPr>
              <w:t>)</w:t>
            </w:r>
          </w:p>
        </w:tc>
        <w:tc>
          <w:tcPr>
            <w:tcW w:w="719" w:type="pct"/>
            <w:tcBorders>
              <w:left w:val="nil"/>
              <w:right w:val="nil"/>
            </w:tcBorders>
            <w:vAlign w:val="bottom"/>
          </w:tcPr>
          <w:p w14:paraId="3DA301C9" w14:textId="77777777" w:rsidR="00DD071B" w:rsidRPr="0018754E" w:rsidRDefault="00DD071B" w:rsidP="00DD071B">
            <w:pPr>
              <w:jc w:val="right"/>
              <w:rPr>
                <w:rFonts w:ascii="Arial" w:hAnsi="Arial" w:cs="Arial"/>
                <w:sz w:val="18"/>
                <w:szCs w:val="18"/>
              </w:rPr>
            </w:pPr>
            <w:r w:rsidRPr="0018754E">
              <w:rPr>
                <w:rFonts w:ascii="Arial" w:hAnsi="Arial" w:cs="Arial"/>
                <w:sz w:val="18"/>
                <w:szCs w:val="18"/>
              </w:rPr>
              <w:t>(1)</w:t>
            </w:r>
          </w:p>
        </w:tc>
      </w:tr>
      <w:tr w:rsidR="00DD071B" w:rsidRPr="00EF1091" w14:paraId="6360A545" w14:textId="77777777" w:rsidTr="00281AF4">
        <w:trPr>
          <w:trHeight w:val="240"/>
        </w:trPr>
        <w:tc>
          <w:tcPr>
            <w:tcW w:w="3455" w:type="pct"/>
            <w:tcBorders>
              <w:left w:val="nil"/>
              <w:right w:val="nil"/>
            </w:tcBorders>
            <w:noWrap/>
            <w:vAlign w:val="bottom"/>
          </w:tcPr>
          <w:p w14:paraId="53954A26" w14:textId="77777777" w:rsidR="00DD071B" w:rsidRPr="0018754E" w:rsidRDefault="00DD071B" w:rsidP="00DD071B">
            <w:pPr>
              <w:rPr>
                <w:rFonts w:ascii="Arial" w:hAnsi="Arial" w:cs="Arial"/>
                <w:sz w:val="18"/>
                <w:szCs w:val="18"/>
              </w:rPr>
            </w:pPr>
            <w:r w:rsidRPr="0018754E">
              <w:rPr>
                <w:rFonts w:ascii="Arial" w:hAnsi="Arial" w:cs="Arial"/>
                <w:sz w:val="18"/>
                <w:szCs w:val="18"/>
              </w:rPr>
              <w:t>Capitalised interest</w:t>
            </w:r>
          </w:p>
        </w:tc>
        <w:tc>
          <w:tcPr>
            <w:tcW w:w="826" w:type="pct"/>
            <w:tcBorders>
              <w:left w:val="nil"/>
              <w:right w:val="nil"/>
            </w:tcBorders>
            <w:noWrap/>
            <w:vAlign w:val="bottom"/>
          </w:tcPr>
          <w:p w14:paraId="214A754A" w14:textId="77777777" w:rsidR="00DD071B" w:rsidRPr="0018754E" w:rsidRDefault="00DD071B" w:rsidP="00DD071B">
            <w:pPr>
              <w:jc w:val="right"/>
              <w:rPr>
                <w:rFonts w:ascii="Arial" w:hAnsi="Arial" w:cs="Arial"/>
                <w:b/>
                <w:sz w:val="18"/>
                <w:szCs w:val="18"/>
              </w:rPr>
            </w:pPr>
            <w:r w:rsidRPr="0018754E">
              <w:rPr>
                <w:rFonts w:ascii="Arial" w:hAnsi="Arial" w:cs="Arial"/>
                <w:b/>
                <w:sz w:val="18"/>
                <w:szCs w:val="18"/>
              </w:rPr>
              <w:t>2</w:t>
            </w:r>
          </w:p>
        </w:tc>
        <w:tc>
          <w:tcPr>
            <w:tcW w:w="719" w:type="pct"/>
            <w:tcBorders>
              <w:left w:val="nil"/>
              <w:right w:val="nil"/>
            </w:tcBorders>
            <w:vAlign w:val="bottom"/>
          </w:tcPr>
          <w:p w14:paraId="4082576C" w14:textId="77777777" w:rsidR="00DD071B" w:rsidRPr="0018754E" w:rsidRDefault="00DD071B" w:rsidP="00DD071B">
            <w:pPr>
              <w:jc w:val="right"/>
              <w:rPr>
                <w:rFonts w:ascii="Arial" w:hAnsi="Arial" w:cs="Arial"/>
                <w:sz w:val="18"/>
                <w:szCs w:val="18"/>
              </w:rPr>
            </w:pPr>
            <w:r w:rsidRPr="0018754E">
              <w:rPr>
                <w:rFonts w:ascii="Arial" w:hAnsi="Arial" w:cs="Arial"/>
                <w:sz w:val="18"/>
                <w:szCs w:val="18"/>
              </w:rPr>
              <w:t>2</w:t>
            </w:r>
          </w:p>
        </w:tc>
      </w:tr>
      <w:tr w:rsidR="00DD071B" w:rsidRPr="00EF1091" w14:paraId="622B5D1D" w14:textId="77777777" w:rsidTr="00281AF4">
        <w:trPr>
          <w:trHeight w:val="240"/>
        </w:trPr>
        <w:tc>
          <w:tcPr>
            <w:tcW w:w="3455" w:type="pct"/>
            <w:tcBorders>
              <w:left w:val="nil"/>
              <w:right w:val="nil"/>
            </w:tcBorders>
            <w:noWrap/>
            <w:vAlign w:val="bottom"/>
          </w:tcPr>
          <w:p w14:paraId="0DB13C82" w14:textId="77777777" w:rsidR="00DD071B" w:rsidRPr="0018754E" w:rsidRDefault="00DD071B" w:rsidP="00DD071B">
            <w:pPr>
              <w:rPr>
                <w:rFonts w:ascii="Arial" w:hAnsi="Arial" w:cs="Arial"/>
                <w:sz w:val="18"/>
                <w:szCs w:val="18"/>
              </w:rPr>
            </w:pPr>
            <w:r w:rsidRPr="0018754E">
              <w:rPr>
                <w:rFonts w:ascii="Arial" w:hAnsi="Arial" w:cs="Arial"/>
                <w:sz w:val="18"/>
                <w:szCs w:val="18"/>
              </w:rPr>
              <w:t>Other interest payable</w:t>
            </w:r>
          </w:p>
        </w:tc>
        <w:tc>
          <w:tcPr>
            <w:tcW w:w="826" w:type="pct"/>
            <w:tcBorders>
              <w:left w:val="nil"/>
              <w:right w:val="nil"/>
            </w:tcBorders>
            <w:noWrap/>
            <w:vAlign w:val="bottom"/>
          </w:tcPr>
          <w:p w14:paraId="636B050A" w14:textId="77777777" w:rsidR="00DD071B" w:rsidRPr="0018754E" w:rsidRDefault="0018754E" w:rsidP="00DD071B">
            <w:pPr>
              <w:jc w:val="right"/>
              <w:rPr>
                <w:rFonts w:ascii="Arial" w:hAnsi="Arial" w:cs="Arial"/>
                <w:b/>
                <w:sz w:val="18"/>
                <w:szCs w:val="18"/>
              </w:rPr>
            </w:pPr>
            <w:r w:rsidRPr="0018754E">
              <w:rPr>
                <w:rFonts w:ascii="Arial" w:hAnsi="Arial" w:cs="Arial"/>
                <w:b/>
                <w:sz w:val="18"/>
                <w:szCs w:val="18"/>
              </w:rPr>
              <w:t>–</w:t>
            </w:r>
          </w:p>
        </w:tc>
        <w:tc>
          <w:tcPr>
            <w:tcW w:w="719" w:type="pct"/>
            <w:tcBorders>
              <w:left w:val="nil"/>
              <w:right w:val="nil"/>
            </w:tcBorders>
            <w:vAlign w:val="bottom"/>
          </w:tcPr>
          <w:p w14:paraId="1BAD4B38" w14:textId="77777777" w:rsidR="00DD071B" w:rsidRPr="0018754E" w:rsidRDefault="00DD071B" w:rsidP="00DD071B">
            <w:pPr>
              <w:jc w:val="right"/>
              <w:rPr>
                <w:rFonts w:ascii="Arial" w:hAnsi="Arial" w:cs="Arial"/>
                <w:sz w:val="18"/>
                <w:szCs w:val="18"/>
              </w:rPr>
            </w:pPr>
            <w:r w:rsidRPr="0018754E">
              <w:rPr>
                <w:rFonts w:ascii="Arial" w:hAnsi="Arial" w:cs="Arial"/>
                <w:sz w:val="18"/>
                <w:szCs w:val="18"/>
              </w:rPr>
              <w:t>(5)</w:t>
            </w:r>
          </w:p>
        </w:tc>
      </w:tr>
      <w:tr w:rsidR="00DD071B" w:rsidRPr="00EF1091" w14:paraId="55AB5923" w14:textId="77777777" w:rsidTr="00281AF4">
        <w:trPr>
          <w:trHeight w:val="240"/>
        </w:trPr>
        <w:tc>
          <w:tcPr>
            <w:tcW w:w="3455" w:type="pct"/>
            <w:tcBorders>
              <w:top w:val="single" w:sz="4" w:space="0" w:color="auto"/>
              <w:left w:val="nil"/>
              <w:bottom w:val="single" w:sz="4" w:space="0" w:color="auto"/>
              <w:right w:val="nil"/>
            </w:tcBorders>
            <w:noWrap/>
            <w:vAlign w:val="bottom"/>
          </w:tcPr>
          <w:p w14:paraId="349FFD19" w14:textId="77777777" w:rsidR="00DD071B" w:rsidRPr="0018754E" w:rsidRDefault="00DD071B" w:rsidP="00DD071B">
            <w:pPr>
              <w:rPr>
                <w:rFonts w:ascii="Arial" w:hAnsi="Arial" w:cs="Arial"/>
                <w:b/>
                <w:sz w:val="18"/>
                <w:szCs w:val="18"/>
              </w:rPr>
            </w:pPr>
            <w:r w:rsidRPr="0018754E">
              <w:rPr>
                <w:rFonts w:ascii="Arial" w:hAnsi="Arial" w:cs="Arial"/>
                <w:b/>
                <w:sz w:val="18"/>
                <w:szCs w:val="18"/>
              </w:rPr>
              <w:t xml:space="preserve">Finance costs   </w:t>
            </w:r>
          </w:p>
        </w:tc>
        <w:tc>
          <w:tcPr>
            <w:tcW w:w="826" w:type="pct"/>
            <w:tcBorders>
              <w:top w:val="single" w:sz="4" w:space="0" w:color="auto"/>
              <w:left w:val="nil"/>
              <w:bottom w:val="single" w:sz="4" w:space="0" w:color="auto"/>
              <w:right w:val="nil"/>
            </w:tcBorders>
            <w:noWrap/>
            <w:vAlign w:val="bottom"/>
          </w:tcPr>
          <w:p w14:paraId="78BD8092" w14:textId="77777777" w:rsidR="00DD071B" w:rsidRPr="0018754E" w:rsidRDefault="00DD071B" w:rsidP="00DD071B">
            <w:pPr>
              <w:jc w:val="right"/>
              <w:rPr>
                <w:rFonts w:ascii="Arial" w:hAnsi="Arial" w:cs="Arial"/>
                <w:b/>
                <w:sz w:val="18"/>
                <w:szCs w:val="18"/>
              </w:rPr>
            </w:pPr>
            <w:r w:rsidRPr="0018754E">
              <w:rPr>
                <w:rFonts w:ascii="Arial" w:hAnsi="Arial" w:cs="Arial"/>
                <w:b/>
                <w:sz w:val="18"/>
                <w:szCs w:val="18"/>
              </w:rPr>
              <w:t>(</w:t>
            </w:r>
            <w:r w:rsidR="0018754E" w:rsidRPr="0018754E">
              <w:rPr>
                <w:rFonts w:ascii="Arial" w:hAnsi="Arial" w:cs="Arial"/>
                <w:b/>
                <w:sz w:val="18"/>
                <w:szCs w:val="18"/>
              </w:rPr>
              <w:t>2</w:t>
            </w:r>
            <w:r w:rsidR="00AC35D5">
              <w:rPr>
                <w:rFonts w:ascii="Arial" w:hAnsi="Arial" w:cs="Arial"/>
                <w:b/>
                <w:sz w:val="18"/>
                <w:szCs w:val="18"/>
              </w:rPr>
              <w:t>0</w:t>
            </w:r>
            <w:r w:rsidRPr="0018754E">
              <w:rPr>
                <w:rFonts w:ascii="Arial" w:hAnsi="Arial" w:cs="Arial"/>
                <w:b/>
                <w:sz w:val="18"/>
                <w:szCs w:val="18"/>
              </w:rPr>
              <w:t>)</w:t>
            </w:r>
          </w:p>
        </w:tc>
        <w:tc>
          <w:tcPr>
            <w:tcW w:w="719" w:type="pct"/>
            <w:tcBorders>
              <w:top w:val="single" w:sz="4" w:space="0" w:color="auto"/>
              <w:left w:val="nil"/>
              <w:bottom w:val="single" w:sz="4" w:space="0" w:color="auto"/>
              <w:right w:val="nil"/>
            </w:tcBorders>
            <w:vAlign w:val="bottom"/>
          </w:tcPr>
          <w:p w14:paraId="18FA4EBD" w14:textId="77777777" w:rsidR="00DD071B" w:rsidRPr="0018754E" w:rsidRDefault="00DD071B" w:rsidP="00DD071B">
            <w:pPr>
              <w:jc w:val="right"/>
              <w:rPr>
                <w:rFonts w:ascii="Arial" w:hAnsi="Arial" w:cs="Arial"/>
                <w:sz w:val="18"/>
                <w:szCs w:val="18"/>
              </w:rPr>
            </w:pPr>
            <w:r w:rsidRPr="0018754E">
              <w:rPr>
                <w:rFonts w:ascii="Arial" w:hAnsi="Arial" w:cs="Arial"/>
                <w:sz w:val="18"/>
                <w:szCs w:val="18"/>
              </w:rPr>
              <w:t>(19)</w:t>
            </w:r>
          </w:p>
        </w:tc>
      </w:tr>
      <w:tr w:rsidR="00DD071B" w:rsidRPr="00EF1091" w14:paraId="580AF583" w14:textId="77777777" w:rsidTr="00281AF4">
        <w:trPr>
          <w:trHeight w:val="240"/>
        </w:trPr>
        <w:tc>
          <w:tcPr>
            <w:tcW w:w="3455" w:type="pct"/>
            <w:tcBorders>
              <w:top w:val="single" w:sz="4" w:space="0" w:color="auto"/>
              <w:left w:val="nil"/>
              <w:right w:val="nil"/>
            </w:tcBorders>
            <w:noWrap/>
            <w:vAlign w:val="bottom"/>
          </w:tcPr>
          <w:p w14:paraId="29878190" w14:textId="77777777" w:rsidR="00DD071B" w:rsidRPr="0018754E" w:rsidRDefault="00DD071B" w:rsidP="00DD071B">
            <w:pPr>
              <w:rPr>
                <w:rFonts w:ascii="Arial" w:hAnsi="Arial" w:cs="Arial"/>
                <w:sz w:val="18"/>
                <w:szCs w:val="18"/>
              </w:rPr>
            </w:pPr>
          </w:p>
        </w:tc>
        <w:tc>
          <w:tcPr>
            <w:tcW w:w="826" w:type="pct"/>
            <w:tcBorders>
              <w:top w:val="single" w:sz="4" w:space="0" w:color="auto"/>
              <w:left w:val="nil"/>
              <w:right w:val="nil"/>
            </w:tcBorders>
            <w:noWrap/>
            <w:vAlign w:val="bottom"/>
          </w:tcPr>
          <w:p w14:paraId="4E822FBA" w14:textId="77777777" w:rsidR="00DD071B" w:rsidRPr="0018754E" w:rsidRDefault="00DD071B" w:rsidP="00DD071B">
            <w:pPr>
              <w:jc w:val="right"/>
              <w:rPr>
                <w:rFonts w:ascii="Arial" w:hAnsi="Arial" w:cs="Arial"/>
                <w:b/>
                <w:sz w:val="18"/>
                <w:szCs w:val="18"/>
              </w:rPr>
            </w:pPr>
          </w:p>
        </w:tc>
        <w:tc>
          <w:tcPr>
            <w:tcW w:w="719" w:type="pct"/>
            <w:tcBorders>
              <w:top w:val="single" w:sz="4" w:space="0" w:color="auto"/>
              <w:left w:val="nil"/>
              <w:right w:val="nil"/>
            </w:tcBorders>
            <w:vAlign w:val="bottom"/>
          </w:tcPr>
          <w:p w14:paraId="736DD82C" w14:textId="77777777" w:rsidR="00DD071B" w:rsidRPr="0018754E" w:rsidRDefault="00DD071B" w:rsidP="00DD071B">
            <w:pPr>
              <w:jc w:val="right"/>
              <w:rPr>
                <w:rFonts w:ascii="Arial" w:hAnsi="Arial" w:cs="Arial"/>
                <w:sz w:val="18"/>
                <w:szCs w:val="18"/>
              </w:rPr>
            </w:pPr>
          </w:p>
        </w:tc>
      </w:tr>
      <w:tr w:rsidR="00DD071B" w:rsidRPr="00EF1091" w14:paraId="5E80A6B9" w14:textId="77777777" w:rsidTr="00281AF4">
        <w:trPr>
          <w:trHeight w:val="240"/>
        </w:trPr>
        <w:tc>
          <w:tcPr>
            <w:tcW w:w="3455" w:type="pct"/>
            <w:tcBorders>
              <w:left w:val="nil"/>
              <w:bottom w:val="nil"/>
              <w:right w:val="nil"/>
            </w:tcBorders>
            <w:noWrap/>
            <w:vAlign w:val="bottom"/>
          </w:tcPr>
          <w:p w14:paraId="3779813A" w14:textId="77777777" w:rsidR="00DD071B" w:rsidRPr="0018754E" w:rsidRDefault="00DD071B" w:rsidP="00DD071B">
            <w:pPr>
              <w:rPr>
                <w:rFonts w:ascii="Arial" w:hAnsi="Arial" w:cs="Arial"/>
                <w:sz w:val="18"/>
                <w:szCs w:val="18"/>
              </w:rPr>
            </w:pPr>
            <w:r w:rsidRPr="0018754E">
              <w:rPr>
                <w:rFonts w:ascii="Arial" w:hAnsi="Arial" w:cs="Arial"/>
                <w:sz w:val="18"/>
                <w:szCs w:val="18"/>
              </w:rPr>
              <w:t>Cash and cash equivalents and short term deposits</w:t>
            </w:r>
          </w:p>
        </w:tc>
        <w:tc>
          <w:tcPr>
            <w:tcW w:w="826" w:type="pct"/>
            <w:tcBorders>
              <w:left w:val="nil"/>
              <w:bottom w:val="nil"/>
              <w:right w:val="nil"/>
            </w:tcBorders>
            <w:noWrap/>
            <w:vAlign w:val="bottom"/>
          </w:tcPr>
          <w:p w14:paraId="4B5F515B" w14:textId="77777777" w:rsidR="00DD071B" w:rsidRPr="0018754E" w:rsidRDefault="0018754E" w:rsidP="00DD071B">
            <w:pPr>
              <w:jc w:val="right"/>
              <w:rPr>
                <w:rFonts w:ascii="Arial" w:hAnsi="Arial" w:cs="Arial"/>
                <w:b/>
                <w:sz w:val="18"/>
                <w:szCs w:val="18"/>
              </w:rPr>
            </w:pPr>
            <w:r w:rsidRPr="0018754E">
              <w:rPr>
                <w:rFonts w:ascii="Arial" w:hAnsi="Arial" w:cs="Arial"/>
                <w:b/>
                <w:sz w:val="18"/>
                <w:szCs w:val="18"/>
              </w:rPr>
              <w:t>9</w:t>
            </w:r>
          </w:p>
        </w:tc>
        <w:tc>
          <w:tcPr>
            <w:tcW w:w="719" w:type="pct"/>
            <w:tcBorders>
              <w:left w:val="nil"/>
              <w:bottom w:val="nil"/>
              <w:right w:val="nil"/>
            </w:tcBorders>
            <w:vAlign w:val="bottom"/>
          </w:tcPr>
          <w:p w14:paraId="22C0EE3F" w14:textId="77777777" w:rsidR="00DD071B" w:rsidRPr="0018754E" w:rsidRDefault="00DD071B" w:rsidP="00DD071B">
            <w:pPr>
              <w:jc w:val="right"/>
              <w:rPr>
                <w:rFonts w:ascii="Arial" w:hAnsi="Arial" w:cs="Arial"/>
                <w:sz w:val="18"/>
                <w:szCs w:val="18"/>
              </w:rPr>
            </w:pPr>
            <w:r w:rsidRPr="0018754E">
              <w:rPr>
                <w:rFonts w:ascii="Arial" w:hAnsi="Arial" w:cs="Arial"/>
                <w:sz w:val="18"/>
                <w:szCs w:val="18"/>
              </w:rPr>
              <w:t>8</w:t>
            </w:r>
          </w:p>
        </w:tc>
      </w:tr>
      <w:tr w:rsidR="00DD071B" w:rsidRPr="00EF1091" w14:paraId="7D388F81" w14:textId="77777777" w:rsidTr="00281AF4">
        <w:trPr>
          <w:trHeight w:val="240"/>
        </w:trPr>
        <w:tc>
          <w:tcPr>
            <w:tcW w:w="3455" w:type="pct"/>
            <w:tcBorders>
              <w:left w:val="nil"/>
              <w:right w:val="nil"/>
            </w:tcBorders>
            <w:noWrap/>
            <w:vAlign w:val="bottom"/>
          </w:tcPr>
          <w:p w14:paraId="0888FE1F" w14:textId="77777777" w:rsidR="00DD071B" w:rsidRPr="0018754E" w:rsidRDefault="00DD071B" w:rsidP="00DD071B">
            <w:pPr>
              <w:rPr>
                <w:rFonts w:ascii="Arial" w:hAnsi="Arial" w:cs="Arial"/>
                <w:sz w:val="18"/>
                <w:szCs w:val="18"/>
              </w:rPr>
            </w:pPr>
            <w:r w:rsidRPr="0018754E">
              <w:rPr>
                <w:rFonts w:ascii="Arial" w:hAnsi="Arial" w:cs="Arial"/>
                <w:sz w:val="18"/>
                <w:szCs w:val="18"/>
              </w:rPr>
              <w:t>Net interest income on defined benefit pension schemes</w:t>
            </w:r>
          </w:p>
        </w:tc>
        <w:tc>
          <w:tcPr>
            <w:tcW w:w="826" w:type="pct"/>
            <w:tcBorders>
              <w:left w:val="nil"/>
              <w:right w:val="nil"/>
            </w:tcBorders>
            <w:noWrap/>
            <w:vAlign w:val="bottom"/>
          </w:tcPr>
          <w:p w14:paraId="0A89A8DB" w14:textId="77777777" w:rsidR="00DD071B" w:rsidRPr="0018754E" w:rsidRDefault="0018754E" w:rsidP="00DD071B">
            <w:pPr>
              <w:jc w:val="right"/>
              <w:rPr>
                <w:rFonts w:ascii="Arial" w:hAnsi="Arial" w:cs="Arial"/>
                <w:b/>
                <w:sz w:val="18"/>
                <w:szCs w:val="18"/>
              </w:rPr>
            </w:pPr>
            <w:r w:rsidRPr="0018754E">
              <w:rPr>
                <w:rFonts w:ascii="Arial" w:hAnsi="Arial" w:cs="Arial"/>
                <w:b/>
                <w:sz w:val="18"/>
                <w:szCs w:val="18"/>
              </w:rPr>
              <w:t>4</w:t>
            </w:r>
          </w:p>
        </w:tc>
        <w:tc>
          <w:tcPr>
            <w:tcW w:w="719" w:type="pct"/>
            <w:tcBorders>
              <w:left w:val="nil"/>
              <w:right w:val="nil"/>
            </w:tcBorders>
            <w:vAlign w:val="bottom"/>
          </w:tcPr>
          <w:p w14:paraId="5E1F98DF" w14:textId="77777777" w:rsidR="00DD071B" w:rsidRPr="0018754E" w:rsidRDefault="00DD071B" w:rsidP="00DD071B">
            <w:pPr>
              <w:jc w:val="right"/>
              <w:rPr>
                <w:rFonts w:ascii="Arial" w:hAnsi="Arial" w:cs="Arial"/>
                <w:sz w:val="18"/>
                <w:szCs w:val="18"/>
              </w:rPr>
            </w:pPr>
            <w:r w:rsidRPr="0018754E">
              <w:rPr>
                <w:rFonts w:ascii="Arial" w:hAnsi="Arial" w:cs="Arial"/>
                <w:sz w:val="18"/>
                <w:szCs w:val="18"/>
              </w:rPr>
              <w:t>5</w:t>
            </w:r>
          </w:p>
        </w:tc>
      </w:tr>
      <w:tr w:rsidR="00DD071B" w:rsidRPr="00EF1091" w14:paraId="6EA8B750" w14:textId="77777777" w:rsidTr="00281AF4">
        <w:trPr>
          <w:trHeight w:val="240"/>
        </w:trPr>
        <w:tc>
          <w:tcPr>
            <w:tcW w:w="3455" w:type="pct"/>
            <w:tcBorders>
              <w:left w:val="nil"/>
              <w:right w:val="nil"/>
            </w:tcBorders>
            <w:noWrap/>
            <w:vAlign w:val="bottom"/>
          </w:tcPr>
          <w:p w14:paraId="7DE648A9" w14:textId="77777777" w:rsidR="00DD071B" w:rsidRPr="0018754E" w:rsidRDefault="00DD071B" w:rsidP="00DD071B">
            <w:pPr>
              <w:rPr>
                <w:rFonts w:ascii="Arial" w:hAnsi="Arial" w:cs="Arial"/>
                <w:sz w:val="18"/>
                <w:szCs w:val="18"/>
              </w:rPr>
            </w:pPr>
            <w:r w:rsidRPr="0018754E">
              <w:rPr>
                <w:rFonts w:ascii="Arial" w:hAnsi="Arial" w:cs="Arial"/>
                <w:sz w:val="18"/>
                <w:szCs w:val="18"/>
              </w:rPr>
              <w:t>Other interest income</w:t>
            </w:r>
          </w:p>
        </w:tc>
        <w:tc>
          <w:tcPr>
            <w:tcW w:w="826" w:type="pct"/>
            <w:tcBorders>
              <w:left w:val="nil"/>
              <w:right w:val="nil"/>
            </w:tcBorders>
            <w:noWrap/>
            <w:vAlign w:val="bottom"/>
          </w:tcPr>
          <w:p w14:paraId="067E84E4" w14:textId="77777777" w:rsidR="00DD071B" w:rsidRPr="0018754E" w:rsidRDefault="00AC35D5" w:rsidP="00DD071B">
            <w:pPr>
              <w:jc w:val="right"/>
              <w:rPr>
                <w:rFonts w:ascii="Arial" w:hAnsi="Arial" w:cs="Arial"/>
                <w:b/>
                <w:sz w:val="18"/>
                <w:szCs w:val="18"/>
              </w:rPr>
            </w:pPr>
            <w:r w:rsidRPr="0018754E">
              <w:rPr>
                <w:rFonts w:ascii="Arial" w:hAnsi="Arial" w:cs="Arial"/>
                <w:b/>
                <w:sz w:val="18"/>
                <w:szCs w:val="18"/>
              </w:rPr>
              <w:t>–</w:t>
            </w:r>
          </w:p>
        </w:tc>
        <w:tc>
          <w:tcPr>
            <w:tcW w:w="719" w:type="pct"/>
            <w:tcBorders>
              <w:left w:val="nil"/>
              <w:right w:val="nil"/>
            </w:tcBorders>
            <w:vAlign w:val="bottom"/>
          </w:tcPr>
          <w:p w14:paraId="3EBCDE4B" w14:textId="77777777" w:rsidR="00DD071B" w:rsidRPr="0018754E" w:rsidRDefault="00DD071B" w:rsidP="00DD071B">
            <w:pPr>
              <w:jc w:val="right"/>
              <w:rPr>
                <w:rFonts w:ascii="Arial" w:hAnsi="Arial" w:cs="Arial"/>
                <w:sz w:val="18"/>
                <w:szCs w:val="18"/>
              </w:rPr>
            </w:pPr>
            <w:r w:rsidRPr="0018754E">
              <w:rPr>
                <w:rFonts w:ascii="Arial" w:hAnsi="Arial" w:cs="Arial"/>
                <w:sz w:val="18"/>
                <w:szCs w:val="18"/>
              </w:rPr>
              <w:t>3</w:t>
            </w:r>
          </w:p>
        </w:tc>
      </w:tr>
      <w:tr w:rsidR="00DD071B" w:rsidRPr="00EF1091" w14:paraId="09D02A24" w14:textId="77777777" w:rsidTr="00281AF4">
        <w:trPr>
          <w:trHeight w:val="240"/>
        </w:trPr>
        <w:tc>
          <w:tcPr>
            <w:tcW w:w="3455" w:type="pct"/>
            <w:tcBorders>
              <w:top w:val="single" w:sz="4" w:space="0" w:color="auto"/>
              <w:left w:val="nil"/>
              <w:bottom w:val="single" w:sz="2" w:space="0" w:color="auto"/>
              <w:right w:val="nil"/>
            </w:tcBorders>
            <w:noWrap/>
            <w:vAlign w:val="bottom"/>
          </w:tcPr>
          <w:p w14:paraId="598D709F" w14:textId="77777777" w:rsidR="00DD071B" w:rsidRPr="0018754E" w:rsidRDefault="00DD071B" w:rsidP="00DD071B">
            <w:pPr>
              <w:rPr>
                <w:rFonts w:ascii="Arial" w:hAnsi="Arial" w:cs="Arial"/>
                <w:b/>
                <w:sz w:val="18"/>
                <w:szCs w:val="18"/>
              </w:rPr>
            </w:pPr>
            <w:r w:rsidRPr="0018754E">
              <w:rPr>
                <w:rFonts w:ascii="Arial" w:hAnsi="Arial" w:cs="Arial"/>
                <w:b/>
                <w:sz w:val="18"/>
                <w:szCs w:val="18"/>
              </w:rPr>
              <w:t xml:space="preserve">Finance income </w:t>
            </w:r>
          </w:p>
        </w:tc>
        <w:tc>
          <w:tcPr>
            <w:tcW w:w="826" w:type="pct"/>
            <w:tcBorders>
              <w:top w:val="single" w:sz="4" w:space="0" w:color="auto"/>
              <w:left w:val="nil"/>
              <w:bottom w:val="single" w:sz="2" w:space="0" w:color="auto"/>
              <w:right w:val="nil"/>
            </w:tcBorders>
            <w:noWrap/>
            <w:vAlign w:val="bottom"/>
          </w:tcPr>
          <w:p w14:paraId="222667A5" w14:textId="77777777" w:rsidR="00DD071B" w:rsidRPr="0018754E" w:rsidRDefault="00DD071B" w:rsidP="00DD071B">
            <w:pPr>
              <w:jc w:val="right"/>
              <w:rPr>
                <w:rFonts w:ascii="Arial" w:hAnsi="Arial" w:cs="Arial"/>
                <w:b/>
                <w:sz w:val="18"/>
                <w:szCs w:val="18"/>
              </w:rPr>
            </w:pPr>
            <w:r w:rsidRPr="0018754E">
              <w:rPr>
                <w:rFonts w:ascii="Arial" w:hAnsi="Arial" w:cs="Arial"/>
                <w:b/>
                <w:sz w:val="18"/>
                <w:szCs w:val="18"/>
              </w:rPr>
              <w:t>1</w:t>
            </w:r>
            <w:r w:rsidR="00AC35D5">
              <w:rPr>
                <w:rFonts w:ascii="Arial" w:hAnsi="Arial" w:cs="Arial"/>
                <w:b/>
                <w:sz w:val="18"/>
                <w:szCs w:val="18"/>
              </w:rPr>
              <w:t>3</w:t>
            </w:r>
          </w:p>
        </w:tc>
        <w:tc>
          <w:tcPr>
            <w:tcW w:w="719" w:type="pct"/>
            <w:tcBorders>
              <w:top w:val="single" w:sz="4" w:space="0" w:color="auto"/>
              <w:left w:val="nil"/>
              <w:bottom w:val="single" w:sz="2" w:space="0" w:color="auto"/>
              <w:right w:val="nil"/>
            </w:tcBorders>
            <w:vAlign w:val="bottom"/>
          </w:tcPr>
          <w:p w14:paraId="3662DD4A" w14:textId="77777777" w:rsidR="00DD071B" w:rsidRPr="0018754E" w:rsidRDefault="00DD071B" w:rsidP="00DD071B">
            <w:pPr>
              <w:jc w:val="right"/>
              <w:rPr>
                <w:rFonts w:ascii="Arial" w:hAnsi="Arial" w:cs="Arial"/>
                <w:sz w:val="18"/>
                <w:szCs w:val="18"/>
              </w:rPr>
            </w:pPr>
            <w:r w:rsidRPr="0018754E">
              <w:rPr>
                <w:rFonts w:ascii="Arial" w:hAnsi="Arial" w:cs="Arial"/>
                <w:sz w:val="18"/>
                <w:szCs w:val="18"/>
              </w:rPr>
              <w:t>16</w:t>
            </w:r>
          </w:p>
        </w:tc>
      </w:tr>
      <w:tr w:rsidR="00DD071B" w:rsidRPr="0054593F" w14:paraId="737DE0FB" w14:textId="77777777" w:rsidTr="00281AF4">
        <w:trPr>
          <w:trHeight w:val="255"/>
        </w:trPr>
        <w:tc>
          <w:tcPr>
            <w:tcW w:w="3455" w:type="pct"/>
            <w:tcBorders>
              <w:top w:val="single" w:sz="2" w:space="0" w:color="auto"/>
              <w:left w:val="nil"/>
              <w:right w:val="nil"/>
            </w:tcBorders>
            <w:noWrap/>
            <w:vAlign w:val="bottom"/>
          </w:tcPr>
          <w:p w14:paraId="11ED5AC8" w14:textId="77777777" w:rsidR="00DD071B" w:rsidRPr="0018754E" w:rsidRDefault="00DD071B" w:rsidP="00DD071B">
            <w:pPr>
              <w:rPr>
                <w:rFonts w:ascii="Arial" w:hAnsi="Arial" w:cs="Arial"/>
                <w:b/>
                <w:sz w:val="18"/>
                <w:szCs w:val="18"/>
              </w:rPr>
            </w:pPr>
          </w:p>
        </w:tc>
        <w:tc>
          <w:tcPr>
            <w:tcW w:w="826" w:type="pct"/>
            <w:tcBorders>
              <w:top w:val="single" w:sz="2" w:space="0" w:color="auto"/>
              <w:left w:val="nil"/>
              <w:right w:val="nil"/>
            </w:tcBorders>
            <w:noWrap/>
            <w:vAlign w:val="bottom"/>
          </w:tcPr>
          <w:p w14:paraId="59C06ADE" w14:textId="77777777" w:rsidR="00DD071B" w:rsidRPr="0018754E" w:rsidRDefault="00DD071B" w:rsidP="00DD071B">
            <w:pPr>
              <w:jc w:val="right"/>
              <w:rPr>
                <w:rFonts w:ascii="Arial" w:hAnsi="Arial" w:cs="Arial"/>
                <w:b/>
                <w:sz w:val="18"/>
                <w:szCs w:val="18"/>
              </w:rPr>
            </w:pPr>
          </w:p>
        </w:tc>
        <w:tc>
          <w:tcPr>
            <w:tcW w:w="719" w:type="pct"/>
            <w:tcBorders>
              <w:top w:val="single" w:sz="2" w:space="0" w:color="auto"/>
              <w:left w:val="nil"/>
              <w:right w:val="nil"/>
            </w:tcBorders>
            <w:vAlign w:val="bottom"/>
          </w:tcPr>
          <w:p w14:paraId="45D0BA0A" w14:textId="77777777" w:rsidR="00DD071B" w:rsidRPr="0018754E" w:rsidRDefault="00DD071B" w:rsidP="00DD071B">
            <w:pPr>
              <w:jc w:val="right"/>
              <w:rPr>
                <w:rFonts w:ascii="Arial" w:hAnsi="Arial" w:cs="Arial"/>
                <w:sz w:val="18"/>
                <w:szCs w:val="18"/>
              </w:rPr>
            </w:pPr>
          </w:p>
        </w:tc>
      </w:tr>
      <w:tr w:rsidR="00DD071B" w:rsidRPr="0054593F" w14:paraId="5416479B" w14:textId="77777777" w:rsidTr="00281AF4">
        <w:trPr>
          <w:trHeight w:val="255"/>
        </w:trPr>
        <w:tc>
          <w:tcPr>
            <w:tcW w:w="3455" w:type="pct"/>
            <w:tcBorders>
              <w:left w:val="nil"/>
              <w:bottom w:val="single" w:sz="12" w:space="0" w:color="auto"/>
              <w:right w:val="nil"/>
            </w:tcBorders>
            <w:noWrap/>
            <w:vAlign w:val="bottom"/>
          </w:tcPr>
          <w:p w14:paraId="3F2CE4BC" w14:textId="77777777" w:rsidR="00DD071B" w:rsidRPr="0018754E" w:rsidRDefault="00DD071B" w:rsidP="00DD071B">
            <w:pPr>
              <w:rPr>
                <w:rFonts w:ascii="Arial" w:hAnsi="Arial" w:cs="Arial"/>
                <w:b/>
                <w:sz w:val="18"/>
                <w:szCs w:val="18"/>
              </w:rPr>
            </w:pPr>
            <w:r w:rsidRPr="0018754E">
              <w:rPr>
                <w:rFonts w:ascii="Arial" w:hAnsi="Arial" w:cs="Arial"/>
                <w:b/>
                <w:bCs/>
                <w:sz w:val="18"/>
                <w:szCs w:val="18"/>
              </w:rPr>
              <w:t>Net finance costs</w:t>
            </w:r>
          </w:p>
        </w:tc>
        <w:tc>
          <w:tcPr>
            <w:tcW w:w="826" w:type="pct"/>
            <w:tcBorders>
              <w:left w:val="nil"/>
              <w:bottom w:val="single" w:sz="12" w:space="0" w:color="auto"/>
              <w:right w:val="nil"/>
            </w:tcBorders>
            <w:noWrap/>
            <w:vAlign w:val="bottom"/>
          </w:tcPr>
          <w:p w14:paraId="384FDB56" w14:textId="77777777" w:rsidR="00DD071B" w:rsidRPr="0018754E" w:rsidRDefault="00DD071B" w:rsidP="00DD071B">
            <w:pPr>
              <w:jc w:val="right"/>
              <w:rPr>
                <w:rFonts w:ascii="Arial" w:hAnsi="Arial" w:cs="Arial"/>
                <w:b/>
                <w:sz w:val="18"/>
                <w:szCs w:val="18"/>
              </w:rPr>
            </w:pPr>
            <w:r w:rsidRPr="0018754E">
              <w:rPr>
                <w:rFonts w:ascii="Arial" w:hAnsi="Arial" w:cs="Arial"/>
                <w:b/>
                <w:sz w:val="18"/>
                <w:szCs w:val="18"/>
              </w:rPr>
              <w:t>(</w:t>
            </w:r>
            <w:r w:rsidR="0018754E" w:rsidRPr="0018754E">
              <w:rPr>
                <w:rFonts w:ascii="Arial" w:hAnsi="Arial" w:cs="Arial"/>
                <w:b/>
                <w:sz w:val="18"/>
                <w:szCs w:val="18"/>
              </w:rPr>
              <w:t>7</w:t>
            </w:r>
            <w:r w:rsidRPr="0018754E">
              <w:rPr>
                <w:rFonts w:ascii="Arial" w:hAnsi="Arial" w:cs="Arial"/>
                <w:b/>
                <w:sz w:val="18"/>
                <w:szCs w:val="18"/>
              </w:rPr>
              <w:t>)</w:t>
            </w:r>
          </w:p>
        </w:tc>
        <w:tc>
          <w:tcPr>
            <w:tcW w:w="719" w:type="pct"/>
            <w:tcBorders>
              <w:left w:val="nil"/>
              <w:bottom w:val="single" w:sz="12" w:space="0" w:color="auto"/>
              <w:right w:val="nil"/>
            </w:tcBorders>
            <w:vAlign w:val="bottom"/>
          </w:tcPr>
          <w:p w14:paraId="6A9E4051" w14:textId="77777777" w:rsidR="00DD071B" w:rsidRPr="0018754E" w:rsidRDefault="00DD071B" w:rsidP="00DD071B">
            <w:pPr>
              <w:jc w:val="right"/>
              <w:rPr>
                <w:rFonts w:ascii="Arial" w:hAnsi="Arial" w:cs="Arial"/>
                <w:sz w:val="18"/>
                <w:szCs w:val="18"/>
              </w:rPr>
            </w:pPr>
            <w:r w:rsidRPr="0018754E">
              <w:rPr>
                <w:rFonts w:ascii="Arial" w:hAnsi="Arial" w:cs="Arial"/>
                <w:sz w:val="18"/>
                <w:szCs w:val="18"/>
              </w:rPr>
              <w:t>(3)</w:t>
            </w:r>
          </w:p>
        </w:tc>
      </w:tr>
    </w:tbl>
    <w:p w14:paraId="75C5D986" w14:textId="77777777" w:rsidR="0067757E" w:rsidRDefault="0067757E" w:rsidP="005028B9">
      <w:pPr>
        <w:rPr>
          <w:rFonts w:ascii="Arial" w:hAnsi="Arial" w:cs="Arial"/>
          <w:color w:val="0000FF"/>
          <w:sz w:val="18"/>
          <w:szCs w:val="18"/>
        </w:rPr>
      </w:pPr>
    </w:p>
    <w:p w14:paraId="4236F02D" w14:textId="77777777" w:rsidR="00522507" w:rsidRDefault="00522507" w:rsidP="005028B9">
      <w:pPr>
        <w:rPr>
          <w:rFonts w:ascii="Arial" w:hAnsi="Arial" w:cs="Arial"/>
          <w:color w:val="0000FF"/>
          <w:sz w:val="18"/>
          <w:szCs w:val="18"/>
        </w:rPr>
      </w:pPr>
      <w:bookmarkStart w:id="11" w:name="_Hlk507925624"/>
    </w:p>
    <w:p w14:paraId="50A8C9FC" w14:textId="77777777" w:rsidR="001F5B32" w:rsidRPr="005028B9" w:rsidRDefault="001F5B32" w:rsidP="005028B9">
      <w:pPr>
        <w:rPr>
          <w:rFonts w:ascii="Arial" w:hAnsi="Arial" w:cs="Arial"/>
          <w:color w:val="0000FF"/>
          <w:sz w:val="18"/>
          <w:szCs w:val="18"/>
        </w:rPr>
      </w:pPr>
      <w:bookmarkStart w:id="12" w:name="_Hlk2777625"/>
      <w:bookmarkEnd w:id="10"/>
      <w:bookmarkEnd w:id="11"/>
    </w:p>
    <w:p w14:paraId="7659A801" w14:textId="77777777" w:rsidR="00DC25B4" w:rsidRPr="00EF1091" w:rsidRDefault="00F764F7" w:rsidP="00F764F7">
      <w:pPr>
        <w:pStyle w:val="Heading1"/>
        <w:ind w:left="-456"/>
        <w:rPr>
          <w:rFonts w:ascii="Arial" w:hAnsi="Arial" w:cs="Arial"/>
          <w:szCs w:val="18"/>
        </w:rPr>
      </w:pPr>
      <w:r>
        <w:rPr>
          <w:rFonts w:ascii="Arial" w:hAnsi="Arial" w:cs="Arial"/>
          <w:szCs w:val="18"/>
        </w:rPr>
        <w:t>6</w:t>
      </w:r>
      <w:r>
        <w:rPr>
          <w:rFonts w:ascii="Arial" w:hAnsi="Arial" w:cs="Arial"/>
          <w:szCs w:val="18"/>
        </w:rPr>
        <w:tab/>
      </w:r>
      <w:r w:rsidR="00DC25B4" w:rsidRPr="00EF1091">
        <w:rPr>
          <w:rFonts w:ascii="Arial" w:hAnsi="Arial" w:cs="Arial"/>
          <w:szCs w:val="18"/>
        </w:rPr>
        <w:t>Income tax expense</w:t>
      </w:r>
    </w:p>
    <w:p w14:paraId="688F17EF" w14:textId="77777777" w:rsidR="00DC25B4" w:rsidRDefault="00DC25B4">
      <w:pPr>
        <w:rPr>
          <w:rFonts w:ascii="Arial" w:hAnsi="Arial" w:cs="Arial"/>
          <w:sz w:val="18"/>
          <w:szCs w:val="18"/>
        </w:rPr>
      </w:pPr>
    </w:p>
    <w:tbl>
      <w:tblPr>
        <w:tblW w:w="4986" w:type="pct"/>
        <w:tblLook w:val="0000" w:firstRow="0" w:lastRow="0" w:firstColumn="0" w:lastColumn="0" w:noHBand="0" w:noVBand="0"/>
      </w:tblPr>
      <w:tblGrid>
        <w:gridCol w:w="6661"/>
        <w:gridCol w:w="1592"/>
        <w:gridCol w:w="1359"/>
      </w:tblGrid>
      <w:tr w:rsidR="00B11F69" w:rsidRPr="002A7D7A" w14:paraId="7D23E8D7" w14:textId="77777777" w:rsidTr="00281AF4">
        <w:trPr>
          <w:trHeight w:val="255"/>
        </w:trPr>
        <w:tc>
          <w:tcPr>
            <w:tcW w:w="3465" w:type="pct"/>
            <w:tcBorders>
              <w:top w:val="nil"/>
              <w:left w:val="nil"/>
              <w:bottom w:val="single" w:sz="4" w:space="0" w:color="auto"/>
              <w:right w:val="nil"/>
            </w:tcBorders>
            <w:shd w:val="clear" w:color="auto" w:fill="auto"/>
            <w:noWrap/>
            <w:vAlign w:val="bottom"/>
          </w:tcPr>
          <w:p w14:paraId="5496297A" w14:textId="77777777" w:rsidR="00B11F69" w:rsidRPr="002A7D7A" w:rsidRDefault="00B11F69" w:rsidP="00B11F69">
            <w:pPr>
              <w:rPr>
                <w:rFonts w:ascii="Arial" w:hAnsi="Arial" w:cs="Arial"/>
                <w:sz w:val="18"/>
                <w:szCs w:val="18"/>
              </w:rPr>
            </w:pPr>
            <w:r w:rsidRPr="002A7D7A">
              <w:rPr>
                <w:rFonts w:ascii="Arial" w:hAnsi="Arial" w:cs="Arial"/>
                <w:sz w:val="18"/>
                <w:szCs w:val="18"/>
              </w:rPr>
              <w:t>£ millions</w:t>
            </w:r>
          </w:p>
        </w:tc>
        <w:tc>
          <w:tcPr>
            <w:tcW w:w="828" w:type="pct"/>
            <w:tcBorders>
              <w:left w:val="nil"/>
              <w:bottom w:val="single" w:sz="4" w:space="0" w:color="auto"/>
              <w:right w:val="nil"/>
            </w:tcBorders>
            <w:shd w:val="clear" w:color="auto" w:fill="auto"/>
            <w:noWrap/>
            <w:vAlign w:val="bottom"/>
          </w:tcPr>
          <w:p w14:paraId="1FC21E9D" w14:textId="77777777" w:rsidR="00B11F69" w:rsidRPr="00CD6F3E" w:rsidRDefault="00B11F69" w:rsidP="00A40C53">
            <w:pPr>
              <w:jc w:val="right"/>
              <w:rPr>
                <w:rFonts w:ascii="Arial" w:hAnsi="Arial" w:cs="Arial"/>
                <w:bCs/>
                <w:sz w:val="18"/>
                <w:szCs w:val="18"/>
              </w:rPr>
            </w:pPr>
            <w:r w:rsidRPr="008C583A">
              <w:rPr>
                <w:rFonts w:ascii="Arial" w:hAnsi="Arial" w:cs="Arial"/>
                <w:bCs/>
                <w:sz w:val="18"/>
                <w:szCs w:val="18"/>
              </w:rPr>
              <w:t>201</w:t>
            </w:r>
            <w:r w:rsidR="00DD071B">
              <w:rPr>
                <w:rFonts w:ascii="Arial" w:hAnsi="Arial" w:cs="Arial"/>
                <w:bCs/>
                <w:sz w:val="18"/>
                <w:szCs w:val="18"/>
              </w:rPr>
              <w:t>8</w:t>
            </w:r>
            <w:r w:rsidRPr="00FC37BE">
              <w:rPr>
                <w:rFonts w:ascii="Arial" w:hAnsi="Arial" w:cs="Arial"/>
                <w:bCs/>
                <w:sz w:val="18"/>
                <w:szCs w:val="18"/>
              </w:rPr>
              <w:t>/1</w:t>
            </w:r>
            <w:r w:rsidR="00DD071B">
              <w:rPr>
                <w:rFonts w:ascii="Arial" w:hAnsi="Arial" w:cs="Arial"/>
                <w:bCs/>
                <w:sz w:val="18"/>
                <w:szCs w:val="18"/>
              </w:rPr>
              <w:t>9</w:t>
            </w:r>
          </w:p>
        </w:tc>
        <w:tc>
          <w:tcPr>
            <w:tcW w:w="707" w:type="pct"/>
            <w:tcBorders>
              <w:left w:val="nil"/>
              <w:bottom w:val="single" w:sz="4" w:space="0" w:color="auto"/>
              <w:right w:val="nil"/>
            </w:tcBorders>
            <w:vAlign w:val="bottom"/>
          </w:tcPr>
          <w:p w14:paraId="751D3916" w14:textId="77777777" w:rsidR="00B11F69" w:rsidRPr="000206F0" w:rsidRDefault="000206F0" w:rsidP="00A40C53">
            <w:pPr>
              <w:jc w:val="right"/>
              <w:rPr>
                <w:rFonts w:ascii="Arial" w:hAnsi="Arial" w:cs="Arial"/>
                <w:b/>
                <w:bCs/>
                <w:sz w:val="18"/>
                <w:szCs w:val="18"/>
              </w:rPr>
            </w:pPr>
            <w:r w:rsidRPr="008C583A">
              <w:rPr>
                <w:rFonts w:ascii="Arial" w:hAnsi="Arial" w:cs="Arial"/>
                <w:bCs/>
                <w:sz w:val="18"/>
                <w:szCs w:val="18"/>
              </w:rPr>
              <w:t>201</w:t>
            </w:r>
            <w:r w:rsidR="00DD071B">
              <w:rPr>
                <w:rFonts w:ascii="Arial" w:hAnsi="Arial" w:cs="Arial"/>
                <w:bCs/>
                <w:sz w:val="18"/>
                <w:szCs w:val="18"/>
              </w:rPr>
              <w:t>7</w:t>
            </w:r>
            <w:r w:rsidRPr="00FC37BE">
              <w:rPr>
                <w:rFonts w:ascii="Arial" w:hAnsi="Arial" w:cs="Arial"/>
                <w:bCs/>
                <w:sz w:val="18"/>
                <w:szCs w:val="18"/>
              </w:rPr>
              <w:t>/1</w:t>
            </w:r>
            <w:r w:rsidR="00DD071B">
              <w:rPr>
                <w:rFonts w:ascii="Arial" w:hAnsi="Arial" w:cs="Arial"/>
                <w:bCs/>
                <w:sz w:val="18"/>
                <w:szCs w:val="18"/>
              </w:rPr>
              <w:t>8</w:t>
            </w:r>
          </w:p>
        </w:tc>
      </w:tr>
      <w:tr w:rsidR="00B11F69" w:rsidRPr="002A7D7A" w14:paraId="412205E4" w14:textId="77777777" w:rsidTr="00281AF4">
        <w:trPr>
          <w:trHeight w:val="255"/>
        </w:trPr>
        <w:tc>
          <w:tcPr>
            <w:tcW w:w="3465" w:type="pct"/>
            <w:tcBorders>
              <w:top w:val="single" w:sz="4" w:space="0" w:color="auto"/>
              <w:left w:val="nil"/>
              <w:bottom w:val="nil"/>
              <w:right w:val="nil"/>
            </w:tcBorders>
            <w:shd w:val="clear" w:color="auto" w:fill="auto"/>
            <w:noWrap/>
            <w:vAlign w:val="bottom"/>
          </w:tcPr>
          <w:p w14:paraId="65A87704" w14:textId="77777777" w:rsidR="00B11F69" w:rsidRPr="002A7D7A" w:rsidRDefault="00FB58AD" w:rsidP="00B11F69">
            <w:pPr>
              <w:rPr>
                <w:rFonts w:ascii="Arial" w:hAnsi="Arial" w:cs="Arial"/>
                <w:b/>
                <w:bCs/>
                <w:sz w:val="18"/>
                <w:szCs w:val="18"/>
              </w:rPr>
            </w:pPr>
            <w:r>
              <w:rPr>
                <w:rFonts w:ascii="Arial" w:hAnsi="Arial" w:cs="Arial"/>
                <w:b/>
                <w:bCs/>
                <w:sz w:val="18"/>
                <w:szCs w:val="18"/>
              </w:rPr>
              <w:t>UK corporation tax</w:t>
            </w:r>
          </w:p>
        </w:tc>
        <w:tc>
          <w:tcPr>
            <w:tcW w:w="828" w:type="pct"/>
            <w:tcBorders>
              <w:top w:val="single" w:sz="4" w:space="0" w:color="auto"/>
              <w:left w:val="nil"/>
              <w:bottom w:val="nil"/>
              <w:right w:val="nil"/>
            </w:tcBorders>
            <w:shd w:val="clear" w:color="auto" w:fill="auto"/>
            <w:noWrap/>
            <w:vAlign w:val="bottom"/>
          </w:tcPr>
          <w:p w14:paraId="0AEAB87C" w14:textId="77777777" w:rsidR="00B11F69" w:rsidRPr="008D47B9" w:rsidRDefault="00B11F69" w:rsidP="00B11F69">
            <w:pPr>
              <w:jc w:val="right"/>
              <w:rPr>
                <w:rFonts w:ascii="Arial" w:hAnsi="Arial" w:cs="Arial"/>
                <w:sz w:val="18"/>
                <w:szCs w:val="18"/>
              </w:rPr>
            </w:pPr>
          </w:p>
        </w:tc>
        <w:tc>
          <w:tcPr>
            <w:tcW w:w="707" w:type="pct"/>
            <w:tcBorders>
              <w:top w:val="single" w:sz="4" w:space="0" w:color="auto"/>
              <w:left w:val="nil"/>
              <w:bottom w:val="nil"/>
              <w:right w:val="nil"/>
            </w:tcBorders>
            <w:vAlign w:val="bottom"/>
          </w:tcPr>
          <w:p w14:paraId="69B43354" w14:textId="77777777" w:rsidR="00B11F69" w:rsidRPr="000206F0" w:rsidRDefault="00B11F69" w:rsidP="00B11F69">
            <w:pPr>
              <w:rPr>
                <w:rFonts w:ascii="Arial" w:hAnsi="Arial" w:cs="Arial"/>
                <w:b/>
                <w:sz w:val="18"/>
                <w:szCs w:val="18"/>
              </w:rPr>
            </w:pPr>
          </w:p>
        </w:tc>
      </w:tr>
      <w:tr w:rsidR="00DD071B" w:rsidRPr="00281AF4" w14:paraId="1E5812BA" w14:textId="77777777" w:rsidTr="00281AF4">
        <w:trPr>
          <w:trHeight w:val="255"/>
        </w:trPr>
        <w:tc>
          <w:tcPr>
            <w:tcW w:w="3465" w:type="pct"/>
            <w:tcBorders>
              <w:top w:val="nil"/>
              <w:left w:val="nil"/>
              <w:right w:val="nil"/>
            </w:tcBorders>
            <w:shd w:val="clear" w:color="auto" w:fill="auto"/>
            <w:noWrap/>
            <w:vAlign w:val="bottom"/>
          </w:tcPr>
          <w:p w14:paraId="5148D6A4" w14:textId="77777777" w:rsidR="00DD071B" w:rsidRPr="002A7D7A" w:rsidRDefault="00DD071B" w:rsidP="00DD071B">
            <w:pPr>
              <w:rPr>
                <w:rFonts w:ascii="Arial" w:hAnsi="Arial" w:cs="Arial"/>
                <w:sz w:val="18"/>
                <w:szCs w:val="18"/>
              </w:rPr>
            </w:pPr>
            <w:r>
              <w:rPr>
                <w:rFonts w:ascii="Arial" w:hAnsi="Arial" w:cs="Arial"/>
                <w:sz w:val="18"/>
                <w:szCs w:val="18"/>
              </w:rPr>
              <w:t>Current tax on profits for the year</w:t>
            </w:r>
          </w:p>
        </w:tc>
        <w:tc>
          <w:tcPr>
            <w:tcW w:w="828" w:type="pct"/>
            <w:tcBorders>
              <w:top w:val="nil"/>
              <w:left w:val="nil"/>
              <w:right w:val="nil"/>
            </w:tcBorders>
            <w:shd w:val="clear" w:color="auto" w:fill="auto"/>
            <w:noWrap/>
            <w:vAlign w:val="bottom"/>
          </w:tcPr>
          <w:p w14:paraId="725F311C" w14:textId="77777777" w:rsidR="00DD071B" w:rsidRPr="0012670E" w:rsidRDefault="00DD071B" w:rsidP="00DD071B">
            <w:pPr>
              <w:jc w:val="right"/>
              <w:rPr>
                <w:rFonts w:ascii="Arial" w:hAnsi="Arial" w:cs="Arial"/>
                <w:b/>
                <w:sz w:val="18"/>
                <w:szCs w:val="18"/>
              </w:rPr>
            </w:pPr>
            <w:r w:rsidRPr="0012670E">
              <w:rPr>
                <w:rFonts w:ascii="Arial" w:hAnsi="Arial" w:cs="Arial"/>
                <w:b/>
                <w:sz w:val="18"/>
                <w:szCs w:val="18"/>
              </w:rPr>
              <w:t>(</w:t>
            </w:r>
            <w:r w:rsidR="00770FF8" w:rsidRPr="0012670E">
              <w:rPr>
                <w:rFonts w:ascii="Arial" w:hAnsi="Arial" w:cs="Arial"/>
                <w:b/>
                <w:sz w:val="18"/>
                <w:szCs w:val="18"/>
              </w:rPr>
              <w:t>5</w:t>
            </w:r>
            <w:r w:rsidR="00AD34E6">
              <w:rPr>
                <w:rFonts w:ascii="Arial" w:hAnsi="Arial" w:cs="Arial"/>
                <w:b/>
                <w:sz w:val="18"/>
                <w:szCs w:val="18"/>
              </w:rPr>
              <w:t>2</w:t>
            </w:r>
            <w:r w:rsidRPr="0012670E">
              <w:rPr>
                <w:rFonts w:ascii="Arial" w:hAnsi="Arial" w:cs="Arial"/>
                <w:b/>
                <w:sz w:val="18"/>
                <w:szCs w:val="18"/>
              </w:rPr>
              <w:t>)</w:t>
            </w:r>
          </w:p>
        </w:tc>
        <w:tc>
          <w:tcPr>
            <w:tcW w:w="707" w:type="pct"/>
            <w:tcBorders>
              <w:top w:val="nil"/>
              <w:left w:val="nil"/>
              <w:right w:val="nil"/>
            </w:tcBorders>
            <w:vAlign w:val="bottom"/>
          </w:tcPr>
          <w:p w14:paraId="48EBEFB7"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(32)</w:t>
            </w:r>
          </w:p>
        </w:tc>
      </w:tr>
      <w:tr w:rsidR="00DD071B" w:rsidRPr="00281AF4" w14:paraId="1466F02D" w14:textId="77777777" w:rsidTr="00281AF4">
        <w:trPr>
          <w:trHeight w:val="255"/>
        </w:trPr>
        <w:tc>
          <w:tcPr>
            <w:tcW w:w="3465" w:type="pct"/>
            <w:tcBorders>
              <w:left w:val="nil"/>
              <w:right w:val="nil"/>
            </w:tcBorders>
            <w:shd w:val="clear" w:color="auto" w:fill="auto"/>
            <w:noWrap/>
            <w:vAlign w:val="bottom"/>
          </w:tcPr>
          <w:p w14:paraId="33D33BD8" w14:textId="77777777" w:rsidR="00DD071B" w:rsidRPr="002A7D7A" w:rsidRDefault="00DD071B" w:rsidP="00DD071B">
            <w:pPr>
              <w:rPr>
                <w:rFonts w:ascii="Arial" w:hAnsi="Arial" w:cs="Arial"/>
                <w:sz w:val="18"/>
                <w:szCs w:val="18"/>
              </w:rPr>
            </w:pPr>
            <w:r>
              <w:rPr>
                <w:rFonts w:ascii="Arial" w:hAnsi="Arial" w:cs="Arial"/>
                <w:sz w:val="18"/>
                <w:szCs w:val="18"/>
              </w:rPr>
              <w:t>Adjustments in respect of prior years</w:t>
            </w:r>
          </w:p>
        </w:tc>
        <w:tc>
          <w:tcPr>
            <w:tcW w:w="828" w:type="pct"/>
            <w:tcBorders>
              <w:left w:val="nil"/>
              <w:right w:val="nil"/>
            </w:tcBorders>
            <w:shd w:val="clear" w:color="auto" w:fill="auto"/>
            <w:noWrap/>
            <w:vAlign w:val="bottom"/>
          </w:tcPr>
          <w:p w14:paraId="49AB91E1" w14:textId="54947411" w:rsidR="00DD071B" w:rsidRPr="0012670E" w:rsidRDefault="00C356D9" w:rsidP="00DD071B">
            <w:pPr>
              <w:jc w:val="right"/>
              <w:rPr>
                <w:rFonts w:ascii="Arial" w:hAnsi="Arial" w:cs="Arial"/>
                <w:b/>
                <w:sz w:val="18"/>
                <w:szCs w:val="18"/>
              </w:rPr>
            </w:pPr>
            <w:r>
              <w:rPr>
                <w:rFonts w:ascii="Arial" w:hAnsi="Arial" w:cs="Arial"/>
                <w:b/>
                <w:sz w:val="18"/>
                <w:szCs w:val="18"/>
              </w:rPr>
              <w:t>(1)</w:t>
            </w:r>
          </w:p>
        </w:tc>
        <w:tc>
          <w:tcPr>
            <w:tcW w:w="707" w:type="pct"/>
            <w:tcBorders>
              <w:left w:val="nil"/>
              <w:right w:val="nil"/>
            </w:tcBorders>
            <w:vAlign w:val="bottom"/>
          </w:tcPr>
          <w:p w14:paraId="5608385B"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(8)</w:t>
            </w:r>
          </w:p>
        </w:tc>
      </w:tr>
      <w:tr w:rsidR="00DD071B" w:rsidRPr="00281AF4" w14:paraId="3462E2C9" w14:textId="77777777" w:rsidTr="00281AF4">
        <w:trPr>
          <w:trHeight w:val="255"/>
        </w:trPr>
        <w:tc>
          <w:tcPr>
            <w:tcW w:w="3465" w:type="pct"/>
            <w:tcBorders>
              <w:top w:val="single" w:sz="4" w:space="0" w:color="auto"/>
              <w:left w:val="nil"/>
              <w:bottom w:val="single" w:sz="4" w:space="0" w:color="auto"/>
              <w:right w:val="nil"/>
            </w:tcBorders>
            <w:shd w:val="clear" w:color="auto" w:fill="auto"/>
            <w:noWrap/>
            <w:vAlign w:val="bottom"/>
          </w:tcPr>
          <w:p w14:paraId="4C189E27" w14:textId="77777777" w:rsidR="00DD071B" w:rsidRPr="00282B11" w:rsidRDefault="00DD071B" w:rsidP="00DD071B">
            <w:pPr>
              <w:rPr>
                <w:rFonts w:ascii="Arial" w:hAnsi="Arial" w:cs="Arial"/>
                <w:b/>
                <w:bCs/>
                <w:sz w:val="18"/>
                <w:szCs w:val="18"/>
              </w:rPr>
            </w:pPr>
          </w:p>
        </w:tc>
        <w:tc>
          <w:tcPr>
            <w:tcW w:w="828" w:type="pct"/>
            <w:tcBorders>
              <w:top w:val="single" w:sz="4" w:space="0" w:color="auto"/>
              <w:left w:val="nil"/>
              <w:bottom w:val="single" w:sz="4" w:space="0" w:color="auto"/>
              <w:right w:val="nil"/>
            </w:tcBorders>
            <w:shd w:val="clear" w:color="auto" w:fill="auto"/>
            <w:noWrap/>
            <w:vAlign w:val="bottom"/>
          </w:tcPr>
          <w:p w14:paraId="677813A9" w14:textId="5E3593E7" w:rsidR="00DD071B" w:rsidRPr="0012670E" w:rsidRDefault="00DD071B" w:rsidP="00DD071B">
            <w:pPr>
              <w:jc w:val="right"/>
              <w:rPr>
                <w:rFonts w:ascii="Arial" w:hAnsi="Arial" w:cs="Arial"/>
                <w:b/>
                <w:sz w:val="18"/>
                <w:szCs w:val="18"/>
              </w:rPr>
            </w:pPr>
            <w:r w:rsidRPr="0012670E">
              <w:rPr>
                <w:rFonts w:ascii="Arial" w:hAnsi="Arial" w:cs="Arial"/>
                <w:b/>
                <w:sz w:val="18"/>
                <w:szCs w:val="18"/>
              </w:rPr>
              <w:t>(</w:t>
            </w:r>
            <w:r w:rsidR="00770FF8" w:rsidRPr="0012670E">
              <w:rPr>
                <w:rFonts w:ascii="Arial" w:hAnsi="Arial" w:cs="Arial"/>
                <w:b/>
                <w:sz w:val="18"/>
                <w:szCs w:val="18"/>
              </w:rPr>
              <w:t>5</w:t>
            </w:r>
            <w:r w:rsidR="00C356D9">
              <w:rPr>
                <w:rFonts w:ascii="Arial" w:hAnsi="Arial" w:cs="Arial"/>
                <w:b/>
                <w:sz w:val="18"/>
                <w:szCs w:val="18"/>
              </w:rPr>
              <w:t>3</w:t>
            </w:r>
            <w:r w:rsidRPr="0012670E">
              <w:rPr>
                <w:rFonts w:ascii="Arial" w:hAnsi="Arial" w:cs="Arial"/>
                <w:b/>
                <w:sz w:val="18"/>
                <w:szCs w:val="18"/>
              </w:rPr>
              <w:t>)</w:t>
            </w:r>
          </w:p>
        </w:tc>
        <w:tc>
          <w:tcPr>
            <w:tcW w:w="707" w:type="pct"/>
            <w:tcBorders>
              <w:top w:val="single" w:sz="4" w:space="0" w:color="auto"/>
              <w:left w:val="nil"/>
              <w:bottom w:val="single" w:sz="4" w:space="0" w:color="auto"/>
              <w:right w:val="nil"/>
            </w:tcBorders>
            <w:vAlign w:val="bottom"/>
          </w:tcPr>
          <w:p w14:paraId="04971DE7"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(40)</w:t>
            </w:r>
          </w:p>
        </w:tc>
      </w:tr>
      <w:tr w:rsidR="00DD071B" w:rsidRPr="00281AF4" w14:paraId="0865777C" w14:textId="77777777" w:rsidTr="00FB58AD">
        <w:trPr>
          <w:trHeight w:val="255"/>
        </w:trPr>
        <w:tc>
          <w:tcPr>
            <w:tcW w:w="3465" w:type="pct"/>
            <w:tcBorders>
              <w:top w:val="single" w:sz="4" w:space="0" w:color="auto"/>
              <w:left w:val="nil"/>
              <w:right w:val="nil"/>
            </w:tcBorders>
            <w:shd w:val="clear" w:color="auto" w:fill="auto"/>
            <w:noWrap/>
            <w:vAlign w:val="bottom"/>
          </w:tcPr>
          <w:p w14:paraId="50A317E1" w14:textId="77777777" w:rsidR="00DD071B" w:rsidRPr="00282B11" w:rsidRDefault="00DD071B" w:rsidP="00DD071B">
            <w:pPr>
              <w:rPr>
                <w:rFonts w:ascii="Arial" w:hAnsi="Arial" w:cs="Arial"/>
                <w:b/>
                <w:bCs/>
                <w:sz w:val="18"/>
                <w:szCs w:val="18"/>
              </w:rPr>
            </w:pPr>
            <w:r>
              <w:rPr>
                <w:rFonts w:ascii="Arial" w:hAnsi="Arial" w:cs="Arial"/>
                <w:b/>
                <w:bCs/>
                <w:sz w:val="18"/>
                <w:szCs w:val="18"/>
              </w:rPr>
              <w:t>Overseas tax</w:t>
            </w:r>
          </w:p>
        </w:tc>
        <w:tc>
          <w:tcPr>
            <w:tcW w:w="828" w:type="pct"/>
            <w:tcBorders>
              <w:top w:val="single" w:sz="4" w:space="0" w:color="auto"/>
              <w:left w:val="nil"/>
              <w:right w:val="nil"/>
            </w:tcBorders>
            <w:shd w:val="clear" w:color="auto" w:fill="auto"/>
            <w:noWrap/>
            <w:vAlign w:val="bottom"/>
          </w:tcPr>
          <w:p w14:paraId="1BD7EAEE" w14:textId="77777777" w:rsidR="00DD071B" w:rsidRPr="0012670E" w:rsidDel="00B11F69" w:rsidRDefault="00DD071B" w:rsidP="00DD071B">
            <w:pPr>
              <w:jc w:val="right"/>
              <w:rPr>
                <w:rFonts w:ascii="Arial" w:hAnsi="Arial" w:cs="Arial"/>
                <w:b/>
                <w:sz w:val="18"/>
                <w:szCs w:val="18"/>
              </w:rPr>
            </w:pPr>
          </w:p>
        </w:tc>
        <w:tc>
          <w:tcPr>
            <w:tcW w:w="707" w:type="pct"/>
            <w:tcBorders>
              <w:top w:val="single" w:sz="4" w:space="0" w:color="auto"/>
              <w:left w:val="nil"/>
              <w:right w:val="nil"/>
            </w:tcBorders>
            <w:vAlign w:val="bottom"/>
          </w:tcPr>
          <w:p w14:paraId="455C7E48" w14:textId="77777777" w:rsidR="00DD071B" w:rsidRPr="00DD071B" w:rsidDel="00B11F69" w:rsidRDefault="00DD071B" w:rsidP="00DD071B">
            <w:pPr>
              <w:jc w:val="right"/>
              <w:rPr>
                <w:rFonts w:ascii="Arial" w:hAnsi="Arial" w:cs="Arial"/>
                <w:sz w:val="18"/>
                <w:szCs w:val="18"/>
              </w:rPr>
            </w:pPr>
          </w:p>
        </w:tc>
      </w:tr>
      <w:tr w:rsidR="00DD071B" w:rsidRPr="00281AF4" w14:paraId="193CDF4E" w14:textId="77777777" w:rsidTr="00FB58AD">
        <w:trPr>
          <w:trHeight w:val="255"/>
        </w:trPr>
        <w:tc>
          <w:tcPr>
            <w:tcW w:w="3465" w:type="pct"/>
            <w:tcBorders>
              <w:left w:val="nil"/>
              <w:right w:val="nil"/>
            </w:tcBorders>
            <w:shd w:val="clear" w:color="auto" w:fill="auto"/>
            <w:noWrap/>
            <w:vAlign w:val="bottom"/>
          </w:tcPr>
          <w:p w14:paraId="37A59608" w14:textId="77777777" w:rsidR="00DD071B" w:rsidRDefault="00DD071B" w:rsidP="00DD071B">
            <w:pPr>
              <w:rPr>
                <w:rFonts w:ascii="Arial" w:hAnsi="Arial" w:cs="Arial"/>
                <w:b/>
                <w:bCs/>
                <w:sz w:val="18"/>
                <w:szCs w:val="18"/>
              </w:rPr>
            </w:pPr>
            <w:r>
              <w:rPr>
                <w:rFonts w:ascii="Arial" w:hAnsi="Arial" w:cs="Arial"/>
                <w:sz w:val="18"/>
                <w:szCs w:val="18"/>
              </w:rPr>
              <w:t>Current tax on profits for the year</w:t>
            </w:r>
          </w:p>
        </w:tc>
        <w:tc>
          <w:tcPr>
            <w:tcW w:w="828" w:type="pct"/>
            <w:tcBorders>
              <w:left w:val="nil"/>
              <w:right w:val="nil"/>
            </w:tcBorders>
            <w:shd w:val="clear" w:color="auto" w:fill="auto"/>
            <w:noWrap/>
            <w:vAlign w:val="bottom"/>
          </w:tcPr>
          <w:p w14:paraId="66797D68" w14:textId="77777777" w:rsidR="00DD071B" w:rsidRPr="0012670E" w:rsidDel="00B11F69" w:rsidRDefault="00DD071B" w:rsidP="00DD071B">
            <w:pPr>
              <w:jc w:val="right"/>
              <w:rPr>
                <w:rFonts w:ascii="Arial" w:hAnsi="Arial" w:cs="Arial"/>
                <w:b/>
                <w:sz w:val="18"/>
                <w:szCs w:val="18"/>
              </w:rPr>
            </w:pPr>
            <w:r w:rsidRPr="0012670E">
              <w:rPr>
                <w:rFonts w:ascii="Arial" w:hAnsi="Arial" w:cs="Arial"/>
                <w:b/>
                <w:sz w:val="18"/>
                <w:szCs w:val="18"/>
              </w:rPr>
              <w:t>(</w:t>
            </w:r>
            <w:r w:rsidR="00770FF8" w:rsidRPr="0012670E">
              <w:rPr>
                <w:rFonts w:ascii="Arial" w:hAnsi="Arial" w:cs="Arial"/>
                <w:b/>
                <w:sz w:val="18"/>
                <w:szCs w:val="18"/>
              </w:rPr>
              <w:t>66</w:t>
            </w:r>
            <w:r w:rsidRPr="0012670E">
              <w:rPr>
                <w:rFonts w:ascii="Arial" w:hAnsi="Arial" w:cs="Arial"/>
                <w:b/>
                <w:sz w:val="18"/>
                <w:szCs w:val="18"/>
              </w:rPr>
              <w:t>)</w:t>
            </w:r>
          </w:p>
        </w:tc>
        <w:tc>
          <w:tcPr>
            <w:tcW w:w="707" w:type="pct"/>
            <w:tcBorders>
              <w:left w:val="nil"/>
              <w:right w:val="nil"/>
            </w:tcBorders>
            <w:vAlign w:val="bottom"/>
          </w:tcPr>
          <w:p w14:paraId="5DCCEA14" w14:textId="77777777" w:rsidR="00DD071B" w:rsidRPr="00DD071B" w:rsidDel="00B11F69" w:rsidRDefault="00DD071B" w:rsidP="00DD071B">
            <w:pPr>
              <w:jc w:val="right"/>
              <w:rPr>
                <w:rFonts w:ascii="Arial" w:hAnsi="Arial" w:cs="Arial"/>
                <w:sz w:val="18"/>
                <w:szCs w:val="18"/>
              </w:rPr>
            </w:pPr>
            <w:r w:rsidRPr="00DD071B">
              <w:rPr>
                <w:rFonts w:ascii="Arial" w:hAnsi="Arial" w:cs="Arial"/>
                <w:sz w:val="18"/>
                <w:szCs w:val="18"/>
              </w:rPr>
              <w:t>(152)</w:t>
            </w:r>
          </w:p>
        </w:tc>
      </w:tr>
      <w:tr w:rsidR="00DD071B" w:rsidRPr="00281AF4" w14:paraId="233A2968" w14:textId="77777777" w:rsidTr="00FB58AD">
        <w:trPr>
          <w:trHeight w:val="255"/>
        </w:trPr>
        <w:tc>
          <w:tcPr>
            <w:tcW w:w="3465" w:type="pct"/>
            <w:tcBorders>
              <w:left w:val="nil"/>
              <w:bottom w:val="single" w:sz="4" w:space="0" w:color="auto"/>
              <w:right w:val="nil"/>
            </w:tcBorders>
            <w:shd w:val="clear" w:color="auto" w:fill="auto"/>
            <w:noWrap/>
            <w:vAlign w:val="bottom"/>
          </w:tcPr>
          <w:p w14:paraId="4F4F653D" w14:textId="77777777" w:rsidR="00DD071B" w:rsidRDefault="00DD071B" w:rsidP="00DD071B">
            <w:pPr>
              <w:rPr>
                <w:rFonts w:ascii="Arial" w:hAnsi="Arial" w:cs="Arial"/>
                <w:b/>
                <w:bCs/>
                <w:sz w:val="18"/>
                <w:szCs w:val="18"/>
              </w:rPr>
            </w:pPr>
            <w:r>
              <w:rPr>
                <w:rFonts w:ascii="Arial" w:hAnsi="Arial" w:cs="Arial"/>
                <w:sz w:val="18"/>
                <w:szCs w:val="18"/>
              </w:rPr>
              <w:t>Adjustments in respect of prior years</w:t>
            </w:r>
          </w:p>
        </w:tc>
        <w:tc>
          <w:tcPr>
            <w:tcW w:w="828" w:type="pct"/>
            <w:tcBorders>
              <w:left w:val="nil"/>
              <w:bottom w:val="single" w:sz="4" w:space="0" w:color="auto"/>
              <w:right w:val="nil"/>
            </w:tcBorders>
            <w:shd w:val="clear" w:color="auto" w:fill="auto"/>
            <w:noWrap/>
            <w:vAlign w:val="bottom"/>
          </w:tcPr>
          <w:p w14:paraId="33EBADF4" w14:textId="77777777" w:rsidR="00DD071B" w:rsidRPr="0012670E" w:rsidDel="00B11F69" w:rsidRDefault="0012670E" w:rsidP="00DD071B">
            <w:pPr>
              <w:jc w:val="right"/>
              <w:rPr>
                <w:rFonts w:ascii="Arial" w:hAnsi="Arial" w:cs="Arial"/>
                <w:b/>
                <w:sz w:val="18"/>
                <w:szCs w:val="18"/>
              </w:rPr>
            </w:pPr>
            <w:r w:rsidRPr="0012670E">
              <w:rPr>
                <w:rFonts w:ascii="Arial" w:hAnsi="Arial" w:cs="Arial"/>
                <w:b/>
                <w:sz w:val="18"/>
                <w:szCs w:val="18"/>
              </w:rPr>
              <w:t>7</w:t>
            </w:r>
          </w:p>
        </w:tc>
        <w:tc>
          <w:tcPr>
            <w:tcW w:w="707" w:type="pct"/>
            <w:tcBorders>
              <w:left w:val="nil"/>
              <w:bottom w:val="single" w:sz="4" w:space="0" w:color="auto"/>
              <w:right w:val="nil"/>
            </w:tcBorders>
            <w:vAlign w:val="bottom"/>
          </w:tcPr>
          <w:p w14:paraId="737D267B" w14:textId="77777777" w:rsidR="00DD071B" w:rsidRPr="00DD071B" w:rsidDel="00B11F69" w:rsidRDefault="00DD071B" w:rsidP="00DD071B">
            <w:pPr>
              <w:jc w:val="right"/>
              <w:rPr>
                <w:rFonts w:ascii="Arial" w:hAnsi="Arial" w:cs="Arial"/>
                <w:sz w:val="18"/>
                <w:szCs w:val="18"/>
              </w:rPr>
            </w:pPr>
            <w:r w:rsidRPr="00DD071B">
              <w:rPr>
                <w:rFonts w:ascii="Arial" w:hAnsi="Arial" w:cs="Arial"/>
                <w:sz w:val="18"/>
                <w:szCs w:val="18"/>
              </w:rPr>
              <w:t>(2)</w:t>
            </w:r>
          </w:p>
        </w:tc>
      </w:tr>
      <w:tr w:rsidR="00DD071B" w:rsidRPr="00281AF4" w14:paraId="6F30ED49" w14:textId="77777777" w:rsidTr="00FB58AD">
        <w:trPr>
          <w:trHeight w:val="255"/>
        </w:trPr>
        <w:tc>
          <w:tcPr>
            <w:tcW w:w="3465" w:type="pct"/>
            <w:tcBorders>
              <w:top w:val="single" w:sz="4" w:space="0" w:color="auto"/>
              <w:left w:val="nil"/>
              <w:bottom w:val="single" w:sz="4" w:space="0" w:color="auto"/>
              <w:right w:val="nil"/>
            </w:tcBorders>
            <w:shd w:val="clear" w:color="auto" w:fill="auto"/>
            <w:noWrap/>
            <w:vAlign w:val="bottom"/>
          </w:tcPr>
          <w:p w14:paraId="095343D7" w14:textId="77777777" w:rsidR="00DD071B" w:rsidRPr="00282B11" w:rsidRDefault="00DD071B" w:rsidP="00DD071B">
            <w:pPr>
              <w:rPr>
                <w:rFonts w:ascii="Arial" w:hAnsi="Arial" w:cs="Arial"/>
                <w:b/>
                <w:bCs/>
                <w:sz w:val="18"/>
                <w:szCs w:val="18"/>
              </w:rPr>
            </w:pPr>
          </w:p>
        </w:tc>
        <w:tc>
          <w:tcPr>
            <w:tcW w:w="828" w:type="pct"/>
            <w:tcBorders>
              <w:top w:val="single" w:sz="4" w:space="0" w:color="auto"/>
              <w:left w:val="nil"/>
              <w:bottom w:val="single" w:sz="4" w:space="0" w:color="auto"/>
              <w:right w:val="nil"/>
            </w:tcBorders>
            <w:shd w:val="clear" w:color="auto" w:fill="auto"/>
            <w:noWrap/>
            <w:vAlign w:val="bottom"/>
          </w:tcPr>
          <w:p w14:paraId="5A5E4667" w14:textId="77777777" w:rsidR="00DD071B" w:rsidRPr="0012670E" w:rsidDel="00B11F69" w:rsidRDefault="00DD071B" w:rsidP="00DD071B">
            <w:pPr>
              <w:jc w:val="right"/>
              <w:rPr>
                <w:rFonts w:ascii="Arial" w:hAnsi="Arial" w:cs="Arial"/>
                <w:b/>
                <w:sz w:val="18"/>
                <w:szCs w:val="18"/>
              </w:rPr>
            </w:pPr>
            <w:r w:rsidRPr="0012670E">
              <w:rPr>
                <w:rFonts w:ascii="Arial" w:hAnsi="Arial" w:cs="Arial"/>
                <w:b/>
                <w:sz w:val="18"/>
                <w:szCs w:val="18"/>
              </w:rPr>
              <w:t>(</w:t>
            </w:r>
            <w:r w:rsidR="0012670E" w:rsidRPr="0012670E">
              <w:rPr>
                <w:rFonts w:ascii="Arial" w:hAnsi="Arial" w:cs="Arial"/>
                <w:b/>
                <w:sz w:val="18"/>
                <w:szCs w:val="18"/>
              </w:rPr>
              <w:t>59</w:t>
            </w:r>
            <w:r w:rsidRPr="0012670E">
              <w:rPr>
                <w:rFonts w:ascii="Arial" w:hAnsi="Arial" w:cs="Arial"/>
                <w:b/>
                <w:sz w:val="18"/>
                <w:szCs w:val="18"/>
              </w:rPr>
              <w:t>)</w:t>
            </w:r>
          </w:p>
        </w:tc>
        <w:tc>
          <w:tcPr>
            <w:tcW w:w="707" w:type="pct"/>
            <w:tcBorders>
              <w:top w:val="single" w:sz="4" w:space="0" w:color="auto"/>
              <w:left w:val="nil"/>
              <w:bottom w:val="single" w:sz="4" w:space="0" w:color="auto"/>
              <w:right w:val="nil"/>
            </w:tcBorders>
            <w:vAlign w:val="bottom"/>
          </w:tcPr>
          <w:p w14:paraId="6DBFB934" w14:textId="77777777" w:rsidR="00DD071B" w:rsidRPr="00DD071B" w:rsidDel="00B11F69" w:rsidRDefault="00DD071B" w:rsidP="00DD071B">
            <w:pPr>
              <w:jc w:val="right"/>
              <w:rPr>
                <w:rFonts w:ascii="Arial" w:hAnsi="Arial" w:cs="Arial"/>
                <w:sz w:val="18"/>
                <w:szCs w:val="18"/>
              </w:rPr>
            </w:pPr>
            <w:r w:rsidRPr="00DD071B">
              <w:rPr>
                <w:rFonts w:ascii="Arial" w:hAnsi="Arial" w:cs="Arial"/>
                <w:sz w:val="18"/>
                <w:szCs w:val="18"/>
              </w:rPr>
              <w:t>(154)</w:t>
            </w:r>
          </w:p>
        </w:tc>
      </w:tr>
      <w:tr w:rsidR="00DD071B" w:rsidRPr="00281AF4" w14:paraId="5BF24A90" w14:textId="77777777" w:rsidTr="00281AF4">
        <w:trPr>
          <w:trHeight w:val="255"/>
        </w:trPr>
        <w:tc>
          <w:tcPr>
            <w:tcW w:w="3465" w:type="pct"/>
            <w:tcBorders>
              <w:top w:val="single" w:sz="4" w:space="0" w:color="auto"/>
              <w:left w:val="nil"/>
              <w:bottom w:val="nil"/>
              <w:right w:val="nil"/>
            </w:tcBorders>
            <w:shd w:val="clear" w:color="auto" w:fill="auto"/>
            <w:noWrap/>
            <w:vAlign w:val="bottom"/>
          </w:tcPr>
          <w:p w14:paraId="430BEADA" w14:textId="77777777" w:rsidR="00DD071B" w:rsidRPr="00282B11" w:rsidRDefault="00DD071B" w:rsidP="00DD071B">
            <w:pPr>
              <w:rPr>
                <w:rFonts w:ascii="Arial" w:hAnsi="Arial" w:cs="Arial"/>
                <w:b/>
                <w:bCs/>
                <w:sz w:val="18"/>
                <w:szCs w:val="18"/>
              </w:rPr>
            </w:pPr>
            <w:r w:rsidRPr="00282B11">
              <w:rPr>
                <w:rFonts w:ascii="Arial" w:hAnsi="Arial" w:cs="Arial"/>
                <w:b/>
                <w:bCs/>
                <w:sz w:val="18"/>
                <w:szCs w:val="18"/>
              </w:rPr>
              <w:t>Deferred tax</w:t>
            </w:r>
          </w:p>
        </w:tc>
        <w:tc>
          <w:tcPr>
            <w:tcW w:w="828" w:type="pct"/>
            <w:tcBorders>
              <w:top w:val="single" w:sz="4" w:space="0" w:color="auto"/>
              <w:left w:val="nil"/>
              <w:bottom w:val="nil"/>
              <w:right w:val="nil"/>
            </w:tcBorders>
            <w:shd w:val="clear" w:color="auto" w:fill="auto"/>
            <w:noWrap/>
            <w:vAlign w:val="bottom"/>
          </w:tcPr>
          <w:p w14:paraId="3B3D853D" w14:textId="77777777" w:rsidR="00DD071B" w:rsidRPr="0012670E" w:rsidRDefault="00DD071B" w:rsidP="00DD071B">
            <w:pPr>
              <w:jc w:val="right"/>
              <w:rPr>
                <w:rFonts w:ascii="Arial" w:hAnsi="Arial" w:cs="Arial"/>
                <w:b/>
                <w:sz w:val="18"/>
                <w:szCs w:val="18"/>
              </w:rPr>
            </w:pPr>
          </w:p>
        </w:tc>
        <w:tc>
          <w:tcPr>
            <w:tcW w:w="707" w:type="pct"/>
            <w:tcBorders>
              <w:top w:val="single" w:sz="4" w:space="0" w:color="auto"/>
              <w:left w:val="nil"/>
              <w:bottom w:val="nil"/>
              <w:right w:val="nil"/>
            </w:tcBorders>
            <w:vAlign w:val="bottom"/>
          </w:tcPr>
          <w:p w14:paraId="422D390C" w14:textId="77777777" w:rsidR="00DD071B" w:rsidRPr="00DD071B" w:rsidRDefault="00DD071B" w:rsidP="00DD071B">
            <w:pPr>
              <w:jc w:val="right"/>
              <w:rPr>
                <w:rFonts w:ascii="Arial" w:hAnsi="Arial" w:cs="Arial"/>
                <w:sz w:val="18"/>
                <w:szCs w:val="18"/>
              </w:rPr>
            </w:pPr>
          </w:p>
        </w:tc>
      </w:tr>
      <w:tr w:rsidR="00DD071B" w:rsidRPr="00281AF4" w14:paraId="3C4A644A" w14:textId="77777777" w:rsidTr="00281AF4">
        <w:trPr>
          <w:trHeight w:val="255"/>
        </w:trPr>
        <w:tc>
          <w:tcPr>
            <w:tcW w:w="3465" w:type="pct"/>
            <w:tcBorders>
              <w:top w:val="nil"/>
              <w:left w:val="nil"/>
              <w:right w:val="nil"/>
            </w:tcBorders>
            <w:shd w:val="clear" w:color="auto" w:fill="auto"/>
            <w:noWrap/>
            <w:vAlign w:val="bottom"/>
          </w:tcPr>
          <w:p w14:paraId="792361E8" w14:textId="77777777" w:rsidR="00DD071B" w:rsidRPr="000D7188" w:rsidRDefault="00DD071B" w:rsidP="00DD071B">
            <w:pPr>
              <w:rPr>
                <w:rFonts w:ascii="Arial" w:hAnsi="Arial" w:cs="Arial"/>
                <w:bCs/>
                <w:sz w:val="18"/>
                <w:szCs w:val="18"/>
              </w:rPr>
            </w:pPr>
            <w:r>
              <w:rPr>
                <w:rFonts w:ascii="Arial" w:hAnsi="Arial" w:cs="Arial"/>
                <w:bCs/>
                <w:sz w:val="18"/>
                <w:szCs w:val="18"/>
              </w:rPr>
              <w:t>Current year</w:t>
            </w:r>
          </w:p>
        </w:tc>
        <w:tc>
          <w:tcPr>
            <w:tcW w:w="828" w:type="pct"/>
            <w:tcBorders>
              <w:top w:val="nil"/>
              <w:left w:val="nil"/>
              <w:right w:val="nil"/>
            </w:tcBorders>
            <w:shd w:val="clear" w:color="auto" w:fill="auto"/>
            <w:noWrap/>
            <w:vAlign w:val="bottom"/>
          </w:tcPr>
          <w:p w14:paraId="5D6FFB30" w14:textId="4877FC0E" w:rsidR="00DD071B" w:rsidRPr="0012670E" w:rsidRDefault="00C356D9" w:rsidP="00DD071B">
            <w:pPr>
              <w:jc w:val="right"/>
              <w:rPr>
                <w:rFonts w:ascii="Arial" w:hAnsi="Arial" w:cs="Arial"/>
                <w:b/>
                <w:sz w:val="18"/>
                <w:szCs w:val="18"/>
              </w:rPr>
            </w:pPr>
            <w:r>
              <w:rPr>
                <w:rFonts w:ascii="Arial" w:hAnsi="Arial" w:cs="Arial"/>
                <w:b/>
                <w:sz w:val="18"/>
                <w:szCs w:val="18"/>
              </w:rPr>
              <w:t>27</w:t>
            </w:r>
          </w:p>
        </w:tc>
        <w:tc>
          <w:tcPr>
            <w:tcW w:w="707" w:type="pct"/>
            <w:tcBorders>
              <w:top w:val="nil"/>
              <w:left w:val="nil"/>
              <w:right w:val="nil"/>
            </w:tcBorders>
            <w:vAlign w:val="bottom"/>
          </w:tcPr>
          <w:p w14:paraId="2C044EA9"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(20)</w:t>
            </w:r>
          </w:p>
        </w:tc>
      </w:tr>
      <w:tr w:rsidR="00DD071B" w:rsidRPr="00281AF4" w14:paraId="47FB2349" w14:textId="77777777" w:rsidTr="00281AF4">
        <w:trPr>
          <w:trHeight w:val="255"/>
        </w:trPr>
        <w:tc>
          <w:tcPr>
            <w:tcW w:w="3465" w:type="pct"/>
            <w:tcBorders>
              <w:top w:val="nil"/>
              <w:left w:val="nil"/>
              <w:right w:val="nil"/>
            </w:tcBorders>
            <w:shd w:val="clear" w:color="auto" w:fill="auto"/>
            <w:noWrap/>
            <w:vAlign w:val="bottom"/>
          </w:tcPr>
          <w:p w14:paraId="0CF63BE2" w14:textId="77777777" w:rsidR="00DD071B" w:rsidRDefault="00DD071B" w:rsidP="00DD071B">
            <w:pPr>
              <w:rPr>
                <w:rFonts w:ascii="Arial" w:hAnsi="Arial" w:cs="Arial"/>
                <w:bCs/>
                <w:sz w:val="18"/>
                <w:szCs w:val="18"/>
              </w:rPr>
            </w:pPr>
            <w:r>
              <w:rPr>
                <w:rFonts w:ascii="Arial" w:hAnsi="Arial" w:cs="Arial"/>
                <w:bCs/>
                <w:sz w:val="18"/>
                <w:szCs w:val="18"/>
              </w:rPr>
              <w:t xml:space="preserve">Adjustments in respect of prior years </w:t>
            </w:r>
          </w:p>
        </w:tc>
        <w:tc>
          <w:tcPr>
            <w:tcW w:w="828" w:type="pct"/>
            <w:tcBorders>
              <w:top w:val="nil"/>
              <w:left w:val="nil"/>
              <w:right w:val="nil"/>
            </w:tcBorders>
            <w:shd w:val="clear" w:color="auto" w:fill="auto"/>
            <w:noWrap/>
            <w:vAlign w:val="bottom"/>
          </w:tcPr>
          <w:p w14:paraId="5D640E23" w14:textId="3E0D7795" w:rsidR="00DD071B" w:rsidRPr="0012670E" w:rsidRDefault="0012670E" w:rsidP="00DD071B">
            <w:pPr>
              <w:jc w:val="right"/>
              <w:rPr>
                <w:rFonts w:ascii="Arial" w:hAnsi="Arial" w:cs="Arial"/>
                <w:b/>
                <w:sz w:val="18"/>
                <w:szCs w:val="18"/>
              </w:rPr>
            </w:pPr>
            <w:r w:rsidRPr="0012670E">
              <w:rPr>
                <w:rFonts w:ascii="Arial" w:hAnsi="Arial" w:cs="Arial"/>
                <w:b/>
                <w:sz w:val="18"/>
                <w:szCs w:val="18"/>
              </w:rPr>
              <w:t>(1</w:t>
            </w:r>
            <w:r w:rsidR="00C356D9">
              <w:rPr>
                <w:rFonts w:ascii="Arial" w:hAnsi="Arial" w:cs="Arial"/>
                <w:b/>
                <w:sz w:val="18"/>
                <w:szCs w:val="18"/>
              </w:rPr>
              <w:t>9</w:t>
            </w:r>
            <w:r w:rsidRPr="0012670E">
              <w:rPr>
                <w:rFonts w:ascii="Arial" w:hAnsi="Arial" w:cs="Arial"/>
                <w:b/>
                <w:sz w:val="18"/>
                <w:szCs w:val="18"/>
              </w:rPr>
              <w:t>)</w:t>
            </w:r>
          </w:p>
        </w:tc>
        <w:tc>
          <w:tcPr>
            <w:tcW w:w="707" w:type="pct"/>
            <w:tcBorders>
              <w:top w:val="nil"/>
              <w:left w:val="nil"/>
              <w:right w:val="nil"/>
            </w:tcBorders>
            <w:vAlign w:val="bottom"/>
          </w:tcPr>
          <w:p w14:paraId="627F4807"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1</w:t>
            </w:r>
          </w:p>
        </w:tc>
      </w:tr>
      <w:tr w:rsidR="00DD071B" w:rsidRPr="00281AF4" w14:paraId="4D9F32A8" w14:textId="77777777" w:rsidTr="00281AF4">
        <w:trPr>
          <w:trHeight w:val="255"/>
        </w:trPr>
        <w:tc>
          <w:tcPr>
            <w:tcW w:w="3465" w:type="pct"/>
            <w:tcBorders>
              <w:top w:val="nil"/>
              <w:left w:val="nil"/>
              <w:right w:val="nil"/>
            </w:tcBorders>
            <w:shd w:val="clear" w:color="auto" w:fill="auto"/>
            <w:noWrap/>
            <w:vAlign w:val="bottom"/>
          </w:tcPr>
          <w:p w14:paraId="08859332" w14:textId="77777777" w:rsidR="00DD071B" w:rsidRDefault="00DD071B" w:rsidP="00DD071B">
            <w:pPr>
              <w:rPr>
                <w:rFonts w:ascii="Arial" w:hAnsi="Arial" w:cs="Arial"/>
                <w:bCs/>
                <w:sz w:val="18"/>
                <w:szCs w:val="18"/>
              </w:rPr>
            </w:pPr>
            <w:r w:rsidRPr="00FA21A3">
              <w:rPr>
                <w:rFonts w:ascii="Arial" w:hAnsi="Arial" w:cs="Arial"/>
                <w:sz w:val="18"/>
                <w:szCs w:val="18"/>
              </w:rPr>
              <w:t>Adjustments in respect of changes in tax rates</w:t>
            </w:r>
          </w:p>
        </w:tc>
        <w:tc>
          <w:tcPr>
            <w:tcW w:w="828" w:type="pct"/>
            <w:tcBorders>
              <w:top w:val="nil"/>
              <w:left w:val="nil"/>
              <w:right w:val="nil"/>
            </w:tcBorders>
            <w:shd w:val="clear" w:color="auto" w:fill="auto"/>
            <w:noWrap/>
            <w:vAlign w:val="bottom"/>
          </w:tcPr>
          <w:p w14:paraId="076C9951" w14:textId="77777777" w:rsidR="00DD071B" w:rsidRPr="0012670E" w:rsidRDefault="0012670E" w:rsidP="00DD071B">
            <w:pPr>
              <w:jc w:val="right"/>
              <w:rPr>
                <w:rFonts w:ascii="Arial" w:hAnsi="Arial" w:cs="Arial"/>
                <w:b/>
                <w:sz w:val="18"/>
                <w:szCs w:val="18"/>
              </w:rPr>
            </w:pPr>
            <w:r w:rsidRPr="0012670E">
              <w:rPr>
                <w:rFonts w:ascii="Arial" w:hAnsi="Arial" w:cs="Arial"/>
                <w:b/>
                <w:sz w:val="18"/>
                <w:szCs w:val="18"/>
              </w:rPr>
              <w:t>–</w:t>
            </w:r>
          </w:p>
        </w:tc>
        <w:tc>
          <w:tcPr>
            <w:tcW w:w="707" w:type="pct"/>
            <w:tcBorders>
              <w:top w:val="nil"/>
              <w:left w:val="nil"/>
              <w:right w:val="nil"/>
            </w:tcBorders>
            <w:vAlign w:val="bottom"/>
          </w:tcPr>
          <w:p w14:paraId="6C427C15"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16</w:t>
            </w:r>
          </w:p>
        </w:tc>
      </w:tr>
      <w:tr w:rsidR="00DD071B" w:rsidRPr="00281AF4" w14:paraId="790051CC" w14:textId="77777777" w:rsidTr="00281AF4">
        <w:trPr>
          <w:trHeight w:val="255"/>
        </w:trPr>
        <w:tc>
          <w:tcPr>
            <w:tcW w:w="3465" w:type="pct"/>
            <w:tcBorders>
              <w:top w:val="single" w:sz="2" w:space="0" w:color="auto"/>
              <w:left w:val="nil"/>
              <w:bottom w:val="single" w:sz="2" w:space="0" w:color="auto"/>
              <w:right w:val="nil"/>
            </w:tcBorders>
            <w:shd w:val="clear" w:color="auto" w:fill="auto"/>
            <w:noWrap/>
            <w:vAlign w:val="bottom"/>
          </w:tcPr>
          <w:p w14:paraId="6F6728C7" w14:textId="77777777" w:rsidR="00DD071B" w:rsidRPr="001749DC" w:rsidRDefault="00DD071B" w:rsidP="00DD071B">
            <w:pPr>
              <w:rPr>
                <w:rFonts w:ascii="Arial" w:hAnsi="Arial" w:cs="Arial"/>
                <w:bCs/>
                <w:sz w:val="18"/>
                <w:szCs w:val="18"/>
              </w:rPr>
            </w:pPr>
          </w:p>
        </w:tc>
        <w:tc>
          <w:tcPr>
            <w:tcW w:w="828" w:type="pct"/>
            <w:tcBorders>
              <w:top w:val="single" w:sz="2" w:space="0" w:color="auto"/>
              <w:left w:val="nil"/>
              <w:bottom w:val="single" w:sz="2" w:space="0" w:color="auto"/>
              <w:right w:val="nil"/>
            </w:tcBorders>
            <w:shd w:val="clear" w:color="auto" w:fill="auto"/>
            <w:noWrap/>
            <w:vAlign w:val="bottom"/>
          </w:tcPr>
          <w:p w14:paraId="63943AA6" w14:textId="25B16872" w:rsidR="00DD071B" w:rsidRPr="0012670E" w:rsidRDefault="00C356D9" w:rsidP="00DD071B">
            <w:pPr>
              <w:jc w:val="right"/>
              <w:rPr>
                <w:rFonts w:ascii="Arial" w:hAnsi="Arial" w:cs="Arial"/>
                <w:b/>
                <w:bCs/>
                <w:sz w:val="18"/>
                <w:szCs w:val="18"/>
              </w:rPr>
            </w:pPr>
            <w:r>
              <w:rPr>
                <w:rFonts w:ascii="Arial" w:hAnsi="Arial" w:cs="Arial"/>
                <w:b/>
                <w:bCs/>
                <w:sz w:val="18"/>
                <w:szCs w:val="18"/>
              </w:rPr>
              <w:t>8</w:t>
            </w:r>
          </w:p>
        </w:tc>
        <w:tc>
          <w:tcPr>
            <w:tcW w:w="707" w:type="pct"/>
            <w:tcBorders>
              <w:top w:val="single" w:sz="2" w:space="0" w:color="auto"/>
              <w:left w:val="nil"/>
              <w:bottom w:val="single" w:sz="2" w:space="0" w:color="auto"/>
              <w:right w:val="nil"/>
            </w:tcBorders>
            <w:vAlign w:val="bottom"/>
          </w:tcPr>
          <w:p w14:paraId="489AE2EC"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(3)</w:t>
            </w:r>
          </w:p>
        </w:tc>
      </w:tr>
      <w:tr w:rsidR="00DD071B" w:rsidRPr="00281AF4" w14:paraId="5071FCB5" w14:textId="77777777" w:rsidTr="00281AF4">
        <w:trPr>
          <w:trHeight w:val="255"/>
        </w:trPr>
        <w:tc>
          <w:tcPr>
            <w:tcW w:w="3465" w:type="pct"/>
            <w:tcBorders>
              <w:top w:val="single" w:sz="2" w:space="0" w:color="auto"/>
              <w:left w:val="nil"/>
              <w:right w:val="nil"/>
            </w:tcBorders>
            <w:shd w:val="clear" w:color="auto" w:fill="auto"/>
            <w:noWrap/>
            <w:vAlign w:val="bottom"/>
          </w:tcPr>
          <w:p w14:paraId="1C4EE5B0" w14:textId="77777777" w:rsidR="00DD071B" w:rsidRPr="00CA4777" w:rsidRDefault="00DD071B" w:rsidP="00DD071B">
            <w:pPr>
              <w:rPr>
                <w:rFonts w:ascii="Arial" w:hAnsi="Arial" w:cs="Arial"/>
                <w:b/>
                <w:bCs/>
                <w:sz w:val="18"/>
                <w:szCs w:val="18"/>
              </w:rPr>
            </w:pPr>
          </w:p>
        </w:tc>
        <w:tc>
          <w:tcPr>
            <w:tcW w:w="828" w:type="pct"/>
            <w:tcBorders>
              <w:top w:val="single" w:sz="2" w:space="0" w:color="auto"/>
              <w:left w:val="nil"/>
              <w:right w:val="nil"/>
            </w:tcBorders>
            <w:shd w:val="clear" w:color="auto" w:fill="auto"/>
            <w:noWrap/>
            <w:vAlign w:val="bottom"/>
          </w:tcPr>
          <w:p w14:paraId="19CE5E0B" w14:textId="77777777" w:rsidR="00DD071B" w:rsidRPr="0012670E" w:rsidRDefault="00DD071B" w:rsidP="00DD071B">
            <w:pPr>
              <w:jc w:val="right"/>
              <w:rPr>
                <w:rFonts w:ascii="Arial" w:hAnsi="Arial" w:cs="Arial"/>
                <w:b/>
                <w:sz w:val="18"/>
                <w:szCs w:val="18"/>
              </w:rPr>
            </w:pPr>
          </w:p>
        </w:tc>
        <w:tc>
          <w:tcPr>
            <w:tcW w:w="707" w:type="pct"/>
            <w:tcBorders>
              <w:top w:val="single" w:sz="2" w:space="0" w:color="auto"/>
              <w:left w:val="nil"/>
              <w:right w:val="nil"/>
            </w:tcBorders>
            <w:vAlign w:val="bottom"/>
          </w:tcPr>
          <w:p w14:paraId="1CFA7BF4" w14:textId="77777777" w:rsidR="00DD071B" w:rsidRPr="00DD071B" w:rsidRDefault="00DD071B" w:rsidP="00DD071B">
            <w:pPr>
              <w:jc w:val="right"/>
              <w:rPr>
                <w:rFonts w:ascii="Arial" w:hAnsi="Arial" w:cs="Arial"/>
                <w:sz w:val="18"/>
                <w:szCs w:val="18"/>
              </w:rPr>
            </w:pPr>
          </w:p>
        </w:tc>
      </w:tr>
      <w:tr w:rsidR="00DD071B" w:rsidRPr="00281AF4" w14:paraId="39588B6C" w14:textId="77777777" w:rsidTr="00281AF4">
        <w:trPr>
          <w:trHeight w:val="255"/>
        </w:trPr>
        <w:tc>
          <w:tcPr>
            <w:tcW w:w="3465" w:type="pct"/>
            <w:tcBorders>
              <w:left w:val="nil"/>
              <w:bottom w:val="single" w:sz="12" w:space="0" w:color="auto"/>
              <w:right w:val="nil"/>
            </w:tcBorders>
            <w:shd w:val="clear" w:color="auto" w:fill="auto"/>
            <w:noWrap/>
            <w:vAlign w:val="bottom"/>
          </w:tcPr>
          <w:p w14:paraId="3FF88704" w14:textId="77777777" w:rsidR="00DD071B" w:rsidRPr="00CA4777" w:rsidRDefault="00DD071B" w:rsidP="00DD071B">
            <w:pPr>
              <w:rPr>
                <w:rFonts w:ascii="Arial" w:hAnsi="Arial" w:cs="Arial"/>
                <w:b/>
                <w:bCs/>
                <w:sz w:val="18"/>
                <w:szCs w:val="18"/>
              </w:rPr>
            </w:pPr>
            <w:r w:rsidRPr="00CA4777">
              <w:rPr>
                <w:rFonts w:ascii="Arial" w:hAnsi="Arial" w:cs="Arial"/>
                <w:b/>
                <w:bCs/>
                <w:sz w:val="18"/>
                <w:szCs w:val="18"/>
              </w:rPr>
              <w:t>Income tax</w:t>
            </w:r>
            <w:r>
              <w:rPr>
                <w:rFonts w:ascii="Arial" w:hAnsi="Arial" w:cs="Arial"/>
                <w:b/>
                <w:bCs/>
                <w:sz w:val="18"/>
                <w:szCs w:val="18"/>
              </w:rPr>
              <w:t xml:space="preserve"> expense</w:t>
            </w:r>
          </w:p>
        </w:tc>
        <w:tc>
          <w:tcPr>
            <w:tcW w:w="828" w:type="pct"/>
            <w:tcBorders>
              <w:left w:val="nil"/>
              <w:bottom w:val="single" w:sz="12" w:space="0" w:color="auto"/>
              <w:right w:val="nil"/>
            </w:tcBorders>
            <w:shd w:val="clear" w:color="auto" w:fill="auto"/>
            <w:noWrap/>
            <w:vAlign w:val="bottom"/>
          </w:tcPr>
          <w:p w14:paraId="3C60876F" w14:textId="2200A4AC" w:rsidR="00DD071B" w:rsidRPr="0012670E" w:rsidRDefault="00DD071B" w:rsidP="00DD071B">
            <w:pPr>
              <w:jc w:val="right"/>
              <w:rPr>
                <w:rFonts w:ascii="Arial" w:hAnsi="Arial" w:cs="Arial"/>
                <w:b/>
                <w:sz w:val="18"/>
                <w:szCs w:val="18"/>
              </w:rPr>
            </w:pPr>
            <w:r w:rsidRPr="0012670E">
              <w:rPr>
                <w:rFonts w:ascii="Arial" w:hAnsi="Arial" w:cs="Arial"/>
                <w:b/>
                <w:sz w:val="18"/>
                <w:szCs w:val="18"/>
              </w:rPr>
              <w:t>(1</w:t>
            </w:r>
            <w:r w:rsidR="00C356D9">
              <w:rPr>
                <w:rFonts w:ascii="Arial" w:hAnsi="Arial" w:cs="Arial"/>
                <w:b/>
                <w:sz w:val="18"/>
                <w:szCs w:val="18"/>
              </w:rPr>
              <w:t>04</w:t>
            </w:r>
            <w:r w:rsidRPr="0012670E">
              <w:rPr>
                <w:rFonts w:ascii="Arial" w:hAnsi="Arial" w:cs="Arial"/>
                <w:b/>
                <w:sz w:val="18"/>
                <w:szCs w:val="18"/>
              </w:rPr>
              <w:t>)</w:t>
            </w:r>
          </w:p>
        </w:tc>
        <w:tc>
          <w:tcPr>
            <w:tcW w:w="707" w:type="pct"/>
            <w:tcBorders>
              <w:left w:val="nil"/>
              <w:bottom w:val="single" w:sz="12" w:space="0" w:color="auto"/>
              <w:right w:val="nil"/>
            </w:tcBorders>
            <w:vAlign w:val="bottom"/>
          </w:tcPr>
          <w:p w14:paraId="5E388523"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(197)</w:t>
            </w:r>
          </w:p>
        </w:tc>
      </w:tr>
    </w:tbl>
    <w:p w14:paraId="14E983CE" w14:textId="77777777" w:rsidR="002130A0" w:rsidRPr="00F515DB" w:rsidRDefault="002130A0" w:rsidP="00FA21A3">
      <w:pPr>
        <w:jc w:val="both"/>
        <w:rPr>
          <w:rFonts w:ascii="Arial" w:hAnsi="Arial" w:cs="Arial"/>
          <w:sz w:val="18"/>
          <w:szCs w:val="18"/>
        </w:rPr>
      </w:pPr>
    </w:p>
    <w:p w14:paraId="267CFE45" w14:textId="7400E595" w:rsidR="00782F7D" w:rsidRDefault="00F53DBE" w:rsidP="00782F7D">
      <w:pPr>
        <w:jc w:val="both"/>
        <w:rPr>
          <w:i/>
          <w:iCs/>
        </w:rPr>
      </w:pPr>
      <w:r w:rsidRPr="009A6CEA">
        <w:rPr>
          <w:rFonts w:ascii="Arial" w:hAnsi="Arial" w:cs="Arial"/>
          <w:sz w:val="18"/>
          <w:szCs w:val="18"/>
        </w:rPr>
        <w:t xml:space="preserve">The </w:t>
      </w:r>
      <w:r w:rsidR="00782F7D">
        <w:rPr>
          <w:rFonts w:ascii="Arial" w:hAnsi="Arial" w:cs="Arial"/>
          <w:sz w:val="18"/>
          <w:szCs w:val="18"/>
        </w:rPr>
        <w:t xml:space="preserve">adjusted </w:t>
      </w:r>
      <w:r w:rsidRPr="009A6CEA">
        <w:rPr>
          <w:rFonts w:ascii="Arial" w:hAnsi="Arial" w:cs="Arial"/>
          <w:sz w:val="18"/>
          <w:szCs w:val="18"/>
        </w:rPr>
        <w:t xml:space="preserve">effective </w:t>
      </w:r>
      <w:r w:rsidR="005219B4" w:rsidRPr="009A6CEA">
        <w:rPr>
          <w:rFonts w:ascii="Arial" w:hAnsi="Arial" w:cs="Arial"/>
          <w:sz w:val="18"/>
          <w:szCs w:val="18"/>
        </w:rPr>
        <w:t>tax rate</w:t>
      </w:r>
      <w:r w:rsidR="00782F7D">
        <w:rPr>
          <w:rFonts w:ascii="Arial" w:hAnsi="Arial" w:cs="Arial"/>
          <w:sz w:val="18"/>
          <w:szCs w:val="18"/>
        </w:rPr>
        <w:t>, based</w:t>
      </w:r>
      <w:r w:rsidRPr="009A6CEA">
        <w:rPr>
          <w:rFonts w:ascii="Arial" w:hAnsi="Arial" w:cs="Arial"/>
          <w:sz w:val="18"/>
          <w:szCs w:val="18"/>
        </w:rPr>
        <w:t xml:space="preserve"> on profit before exceptional items and excluding prior year tax adjustments and the impact of changes in tax rates on deferred tax</w:t>
      </w:r>
      <w:r w:rsidR="00782F7D">
        <w:rPr>
          <w:rFonts w:ascii="Arial" w:hAnsi="Arial" w:cs="Arial"/>
          <w:sz w:val="18"/>
          <w:szCs w:val="18"/>
        </w:rPr>
        <w:t>,</w:t>
      </w:r>
      <w:r w:rsidRPr="009A6CEA">
        <w:rPr>
          <w:rFonts w:ascii="Arial" w:hAnsi="Arial" w:cs="Arial"/>
          <w:sz w:val="18"/>
          <w:szCs w:val="18"/>
        </w:rPr>
        <w:t xml:space="preserve"> is </w:t>
      </w:r>
      <w:r w:rsidR="00573085" w:rsidRPr="00782F7D">
        <w:rPr>
          <w:rFonts w:ascii="Arial" w:hAnsi="Arial" w:cs="Arial"/>
          <w:sz w:val="18"/>
          <w:szCs w:val="18"/>
        </w:rPr>
        <w:t>2</w:t>
      </w:r>
      <w:r w:rsidR="000F3576">
        <w:rPr>
          <w:rFonts w:ascii="Arial" w:hAnsi="Arial" w:cs="Arial"/>
          <w:sz w:val="18"/>
          <w:szCs w:val="18"/>
        </w:rPr>
        <w:t>7</w:t>
      </w:r>
      <w:r w:rsidR="002354A1" w:rsidRPr="00782F7D">
        <w:rPr>
          <w:rFonts w:ascii="Arial" w:hAnsi="Arial" w:cs="Arial"/>
          <w:sz w:val="18"/>
          <w:szCs w:val="18"/>
        </w:rPr>
        <w:t>%</w:t>
      </w:r>
      <w:r w:rsidR="002354A1">
        <w:rPr>
          <w:rFonts w:ascii="Arial" w:hAnsi="Arial" w:cs="Arial"/>
          <w:sz w:val="18"/>
          <w:szCs w:val="18"/>
        </w:rPr>
        <w:t xml:space="preserve"> </w:t>
      </w:r>
      <w:r w:rsidR="000206F0">
        <w:rPr>
          <w:rFonts w:ascii="Arial" w:hAnsi="Arial" w:cs="Arial"/>
          <w:sz w:val="18"/>
          <w:szCs w:val="18"/>
        </w:rPr>
        <w:t>(201</w:t>
      </w:r>
      <w:r w:rsidR="00DD071B">
        <w:rPr>
          <w:rFonts w:ascii="Arial" w:hAnsi="Arial" w:cs="Arial"/>
          <w:sz w:val="18"/>
          <w:szCs w:val="18"/>
        </w:rPr>
        <w:t>7</w:t>
      </w:r>
      <w:r w:rsidR="000206F0">
        <w:rPr>
          <w:rFonts w:ascii="Arial" w:hAnsi="Arial" w:cs="Arial"/>
          <w:sz w:val="18"/>
          <w:szCs w:val="18"/>
        </w:rPr>
        <w:t>/1</w:t>
      </w:r>
      <w:r w:rsidR="00DD071B">
        <w:rPr>
          <w:rFonts w:ascii="Arial" w:hAnsi="Arial" w:cs="Arial"/>
          <w:sz w:val="18"/>
          <w:szCs w:val="18"/>
        </w:rPr>
        <w:t>8</w:t>
      </w:r>
      <w:r w:rsidRPr="00F53DBE">
        <w:rPr>
          <w:rFonts w:ascii="Arial" w:hAnsi="Arial" w:cs="Arial"/>
          <w:sz w:val="18"/>
          <w:szCs w:val="18"/>
        </w:rPr>
        <w:t>:</w:t>
      </w:r>
      <w:r w:rsidR="002354A1">
        <w:rPr>
          <w:rFonts w:ascii="Arial" w:hAnsi="Arial" w:cs="Arial"/>
          <w:sz w:val="18"/>
          <w:szCs w:val="18"/>
        </w:rPr>
        <w:t xml:space="preserve"> </w:t>
      </w:r>
      <w:r w:rsidR="00DD071B">
        <w:rPr>
          <w:rFonts w:ascii="Arial" w:hAnsi="Arial" w:cs="Arial"/>
          <w:sz w:val="18"/>
          <w:szCs w:val="18"/>
        </w:rPr>
        <w:t>30</w:t>
      </w:r>
      <w:r w:rsidRPr="00F53DBE">
        <w:rPr>
          <w:rFonts w:ascii="Arial" w:hAnsi="Arial" w:cs="Arial"/>
          <w:sz w:val="18"/>
          <w:szCs w:val="18"/>
        </w:rPr>
        <w:t>%).</w:t>
      </w:r>
      <w:r w:rsidR="00A063AD">
        <w:rPr>
          <w:rFonts w:ascii="Arial" w:hAnsi="Arial" w:cs="Arial"/>
          <w:sz w:val="18"/>
          <w:szCs w:val="18"/>
        </w:rPr>
        <w:t xml:space="preserve"> </w:t>
      </w:r>
      <w:bookmarkStart w:id="13" w:name="_Hlk507927519"/>
      <w:r w:rsidR="00782F7D" w:rsidRPr="00782F7D">
        <w:rPr>
          <w:rFonts w:ascii="Arial" w:hAnsi="Arial" w:cs="Arial"/>
          <w:sz w:val="18"/>
          <w:szCs w:val="18"/>
        </w:rPr>
        <w:t>The reduction in the adjusted effective tax rate is largely due to the one</w:t>
      </w:r>
      <w:r w:rsidR="003006A1">
        <w:rPr>
          <w:rFonts w:ascii="Arial" w:hAnsi="Arial" w:cs="Arial"/>
          <w:sz w:val="18"/>
          <w:szCs w:val="18"/>
        </w:rPr>
        <w:t>-</w:t>
      </w:r>
      <w:r w:rsidR="00782F7D" w:rsidRPr="00782F7D">
        <w:rPr>
          <w:rFonts w:ascii="Arial" w:hAnsi="Arial" w:cs="Arial"/>
          <w:sz w:val="18"/>
          <w:szCs w:val="18"/>
        </w:rPr>
        <w:t>off French tax surcharge that was applicable in 2017/18. Tax on exceptional items for the year amount to a credit of £</w:t>
      </w:r>
      <w:r w:rsidR="00262D79">
        <w:rPr>
          <w:rFonts w:ascii="Arial" w:hAnsi="Arial" w:cs="Arial"/>
          <w:sz w:val="18"/>
          <w:szCs w:val="18"/>
        </w:rPr>
        <w:t>61</w:t>
      </w:r>
      <w:r w:rsidR="00262D79" w:rsidRPr="00782F7D">
        <w:rPr>
          <w:rFonts w:ascii="Arial" w:hAnsi="Arial" w:cs="Arial"/>
          <w:sz w:val="18"/>
          <w:szCs w:val="18"/>
        </w:rPr>
        <w:t xml:space="preserve">m </w:t>
      </w:r>
      <w:r w:rsidR="00782F7D" w:rsidRPr="00782F7D">
        <w:rPr>
          <w:rFonts w:ascii="Arial" w:hAnsi="Arial" w:cs="Arial"/>
          <w:sz w:val="18"/>
          <w:szCs w:val="18"/>
        </w:rPr>
        <w:t>(2017/18: £nil)</w:t>
      </w:r>
      <w:r w:rsidR="00782F7D">
        <w:rPr>
          <w:rFonts w:ascii="Arial" w:hAnsi="Arial" w:cs="Arial"/>
          <w:sz w:val="18"/>
          <w:szCs w:val="18"/>
        </w:rPr>
        <w:t>.</w:t>
      </w:r>
    </w:p>
    <w:p w14:paraId="61E1EE10" w14:textId="77777777" w:rsidR="00782F7D" w:rsidRDefault="00782F7D" w:rsidP="00FA21A3">
      <w:pPr>
        <w:jc w:val="both"/>
        <w:rPr>
          <w:rFonts w:ascii="Arial" w:hAnsi="Arial" w:cs="Arial"/>
          <w:sz w:val="18"/>
          <w:szCs w:val="18"/>
        </w:rPr>
      </w:pPr>
    </w:p>
    <w:bookmarkEnd w:id="12"/>
    <w:bookmarkEnd w:id="13"/>
    <w:p w14:paraId="0225D707" w14:textId="77777777" w:rsidR="00DC25B4" w:rsidRPr="00EF1091" w:rsidRDefault="0088762F" w:rsidP="00BA0967">
      <w:pPr>
        <w:pStyle w:val="Heading1"/>
        <w:jc w:val="both"/>
        <w:rPr>
          <w:rFonts w:ascii="Arial" w:hAnsi="Arial" w:cs="Arial"/>
          <w:szCs w:val="18"/>
        </w:rPr>
      </w:pPr>
      <w:r w:rsidRPr="00253A4D">
        <w:rPr>
          <w:rFonts w:ascii="Arial" w:hAnsi="Arial" w:cs="Arial"/>
          <w:b w:val="0"/>
          <w:szCs w:val="18"/>
        </w:rPr>
        <w:br w:type="page"/>
      </w:r>
      <w:r w:rsidR="00F764F7">
        <w:rPr>
          <w:rFonts w:ascii="Arial" w:hAnsi="Arial" w:cs="Arial"/>
          <w:szCs w:val="18"/>
        </w:rPr>
        <w:lastRenderedPageBreak/>
        <w:t>7</w:t>
      </w:r>
      <w:r w:rsidR="00DC25B4" w:rsidRPr="00EF1091">
        <w:rPr>
          <w:rFonts w:ascii="Arial" w:hAnsi="Arial" w:cs="Arial"/>
          <w:szCs w:val="18"/>
        </w:rPr>
        <w:tab/>
        <w:t>Earnings per share</w:t>
      </w:r>
    </w:p>
    <w:p w14:paraId="00B6E06B" w14:textId="77777777" w:rsidR="00DC25B4" w:rsidRPr="00EF1091" w:rsidRDefault="00DC25B4">
      <w:pPr>
        <w:rPr>
          <w:rFonts w:ascii="Arial" w:hAnsi="Arial" w:cs="Arial"/>
          <w:sz w:val="18"/>
          <w:szCs w:val="18"/>
        </w:rPr>
      </w:pPr>
    </w:p>
    <w:tbl>
      <w:tblPr>
        <w:tblW w:w="5236" w:type="pct"/>
        <w:tblLayout w:type="fixed"/>
        <w:tblLook w:val="0000" w:firstRow="0" w:lastRow="0" w:firstColumn="0" w:lastColumn="0" w:noHBand="0" w:noVBand="0"/>
      </w:tblPr>
      <w:tblGrid>
        <w:gridCol w:w="3374"/>
        <w:gridCol w:w="1064"/>
        <w:gridCol w:w="1240"/>
        <w:gridCol w:w="1066"/>
        <w:gridCol w:w="1056"/>
        <w:gridCol w:w="1242"/>
        <w:gridCol w:w="1052"/>
      </w:tblGrid>
      <w:tr w:rsidR="00B6088F" w14:paraId="7D7F0477" w14:textId="77777777" w:rsidTr="00990965">
        <w:trPr>
          <w:trHeight w:val="238"/>
        </w:trPr>
        <w:tc>
          <w:tcPr>
            <w:tcW w:w="1671" w:type="pct"/>
            <w:tcBorders>
              <w:top w:val="nil"/>
              <w:left w:val="nil"/>
              <w:bottom w:val="nil"/>
              <w:right w:val="nil"/>
            </w:tcBorders>
            <w:shd w:val="clear" w:color="auto" w:fill="auto"/>
            <w:noWrap/>
            <w:vAlign w:val="bottom"/>
          </w:tcPr>
          <w:p w14:paraId="02CC172F" w14:textId="77777777" w:rsidR="007C6C03" w:rsidRPr="007C6C03" w:rsidRDefault="007C6C03" w:rsidP="007C6C03">
            <w:pPr>
              <w:rPr>
                <w:rFonts w:ascii="Arial" w:hAnsi="Arial" w:cs="Arial"/>
                <w:sz w:val="18"/>
                <w:szCs w:val="18"/>
              </w:rPr>
            </w:pPr>
          </w:p>
        </w:tc>
        <w:tc>
          <w:tcPr>
            <w:tcW w:w="527" w:type="pct"/>
            <w:tcBorders>
              <w:top w:val="nil"/>
              <w:left w:val="nil"/>
              <w:bottom w:val="single" w:sz="4" w:space="0" w:color="auto"/>
              <w:right w:val="nil"/>
            </w:tcBorders>
            <w:shd w:val="clear" w:color="auto" w:fill="auto"/>
            <w:noWrap/>
            <w:vAlign w:val="bottom"/>
          </w:tcPr>
          <w:p w14:paraId="6AA213EC" w14:textId="77777777" w:rsidR="007C6C03" w:rsidRPr="007C6C03" w:rsidRDefault="007C6C03" w:rsidP="007C6C03">
            <w:pPr>
              <w:jc w:val="right"/>
              <w:rPr>
                <w:rFonts w:ascii="Arial" w:hAnsi="Arial" w:cs="Arial"/>
                <w:sz w:val="18"/>
                <w:szCs w:val="18"/>
              </w:rPr>
            </w:pPr>
            <w:r w:rsidRPr="007C6C03">
              <w:rPr>
                <w:rFonts w:ascii="Arial" w:hAnsi="Arial" w:cs="Arial"/>
                <w:sz w:val="18"/>
                <w:szCs w:val="18"/>
              </w:rPr>
              <w:t> </w:t>
            </w:r>
          </w:p>
        </w:tc>
        <w:tc>
          <w:tcPr>
            <w:tcW w:w="1142" w:type="pct"/>
            <w:gridSpan w:val="2"/>
            <w:tcBorders>
              <w:top w:val="nil"/>
              <w:left w:val="nil"/>
              <w:bottom w:val="single" w:sz="4" w:space="0" w:color="auto"/>
              <w:right w:val="nil"/>
            </w:tcBorders>
            <w:shd w:val="clear" w:color="auto" w:fill="auto"/>
            <w:noWrap/>
            <w:vAlign w:val="bottom"/>
          </w:tcPr>
          <w:p w14:paraId="66E3381B" w14:textId="77777777" w:rsidR="007C6C03" w:rsidRPr="00CD6F3E" w:rsidRDefault="007C6C03" w:rsidP="00990965">
            <w:pPr>
              <w:jc w:val="right"/>
              <w:rPr>
                <w:rFonts w:ascii="Arial" w:hAnsi="Arial" w:cs="Arial"/>
                <w:sz w:val="18"/>
                <w:szCs w:val="18"/>
              </w:rPr>
            </w:pPr>
            <w:r w:rsidRPr="00281AF4">
              <w:rPr>
                <w:rFonts w:ascii="Arial" w:hAnsi="Arial" w:cs="Arial"/>
                <w:b/>
                <w:sz w:val="18"/>
                <w:szCs w:val="18"/>
              </w:rPr>
              <w:t> </w:t>
            </w:r>
            <w:r w:rsidR="00934686" w:rsidRPr="008C583A">
              <w:rPr>
                <w:rFonts w:ascii="Arial" w:hAnsi="Arial" w:cs="Arial"/>
                <w:sz w:val="18"/>
                <w:szCs w:val="18"/>
              </w:rPr>
              <w:t>201</w:t>
            </w:r>
            <w:r w:rsidR="00DD071B">
              <w:rPr>
                <w:rFonts w:ascii="Arial" w:hAnsi="Arial" w:cs="Arial"/>
                <w:sz w:val="18"/>
                <w:szCs w:val="18"/>
              </w:rPr>
              <w:t>8</w:t>
            </w:r>
            <w:r w:rsidRPr="00FC37BE">
              <w:rPr>
                <w:rFonts w:ascii="Arial" w:hAnsi="Arial" w:cs="Arial"/>
                <w:sz w:val="18"/>
                <w:szCs w:val="18"/>
              </w:rPr>
              <w:t>/</w:t>
            </w:r>
            <w:r w:rsidR="00934686" w:rsidRPr="00FC37BE">
              <w:rPr>
                <w:rFonts w:ascii="Arial" w:hAnsi="Arial" w:cs="Arial"/>
                <w:sz w:val="18"/>
                <w:szCs w:val="18"/>
              </w:rPr>
              <w:t>1</w:t>
            </w:r>
            <w:r w:rsidR="00DD071B">
              <w:rPr>
                <w:rFonts w:ascii="Arial" w:hAnsi="Arial" w:cs="Arial"/>
                <w:sz w:val="18"/>
                <w:szCs w:val="18"/>
              </w:rPr>
              <w:t>9</w:t>
            </w:r>
          </w:p>
        </w:tc>
        <w:tc>
          <w:tcPr>
            <w:tcW w:w="523" w:type="pct"/>
            <w:tcBorders>
              <w:top w:val="nil"/>
              <w:left w:val="nil"/>
              <w:bottom w:val="single" w:sz="4" w:space="0" w:color="auto"/>
              <w:right w:val="nil"/>
            </w:tcBorders>
            <w:shd w:val="clear" w:color="auto" w:fill="auto"/>
            <w:vAlign w:val="bottom"/>
          </w:tcPr>
          <w:p w14:paraId="35EC5207" w14:textId="77777777" w:rsidR="007C6C03" w:rsidRPr="007C6C03" w:rsidRDefault="007C6C03" w:rsidP="007C6C03">
            <w:pPr>
              <w:jc w:val="right"/>
              <w:rPr>
                <w:rFonts w:ascii="Arial" w:hAnsi="Arial" w:cs="Arial"/>
                <w:sz w:val="18"/>
                <w:szCs w:val="18"/>
              </w:rPr>
            </w:pPr>
            <w:r w:rsidRPr="007C6C03">
              <w:rPr>
                <w:rFonts w:ascii="Arial" w:hAnsi="Arial" w:cs="Arial"/>
                <w:sz w:val="18"/>
                <w:szCs w:val="18"/>
              </w:rPr>
              <w:t> </w:t>
            </w:r>
          </w:p>
        </w:tc>
        <w:tc>
          <w:tcPr>
            <w:tcW w:w="1136" w:type="pct"/>
            <w:gridSpan w:val="2"/>
            <w:tcBorders>
              <w:top w:val="nil"/>
              <w:left w:val="nil"/>
              <w:bottom w:val="single" w:sz="4" w:space="0" w:color="auto"/>
              <w:right w:val="nil"/>
            </w:tcBorders>
            <w:shd w:val="clear" w:color="auto" w:fill="auto"/>
            <w:vAlign w:val="bottom"/>
          </w:tcPr>
          <w:p w14:paraId="4613B7CD" w14:textId="77777777" w:rsidR="004248DE" w:rsidRPr="007C6C03" w:rsidRDefault="007C6C03" w:rsidP="00990965">
            <w:pPr>
              <w:jc w:val="right"/>
              <w:rPr>
                <w:rFonts w:ascii="Arial" w:hAnsi="Arial" w:cs="Arial"/>
                <w:sz w:val="18"/>
                <w:szCs w:val="18"/>
              </w:rPr>
            </w:pPr>
            <w:r w:rsidRPr="007C6C03">
              <w:rPr>
                <w:rFonts w:ascii="Arial" w:hAnsi="Arial" w:cs="Arial"/>
                <w:sz w:val="18"/>
                <w:szCs w:val="18"/>
              </w:rPr>
              <w:t> </w:t>
            </w:r>
            <w:r w:rsidR="00B11F69" w:rsidRPr="007C6C03">
              <w:rPr>
                <w:rFonts w:ascii="Arial" w:hAnsi="Arial" w:cs="Arial"/>
                <w:sz w:val="18"/>
                <w:szCs w:val="18"/>
              </w:rPr>
              <w:t> </w:t>
            </w:r>
            <w:r w:rsidR="00494055" w:rsidRPr="008C583A">
              <w:rPr>
                <w:rFonts w:ascii="Arial" w:hAnsi="Arial" w:cs="Arial"/>
                <w:sz w:val="18"/>
                <w:szCs w:val="18"/>
              </w:rPr>
              <w:t>201</w:t>
            </w:r>
            <w:r w:rsidR="00DD071B">
              <w:rPr>
                <w:rFonts w:ascii="Arial" w:hAnsi="Arial" w:cs="Arial"/>
                <w:sz w:val="18"/>
                <w:szCs w:val="18"/>
              </w:rPr>
              <w:t>7</w:t>
            </w:r>
            <w:r w:rsidR="00494055" w:rsidRPr="00FC37BE">
              <w:rPr>
                <w:rFonts w:ascii="Arial" w:hAnsi="Arial" w:cs="Arial"/>
                <w:sz w:val="18"/>
                <w:szCs w:val="18"/>
              </w:rPr>
              <w:t>/1</w:t>
            </w:r>
            <w:r w:rsidR="00DD071B">
              <w:rPr>
                <w:rFonts w:ascii="Arial" w:hAnsi="Arial" w:cs="Arial"/>
                <w:sz w:val="18"/>
                <w:szCs w:val="18"/>
              </w:rPr>
              <w:t>8</w:t>
            </w:r>
          </w:p>
        </w:tc>
      </w:tr>
      <w:tr w:rsidR="00B6088F" w14:paraId="6F830A0A" w14:textId="77777777" w:rsidTr="00990965">
        <w:trPr>
          <w:trHeight w:val="238"/>
        </w:trPr>
        <w:tc>
          <w:tcPr>
            <w:tcW w:w="1671" w:type="pct"/>
            <w:tcBorders>
              <w:top w:val="nil"/>
              <w:left w:val="nil"/>
              <w:bottom w:val="nil"/>
              <w:right w:val="nil"/>
            </w:tcBorders>
            <w:shd w:val="clear" w:color="auto" w:fill="auto"/>
            <w:noWrap/>
            <w:vAlign w:val="bottom"/>
          </w:tcPr>
          <w:p w14:paraId="0CDB5700" w14:textId="77777777" w:rsidR="007C6C03" w:rsidRPr="007C6C03" w:rsidRDefault="007C6C03" w:rsidP="007C6C03">
            <w:pPr>
              <w:rPr>
                <w:rFonts w:ascii="Arial" w:hAnsi="Arial" w:cs="Arial"/>
                <w:sz w:val="16"/>
                <w:szCs w:val="16"/>
              </w:rPr>
            </w:pPr>
          </w:p>
        </w:tc>
        <w:tc>
          <w:tcPr>
            <w:tcW w:w="527" w:type="pct"/>
            <w:tcBorders>
              <w:top w:val="nil"/>
              <w:left w:val="nil"/>
              <w:bottom w:val="nil"/>
              <w:right w:val="nil"/>
            </w:tcBorders>
            <w:shd w:val="clear" w:color="auto" w:fill="auto"/>
            <w:noWrap/>
          </w:tcPr>
          <w:p w14:paraId="55A54196" w14:textId="77777777" w:rsidR="007246CE" w:rsidRDefault="007246CE" w:rsidP="007C6C03">
            <w:pPr>
              <w:jc w:val="right"/>
              <w:rPr>
                <w:rFonts w:ascii="Arial" w:hAnsi="Arial" w:cs="Arial"/>
                <w:sz w:val="18"/>
                <w:szCs w:val="18"/>
              </w:rPr>
            </w:pPr>
          </w:p>
          <w:p w14:paraId="3FD2063D" w14:textId="77777777" w:rsidR="007246CE" w:rsidRDefault="007246CE" w:rsidP="007C6C03">
            <w:pPr>
              <w:jc w:val="right"/>
              <w:rPr>
                <w:rFonts w:ascii="Arial" w:hAnsi="Arial" w:cs="Arial"/>
                <w:sz w:val="18"/>
                <w:szCs w:val="18"/>
              </w:rPr>
            </w:pPr>
          </w:p>
          <w:p w14:paraId="77461777" w14:textId="77777777" w:rsidR="007246CE" w:rsidRDefault="007246CE" w:rsidP="007C6C03">
            <w:pPr>
              <w:jc w:val="right"/>
              <w:rPr>
                <w:rFonts w:ascii="Arial" w:hAnsi="Arial" w:cs="Arial"/>
                <w:sz w:val="18"/>
                <w:szCs w:val="18"/>
              </w:rPr>
            </w:pPr>
          </w:p>
          <w:p w14:paraId="56FF311B" w14:textId="77777777" w:rsidR="007C6C03" w:rsidRPr="001F1FAD" w:rsidRDefault="007C6C03" w:rsidP="007C6C03">
            <w:pPr>
              <w:jc w:val="right"/>
              <w:rPr>
                <w:rFonts w:ascii="Arial" w:hAnsi="Arial" w:cs="Arial"/>
                <w:sz w:val="18"/>
                <w:szCs w:val="18"/>
              </w:rPr>
            </w:pPr>
            <w:r w:rsidRPr="001F1FAD">
              <w:rPr>
                <w:rFonts w:ascii="Arial" w:hAnsi="Arial" w:cs="Arial"/>
                <w:sz w:val="18"/>
                <w:szCs w:val="18"/>
              </w:rPr>
              <w:t>Earnings</w:t>
            </w:r>
          </w:p>
        </w:tc>
        <w:tc>
          <w:tcPr>
            <w:tcW w:w="614" w:type="pct"/>
            <w:tcBorders>
              <w:top w:val="nil"/>
              <w:left w:val="nil"/>
              <w:bottom w:val="nil"/>
              <w:right w:val="nil"/>
            </w:tcBorders>
            <w:shd w:val="clear" w:color="auto" w:fill="auto"/>
          </w:tcPr>
          <w:p w14:paraId="170BC2D6" w14:textId="77777777" w:rsidR="007C6C03" w:rsidRPr="001F1FAD" w:rsidRDefault="007C6C03" w:rsidP="007C6C03">
            <w:pPr>
              <w:jc w:val="right"/>
              <w:rPr>
                <w:rFonts w:ascii="Arial" w:hAnsi="Arial" w:cs="Arial"/>
                <w:sz w:val="18"/>
                <w:szCs w:val="18"/>
              </w:rPr>
            </w:pPr>
            <w:r w:rsidRPr="001F1FAD">
              <w:rPr>
                <w:rFonts w:ascii="Arial" w:hAnsi="Arial" w:cs="Arial"/>
                <w:sz w:val="18"/>
                <w:szCs w:val="18"/>
              </w:rPr>
              <w:t>Weighted</w:t>
            </w:r>
            <w:r w:rsidRPr="001F1FAD">
              <w:rPr>
                <w:rFonts w:ascii="Arial" w:hAnsi="Arial" w:cs="Arial"/>
                <w:sz w:val="18"/>
                <w:szCs w:val="18"/>
              </w:rPr>
              <w:br/>
              <w:t>average</w:t>
            </w:r>
            <w:r w:rsidRPr="001F1FAD">
              <w:rPr>
                <w:rFonts w:ascii="Arial" w:hAnsi="Arial" w:cs="Arial"/>
                <w:sz w:val="18"/>
                <w:szCs w:val="18"/>
              </w:rPr>
              <w:br/>
              <w:t>number</w:t>
            </w:r>
            <w:r w:rsidRPr="001F1FAD">
              <w:rPr>
                <w:rFonts w:ascii="Arial" w:hAnsi="Arial" w:cs="Arial"/>
                <w:sz w:val="18"/>
                <w:szCs w:val="18"/>
              </w:rPr>
              <w:br/>
              <w:t xml:space="preserve">of shares </w:t>
            </w:r>
          </w:p>
        </w:tc>
        <w:tc>
          <w:tcPr>
            <w:tcW w:w="528" w:type="pct"/>
            <w:tcBorders>
              <w:top w:val="nil"/>
              <w:left w:val="nil"/>
              <w:bottom w:val="nil"/>
              <w:right w:val="nil"/>
            </w:tcBorders>
            <w:shd w:val="clear" w:color="auto" w:fill="auto"/>
          </w:tcPr>
          <w:p w14:paraId="393E400B" w14:textId="77777777" w:rsidR="007246CE" w:rsidRDefault="007246CE" w:rsidP="007C6C03">
            <w:pPr>
              <w:jc w:val="right"/>
              <w:rPr>
                <w:rFonts w:ascii="Arial" w:hAnsi="Arial" w:cs="Arial"/>
                <w:sz w:val="18"/>
                <w:szCs w:val="18"/>
              </w:rPr>
            </w:pPr>
          </w:p>
          <w:p w14:paraId="242BB798" w14:textId="77777777" w:rsidR="007246CE" w:rsidRDefault="007246CE" w:rsidP="007C6C03">
            <w:pPr>
              <w:jc w:val="right"/>
              <w:rPr>
                <w:rFonts w:ascii="Arial" w:hAnsi="Arial" w:cs="Arial"/>
                <w:sz w:val="18"/>
                <w:szCs w:val="18"/>
              </w:rPr>
            </w:pPr>
          </w:p>
          <w:p w14:paraId="3C2F14A4" w14:textId="77777777" w:rsidR="007C6C03" w:rsidRPr="001F1FAD" w:rsidRDefault="007246CE" w:rsidP="007C6C03">
            <w:pPr>
              <w:jc w:val="right"/>
              <w:rPr>
                <w:rFonts w:ascii="Arial" w:hAnsi="Arial" w:cs="Arial"/>
                <w:sz w:val="18"/>
                <w:szCs w:val="18"/>
              </w:rPr>
            </w:pPr>
            <w:r>
              <w:rPr>
                <w:rFonts w:ascii="Arial" w:hAnsi="Arial" w:cs="Arial"/>
                <w:sz w:val="18"/>
                <w:szCs w:val="18"/>
              </w:rPr>
              <w:t>Earnings per share</w:t>
            </w:r>
          </w:p>
        </w:tc>
        <w:tc>
          <w:tcPr>
            <w:tcW w:w="523" w:type="pct"/>
            <w:tcBorders>
              <w:top w:val="nil"/>
              <w:left w:val="nil"/>
              <w:bottom w:val="nil"/>
              <w:right w:val="nil"/>
            </w:tcBorders>
            <w:shd w:val="clear" w:color="auto" w:fill="auto"/>
            <w:noWrap/>
          </w:tcPr>
          <w:p w14:paraId="7537A9EC" w14:textId="77777777" w:rsidR="007246CE" w:rsidRPr="00D21EEE" w:rsidRDefault="007246CE" w:rsidP="007C6C03">
            <w:pPr>
              <w:jc w:val="right"/>
              <w:rPr>
                <w:rFonts w:ascii="Arial" w:hAnsi="Arial" w:cs="Arial"/>
                <w:sz w:val="18"/>
                <w:szCs w:val="18"/>
              </w:rPr>
            </w:pPr>
          </w:p>
          <w:p w14:paraId="737EB479" w14:textId="77777777" w:rsidR="007246CE" w:rsidRPr="00D21EEE" w:rsidRDefault="007246CE" w:rsidP="007C6C03">
            <w:pPr>
              <w:jc w:val="right"/>
              <w:rPr>
                <w:rFonts w:ascii="Arial" w:hAnsi="Arial" w:cs="Arial"/>
                <w:sz w:val="18"/>
                <w:szCs w:val="18"/>
              </w:rPr>
            </w:pPr>
          </w:p>
          <w:p w14:paraId="5EDE7BF8" w14:textId="77777777" w:rsidR="007246CE" w:rsidRPr="00D21EEE" w:rsidRDefault="007246CE" w:rsidP="007C6C03">
            <w:pPr>
              <w:jc w:val="right"/>
              <w:rPr>
                <w:rFonts w:ascii="Arial" w:hAnsi="Arial" w:cs="Arial"/>
                <w:sz w:val="18"/>
                <w:szCs w:val="18"/>
              </w:rPr>
            </w:pPr>
          </w:p>
          <w:p w14:paraId="1846B63B" w14:textId="77777777" w:rsidR="007C6C03" w:rsidRPr="00D21EEE" w:rsidRDefault="007C6C03" w:rsidP="007C6C03">
            <w:pPr>
              <w:jc w:val="right"/>
              <w:rPr>
                <w:rFonts w:ascii="Arial" w:hAnsi="Arial" w:cs="Arial"/>
                <w:sz w:val="18"/>
                <w:szCs w:val="18"/>
              </w:rPr>
            </w:pPr>
            <w:r w:rsidRPr="00D21EEE">
              <w:rPr>
                <w:rFonts w:ascii="Arial" w:hAnsi="Arial" w:cs="Arial"/>
                <w:sz w:val="18"/>
                <w:szCs w:val="18"/>
              </w:rPr>
              <w:t>Earnings</w:t>
            </w:r>
          </w:p>
        </w:tc>
        <w:tc>
          <w:tcPr>
            <w:tcW w:w="615" w:type="pct"/>
            <w:tcBorders>
              <w:top w:val="nil"/>
              <w:left w:val="nil"/>
              <w:bottom w:val="nil"/>
              <w:right w:val="nil"/>
            </w:tcBorders>
            <w:shd w:val="clear" w:color="auto" w:fill="auto"/>
          </w:tcPr>
          <w:p w14:paraId="6BC9C6CE" w14:textId="77777777" w:rsidR="007C6C03" w:rsidRPr="00D21EEE" w:rsidRDefault="007C6C03" w:rsidP="007C6C03">
            <w:pPr>
              <w:jc w:val="right"/>
              <w:rPr>
                <w:rFonts w:ascii="Arial" w:hAnsi="Arial" w:cs="Arial"/>
                <w:sz w:val="18"/>
                <w:szCs w:val="18"/>
              </w:rPr>
            </w:pPr>
            <w:r w:rsidRPr="00D21EEE">
              <w:rPr>
                <w:rFonts w:ascii="Arial" w:hAnsi="Arial" w:cs="Arial"/>
                <w:sz w:val="18"/>
                <w:szCs w:val="18"/>
              </w:rPr>
              <w:t>Weighted</w:t>
            </w:r>
            <w:r w:rsidRPr="00D21EEE">
              <w:rPr>
                <w:rFonts w:ascii="Arial" w:hAnsi="Arial" w:cs="Arial"/>
                <w:sz w:val="18"/>
                <w:szCs w:val="18"/>
              </w:rPr>
              <w:br/>
              <w:t>average</w:t>
            </w:r>
            <w:r w:rsidRPr="00D21EEE">
              <w:rPr>
                <w:rFonts w:ascii="Arial" w:hAnsi="Arial" w:cs="Arial"/>
                <w:sz w:val="18"/>
                <w:szCs w:val="18"/>
              </w:rPr>
              <w:br/>
              <w:t>number</w:t>
            </w:r>
            <w:r w:rsidRPr="00D21EEE">
              <w:rPr>
                <w:rFonts w:ascii="Arial" w:hAnsi="Arial" w:cs="Arial"/>
                <w:sz w:val="18"/>
                <w:szCs w:val="18"/>
              </w:rPr>
              <w:br/>
              <w:t xml:space="preserve">of shares </w:t>
            </w:r>
          </w:p>
        </w:tc>
        <w:tc>
          <w:tcPr>
            <w:tcW w:w="521" w:type="pct"/>
            <w:tcBorders>
              <w:top w:val="nil"/>
              <w:left w:val="nil"/>
              <w:bottom w:val="nil"/>
              <w:right w:val="nil"/>
            </w:tcBorders>
            <w:shd w:val="clear" w:color="auto" w:fill="auto"/>
          </w:tcPr>
          <w:p w14:paraId="36DCB0B7" w14:textId="77777777" w:rsidR="007246CE" w:rsidRPr="00D21EEE" w:rsidRDefault="007246CE" w:rsidP="007C6C03">
            <w:pPr>
              <w:jc w:val="right"/>
              <w:rPr>
                <w:rFonts w:ascii="Arial" w:hAnsi="Arial" w:cs="Arial"/>
                <w:sz w:val="18"/>
                <w:szCs w:val="18"/>
              </w:rPr>
            </w:pPr>
          </w:p>
          <w:p w14:paraId="4B743B44" w14:textId="77777777" w:rsidR="007246CE" w:rsidRPr="00D21EEE" w:rsidRDefault="007246CE" w:rsidP="007C6C03">
            <w:pPr>
              <w:jc w:val="right"/>
              <w:rPr>
                <w:rFonts w:ascii="Arial" w:hAnsi="Arial" w:cs="Arial"/>
                <w:sz w:val="18"/>
                <w:szCs w:val="18"/>
              </w:rPr>
            </w:pPr>
          </w:p>
          <w:p w14:paraId="451270ED" w14:textId="77777777" w:rsidR="007C6C03" w:rsidRPr="00D21EEE" w:rsidRDefault="00F57469" w:rsidP="007C6C03">
            <w:pPr>
              <w:jc w:val="right"/>
              <w:rPr>
                <w:rFonts w:ascii="Arial" w:hAnsi="Arial" w:cs="Arial"/>
                <w:sz w:val="18"/>
                <w:szCs w:val="18"/>
              </w:rPr>
            </w:pPr>
            <w:r w:rsidRPr="00D21EEE">
              <w:rPr>
                <w:rFonts w:ascii="Arial" w:hAnsi="Arial" w:cs="Arial"/>
                <w:sz w:val="18"/>
                <w:szCs w:val="18"/>
              </w:rPr>
              <w:t>Earnings per share</w:t>
            </w:r>
          </w:p>
        </w:tc>
      </w:tr>
      <w:tr w:rsidR="00B6088F" w14:paraId="12402B64" w14:textId="77777777" w:rsidTr="00990965">
        <w:trPr>
          <w:trHeight w:val="238"/>
        </w:trPr>
        <w:tc>
          <w:tcPr>
            <w:tcW w:w="1671" w:type="pct"/>
            <w:tcBorders>
              <w:top w:val="nil"/>
              <w:left w:val="nil"/>
              <w:bottom w:val="single" w:sz="4" w:space="0" w:color="auto"/>
              <w:right w:val="nil"/>
            </w:tcBorders>
            <w:shd w:val="clear" w:color="auto" w:fill="auto"/>
            <w:noWrap/>
            <w:vAlign w:val="bottom"/>
          </w:tcPr>
          <w:p w14:paraId="11250896" w14:textId="77777777" w:rsidR="007C6C03" w:rsidRPr="007C6C03" w:rsidRDefault="007C6C03" w:rsidP="001F1FAD">
            <w:pPr>
              <w:rPr>
                <w:rFonts w:ascii="Arial" w:hAnsi="Arial" w:cs="Arial"/>
                <w:sz w:val="16"/>
                <w:szCs w:val="16"/>
              </w:rPr>
            </w:pPr>
          </w:p>
        </w:tc>
        <w:tc>
          <w:tcPr>
            <w:tcW w:w="527" w:type="pct"/>
            <w:tcBorders>
              <w:top w:val="nil"/>
              <w:left w:val="nil"/>
              <w:bottom w:val="single" w:sz="4" w:space="0" w:color="auto"/>
              <w:right w:val="nil"/>
            </w:tcBorders>
            <w:shd w:val="clear" w:color="auto" w:fill="auto"/>
            <w:noWrap/>
            <w:vAlign w:val="bottom"/>
          </w:tcPr>
          <w:p w14:paraId="54C72C25" w14:textId="77777777" w:rsidR="007C6C03" w:rsidRPr="001F1FAD" w:rsidRDefault="007C6C03" w:rsidP="001F1FAD">
            <w:pPr>
              <w:jc w:val="right"/>
              <w:rPr>
                <w:rFonts w:ascii="Arial" w:hAnsi="Arial" w:cs="Arial"/>
                <w:sz w:val="18"/>
                <w:szCs w:val="18"/>
              </w:rPr>
            </w:pPr>
            <w:r w:rsidRPr="001F1FAD">
              <w:rPr>
                <w:rFonts w:ascii="Arial" w:hAnsi="Arial" w:cs="Arial"/>
                <w:sz w:val="18"/>
                <w:szCs w:val="18"/>
              </w:rPr>
              <w:t>£ millions</w:t>
            </w:r>
          </w:p>
        </w:tc>
        <w:tc>
          <w:tcPr>
            <w:tcW w:w="614" w:type="pct"/>
            <w:tcBorders>
              <w:top w:val="nil"/>
              <w:left w:val="nil"/>
              <w:bottom w:val="single" w:sz="4" w:space="0" w:color="auto"/>
              <w:right w:val="nil"/>
            </w:tcBorders>
            <w:shd w:val="clear" w:color="auto" w:fill="auto"/>
            <w:noWrap/>
            <w:vAlign w:val="bottom"/>
          </w:tcPr>
          <w:p w14:paraId="77F5767B" w14:textId="77777777" w:rsidR="007C6C03" w:rsidRPr="001F1FAD" w:rsidRDefault="008E4A8C" w:rsidP="001F1FAD">
            <w:pPr>
              <w:jc w:val="right"/>
              <w:rPr>
                <w:rFonts w:ascii="Arial" w:hAnsi="Arial" w:cs="Arial"/>
                <w:sz w:val="18"/>
                <w:szCs w:val="18"/>
              </w:rPr>
            </w:pPr>
            <w:r>
              <w:rPr>
                <w:rFonts w:ascii="Arial" w:hAnsi="Arial" w:cs="Arial"/>
                <w:sz w:val="18"/>
                <w:szCs w:val="18"/>
              </w:rPr>
              <w:t>m</w:t>
            </w:r>
            <w:r w:rsidR="007C6C03" w:rsidRPr="001F1FAD">
              <w:rPr>
                <w:rFonts w:ascii="Arial" w:hAnsi="Arial" w:cs="Arial"/>
                <w:sz w:val="18"/>
                <w:szCs w:val="18"/>
              </w:rPr>
              <w:t>illions</w:t>
            </w:r>
          </w:p>
        </w:tc>
        <w:tc>
          <w:tcPr>
            <w:tcW w:w="528" w:type="pct"/>
            <w:tcBorders>
              <w:top w:val="nil"/>
              <w:left w:val="nil"/>
              <w:bottom w:val="single" w:sz="4" w:space="0" w:color="auto"/>
              <w:right w:val="nil"/>
            </w:tcBorders>
            <w:shd w:val="clear" w:color="auto" w:fill="auto"/>
            <w:noWrap/>
            <w:vAlign w:val="bottom"/>
          </w:tcPr>
          <w:p w14:paraId="1ECF543B" w14:textId="77777777" w:rsidR="007C6C03" w:rsidRPr="001F1FAD" w:rsidRDefault="001B3CE1" w:rsidP="001F1FAD">
            <w:pPr>
              <w:jc w:val="right"/>
              <w:rPr>
                <w:rFonts w:ascii="Arial" w:hAnsi="Arial" w:cs="Arial"/>
                <w:sz w:val="18"/>
                <w:szCs w:val="18"/>
              </w:rPr>
            </w:pPr>
            <w:r w:rsidRPr="001F1FAD">
              <w:rPr>
                <w:rFonts w:ascii="Arial" w:hAnsi="Arial" w:cs="Arial"/>
                <w:sz w:val="18"/>
                <w:szCs w:val="18"/>
              </w:rPr>
              <w:t>P</w:t>
            </w:r>
            <w:r w:rsidR="007C6C03" w:rsidRPr="001F1FAD">
              <w:rPr>
                <w:rFonts w:ascii="Arial" w:hAnsi="Arial" w:cs="Arial"/>
                <w:sz w:val="18"/>
                <w:szCs w:val="18"/>
              </w:rPr>
              <w:t>ence</w:t>
            </w:r>
          </w:p>
        </w:tc>
        <w:tc>
          <w:tcPr>
            <w:tcW w:w="523" w:type="pct"/>
            <w:tcBorders>
              <w:top w:val="nil"/>
              <w:left w:val="nil"/>
              <w:bottom w:val="single" w:sz="4" w:space="0" w:color="auto"/>
              <w:right w:val="nil"/>
            </w:tcBorders>
            <w:shd w:val="clear" w:color="auto" w:fill="auto"/>
            <w:noWrap/>
            <w:vAlign w:val="bottom"/>
          </w:tcPr>
          <w:p w14:paraId="12DF258A" w14:textId="77777777" w:rsidR="007C6C03" w:rsidRPr="00D21EEE" w:rsidRDefault="007C6C03" w:rsidP="001F1FAD">
            <w:pPr>
              <w:jc w:val="right"/>
              <w:rPr>
                <w:rFonts w:ascii="Arial" w:hAnsi="Arial" w:cs="Arial"/>
                <w:sz w:val="18"/>
                <w:szCs w:val="18"/>
              </w:rPr>
            </w:pPr>
            <w:r w:rsidRPr="00D21EEE">
              <w:rPr>
                <w:rFonts w:ascii="Arial" w:hAnsi="Arial" w:cs="Arial"/>
                <w:sz w:val="18"/>
                <w:szCs w:val="18"/>
              </w:rPr>
              <w:t>£ millions</w:t>
            </w:r>
          </w:p>
        </w:tc>
        <w:tc>
          <w:tcPr>
            <w:tcW w:w="615" w:type="pct"/>
            <w:tcBorders>
              <w:top w:val="nil"/>
              <w:left w:val="nil"/>
              <w:bottom w:val="single" w:sz="4" w:space="0" w:color="auto"/>
              <w:right w:val="nil"/>
            </w:tcBorders>
            <w:shd w:val="clear" w:color="auto" w:fill="auto"/>
            <w:noWrap/>
            <w:vAlign w:val="bottom"/>
          </w:tcPr>
          <w:p w14:paraId="15AFEB43" w14:textId="77777777" w:rsidR="007C6C03" w:rsidRPr="00D21EEE" w:rsidRDefault="007C6C03" w:rsidP="001F1FAD">
            <w:pPr>
              <w:jc w:val="right"/>
              <w:rPr>
                <w:rFonts w:ascii="Arial" w:hAnsi="Arial" w:cs="Arial"/>
                <w:sz w:val="18"/>
                <w:szCs w:val="18"/>
              </w:rPr>
            </w:pPr>
            <w:r w:rsidRPr="00D21EEE">
              <w:rPr>
                <w:rFonts w:ascii="Arial" w:hAnsi="Arial" w:cs="Arial"/>
                <w:sz w:val="18"/>
                <w:szCs w:val="18"/>
              </w:rPr>
              <w:t>millions</w:t>
            </w:r>
          </w:p>
        </w:tc>
        <w:tc>
          <w:tcPr>
            <w:tcW w:w="521" w:type="pct"/>
            <w:tcBorders>
              <w:top w:val="nil"/>
              <w:left w:val="nil"/>
              <w:bottom w:val="single" w:sz="4" w:space="0" w:color="auto"/>
              <w:right w:val="nil"/>
            </w:tcBorders>
            <w:shd w:val="clear" w:color="auto" w:fill="auto"/>
            <w:noWrap/>
            <w:vAlign w:val="bottom"/>
          </w:tcPr>
          <w:p w14:paraId="18E131CC" w14:textId="77777777" w:rsidR="007C6C03" w:rsidRPr="00D21EEE" w:rsidRDefault="007C6C03" w:rsidP="001F1FAD">
            <w:pPr>
              <w:jc w:val="right"/>
              <w:rPr>
                <w:rFonts w:ascii="Arial" w:hAnsi="Arial" w:cs="Arial"/>
                <w:sz w:val="18"/>
                <w:szCs w:val="18"/>
              </w:rPr>
            </w:pPr>
            <w:r w:rsidRPr="00D21EEE">
              <w:rPr>
                <w:rFonts w:ascii="Arial" w:hAnsi="Arial" w:cs="Arial"/>
                <w:sz w:val="18"/>
                <w:szCs w:val="18"/>
              </w:rPr>
              <w:t>pence</w:t>
            </w:r>
          </w:p>
        </w:tc>
      </w:tr>
      <w:tr w:rsidR="00DD071B" w14:paraId="184823D8" w14:textId="77777777" w:rsidTr="00990965">
        <w:trPr>
          <w:trHeight w:val="238"/>
        </w:trPr>
        <w:tc>
          <w:tcPr>
            <w:tcW w:w="1671" w:type="pct"/>
            <w:tcBorders>
              <w:top w:val="nil"/>
              <w:left w:val="nil"/>
              <w:bottom w:val="nil"/>
              <w:right w:val="nil"/>
            </w:tcBorders>
            <w:shd w:val="clear" w:color="auto" w:fill="auto"/>
            <w:noWrap/>
            <w:vAlign w:val="bottom"/>
          </w:tcPr>
          <w:p w14:paraId="42CD4B5B" w14:textId="77777777" w:rsidR="00DD071B" w:rsidRPr="00CC1A2D" w:rsidRDefault="00DD071B" w:rsidP="00DD071B">
            <w:pPr>
              <w:rPr>
                <w:rFonts w:ascii="Arial" w:hAnsi="Arial" w:cs="Arial"/>
                <w:bCs/>
                <w:sz w:val="18"/>
                <w:szCs w:val="18"/>
              </w:rPr>
            </w:pPr>
            <w:r w:rsidRPr="00CC1A2D">
              <w:rPr>
                <w:rFonts w:ascii="Arial" w:hAnsi="Arial" w:cs="Arial"/>
                <w:b/>
                <w:bCs/>
                <w:sz w:val="18"/>
                <w:szCs w:val="18"/>
              </w:rPr>
              <w:t>Basic earnings per share</w:t>
            </w:r>
          </w:p>
        </w:tc>
        <w:tc>
          <w:tcPr>
            <w:tcW w:w="527" w:type="pct"/>
            <w:tcBorders>
              <w:top w:val="nil"/>
              <w:left w:val="nil"/>
              <w:bottom w:val="nil"/>
              <w:right w:val="nil"/>
            </w:tcBorders>
            <w:shd w:val="clear" w:color="auto" w:fill="auto"/>
            <w:noWrap/>
            <w:vAlign w:val="bottom"/>
          </w:tcPr>
          <w:p w14:paraId="58D0CC75" w14:textId="57777728" w:rsidR="00DD071B" w:rsidRPr="007B39B3" w:rsidRDefault="007E3DCC" w:rsidP="00DD071B">
            <w:pPr>
              <w:jc w:val="right"/>
              <w:rPr>
                <w:rFonts w:ascii="Arial" w:hAnsi="Arial" w:cs="Arial"/>
                <w:b/>
                <w:bCs/>
                <w:sz w:val="18"/>
                <w:szCs w:val="18"/>
              </w:rPr>
            </w:pPr>
            <w:r w:rsidRPr="007B39B3">
              <w:rPr>
                <w:rFonts w:ascii="Arial" w:hAnsi="Arial" w:cs="Arial"/>
                <w:b/>
                <w:bCs/>
                <w:sz w:val="18"/>
                <w:szCs w:val="18"/>
              </w:rPr>
              <w:t>2</w:t>
            </w:r>
            <w:r w:rsidR="00C356D9">
              <w:rPr>
                <w:rFonts w:ascii="Arial" w:hAnsi="Arial" w:cs="Arial"/>
                <w:b/>
                <w:bCs/>
                <w:sz w:val="18"/>
                <w:szCs w:val="18"/>
              </w:rPr>
              <w:t>1</w:t>
            </w:r>
            <w:r w:rsidRPr="007B39B3">
              <w:rPr>
                <w:rFonts w:ascii="Arial" w:hAnsi="Arial" w:cs="Arial"/>
                <w:b/>
                <w:bCs/>
                <w:sz w:val="18"/>
                <w:szCs w:val="18"/>
              </w:rPr>
              <w:t>8</w:t>
            </w:r>
          </w:p>
        </w:tc>
        <w:tc>
          <w:tcPr>
            <w:tcW w:w="614" w:type="pct"/>
            <w:tcBorders>
              <w:top w:val="nil"/>
              <w:left w:val="nil"/>
              <w:bottom w:val="nil"/>
              <w:right w:val="nil"/>
            </w:tcBorders>
            <w:shd w:val="clear" w:color="auto" w:fill="auto"/>
            <w:noWrap/>
            <w:vAlign w:val="bottom"/>
          </w:tcPr>
          <w:p w14:paraId="5D407BA5" w14:textId="77777777" w:rsidR="00DD071B" w:rsidRPr="007B39B3" w:rsidRDefault="00DD071B" w:rsidP="00DD071B">
            <w:pPr>
              <w:jc w:val="right"/>
              <w:rPr>
                <w:rFonts w:ascii="Arial" w:hAnsi="Arial" w:cs="Arial"/>
                <w:b/>
                <w:bCs/>
                <w:sz w:val="18"/>
                <w:szCs w:val="18"/>
              </w:rPr>
            </w:pPr>
            <w:r w:rsidRPr="007B39B3">
              <w:rPr>
                <w:rFonts w:ascii="Arial" w:hAnsi="Arial" w:cs="Arial"/>
                <w:b/>
                <w:bCs/>
                <w:sz w:val="18"/>
                <w:szCs w:val="18"/>
              </w:rPr>
              <w:t>2,12</w:t>
            </w:r>
            <w:r w:rsidR="00B3524C" w:rsidRPr="007B39B3">
              <w:rPr>
                <w:rFonts w:ascii="Arial" w:hAnsi="Arial" w:cs="Arial"/>
                <w:b/>
                <w:bCs/>
                <w:sz w:val="18"/>
                <w:szCs w:val="18"/>
              </w:rPr>
              <w:t>9</w:t>
            </w:r>
          </w:p>
        </w:tc>
        <w:tc>
          <w:tcPr>
            <w:tcW w:w="528" w:type="pct"/>
            <w:tcBorders>
              <w:top w:val="nil"/>
              <w:left w:val="nil"/>
              <w:bottom w:val="nil"/>
              <w:right w:val="nil"/>
            </w:tcBorders>
            <w:shd w:val="clear" w:color="auto" w:fill="auto"/>
            <w:noWrap/>
            <w:vAlign w:val="bottom"/>
          </w:tcPr>
          <w:p w14:paraId="0DD44C4D" w14:textId="69038EA4" w:rsidR="00DD071B" w:rsidRPr="007B39B3" w:rsidRDefault="00B3524C" w:rsidP="00DD071B">
            <w:pPr>
              <w:jc w:val="right"/>
              <w:rPr>
                <w:rFonts w:ascii="Arial" w:hAnsi="Arial" w:cs="Arial"/>
                <w:b/>
                <w:bCs/>
                <w:sz w:val="18"/>
                <w:szCs w:val="18"/>
              </w:rPr>
            </w:pPr>
            <w:r w:rsidRPr="007B39B3">
              <w:rPr>
                <w:rFonts w:ascii="Arial" w:hAnsi="Arial" w:cs="Arial"/>
                <w:b/>
                <w:bCs/>
                <w:sz w:val="18"/>
                <w:szCs w:val="18"/>
              </w:rPr>
              <w:t>1</w:t>
            </w:r>
            <w:r w:rsidR="00C356D9">
              <w:rPr>
                <w:rFonts w:ascii="Arial" w:hAnsi="Arial" w:cs="Arial"/>
                <w:b/>
                <w:bCs/>
                <w:sz w:val="18"/>
                <w:szCs w:val="18"/>
              </w:rPr>
              <w:t>0</w:t>
            </w:r>
            <w:r w:rsidR="00DD071B" w:rsidRPr="007B39B3">
              <w:rPr>
                <w:rFonts w:ascii="Arial" w:hAnsi="Arial" w:cs="Arial"/>
                <w:b/>
                <w:bCs/>
                <w:sz w:val="18"/>
                <w:szCs w:val="18"/>
              </w:rPr>
              <w:t>.</w:t>
            </w:r>
            <w:r w:rsidR="00C356D9">
              <w:rPr>
                <w:rFonts w:ascii="Arial" w:hAnsi="Arial" w:cs="Arial"/>
                <w:b/>
                <w:bCs/>
                <w:sz w:val="18"/>
                <w:szCs w:val="18"/>
              </w:rPr>
              <w:t>3</w:t>
            </w:r>
          </w:p>
        </w:tc>
        <w:tc>
          <w:tcPr>
            <w:tcW w:w="523" w:type="pct"/>
            <w:tcBorders>
              <w:top w:val="nil"/>
              <w:left w:val="nil"/>
              <w:bottom w:val="nil"/>
              <w:right w:val="nil"/>
            </w:tcBorders>
            <w:shd w:val="clear" w:color="auto" w:fill="auto"/>
            <w:noWrap/>
            <w:vAlign w:val="bottom"/>
          </w:tcPr>
          <w:p w14:paraId="247FD3E8"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485</w:t>
            </w:r>
          </w:p>
        </w:tc>
        <w:tc>
          <w:tcPr>
            <w:tcW w:w="615" w:type="pct"/>
            <w:tcBorders>
              <w:top w:val="nil"/>
              <w:left w:val="nil"/>
              <w:bottom w:val="nil"/>
              <w:right w:val="nil"/>
            </w:tcBorders>
            <w:shd w:val="clear" w:color="auto" w:fill="auto"/>
            <w:noWrap/>
            <w:vAlign w:val="bottom"/>
          </w:tcPr>
          <w:p w14:paraId="56F12C05"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2,192</w:t>
            </w:r>
          </w:p>
        </w:tc>
        <w:tc>
          <w:tcPr>
            <w:tcW w:w="521" w:type="pct"/>
            <w:tcBorders>
              <w:top w:val="nil"/>
              <w:left w:val="nil"/>
              <w:bottom w:val="nil"/>
              <w:right w:val="nil"/>
            </w:tcBorders>
            <w:shd w:val="clear" w:color="auto" w:fill="auto"/>
            <w:noWrap/>
            <w:vAlign w:val="bottom"/>
          </w:tcPr>
          <w:p w14:paraId="7D329341"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22.1</w:t>
            </w:r>
          </w:p>
        </w:tc>
      </w:tr>
      <w:tr w:rsidR="00DD071B" w14:paraId="45FBEEC6" w14:textId="77777777" w:rsidTr="00990965">
        <w:trPr>
          <w:trHeight w:val="238"/>
        </w:trPr>
        <w:tc>
          <w:tcPr>
            <w:tcW w:w="1671" w:type="pct"/>
            <w:tcBorders>
              <w:top w:val="nil"/>
              <w:left w:val="nil"/>
              <w:bottom w:val="single" w:sz="4" w:space="0" w:color="auto"/>
              <w:right w:val="nil"/>
            </w:tcBorders>
            <w:shd w:val="clear" w:color="auto" w:fill="auto"/>
            <w:noWrap/>
            <w:vAlign w:val="bottom"/>
          </w:tcPr>
          <w:p w14:paraId="2293D96E" w14:textId="77777777" w:rsidR="00DD071B" w:rsidRPr="007550F3" w:rsidRDefault="00DD071B" w:rsidP="00DD071B">
            <w:pPr>
              <w:rPr>
                <w:rFonts w:ascii="Arial" w:hAnsi="Arial" w:cs="Arial"/>
                <w:b/>
                <w:bCs/>
                <w:sz w:val="18"/>
                <w:szCs w:val="18"/>
              </w:rPr>
            </w:pPr>
            <w:r w:rsidRPr="007550F3">
              <w:rPr>
                <w:rFonts w:ascii="Arial" w:hAnsi="Arial" w:cs="Arial"/>
                <w:sz w:val="18"/>
                <w:szCs w:val="18"/>
              </w:rPr>
              <w:t>Effect of dilutive share options</w:t>
            </w:r>
            <w:r w:rsidRPr="007550F3">
              <w:rPr>
                <w:rFonts w:ascii="Arial" w:hAnsi="Arial" w:cs="Arial"/>
                <w:noProof/>
                <w:sz w:val="18"/>
                <w:szCs w:val="18"/>
              </w:rPr>
              <mc:AlternateContent>
                <mc:Choice Requires="wps">
                  <w:drawing>
                    <wp:anchor distT="0" distB="0" distL="114300" distR="114300" simplePos="0" relativeHeight="251661824" behindDoc="0" locked="0" layoutInCell="1" allowOverlap="1" wp14:anchorId="14061942" wp14:editId="4903BCB6">
                      <wp:simplePos x="0" y="0"/>
                      <wp:positionH relativeFrom="column">
                        <wp:posOffset>1057275</wp:posOffset>
                      </wp:positionH>
                      <wp:positionV relativeFrom="paragraph">
                        <wp:posOffset>9525</wp:posOffset>
                      </wp:positionV>
                      <wp:extent cx="638175" cy="638175"/>
                      <wp:effectExtent l="9525" t="9525" r="9525" b="9525"/>
                      <wp:wrapNone/>
                      <wp:docPr id="1" name="ColorPalett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638175"/>
                              </a:xfrm>
                              <a:prstGeom prst="rect">
                                <a:avLst/>
                              </a:prstGeom>
                              <a:solidFill>
                                <a:srgbClr val="FFFFFF"/>
                              </a:solidFill>
                              <a:ln w="9525">
                                <a:solidFill>
                                  <a:srgbClr val="000000"/>
                                </a:solidFill>
                                <a:miter lim="800000"/>
                                <a:headEnd/>
                                <a:tailEnd/>
                              </a:ln>
                            </wps:spPr>
                            <wps:txbx>
                              <w:txbxContent>
                                <w:p w14:paraId="45953E55" w14:textId="77777777" w:rsidR="00F11D60" w:rsidRDefault="00F11D60" w:rsidP="00934686">
                                  <w:pPr>
                                    <w:spacing w:after="240"/>
                                  </w:pPr>
                                  <w:r>
                                    <w:rPr>
                                      <w:rFonts w:ascii="Arial" w:hAnsi="Arial" w:cs="Arial"/>
                                    </w:rPr>
                                    <w:t>&lt;root&gt;&lt;color rgb="0" index="2"/&gt;&lt;color rgb="6619135" index="5"/&gt;&lt;color rgb="12632256" index="1"/&gt;&lt;color rgb="15194827" index="3"/&gt;&lt;color rgb="6134509" index="6"/&gt;&lt;color rgb="13754062" index="4"/&gt;&lt;/root&gt;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61942" id="_x0000_t202" coordsize="21600,21600" o:spt="202" path="m,l,21600r21600,l21600,xe">
                      <v:stroke joinstyle="miter"/>
                      <v:path gradientshapeok="t" o:connecttype="rect"/>
                    </v:shapetype>
                    <v:shape id="ColorPalette" o:spid="_x0000_s1026" type="#_x0000_t202" style="position:absolute;margin-left:83.25pt;margin-top:.75pt;width:50.25pt;height:50.25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">
                      <v:textbox>
                        <w:txbxContent>
                          <w:p w14:paraId="45953E55" w14:textId="77777777" w:rsidR="00F11D60" w:rsidRDefault="00F11D60" w:rsidP="00934686">
                            <w:pPr>
                              <w:spacing w:after="240"/>
                            </w:pPr>
                            <w:r>
                              <w:rPr>
                                <w:rFonts w:ascii="Arial" w:hAnsi="Arial" w:cs="Arial"/>
                              </w:rPr>
                              <w:t>&lt;root&gt;&lt;color rgb="0" index="2"/&gt;&lt;color rgb="6619135" index="5"/&gt;&lt;color rgb="12632256" index="1"/&gt;&lt;color rgb="15194827" index="3"/&gt;&lt;color rgb="6134509" index="6"/&gt;&lt;color rgb="13754062" index="4"/&gt;&lt;/root&gt;</w:t>
                            </w:r>
                          </w:p>
                        </w:txbxContent>
                      </v:textbox>
                    </v:shape>
                  </w:pict>
                </mc:Fallback>
              </mc:AlternateContent>
            </w:r>
          </w:p>
        </w:tc>
        <w:tc>
          <w:tcPr>
            <w:tcW w:w="527" w:type="pct"/>
            <w:tcBorders>
              <w:top w:val="nil"/>
              <w:left w:val="nil"/>
              <w:bottom w:val="nil"/>
              <w:right w:val="nil"/>
            </w:tcBorders>
            <w:shd w:val="clear" w:color="auto" w:fill="auto"/>
            <w:noWrap/>
            <w:vAlign w:val="bottom"/>
          </w:tcPr>
          <w:p w14:paraId="1D092123" w14:textId="77777777" w:rsidR="00DD071B" w:rsidRPr="007B39B3" w:rsidRDefault="00DD071B" w:rsidP="00DD071B">
            <w:pPr>
              <w:jc w:val="right"/>
              <w:rPr>
                <w:rFonts w:ascii="Arial" w:hAnsi="Arial" w:cs="Arial"/>
                <w:b/>
                <w:bCs/>
                <w:sz w:val="18"/>
                <w:szCs w:val="18"/>
              </w:rPr>
            </w:pPr>
            <w:r w:rsidRPr="007B39B3">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14:paraId="0248FCD5" w14:textId="11C52385" w:rsidR="00DD071B" w:rsidRPr="007B39B3" w:rsidRDefault="000923D9" w:rsidP="00DD071B">
            <w:pPr>
              <w:jc w:val="right"/>
              <w:rPr>
                <w:rFonts w:ascii="Arial" w:hAnsi="Arial" w:cs="Arial"/>
                <w:b/>
                <w:bCs/>
                <w:sz w:val="18"/>
                <w:szCs w:val="18"/>
              </w:rPr>
            </w:pPr>
            <w:r>
              <w:rPr>
                <w:rFonts w:ascii="Arial" w:hAnsi="Arial" w:cs="Arial"/>
                <w:b/>
                <w:bCs/>
                <w:sz w:val="18"/>
                <w:szCs w:val="18"/>
              </w:rPr>
              <w:t>11</w:t>
            </w:r>
          </w:p>
        </w:tc>
        <w:tc>
          <w:tcPr>
            <w:tcW w:w="528" w:type="pct"/>
            <w:tcBorders>
              <w:top w:val="nil"/>
              <w:left w:val="nil"/>
              <w:bottom w:val="nil"/>
              <w:right w:val="nil"/>
            </w:tcBorders>
            <w:shd w:val="clear" w:color="auto" w:fill="auto"/>
            <w:noWrap/>
            <w:vAlign w:val="bottom"/>
          </w:tcPr>
          <w:p w14:paraId="451824EF" w14:textId="52F06BF9" w:rsidR="00DD071B" w:rsidRPr="007B39B3" w:rsidRDefault="000923D9" w:rsidP="00DD071B">
            <w:pPr>
              <w:jc w:val="right"/>
              <w:rPr>
                <w:rFonts w:ascii="Arial" w:hAnsi="Arial" w:cs="Arial"/>
                <w:b/>
                <w:bCs/>
                <w:sz w:val="18"/>
                <w:szCs w:val="18"/>
              </w:rPr>
            </w:pPr>
            <w:r>
              <w:rPr>
                <w:rFonts w:ascii="Arial" w:hAnsi="Arial" w:cs="Arial"/>
                <w:b/>
                <w:bCs/>
                <w:sz w:val="18"/>
                <w:szCs w:val="18"/>
              </w:rPr>
              <w:t>(0.1)</w:t>
            </w:r>
          </w:p>
        </w:tc>
        <w:tc>
          <w:tcPr>
            <w:tcW w:w="523" w:type="pct"/>
            <w:tcBorders>
              <w:top w:val="nil"/>
              <w:left w:val="nil"/>
              <w:bottom w:val="single" w:sz="4" w:space="0" w:color="auto"/>
              <w:right w:val="nil"/>
            </w:tcBorders>
            <w:shd w:val="clear" w:color="auto" w:fill="auto"/>
            <w:noWrap/>
            <w:vAlign w:val="bottom"/>
          </w:tcPr>
          <w:p w14:paraId="4A4DCF73"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w:t>
            </w:r>
          </w:p>
        </w:tc>
        <w:tc>
          <w:tcPr>
            <w:tcW w:w="615" w:type="pct"/>
            <w:tcBorders>
              <w:top w:val="nil"/>
              <w:left w:val="nil"/>
              <w:bottom w:val="single" w:sz="4" w:space="0" w:color="auto"/>
              <w:right w:val="nil"/>
            </w:tcBorders>
            <w:shd w:val="clear" w:color="auto" w:fill="auto"/>
            <w:noWrap/>
            <w:vAlign w:val="bottom"/>
          </w:tcPr>
          <w:p w14:paraId="261C4B77"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9</w:t>
            </w:r>
          </w:p>
        </w:tc>
        <w:tc>
          <w:tcPr>
            <w:tcW w:w="521" w:type="pct"/>
            <w:tcBorders>
              <w:top w:val="nil"/>
              <w:left w:val="nil"/>
              <w:bottom w:val="single" w:sz="4" w:space="0" w:color="auto"/>
              <w:right w:val="nil"/>
            </w:tcBorders>
            <w:shd w:val="clear" w:color="auto" w:fill="auto"/>
            <w:noWrap/>
            <w:vAlign w:val="bottom"/>
          </w:tcPr>
          <w:p w14:paraId="2687E228"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(0.1)</w:t>
            </w:r>
          </w:p>
        </w:tc>
      </w:tr>
      <w:tr w:rsidR="00DD071B" w14:paraId="010086C9" w14:textId="77777777" w:rsidTr="00990965">
        <w:trPr>
          <w:trHeight w:val="238"/>
        </w:trPr>
        <w:tc>
          <w:tcPr>
            <w:tcW w:w="1671" w:type="pct"/>
            <w:tcBorders>
              <w:top w:val="single" w:sz="4" w:space="0" w:color="auto"/>
              <w:left w:val="nil"/>
              <w:bottom w:val="single" w:sz="12" w:space="0" w:color="auto"/>
              <w:right w:val="nil"/>
            </w:tcBorders>
            <w:shd w:val="clear" w:color="auto" w:fill="auto"/>
            <w:noWrap/>
            <w:vAlign w:val="bottom"/>
          </w:tcPr>
          <w:p w14:paraId="6D03FE64" w14:textId="77777777" w:rsidR="00DD071B" w:rsidRPr="007550F3" w:rsidRDefault="00DD071B" w:rsidP="00DD071B">
            <w:pPr>
              <w:rPr>
                <w:rFonts w:ascii="Arial" w:hAnsi="Arial" w:cs="Arial"/>
                <w:sz w:val="18"/>
                <w:szCs w:val="18"/>
              </w:rPr>
            </w:pPr>
            <w:r w:rsidRPr="007550F3">
              <w:rPr>
                <w:rFonts w:ascii="Arial" w:hAnsi="Arial" w:cs="Arial"/>
                <w:b/>
                <w:bCs/>
                <w:sz w:val="18"/>
                <w:szCs w:val="18"/>
              </w:rPr>
              <w:t>Diluted earnings per share</w:t>
            </w:r>
          </w:p>
        </w:tc>
        <w:tc>
          <w:tcPr>
            <w:tcW w:w="527" w:type="pct"/>
            <w:tcBorders>
              <w:top w:val="single" w:sz="4" w:space="0" w:color="auto"/>
              <w:left w:val="nil"/>
              <w:bottom w:val="single" w:sz="12" w:space="0" w:color="auto"/>
              <w:right w:val="nil"/>
            </w:tcBorders>
            <w:shd w:val="clear" w:color="auto" w:fill="auto"/>
            <w:noWrap/>
            <w:vAlign w:val="bottom"/>
          </w:tcPr>
          <w:p w14:paraId="4D4321B6" w14:textId="112130E2" w:rsidR="00DD071B" w:rsidRPr="007B39B3" w:rsidRDefault="00B3524C" w:rsidP="00DD071B">
            <w:pPr>
              <w:jc w:val="right"/>
              <w:rPr>
                <w:rFonts w:ascii="Arial" w:hAnsi="Arial" w:cs="Arial"/>
                <w:b/>
                <w:bCs/>
                <w:sz w:val="18"/>
                <w:szCs w:val="18"/>
              </w:rPr>
            </w:pPr>
            <w:r w:rsidRPr="007B39B3">
              <w:rPr>
                <w:rFonts w:ascii="Arial" w:hAnsi="Arial" w:cs="Arial"/>
                <w:b/>
                <w:bCs/>
                <w:sz w:val="18"/>
                <w:szCs w:val="18"/>
              </w:rPr>
              <w:t>2</w:t>
            </w:r>
            <w:r w:rsidR="00C356D9">
              <w:rPr>
                <w:rFonts w:ascii="Arial" w:hAnsi="Arial" w:cs="Arial"/>
                <w:b/>
                <w:bCs/>
                <w:sz w:val="18"/>
                <w:szCs w:val="18"/>
              </w:rPr>
              <w:t>1</w:t>
            </w:r>
            <w:r w:rsidRPr="007B39B3">
              <w:rPr>
                <w:rFonts w:ascii="Arial" w:hAnsi="Arial" w:cs="Arial"/>
                <w:b/>
                <w:bCs/>
                <w:sz w:val="18"/>
                <w:szCs w:val="18"/>
              </w:rPr>
              <w:t>8</w:t>
            </w:r>
          </w:p>
        </w:tc>
        <w:tc>
          <w:tcPr>
            <w:tcW w:w="614" w:type="pct"/>
            <w:tcBorders>
              <w:top w:val="single" w:sz="4" w:space="0" w:color="auto"/>
              <w:left w:val="nil"/>
              <w:bottom w:val="single" w:sz="12" w:space="0" w:color="auto"/>
              <w:right w:val="nil"/>
            </w:tcBorders>
            <w:shd w:val="clear" w:color="auto" w:fill="auto"/>
            <w:noWrap/>
            <w:vAlign w:val="bottom"/>
          </w:tcPr>
          <w:p w14:paraId="237125CD" w14:textId="6C6B144F" w:rsidR="00DD071B" w:rsidRPr="007B39B3" w:rsidRDefault="000923D9" w:rsidP="00DD071B">
            <w:pPr>
              <w:jc w:val="right"/>
              <w:rPr>
                <w:rFonts w:ascii="Arial" w:hAnsi="Arial" w:cs="Arial"/>
                <w:b/>
                <w:bCs/>
                <w:sz w:val="18"/>
                <w:szCs w:val="18"/>
              </w:rPr>
            </w:pPr>
            <w:r>
              <w:rPr>
                <w:rFonts w:ascii="Arial" w:hAnsi="Arial" w:cs="Arial"/>
                <w:b/>
                <w:bCs/>
                <w:sz w:val="18"/>
                <w:szCs w:val="18"/>
              </w:rPr>
              <w:t>2,140</w:t>
            </w:r>
          </w:p>
        </w:tc>
        <w:tc>
          <w:tcPr>
            <w:tcW w:w="528" w:type="pct"/>
            <w:tcBorders>
              <w:top w:val="single" w:sz="4" w:space="0" w:color="auto"/>
              <w:left w:val="nil"/>
              <w:bottom w:val="single" w:sz="12" w:space="0" w:color="auto"/>
              <w:right w:val="nil"/>
            </w:tcBorders>
            <w:shd w:val="clear" w:color="auto" w:fill="auto"/>
            <w:noWrap/>
            <w:vAlign w:val="bottom"/>
          </w:tcPr>
          <w:p w14:paraId="46C3E56A" w14:textId="29AA8A13" w:rsidR="00DD071B" w:rsidRPr="007B39B3" w:rsidRDefault="000923D9" w:rsidP="00DD071B">
            <w:pPr>
              <w:jc w:val="right"/>
              <w:rPr>
                <w:rFonts w:ascii="Arial" w:hAnsi="Arial" w:cs="Arial"/>
                <w:b/>
                <w:bCs/>
                <w:sz w:val="18"/>
                <w:szCs w:val="18"/>
              </w:rPr>
            </w:pPr>
            <w:r>
              <w:rPr>
                <w:rFonts w:ascii="Arial" w:hAnsi="Arial" w:cs="Arial"/>
                <w:b/>
                <w:bCs/>
                <w:sz w:val="18"/>
                <w:szCs w:val="18"/>
              </w:rPr>
              <w:t>1</w:t>
            </w:r>
            <w:r w:rsidR="00C356D9">
              <w:rPr>
                <w:rFonts w:ascii="Arial" w:hAnsi="Arial" w:cs="Arial"/>
                <w:b/>
                <w:bCs/>
                <w:sz w:val="18"/>
                <w:szCs w:val="18"/>
              </w:rPr>
              <w:t>0</w:t>
            </w:r>
            <w:r>
              <w:rPr>
                <w:rFonts w:ascii="Arial" w:hAnsi="Arial" w:cs="Arial"/>
                <w:b/>
                <w:bCs/>
                <w:sz w:val="18"/>
                <w:szCs w:val="18"/>
              </w:rPr>
              <w:t>.</w:t>
            </w:r>
            <w:r w:rsidR="00C356D9">
              <w:rPr>
                <w:rFonts w:ascii="Arial" w:hAnsi="Arial" w:cs="Arial"/>
                <w:b/>
                <w:bCs/>
                <w:sz w:val="18"/>
                <w:szCs w:val="18"/>
              </w:rPr>
              <w:t>2</w:t>
            </w:r>
          </w:p>
        </w:tc>
        <w:tc>
          <w:tcPr>
            <w:tcW w:w="523" w:type="pct"/>
            <w:tcBorders>
              <w:top w:val="single" w:sz="4" w:space="0" w:color="auto"/>
              <w:left w:val="nil"/>
              <w:bottom w:val="single" w:sz="12" w:space="0" w:color="auto"/>
              <w:right w:val="nil"/>
            </w:tcBorders>
            <w:shd w:val="clear" w:color="auto" w:fill="auto"/>
            <w:noWrap/>
            <w:vAlign w:val="bottom"/>
          </w:tcPr>
          <w:p w14:paraId="6444F955"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485</w:t>
            </w:r>
          </w:p>
        </w:tc>
        <w:tc>
          <w:tcPr>
            <w:tcW w:w="615" w:type="pct"/>
            <w:tcBorders>
              <w:top w:val="single" w:sz="4" w:space="0" w:color="auto"/>
              <w:left w:val="nil"/>
              <w:bottom w:val="single" w:sz="12" w:space="0" w:color="auto"/>
              <w:right w:val="nil"/>
            </w:tcBorders>
            <w:shd w:val="clear" w:color="auto" w:fill="auto"/>
            <w:noWrap/>
            <w:vAlign w:val="bottom"/>
          </w:tcPr>
          <w:p w14:paraId="451E2C50"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2,201</w:t>
            </w:r>
          </w:p>
        </w:tc>
        <w:tc>
          <w:tcPr>
            <w:tcW w:w="521" w:type="pct"/>
            <w:tcBorders>
              <w:top w:val="single" w:sz="4" w:space="0" w:color="auto"/>
              <w:left w:val="nil"/>
              <w:bottom w:val="single" w:sz="12" w:space="0" w:color="auto"/>
              <w:right w:val="nil"/>
            </w:tcBorders>
            <w:shd w:val="clear" w:color="auto" w:fill="auto"/>
            <w:noWrap/>
            <w:vAlign w:val="bottom"/>
          </w:tcPr>
          <w:p w14:paraId="3196CB43"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22.0</w:t>
            </w:r>
          </w:p>
        </w:tc>
      </w:tr>
      <w:tr w:rsidR="00DD071B" w14:paraId="47D8602B" w14:textId="77777777" w:rsidTr="00990965">
        <w:trPr>
          <w:trHeight w:val="238"/>
        </w:trPr>
        <w:tc>
          <w:tcPr>
            <w:tcW w:w="1671" w:type="pct"/>
            <w:tcBorders>
              <w:top w:val="single" w:sz="12" w:space="0" w:color="auto"/>
              <w:left w:val="nil"/>
              <w:right w:val="nil"/>
            </w:tcBorders>
            <w:shd w:val="clear" w:color="auto" w:fill="auto"/>
            <w:noWrap/>
            <w:vAlign w:val="bottom"/>
          </w:tcPr>
          <w:p w14:paraId="0C3F7E67" w14:textId="77777777" w:rsidR="00DD071B" w:rsidRPr="00CC1A2D" w:rsidRDefault="00DD071B" w:rsidP="00DD071B">
            <w:pPr>
              <w:rPr>
                <w:rFonts w:ascii="Arial" w:hAnsi="Arial" w:cs="Arial"/>
                <w:b/>
                <w:bCs/>
                <w:sz w:val="18"/>
                <w:szCs w:val="18"/>
              </w:rPr>
            </w:pPr>
          </w:p>
        </w:tc>
        <w:tc>
          <w:tcPr>
            <w:tcW w:w="527" w:type="pct"/>
            <w:tcBorders>
              <w:top w:val="single" w:sz="12" w:space="0" w:color="auto"/>
              <w:left w:val="nil"/>
              <w:bottom w:val="nil"/>
              <w:right w:val="nil"/>
            </w:tcBorders>
            <w:shd w:val="clear" w:color="auto" w:fill="auto"/>
            <w:noWrap/>
            <w:vAlign w:val="bottom"/>
          </w:tcPr>
          <w:p w14:paraId="7AE0DD6D" w14:textId="77777777" w:rsidR="00DD071B" w:rsidRPr="00DD071B" w:rsidRDefault="00DD071B" w:rsidP="00DD071B">
            <w:pPr>
              <w:jc w:val="right"/>
              <w:rPr>
                <w:rFonts w:ascii="Arial" w:hAnsi="Arial" w:cs="Arial"/>
                <w:b/>
                <w:bCs/>
                <w:sz w:val="18"/>
                <w:szCs w:val="18"/>
                <w:highlight w:val="yellow"/>
              </w:rPr>
            </w:pPr>
          </w:p>
        </w:tc>
        <w:tc>
          <w:tcPr>
            <w:tcW w:w="614" w:type="pct"/>
            <w:tcBorders>
              <w:top w:val="single" w:sz="12" w:space="0" w:color="auto"/>
              <w:left w:val="nil"/>
              <w:bottom w:val="nil"/>
              <w:right w:val="nil"/>
            </w:tcBorders>
            <w:shd w:val="clear" w:color="auto" w:fill="auto"/>
            <w:noWrap/>
            <w:vAlign w:val="bottom"/>
          </w:tcPr>
          <w:p w14:paraId="1F9BAA27" w14:textId="77777777" w:rsidR="00DD071B" w:rsidRPr="00DD071B" w:rsidRDefault="00DD071B" w:rsidP="00DD071B">
            <w:pPr>
              <w:rPr>
                <w:sz w:val="18"/>
                <w:szCs w:val="18"/>
                <w:highlight w:val="yellow"/>
              </w:rPr>
            </w:pPr>
          </w:p>
        </w:tc>
        <w:tc>
          <w:tcPr>
            <w:tcW w:w="528" w:type="pct"/>
            <w:tcBorders>
              <w:top w:val="single" w:sz="12" w:space="0" w:color="auto"/>
              <w:left w:val="nil"/>
              <w:bottom w:val="nil"/>
              <w:right w:val="nil"/>
            </w:tcBorders>
            <w:shd w:val="clear" w:color="auto" w:fill="auto"/>
            <w:noWrap/>
            <w:vAlign w:val="bottom"/>
          </w:tcPr>
          <w:p w14:paraId="31DB6CAA" w14:textId="77777777" w:rsidR="00DD071B" w:rsidRPr="00DD071B" w:rsidRDefault="00DD071B" w:rsidP="00DD071B">
            <w:pPr>
              <w:rPr>
                <w:sz w:val="18"/>
                <w:szCs w:val="18"/>
                <w:highlight w:val="yellow"/>
              </w:rPr>
            </w:pPr>
          </w:p>
        </w:tc>
        <w:tc>
          <w:tcPr>
            <w:tcW w:w="523" w:type="pct"/>
            <w:tcBorders>
              <w:top w:val="single" w:sz="12" w:space="0" w:color="auto"/>
              <w:left w:val="nil"/>
              <w:right w:val="nil"/>
            </w:tcBorders>
            <w:shd w:val="clear" w:color="auto" w:fill="auto"/>
            <w:noWrap/>
            <w:vAlign w:val="bottom"/>
          </w:tcPr>
          <w:p w14:paraId="49E48F12" w14:textId="77777777" w:rsidR="00DD071B" w:rsidRPr="00DD071B" w:rsidRDefault="00DD071B" w:rsidP="00DD071B">
            <w:pPr>
              <w:jc w:val="right"/>
              <w:rPr>
                <w:rFonts w:ascii="Arial" w:hAnsi="Arial" w:cs="Arial"/>
                <w:bCs/>
                <w:sz w:val="18"/>
                <w:szCs w:val="18"/>
              </w:rPr>
            </w:pPr>
          </w:p>
        </w:tc>
        <w:tc>
          <w:tcPr>
            <w:tcW w:w="615" w:type="pct"/>
            <w:tcBorders>
              <w:top w:val="single" w:sz="12" w:space="0" w:color="auto"/>
              <w:left w:val="nil"/>
              <w:right w:val="nil"/>
            </w:tcBorders>
            <w:shd w:val="clear" w:color="auto" w:fill="auto"/>
            <w:noWrap/>
            <w:vAlign w:val="bottom"/>
          </w:tcPr>
          <w:p w14:paraId="60519328" w14:textId="77777777" w:rsidR="00DD071B" w:rsidRPr="00DD071B" w:rsidRDefault="00DD071B" w:rsidP="00DD071B">
            <w:pPr>
              <w:rPr>
                <w:sz w:val="18"/>
                <w:szCs w:val="18"/>
              </w:rPr>
            </w:pPr>
          </w:p>
        </w:tc>
        <w:tc>
          <w:tcPr>
            <w:tcW w:w="521" w:type="pct"/>
            <w:tcBorders>
              <w:top w:val="single" w:sz="12" w:space="0" w:color="auto"/>
              <w:left w:val="nil"/>
              <w:right w:val="nil"/>
            </w:tcBorders>
            <w:shd w:val="clear" w:color="auto" w:fill="auto"/>
            <w:noWrap/>
            <w:vAlign w:val="bottom"/>
          </w:tcPr>
          <w:p w14:paraId="34875BC5" w14:textId="77777777" w:rsidR="00DD071B" w:rsidRPr="00DD071B" w:rsidRDefault="00DD071B" w:rsidP="00DD071B">
            <w:pPr>
              <w:rPr>
                <w:sz w:val="18"/>
                <w:szCs w:val="18"/>
              </w:rPr>
            </w:pPr>
          </w:p>
        </w:tc>
      </w:tr>
      <w:tr w:rsidR="00DD071B" w14:paraId="1F856665" w14:textId="77777777" w:rsidTr="00990965">
        <w:trPr>
          <w:trHeight w:val="238"/>
        </w:trPr>
        <w:tc>
          <w:tcPr>
            <w:tcW w:w="1671" w:type="pct"/>
            <w:tcBorders>
              <w:top w:val="nil"/>
              <w:left w:val="nil"/>
              <w:bottom w:val="nil"/>
              <w:right w:val="nil"/>
            </w:tcBorders>
            <w:shd w:val="clear" w:color="auto" w:fill="auto"/>
            <w:noWrap/>
            <w:vAlign w:val="bottom"/>
          </w:tcPr>
          <w:p w14:paraId="52EE3606" w14:textId="77777777" w:rsidR="00DD071B" w:rsidRPr="00CC1A2D" w:rsidRDefault="00DD071B" w:rsidP="00DD071B">
            <w:pPr>
              <w:rPr>
                <w:rFonts w:ascii="Arial" w:hAnsi="Arial" w:cs="Arial"/>
                <w:b/>
                <w:bCs/>
                <w:sz w:val="18"/>
                <w:szCs w:val="18"/>
              </w:rPr>
            </w:pPr>
            <w:r w:rsidRPr="00CC1A2D">
              <w:rPr>
                <w:rFonts w:ascii="Arial" w:hAnsi="Arial" w:cs="Arial"/>
                <w:b/>
                <w:bCs/>
                <w:sz w:val="18"/>
                <w:szCs w:val="18"/>
              </w:rPr>
              <w:t>Basic earnings per share</w:t>
            </w:r>
          </w:p>
        </w:tc>
        <w:tc>
          <w:tcPr>
            <w:tcW w:w="527" w:type="pct"/>
            <w:tcBorders>
              <w:top w:val="nil"/>
              <w:left w:val="nil"/>
              <w:bottom w:val="nil"/>
              <w:right w:val="nil"/>
            </w:tcBorders>
            <w:shd w:val="clear" w:color="auto" w:fill="auto"/>
            <w:noWrap/>
            <w:vAlign w:val="bottom"/>
          </w:tcPr>
          <w:p w14:paraId="179B6D4F" w14:textId="0E7FCA8E" w:rsidR="00DD071B" w:rsidRPr="00FA09B6" w:rsidRDefault="00B3524C" w:rsidP="00DD071B">
            <w:pPr>
              <w:jc w:val="right"/>
              <w:rPr>
                <w:rFonts w:ascii="Arial" w:hAnsi="Arial" w:cs="Arial"/>
                <w:b/>
                <w:bCs/>
                <w:sz w:val="18"/>
                <w:szCs w:val="18"/>
              </w:rPr>
            </w:pPr>
            <w:r w:rsidRPr="00FA09B6">
              <w:rPr>
                <w:rFonts w:ascii="Arial" w:hAnsi="Arial" w:cs="Arial"/>
                <w:b/>
                <w:bCs/>
                <w:sz w:val="18"/>
                <w:szCs w:val="18"/>
              </w:rPr>
              <w:t>2</w:t>
            </w:r>
            <w:r w:rsidR="00C356D9">
              <w:rPr>
                <w:rFonts w:ascii="Arial" w:hAnsi="Arial" w:cs="Arial"/>
                <w:b/>
                <w:bCs/>
                <w:sz w:val="18"/>
                <w:szCs w:val="18"/>
              </w:rPr>
              <w:t>1</w:t>
            </w:r>
            <w:r w:rsidRPr="00FA09B6">
              <w:rPr>
                <w:rFonts w:ascii="Arial" w:hAnsi="Arial" w:cs="Arial"/>
                <w:b/>
                <w:bCs/>
                <w:sz w:val="18"/>
                <w:szCs w:val="18"/>
              </w:rPr>
              <w:t>8</w:t>
            </w:r>
          </w:p>
        </w:tc>
        <w:tc>
          <w:tcPr>
            <w:tcW w:w="614" w:type="pct"/>
            <w:tcBorders>
              <w:top w:val="nil"/>
              <w:left w:val="nil"/>
              <w:bottom w:val="nil"/>
              <w:right w:val="nil"/>
            </w:tcBorders>
            <w:shd w:val="clear" w:color="auto" w:fill="auto"/>
            <w:noWrap/>
            <w:vAlign w:val="bottom"/>
          </w:tcPr>
          <w:p w14:paraId="40BD1D1B" w14:textId="77777777"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2,1</w:t>
            </w:r>
            <w:r w:rsidR="00B3524C" w:rsidRPr="00FA09B6">
              <w:rPr>
                <w:rFonts w:ascii="Arial" w:hAnsi="Arial" w:cs="Arial"/>
                <w:b/>
                <w:bCs/>
                <w:sz w:val="18"/>
                <w:szCs w:val="18"/>
              </w:rPr>
              <w:t>2</w:t>
            </w:r>
            <w:r w:rsidRPr="00FA09B6">
              <w:rPr>
                <w:rFonts w:ascii="Arial" w:hAnsi="Arial" w:cs="Arial"/>
                <w:b/>
                <w:bCs/>
                <w:sz w:val="18"/>
                <w:szCs w:val="18"/>
              </w:rPr>
              <w:t>9</w:t>
            </w:r>
          </w:p>
        </w:tc>
        <w:tc>
          <w:tcPr>
            <w:tcW w:w="528" w:type="pct"/>
            <w:tcBorders>
              <w:top w:val="nil"/>
              <w:left w:val="nil"/>
              <w:bottom w:val="nil"/>
              <w:right w:val="nil"/>
            </w:tcBorders>
            <w:shd w:val="clear" w:color="auto" w:fill="auto"/>
            <w:noWrap/>
            <w:vAlign w:val="bottom"/>
          </w:tcPr>
          <w:p w14:paraId="3212717F" w14:textId="729C9AEC" w:rsidR="00DD071B" w:rsidRPr="00FA09B6" w:rsidRDefault="00C356D9" w:rsidP="00DD071B">
            <w:pPr>
              <w:jc w:val="right"/>
              <w:rPr>
                <w:rFonts w:ascii="Arial" w:hAnsi="Arial" w:cs="Arial"/>
                <w:b/>
                <w:bCs/>
                <w:sz w:val="18"/>
                <w:szCs w:val="18"/>
              </w:rPr>
            </w:pPr>
            <w:r>
              <w:rPr>
                <w:rFonts w:ascii="Arial" w:hAnsi="Arial" w:cs="Arial"/>
                <w:b/>
                <w:bCs/>
                <w:sz w:val="18"/>
                <w:szCs w:val="18"/>
              </w:rPr>
              <w:t>10</w:t>
            </w:r>
            <w:r w:rsidR="00DD071B" w:rsidRPr="00FA09B6">
              <w:rPr>
                <w:rFonts w:ascii="Arial" w:hAnsi="Arial" w:cs="Arial"/>
                <w:b/>
                <w:bCs/>
                <w:sz w:val="18"/>
                <w:szCs w:val="18"/>
              </w:rPr>
              <w:t>.</w:t>
            </w:r>
            <w:r>
              <w:rPr>
                <w:rFonts w:ascii="Arial" w:hAnsi="Arial" w:cs="Arial"/>
                <w:b/>
                <w:bCs/>
                <w:sz w:val="18"/>
                <w:szCs w:val="18"/>
              </w:rPr>
              <w:t>3</w:t>
            </w:r>
          </w:p>
        </w:tc>
        <w:tc>
          <w:tcPr>
            <w:tcW w:w="523" w:type="pct"/>
            <w:tcBorders>
              <w:top w:val="nil"/>
              <w:left w:val="nil"/>
              <w:bottom w:val="nil"/>
              <w:right w:val="nil"/>
            </w:tcBorders>
            <w:shd w:val="clear" w:color="auto" w:fill="auto"/>
            <w:noWrap/>
            <w:vAlign w:val="bottom"/>
          </w:tcPr>
          <w:p w14:paraId="0898E311"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485</w:t>
            </w:r>
          </w:p>
        </w:tc>
        <w:tc>
          <w:tcPr>
            <w:tcW w:w="615" w:type="pct"/>
            <w:tcBorders>
              <w:top w:val="nil"/>
              <w:left w:val="nil"/>
              <w:bottom w:val="nil"/>
              <w:right w:val="nil"/>
            </w:tcBorders>
            <w:shd w:val="clear" w:color="auto" w:fill="auto"/>
            <w:noWrap/>
            <w:vAlign w:val="bottom"/>
          </w:tcPr>
          <w:p w14:paraId="6C4BB30D"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2,192</w:t>
            </w:r>
          </w:p>
        </w:tc>
        <w:tc>
          <w:tcPr>
            <w:tcW w:w="521" w:type="pct"/>
            <w:tcBorders>
              <w:top w:val="nil"/>
              <w:left w:val="nil"/>
              <w:bottom w:val="nil"/>
              <w:right w:val="nil"/>
            </w:tcBorders>
            <w:shd w:val="clear" w:color="auto" w:fill="auto"/>
            <w:noWrap/>
            <w:vAlign w:val="bottom"/>
          </w:tcPr>
          <w:p w14:paraId="2F20FC8C"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22.1</w:t>
            </w:r>
          </w:p>
        </w:tc>
      </w:tr>
      <w:tr w:rsidR="00DD071B" w14:paraId="5152D5A2" w14:textId="77777777" w:rsidTr="00990965">
        <w:trPr>
          <w:trHeight w:val="238"/>
        </w:trPr>
        <w:tc>
          <w:tcPr>
            <w:tcW w:w="1671" w:type="pct"/>
            <w:tcBorders>
              <w:top w:val="nil"/>
              <w:left w:val="nil"/>
              <w:bottom w:val="nil"/>
              <w:right w:val="nil"/>
            </w:tcBorders>
            <w:shd w:val="clear" w:color="auto" w:fill="auto"/>
            <w:noWrap/>
            <w:vAlign w:val="bottom"/>
          </w:tcPr>
          <w:p w14:paraId="5BB5FADE" w14:textId="77777777" w:rsidR="00DD071B" w:rsidRPr="00CC1A2D" w:rsidRDefault="00DD071B" w:rsidP="00DD071B">
            <w:pPr>
              <w:rPr>
                <w:rFonts w:ascii="Arial" w:hAnsi="Arial" w:cs="Arial"/>
                <w:b/>
                <w:bCs/>
                <w:sz w:val="18"/>
                <w:szCs w:val="18"/>
              </w:rPr>
            </w:pPr>
            <w:r w:rsidRPr="00CC1A2D">
              <w:rPr>
                <w:rFonts w:ascii="Arial" w:hAnsi="Arial" w:cs="Arial"/>
                <w:sz w:val="18"/>
                <w:szCs w:val="18"/>
              </w:rPr>
              <w:t>Exceptional items before tax</w:t>
            </w:r>
          </w:p>
        </w:tc>
        <w:tc>
          <w:tcPr>
            <w:tcW w:w="527" w:type="pct"/>
            <w:tcBorders>
              <w:top w:val="nil"/>
              <w:left w:val="nil"/>
              <w:bottom w:val="nil"/>
              <w:right w:val="nil"/>
            </w:tcBorders>
            <w:shd w:val="clear" w:color="auto" w:fill="auto"/>
            <w:noWrap/>
            <w:vAlign w:val="bottom"/>
          </w:tcPr>
          <w:p w14:paraId="6F66101B" w14:textId="7CF037BB" w:rsidR="00DD071B" w:rsidRPr="00FA09B6" w:rsidRDefault="007B39B3" w:rsidP="00DD071B">
            <w:pPr>
              <w:jc w:val="right"/>
              <w:rPr>
                <w:rFonts w:ascii="Arial" w:hAnsi="Arial" w:cs="Arial"/>
                <w:b/>
                <w:bCs/>
                <w:sz w:val="18"/>
                <w:szCs w:val="18"/>
              </w:rPr>
            </w:pPr>
            <w:r w:rsidRPr="00FA09B6">
              <w:rPr>
                <w:rFonts w:ascii="Arial" w:hAnsi="Arial" w:cs="Arial"/>
                <w:b/>
                <w:bCs/>
                <w:sz w:val="18"/>
                <w:szCs w:val="18"/>
              </w:rPr>
              <w:t>2</w:t>
            </w:r>
            <w:r w:rsidR="00C356D9">
              <w:rPr>
                <w:rFonts w:ascii="Arial" w:hAnsi="Arial" w:cs="Arial"/>
                <w:b/>
                <w:bCs/>
                <w:sz w:val="18"/>
                <w:szCs w:val="18"/>
              </w:rPr>
              <w:t>51</w:t>
            </w:r>
          </w:p>
        </w:tc>
        <w:tc>
          <w:tcPr>
            <w:tcW w:w="614" w:type="pct"/>
            <w:tcBorders>
              <w:top w:val="nil"/>
              <w:left w:val="nil"/>
              <w:bottom w:val="nil"/>
              <w:right w:val="nil"/>
            </w:tcBorders>
            <w:shd w:val="clear" w:color="auto" w:fill="auto"/>
            <w:noWrap/>
            <w:vAlign w:val="bottom"/>
          </w:tcPr>
          <w:p w14:paraId="3984C682" w14:textId="77777777" w:rsidR="00DD071B" w:rsidRPr="00FA09B6" w:rsidRDefault="00DD071B" w:rsidP="00DD071B">
            <w:pPr>
              <w:jc w:val="right"/>
              <w:rPr>
                <w:rFonts w:ascii="Arial" w:hAnsi="Arial" w:cs="Arial"/>
                <w:b/>
                <w:bCs/>
                <w:sz w:val="18"/>
                <w:szCs w:val="18"/>
              </w:rPr>
            </w:pPr>
          </w:p>
        </w:tc>
        <w:tc>
          <w:tcPr>
            <w:tcW w:w="528" w:type="pct"/>
            <w:tcBorders>
              <w:top w:val="nil"/>
              <w:left w:val="nil"/>
              <w:bottom w:val="nil"/>
              <w:right w:val="nil"/>
            </w:tcBorders>
            <w:shd w:val="clear" w:color="auto" w:fill="auto"/>
            <w:noWrap/>
            <w:vAlign w:val="bottom"/>
          </w:tcPr>
          <w:p w14:paraId="35C035E1" w14:textId="0ABFE5B5" w:rsidR="00DD071B" w:rsidRPr="00FA09B6" w:rsidRDefault="00C356D9" w:rsidP="00DD071B">
            <w:pPr>
              <w:jc w:val="right"/>
              <w:rPr>
                <w:rFonts w:ascii="Arial" w:hAnsi="Arial" w:cs="Arial"/>
                <w:b/>
                <w:bCs/>
                <w:sz w:val="18"/>
                <w:szCs w:val="18"/>
              </w:rPr>
            </w:pPr>
            <w:r>
              <w:rPr>
                <w:rFonts w:ascii="Arial" w:hAnsi="Arial" w:cs="Arial"/>
                <w:b/>
                <w:bCs/>
                <w:sz w:val="18"/>
                <w:szCs w:val="18"/>
              </w:rPr>
              <w:t>11</w:t>
            </w:r>
            <w:r w:rsidR="007B39B3" w:rsidRPr="00FA09B6">
              <w:rPr>
                <w:rFonts w:ascii="Arial" w:hAnsi="Arial" w:cs="Arial"/>
                <w:b/>
                <w:bCs/>
                <w:sz w:val="18"/>
                <w:szCs w:val="18"/>
              </w:rPr>
              <w:t>.</w:t>
            </w:r>
            <w:r>
              <w:rPr>
                <w:rFonts w:ascii="Arial" w:hAnsi="Arial" w:cs="Arial"/>
                <w:b/>
                <w:bCs/>
                <w:sz w:val="18"/>
                <w:szCs w:val="18"/>
              </w:rPr>
              <w:t>8</w:t>
            </w:r>
          </w:p>
        </w:tc>
        <w:tc>
          <w:tcPr>
            <w:tcW w:w="523" w:type="pct"/>
            <w:tcBorders>
              <w:top w:val="nil"/>
              <w:left w:val="nil"/>
              <w:bottom w:val="nil"/>
              <w:right w:val="nil"/>
            </w:tcBorders>
            <w:shd w:val="clear" w:color="auto" w:fill="auto"/>
            <w:noWrap/>
            <w:vAlign w:val="bottom"/>
          </w:tcPr>
          <w:p w14:paraId="29DFCB9C"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w:t>
            </w:r>
          </w:p>
        </w:tc>
        <w:tc>
          <w:tcPr>
            <w:tcW w:w="615" w:type="pct"/>
            <w:tcBorders>
              <w:top w:val="nil"/>
              <w:left w:val="nil"/>
              <w:bottom w:val="nil"/>
              <w:right w:val="nil"/>
            </w:tcBorders>
            <w:shd w:val="clear" w:color="auto" w:fill="auto"/>
            <w:noWrap/>
            <w:vAlign w:val="bottom"/>
          </w:tcPr>
          <w:p w14:paraId="0992F578" w14:textId="77777777" w:rsidR="00DD071B" w:rsidRPr="00DD071B" w:rsidRDefault="00DD071B" w:rsidP="00DD071B">
            <w:pPr>
              <w:jc w:val="right"/>
              <w:rPr>
                <w:rFonts w:ascii="Arial" w:hAnsi="Arial" w:cs="Arial"/>
                <w:bCs/>
                <w:sz w:val="18"/>
                <w:szCs w:val="18"/>
              </w:rPr>
            </w:pPr>
          </w:p>
        </w:tc>
        <w:tc>
          <w:tcPr>
            <w:tcW w:w="521" w:type="pct"/>
            <w:tcBorders>
              <w:top w:val="nil"/>
              <w:left w:val="nil"/>
              <w:bottom w:val="nil"/>
              <w:right w:val="nil"/>
            </w:tcBorders>
            <w:shd w:val="clear" w:color="auto" w:fill="auto"/>
            <w:noWrap/>
            <w:vAlign w:val="bottom"/>
          </w:tcPr>
          <w:p w14:paraId="65DFAF3E"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w:t>
            </w:r>
          </w:p>
        </w:tc>
      </w:tr>
      <w:tr w:rsidR="00DD071B" w14:paraId="1B1C7738" w14:textId="77777777" w:rsidTr="00990965">
        <w:trPr>
          <w:trHeight w:val="238"/>
        </w:trPr>
        <w:tc>
          <w:tcPr>
            <w:tcW w:w="1671" w:type="pct"/>
            <w:tcBorders>
              <w:top w:val="nil"/>
              <w:left w:val="nil"/>
              <w:bottom w:val="nil"/>
              <w:right w:val="nil"/>
            </w:tcBorders>
            <w:shd w:val="clear" w:color="auto" w:fill="auto"/>
            <w:noWrap/>
            <w:vAlign w:val="bottom"/>
          </w:tcPr>
          <w:p w14:paraId="71DA8835" w14:textId="77777777" w:rsidR="00DD071B" w:rsidRPr="00CC1A2D" w:rsidRDefault="00DD071B" w:rsidP="00DD071B">
            <w:pPr>
              <w:rPr>
                <w:rFonts w:ascii="Arial" w:hAnsi="Arial" w:cs="Arial"/>
                <w:b/>
                <w:bCs/>
                <w:sz w:val="18"/>
                <w:szCs w:val="18"/>
              </w:rPr>
            </w:pPr>
            <w:r w:rsidRPr="00CC1A2D">
              <w:rPr>
                <w:rFonts w:ascii="Arial" w:hAnsi="Arial" w:cs="Arial"/>
                <w:sz w:val="18"/>
                <w:szCs w:val="18"/>
              </w:rPr>
              <w:t>Tax on exceptional and prior year items</w:t>
            </w:r>
          </w:p>
        </w:tc>
        <w:tc>
          <w:tcPr>
            <w:tcW w:w="527" w:type="pct"/>
            <w:tcBorders>
              <w:top w:val="nil"/>
              <w:left w:val="nil"/>
              <w:bottom w:val="nil"/>
              <w:right w:val="nil"/>
            </w:tcBorders>
            <w:shd w:val="clear" w:color="auto" w:fill="auto"/>
            <w:noWrap/>
            <w:vAlign w:val="bottom"/>
          </w:tcPr>
          <w:p w14:paraId="67A849B8" w14:textId="7EDBF9A9"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w:t>
            </w:r>
            <w:r w:rsidR="00B44FC9" w:rsidRPr="00FA09B6">
              <w:rPr>
                <w:rFonts w:ascii="Arial" w:hAnsi="Arial" w:cs="Arial"/>
                <w:b/>
                <w:bCs/>
                <w:sz w:val="18"/>
                <w:szCs w:val="18"/>
              </w:rPr>
              <w:t>4</w:t>
            </w:r>
            <w:r w:rsidR="00C356D9">
              <w:rPr>
                <w:rFonts w:ascii="Arial" w:hAnsi="Arial" w:cs="Arial"/>
                <w:b/>
                <w:bCs/>
                <w:sz w:val="18"/>
                <w:szCs w:val="18"/>
              </w:rPr>
              <w:t>8</w:t>
            </w:r>
            <w:r w:rsidRPr="00FA09B6">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14:paraId="3E210A69" w14:textId="77777777" w:rsidR="00DD071B" w:rsidRPr="00FA09B6" w:rsidRDefault="00DD071B" w:rsidP="00DD071B">
            <w:pPr>
              <w:jc w:val="right"/>
              <w:rPr>
                <w:rFonts w:ascii="Arial" w:hAnsi="Arial" w:cs="Arial"/>
                <w:b/>
                <w:bCs/>
                <w:sz w:val="18"/>
                <w:szCs w:val="18"/>
              </w:rPr>
            </w:pPr>
          </w:p>
        </w:tc>
        <w:tc>
          <w:tcPr>
            <w:tcW w:w="528" w:type="pct"/>
            <w:tcBorders>
              <w:top w:val="nil"/>
              <w:left w:val="nil"/>
              <w:bottom w:val="nil"/>
              <w:right w:val="nil"/>
            </w:tcBorders>
            <w:shd w:val="clear" w:color="auto" w:fill="auto"/>
            <w:noWrap/>
            <w:vAlign w:val="bottom"/>
          </w:tcPr>
          <w:p w14:paraId="14992D92" w14:textId="5805CF57"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w:t>
            </w:r>
            <w:r w:rsidR="00B44FC9" w:rsidRPr="00FA09B6">
              <w:rPr>
                <w:rFonts w:ascii="Arial" w:hAnsi="Arial" w:cs="Arial"/>
                <w:b/>
                <w:bCs/>
                <w:sz w:val="18"/>
                <w:szCs w:val="18"/>
              </w:rPr>
              <w:t>2</w:t>
            </w:r>
            <w:r w:rsidRPr="00FA09B6">
              <w:rPr>
                <w:rFonts w:ascii="Arial" w:hAnsi="Arial" w:cs="Arial"/>
                <w:b/>
                <w:bCs/>
                <w:sz w:val="18"/>
                <w:szCs w:val="18"/>
              </w:rPr>
              <w:t>.</w:t>
            </w:r>
            <w:r w:rsidR="00C356D9">
              <w:rPr>
                <w:rFonts w:ascii="Arial" w:hAnsi="Arial" w:cs="Arial"/>
                <w:b/>
                <w:bCs/>
                <w:sz w:val="18"/>
                <w:szCs w:val="18"/>
              </w:rPr>
              <w:t>3</w:t>
            </w:r>
            <w:r w:rsidRPr="00FA09B6">
              <w:rPr>
                <w:rFonts w:ascii="Arial" w:hAnsi="Arial" w:cs="Arial"/>
                <w:b/>
                <w:bCs/>
                <w:sz w:val="18"/>
                <w:szCs w:val="18"/>
              </w:rPr>
              <w:t>)</w:t>
            </w:r>
          </w:p>
        </w:tc>
        <w:tc>
          <w:tcPr>
            <w:tcW w:w="523" w:type="pct"/>
            <w:tcBorders>
              <w:top w:val="nil"/>
              <w:left w:val="nil"/>
              <w:bottom w:val="nil"/>
              <w:right w:val="nil"/>
            </w:tcBorders>
            <w:shd w:val="clear" w:color="auto" w:fill="auto"/>
            <w:noWrap/>
            <w:vAlign w:val="bottom"/>
          </w:tcPr>
          <w:p w14:paraId="53760232"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(7)</w:t>
            </w:r>
          </w:p>
        </w:tc>
        <w:tc>
          <w:tcPr>
            <w:tcW w:w="615" w:type="pct"/>
            <w:tcBorders>
              <w:top w:val="nil"/>
              <w:left w:val="nil"/>
              <w:bottom w:val="nil"/>
              <w:right w:val="nil"/>
            </w:tcBorders>
            <w:shd w:val="clear" w:color="auto" w:fill="auto"/>
            <w:noWrap/>
            <w:vAlign w:val="bottom"/>
          </w:tcPr>
          <w:p w14:paraId="713F0EEE" w14:textId="77777777" w:rsidR="00DD071B" w:rsidRPr="00DD071B" w:rsidRDefault="00DD071B" w:rsidP="00DD071B">
            <w:pPr>
              <w:jc w:val="right"/>
              <w:rPr>
                <w:rFonts w:ascii="Arial" w:hAnsi="Arial" w:cs="Arial"/>
                <w:bCs/>
                <w:sz w:val="18"/>
                <w:szCs w:val="18"/>
              </w:rPr>
            </w:pPr>
          </w:p>
        </w:tc>
        <w:tc>
          <w:tcPr>
            <w:tcW w:w="521" w:type="pct"/>
            <w:tcBorders>
              <w:top w:val="nil"/>
              <w:left w:val="nil"/>
              <w:bottom w:val="nil"/>
              <w:right w:val="nil"/>
            </w:tcBorders>
            <w:shd w:val="clear" w:color="auto" w:fill="auto"/>
            <w:noWrap/>
            <w:vAlign w:val="bottom"/>
          </w:tcPr>
          <w:p w14:paraId="1B2CA757"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(0.3)</w:t>
            </w:r>
          </w:p>
        </w:tc>
      </w:tr>
      <w:tr w:rsidR="00DD071B" w14:paraId="57E6FEE3" w14:textId="77777777" w:rsidTr="00990965">
        <w:trPr>
          <w:trHeight w:val="238"/>
        </w:trPr>
        <w:tc>
          <w:tcPr>
            <w:tcW w:w="1671" w:type="pct"/>
            <w:tcBorders>
              <w:top w:val="nil"/>
              <w:left w:val="nil"/>
              <w:bottom w:val="nil"/>
              <w:right w:val="nil"/>
            </w:tcBorders>
            <w:shd w:val="clear" w:color="auto" w:fill="auto"/>
            <w:noWrap/>
            <w:vAlign w:val="bottom"/>
          </w:tcPr>
          <w:p w14:paraId="2E16652E" w14:textId="77777777" w:rsidR="00DD071B" w:rsidRPr="00CC1A2D" w:rsidRDefault="00DD071B" w:rsidP="00DD071B">
            <w:pPr>
              <w:rPr>
                <w:rFonts w:ascii="Arial" w:hAnsi="Arial" w:cs="Arial"/>
                <w:b/>
                <w:bCs/>
                <w:sz w:val="18"/>
                <w:szCs w:val="18"/>
              </w:rPr>
            </w:pPr>
            <w:r w:rsidRPr="00CC1A2D">
              <w:rPr>
                <w:rFonts w:ascii="Arial" w:hAnsi="Arial" w:cs="Arial"/>
                <w:sz w:val="18"/>
                <w:szCs w:val="18"/>
              </w:rPr>
              <w:t>Financing fair value remeasurements</w:t>
            </w:r>
          </w:p>
        </w:tc>
        <w:tc>
          <w:tcPr>
            <w:tcW w:w="527" w:type="pct"/>
            <w:tcBorders>
              <w:top w:val="nil"/>
              <w:left w:val="nil"/>
              <w:bottom w:val="nil"/>
              <w:right w:val="nil"/>
            </w:tcBorders>
            <w:shd w:val="clear" w:color="auto" w:fill="auto"/>
            <w:noWrap/>
            <w:vAlign w:val="bottom"/>
          </w:tcPr>
          <w:p w14:paraId="2C345447" w14:textId="77777777" w:rsidR="00DD071B" w:rsidRPr="00FA09B6" w:rsidRDefault="00B44FC9" w:rsidP="00DD071B">
            <w:pPr>
              <w:jc w:val="right"/>
              <w:rPr>
                <w:rFonts w:ascii="Arial" w:hAnsi="Arial" w:cs="Arial"/>
                <w:b/>
                <w:bCs/>
                <w:sz w:val="18"/>
                <w:szCs w:val="18"/>
              </w:rPr>
            </w:pPr>
            <w:r w:rsidRPr="00FA09B6">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14:paraId="6E91F4F7" w14:textId="77777777" w:rsidR="00DD071B" w:rsidRPr="00FA09B6" w:rsidRDefault="00DD071B" w:rsidP="00DD071B">
            <w:pPr>
              <w:jc w:val="right"/>
              <w:rPr>
                <w:rFonts w:ascii="Arial" w:hAnsi="Arial" w:cs="Arial"/>
                <w:b/>
                <w:bCs/>
                <w:sz w:val="18"/>
                <w:szCs w:val="18"/>
              </w:rPr>
            </w:pPr>
          </w:p>
        </w:tc>
        <w:tc>
          <w:tcPr>
            <w:tcW w:w="528" w:type="pct"/>
            <w:tcBorders>
              <w:top w:val="nil"/>
              <w:left w:val="nil"/>
              <w:bottom w:val="nil"/>
              <w:right w:val="nil"/>
            </w:tcBorders>
            <w:shd w:val="clear" w:color="auto" w:fill="auto"/>
            <w:noWrap/>
            <w:vAlign w:val="bottom"/>
          </w:tcPr>
          <w:p w14:paraId="706FAB60" w14:textId="77777777"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w:t>
            </w:r>
          </w:p>
        </w:tc>
        <w:tc>
          <w:tcPr>
            <w:tcW w:w="523" w:type="pct"/>
            <w:tcBorders>
              <w:top w:val="nil"/>
              <w:left w:val="nil"/>
              <w:bottom w:val="nil"/>
              <w:right w:val="nil"/>
            </w:tcBorders>
            <w:shd w:val="clear" w:color="auto" w:fill="auto"/>
            <w:noWrap/>
            <w:vAlign w:val="bottom"/>
          </w:tcPr>
          <w:p w14:paraId="070E87A0"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1</w:t>
            </w:r>
          </w:p>
        </w:tc>
        <w:tc>
          <w:tcPr>
            <w:tcW w:w="615" w:type="pct"/>
            <w:tcBorders>
              <w:top w:val="nil"/>
              <w:left w:val="nil"/>
              <w:bottom w:val="nil"/>
              <w:right w:val="nil"/>
            </w:tcBorders>
            <w:shd w:val="clear" w:color="auto" w:fill="auto"/>
            <w:noWrap/>
            <w:vAlign w:val="bottom"/>
          </w:tcPr>
          <w:p w14:paraId="5375C171" w14:textId="77777777" w:rsidR="00DD071B" w:rsidRPr="00DD071B" w:rsidRDefault="00DD071B" w:rsidP="00DD071B">
            <w:pPr>
              <w:jc w:val="right"/>
              <w:rPr>
                <w:rFonts w:ascii="Arial" w:hAnsi="Arial" w:cs="Arial"/>
                <w:bCs/>
                <w:sz w:val="18"/>
                <w:szCs w:val="18"/>
              </w:rPr>
            </w:pPr>
          </w:p>
        </w:tc>
        <w:tc>
          <w:tcPr>
            <w:tcW w:w="521" w:type="pct"/>
            <w:tcBorders>
              <w:top w:val="nil"/>
              <w:left w:val="nil"/>
              <w:bottom w:val="nil"/>
              <w:right w:val="nil"/>
            </w:tcBorders>
            <w:shd w:val="clear" w:color="auto" w:fill="auto"/>
            <w:noWrap/>
            <w:vAlign w:val="bottom"/>
          </w:tcPr>
          <w:p w14:paraId="678AEE5B"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w:t>
            </w:r>
          </w:p>
        </w:tc>
      </w:tr>
      <w:tr w:rsidR="00DD071B" w14:paraId="194136BA" w14:textId="77777777" w:rsidTr="00990965">
        <w:trPr>
          <w:trHeight w:val="238"/>
        </w:trPr>
        <w:tc>
          <w:tcPr>
            <w:tcW w:w="1671" w:type="pct"/>
            <w:tcBorders>
              <w:top w:val="single" w:sz="4" w:space="0" w:color="auto"/>
              <w:left w:val="nil"/>
              <w:right w:val="nil"/>
            </w:tcBorders>
            <w:shd w:val="clear" w:color="auto" w:fill="auto"/>
            <w:noWrap/>
            <w:vAlign w:val="bottom"/>
          </w:tcPr>
          <w:p w14:paraId="53CD1E89" w14:textId="77777777" w:rsidR="00DD071B" w:rsidRPr="00CC1A2D" w:rsidRDefault="00DD071B" w:rsidP="00DD071B">
            <w:pPr>
              <w:rPr>
                <w:rFonts w:ascii="Arial" w:hAnsi="Arial" w:cs="Arial"/>
                <w:b/>
                <w:bCs/>
                <w:sz w:val="18"/>
                <w:szCs w:val="18"/>
              </w:rPr>
            </w:pPr>
            <w:r w:rsidRPr="00CC1A2D">
              <w:rPr>
                <w:rFonts w:ascii="Arial" w:hAnsi="Arial" w:cs="Arial"/>
                <w:b/>
                <w:bCs/>
                <w:sz w:val="18"/>
                <w:szCs w:val="18"/>
              </w:rPr>
              <w:t>Adjusted basic earnings per share</w:t>
            </w:r>
          </w:p>
        </w:tc>
        <w:tc>
          <w:tcPr>
            <w:tcW w:w="527" w:type="pct"/>
            <w:tcBorders>
              <w:top w:val="single" w:sz="4" w:space="0" w:color="auto"/>
              <w:left w:val="nil"/>
              <w:right w:val="nil"/>
            </w:tcBorders>
            <w:shd w:val="clear" w:color="auto" w:fill="auto"/>
            <w:noWrap/>
            <w:vAlign w:val="bottom"/>
          </w:tcPr>
          <w:p w14:paraId="7F193FF6" w14:textId="77777777"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4</w:t>
            </w:r>
            <w:r w:rsidR="00B44FC9" w:rsidRPr="00FA09B6">
              <w:rPr>
                <w:rFonts w:ascii="Arial" w:hAnsi="Arial" w:cs="Arial"/>
                <w:b/>
                <w:bCs/>
                <w:sz w:val="18"/>
                <w:szCs w:val="18"/>
              </w:rPr>
              <w:t>21</w:t>
            </w:r>
          </w:p>
        </w:tc>
        <w:tc>
          <w:tcPr>
            <w:tcW w:w="614" w:type="pct"/>
            <w:tcBorders>
              <w:top w:val="single" w:sz="4" w:space="0" w:color="auto"/>
              <w:left w:val="nil"/>
              <w:right w:val="nil"/>
            </w:tcBorders>
            <w:shd w:val="clear" w:color="auto" w:fill="auto"/>
            <w:noWrap/>
            <w:vAlign w:val="bottom"/>
          </w:tcPr>
          <w:p w14:paraId="06B7CA8A" w14:textId="77777777"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2,1</w:t>
            </w:r>
            <w:r w:rsidR="00B44FC9" w:rsidRPr="00FA09B6">
              <w:rPr>
                <w:rFonts w:ascii="Arial" w:hAnsi="Arial" w:cs="Arial"/>
                <w:b/>
                <w:bCs/>
                <w:sz w:val="18"/>
                <w:szCs w:val="18"/>
              </w:rPr>
              <w:t>29</w:t>
            </w:r>
          </w:p>
        </w:tc>
        <w:tc>
          <w:tcPr>
            <w:tcW w:w="528" w:type="pct"/>
            <w:tcBorders>
              <w:top w:val="single" w:sz="4" w:space="0" w:color="auto"/>
              <w:left w:val="nil"/>
              <w:right w:val="nil"/>
            </w:tcBorders>
            <w:shd w:val="clear" w:color="auto" w:fill="auto"/>
            <w:noWrap/>
            <w:vAlign w:val="bottom"/>
          </w:tcPr>
          <w:p w14:paraId="53E1C182" w14:textId="77777777" w:rsidR="00DD071B" w:rsidRPr="00FA09B6" w:rsidRDefault="00B44FC9" w:rsidP="00DD071B">
            <w:pPr>
              <w:jc w:val="right"/>
              <w:rPr>
                <w:rFonts w:ascii="Arial" w:hAnsi="Arial" w:cs="Arial"/>
                <w:b/>
                <w:bCs/>
                <w:sz w:val="18"/>
                <w:szCs w:val="18"/>
              </w:rPr>
            </w:pPr>
            <w:r w:rsidRPr="00FA09B6">
              <w:rPr>
                <w:rFonts w:ascii="Arial" w:hAnsi="Arial" w:cs="Arial"/>
                <w:b/>
                <w:bCs/>
                <w:sz w:val="18"/>
                <w:szCs w:val="18"/>
              </w:rPr>
              <w:t>19</w:t>
            </w:r>
            <w:r w:rsidR="00DD071B" w:rsidRPr="00FA09B6">
              <w:rPr>
                <w:rFonts w:ascii="Arial" w:hAnsi="Arial" w:cs="Arial"/>
                <w:b/>
                <w:bCs/>
                <w:sz w:val="18"/>
                <w:szCs w:val="18"/>
              </w:rPr>
              <w:t>.8</w:t>
            </w:r>
          </w:p>
        </w:tc>
        <w:tc>
          <w:tcPr>
            <w:tcW w:w="523" w:type="pct"/>
            <w:tcBorders>
              <w:top w:val="single" w:sz="4" w:space="0" w:color="auto"/>
              <w:left w:val="nil"/>
              <w:right w:val="nil"/>
            </w:tcBorders>
            <w:shd w:val="clear" w:color="auto" w:fill="auto"/>
            <w:noWrap/>
            <w:vAlign w:val="bottom"/>
          </w:tcPr>
          <w:p w14:paraId="16C98CF8"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479</w:t>
            </w:r>
          </w:p>
        </w:tc>
        <w:tc>
          <w:tcPr>
            <w:tcW w:w="615" w:type="pct"/>
            <w:tcBorders>
              <w:top w:val="single" w:sz="4" w:space="0" w:color="auto"/>
              <w:left w:val="nil"/>
              <w:right w:val="nil"/>
            </w:tcBorders>
            <w:shd w:val="clear" w:color="auto" w:fill="auto"/>
            <w:noWrap/>
            <w:vAlign w:val="bottom"/>
          </w:tcPr>
          <w:p w14:paraId="4D31B96B"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2,192</w:t>
            </w:r>
          </w:p>
        </w:tc>
        <w:tc>
          <w:tcPr>
            <w:tcW w:w="521" w:type="pct"/>
            <w:tcBorders>
              <w:top w:val="single" w:sz="4" w:space="0" w:color="auto"/>
              <w:left w:val="nil"/>
              <w:right w:val="nil"/>
            </w:tcBorders>
            <w:shd w:val="clear" w:color="auto" w:fill="auto"/>
            <w:noWrap/>
            <w:vAlign w:val="bottom"/>
          </w:tcPr>
          <w:p w14:paraId="07A327F9"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21.8</w:t>
            </w:r>
          </w:p>
        </w:tc>
      </w:tr>
      <w:tr w:rsidR="00DD071B" w14:paraId="3FDD8EB0" w14:textId="77777777" w:rsidTr="00990965">
        <w:trPr>
          <w:trHeight w:val="238"/>
        </w:trPr>
        <w:tc>
          <w:tcPr>
            <w:tcW w:w="1671" w:type="pct"/>
            <w:tcBorders>
              <w:left w:val="nil"/>
              <w:right w:val="nil"/>
            </w:tcBorders>
            <w:shd w:val="clear" w:color="auto" w:fill="auto"/>
            <w:noWrap/>
            <w:vAlign w:val="bottom"/>
          </w:tcPr>
          <w:p w14:paraId="75DD4B0B" w14:textId="77777777" w:rsidR="00DD071B" w:rsidRPr="00CC1A2D" w:rsidRDefault="00DD071B" w:rsidP="00DD071B">
            <w:pPr>
              <w:rPr>
                <w:rFonts w:ascii="Arial" w:hAnsi="Arial" w:cs="Arial"/>
                <w:bCs/>
                <w:sz w:val="18"/>
                <w:szCs w:val="18"/>
              </w:rPr>
            </w:pPr>
            <w:r w:rsidRPr="00CC1A2D">
              <w:rPr>
                <w:rFonts w:ascii="Arial" w:hAnsi="Arial" w:cs="Arial"/>
                <w:bCs/>
                <w:sz w:val="18"/>
                <w:szCs w:val="18"/>
              </w:rPr>
              <w:t>Transformation costs before exceptional items</w:t>
            </w:r>
          </w:p>
        </w:tc>
        <w:tc>
          <w:tcPr>
            <w:tcW w:w="527" w:type="pct"/>
            <w:tcBorders>
              <w:left w:val="nil"/>
              <w:right w:val="nil"/>
            </w:tcBorders>
            <w:shd w:val="clear" w:color="auto" w:fill="auto"/>
            <w:noWrap/>
            <w:vAlign w:val="bottom"/>
          </w:tcPr>
          <w:p w14:paraId="4594DE28" w14:textId="77777777"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1</w:t>
            </w:r>
            <w:r w:rsidR="00B44FC9" w:rsidRPr="00FA09B6">
              <w:rPr>
                <w:rFonts w:ascii="Arial" w:hAnsi="Arial" w:cs="Arial"/>
                <w:b/>
                <w:bCs/>
                <w:sz w:val="18"/>
                <w:szCs w:val="18"/>
              </w:rPr>
              <w:t>20</w:t>
            </w:r>
          </w:p>
        </w:tc>
        <w:tc>
          <w:tcPr>
            <w:tcW w:w="614" w:type="pct"/>
            <w:tcBorders>
              <w:left w:val="nil"/>
              <w:right w:val="nil"/>
            </w:tcBorders>
            <w:shd w:val="clear" w:color="auto" w:fill="auto"/>
            <w:noWrap/>
            <w:vAlign w:val="bottom"/>
          </w:tcPr>
          <w:p w14:paraId="7B1B736D" w14:textId="77777777" w:rsidR="00DD071B" w:rsidRPr="00FA09B6" w:rsidRDefault="00DD071B" w:rsidP="00DD071B">
            <w:pPr>
              <w:jc w:val="right"/>
              <w:rPr>
                <w:rFonts w:ascii="Arial" w:hAnsi="Arial" w:cs="Arial"/>
                <w:b/>
                <w:bCs/>
                <w:sz w:val="18"/>
                <w:szCs w:val="18"/>
              </w:rPr>
            </w:pPr>
          </w:p>
        </w:tc>
        <w:tc>
          <w:tcPr>
            <w:tcW w:w="528" w:type="pct"/>
            <w:tcBorders>
              <w:left w:val="nil"/>
              <w:right w:val="nil"/>
            </w:tcBorders>
            <w:shd w:val="clear" w:color="auto" w:fill="auto"/>
            <w:noWrap/>
            <w:vAlign w:val="bottom"/>
          </w:tcPr>
          <w:p w14:paraId="67282710" w14:textId="77777777"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5.</w:t>
            </w:r>
            <w:r w:rsidR="00B44FC9" w:rsidRPr="00FA09B6">
              <w:rPr>
                <w:rFonts w:ascii="Arial" w:hAnsi="Arial" w:cs="Arial"/>
                <w:b/>
                <w:bCs/>
                <w:sz w:val="18"/>
                <w:szCs w:val="18"/>
              </w:rPr>
              <w:t>6</w:t>
            </w:r>
          </w:p>
        </w:tc>
        <w:tc>
          <w:tcPr>
            <w:tcW w:w="523" w:type="pct"/>
            <w:tcBorders>
              <w:left w:val="nil"/>
              <w:right w:val="nil"/>
            </w:tcBorders>
            <w:shd w:val="clear" w:color="auto" w:fill="auto"/>
            <w:noWrap/>
            <w:vAlign w:val="bottom"/>
          </w:tcPr>
          <w:p w14:paraId="0A6F846E"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114</w:t>
            </w:r>
          </w:p>
        </w:tc>
        <w:tc>
          <w:tcPr>
            <w:tcW w:w="615" w:type="pct"/>
            <w:tcBorders>
              <w:left w:val="nil"/>
              <w:right w:val="nil"/>
            </w:tcBorders>
            <w:shd w:val="clear" w:color="auto" w:fill="auto"/>
            <w:noWrap/>
            <w:vAlign w:val="bottom"/>
          </w:tcPr>
          <w:p w14:paraId="73382DD9" w14:textId="77777777" w:rsidR="00DD071B" w:rsidRPr="00DD071B" w:rsidRDefault="00DD071B" w:rsidP="00DD071B">
            <w:pPr>
              <w:jc w:val="right"/>
              <w:rPr>
                <w:rFonts w:ascii="Arial" w:hAnsi="Arial" w:cs="Arial"/>
                <w:bCs/>
                <w:sz w:val="18"/>
                <w:szCs w:val="18"/>
              </w:rPr>
            </w:pPr>
          </w:p>
        </w:tc>
        <w:tc>
          <w:tcPr>
            <w:tcW w:w="521" w:type="pct"/>
            <w:tcBorders>
              <w:left w:val="nil"/>
              <w:right w:val="nil"/>
            </w:tcBorders>
            <w:shd w:val="clear" w:color="auto" w:fill="auto"/>
            <w:noWrap/>
            <w:vAlign w:val="bottom"/>
          </w:tcPr>
          <w:p w14:paraId="4D43DF62"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5.2</w:t>
            </w:r>
          </w:p>
        </w:tc>
      </w:tr>
      <w:tr w:rsidR="00DD071B" w14:paraId="714D0C29" w14:textId="77777777" w:rsidTr="00990965">
        <w:trPr>
          <w:trHeight w:val="238"/>
        </w:trPr>
        <w:tc>
          <w:tcPr>
            <w:tcW w:w="1671" w:type="pct"/>
            <w:tcBorders>
              <w:left w:val="nil"/>
              <w:bottom w:val="single" w:sz="4" w:space="0" w:color="auto"/>
              <w:right w:val="nil"/>
            </w:tcBorders>
            <w:shd w:val="clear" w:color="auto" w:fill="auto"/>
            <w:noWrap/>
            <w:vAlign w:val="bottom"/>
          </w:tcPr>
          <w:p w14:paraId="31B7D8D8" w14:textId="77777777" w:rsidR="00DD071B" w:rsidRPr="00CC1A2D" w:rsidRDefault="00DD071B" w:rsidP="00DD071B">
            <w:pPr>
              <w:rPr>
                <w:rFonts w:ascii="Arial" w:hAnsi="Arial" w:cs="Arial"/>
                <w:bCs/>
                <w:sz w:val="18"/>
                <w:szCs w:val="18"/>
              </w:rPr>
            </w:pPr>
            <w:r w:rsidRPr="00CC1A2D">
              <w:rPr>
                <w:rFonts w:ascii="Arial" w:hAnsi="Arial" w:cs="Arial"/>
                <w:bCs/>
                <w:sz w:val="18"/>
                <w:szCs w:val="18"/>
              </w:rPr>
              <w:t>Tax on transformation costs before exceptional items</w:t>
            </w:r>
          </w:p>
        </w:tc>
        <w:tc>
          <w:tcPr>
            <w:tcW w:w="527" w:type="pct"/>
            <w:tcBorders>
              <w:left w:val="nil"/>
              <w:bottom w:val="single" w:sz="4" w:space="0" w:color="auto"/>
              <w:right w:val="nil"/>
            </w:tcBorders>
            <w:shd w:val="clear" w:color="auto" w:fill="auto"/>
            <w:noWrap/>
            <w:vAlign w:val="bottom"/>
          </w:tcPr>
          <w:p w14:paraId="7506A750" w14:textId="77777777"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(3</w:t>
            </w:r>
            <w:r w:rsidR="00B44FC9" w:rsidRPr="00FA09B6">
              <w:rPr>
                <w:rFonts w:ascii="Arial" w:hAnsi="Arial" w:cs="Arial"/>
                <w:b/>
                <w:bCs/>
                <w:sz w:val="18"/>
                <w:szCs w:val="18"/>
              </w:rPr>
              <w:t>2</w:t>
            </w:r>
            <w:r w:rsidRPr="00FA09B6">
              <w:rPr>
                <w:rFonts w:ascii="Arial" w:hAnsi="Arial" w:cs="Arial"/>
                <w:b/>
                <w:bCs/>
                <w:sz w:val="18"/>
                <w:szCs w:val="18"/>
              </w:rPr>
              <w:t>)</w:t>
            </w:r>
          </w:p>
        </w:tc>
        <w:tc>
          <w:tcPr>
            <w:tcW w:w="614" w:type="pct"/>
            <w:tcBorders>
              <w:left w:val="nil"/>
              <w:bottom w:val="single" w:sz="4" w:space="0" w:color="auto"/>
              <w:right w:val="nil"/>
            </w:tcBorders>
            <w:shd w:val="clear" w:color="auto" w:fill="auto"/>
            <w:noWrap/>
            <w:vAlign w:val="bottom"/>
          </w:tcPr>
          <w:p w14:paraId="1B4DA7E5" w14:textId="77777777" w:rsidR="00DD071B" w:rsidRPr="00FA09B6" w:rsidRDefault="00DD071B" w:rsidP="00DD071B">
            <w:pPr>
              <w:jc w:val="right"/>
              <w:rPr>
                <w:rFonts w:ascii="Arial" w:hAnsi="Arial" w:cs="Arial"/>
                <w:b/>
                <w:bCs/>
                <w:sz w:val="18"/>
                <w:szCs w:val="18"/>
              </w:rPr>
            </w:pPr>
          </w:p>
        </w:tc>
        <w:tc>
          <w:tcPr>
            <w:tcW w:w="528" w:type="pct"/>
            <w:tcBorders>
              <w:left w:val="nil"/>
              <w:bottom w:val="single" w:sz="4" w:space="0" w:color="auto"/>
              <w:right w:val="nil"/>
            </w:tcBorders>
            <w:shd w:val="clear" w:color="auto" w:fill="auto"/>
            <w:noWrap/>
            <w:vAlign w:val="bottom"/>
          </w:tcPr>
          <w:p w14:paraId="0D2EAB2D" w14:textId="77777777"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(1.5)</w:t>
            </w:r>
          </w:p>
        </w:tc>
        <w:tc>
          <w:tcPr>
            <w:tcW w:w="523" w:type="pct"/>
            <w:tcBorders>
              <w:left w:val="nil"/>
              <w:bottom w:val="single" w:sz="4" w:space="0" w:color="auto"/>
              <w:right w:val="nil"/>
            </w:tcBorders>
            <w:shd w:val="clear" w:color="auto" w:fill="auto"/>
            <w:noWrap/>
            <w:vAlign w:val="bottom"/>
          </w:tcPr>
          <w:p w14:paraId="52698C8D"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(35)</w:t>
            </w:r>
          </w:p>
        </w:tc>
        <w:tc>
          <w:tcPr>
            <w:tcW w:w="615" w:type="pct"/>
            <w:tcBorders>
              <w:left w:val="nil"/>
              <w:bottom w:val="single" w:sz="4" w:space="0" w:color="auto"/>
              <w:right w:val="nil"/>
            </w:tcBorders>
            <w:shd w:val="clear" w:color="auto" w:fill="auto"/>
            <w:noWrap/>
            <w:vAlign w:val="bottom"/>
          </w:tcPr>
          <w:p w14:paraId="3641E7B2" w14:textId="77777777" w:rsidR="00DD071B" w:rsidRPr="00DD071B" w:rsidRDefault="00DD071B" w:rsidP="00DD071B">
            <w:pPr>
              <w:jc w:val="right"/>
              <w:rPr>
                <w:rFonts w:ascii="Arial" w:hAnsi="Arial" w:cs="Arial"/>
                <w:bCs/>
                <w:sz w:val="18"/>
                <w:szCs w:val="18"/>
              </w:rPr>
            </w:pPr>
          </w:p>
        </w:tc>
        <w:tc>
          <w:tcPr>
            <w:tcW w:w="521" w:type="pct"/>
            <w:tcBorders>
              <w:left w:val="nil"/>
              <w:bottom w:val="single" w:sz="4" w:space="0" w:color="auto"/>
              <w:right w:val="nil"/>
            </w:tcBorders>
            <w:shd w:val="clear" w:color="auto" w:fill="auto"/>
            <w:noWrap/>
            <w:vAlign w:val="bottom"/>
          </w:tcPr>
          <w:p w14:paraId="196275C7"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(1.5)</w:t>
            </w:r>
          </w:p>
        </w:tc>
      </w:tr>
      <w:tr w:rsidR="00DD071B" w14:paraId="3645B05A" w14:textId="77777777" w:rsidTr="00990965">
        <w:trPr>
          <w:trHeight w:val="238"/>
        </w:trPr>
        <w:tc>
          <w:tcPr>
            <w:tcW w:w="1671" w:type="pct"/>
            <w:tcBorders>
              <w:top w:val="single" w:sz="4" w:space="0" w:color="auto"/>
              <w:left w:val="nil"/>
              <w:bottom w:val="single" w:sz="12" w:space="0" w:color="auto"/>
              <w:right w:val="nil"/>
            </w:tcBorders>
            <w:shd w:val="clear" w:color="auto" w:fill="auto"/>
            <w:noWrap/>
            <w:vAlign w:val="bottom"/>
          </w:tcPr>
          <w:p w14:paraId="33D87BEE" w14:textId="77777777" w:rsidR="00DD071B" w:rsidRPr="00CC1A2D" w:rsidRDefault="00DD071B" w:rsidP="00DD071B">
            <w:pPr>
              <w:rPr>
                <w:rFonts w:ascii="Arial" w:hAnsi="Arial" w:cs="Arial"/>
                <w:b/>
                <w:bCs/>
                <w:sz w:val="18"/>
                <w:szCs w:val="18"/>
              </w:rPr>
            </w:pPr>
            <w:r w:rsidRPr="00CC1A2D">
              <w:rPr>
                <w:rFonts w:ascii="Arial" w:hAnsi="Arial" w:cs="Arial"/>
                <w:b/>
                <w:bCs/>
                <w:sz w:val="18"/>
                <w:szCs w:val="18"/>
              </w:rPr>
              <w:t>Underlying basic earnings per share</w:t>
            </w:r>
          </w:p>
        </w:tc>
        <w:tc>
          <w:tcPr>
            <w:tcW w:w="527" w:type="pct"/>
            <w:tcBorders>
              <w:top w:val="single" w:sz="4" w:space="0" w:color="auto"/>
              <w:left w:val="nil"/>
              <w:bottom w:val="single" w:sz="12" w:space="0" w:color="auto"/>
              <w:right w:val="nil"/>
            </w:tcBorders>
            <w:shd w:val="clear" w:color="auto" w:fill="auto"/>
            <w:noWrap/>
            <w:vAlign w:val="bottom"/>
          </w:tcPr>
          <w:p w14:paraId="131716D5" w14:textId="77777777"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5</w:t>
            </w:r>
            <w:r w:rsidR="00B44FC9" w:rsidRPr="00FA09B6">
              <w:rPr>
                <w:rFonts w:ascii="Arial" w:hAnsi="Arial" w:cs="Arial"/>
                <w:b/>
                <w:bCs/>
                <w:sz w:val="18"/>
                <w:szCs w:val="18"/>
              </w:rPr>
              <w:t>09</w:t>
            </w:r>
          </w:p>
        </w:tc>
        <w:tc>
          <w:tcPr>
            <w:tcW w:w="614" w:type="pct"/>
            <w:tcBorders>
              <w:top w:val="single" w:sz="4" w:space="0" w:color="auto"/>
              <w:left w:val="nil"/>
              <w:bottom w:val="single" w:sz="12" w:space="0" w:color="auto"/>
              <w:right w:val="nil"/>
            </w:tcBorders>
            <w:shd w:val="clear" w:color="auto" w:fill="auto"/>
            <w:noWrap/>
            <w:vAlign w:val="bottom"/>
          </w:tcPr>
          <w:p w14:paraId="77D393C9" w14:textId="77777777"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2,12</w:t>
            </w:r>
            <w:r w:rsidR="00B44FC9" w:rsidRPr="00FA09B6">
              <w:rPr>
                <w:rFonts w:ascii="Arial" w:hAnsi="Arial" w:cs="Arial"/>
                <w:b/>
                <w:bCs/>
                <w:sz w:val="18"/>
                <w:szCs w:val="18"/>
              </w:rPr>
              <w:t>9</w:t>
            </w:r>
          </w:p>
        </w:tc>
        <w:tc>
          <w:tcPr>
            <w:tcW w:w="528" w:type="pct"/>
            <w:tcBorders>
              <w:top w:val="single" w:sz="4" w:space="0" w:color="auto"/>
              <w:left w:val="nil"/>
              <w:bottom w:val="single" w:sz="12" w:space="0" w:color="auto"/>
              <w:right w:val="nil"/>
            </w:tcBorders>
            <w:shd w:val="clear" w:color="auto" w:fill="auto"/>
            <w:noWrap/>
            <w:vAlign w:val="bottom"/>
          </w:tcPr>
          <w:p w14:paraId="0AD97EE2" w14:textId="77777777"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2</w:t>
            </w:r>
            <w:r w:rsidR="00B44FC9" w:rsidRPr="00FA09B6">
              <w:rPr>
                <w:rFonts w:ascii="Arial" w:hAnsi="Arial" w:cs="Arial"/>
                <w:b/>
                <w:bCs/>
                <w:sz w:val="18"/>
                <w:szCs w:val="18"/>
              </w:rPr>
              <w:t>3</w:t>
            </w:r>
            <w:r w:rsidRPr="00FA09B6">
              <w:rPr>
                <w:rFonts w:ascii="Arial" w:hAnsi="Arial" w:cs="Arial"/>
                <w:b/>
                <w:bCs/>
                <w:sz w:val="18"/>
                <w:szCs w:val="18"/>
              </w:rPr>
              <w:t>.</w:t>
            </w:r>
            <w:r w:rsidR="00B44FC9" w:rsidRPr="00FA09B6">
              <w:rPr>
                <w:rFonts w:ascii="Arial" w:hAnsi="Arial" w:cs="Arial"/>
                <w:b/>
                <w:bCs/>
                <w:sz w:val="18"/>
                <w:szCs w:val="18"/>
              </w:rPr>
              <w:t>9</w:t>
            </w:r>
          </w:p>
        </w:tc>
        <w:tc>
          <w:tcPr>
            <w:tcW w:w="523" w:type="pct"/>
            <w:tcBorders>
              <w:top w:val="single" w:sz="4" w:space="0" w:color="auto"/>
              <w:left w:val="nil"/>
              <w:bottom w:val="single" w:sz="12" w:space="0" w:color="auto"/>
              <w:right w:val="nil"/>
            </w:tcBorders>
            <w:shd w:val="clear" w:color="auto" w:fill="auto"/>
            <w:noWrap/>
            <w:vAlign w:val="bottom"/>
          </w:tcPr>
          <w:p w14:paraId="54E55720"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558</w:t>
            </w:r>
          </w:p>
        </w:tc>
        <w:tc>
          <w:tcPr>
            <w:tcW w:w="615" w:type="pct"/>
            <w:tcBorders>
              <w:top w:val="single" w:sz="4" w:space="0" w:color="auto"/>
              <w:left w:val="nil"/>
              <w:bottom w:val="single" w:sz="12" w:space="0" w:color="auto"/>
              <w:right w:val="nil"/>
            </w:tcBorders>
            <w:shd w:val="clear" w:color="auto" w:fill="auto"/>
            <w:noWrap/>
            <w:vAlign w:val="bottom"/>
          </w:tcPr>
          <w:p w14:paraId="7D4C5B36"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2,192</w:t>
            </w:r>
          </w:p>
        </w:tc>
        <w:tc>
          <w:tcPr>
            <w:tcW w:w="521" w:type="pct"/>
            <w:tcBorders>
              <w:top w:val="single" w:sz="4" w:space="0" w:color="auto"/>
              <w:left w:val="nil"/>
              <w:bottom w:val="single" w:sz="12" w:space="0" w:color="auto"/>
              <w:right w:val="nil"/>
            </w:tcBorders>
            <w:shd w:val="clear" w:color="auto" w:fill="auto"/>
            <w:noWrap/>
            <w:vAlign w:val="bottom"/>
          </w:tcPr>
          <w:p w14:paraId="755418BB"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25.5</w:t>
            </w:r>
          </w:p>
        </w:tc>
      </w:tr>
      <w:tr w:rsidR="00DD071B" w14:paraId="07D0224E" w14:textId="77777777" w:rsidTr="00990965">
        <w:trPr>
          <w:trHeight w:val="238"/>
        </w:trPr>
        <w:tc>
          <w:tcPr>
            <w:tcW w:w="1671" w:type="pct"/>
            <w:tcBorders>
              <w:top w:val="single" w:sz="12" w:space="0" w:color="auto"/>
              <w:left w:val="nil"/>
              <w:bottom w:val="nil"/>
              <w:right w:val="nil"/>
            </w:tcBorders>
            <w:shd w:val="clear" w:color="auto" w:fill="auto"/>
            <w:noWrap/>
            <w:vAlign w:val="bottom"/>
          </w:tcPr>
          <w:p w14:paraId="2A8B2E42" w14:textId="77777777" w:rsidR="00DD071B" w:rsidRPr="00CC1A2D" w:rsidRDefault="00DD071B" w:rsidP="00DD071B">
            <w:pPr>
              <w:rPr>
                <w:rFonts w:ascii="Arial" w:hAnsi="Arial" w:cs="Arial"/>
                <w:b/>
                <w:bCs/>
                <w:sz w:val="18"/>
                <w:szCs w:val="18"/>
              </w:rPr>
            </w:pPr>
          </w:p>
        </w:tc>
        <w:tc>
          <w:tcPr>
            <w:tcW w:w="527" w:type="pct"/>
            <w:tcBorders>
              <w:top w:val="single" w:sz="12" w:space="0" w:color="auto"/>
              <w:left w:val="nil"/>
              <w:bottom w:val="nil"/>
              <w:right w:val="nil"/>
            </w:tcBorders>
            <w:shd w:val="clear" w:color="auto" w:fill="auto"/>
            <w:noWrap/>
            <w:vAlign w:val="bottom"/>
          </w:tcPr>
          <w:p w14:paraId="387A7158" w14:textId="77777777" w:rsidR="00DD071B" w:rsidRPr="00FA09B6" w:rsidRDefault="00DD071B" w:rsidP="00DD071B">
            <w:pPr>
              <w:jc w:val="right"/>
              <w:rPr>
                <w:rFonts w:ascii="Arial" w:hAnsi="Arial" w:cs="Arial"/>
                <w:b/>
                <w:bCs/>
                <w:sz w:val="18"/>
                <w:szCs w:val="18"/>
              </w:rPr>
            </w:pPr>
          </w:p>
        </w:tc>
        <w:tc>
          <w:tcPr>
            <w:tcW w:w="614" w:type="pct"/>
            <w:tcBorders>
              <w:top w:val="single" w:sz="12" w:space="0" w:color="auto"/>
              <w:left w:val="nil"/>
              <w:bottom w:val="nil"/>
              <w:right w:val="nil"/>
            </w:tcBorders>
            <w:shd w:val="clear" w:color="auto" w:fill="auto"/>
            <w:noWrap/>
            <w:vAlign w:val="bottom"/>
          </w:tcPr>
          <w:p w14:paraId="4C5B0EDD" w14:textId="77777777" w:rsidR="00DD071B" w:rsidRPr="00FA09B6" w:rsidRDefault="00DD071B" w:rsidP="00DD071B">
            <w:pPr>
              <w:rPr>
                <w:sz w:val="18"/>
                <w:szCs w:val="18"/>
              </w:rPr>
            </w:pPr>
          </w:p>
        </w:tc>
        <w:tc>
          <w:tcPr>
            <w:tcW w:w="528" w:type="pct"/>
            <w:tcBorders>
              <w:top w:val="single" w:sz="12" w:space="0" w:color="auto"/>
              <w:left w:val="nil"/>
              <w:bottom w:val="nil"/>
              <w:right w:val="nil"/>
            </w:tcBorders>
            <w:shd w:val="clear" w:color="auto" w:fill="auto"/>
            <w:noWrap/>
            <w:vAlign w:val="bottom"/>
          </w:tcPr>
          <w:p w14:paraId="5C562294" w14:textId="77777777" w:rsidR="00DD071B" w:rsidRPr="00FA09B6" w:rsidRDefault="00DD071B" w:rsidP="00DD071B">
            <w:pPr>
              <w:rPr>
                <w:sz w:val="18"/>
                <w:szCs w:val="18"/>
              </w:rPr>
            </w:pPr>
          </w:p>
        </w:tc>
        <w:tc>
          <w:tcPr>
            <w:tcW w:w="523" w:type="pct"/>
            <w:tcBorders>
              <w:top w:val="single" w:sz="12" w:space="0" w:color="auto"/>
              <w:left w:val="nil"/>
              <w:bottom w:val="nil"/>
              <w:right w:val="nil"/>
            </w:tcBorders>
            <w:shd w:val="clear" w:color="auto" w:fill="auto"/>
            <w:noWrap/>
            <w:vAlign w:val="bottom"/>
          </w:tcPr>
          <w:p w14:paraId="6F796FFD" w14:textId="77777777" w:rsidR="00DD071B" w:rsidRPr="00DD071B" w:rsidRDefault="00DD071B" w:rsidP="00DD071B">
            <w:pPr>
              <w:jc w:val="right"/>
              <w:rPr>
                <w:rFonts w:ascii="Arial" w:hAnsi="Arial" w:cs="Arial"/>
                <w:bCs/>
                <w:sz w:val="18"/>
                <w:szCs w:val="18"/>
              </w:rPr>
            </w:pPr>
          </w:p>
        </w:tc>
        <w:tc>
          <w:tcPr>
            <w:tcW w:w="615" w:type="pct"/>
            <w:tcBorders>
              <w:top w:val="single" w:sz="12" w:space="0" w:color="auto"/>
              <w:left w:val="nil"/>
              <w:bottom w:val="nil"/>
              <w:right w:val="nil"/>
            </w:tcBorders>
            <w:shd w:val="clear" w:color="auto" w:fill="auto"/>
            <w:noWrap/>
            <w:vAlign w:val="bottom"/>
          </w:tcPr>
          <w:p w14:paraId="20CA3027" w14:textId="77777777" w:rsidR="00DD071B" w:rsidRPr="00DD071B" w:rsidRDefault="00DD071B" w:rsidP="00DD071B">
            <w:pPr>
              <w:rPr>
                <w:sz w:val="18"/>
                <w:szCs w:val="18"/>
              </w:rPr>
            </w:pPr>
          </w:p>
        </w:tc>
        <w:tc>
          <w:tcPr>
            <w:tcW w:w="521" w:type="pct"/>
            <w:tcBorders>
              <w:top w:val="single" w:sz="12" w:space="0" w:color="auto"/>
              <w:left w:val="nil"/>
              <w:bottom w:val="nil"/>
              <w:right w:val="nil"/>
            </w:tcBorders>
            <w:shd w:val="clear" w:color="auto" w:fill="auto"/>
            <w:noWrap/>
            <w:vAlign w:val="bottom"/>
          </w:tcPr>
          <w:p w14:paraId="07A609BC" w14:textId="77777777" w:rsidR="00DD071B" w:rsidRPr="00DD071B" w:rsidRDefault="00DD071B" w:rsidP="00DD071B">
            <w:pPr>
              <w:rPr>
                <w:sz w:val="18"/>
                <w:szCs w:val="18"/>
              </w:rPr>
            </w:pPr>
          </w:p>
        </w:tc>
      </w:tr>
      <w:tr w:rsidR="00DD071B" w14:paraId="041BBF84" w14:textId="77777777" w:rsidTr="00990965">
        <w:trPr>
          <w:trHeight w:val="238"/>
        </w:trPr>
        <w:tc>
          <w:tcPr>
            <w:tcW w:w="1671" w:type="pct"/>
            <w:tcBorders>
              <w:top w:val="nil"/>
              <w:left w:val="nil"/>
              <w:bottom w:val="nil"/>
              <w:right w:val="nil"/>
            </w:tcBorders>
            <w:shd w:val="clear" w:color="auto" w:fill="auto"/>
            <w:noWrap/>
            <w:vAlign w:val="bottom"/>
          </w:tcPr>
          <w:p w14:paraId="56C0B5DE" w14:textId="77777777" w:rsidR="00DD071B" w:rsidRPr="007550F3" w:rsidRDefault="00DD071B" w:rsidP="00DD071B">
            <w:pPr>
              <w:rPr>
                <w:rFonts w:ascii="Arial" w:hAnsi="Arial" w:cs="Arial"/>
                <w:b/>
                <w:bCs/>
                <w:sz w:val="18"/>
                <w:szCs w:val="18"/>
              </w:rPr>
            </w:pPr>
            <w:r w:rsidRPr="007550F3">
              <w:rPr>
                <w:rFonts w:ascii="Arial" w:hAnsi="Arial" w:cs="Arial"/>
                <w:b/>
                <w:bCs/>
                <w:sz w:val="18"/>
                <w:szCs w:val="18"/>
              </w:rPr>
              <w:t>Diluted earnings per share</w:t>
            </w:r>
          </w:p>
        </w:tc>
        <w:tc>
          <w:tcPr>
            <w:tcW w:w="527" w:type="pct"/>
            <w:tcBorders>
              <w:top w:val="nil"/>
              <w:left w:val="nil"/>
              <w:bottom w:val="nil"/>
              <w:right w:val="nil"/>
            </w:tcBorders>
            <w:shd w:val="clear" w:color="auto" w:fill="auto"/>
            <w:noWrap/>
            <w:vAlign w:val="bottom"/>
          </w:tcPr>
          <w:p w14:paraId="3A0DF3F2" w14:textId="71F01BB0" w:rsidR="00DD071B" w:rsidRPr="00FA09B6" w:rsidRDefault="00FA09B6" w:rsidP="00DD071B">
            <w:pPr>
              <w:jc w:val="right"/>
              <w:rPr>
                <w:rFonts w:ascii="Arial" w:hAnsi="Arial" w:cs="Arial"/>
                <w:b/>
                <w:bCs/>
                <w:sz w:val="18"/>
                <w:szCs w:val="18"/>
              </w:rPr>
            </w:pPr>
            <w:r w:rsidRPr="00FA09B6">
              <w:rPr>
                <w:rFonts w:ascii="Arial" w:hAnsi="Arial" w:cs="Arial"/>
                <w:b/>
                <w:bCs/>
                <w:sz w:val="18"/>
                <w:szCs w:val="18"/>
              </w:rPr>
              <w:t>2</w:t>
            </w:r>
            <w:r w:rsidR="00C356D9">
              <w:rPr>
                <w:rFonts w:ascii="Arial" w:hAnsi="Arial" w:cs="Arial"/>
                <w:b/>
                <w:bCs/>
                <w:sz w:val="18"/>
                <w:szCs w:val="18"/>
              </w:rPr>
              <w:t>1</w:t>
            </w:r>
            <w:r w:rsidRPr="00FA09B6">
              <w:rPr>
                <w:rFonts w:ascii="Arial" w:hAnsi="Arial" w:cs="Arial"/>
                <w:b/>
                <w:bCs/>
                <w:sz w:val="18"/>
                <w:szCs w:val="18"/>
              </w:rPr>
              <w:t>8</w:t>
            </w:r>
          </w:p>
        </w:tc>
        <w:tc>
          <w:tcPr>
            <w:tcW w:w="614" w:type="pct"/>
            <w:tcBorders>
              <w:top w:val="nil"/>
              <w:left w:val="nil"/>
              <w:bottom w:val="nil"/>
              <w:right w:val="nil"/>
            </w:tcBorders>
            <w:shd w:val="clear" w:color="auto" w:fill="auto"/>
            <w:noWrap/>
            <w:vAlign w:val="bottom"/>
          </w:tcPr>
          <w:p w14:paraId="44544CC7" w14:textId="3200B7C3" w:rsidR="00DD071B" w:rsidRPr="00846218" w:rsidRDefault="00DC5411" w:rsidP="00DD071B">
            <w:pPr>
              <w:jc w:val="right"/>
              <w:rPr>
                <w:rFonts w:ascii="Arial" w:hAnsi="Arial" w:cs="Arial"/>
                <w:b/>
                <w:bCs/>
                <w:sz w:val="18"/>
                <w:szCs w:val="18"/>
              </w:rPr>
            </w:pPr>
            <w:r>
              <w:rPr>
                <w:rFonts w:ascii="Arial" w:hAnsi="Arial" w:cs="Arial"/>
                <w:b/>
                <w:bCs/>
                <w:sz w:val="18"/>
                <w:szCs w:val="18"/>
              </w:rPr>
              <w:t>2,140</w:t>
            </w:r>
          </w:p>
        </w:tc>
        <w:tc>
          <w:tcPr>
            <w:tcW w:w="528" w:type="pct"/>
            <w:tcBorders>
              <w:top w:val="nil"/>
              <w:left w:val="nil"/>
              <w:bottom w:val="nil"/>
              <w:right w:val="nil"/>
            </w:tcBorders>
            <w:shd w:val="clear" w:color="auto" w:fill="auto"/>
            <w:noWrap/>
            <w:vAlign w:val="bottom"/>
          </w:tcPr>
          <w:p w14:paraId="71123B2B" w14:textId="2C374ABB" w:rsidR="00DD071B" w:rsidRPr="00846218" w:rsidRDefault="000923D9" w:rsidP="00DD071B">
            <w:pPr>
              <w:jc w:val="right"/>
              <w:rPr>
                <w:rFonts w:ascii="Arial" w:hAnsi="Arial" w:cs="Arial"/>
                <w:b/>
                <w:bCs/>
                <w:sz w:val="18"/>
                <w:szCs w:val="18"/>
              </w:rPr>
            </w:pPr>
            <w:r>
              <w:rPr>
                <w:rFonts w:ascii="Arial" w:hAnsi="Arial" w:cs="Arial"/>
                <w:b/>
                <w:bCs/>
                <w:sz w:val="18"/>
                <w:szCs w:val="18"/>
              </w:rPr>
              <w:t>1</w:t>
            </w:r>
            <w:r w:rsidR="00C356D9">
              <w:rPr>
                <w:rFonts w:ascii="Arial" w:hAnsi="Arial" w:cs="Arial"/>
                <w:b/>
                <w:bCs/>
                <w:sz w:val="18"/>
                <w:szCs w:val="18"/>
              </w:rPr>
              <w:t>0</w:t>
            </w:r>
            <w:r>
              <w:rPr>
                <w:rFonts w:ascii="Arial" w:hAnsi="Arial" w:cs="Arial"/>
                <w:b/>
                <w:bCs/>
                <w:sz w:val="18"/>
                <w:szCs w:val="18"/>
              </w:rPr>
              <w:t>.</w:t>
            </w:r>
            <w:r w:rsidR="00C356D9">
              <w:rPr>
                <w:rFonts w:ascii="Arial" w:hAnsi="Arial" w:cs="Arial"/>
                <w:b/>
                <w:bCs/>
                <w:sz w:val="18"/>
                <w:szCs w:val="18"/>
              </w:rPr>
              <w:t>2</w:t>
            </w:r>
          </w:p>
        </w:tc>
        <w:tc>
          <w:tcPr>
            <w:tcW w:w="523" w:type="pct"/>
            <w:tcBorders>
              <w:top w:val="nil"/>
              <w:left w:val="nil"/>
              <w:bottom w:val="nil"/>
              <w:right w:val="nil"/>
            </w:tcBorders>
            <w:shd w:val="clear" w:color="auto" w:fill="auto"/>
            <w:noWrap/>
            <w:vAlign w:val="bottom"/>
          </w:tcPr>
          <w:p w14:paraId="6374C865"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485</w:t>
            </w:r>
          </w:p>
        </w:tc>
        <w:tc>
          <w:tcPr>
            <w:tcW w:w="615" w:type="pct"/>
            <w:tcBorders>
              <w:top w:val="nil"/>
              <w:left w:val="nil"/>
              <w:bottom w:val="nil"/>
              <w:right w:val="nil"/>
            </w:tcBorders>
            <w:shd w:val="clear" w:color="auto" w:fill="auto"/>
            <w:noWrap/>
            <w:vAlign w:val="bottom"/>
          </w:tcPr>
          <w:p w14:paraId="1238BA90"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2,201</w:t>
            </w:r>
          </w:p>
        </w:tc>
        <w:tc>
          <w:tcPr>
            <w:tcW w:w="521" w:type="pct"/>
            <w:tcBorders>
              <w:top w:val="nil"/>
              <w:left w:val="nil"/>
              <w:bottom w:val="nil"/>
              <w:right w:val="nil"/>
            </w:tcBorders>
            <w:shd w:val="clear" w:color="auto" w:fill="auto"/>
            <w:noWrap/>
            <w:vAlign w:val="bottom"/>
          </w:tcPr>
          <w:p w14:paraId="2559E10F"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22.0</w:t>
            </w:r>
          </w:p>
        </w:tc>
      </w:tr>
      <w:tr w:rsidR="00DD071B" w14:paraId="07C4166D" w14:textId="77777777" w:rsidTr="00990965">
        <w:trPr>
          <w:trHeight w:val="238"/>
        </w:trPr>
        <w:tc>
          <w:tcPr>
            <w:tcW w:w="1671" w:type="pct"/>
            <w:tcBorders>
              <w:top w:val="nil"/>
              <w:left w:val="nil"/>
              <w:bottom w:val="nil"/>
              <w:right w:val="nil"/>
            </w:tcBorders>
            <w:shd w:val="clear" w:color="auto" w:fill="auto"/>
            <w:noWrap/>
            <w:vAlign w:val="bottom"/>
          </w:tcPr>
          <w:p w14:paraId="378ECDDF" w14:textId="77777777" w:rsidR="00DD071B" w:rsidRPr="007550F3" w:rsidRDefault="00DD071B" w:rsidP="00DD071B">
            <w:pPr>
              <w:rPr>
                <w:rFonts w:ascii="Arial" w:hAnsi="Arial" w:cs="Arial"/>
                <w:b/>
                <w:bCs/>
                <w:sz w:val="18"/>
                <w:szCs w:val="18"/>
              </w:rPr>
            </w:pPr>
            <w:r w:rsidRPr="007550F3">
              <w:rPr>
                <w:rFonts w:ascii="Arial" w:hAnsi="Arial" w:cs="Arial"/>
                <w:sz w:val="18"/>
                <w:szCs w:val="18"/>
              </w:rPr>
              <w:t>Exceptional items before tax</w:t>
            </w:r>
          </w:p>
        </w:tc>
        <w:tc>
          <w:tcPr>
            <w:tcW w:w="527" w:type="pct"/>
            <w:tcBorders>
              <w:top w:val="nil"/>
              <w:left w:val="nil"/>
              <w:bottom w:val="nil"/>
              <w:right w:val="nil"/>
            </w:tcBorders>
            <w:shd w:val="clear" w:color="auto" w:fill="auto"/>
            <w:noWrap/>
            <w:vAlign w:val="bottom"/>
          </w:tcPr>
          <w:p w14:paraId="7C7CB036" w14:textId="603AAA05" w:rsidR="00DD071B" w:rsidRPr="00FA09B6" w:rsidRDefault="00FA09B6" w:rsidP="00DD071B">
            <w:pPr>
              <w:jc w:val="right"/>
              <w:rPr>
                <w:rFonts w:ascii="Arial" w:hAnsi="Arial" w:cs="Arial"/>
                <w:b/>
                <w:bCs/>
                <w:sz w:val="18"/>
                <w:szCs w:val="18"/>
              </w:rPr>
            </w:pPr>
            <w:r w:rsidRPr="00FA09B6">
              <w:rPr>
                <w:rFonts w:ascii="Arial" w:hAnsi="Arial" w:cs="Arial"/>
                <w:b/>
                <w:bCs/>
                <w:sz w:val="18"/>
                <w:szCs w:val="18"/>
              </w:rPr>
              <w:t>25</w:t>
            </w:r>
            <w:r w:rsidR="00C356D9">
              <w:rPr>
                <w:rFonts w:ascii="Arial" w:hAnsi="Arial" w:cs="Arial"/>
                <w:b/>
                <w:bCs/>
                <w:sz w:val="18"/>
                <w:szCs w:val="18"/>
              </w:rPr>
              <w:t>1</w:t>
            </w:r>
          </w:p>
        </w:tc>
        <w:tc>
          <w:tcPr>
            <w:tcW w:w="614" w:type="pct"/>
            <w:tcBorders>
              <w:top w:val="nil"/>
              <w:left w:val="nil"/>
              <w:bottom w:val="nil"/>
              <w:right w:val="nil"/>
            </w:tcBorders>
            <w:shd w:val="clear" w:color="auto" w:fill="auto"/>
            <w:noWrap/>
            <w:vAlign w:val="bottom"/>
          </w:tcPr>
          <w:p w14:paraId="5680FD67" w14:textId="77777777" w:rsidR="00DD071B" w:rsidRPr="00846218" w:rsidRDefault="00DD071B" w:rsidP="00DD071B">
            <w:pPr>
              <w:jc w:val="right"/>
              <w:rPr>
                <w:rFonts w:ascii="Arial" w:hAnsi="Arial" w:cs="Arial"/>
                <w:b/>
                <w:bCs/>
                <w:sz w:val="18"/>
                <w:szCs w:val="18"/>
              </w:rPr>
            </w:pPr>
          </w:p>
        </w:tc>
        <w:tc>
          <w:tcPr>
            <w:tcW w:w="528" w:type="pct"/>
            <w:tcBorders>
              <w:top w:val="nil"/>
              <w:left w:val="nil"/>
              <w:bottom w:val="nil"/>
              <w:right w:val="nil"/>
            </w:tcBorders>
            <w:shd w:val="clear" w:color="auto" w:fill="auto"/>
            <w:noWrap/>
            <w:vAlign w:val="bottom"/>
          </w:tcPr>
          <w:p w14:paraId="2D8646F0" w14:textId="15E1B810" w:rsidR="00DD071B" w:rsidRPr="00846218" w:rsidRDefault="00C356D9" w:rsidP="00DD071B">
            <w:pPr>
              <w:jc w:val="right"/>
              <w:rPr>
                <w:rFonts w:ascii="Arial" w:hAnsi="Arial" w:cs="Arial"/>
                <w:b/>
                <w:bCs/>
                <w:sz w:val="18"/>
                <w:szCs w:val="18"/>
              </w:rPr>
            </w:pPr>
            <w:r>
              <w:rPr>
                <w:rFonts w:ascii="Arial" w:hAnsi="Arial" w:cs="Arial"/>
                <w:b/>
                <w:bCs/>
                <w:sz w:val="18"/>
                <w:szCs w:val="18"/>
              </w:rPr>
              <w:t>11.8</w:t>
            </w:r>
          </w:p>
        </w:tc>
        <w:tc>
          <w:tcPr>
            <w:tcW w:w="523" w:type="pct"/>
            <w:tcBorders>
              <w:top w:val="nil"/>
              <w:left w:val="nil"/>
              <w:bottom w:val="nil"/>
              <w:right w:val="nil"/>
            </w:tcBorders>
            <w:shd w:val="clear" w:color="auto" w:fill="auto"/>
            <w:noWrap/>
            <w:vAlign w:val="bottom"/>
          </w:tcPr>
          <w:p w14:paraId="135C3BF5"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w:t>
            </w:r>
          </w:p>
        </w:tc>
        <w:tc>
          <w:tcPr>
            <w:tcW w:w="615" w:type="pct"/>
            <w:tcBorders>
              <w:top w:val="nil"/>
              <w:left w:val="nil"/>
              <w:bottom w:val="nil"/>
              <w:right w:val="nil"/>
            </w:tcBorders>
            <w:shd w:val="clear" w:color="auto" w:fill="auto"/>
            <w:noWrap/>
            <w:vAlign w:val="bottom"/>
          </w:tcPr>
          <w:p w14:paraId="5474E684" w14:textId="77777777" w:rsidR="00DD071B" w:rsidRPr="00DD071B" w:rsidRDefault="00DD071B" w:rsidP="00DD071B">
            <w:pPr>
              <w:jc w:val="right"/>
              <w:rPr>
                <w:rFonts w:ascii="Arial" w:hAnsi="Arial" w:cs="Arial"/>
                <w:bCs/>
                <w:sz w:val="18"/>
                <w:szCs w:val="18"/>
              </w:rPr>
            </w:pPr>
          </w:p>
        </w:tc>
        <w:tc>
          <w:tcPr>
            <w:tcW w:w="521" w:type="pct"/>
            <w:tcBorders>
              <w:top w:val="nil"/>
              <w:left w:val="nil"/>
              <w:bottom w:val="nil"/>
              <w:right w:val="nil"/>
            </w:tcBorders>
            <w:shd w:val="clear" w:color="auto" w:fill="auto"/>
            <w:noWrap/>
            <w:vAlign w:val="bottom"/>
          </w:tcPr>
          <w:p w14:paraId="23BC3EDB"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w:t>
            </w:r>
          </w:p>
        </w:tc>
      </w:tr>
      <w:tr w:rsidR="00DD071B" w14:paraId="1DEEBE5B" w14:textId="77777777" w:rsidTr="00990965">
        <w:trPr>
          <w:trHeight w:val="238"/>
        </w:trPr>
        <w:tc>
          <w:tcPr>
            <w:tcW w:w="1671" w:type="pct"/>
            <w:tcBorders>
              <w:top w:val="nil"/>
              <w:left w:val="nil"/>
              <w:bottom w:val="nil"/>
              <w:right w:val="nil"/>
            </w:tcBorders>
            <w:shd w:val="clear" w:color="auto" w:fill="auto"/>
            <w:noWrap/>
            <w:vAlign w:val="bottom"/>
          </w:tcPr>
          <w:p w14:paraId="089D164A" w14:textId="77777777" w:rsidR="00DD071B" w:rsidRPr="007550F3" w:rsidRDefault="00DD071B" w:rsidP="00DD071B">
            <w:pPr>
              <w:rPr>
                <w:rFonts w:ascii="Arial" w:hAnsi="Arial" w:cs="Arial"/>
                <w:b/>
                <w:bCs/>
                <w:sz w:val="18"/>
                <w:szCs w:val="18"/>
              </w:rPr>
            </w:pPr>
            <w:r w:rsidRPr="007550F3">
              <w:rPr>
                <w:rFonts w:ascii="Arial" w:hAnsi="Arial" w:cs="Arial"/>
                <w:sz w:val="18"/>
                <w:szCs w:val="18"/>
              </w:rPr>
              <w:t>Tax on exceptional and prior year items</w:t>
            </w:r>
          </w:p>
        </w:tc>
        <w:tc>
          <w:tcPr>
            <w:tcW w:w="527" w:type="pct"/>
            <w:tcBorders>
              <w:top w:val="nil"/>
              <w:left w:val="nil"/>
              <w:bottom w:val="nil"/>
              <w:right w:val="nil"/>
            </w:tcBorders>
            <w:shd w:val="clear" w:color="auto" w:fill="auto"/>
            <w:noWrap/>
            <w:vAlign w:val="bottom"/>
          </w:tcPr>
          <w:p w14:paraId="0D6CBB53" w14:textId="45996399"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w:t>
            </w:r>
            <w:r w:rsidR="00FA09B6" w:rsidRPr="00FA09B6">
              <w:rPr>
                <w:rFonts w:ascii="Arial" w:hAnsi="Arial" w:cs="Arial"/>
                <w:b/>
                <w:bCs/>
                <w:sz w:val="18"/>
                <w:szCs w:val="18"/>
              </w:rPr>
              <w:t>4</w:t>
            </w:r>
            <w:r w:rsidR="00402654">
              <w:rPr>
                <w:rFonts w:ascii="Arial" w:hAnsi="Arial" w:cs="Arial"/>
                <w:b/>
                <w:bCs/>
                <w:sz w:val="18"/>
                <w:szCs w:val="18"/>
              </w:rPr>
              <w:t>8</w:t>
            </w:r>
            <w:r w:rsidRPr="00FA09B6">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14:paraId="1F5B1999" w14:textId="77777777" w:rsidR="00DD071B" w:rsidRPr="00846218" w:rsidRDefault="00DD071B" w:rsidP="00DD071B">
            <w:pPr>
              <w:jc w:val="right"/>
              <w:rPr>
                <w:rFonts w:ascii="Arial" w:hAnsi="Arial" w:cs="Arial"/>
                <w:b/>
                <w:bCs/>
                <w:sz w:val="18"/>
                <w:szCs w:val="18"/>
              </w:rPr>
            </w:pPr>
          </w:p>
        </w:tc>
        <w:tc>
          <w:tcPr>
            <w:tcW w:w="528" w:type="pct"/>
            <w:tcBorders>
              <w:top w:val="nil"/>
              <w:left w:val="nil"/>
              <w:bottom w:val="nil"/>
              <w:right w:val="nil"/>
            </w:tcBorders>
            <w:shd w:val="clear" w:color="auto" w:fill="auto"/>
            <w:noWrap/>
            <w:vAlign w:val="bottom"/>
          </w:tcPr>
          <w:p w14:paraId="04F1D023" w14:textId="288EBFFF" w:rsidR="00DD071B" w:rsidRPr="00846218" w:rsidRDefault="00C356D9" w:rsidP="00DD071B">
            <w:pPr>
              <w:jc w:val="right"/>
              <w:rPr>
                <w:rFonts w:ascii="Arial" w:hAnsi="Arial" w:cs="Arial"/>
                <w:b/>
                <w:bCs/>
                <w:sz w:val="18"/>
                <w:szCs w:val="18"/>
              </w:rPr>
            </w:pPr>
            <w:r>
              <w:rPr>
                <w:rFonts w:ascii="Arial" w:hAnsi="Arial" w:cs="Arial"/>
                <w:b/>
                <w:bCs/>
                <w:sz w:val="18"/>
                <w:szCs w:val="18"/>
              </w:rPr>
              <w:t>(2.3)</w:t>
            </w:r>
          </w:p>
        </w:tc>
        <w:tc>
          <w:tcPr>
            <w:tcW w:w="523" w:type="pct"/>
            <w:tcBorders>
              <w:top w:val="nil"/>
              <w:left w:val="nil"/>
              <w:bottom w:val="nil"/>
              <w:right w:val="nil"/>
            </w:tcBorders>
            <w:shd w:val="clear" w:color="auto" w:fill="auto"/>
            <w:noWrap/>
            <w:vAlign w:val="bottom"/>
          </w:tcPr>
          <w:p w14:paraId="4BCA821E"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(7)</w:t>
            </w:r>
          </w:p>
        </w:tc>
        <w:tc>
          <w:tcPr>
            <w:tcW w:w="615" w:type="pct"/>
            <w:tcBorders>
              <w:top w:val="nil"/>
              <w:left w:val="nil"/>
              <w:bottom w:val="nil"/>
              <w:right w:val="nil"/>
            </w:tcBorders>
            <w:shd w:val="clear" w:color="auto" w:fill="auto"/>
            <w:noWrap/>
            <w:vAlign w:val="bottom"/>
          </w:tcPr>
          <w:p w14:paraId="32EE839A" w14:textId="77777777" w:rsidR="00DD071B" w:rsidRPr="00DD071B" w:rsidRDefault="00DD071B" w:rsidP="00DD071B">
            <w:pPr>
              <w:jc w:val="right"/>
              <w:rPr>
                <w:rFonts w:ascii="Arial" w:hAnsi="Arial" w:cs="Arial"/>
                <w:bCs/>
                <w:sz w:val="18"/>
                <w:szCs w:val="18"/>
              </w:rPr>
            </w:pPr>
          </w:p>
        </w:tc>
        <w:tc>
          <w:tcPr>
            <w:tcW w:w="521" w:type="pct"/>
            <w:tcBorders>
              <w:top w:val="nil"/>
              <w:left w:val="nil"/>
              <w:bottom w:val="nil"/>
              <w:right w:val="nil"/>
            </w:tcBorders>
            <w:shd w:val="clear" w:color="auto" w:fill="auto"/>
            <w:noWrap/>
            <w:vAlign w:val="bottom"/>
          </w:tcPr>
          <w:p w14:paraId="033B8876"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(0.3)</w:t>
            </w:r>
          </w:p>
        </w:tc>
      </w:tr>
      <w:tr w:rsidR="00DD071B" w14:paraId="0AA37F6E" w14:textId="77777777" w:rsidTr="00990965">
        <w:trPr>
          <w:trHeight w:val="238"/>
        </w:trPr>
        <w:tc>
          <w:tcPr>
            <w:tcW w:w="1671" w:type="pct"/>
            <w:tcBorders>
              <w:top w:val="nil"/>
              <w:left w:val="nil"/>
              <w:bottom w:val="nil"/>
              <w:right w:val="nil"/>
            </w:tcBorders>
            <w:shd w:val="clear" w:color="auto" w:fill="auto"/>
            <w:noWrap/>
            <w:vAlign w:val="bottom"/>
          </w:tcPr>
          <w:p w14:paraId="6B097855" w14:textId="77777777" w:rsidR="00DD071B" w:rsidRPr="007550F3" w:rsidRDefault="00DD071B" w:rsidP="00DD071B">
            <w:pPr>
              <w:rPr>
                <w:rFonts w:ascii="Arial" w:hAnsi="Arial" w:cs="Arial"/>
                <w:b/>
                <w:bCs/>
                <w:sz w:val="18"/>
                <w:szCs w:val="18"/>
              </w:rPr>
            </w:pPr>
            <w:r w:rsidRPr="007550F3">
              <w:rPr>
                <w:rFonts w:ascii="Arial" w:hAnsi="Arial" w:cs="Arial"/>
                <w:sz w:val="18"/>
                <w:szCs w:val="18"/>
              </w:rPr>
              <w:t>Financing fair value remeasurements</w:t>
            </w:r>
          </w:p>
        </w:tc>
        <w:tc>
          <w:tcPr>
            <w:tcW w:w="527" w:type="pct"/>
            <w:tcBorders>
              <w:top w:val="nil"/>
              <w:left w:val="nil"/>
              <w:bottom w:val="nil"/>
              <w:right w:val="nil"/>
            </w:tcBorders>
            <w:shd w:val="clear" w:color="auto" w:fill="auto"/>
            <w:noWrap/>
            <w:vAlign w:val="bottom"/>
          </w:tcPr>
          <w:p w14:paraId="655A4C76" w14:textId="77777777" w:rsidR="00DD071B" w:rsidRPr="00FA09B6" w:rsidRDefault="00FA09B6" w:rsidP="00DD071B">
            <w:pPr>
              <w:jc w:val="right"/>
              <w:rPr>
                <w:rFonts w:ascii="Arial" w:hAnsi="Arial" w:cs="Arial"/>
                <w:b/>
                <w:bCs/>
                <w:sz w:val="18"/>
                <w:szCs w:val="18"/>
              </w:rPr>
            </w:pPr>
            <w:r w:rsidRPr="00FA09B6">
              <w:rPr>
                <w:rFonts w:ascii="Arial" w:hAnsi="Arial" w:cs="Arial"/>
                <w:b/>
                <w:bCs/>
                <w:sz w:val="18"/>
                <w:szCs w:val="18"/>
              </w:rPr>
              <w:t>–</w:t>
            </w:r>
          </w:p>
        </w:tc>
        <w:tc>
          <w:tcPr>
            <w:tcW w:w="614" w:type="pct"/>
            <w:tcBorders>
              <w:top w:val="nil"/>
              <w:left w:val="nil"/>
              <w:bottom w:val="nil"/>
              <w:right w:val="nil"/>
            </w:tcBorders>
            <w:shd w:val="clear" w:color="auto" w:fill="auto"/>
            <w:noWrap/>
            <w:vAlign w:val="bottom"/>
          </w:tcPr>
          <w:p w14:paraId="5434472C" w14:textId="77777777" w:rsidR="00DD071B" w:rsidRPr="00846218" w:rsidRDefault="00DD071B" w:rsidP="00DD071B">
            <w:pPr>
              <w:jc w:val="right"/>
              <w:rPr>
                <w:rFonts w:ascii="Arial" w:hAnsi="Arial" w:cs="Arial"/>
                <w:b/>
                <w:bCs/>
                <w:sz w:val="18"/>
                <w:szCs w:val="18"/>
              </w:rPr>
            </w:pPr>
          </w:p>
        </w:tc>
        <w:tc>
          <w:tcPr>
            <w:tcW w:w="528" w:type="pct"/>
            <w:tcBorders>
              <w:top w:val="nil"/>
              <w:left w:val="nil"/>
              <w:bottom w:val="nil"/>
              <w:right w:val="nil"/>
            </w:tcBorders>
            <w:shd w:val="clear" w:color="auto" w:fill="auto"/>
            <w:noWrap/>
            <w:vAlign w:val="bottom"/>
          </w:tcPr>
          <w:p w14:paraId="749B49EF" w14:textId="07686432" w:rsidR="00DD071B" w:rsidRPr="00846218" w:rsidRDefault="00C356D9" w:rsidP="00DD071B">
            <w:pPr>
              <w:jc w:val="right"/>
              <w:rPr>
                <w:rFonts w:ascii="Arial" w:hAnsi="Arial" w:cs="Arial"/>
                <w:b/>
                <w:bCs/>
                <w:sz w:val="18"/>
                <w:szCs w:val="18"/>
              </w:rPr>
            </w:pPr>
            <w:r w:rsidRPr="00FA09B6">
              <w:rPr>
                <w:rFonts w:ascii="Arial" w:hAnsi="Arial" w:cs="Arial"/>
                <w:b/>
                <w:bCs/>
                <w:sz w:val="18"/>
                <w:szCs w:val="18"/>
              </w:rPr>
              <w:t>–</w:t>
            </w:r>
          </w:p>
        </w:tc>
        <w:tc>
          <w:tcPr>
            <w:tcW w:w="523" w:type="pct"/>
            <w:tcBorders>
              <w:top w:val="nil"/>
              <w:left w:val="nil"/>
              <w:bottom w:val="nil"/>
              <w:right w:val="nil"/>
            </w:tcBorders>
            <w:shd w:val="clear" w:color="auto" w:fill="auto"/>
            <w:noWrap/>
            <w:vAlign w:val="bottom"/>
          </w:tcPr>
          <w:p w14:paraId="047045B2"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1</w:t>
            </w:r>
          </w:p>
        </w:tc>
        <w:tc>
          <w:tcPr>
            <w:tcW w:w="615" w:type="pct"/>
            <w:tcBorders>
              <w:top w:val="nil"/>
              <w:left w:val="nil"/>
              <w:bottom w:val="nil"/>
              <w:right w:val="nil"/>
            </w:tcBorders>
            <w:shd w:val="clear" w:color="auto" w:fill="auto"/>
            <w:noWrap/>
            <w:vAlign w:val="bottom"/>
          </w:tcPr>
          <w:p w14:paraId="622E787B" w14:textId="77777777" w:rsidR="00DD071B" w:rsidRPr="00DD071B" w:rsidRDefault="00DD071B" w:rsidP="00DD071B">
            <w:pPr>
              <w:jc w:val="right"/>
              <w:rPr>
                <w:rFonts w:ascii="Arial" w:hAnsi="Arial" w:cs="Arial"/>
                <w:bCs/>
                <w:sz w:val="18"/>
                <w:szCs w:val="18"/>
              </w:rPr>
            </w:pPr>
          </w:p>
        </w:tc>
        <w:tc>
          <w:tcPr>
            <w:tcW w:w="521" w:type="pct"/>
            <w:tcBorders>
              <w:top w:val="nil"/>
              <w:left w:val="nil"/>
              <w:right w:val="nil"/>
            </w:tcBorders>
            <w:shd w:val="clear" w:color="auto" w:fill="auto"/>
            <w:noWrap/>
            <w:vAlign w:val="bottom"/>
          </w:tcPr>
          <w:p w14:paraId="2BD0F714"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w:t>
            </w:r>
          </w:p>
        </w:tc>
      </w:tr>
      <w:tr w:rsidR="00DD071B" w14:paraId="221CF135" w14:textId="77777777" w:rsidTr="00990965">
        <w:trPr>
          <w:trHeight w:val="238"/>
        </w:trPr>
        <w:tc>
          <w:tcPr>
            <w:tcW w:w="1671" w:type="pct"/>
            <w:tcBorders>
              <w:top w:val="single" w:sz="4" w:space="0" w:color="auto"/>
              <w:left w:val="nil"/>
              <w:right w:val="nil"/>
            </w:tcBorders>
            <w:shd w:val="clear" w:color="auto" w:fill="auto"/>
            <w:noWrap/>
            <w:vAlign w:val="bottom"/>
          </w:tcPr>
          <w:p w14:paraId="3D5C452D" w14:textId="77777777" w:rsidR="00DD071B" w:rsidRPr="007550F3" w:rsidRDefault="00DD071B" w:rsidP="00DD071B">
            <w:pPr>
              <w:rPr>
                <w:rFonts w:ascii="Arial" w:hAnsi="Arial" w:cs="Arial"/>
                <w:b/>
                <w:bCs/>
                <w:sz w:val="18"/>
                <w:szCs w:val="18"/>
              </w:rPr>
            </w:pPr>
            <w:r w:rsidRPr="007550F3">
              <w:rPr>
                <w:rFonts w:ascii="Arial" w:hAnsi="Arial" w:cs="Arial"/>
                <w:b/>
                <w:bCs/>
                <w:sz w:val="18"/>
                <w:szCs w:val="18"/>
              </w:rPr>
              <w:t>Adjusted diluted earnings per share</w:t>
            </w:r>
          </w:p>
        </w:tc>
        <w:tc>
          <w:tcPr>
            <w:tcW w:w="527" w:type="pct"/>
            <w:tcBorders>
              <w:top w:val="single" w:sz="4" w:space="0" w:color="auto"/>
              <w:left w:val="nil"/>
              <w:right w:val="nil"/>
            </w:tcBorders>
            <w:shd w:val="clear" w:color="auto" w:fill="auto"/>
            <w:noWrap/>
            <w:vAlign w:val="bottom"/>
          </w:tcPr>
          <w:p w14:paraId="17D69B41" w14:textId="77777777"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4</w:t>
            </w:r>
            <w:r w:rsidR="00FA09B6" w:rsidRPr="00FA09B6">
              <w:rPr>
                <w:rFonts w:ascii="Arial" w:hAnsi="Arial" w:cs="Arial"/>
                <w:b/>
                <w:bCs/>
                <w:sz w:val="18"/>
                <w:szCs w:val="18"/>
              </w:rPr>
              <w:t>21</w:t>
            </w:r>
          </w:p>
        </w:tc>
        <w:tc>
          <w:tcPr>
            <w:tcW w:w="614" w:type="pct"/>
            <w:tcBorders>
              <w:top w:val="single" w:sz="4" w:space="0" w:color="auto"/>
              <w:left w:val="nil"/>
              <w:right w:val="nil"/>
            </w:tcBorders>
            <w:shd w:val="clear" w:color="auto" w:fill="auto"/>
            <w:noWrap/>
            <w:vAlign w:val="bottom"/>
          </w:tcPr>
          <w:p w14:paraId="1F0EC02B" w14:textId="550C71A8" w:rsidR="00DD071B" w:rsidRPr="00846218" w:rsidRDefault="001C3BA8" w:rsidP="00DD071B">
            <w:pPr>
              <w:jc w:val="right"/>
              <w:rPr>
                <w:rFonts w:ascii="Arial" w:hAnsi="Arial" w:cs="Arial"/>
                <w:b/>
                <w:bCs/>
                <w:sz w:val="18"/>
                <w:szCs w:val="18"/>
              </w:rPr>
            </w:pPr>
            <w:r>
              <w:rPr>
                <w:rFonts w:ascii="Arial" w:hAnsi="Arial" w:cs="Arial"/>
                <w:b/>
                <w:bCs/>
                <w:sz w:val="18"/>
                <w:szCs w:val="18"/>
              </w:rPr>
              <w:t>2,140</w:t>
            </w:r>
          </w:p>
        </w:tc>
        <w:tc>
          <w:tcPr>
            <w:tcW w:w="528" w:type="pct"/>
            <w:tcBorders>
              <w:top w:val="single" w:sz="4" w:space="0" w:color="auto"/>
              <w:left w:val="nil"/>
              <w:right w:val="nil"/>
            </w:tcBorders>
            <w:shd w:val="clear" w:color="auto" w:fill="auto"/>
            <w:noWrap/>
            <w:vAlign w:val="bottom"/>
          </w:tcPr>
          <w:p w14:paraId="13EEE3E7" w14:textId="597115AB" w:rsidR="00DD071B" w:rsidRPr="00846218" w:rsidRDefault="001C3BA8" w:rsidP="00DD071B">
            <w:pPr>
              <w:jc w:val="right"/>
              <w:rPr>
                <w:rFonts w:ascii="Arial" w:hAnsi="Arial" w:cs="Arial"/>
                <w:b/>
                <w:bCs/>
                <w:sz w:val="18"/>
                <w:szCs w:val="18"/>
              </w:rPr>
            </w:pPr>
            <w:r>
              <w:rPr>
                <w:rFonts w:ascii="Arial" w:hAnsi="Arial" w:cs="Arial"/>
                <w:b/>
                <w:bCs/>
                <w:sz w:val="18"/>
                <w:szCs w:val="18"/>
              </w:rPr>
              <w:t>19.7</w:t>
            </w:r>
          </w:p>
        </w:tc>
        <w:tc>
          <w:tcPr>
            <w:tcW w:w="523" w:type="pct"/>
            <w:tcBorders>
              <w:top w:val="single" w:sz="4" w:space="0" w:color="auto"/>
              <w:left w:val="nil"/>
              <w:right w:val="nil"/>
            </w:tcBorders>
            <w:shd w:val="clear" w:color="auto" w:fill="auto"/>
            <w:noWrap/>
            <w:vAlign w:val="bottom"/>
          </w:tcPr>
          <w:p w14:paraId="4EA9C3D3"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479</w:t>
            </w:r>
          </w:p>
        </w:tc>
        <w:tc>
          <w:tcPr>
            <w:tcW w:w="615" w:type="pct"/>
            <w:tcBorders>
              <w:top w:val="single" w:sz="4" w:space="0" w:color="auto"/>
              <w:left w:val="nil"/>
              <w:right w:val="nil"/>
            </w:tcBorders>
            <w:shd w:val="clear" w:color="auto" w:fill="auto"/>
            <w:noWrap/>
            <w:vAlign w:val="bottom"/>
          </w:tcPr>
          <w:p w14:paraId="61CA4440"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2,201</w:t>
            </w:r>
          </w:p>
        </w:tc>
        <w:tc>
          <w:tcPr>
            <w:tcW w:w="521" w:type="pct"/>
            <w:tcBorders>
              <w:top w:val="single" w:sz="4" w:space="0" w:color="auto"/>
              <w:left w:val="nil"/>
              <w:right w:val="nil"/>
            </w:tcBorders>
            <w:shd w:val="clear" w:color="auto" w:fill="auto"/>
            <w:noWrap/>
            <w:vAlign w:val="bottom"/>
          </w:tcPr>
          <w:p w14:paraId="27A939D9"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21.7</w:t>
            </w:r>
          </w:p>
        </w:tc>
      </w:tr>
      <w:tr w:rsidR="00DD071B" w14:paraId="4ECC5898" w14:textId="77777777" w:rsidTr="00990965">
        <w:trPr>
          <w:trHeight w:val="238"/>
        </w:trPr>
        <w:tc>
          <w:tcPr>
            <w:tcW w:w="1671" w:type="pct"/>
            <w:tcBorders>
              <w:left w:val="nil"/>
              <w:right w:val="nil"/>
            </w:tcBorders>
            <w:shd w:val="clear" w:color="auto" w:fill="auto"/>
            <w:noWrap/>
            <w:vAlign w:val="bottom"/>
          </w:tcPr>
          <w:p w14:paraId="4B5E3AA5" w14:textId="77777777" w:rsidR="00DD071B" w:rsidRPr="007550F3" w:rsidRDefault="00DD071B" w:rsidP="00DD071B">
            <w:pPr>
              <w:rPr>
                <w:rFonts w:ascii="Arial" w:hAnsi="Arial" w:cs="Arial"/>
                <w:bCs/>
                <w:sz w:val="18"/>
                <w:szCs w:val="18"/>
              </w:rPr>
            </w:pPr>
            <w:r w:rsidRPr="007550F3">
              <w:rPr>
                <w:rFonts w:ascii="Arial" w:hAnsi="Arial" w:cs="Arial"/>
                <w:bCs/>
                <w:sz w:val="18"/>
                <w:szCs w:val="18"/>
              </w:rPr>
              <w:t>Transformation costs before exceptional items</w:t>
            </w:r>
          </w:p>
        </w:tc>
        <w:tc>
          <w:tcPr>
            <w:tcW w:w="527" w:type="pct"/>
            <w:tcBorders>
              <w:left w:val="nil"/>
              <w:right w:val="nil"/>
            </w:tcBorders>
            <w:shd w:val="clear" w:color="auto" w:fill="auto"/>
            <w:noWrap/>
            <w:vAlign w:val="bottom"/>
          </w:tcPr>
          <w:p w14:paraId="78FCB536" w14:textId="77777777"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1</w:t>
            </w:r>
            <w:r w:rsidR="00FA09B6" w:rsidRPr="00FA09B6">
              <w:rPr>
                <w:rFonts w:ascii="Arial" w:hAnsi="Arial" w:cs="Arial"/>
                <w:b/>
                <w:bCs/>
                <w:sz w:val="18"/>
                <w:szCs w:val="18"/>
              </w:rPr>
              <w:t>20</w:t>
            </w:r>
          </w:p>
        </w:tc>
        <w:tc>
          <w:tcPr>
            <w:tcW w:w="614" w:type="pct"/>
            <w:tcBorders>
              <w:left w:val="nil"/>
              <w:right w:val="nil"/>
            </w:tcBorders>
            <w:shd w:val="clear" w:color="auto" w:fill="auto"/>
            <w:noWrap/>
            <w:vAlign w:val="bottom"/>
          </w:tcPr>
          <w:p w14:paraId="11C0E0B1" w14:textId="77777777" w:rsidR="00DD071B" w:rsidRPr="00846218" w:rsidRDefault="00DD071B" w:rsidP="00DD071B">
            <w:pPr>
              <w:jc w:val="right"/>
              <w:rPr>
                <w:rFonts w:ascii="Arial" w:hAnsi="Arial" w:cs="Arial"/>
                <w:b/>
                <w:bCs/>
                <w:sz w:val="18"/>
                <w:szCs w:val="18"/>
              </w:rPr>
            </w:pPr>
          </w:p>
        </w:tc>
        <w:tc>
          <w:tcPr>
            <w:tcW w:w="528" w:type="pct"/>
            <w:tcBorders>
              <w:left w:val="nil"/>
              <w:right w:val="nil"/>
            </w:tcBorders>
            <w:shd w:val="clear" w:color="auto" w:fill="auto"/>
            <w:noWrap/>
            <w:vAlign w:val="bottom"/>
          </w:tcPr>
          <w:p w14:paraId="2F789462" w14:textId="62592094" w:rsidR="00DD071B" w:rsidRPr="00846218" w:rsidRDefault="001C3BA8" w:rsidP="00DD071B">
            <w:pPr>
              <w:jc w:val="right"/>
              <w:rPr>
                <w:rFonts w:ascii="Arial" w:hAnsi="Arial" w:cs="Arial"/>
                <w:b/>
                <w:bCs/>
                <w:sz w:val="18"/>
                <w:szCs w:val="18"/>
              </w:rPr>
            </w:pPr>
            <w:r>
              <w:rPr>
                <w:rFonts w:ascii="Arial" w:hAnsi="Arial" w:cs="Arial"/>
                <w:b/>
                <w:bCs/>
                <w:sz w:val="18"/>
                <w:szCs w:val="18"/>
              </w:rPr>
              <w:t>5.6</w:t>
            </w:r>
          </w:p>
        </w:tc>
        <w:tc>
          <w:tcPr>
            <w:tcW w:w="523" w:type="pct"/>
            <w:tcBorders>
              <w:left w:val="nil"/>
              <w:right w:val="nil"/>
            </w:tcBorders>
            <w:shd w:val="clear" w:color="auto" w:fill="auto"/>
            <w:noWrap/>
            <w:vAlign w:val="bottom"/>
          </w:tcPr>
          <w:p w14:paraId="3FE14247"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114</w:t>
            </w:r>
          </w:p>
        </w:tc>
        <w:tc>
          <w:tcPr>
            <w:tcW w:w="615" w:type="pct"/>
            <w:tcBorders>
              <w:left w:val="nil"/>
              <w:right w:val="nil"/>
            </w:tcBorders>
            <w:shd w:val="clear" w:color="auto" w:fill="auto"/>
            <w:noWrap/>
            <w:vAlign w:val="bottom"/>
          </w:tcPr>
          <w:p w14:paraId="3FB86CFE" w14:textId="77777777" w:rsidR="00DD071B" w:rsidRPr="00DD071B" w:rsidRDefault="00DD071B" w:rsidP="00DD071B">
            <w:pPr>
              <w:jc w:val="right"/>
              <w:rPr>
                <w:rFonts w:ascii="Arial" w:hAnsi="Arial" w:cs="Arial"/>
                <w:bCs/>
                <w:sz w:val="18"/>
                <w:szCs w:val="18"/>
              </w:rPr>
            </w:pPr>
          </w:p>
        </w:tc>
        <w:tc>
          <w:tcPr>
            <w:tcW w:w="521" w:type="pct"/>
            <w:tcBorders>
              <w:left w:val="nil"/>
              <w:right w:val="nil"/>
            </w:tcBorders>
            <w:shd w:val="clear" w:color="auto" w:fill="auto"/>
            <w:noWrap/>
            <w:vAlign w:val="bottom"/>
          </w:tcPr>
          <w:p w14:paraId="213A25E4"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5.2</w:t>
            </w:r>
          </w:p>
        </w:tc>
      </w:tr>
      <w:tr w:rsidR="00DD071B" w14:paraId="308FC369" w14:textId="77777777" w:rsidTr="00990965">
        <w:trPr>
          <w:trHeight w:val="238"/>
        </w:trPr>
        <w:tc>
          <w:tcPr>
            <w:tcW w:w="1671" w:type="pct"/>
            <w:tcBorders>
              <w:left w:val="nil"/>
              <w:bottom w:val="single" w:sz="4" w:space="0" w:color="auto"/>
              <w:right w:val="nil"/>
            </w:tcBorders>
            <w:shd w:val="clear" w:color="auto" w:fill="auto"/>
            <w:noWrap/>
            <w:vAlign w:val="bottom"/>
          </w:tcPr>
          <w:p w14:paraId="106FA4F9" w14:textId="77777777" w:rsidR="00DD071B" w:rsidRPr="007550F3" w:rsidRDefault="00DD071B" w:rsidP="00DD071B">
            <w:pPr>
              <w:rPr>
                <w:rFonts w:ascii="Arial" w:hAnsi="Arial" w:cs="Arial"/>
                <w:bCs/>
                <w:sz w:val="18"/>
                <w:szCs w:val="18"/>
              </w:rPr>
            </w:pPr>
            <w:r w:rsidRPr="007550F3">
              <w:rPr>
                <w:rFonts w:ascii="Arial" w:hAnsi="Arial" w:cs="Arial"/>
                <w:bCs/>
                <w:sz w:val="18"/>
                <w:szCs w:val="18"/>
              </w:rPr>
              <w:t>Tax on transformation costs before exceptional items</w:t>
            </w:r>
          </w:p>
        </w:tc>
        <w:tc>
          <w:tcPr>
            <w:tcW w:w="527" w:type="pct"/>
            <w:tcBorders>
              <w:left w:val="nil"/>
              <w:bottom w:val="single" w:sz="4" w:space="0" w:color="auto"/>
              <w:right w:val="nil"/>
            </w:tcBorders>
            <w:shd w:val="clear" w:color="auto" w:fill="auto"/>
            <w:noWrap/>
            <w:vAlign w:val="bottom"/>
          </w:tcPr>
          <w:p w14:paraId="2618B18F" w14:textId="77777777"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(3</w:t>
            </w:r>
            <w:r w:rsidR="00FA09B6" w:rsidRPr="00FA09B6">
              <w:rPr>
                <w:rFonts w:ascii="Arial" w:hAnsi="Arial" w:cs="Arial"/>
                <w:b/>
                <w:bCs/>
                <w:sz w:val="18"/>
                <w:szCs w:val="18"/>
              </w:rPr>
              <w:t>2</w:t>
            </w:r>
            <w:r w:rsidRPr="00FA09B6">
              <w:rPr>
                <w:rFonts w:ascii="Arial" w:hAnsi="Arial" w:cs="Arial"/>
                <w:b/>
                <w:bCs/>
                <w:sz w:val="18"/>
                <w:szCs w:val="18"/>
              </w:rPr>
              <w:t>)</w:t>
            </w:r>
          </w:p>
        </w:tc>
        <w:tc>
          <w:tcPr>
            <w:tcW w:w="614" w:type="pct"/>
            <w:tcBorders>
              <w:left w:val="nil"/>
              <w:bottom w:val="single" w:sz="4" w:space="0" w:color="auto"/>
              <w:right w:val="nil"/>
            </w:tcBorders>
            <w:shd w:val="clear" w:color="auto" w:fill="auto"/>
            <w:noWrap/>
            <w:vAlign w:val="bottom"/>
          </w:tcPr>
          <w:p w14:paraId="1C609145" w14:textId="77777777" w:rsidR="00DD071B" w:rsidRPr="00846218" w:rsidRDefault="00DD071B" w:rsidP="00DD071B">
            <w:pPr>
              <w:jc w:val="right"/>
              <w:rPr>
                <w:rFonts w:ascii="Arial" w:hAnsi="Arial" w:cs="Arial"/>
                <w:b/>
                <w:bCs/>
                <w:sz w:val="18"/>
                <w:szCs w:val="18"/>
              </w:rPr>
            </w:pPr>
          </w:p>
        </w:tc>
        <w:tc>
          <w:tcPr>
            <w:tcW w:w="528" w:type="pct"/>
            <w:tcBorders>
              <w:left w:val="nil"/>
              <w:bottom w:val="single" w:sz="4" w:space="0" w:color="auto"/>
              <w:right w:val="nil"/>
            </w:tcBorders>
            <w:shd w:val="clear" w:color="auto" w:fill="auto"/>
            <w:noWrap/>
            <w:vAlign w:val="bottom"/>
          </w:tcPr>
          <w:p w14:paraId="3FB1C122" w14:textId="1043B758" w:rsidR="00DD071B" w:rsidRPr="00846218" w:rsidRDefault="001C3BA8" w:rsidP="00DD071B">
            <w:pPr>
              <w:jc w:val="right"/>
              <w:rPr>
                <w:rFonts w:ascii="Arial" w:hAnsi="Arial" w:cs="Arial"/>
                <w:b/>
                <w:bCs/>
                <w:sz w:val="18"/>
                <w:szCs w:val="18"/>
              </w:rPr>
            </w:pPr>
            <w:r>
              <w:rPr>
                <w:rFonts w:ascii="Arial" w:hAnsi="Arial" w:cs="Arial"/>
                <w:b/>
                <w:bCs/>
                <w:sz w:val="18"/>
                <w:szCs w:val="18"/>
              </w:rPr>
              <w:t>(1.5)</w:t>
            </w:r>
          </w:p>
        </w:tc>
        <w:tc>
          <w:tcPr>
            <w:tcW w:w="523" w:type="pct"/>
            <w:tcBorders>
              <w:left w:val="nil"/>
              <w:bottom w:val="single" w:sz="4" w:space="0" w:color="auto"/>
              <w:right w:val="nil"/>
            </w:tcBorders>
            <w:shd w:val="clear" w:color="auto" w:fill="auto"/>
            <w:noWrap/>
            <w:vAlign w:val="bottom"/>
          </w:tcPr>
          <w:p w14:paraId="214B109E"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(35)</w:t>
            </w:r>
          </w:p>
        </w:tc>
        <w:tc>
          <w:tcPr>
            <w:tcW w:w="615" w:type="pct"/>
            <w:tcBorders>
              <w:left w:val="nil"/>
              <w:bottom w:val="single" w:sz="4" w:space="0" w:color="auto"/>
              <w:right w:val="nil"/>
            </w:tcBorders>
            <w:shd w:val="clear" w:color="auto" w:fill="auto"/>
            <w:noWrap/>
            <w:vAlign w:val="bottom"/>
          </w:tcPr>
          <w:p w14:paraId="57C93A04" w14:textId="77777777" w:rsidR="00DD071B" w:rsidRPr="00DD071B" w:rsidRDefault="00DD071B" w:rsidP="00DD071B">
            <w:pPr>
              <w:jc w:val="right"/>
              <w:rPr>
                <w:rFonts w:ascii="Arial" w:hAnsi="Arial" w:cs="Arial"/>
                <w:bCs/>
                <w:sz w:val="18"/>
                <w:szCs w:val="18"/>
              </w:rPr>
            </w:pPr>
          </w:p>
        </w:tc>
        <w:tc>
          <w:tcPr>
            <w:tcW w:w="521" w:type="pct"/>
            <w:tcBorders>
              <w:left w:val="nil"/>
              <w:bottom w:val="single" w:sz="4" w:space="0" w:color="auto"/>
              <w:right w:val="nil"/>
            </w:tcBorders>
            <w:shd w:val="clear" w:color="auto" w:fill="auto"/>
            <w:noWrap/>
            <w:vAlign w:val="bottom"/>
          </w:tcPr>
          <w:p w14:paraId="5DC38345"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(1.5)</w:t>
            </w:r>
          </w:p>
        </w:tc>
      </w:tr>
      <w:tr w:rsidR="00DD071B" w14:paraId="2E51B1AA" w14:textId="77777777" w:rsidTr="00990965">
        <w:trPr>
          <w:trHeight w:val="238"/>
        </w:trPr>
        <w:tc>
          <w:tcPr>
            <w:tcW w:w="1671" w:type="pct"/>
            <w:tcBorders>
              <w:top w:val="single" w:sz="4" w:space="0" w:color="auto"/>
              <w:left w:val="nil"/>
              <w:bottom w:val="single" w:sz="12" w:space="0" w:color="auto"/>
              <w:right w:val="nil"/>
            </w:tcBorders>
            <w:shd w:val="clear" w:color="auto" w:fill="auto"/>
            <w:noWrap/>
            <w:vAlign w:val="bottom"/>
          </w:tcPr>
          <w:p w14:paraId="164868B7" w14:textId="77777777" w:rsidR="00DD071B" w:rsidRPr="007550F3" w:rsidRDefault="00DD071B" w:rsidP="00DD071B">
            <w:pPr>
              <w:rPr>
                <w:rFonts w:ascii="Arial" w:hAnsi="Arial" w:cs="Arial"/>
                <w:b/>
                <w:bCs/>
                <w:sz w:val="18"/>
                <w:szCs w:val="18"/>
              </w:rPr>
            </w:pPr>
            <w:r w:rsidRPr="007550F3">
              <w:rPr>
                <w:rFonts w:ascii="Arial" w:hAnsi="Arial" w:cs="Arial"/>
                <w:b/>
                <w:bCs/>
                <w:sz w:val="18"/>
                <w:szCs w:val="18"/>
              </w:rPr>
              <w:t>Underlying diluted earnings per share</w:t>
            </w:r>
          </w:p>
        </w:tc>
        <w:tc>
          <w:tcPr>
            <w:tcW w:w="527" w:type="pct"/>
            <w:tcBorders>
              <w:top w:val="single" w:sz="4" w:space="0" w:color="auto"/>
              <w:left w:val="nil"/>
              <w:bottom w:val="single" w:sz="12" w:space="0" w:color="auto"/>
              <w:right w:val="nil"/>
            </w:tcBorders>
            <w:shd w:val="clear" w:color="auto" w:fill="auto"/>
            <w:noWrap/>
            <w:vAlign w:val="bottom"/>
          </w:tcPr>
          <w:p w14:paraId="72E5F896" w14:textId="77777777" w:rsidR="00DD071B" w:rsidRPr="00FA09B6" w:rsidRDefault="00DD071B" w:rsidP="00DD071B">
            <w:pPr>
              <w:jc w:val="right"/>
              <w:rPr>
                <w:rFonts w:ascii="Arial" w:hAnsi="Arial" w:cs="Arial"/>
                <w:b/>
                <w:bCs/>
                <w:sz w:val="18"/>
                <w:szCs w:val="18"/>
              </w:rPr>
            </w:pPr>
            <w:r w:rsidRPr="00FA09B6">
              <w:rPr>
                <w:rFonts w:ascii="Arial" w:hAnsi="Arial" w:cs="Arial"/>
                <w:b/>
                <w:bCs/>
                <w:sz w:val="18"/>
                <w:szCs w:val="18"/>
              </w:rPr>
              <w:t>5</w:t>
            </w:r>
            <w:r w:rsidR="00FA09B6" w:rsidRPr="00FA09B6">
              <w:rPr>
                <w:rFonts w:ascii="Arial" w:hAnsi="Arial" w:cs="Arial"/>
                <w:b/>
                <w:bCs/>
                <w:sz w:val="18"/>
                <w:szCs w:val="18"/>
              </w:rPr>
              <w:t>09</w:t>
            </w:r>
          </w:p>
        </w:tc>
        <w:tc>
          <w:tcPr>
            <w:tcW w:w="614" w:type="pct"/>
            <w:tcBorders>
              <w:top w:val="single" w:sz="4" w:space="0" w:color="auto"/>
              <w:left w:val="nil"/>
              <w:bottom w:val="single" w:sz="12" w:space="0" w:color="auto"/>
              <w:right w:val="nil"/>
            </w:tcBorders>
            <w:shd w:val="clear" w:color="auto" w:fill="auto"/>
            <w:noWrap/>
            <w:vAlign w:val="bottom"/>
          </w:tcPr>
          <w:p w14:paraId="7B7E96F6" w14:textId="10DD5BD3" w:rsidR="00DD071B" w:rsidRPr="00846218" w:rsidRDefault="001C3BA8" w:rsidP="00DD071B">
            <w:pPr>
              <w:jc w:val="right"/>
              <w:rPr>
                <w:rFonts w:ascii="Arial" w:hAnsi="Arial" w:cs="Arial"/>
                <w:b/>
                <w:bCs/>
                <w:sz w:val="18"/>
                <w:szCs w:val="18"/>
              </w:rPr>
            </w:pPr>
            <w:r>
              <w:rPr>
                <w:rFonts w:ascii="Arial" w:hAnsi="Arial" w:cs="Arial"/>
                <w:b/>
                <w:bCs/>
                <w:sz w:val="18"/>
                <w:szCs w:val="18"/>
              </w:rPr>
              <w:t>2,140</w:t>
            </w:r>
          </w:p>
        </w:tc>
        <w:tc>
          <w:tcPr>
            <w:tcW w:w="528" w:type="pct"/>
            <w:tcBorders>
              <w:top w:val="single" w:sz="4" w:space="0" w:color="auto"/>
              <w:left w:val="nil"/>
              <w:bottom w:val="single" w:sz="12" w:space="0" w:color="auto"/>
              <w:right w:val="nil"/>
            </w:tcBorders>
            <w:shd w:val="clear" w:color="auto" w:fill="auto"/>
            <w:noWrap/>
            <w:vAlign w:val="bottom"/>
          </w:tcPr>
          <w:p w14:paraId="427260F7" w14:textId="1718719D" w:rsidR="00DD071B" w:rsidRPr="00846218" w:rsidRDefault="001C3BA8" w:rsidP="00DD071B">
            <w:pPr>
              <w:jc w:val="right"/>
              <w:rPr>
                <w:rFonts w:ascii="Arial" w:hAnsi="Arial" w:cs="Arial"/>
                <w:b/>
                <w:bCs/>
                <w:sz w:val="18"/>
                <w:szCs w:val="18"/>
              </w:rPr>
            </w:pPr>
            <w:r>
              <w:rPr>
                <w:rFonts w:ascii="Arial" w:hAnsi="Arial" w:cs="Arial"/>
                <w:b/>
                <w:bCs/>
                <w:sz w:val="18"/>
                <w:szCs w:val="18"/>
              </w:rPr>
              <w:t>23.8</w:t>
            </w:r>
          </w:p>
        </w:tc>
        <w:tc>
          <w:tcPr>
            <w:tcW w:w="523" w:type="pct"/>
            <w:tcBorders>
              <w:top w:val="single" w:sz="4" w:space="0" w:color="auto"/>
              <w:left w:val="nil"/>
              <w:bottom w:val="single" w:sz="12" w:space="0" w:color="auto"/>
              <w:right w:val="nil"/>
            </w:tcBorders>
            <w:shd w:val="clear" w:color="auto" w:fill="auto"/>
            <w:noWrap/>
            <w:vAlign w:val="bottom"/>
          </w:tcPr>
          <w:p w14:paraId="38FEB87A"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558</w:t>
            </w:r>
          </w:p>
        </w:tc>
        <w:tc>
          <w:tcPr>
            <w:tcW w:w="615" w:type="pct"/>
            <w:tcBorders>
              <w:top w:val="single" w:sz="4" w:space="0" w:color="auto"/>
              <w:left w:val="nil"/>
              <w:bottom w:val="single" w:sz="12" w:space="0" w:color="auto"/>
              <w:right w:val="nil"/>
            </w:tcBorders>
            <w:shd w:val="clear" w:color="auto" w:fill="auto"/>
            <w:noWrap/>
            <w:vAlign w:val="bottom"/>
          </w:tcPr>
          <w:p w14:paraId="1EF7E482"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2,201</w:t>
            </w:r>
          </w:p>
        </w:tc>
        <w:tc>
          <w:tcPr>
            <w:tcW w:w="521" w:type="pct"/>
            <w:tcBorders>
              <w:top w:val="single" w:sz="4" w:space="0" w:color="auto"/>
              <w:left w:val="nil"/>
              <w:bottom w:val="single" w:sz="12" w:space="0" w:color="auto"/>
              <w:right w:val="nil"/>
            </w:tcBorders>
            <w:shd w:val="clear" w:color="auto" w:fill="auto"/>
            <w:noWrap/>
            <w:vAlign w:val="bottom"/>
          </w:tcPr>
          <w:p w14:paraId="27060DF2" w14:textId="77777777" w:rsidR="00DD071B" w:rsidRPr="00DD071B" w:rsidRDefault="00DD071B" w:rsidP="00DD071B">
            <w:pPr>
              <w:jc w:val="right"/>
              <w:rPr>
                <w:rFonts w:ascii="Arial" w:hAnsi="Arial" w:cs="Arial"/>
                <w:bCs/>
                <w:sz w:val="18"/>
                <w:szCs w:val="18"/>
              </w:rPr>
            </w:pPr>
            <w:r w:rsidRPr="00DD071B">
              <w:rPr>
                <w:rFonts w:ascii="Arial" w:hAnsi="Arial" w:cs="Arial"/>
                <w:bCs/>
                <w:sz w:val="18"/>
                <w:szCs w:val="18"/>
              </w:rPr>
              <w:t>25.4</w:t>
            </w:r>
          </w:p>
        </w:tc>
      </w:tr>
    </w:tbl>
    <w:p w14:paraId="0F199BCE" w14:textId="77777777" w:rsidR="007C6C03" w:rsidRDefault="007C6C03">
      <w:pPr>
        <w:rPr>
          <w:rFonts w:ascii="Arial" w:hAnsi="Arial" w:cs="Arial"/>
          <w:sz w:val="18"/>
          <w:szCs w:val="18"/>
        </w:rPr>
      </w:pPr>
    </w:p>
    <w:p w14:paraId="647AE787" w14:textId="4AD87B60" w:rsidR="0039493A" w:rsidRDefault="00CB209D" w:rsidP="00FA21A3">
      <w:pPr>
        <w:jc w:val="both"/>
        <w:rPr>
          <w:rFonts w:ascii="Arial" w:hAnsi="Arial" w:cs="Arial"/>
          <w:sz w:val="18"/>
          <w:szCs w:val="18"/>
        </w:rPr>
      </w:pPr>
      <w:r w:rsidRPr="00CB209D">
        <w:rPr>
          <w:rFonts w:ascii="Arial" w:hAnsi="Arial" w:cs="Arial"/>
          <w:sz w:val="18"/>
          <w:szCs w:val="18"/>
        </w:rPr>
        <w:t xml:space="preserve">Basic earnings per share is calculated by dividing the </w:t>
      </w:r>
      <w:r w:rsidR="000079A7">
        <w:rPr>
          <w:rFonts w:ascii="Arial" w:hAnsi="Arial" w:cs="Arial"/>
          <w:sz w:val="18"/>
          <w:szCs w:val="18"/>
        </w:rPr>
        <w:t>profit for the year</w:t>
      </w:r>
      <w:r w:rsidRPr="00CB209D">
        <w:rPr>
          <w:rFonts w:ascii="Arial" w:hAnsi="Arial" w:cs="Arial"/>
          <w:sz w:val="18"/>
          <w:szCs w:val="18"/>
        </w:rPr>
        <w:t xml:space="preserve"> attributable to </w:t>
      </w:r>
      <w:r w:rsidR="003B40A4">
        <w:rPr>
          <w:rFonts w:ascii="Arial" w:hAnsi="Arial" w:cs="Arial"/>
          <w:sz w:val="18"/>
          <w:szCs w:val="18"/>
        </w:rPr>
        <w:t xml:space="preserve">equity </w:t>
      </w:r>
      <w:r w:rsidRPr="00CB209D">
        <w:rPr>
          <w:rFonts w:ascii="Arial" w:hAnsi="Arial" w:cs="Arial"/>
          <w:sz w:val="18"/>
          <w:szCs w:val="18"/>
        </w:rPr>
        <w:t xml:space="preserve">shareholders </w:t>
      </w:r>
      <w:r w:rsidR="00254EDF">
        <w:rPr>
          <w:rFonts w:ascii="Arial" w:hAnsi="Arial" w:cs="Arial"/>
          <w:sz w:val="18"/>
          <w:szCs w:val="18"/>
        </w:rPr>
        <w:t xml:space="preserve">of the Company </w:t>
      </w:r>
      <w:r w:rsidRPr="00CB209D">
        <w:rPr>
          <w:rFonts w:ascii="Arial" w:hAnsi="Arial" w:cs="Arial"/>
          <w:sz w:val="18"/>
          <w:szCs w:val="18"/>
        </w:rPr>
        <w:t xml:space="preserve">by the weighted average number of shares in issue during the year, excluding those held in the Employee Share Ownership Plan </w:t>
      </w:r>
      <w:r w:rsidR="00927BEF">
        <w:rPr>
          <w:rFonts w:ascii="Arial" w:hAnsi="Arial" w:cs="Arial"/>
          <w:sz w:val="18"/>
          <w:szCs w:val="18"/>
        </w:rPr>
        <w:t>t</w:t>
      </w:r>
      <w:r w:rsidRPr="00CB209D">
        <w:rPr>
          <w:rFonts w:ascii="Arial" w:hAnsi="Arial" w:cs="Arial"/>
          <w:sz w:val="18"/>
          <w:szCs w:val="18"/>
        </w:rPr>
        <w:t>rust (</w:t>
      </w:r>
      <w:r w:rsidR="009A4BBE">
        <w:rPr>
          <w:rFonts w:ascii="Arial" w:hAnsi="Arial" w:cs="Arial"/>
          <w:sz w:val="18"/>
          <w:szCs w:val="18"/>
        </w:rPr>
        <w:t>‘</w:t>
      </w:r>
      <w:r w:rsidRPr="00CB209D">
        <w:rPr>
          <w:rFonts w:ascii="Arial" w:hAnsi="Arial" w:cs="Arial"/>
          <w:sz w:val="18"/>
          <w:szCs w:val="18"/>
        </w:rPr>
        <w:t>ESOP</w:t>
      </w:r>
      <w:r w:rsidR="00927BEF">
        <w:rPr>
          <w:rFonts w:ascii="Arial" w:hAnsi="Arial" w:cs="Arial"/>
          <w:sz w:val="18"/>
          <w:szCs w:val="18"/>
        </w:rPr>
        <w:t xml:space="preserve"> trust</w:t>
      </w:r>
      <w:r w:rsidR="009A4BBE">
        <w:rPr>
          <w:rFonts w:ascii="Arial" w:hAnsi="Arial" w:cs="Arial"/>
          <w:sz w:val="18"/>
          <w:szCs w:val="18"/>
        </w:rPr>
        <w:t>’</w:t>
      </w:r>
      <w:r w:rsidRPr="00CB209D">
        <w:rPr>
          <w:rFonts w:ascii="Arial" w:hAnsi="Arial" w:cs="Arial"/>
          <w:sz w:val="18"/>
          <w:szCs w:val="18"/>
        </w:rPr>
        <w:t>) which for the purpose of this calculation are treated as cancelled.</w:t>
      </w:r>
    </w:p>
    <w:p w14:paraId="5A112100" w14:textId="77777777" w:rsidR="00CB209D" w:rsidRPr="00CB209D" w:rsidRDefault="00CB209D" w:rsidP="00FA21A3">
      <w:pPr>
        <w:jc w:val="both"/>
        <w:rPr>
          <w:rFonts w:ascii="Arial" w:hAnsi="Arial" w:cs="Arial"/>
          <w:sz w:val="18"/>
          <w:szCs w:val="18"/>
        </w:rPr>
      </w:pPr>
    </w:p>
    <w:p w14:paraId="5E2BD99C" w14:textId="77777777" w:rsidR="0039493A" w:rsidRPr="00CB209D" w:rsidRDefault="00CB209D" w:rsidP="00FA21A3">
      <w:pPr>
        <w:jc w:val="both"/>
        <w:rPr>
          <w:rFonts w:ascii="Arial" w:hAnsi="Arial" w:cs="Arial"/>
          <w:sz w:val="18"/>
          <w:szCs w:val="18"/>
        </w:rPr>
      </w:pPr>
      <w:r w:rsidRPr="00CB209D">
        <w:rPr>
          <w:rFonts w:ascii="Arial" w:hAnsi="Arial" w:cs="Arial"/>
          <w:sz w:val="18"/>
          <w:szCs w:val="18"/>
        </w:rPr>
        <w:t xml:space="preserve">For diluted earnings per share, the weighted average number of shares is adjusted to assume conversion of all dilutive potential ordinary shares. These represent share options granted to employees where </w:t>
      </w:r>
      <w:r w:rsidR="00F14EAD">
        <w:rPr>
          <w:rFonts w:ascii="Arial" w:hAnsi="Arial" w:cs="Arial"/>
          <w:sz w:val="18"/>
          <w:szCs w:val="18"/>
        </w:rPr>
        <w:t xml:space="preserve">both </w:t>
      </w:r>
      <w:r w:rsidRPr="00CB209D">
        <w:rPr>
          <w:rFonts w:ascii="Arial" w:hAnsi="Arial" w:cs="Arial"/>
          <w:sz w:val="18"/>
          <w:szCs w:val="18"/>
        </w:rPr>
        <w:t>the exercise price is less than the average market price of the Company’s shares during the year</w:t>
      </w:r>
      <w:r w:rsidR="00F14EAD">
        <w:rPr>
          <w:rFonts w:ascii="Arial" w:hAnsi="Arial" w:cs="Arial"/>
          <w:sz w:val="18"/>
          <w:szCs w:val="18"/>
        </w:rPr>
        <w:t xml:space="preserve"> and any related performance conditions have been met</w:t>
      </w:r>
      <w:r w:rsidR="00F14EAD" w:rsidRPr="00CB209D">
        <w:rPr>
          <w:rFonts w:ascii="Arial" w:hAnsi="Arial" w:cs="Arial"/>
          <w:sz w:val="18"/>
          <w:szCs w:val="18"/>
        </w:rPr>
        <w:t>.</w:t>
      </w:r>
    </w:p>
    <w:p w14:paraId="534822FE" w14:textId="77777777" w:rsidR="007C6C03" w:rsidRDefault="007C6C03">
      <w:pPr>
        <w:rPr>
          <w:rFonts w:ascii="Arial" w:hAnsi="Arial" w:cs="Arial"/>
          <w:sz w:val="18"/>
          <w:szCs w:val="18"/>
        </w:rPr>
      </w:pPr>
    </w:p>
    <w:p w14:paraId="117344A4" w14:textId="77777777" w:rsidR="00703B2B" w:rsidRPr="00EF1091" w:rsidRDefault="00F764F7" w:rsidP="00703B2B">
      <w:pPr>
        <w:pStyle w:val="Heading1"/>
        <w:rPr>
          <w:rFonts w:ascii="Arial" w:hAnsi="Arial" w:cs="Arial"/>
          <w:szCs w:val="18"/>
        </w:rPr>
      </w:pPr>
      <w:r>
        <w:rPr>
          <w:rFonts w:ascii="Arial" w:hAnsi="Arial" w:cs="Arial"/>
          <w:szCs w:val="18"/>
        </w:rPr>
        <w:t>8</w:t>
      </w:r>
      <w:r w:rsidR="00703B2B">
        <w:rPr>
          <w:rFonts w:ascii="Arial" w:hAnsi="Arial" w:cs="Arial"/>
          <w:szCs w:val="18"/>
        </w:rPr>
        <w:tab/>
      </w:r>
      <w:r w:rsidR="00703B2B" w:rsidRPr="00EF1091">
        <w:rPr>
          <w:rFonts w:ascii="Arial" w:hAnsi="Arial" w:cs="Arial"/>
          <w:szCs w:val="18"/>
        </w:rPr>
        <w:t xml:space="preserve">Dividends </w:t>
      </w:r>
    </w:p>
    <w:p w14:paraId="0E1CFD4E" w14:textId="77777777" w:rsidR="00703B2B" w:rsidRPr="00EF1091" w:rsidRDefault="00703B2B" w:rsidP="00703B2B">
      <w:pPr>
        <w:rPr>
          <w:rFonts w:ascii="Arial" w:hAnsi="Arial" w:cs="Arial"/>
          <w:sz w:val="18"/>
          <w:szCs w:val="18"/>
        </w:rPr>
      </w:pPr>
    </w:p>
    <w:tbl>
      <w:tblPr>
        <w:tblW w:w="5000" w:type="pct"/>
        <w:tblLook w:val="0000" w:firstRow="0" w:lastRow="0" w:firstColumn="0" w:lastColumn="0" w:noHBand="0" w:noVBand="0"/>
      </w:tblPr>
      <w:tblGrid>
        <w:gridCol w:w="7001"/>
        <w:gridCol w:w="1211"/>
        <w:gridCol w:w="1427"/>
      </w:tblGrid>
      <w:tr w:rsidR="00703B2B" w:rsidRPr="00EF1091" w14:paraId="4E992432" w14:textId="77777777" w:rsidTr="001606EE">
        <w:trPr>
          <w:trHeight w:val="240"/>
        </w:trPr>
        <w:tc>
          <w:tcPr>
            <w:tcW w:w="3632" w:type="pct"/>
            <w:tcBorders>
              <w:top w:val="nil"/>
              <w:left w:val="nil"/>
              <w:bottom w:val="single" w:sz="4" w:space="0" w:color="auto"/>
              <w:right w:val="nil"/>
            </w:tcBorders>
            <w:noWrap/>
            <w:vAlign w:val="bottom"/>
          </w:tcPr>
          <w:p w14:paraId="092E55E2" w14:textId="77777777" w:rsidR="00703B2B" w:rsidRPr="00EF1091" w:rsidRDefault="00703B2B" w:rsidP="003C698C">
            <w:pPr>
              <w:rPr>
                <w:rFonts w:ascii="Arial" w:hAnsi="Arial" w:cs="Arial"/>
                <w:sz w:val="18"/>
                <w:szCs w:val="18"/>
              </w:rPr>
            </w:pPr>
            <w:r w:rsidRPr="00EF1091">
              <w:rPr>
                <w:rFonts w:ascii="Arial" w:hAnsi="Arial" w:cs="Arial"/>
                <w:sz w:val="18"/>
                <w:szCs w:val="18"/>
              </w:rPr>
              <w:t>£ millions</w:t>
            </w:r>
          </w:p>
        </w:tc>
        <w:tc>
          <w:tcPr>
            <w:tcW w:w="628" w:type="pct"/>
            <w:tcBorders>
              <w:top w:val="nil"/>
              <w:left w:val="nil"/>
              <w:bottom w:val="single" w:sz="4" w:space="0" w:color="auto"/>
              <w:right w:val="nil"/>
            </w:tcBorders>
            <w:noWrap/>
            <w:vAlign w:val="bottom"/>
          </w:tcPr>
          <w:p w14:paraId="51A16996" w14:textId="77777777" w:rsidR="00703B2B" w:rsidRPr="00CD6F3E" w:rsidRDefault="00703B2B" w:rsidP="001F707B">
            <w:pPr>
              <w:jc w:val="right"/>
              <w:rPr>
                <w:rFonts w:ascii="Arial" w:hAnsi="Arial" w:cs="Arial"/>
                <w:sz w:val="18"/>
                <w:szCs w:val="18"/>
              </w:rPr>
            </w:pPr>
            <w:r w:rsidRPr="008C583A">
              <w:rPr>
                <w:rFonts w:ascii="Arial" w:hAnsi="Arial" w:cs="Arial"/>
                <w:sz w:val="18"/>
                <w:szCs w:val="18"/>
              </w:rPr>
              <w:t>20</w:t>
            </w:r>
            <w:r w:rsidR="00934686" w:rsidRPr="00FC37BE">
              <w:rPr>
                <w:rFonts w:ascii="Arial" w:hAnsi="Arial" w:cs="Arial"/>
                <w:sz w:val="18"/>
                <w:szCs w:val="18"/>
              </w:rPr>
              <w:t>1</w:t>
            </w:r>
            <w:r w:rsidR="00DD071B">
              <w:rPr>
                <w:rFonts w:ascii="Arial" w:hAnsi="Arial" w:cs="Arial"/>
                <w:sz w:val="18"/>
                <w:szCs w:val="18"/>
              </w:rPr>
              <w:t>8</w:t>
            </w:r>
            <w:r w:rsidR="00D948E4" w:rsidRPr="00FC37BE">
              <w:rPr>
                <w:rFonts w:ascii="Arial" w:hAnsi="Arial" w:cs="Arial"/>
                <w:sz w:val="18"/>
                <w:szCs w:val="18"/>
              </w:rPr>
              <w:t>/1</w:t>
            </w:r>
            <w:r w:rsidR="00DD071B">
              <w:rPr>
                <w:rFonts w:ascii="Arial" w:hAnsi="Arial" w:cs="Arial"/>
                <w:sz w:val="18"/>
                <w:szCs w:val="18"/>
              </w:rPr>
              <w:t>9</w:t>
            </w:r>
          </w:p>
        </w:tc>
        <w:tc>
          <w:tcPr>
            <w:tcW w:w="740" w:type="pct"/>
            <w:tcBorders>
              <w:top w:val="nil"/>
              <w:left w:val="nil"/>
              <w:bottom w:val="single" w:sz="4" w:space="0" w:color="auto"/>
              <w:right w:val="nil"/>
            </w:tcBorders>
            <w:noWrap/>
            <w:vAlign w:val="bottom"/>
          </w:tcPr>
          <w:p w14:paraId="385C78F5" w14:textId="77777777" w:rsidR="00703B2B" w:rsidRPr="00EF1091" w:rsidRDefault="00494055" w:rsidP="001F707B">
            <w:pPr>
              <w:jc w:val="right"/>
              <w:rPr>
                <w:rFonts w:ascii="Arial" w:hAnsi="Arial" w:cs="Arial"/>
                <w:sz w:val="18"/>
                <w:szCs w:val="18"/>
              </w:rPr>
            </w:pPr>
            <w:r w:rsidRPr="008C583A">
              <w:rPr>
                <w:rFonts w:ascii="Arial" w:hAnsi="Arial" w:cs="Arial"/>
                <w:sz w:val="18"/>
                <w:szCs w:val="18"/>
              </w:rPr>
              <w:t>20</w:t>
            </w:r>
            <w:r w:rsidR="001F707B">
              <w:rPr>
                <w:rFonts w:ascii="Arial" w:hAnsi="Arial" w:cs="Arial"/>
                <w:sz w:val="18"/>
                <w:szCs w:val="18"/>
              </w:rPr>
              <w:t>1</w:t>
            </w:r>
            <w:r w:rsidR="00DD071B">
              <w:rPr>
                <w:rFonts w:ascii="Arial" w:hAnsi="Arial" w:cs="Arial"/>
                <w:sz w:val="18"/>
                <w:szCs w:val="18"/>
              </w:rPr>
              <w:t>7</w:t>
            </w:r>
            <w:r w:rsidRPr="00FC37BE">
              <w:rPr>
                <w:rFonts w:ascii="Arial" w:hAnsi="Arial" w:cs="Arial"/>
                <w:sz w:val="18"/>
                <w:szCs w:val="18"/>
              </w:rPr>
              <w:t>/1</w:t>
            </w:r>
            <w:r w:rsidR="00DD071B">
              <w:rPr>
                <w:rFonts w:ascii="Arial" w:hAnsi="Arial" w:cs="Arial"/>
                <w:sz w:val="18"/>
                <w:szCs w:val="18"/>
              </w:rPr>
              <w:t>8</w:t>
            </w:r>
          </w:p>
        </w:tc>
      </w:tr>
      <w:tr w:rsidR="00703B2B" w:rsidRPr="00314E13" w14:paraId="16D9662B" w14:textId="77777777" w:rsidTr="001606EE">
        <w:trPr>
          <w:trHeight w:val="255"/>
        </w:trPr>
        <w:tc>
          <w:tcPr>
            <w:tcW w:w="3632" w:type="pct"/>
            <w:tcBorders>
              <w:top w:val="nil"/>
              <w:left w:val="nil"/>
              <w:right w:val="nil"/>
            </w:tcBorders>
            <w:noWrap/>
            <w:vAlign w:val="bottom"/>
          </w:tcPr>
          <w:p w14:paraId="640E8028" w14:textId="77777777" w:rsidR="00703B2B" w:rsidRPr="00314E13" w:rsidRDefault="00703B2B" w:rsidP="00073A57">
            <w:pPr>
              <w:rPr>
                <w:rFonts w:ascii="Arial" w:hAnsi="Arial" w:cs="Arial"/>
                <w:b/>
                <w:bCs/>
                <w:sz w:val="18"/>
                <w:szCs w:val="18"/>
              </w:rPr>
            </w:pPr>
            <w:r w:rsidRPr="00314E13">
              <w:rPr>
                <w:rFonts w:ascii="Arial" w:hAnsi="Arial" w:cs="Arial"/>
                <w:b/>
                <w:bCs/>
                <w:sz w:val="18"/>
                <w:szCs w:val="18"/>
              </w:rPr>
              <w:t>Dividends to equity shareholders of the Company</w:t>
            </w:r>
          </w:p>
        </w:tc>
        <w:tc>
          <w:tcPr>
            <w:tcW w:w="628" w:type="pct"/>
            <w:tcBorders>
              <w:top w:val="nil"/>
              <w:left w:val="nil"/>
              <w:right w:val="nil"/>
            </w:tcBorders>
            <w:noWrap/>
            <w:vAlign w:val="bottom"/>
          </w:tcPr>
          <w:p w14:paraId="1B577140" w14:textId="77777777" w:rsidR="00703B2B" w:rsidRPr="00C10372" w:rsidRDefault="00703B2B" w:rsidP="003C698C">
            <w:pPr>
              <w:jc w:val="right"/>
              <w:rPr>
                <w:rFonts w:ascii="Arial" w:hAnsi="Arial" w:cs="Arial"/>
                <w:b/>
                <w:sz w:val="18"/>
                <w:szCs w:val="18"/>
              </w:rPr>
            </w:pPr>
          </w:p>
        </w:tc>
        <w:tc>
          <w:tcPr>
            <w:tcW w:w="740" w:type="pct"/>
            <w:tcBorders>
              <w:top w:val="nil"/>
              <w:left w:val="nil"/>
              <w:right w:val="nil"/>
            </w:tcBorders>
            <w:noWrap/>
            <w:vAlign w:val="bottom"/>
          </w:tcPr>
          <w:p w14:paraId="04A05B40" w14:textId="77777777" w:rsidR="00703B2B" w:rsidRPr="00314E13" w:rsidRDefault="00703B2B" w:rsidP="003C698C">
            <w:pPr>
              <w:jc w:val="right"/>
              <w:rPr>
                <w:rFonts w:ascii="Arial" w:hAnsi="Arial" w:cs="Arial"/>
                <w:sz w:val="18"/>
                <w:szCs w:val="18"/>
              </w:rPr>
            </w:pPr>
          </w:p>
        </w:tc>
      </w:tr>
      <w:tr w:rsidR="00DD071B" w:rsidRPr="00073A57" w14:paraId="4B3400AB" w14:textId="77777777" w:rsidTr="001606EE">
        <w:trPr>
          <w:trHeight w:val="480"/>
        </w:trPr>
        <w:tc>
          <w:tcPr>
            <w:tcW w:w="3632" w:type="pct"/>
            <w:tcBorders>
              <w:top w:val="nil"/>
              <w:left w:val="nil"/>
              <w:right w:val="nil"/>
            </w:tcBorders>
            <w:vAlign w:val="bottom"/>
          </w:tcPr>
          <w:p w14:paraId="2D3130C7" w14:textId="77777777" w:rsidR="00DD071B" w:rsidRDefault="00DD071B" w:rsidP="00DD071B">
            <w:pPr>
              <w:rPr>
                <w:rFonts w:ascii="Arial" w:hAnsi="Arial" w:cs="Arial"/>
                <w:sz w:val="18"/>
                <w:szCs w:val="18"/>
              </w:rPr>
            </w:pPr>
            <w:r w:rsidRPr="00AF63D8">
              <w:rPr>
                <w:rFonts w:ascii="Arial" w:hAnsi="Arial" w:cs="Arial"/>
                <w:sz w:val="18"/>
                <w:szCs w:val="18"/>
              </w:rPr>
              <w:t>Ordinary interim dividend fo</w:t>
            </w:r>
            <w:r>
              <w:rPr>
                <w:rFonts w:ascii="Arial" w:hAnsi="Arial" w:cs="Arial"/>
                <w:sz w:val="18"/>
                <w:szCs w:val="18"/>
              </w:rPr>
              <w:t>r the year ended 31 January 2019</w:t>
            </w:r>
            <w:r w:rsidRPr="00AF63D8">
              <w:rPr>
                <w:rFonts w:ascii="Arial" w:hAnsi="Arial" w:cs="Arial"/>
                <w:sz w:val="18"/>
                <w:szCs w:val="18"/>
              </w:rPr>
              <w:t xml:space="preserve"> of </w:t>
            </w:r>
            <w:r w:rsidRPr="00862A00">
              <w:rPr>
                <w:rFonts w:ascii="Arial" w:hAnsi="Arial" w:cs="Arial"/>
                <w:sz w:val="18"/>
                <w:szCs w:val="18"/>
              </w:rPr>
              <w:t>3.33p</w:t>
            </w:r>
            <w:r>
              <w:rPr>
                <w:rFonts w:ascii="Arial" w:hAnsi="Arial" w:cs="Arial"/>
                <w:sz w:val="18"/>
                <w:szCs w:val="18"/>
              </w:rPr>
              <w:t xml:space="preserve"> per share</w:t>
            </w:r>
          </w:p>
          <w:p w14:paraId="5328FBC3" w14:textId="77777777" w:rsidR="00DD071B" w:rsidRPr="00073A57" w:rsidRDefault="00DD071B" w:rsidP="00DD071B">
            <w:pPr>
              <w:rPr>
                <w:rFonts w:ascii="Arial" w:hAnsi="Arial" w:cs="Arial"/>
                <w:sz w:val="18"/>
                <w:szCs w:val="18"/>
              </w:rPr>
            </w:pPr>
            <w:r>
              <w:rPr>
                <w:rFonts w:ascii="Arial" w:hAnsi="Arial" w:cs="Arial"/>
                <w:sz w:val="18"/>
                <w:szCs w:val="18"/>
              </w:rPr>
              <w:t>(year ended 31 January 2018: 3.33</w:t>
            </w:r>
            <w:r w:rsidRPr="00AF63D8">
              <w:rPr>
                <w:rFonts w:ascii="Arial" w:hAnsi="Arial" w:cs="Arial"/>
                <w:sz w:val="18"/>
                <w:szCs w:val="18"/>
              </w:rPr>
              <w:t>p per share)</w:t>
            </w:r>
          </w:p>
        </w:tc>
        <w:tc>
          <w:tcPr>
            <w:tcW w:w="628" w:type="pct"/>
            <w:tcBorders>
              <w:top w:val="nil"/>
              <w:left w:val="nil"/>
              <w:right w:val="nil"/>
            </w:tcBorders>
            <w:noWrap/>
            <w:vAlign w:val="bottom"/>
          </w:tcPr>
          <w:p w14:paraId="664F4DE4" w14:textId="77777777" w:rsidR="00DD071B" w:rsidRPr="00DD071B" w:rsidRDefault="00DD071B" w:rsidP="00DD071B">
            <w:pPr>
              <w:jc w:val="right"/>
              <w:rPr>
                <w:rFonts w:ascii="Arial" w:hAnsi="Arial" w:cs="Arial"/>
                <w:b/>
                <w:sz w:val="18"/>
                <w:szCs w:val="18"/>
                <w:highlight w:val="yellow"/>
              </w:rPr>
            </w:pPr>
            <w:r w:rsidRPr="00862A00">
              <w:rPr>
                <w:rFonts w:ascii="Arial" w:hAnsi="Arial" w:cs="Arial"/>
                <w:b/>
                <w:sz w:val="18"/>
                <w:szCs w:val="18"/>
              </w:rPr>
              <w:t>7</w:t>
            </w:r>
            <w:r w:rsidR="00862A00" w:rsidRPr="00862A00">
              <w:rPr>
                <w:rFonts w:ascii="Arial" w:hAnsi="Arial" w:cs="Arial"/>
                <w:b/>
                <w:sz w:val="18"/>
                <w:szCs w:val="18"/>
              </w:rPr>
              <w:t>1</w:t>
            </w:r>
          </w:p>
        </w:tc>
        <w:tc>
          <w:tcPr>
            <w:tcW w:w="740" w:type="pct"/>
            <w:tcBorders>
              <w:top w:val="nil"/>
              <w:left w:val="nil"/>
              <w:right w:val="nil"/>
            </w:tcBorders>
            <w:noWrap/>
            <w:vAlign w:val="bottom"/>
          </w:tcPr>
          <w:p w14:paraId="0B6C0CCE"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72</w:t>
            </w:r>
          </w:p>
        </w:tc>
      </w:tr>
      <w:tr w:rsidR="00DD071B" w:rsidRPr="00073A57" w14:paraId="33B05D25" w14:textId="77777777" w:rsidTr="001606EE">
        <w:trPr>
          <w:trHeight w:val="480"/>
        </w:trPr>
        <w:tc>
          <w:tcPr>
            <w:tcW w:w="3632" w:type="pct"/>
            <w:tcBorders>
              <w:top w:val="nil"/>
              <w:left w:val="nil"/>
              <w:bottom w:val="nil"/>
              <w:right w:val="nil"/>
            </w:tcBorders>
            <w:vAlign w:val="bottom"/>
          </w:tcPr>
          <w:p w14:paraId="250A850D" w14:textId="77777777" w:rsidR="00DD071B" w:rsidRDefault="00DD071B" w:rsidP="00DD071B">
            <w:pPr>
              <w:rPr>
                <w:rFonts w:ascii="Arial" w:hAnsi="Arial" w:cs="Arial"/>
                <w:sz w:val="18"/>
                <w:szCs w:val="18"/>
              </w:rPr>
            </w:pPr>
            <w:r w:rsidRPr="00AF63D8">
              <w:rPr>
                <w:rFonts w:ascii="Arial" w:hAnsi="Arial" w:cs="Arial"/>
                <w:sz w:val="18"/>
                <w:szCs w:val="18"/>
              </w:rPr>
              <w:t>Ordinary final dividend fo</w:t>
            </w:r>
            <w:r>
              <w:rPr>
                <w:rFonts w:ascii="Arial" w:hAnsi="Arial" w:cs="Arial"/>
                <w:sz w:val="18"/>
                <w:szCs w:val="18"/>
              </w:rPr>
              <w:t>r the year ended 31 January 2018</w:t>
            </w:r>
            <w:r w:rsidRPr="00AF63D8">
              <w:rPr>
                <w:rFonts w:ascii="Arial" w:hAnsi="Arial" w:cs="Arial"/>
                <w:sz w:val="18"/>
                <w:szCs w:val="18"/>
              </w:rPr>
              <w:t xml:space="preserve"> of </w:t>
            </w:r>
            <w:r w:rsidRPr="001F707B">
              <w:rPr>
                <w:rFonts w:ascii="Arial" w:hAnsi="Arial" w:cs="Arial"/>
                <w:sz w:val="18"/>
                <w:szCs w:val="18"/>
              </w:rPr>
              <w:t>7.</w:t>
            </w:r>
            <w:r>
              <w:rPr>
                <w:rFonts w:ascii="Arial" w:hAnsi="Arial" w:cs="Arial"/>
                <w:sz w:val="18"/>
                <w:szCs w:val="18"/>
              </w:rPr>
              <w:t>49</w:t>
            </w:r>
            <w:r w:rsidRPr="001F707B">
              <w:rPr>
                <w:rFonts w:ascii="Arial" w:hAnsi="Arial" w:cs="Arial"/>
                <w:sz w:val="18"/>
                <w:szCs w:val="18"/>
              </w:rPr>
              <w:t>p</w:t>
            </w:r>
            <w:r>
              <w:rPr>
                <w:rFonts w:ascii="Arial" w:hAnsi="Arial" w:cs="Arial"/>
                <w:sz w:val="18"/>
                <w:szCs w:val="18"/>
              </w:rPr>
              <w:t xml:space="preserve"> per share</w:t>
            </w:r>
          </w:p>
          <w:p w14:paraId="1F9F10E7" w14:textId="77777777" w:rsidR="00DD071B" w:rsidRPr="00073A57" w:rsidRDefault="00DD071B" w:rsidP="00DD071B">
            <w:pPr>
              <w:rPr>
                <w:rFonts w:ascii="Arial" w:hAnsi="Arial" w:cs="Arial"/>
                <w:sz w:val="18"/>
                <w:szCs w:val="18"/>
              </w:rPr>
            </w:pPr>
            <w:r w:rsidRPr="00AF63D8">
              <w:rPr>
                <w:rFonts w:ascii="Arial" w:hAnsi="Arial" w:cs="Arial"/>
                <w:sz w:val="18"/>
                <w:szCs w:val="18"/>
              </w:rPr>
              <w:t>(</w:t>
            </w:r>
            <w:r>
              <w:rPr>
                <w:rFonts w:ascii="Arial" w:hAnsi="Arial" w:cs="Arial"/>
                <w:sz w:val="18"/>
                <w:szCs w:val="18"/>
              </w:rPr>
              <w:t xml:space="preserve">year ended </w:t>
            </w:r>
            <w:r w:rsidRPr="00AF63D8">
              <w:rPr>
                <w:rFonts w:ascii="Arial" w:hAnsi="Arial" w:cs="Arial"/>
                <w:sz w:val="18"/>
                <w:szCs w:val="18"/>
              </w:rPr>
              <w:t>31 January 201</w:t>
            </w:r>
            <w:r>
              <w:rPr>
                <w:rFonts w:ascii="Arial" w:hAnsi="Arial" w:cs="Arial"/>
                <w:sz w:val="18"/>
                <w:szCs w:val="18"/>
              </w:rPr>
              <w:t>7: 7.15</w:t>
            </w:r>
            <w:r w:rsidRPr="00AF63D8">
              <w:rPr>
                <w:rFonts w:ascii="Arial" w:hAnsi="Arial" w:cs="Arial"/>
                <w:sz w:val="18"/>
                <w:szCs w:val="18"/>
              </w:rPr>
              <w:t>p per share)</w:t>
            </w:r>
          </w:p>
        </w:tc>
        <w:tc>
          <w:tcPr>
            <w:tcW w:w="628" w:type="pct"/>
            <w:tcBorders>
              <w:top w:val="nil"/>
              <w:left w:val="nil"/>
              <w:bottom w:val="nil"/>
              <w:right w:val="nil"/>
            </w:tcBorders>
            <w:noWrap/>
            <w:vAlign w:val="bottom"/>
          </w:tcPr>
          <w:p w14:paraId="345824D7" w14:textId="77777777" w:rsidR="00DD071B" w:rsidRPr="00DD071B" w:rsidRDefault="003F37F4" w:rsidP="00DD071B">
            <w:pPr>
              <w:jc w:val="right"/>
              <w:rPr>
                <w:rFonts w:ascii="Arial" w:hAnsi="Arial" w:cs="Arial"/>
                <w:b/>
                <w:sz w:val="18"/>
                <w:szCs w:val="18"/>
                <w:highlight w:val="yellow"/>
              </w:rPr>
            </w:pPr>
            <w:r w:rsidRPr="003F37F4">
              <w:rPr>
                <w:rFonts w:ascii="Arial" w:hAnsi="Arial" w:cs="Arial"/>
                <w:b/>
                <w:sz w:val="18"/>
                <w:szCs w:val="18"/>
              </w:rPr>
              <w:t>16</w:t>
            </w:r>
            <w:r w:rsidR="00862A00">
              <w:rPr>
                <w:rFonts w:ascii="Arial" w:hAnsi="Arial" w:cs="Arial"/>
                <w:b/>
                <w:sz w:val="18"/>
                <w:szCs w:val="18"/>
              </w:rPr>
              <w:t>0</w:t>
            </w:r>
          </w:p>
        </w:tc>
        <w:tc>
          <w:tcPr>
            <w:tcW w:w="740" w:type="pct"/>
            <w:tcBorders>
              <w:top w:val="nil"/>
              <w:left w:val="nil"/>
              <w:bottom w:val="nil"/>
              <w:right w:val="nil"/>
            </w:tcBorders>
            <w:noWrap/>
            <w:vAlign w:val="bottom"/>
          </w:tcPr>
          <w:p w14:paraId="348A2B6A"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159</w:t>
            </w:r>
          </w:p>
        </w:tc>
      </w:tr>
      <w:tr w:rsidR="00DD071B" w:rsidRPr="00314E13" w14:paraId="56C3E236" w14:textId="77777777" w:rsidTr="001606EE">
        <w:trPr>
          <w:trHeight w:val="255"/>
        </w:trPr>
        <w:tc>
          <w:tcPr>
            <w:tcW w:w="3632" w:type="pct"/>
            <w:tcBorders>
              <w:top w:val="single" w:sz="4" w:space="0" w:color="auto"/>
              <w:left w:val="nil"/>
              <w:bottom w:val="single" w:sz="12" w:space="0" w:color="auto"/>
              <w:right w:val="nil"/>
            </w:tcBorders>
            <w:noWrap/>
            <w:vAlign w:val="bottom"/>
          </w:tcPr>
          <w:p w14:paraId="0FF233E7" w14:textId="77777777" w:rsidR="00DD071B" w:rsidRPr="00073A57" w:rsidRDefault="00DD071B" w:rsidP="00DD071B">
            <w:pPr>
              <w:rPr>
                <w:rFonts w:ascii="Arial" w:hAnsi="Arial" w:cs="Arial"/>
                <w:sz w:val="18"/>
                <w:szCs w:val="18"/>
              </w:rPr>
            </w:pPr>
            <w:r w:rsidRPr="00073A57">
              <w:rPr>
                <w:rFonts w:ascii="Arial" w:hAnsi="Arial" w:cs="Arial"/>
                <w:sz w:val="18"/>
                <w:szCs w:val="18"/>
              </w:rPr>
              <w:t> </w:t>
            </w:r>
          </w:p>
        </w:tc>
        <w:tc>
          <w:tcPr>
            <w:tcW w:w="628" w:type="pct"/>
            <w:tcBorders>
              <w:top w:val="single" w:sz="4" w:space="0" w:color="auto"/>
              <w:left w:val="nil"/>
              <w:bottom w:val="single" w:sz="12" w:space="0" w:color="auto"/>
              <w:right w:val="nil"/>
            </w:tcBorders>
            <w:noWrap/>
            <w:vAlign w:val="bottom"/>
          </w:tcPr>
          <w:p w14:paraId="59BDE821" w14:textId="77777777" w:rsidR="00DD071B" w:rsidRPr="00DD071B" w:rsidRDefault="00DD071B" w:rsidP="00DD071B">
            <w:pPr>
              <w:jc w:val="right"/>
              <w:rPr>
                <w:rFonts w:ascii="Arial" w:hAnsi="Arial" w:cs="Arial"/>
                <w:b/>
                <w:sz w:val="18"/>
                <w:szCs w:val="18"/>
                <w:highlight w:val="yellow"/>
              </w:rPr>
            </w:pPr>
            <w:r w:rsidRPr="00862A00">
              <w:rPr>
                <w:rFonts w:ascii="Arial" w:hAnsi="Arial" w:cs="Arial"/>
                <w:b/>
                <w:sz w:val="18"/>
                <w:szCs w:val="18"/>
              </w:rPr>
              <w:t>231</w:t>
            </w:r>
          </w:p>
        </w:tc>
        <w:tc>
          <w:tcPr>
            <w:tcW w:w="740" w:type="pct"/>
            <w:tcBorders>
              <w:top w:val="single" w:sz="4" w:space="0" w:color="auto"/>
              <w:left w:val="nil"/>
              <w:bottom w:val="single" w:sz="12" w:space="0" w:color="auto"/>
              <w:right w:val="nil"/>
            </w:tcBorders>
            <w:noWrap/>
            <w:vAlign w:val="bottom"/>
          </w:tcPr>
          <w:p w14:paraId="657F1134"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231</w:t>
            </w:r>
          </w:p>
        </w:tc>
      </w:tr>
    </w:tbl>
    <w:p w14:paraId="33CA2828" w14:textId="77777777" w:rsidR="00703B2B" w:rsidRPr="00314E13" w:rsidRDefault="00703B2B" w:rsidP="00703B2B">
      <w:pPr>
        <w:rPr>
          <w:rFonts w:ascii="Arial" w:hAnsi="Arial" w:cs="Arial"/>
          <w:sz w:val="18"/>
          <w:szCs w:val="18"/>
        </w:rPr>
      </w:pPr>
    </w:p>
    <w:p w14:paraId="6D7347A4" w14:textId="334B240A" w:rsidR="00703B2B" w:rsidRPr="00EF1091" w:rsidRDefault="00AF63D8" w:rsidP="00BA0967">
      <w:pPr>
        <w:pStyle w:val="BodyText3"/>
        <w:jc w:val="both"/>
        <w:rPr>
          <w:rFonts w:ascii="Arial" w:hAnsi="Arial" w:cs="Arial"/>
          <w:color w:val="auto"/>
          <w:szCs w:val="18"/>
        </w:rPr>
      </w:pPr>
      <w:r w:rsidRPr="00AF63D8">
        <w:rPr>
          <w:rFonts w:ascii="Arial" w:hAnsi="Arial" w:cs="Arial"/>
          <w:color w:val="auto"/>
          <w:szCs w:val="18"/>
        </w:rPr>
        <w:t>The proposed final dividend fo</w:t>
      </w:r>
      <w:r w:rsidR="00494055">
        <w:rPr>
          <w:rFonts w:ascii="Arial" w:hAnsi="Arial" w:cs="Arial"/>
          <w:color w:val="auto"/>
          <w:szCs w:val="18"/>
        </w:rPr>
        <w:t>r the year ended 31 January 201</w:t>
      </w:r>
      <w:r w:rsidR="00DD071B">
        <w:rPr>
          <w:rFonts w:ascii="Arial" w:hAnsi="Arial" w:cs="Arial"/>
          <w:color w:val="auto"/>
          <w:szCs w:val="18"/>
        </w:rPr>
        <w:t>9</w:t>
      </w:r>
      <w:r w:rsidR="00B4663A">
        <w:rPr>
          <w:rFonts w:ascii="Arial" w:hAnsi="Arial" w:cs="Arial"/>
          <w:color w:val="auto"/>
          <w:szCs w:val="18"/>
        </w:rPr>
        <w:t xml:space="preserve"> </w:t>
      </w:r>
      <w:r w:rsidR="00B4663A" w:rsidRPr="00846218">
        <w:rPr>
          <w:rFonts w:ascii="Arial" w:hAnsi="Arial" w:cs="Arial"/>
          <w:color w:val="auto"/>
          <w:szCs w:val="18"/>
        </w:rPr>
        <w:t xml:space="preserve">of </w:t>
      </w:r>
      <w:r w:rsidR="00FE54C5">
        <w:rPr>
          <w:rFonts w:ascii="Arial" w:hAnsi="Arial" w:cs="Arial"/>
          <w:color w:val="auto"/>
          <w:szCs w:val="18"/>
        </w:rPr>
        <w:t>7.4</w:t>
      </w:r>
      <w:r w:rsidR="001B1A98">
        <w:rPr>
          <w:rFonts w:ascii="Arial" w:hAnsi="Arial" w:cs="Arial"/>
          <w:color w:val="auto"/>
          <w:szCs w:val="18"/>
        </w:rPr>
        <w:t>9</w:t>
      </w:r>
      <w:r w:rsidR="00B1135B" w:rsidRPr="00846218">
        <w:rPr>
          <w:rFonts w:ascii="Arial" w:hAnsi="Arial" w:cs="Arial"/>
          <w:color w:val="auto"/>
          <w:szCs w:val="18"/>
        </w:rPr>
        <w:t>p</w:t>
      </w:r>
      <w:r w:rsidRPr="00846218">
        <w:rPr>
          <w:rFonts w:ascii="Arial" w:hAnsi="Arial" w:cs="Arial"/>
          <w:color w:val="auto"/>
          <w:szCs w:val="18"/>
        </w:rPr>
        <w:t xml:space="preserve"> per </w:t>
      </w:r>
      <w:r w:rsidR="00FA6DC8" w:rsidRPr="00846218">
        <w:rPr>
          <w:rFonts w:ascii="Arial" w:hAnsi="Arial" w:cs="Arial"/>
          <w:color w:val="auto"/>
          <w:szCs w:val="18"/>
        </w:rPr>
        <w:t xml:space="preserve">ordinary </w:t>
      </w:r>
      <w:r w:rsidRPr="00846218">
        <w:rPr>
          <w:rFonts w:ascii="Arial" w:hAnsi="Arial" w:cs="Arial"/>
          <w:color w:val="auto"/>
          <w:szCs w:val="18"/>
        </w:rPr>
        <w:t xml:space="preserve">share </w:t>
      </w:r>
      <w:r w:rsidR="00A96339" w:rsidRPr="00846218">
        <w:rPr>
          <w:rFonts w:ascii="Arial" w:hAnsi="Arial" w:cs="Arial"/>
          <w:color w:val="auto"/>
          <w:szCs w:val="18"/>
        </w:rPr>
        <w:t>(amounting to £</w:t>
      </w:r>
      <w:r w:rsidR="00BD1725">
        <w:rPr>
          <w:rFonts w:ascii="Arial" w:hAnsi="Arial" w:cs="Arial"/>
          <w:color w:val="auto"/>
          <w:szCs w:val="18"/>
        </w:rPr>
        <w:t>158</w:t>
      </w:r>
      <w:r w:rsidR="00A96339" w:rsidRPr="00BD2A1A">
        <w:rPr>
          <w:rFonts w:ascii="Arial" w:hAnsi="Arial" w:cs="Arial"/>
          <w:color w:val="auto"/>
          <w:szCs w:val="18"/>
        </w:rPr>
        <w:t>m</w:t>
      </w:r>
      <w:r w:rsidR="00A96339" w:rsidRPr="00FA21A3">
        <w:rPr>
          <w:rFonts w:ascii="Arial" w:hAnsi="Arial" w:cs="Arial"/>
          <w:color w:val="auto"/>
          <w:szCs w:val="18"/>
        </w:rPr>
        <w:t xml:space="preserve">, based on the issued share capital at </w:t>
      </w:r>
      <w:r w:rsidR="00D51C18">
        <w:rPr>
          <w:rFonts w:ascii="Arial" w:hAnsi="Arial" w:cs="Arial"/>
          <w:color w:val="auto"/>
          <w:szCs w:val="18"/>
        </w:rPr>
        <w:t xml:space="preserve">the </w:t>
      </w:r>
      <w:r w:rsidR="00A96339" w:rsidRPr="00FA21A3">
        <w:rPr>
          <w:rFonts w:ascii="Arial" w:hAnsi="Arial" w:cs="Arial"/>
          <w:color w:val="auto"/>
          <w:szCs w:val="18"/>
        </w:rPr>
        <w:t>year end)</w:t>
      </w:r>
      <w:r w:rsidR="00A96339" w:rsidRPr="00FA6DC8" w:rsidDel="00A96339">
        <w:rPr>
          <w:rFonts w:ascii="Arial" w:hAnsi="Arial" w:cs="Arial"/>
          <w:color w:val="auto"/>
          <w:szCs w:val="18"/>
        </w:rPr>
        <w:t xml:space="preserve"> </w:t>
      </w:r>
      <w:r w:rsidRPr="00AF63D8">
        <w:rPr>
          <w:rFonts w:ascii="Arial" w:hAnsi="Arial" w:cs="Arial"/>
          <w:color w:val="auto"/>
          <w:szCs w:val="18"/>
        </w:rPr>
        <w:t>is subject to approval by shareholders at the Annual General Meeting and has not been included as a liability</w:t>
      </w:r>
      <w:r w:rsidR="00D61AF8">
        <w:rPr>
          <w:rFonts w:ascii="Arial" w:hAnsi="Arial" w:cs="Arial"/>
          <w:color w:val="auto"/>
          <w:szCs w:val="18"/>
        </w:rPr>
        <w:t xml:space="preserve"> in the</w:t>
      </w:r>
      <w:r w:rsidR="00FD6967">
        <w:rPr>
          <w:rFonts w:ascii="Arial" w:hAnsi="Arial" w:cs="Arial"/>
          <w:color w:val="auto"/>
          <w:szCs w:val="18"/>
        </w:rPr>
        <w:t>se condensed</w:t>
      </w:r>
      <w:r w:rsidR="00D61AF8">
        <w:rPr>
          <w:rFonts w:ascii="Arial" w:hAnsi="Arial" w:cs="Arial"/>
          <w:color w:val="auto"/>
          <w:szCs w:val="18"/>
        </w:rPr>
        <w:t xml:space="preserve"> financial statements</w:t>
      </w:r>
      <w:r w:rsidRPr="00AF63D8">
        <w:rPr>
          <w:rFonts w:ascii="Arial" w:hAnsi="Arial" w:cs="Arial"/>
          <w:color w:val="auto"/>
          <w:szCs w:val="18"/>
        </w:rPr>
        <w:t>.</w:t>
      </w:r>
    </w:p>
    <w:p w14:paraId="7A9058DC" w14:textId="77777777" w:rsidR="00417AA7" w:rsidRPr="00D06092" w:rsidRDefault="000B05B7" w:rsidP="00BA0967">
      <w:pPr>
        <w:pStyle w:val="Heading1"/>
        <w:ind w:left="-709"/>
        <w:rPr>
          <w:rFonts w:ascii="Arial" w:hAnsi="Arial" w:cs="Arial"/>
          <w:szCs w:val="18"/>
        </w:rPr>
      </w:pPr>
      <w:r>
        <w:rPr>
          <w:rFonts w:ascii="Arial" w:hAnsi="Arial" w:cs="Arial"/>
          <w:szCs w:val="18"/>
        </w:rPr>
        <w:br w:type="page"/>
      </w:r>
      <w:r w:rsidR="00F5490C" w:rsidRPr="00D06092">
        <w:rPr>
          <w:rFonts w:ascii="Arial" w:hAnsi="Arial" w:cs="Arial"/>
          <w:szCs w:val="18"/>
        </w:rPr>
        <w:lastRenderedPageBreak/>
        <w:t xml:space="preserve"> </w:t>
      </w:r>
      <w:r w:rsidR="00F764F7" w:rsidRPr="00237C1D">
        <w:rPr>
          <w:rFonts w:ascii="Arial" w:hAnsi="Arial" w:cs="Arial"/>
          <w:szCs w:val="18"/>
        </w:rPr>
        <w:t>9</w:t>
      </w:r>
      <w:r w:rsidR="00063837" w:rsidRPr="00237C1D">
        <w:rPr>
          <w:rFonts w:ascii="Arial" w:hAnsi="Arial" w:cs="Arial"/>
          <w:szCs w:val="18"/>
        </w:rPr>
        <w:tab/>
      </w:r>
      <w:r w:rsidR="00417AA7" w:rsidRPr="00237C1D">
        <w:rPr>
          <w:rFonts w:ascii="Arial" w:hAnsi="Arial" w:cs="Arial"/>
          <w:szCs w:val="18"/>
        </w:rPr>
        <w:t>Post</w:t>
      </w:r>
      <w:r w:rsidR="00C7725C" w:rsidRPr="00237C1D">
        <w:rPr>
          <w:rFonts w:ascii="Arial" w:hAnsi="Arial" w:cs="Arial"/>
          <w:szCs w:val="18"/>
        </w:rPr>
        <w:t>-</w:t>
      </w:r>
      <w:r w:rsidR="00417AA7" w:rsidRPr="00237C1D">
        <w:rPr>
          <w:rFonts w:ascii="Arial" w:hAnsi="Arial" w:cs="Arial"/>
          <w:szCs w:val="18"/>
        </w:rPr>
        <w:t>employment benefits</w:t>
      </w:r>
    </w:p>
    <w:p w14:paraId="0EADDA8C" w14:textId="77777777" w:rsidR="003F63F2" w:rsidRDefault="003F63F2" w:rsidP="00192C71">
      <w:pPr>
        <w:rPr>
          <w:rFonts w:ascii="Arial" w:hAnsi="Arial" w:cs="Arial"/>
          <w:sz w:val="18"/>
          <w:szCs w:val="18"/>
        </w:rPr>
      </w:pPr>
    </w:p>
    <w:tbl>
      <w:tblPr>
        <w:tblW w:w="5010" w:type="pct"/>
        <w:tblLayout w:type="fixed"/>
        <w:tblLook w:val="0000" w:firstRow="0" w:lastRow="0" w:firstColumn="0" w:lastColumn="0" w:noHBand="0" w:noVBand="0"/>
      </w:tblPr>
      <w:tblGrid>
        <w:gridCol w:w="4184"/>
        <w:gridCol w:w="919"/>
        <w:gridCol w:w="993"/>
        <w:gridCol w:w="807"/>
        <w:gridCol w:w="804"/>
        <w:gridCol w:w="1136"/>
        <w:gridCol w:w="815"/>
      </w:tblGrid>
      <w:tr w:rsidR="0056367A" w:rsidRPr="00D83C7E" w14:paraId="3A4C3ED5" w14:textId="77777777" w:rsidTr="001606EE">
        <w:trPr>
          <w:trHeight w:val="255"/>
        </w:trPr>
        <w:tc>
          <w:tcPr>
            <w:tcW w:w="2166" w:type="pct"/>
            <w:tcBorders>
              <w:top w:val="nil"/>
              <w:left w:val="nil"/>
              <w:bottom w:val="nil"/>
              <w:right w:val="nil"/>
            </w:tcBorders>
            <w:noWrap/>
            <w:vAlign w:val="bottom"/>
          </w:tcPr>
          <w:p w14:paraId="3EA5F29E" w14:textId="77777777" w:rsidR="0056367A" w:rsidRPr="00D83C7E" w:rsidRDefault="0056367A" w:rsidP="00645FF3">
            <w:pPr>
              <w:rPr>
                <w:rFonts w:ascii="Arial" w:hAnsi="Arial" w:cs="Arial"/>
                <w:sz w:val="18"/>
                <w:szCs w:val="18"/>
              </w:rPr>
            </w:pPr>
          </w:p>
        </w:tc>
        <w:tc>
          <w:tcPr>
            <w:tcW w:w="1408" w:type="pct"/>
            <w:gridSpan w:val="3"/>
            <w:tcBorders>
              <w:top w:val="nil"/>
              <w:left w:val="nil"/>
              <w:bottom w:val="single" w:sz="4" w:space="0" w:color="auto"/>
              <w:right w:val="nil"/>
            </w:tcBorders>
            <w:noWrap/>
            <w:vAlign w:val="bottom"/>
          </w:tcPr>
          <w:p w14:paraId="7F59755B" w14:textId="77777777" w:rsidR="002E3A5E" w:rsidRPr="00EF1091" w:rsidRDefault="0023662D" w:rsidP="00DD071B">
            <w:pPr>
              <w:jc w:val="right"/>
              <w:rPr>
                <w:rFonts w:ascii="Arial" w:hAnsi="Arial" w:cs="Arial"/>
                <w:sz w:val="18"/>
                <w:szCs w:val="18"/>
              </w:rPr>
            </w:pPr>
            <w:r>
              <w:rPr>
                <w:rFonts w:ascii="Arial" w:hAnsi="Arial" w:cs="Arial"/>
                <w:sz w:val="18"/>
                <w:szCs w:val="18"/>
              </w:rPr>
              <w:t>201</w:t>
            </w:r>
            <w:r w:rsidR="00DD071B">
              <w:rPr>
                <w:rFonts w:ascii="Arial" w:hAnsi="Arial" w:cs="Arial"/>
                <w:sz w:val="18"/>
                <w:szCs w:val="18"/>
              </w:rPr>
              <w:t>8</w:t>
            </w:r>
            <w:r w:rsidR="0056367A">
              <w:rPr>
                <w:rFonts w:ascii="Arial" w:hAnsi="Arial" w:cs="Arial"/>
                <w:sz w:val="18"/>
                <w:szCs w:val="18"/>
              </w:rPr>
              <w:t>/1</w:t>
            </w:r>
            <w:r w:rsidR="00DD071B">
              <w:rPr>
                <w:rFonts w:ascii="Arial" w:hAnsi="Arial" w:cs="Arial"/>
                <w:sz w:val="18"/>
                <w:szCs w:val="18"/>
              </w:rPr>
              <w:t>9</w:t>
            </w:r>
          </w:p>
        </w:tc>
        <w:tc>
          <w:tcPr>
            <w:tcW w:w="1426" w:type="pct"/>
            <w:gridSpan w:val="3"/>
            <w:tcBorders>
              <w:top w:val="nil"/>
              <w:left w:val="nil"/>
              <w:bottom w:val="single" w:sz="4" w:space="0" w:color="auto"/>
              <w:right w:val="nil"/>
            </w:tcBorders>
            <w:noWrap/>
            <w:vAlign w:val="bottom"/>
          </w:tcPr>
          <w:p w14:paraId="25F81BB9" w14:textId="77777777" w:rsidR="002E3A5E" w:rsidRPr="00EF1091" w:rsidRDefault="00A93726" w:rsidP="00DD071B">
            <w:pPr>
              <w:jc w:val="right"/>
              <w:rPr>
                <w:rFonts w:ascii="Arial" w:hAnsi="Arial" w:cs="Arial"/>
                <w:sz w:val="18"/>
                <w:szCs w:val="18"/>
              </w:rPr>
            </w:pPr>
            <w:r>
              <w:rPr>
                <w:rFonts w:ascii="Arial" w:hAnsi="Arial" w:cs="Arial"/>
                <w:sz w:val="18"/>
                <w:szCs w:val="18"/>
              </w:rPr>
              <w:t>201</w:t>
            </w:r>
            <w:r w:rsidR="00DD071B">
              <w:rPr>
                <w:rFonts w:ascii="Arial" w:hAnsi="Arial" w:cs="Arial"/>
                <w:sz w:val="18"/>
                <w:szCs w:val="18"/>
              </w:rPr>
              <w:t>7</w:t>
            </w:r>
            <w:r w:rsidR="00A16DC9">
              <w:rPr>
                <w:rFonts w:ascii="Arial" w:hAnsi="Arial" w:cs="Arial"/>
                <w:sz w:val="18"/>
                <w:szCs w:val="18"/>
              </w:rPr>
              <w:t>/1</w:t>
            </w:r>
            <w:r w:rsidR="00DD071B">
              <w:rPr>
                <w:rFonts w:ascii="Arial" w:hAnsi="Arial" w:cs="Arial"/>
                <w:sz w:val="18"/>
                <w:szCs w:val="18"/>
              </w:rPr>
              <w:t>8</w:t>
            </w:r>
          </w:p>
        </w:tc>
      </w:tr>
      <w:tr w:rsidR="00C9319D" w:rsidRPr="00D83C7E" w14:paraId="6AFAA7EE" w14:textId="77777777" w:rsidTr="00A93726">
        <w:trPr>
          <w:trHeight w:val="240"/>
        </w:trPr>
        <w:tc>
          <w:tcPr>
            <w:tcW w:w="2166" w:type="pct"/>
            <w:tcBorders>
              <w:top w:val="nil"/>
              <w:left w:val="nil"/>
              <w:bottom w:val="nil"/>
              <w:right w:val="nil"/>
            </w:tcBorders>
            <w:noWrap/>
            <w:vAlign w:val="bottom"/>
          </w:tcPr>
          <w:p w14:paraId="1A1334D1" w14:textId="77777777" w:rsidR="003F63F2" w:rsidRPr="00D83C7E" w:rsidRDefault="003F63F2" w:rsidP="00645FF3">
            <w:pPr>
              <w:rPr>
                <w:rFonts w:ascii="Arial" w:hAnsi="Arial" w:cs="Arial"/>
                <w:sz w:val="18"/>
                <w:szCs w:val="18"/>
              </w:rPr>
            </w:pPr>
            <w:r w:rsidRPr="00D83C7E">
              <w:rPr>
                <w:rFonts w:ascii="Arial" w:hAnsi="Arial" w:cs="Arial"/>
                <w:sz w:val="18"/>
                <w:szCs w:val="18"/>
              </w:rPr>
              <w:t>£ millions</w:t>
            </w:r>
          </w:p>
        </w:tc>
        <w:tc>
          <w:tcPr>
            <w:tcW w:w="476" w:type="pct"/>
            <w:tcBorders>
              <w:top w:val="nil"/>
              <w:left w:val="nil"/>
              <w:bottom w:val="single" w:sz="4" w:space="0" w:color="auto"/>
              <w:right w:val="nil"/>
            </w:tcBorders>
            <w:noWrap/>
            <w:vAlign w:val="bottom"/>
          </w:tcPr>
          <w:p w14:paraId="6DDDFBAE" w14:textId="77777777" w:rsidR="003F63F2" w:rsidRPr="00D83C7E" w:rsidRDefault="003F63F2" w:rsidP="00645FF3">
            <w:pPr>
              <w:jc w:val="right"/>
              <w:rPr>
                <w:rFonts w:ascii="Arial" w:hAnsi="Arial" w:cs="Arial"/>
                <w:sz w:val="18"/>
                <w:szCs w:val="18"/>
              </w:rPr>
            </w:pPr>
            <w:smartTag w:uri="urn:schemas-microsoft-com:office:smarttags" w:element="place">
              <w:smartTag w:uri="urn:schemas-microsoft-com:office:smarttags" w:element="country-region">
                <w:r w:rsidRPr="00D83C7E">
                  <w:rPr>
                    <w:rFonts w:ascii="Arial" w:hAnsi="Arial" w:cs="Arial"/>
                    <w:sz w:val="18"/>
                    <w:szCs w:val="18"/>
                  </w:rPr>
                  <w:t>UK</w:t>
                </w:r>
              </w:smartTag>
            </w:smartTag>
          </w:p>
        </w:tc>
        <w:tc>
          <w:tcPr>
            <w:tcW w:w="514" w:type="pct"/>
            <w:tcBorders>
              <w:top w:val="nil"/>
              <w:left w:val="nil"/>
              <w:bottom w:val="single" w:sz="4" w:space="0" w:color="auto"/>
              <w:right w:val="nil"/>
            </w:tcBorders>
            <w:noWrap/>
            <w:vAlign w:val="bottom"/>
          </w:tcPr>
          <w:p w14:paraId="780D4688" w14:textId="77777777" w:rsidR="003F63F2" w:rsidRPr="00D83C7E" w:rsidRDefault="009B491D" w:rsidP="00645FF3">
            <w:pPr>
              <w:jc w:val="right"/>
              <w:rPr>
                <w:rFonts w:ascii="Arial" w:hAnsi="Arial" w:cs="Arial"/>
                <w:sz w:val="18"/>
                <w:szCs w:val="18"/>
              </w:rPr>
            </w:pPr>
            <w:r>
              <w:rPr>
                <w:rFonts w:ascii="Arial" w:hAnsi="Arial" w:cs="Arial"/>
                <w:sz w:val="18"/>
                <w:szCs w:val="18"/>
              </w:rPr>
              <w:t>Overseas</w:t>
            </w:r>
          </w:p>
        </w:tc>
        <w:tc>
          <w:tcPr>
            <w:tcW w:w="418" w:type="pct"/>
            <w:tcBorders>
              <w:top w:val="nil"/>
              <w:left w:val="nil"/>
              <w:bottom w:val="single" w:sz="4" w:space="0" w:color="auto"/>
              <w:right w:val="nil"/>
            </w:tcBorders>
            <w:noWrap/>
            <w:vAlign w:val="bottom"/>
          </w:tcPr>
          <w:p w14:paraId="3057C738" w14:textId="77777777" w:rsidR="003F63F2" w:rsidRPr="00D83C7E" w:rsidRDefault="003F63F2" w:rsidP="00645FF3">
            <w:pPr>
              <w:jc w:val="right"/>
              <w:rPr>
                <w:rFonts w:ascii="Arial" w:hAnsi="Arial" w:cs="Arial"/>
                <w:sz w:val="18"/>
                <w:szCs w:val="18"/>
              </w:rPr>
            </w:pPr>
            <w:r w:rsidRPr="00D83C7E">
              <w:rPr>
                <w:rFonts w:ascii="Arial" w:hAnsi="Arial" w:cs="Arial"/>
                <w:sz w:val="18"/>
                <w:szCs w:val="18"/>
              </w:rPr>
              <w:t>Total</w:t>
            </w:r>
          </w:p>
        </w:tc>
        <w:tc>
          <w:tcPr>
            <w:tcW w:w="416" w:type="pct"/>
            <w:tcBorders>
              <w:top w:val="nil"/>
              <w:left w:val="nil"/>
              <w:bottom w:val="single" w:sz="4" w:space="0" w:color="auto"/>
              <w:right w:val="nil"/>
            </w:tcBorders>
            <w:noWrap/>
            <w:vAlign w:val="bottom"/>
          </w:tcPr>
          <w:p w14:paraId="328273E7" w14:textId="77777777" w:rsidR="003F63F2" w:rsidRPr="00D83C7E" w:rsidRDefault="003F63F2" w:rsidP="00645FF3">
            <w:pPr>
              <w:jc w:val="right"/>
              <w:rPr>
                <w:rFonts w:ascii="Arial" w:hAnsi="Arial" w:cs="Arial"/>
                <w:sz w:val="18"/>
                <w:szCs w:val="18"/>
              </w:rPr>
            </w:pPr>
            <w:smartTag w:uri="urn:schemas-microsoft-com:office:smarttags" w:element="place">
              <w:smartTag w:uri="urn:schemas-microsoft-com:office:smarttags" w:element="country-region">
                <w:r w:rsidRPr="00D83C7E">
                  <w:rPr>
                    <w:rFonts w:ascii="Arial" w:hAnsi="Arial" w:cs="Arial"/>
                    <w:sz w:val="18"/>
                    <w:szCs w:val="18"/>
                  </w:rPr>
                  <w:t>UK</w:t>
                </w:r>
              </w:smartTag>
            </w:smartTag>
          </w:p>
        </w:tc>
        <w:tc>
          <w:tcPr>
            <w:tcW w:w="588" w:type="pct"/>
            <w:tcBorders>
              <w:top w:val="nil"/>
              <w:left w:val="nil"/>
              <w:bottom w:val="single" w:sz="4" w:space="0" w:color="auto"/>
              <w:right w:val="nil"/>
            </w:tcBorders>
            <w:noWrap/>
            <w:vAlign w:val="bottom"/>
          </w:tcPr>
          <w:p w14:paraId="51A54679" w14:textId="77777777" w:rsidR="003F63F2" w:rsidRPr="00D83C7E" w:rsidRDefault="009B491D" w:rsidP="00645FF3">
            <w:pPr>
              <w:jc w:val="right"/>
              <w:rPr>
                <w:rFonts w:ascii="Arial" w:hAnsi="Arial" w:cs="Arial"/>
                <w:sz w:val="18"/>
                <w:szCs w:val="18"/>
              </w:rPr>
            </w:pPr>
            <w:r>
              <w:rPr>
                <w:rFonts w:ascii="Arial" w:hAnsi="Arial" w:cs="Arial"/>
                <w:sz w:val="18"/>
                <w:szCs w:val="18"/>
              </w:rPr>
              <w:t>Overseas</w:t>
            </w:r>
          </w:p>
        </w:tc>
        <w:tc>
          <w:tcPr>
            <w:tcW w:w="422" w:type="pct"/>
            <w:tcBorders>
              <w:top w:val="nil"/>
              <w:left w:val="nil"/>
              <w:bottom w:val="single" w:sz="4" w:space="0" w:color="auto"/>
              <w:right w:val="nil"/>
            </w:tcBorders>
            <w:noWrap/>
            <w:vAlign w:val="bottom"/>
          </w:tcPr>
          <w:p w14:paraId="4C8D7CD4" w14:textId="77777777" w:rsidR="003F63F2" w:rsidRPr="00D83C7E" w:rsidRDefault="003F63F2" w:rsidP="00645FF3">
            <w:pPr>
              <w:jc w:val="right"/>
              <w:rPr>
                <w:rFonts w:ascii="Arial" w:hAnsi="Arial" w:cs="Arial"/>
                <w:sz w:val="18"/>
                <w:szCs w:val="18"/>
              </w:rPr>
            </w:pPr>
            <w:r w:rsidRPr="00D83C7E">
              <w:rPr>
                <w:rFonts w:ascii="Arial" w:hAnsi="Arial" w:cs="Arial"/>
                <w:sz w:val="18"/>
                <w:szCs w:val="18"/>
              </w:rPr>
              <w:t>Total</w:t>
            </w:r>
          </w:p>
        </w:tc>
      </w:tr>
      <w:tr w:rsidR="00DD071B" w:rsidRPr="003D431A" w14:paraId="65E9BE31" w14:textId="77777777" w:rsidTr="00A93726">
        <w:trPr>
          <w:trHeight w:val="240"/>
        </w:trPr>
        <w:tc>
          <w:tcPr>
            <w:tcW w:w="2166" w:type="pct"/>
            <w:tcBorders>
              <w:top w:val="single" w:sz="4" w:space="0" w:color="auto"/>
              <w:left w:val="nil"/>
              <w:bottom w:val="nil"/>
              <w:right w:val="nil"/>
            </w:tcBorders>
            <w:noWrap/>
            <w:vAlign w:val="bottom"/>
          </w:tcPr>
          <w:p w14:paraId="2D094A47" w14:textId="77777777" w:rsidR="00DD071B" w:rsidRPr="00443469" w:rsidRDefault="00DD071B" w:rsidP="00DD071B">
            <w:pPr>
              <w:rPr>
                <w:rFonts w:ascii="Arial" w:hAnsi="Arial" w:cs="Arial"/>
                <w:b/>
                <w:sz w:val="18"/>
                <w:szCs w:val="18"/>
              </w:rPr>
            </w:pPr>
            <w:r>
              <w:rPr>
                <w:rFonts w:ascii="Arial" w:hAnsi="Arial" w:cs="Arial"/>
                <w:b/>
                <w:sz w:val="18"/>
                <w:szCs w:val="18"/>
              </w:rPr>
              <w:t>Net surplus/(deficit) in schemes</w:t>
            </w:r>
            <w:r>
              <w:rPr>
                <w:rFonts w:ascii="Arial" w:hAnsi="Arial" w:cs="Arial"/>
                <w:b/>
                <w:sz w:val="18"/>
                <w:szCs w:val="18"/>
              </w:rPr>
              <w:br/>
            </w:r>
            <w:r w:rsidRPr="00443469">
              <w:rPr>
                <w:rFonts w:ascii="Arial" w:hAnsi="Arial" w:cs="Arial"/>
                <w:b/>
                <w:sz w:val="18"/>
                <w:szCs w:val="18"/>
              </w:rPr>
              <w:t>at beginning of year</w:t>
            </w:r>
          </w:p>
        </w:tc>
        <w:tc>
          <w:tcPr>
            <w:tcW w:w="476" w:type="pct"/>
            <w:tcBorders>
              <w:top w:val="nil"/>
              <w:left w:val="nil"/>
              <w:bottom w:val="nil"/>
              <w:right w:val="nil"/>
            </w:tcBorders>
            <w:noWrap/>
            <w:vAlign w:val="bottom"/>
          </w:tcPr>
          <w:p w14:paraId="58734029" w14:textId="77777777" w:rsidR="00DD071B" w:rsidRPr="00811BE4" w:rsidRDefault="001169E1" w:rsidP="00DD071B">
            <w:pPr>
              <w:jc w:val="right"/>
              <w:rPr>
                <w:rFonts w:ascii="Arial" w:hAnsi="Arial" w:cs="Arial"/>
                <w:b/>
                <w:sz w:val="18"/>
                <w:szCs w:val="18"/>
              </w:rPr>
            </w:pPr>
            <w:r w:rsidRPr="00811BE4">
              <w:rPr>
                <w:rFonts w:ascii="Arial" w:hAnsi="Arial" w:cs="Arial"/>
                <w:b/>
                <w:sz w:val="18"/>
                <w:szCs w:val="18"/>
              </w:rPr>
              <w:t>214</w:t>
            </w:r>
          </w:p>
        </w:tc>
        <w:tc>
          <w:tcPr>
            <w:tcW w:w="514" w:type="pct"/>
            <w:tcBorders>
              <w:top w:val="nil"/>
              <w:left w:val="nil"/>
              <w:bottom w:val="nil"/>
              <w:right w:val="nil"/>
            </w:tcBorders>
            <w:noWrap/>
            <w:vAlign w:val="bottom"/>
          </w:tcPr>
          <w:p w14:paraId="587151D7" w14:textId="77777777" w:rsidR="00DD071B" w:rsidRPr="001169E1" w:rsidRDefault="00DD071B" w:rsidP="00DD071B">
            <w:pPr>
              <w:jc w:val="right"/>
              <w:rPr>
                <w:rFonts w:ascii="Arial" w:hAnsi="Arial" w:cs="Arial"/>
                <w:b/>
                <w:sz w:val="18"/>
                <w:szCs w:val="18"/>
              </w:rPr>
            </w:pPr>
            <w:r w:rsidRPr="001169E1">
              <w:rPr>
                <w:rFonts w:ascii="Arial" w:hAnsi="Arial" w:cs="Arial"/>
                <w:b/>
                <w:sz w:val="18"/>
                <w:szCs w:val="18"/>
              </w:rPr>
              <w:t>(1</w:t>
            </w:r>
            <w:r w:rsidR="001169E1" w:rsidRPr="001169E1">
              <w:rPr>
                <w:rFonts w:ascii="Arial" w:hAnsi="Arial" w:cs="Arial"/>
                <w:b/>
                <w:sz w:val="18"/>
                <w:szCs w:val="18"/>
              </w:rPr>
              <w:t>15</w:t>
            </w:r>
            <w:r w:rsidRPr="001169E1">
              <w:rPr>
                <w:rFonts w:ascii="Arial" w:hAnsi="Arial" w:cs="Arial"/>
                <w:b/>
                <w:sz w:val="18"/>
                <w:szCs w:val="18"/>
              </w:rPr>
              <w:t>)</w:t>
            </w:r>
          </w:p>
        </w:tc>
        <w:tc>
          <w:tcPr>
            <w:tcW w:w="418" w:type="pct"/>
            <w:tcBorders>
              <w:top w:val="nil"/>
              <w:left w:val="nil"/>
              <w:bottom w:val="nil"/>
              <w:right w:val="nil"/>
            </w:tcBorders>
            <w:noWrap/>
            <w:vAlign w:val="bottom"/>
          </w:tcPr>
          <w:p w14:paraId="0E5D82FE" w14:textId="77777777" w:rsidR="00DD071B" w:rsidRPr="001169E1" w:rsidRDefault="001169E1" w:rsidP="00DD071B">
            <w:pPr>
              <w:jc w:val="right"/>
              <w:rPr>
                <w:rFonts w:ascii="Arial" w:hAnsi="Arial" w:cs="Arial"/>
                <w:b/>
                <w:sz w:val="18"/>
                <w:szCs w:val="18"/>
              </w:rPr>
            </w:pPr>
            <w:r w:rsidRPr="001169E1">
              <w:rPr>
                <w:rFonts w:ascii="Arial" w:hAnsi="Arial" w:cs="Arial"/>
                <w:b/>
                <w:sz w:val="18"/>
                <w:szCs w:val="18"/>
              </w:rPr>
              <w:t>99</w:t>
            </w:r>
          </w:p>
        </w:tc>
        <w:tc>
          <w:tcPr>
            <w:tcW w:w="416" w:type="pct"/>
            <w:tcBorders>
              <w:top w:val="nil"/>
              <w:left w:val="nil"/>
              <w:bottom w:val="nil"/>
              <w:right w:val="nil"/>
            </w:tcBorders>
            <w:noWrap/>
            <w:vAlign w:val="bottom"/>
          </w:tcPr>
          <w:p w14:paraId="3477149A"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239</w:t>
            </w:r>
          </w:p>
        </w:tc>
        <w:tc>
          <w:tcPr>
            <w:tcW w:w="588" w:type="pct"/>
            <w:tcBorders>
              <w:top w:val="nil"/>
              <w:left w:val="nil"/>
              <w:bottom w:val="nil"/>
              <w:right w:val="nil"/>
            </w:tcBorders>
            <w:noWrap/>
            <w:vAlign w:val="bottom"/>
          </w:tcPr>
          <w:p w14:paraId="575E38FA"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(108)</w:t>
            </w:r>
          </w:p>
        </w:tc>
        <w:tc>
          <w:tcPr>
            <w:tcW w:w="422" w:type="pct"/>
            <w:tcBorders>
              <w:top w:val="nil"/>
              <w:left w:val="nil"/>
              <w:bottom w:val="nil"/>
              <w:right w:val="nil"/>
            </w:tcBorders>
            <w:noWrap/>
            <w:vAlign w:val="bottom"/>
          </w:tcPr>
          <w:p w14:paraId="54BCB146"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131</w:t>
            </w:r>
          </w:p>
        </w:tc>
      </w:tr>
      <w:tr w:rsidR="00DD071B" w:rsidRPr="003D431A" w14:paraId="7EB39BF5" w14:textId="77777777" w:rsidTr="00A93726">
        <w:trPr>
          <w:trHeight w:val="240"/>
        </w:trPr>
        <w:tc>
          <w:tcPr>
            <w:tcW w:w="2166" w:type="pct"/>
            <w:tcBorders>
              <w:top w:val="nil"/>
              <w:left w:val="nil"/>
              <w:bottom w:val="nil"/>
              <w:right w:val="nil"/>
            </w:tcBorders>
            <w:noWrap/>
            <w:vAlign w:val="bottom"/>
          </w:tcPr>
          <w:p w14:paraId="53324FFE" w14:textId="77777777" w:rsidR="00DD071B" w:rsidRDefault="00DD071B" w:rsidP="00DD071B">
            <w:pPr>
              <w:rPr>
                <w:rFonts w:ascii="Arial" w:hAnsi="Arial" w:cs="Arial"/>
                <w:sz w:val="18"/>
                <w:szCs w:val="18"/>
              </w:rPr>
            </w:pPr>
            <w:r>
              <w:rPr>
                <w:rFonts w:ascii="Arial" w:hAnsi="Arial" w:cs="Arial"/>
                <w:sz w:val="18"/>
                <w:szCs w:val="18"/>
              </w:rPr>
              <w:t>Current service cost</w:t>
            </w:r>
          </w:p>
        </w:tc>
        <w:tc>
          <w:tcPr>
            <w:tcW w:w="476" w:type="pct"/>
            <w:tcBorders>
              <w:top w:val="nil"/>
              <w:left w:val="nil"/>
              <w:bottom w:val="nil"/>
              <w:right w:val="nil"/>
            </w:tcBorders>
            <w:noWrap/>
            <w:vAlign w:val="bottom"/>
          </w:tcPr>
          <w:p w14:paraId="4C339638" w14:textId="77777777" w:rsidR="00DD071B" w:rsidRPr="00811BE4" w:rsidRDefault="00DD071B" w:rsidP="00DD071B">
            <w:pPr>
              <w:jc w:val="right"/>
              <w:rPr>
                <w:rFonts w:ascii="Arial" w:hAnsi="Arial" w:cs="Arial"/>
                <w:b/>
                <w:sz w:val="18"/>
                <w:szCs w:val="18"/>
              </w:rPr>
            </w:pPr>
            <w:r w:rsidRPr="00811BE4">
              <w:rPr>
                <w:rFonts w:ascii="Arial" w:hAnsi="Arial" w:cs="Arial"/>
                <w:b/>
                <w:sz w:val="18"/>
                <w:szCs w:val="18"/>
              </w:rPr>
              <w:t>(2)</w:t>
            </w:r>
          </w:p>
        </w:tc>
        <w:tc>
          <w:tcPr>
            <w:tcW w:w="514" w:type="pct"/>
            <w:tcBorders>
              <w:top w:val="nil"/>
              <w:left w:val="nil"/>
              <w:bottom w:val="nil"/>
              <w:right w:val="nil"/>
            </w:tcBorders>
            <w:noWrap/>
            <w:vAlign w:val="bottom"/>
          </w:tcPr>
          <w:p w14:paraId="7216BF1A" w14:textId="77777777" w:rsidR="00DD071B" w:rsidRPr="00DD071B" w:rsidRDefault="00DD071B" w:rsidP="00DD071B">
            <w:pPr>
              <w:jc w:val="right"/>
              <w:rPr>
                <w:rFonts w:ascii="Arial" w:hAnsi="Arial" w:cs="Arial"/>
                <w:b/>
                <w:sz w:val="18"/>
                <w:szCs w:val="18"/>
                <w:highlight w:val="yellow"/>
              </w:rPr>
            </w:pPr>
            <w:r w:rsidRPr="00CF057F">
              <w:rPr>
                <w:rFonts w:ascii="Arial" w:hAnsi="Arial" w:cs="Arial"/>
                <w:b/>
                <w:sz w:val="18"/>
                <w:szCs w:val="18"/>
              </w:rPr>
              <w:t>(9)</w:t>
            </w:r>
          </w:p>
        </w:tc>
        <w:tc>
          <w:tcPr>
            <w:tcW w:w="418" w:type="pct"/>
            <w:tcBorders>
              <w:top w:val="nil"/>
              <w:left w:val="nil"/>
              <w:bottom w:val="nil"/>
              <w:right w:val="nil"/>
            </w:tcBorders>
            <w:noWrap/>
            <w:vAlign w:val="bottom"/>
          </w:tcPr>
          <w:p w14:paraId="6DAE43B3" w14:textId="77777777" w:rsidR="00DD071B" w:rsidRPr="00CF057F" w:rsidRDefault="00DD071B" w:rsidP="00DD071B">
            <w:pPr>
              <w:jc w:val="right"/>
              <w:rPr>
                <w:rFonts w:ascii="Arial" w:hAnsi="Arial" w:cs="Arial"/>
                <w:b/>
                <w:sz w:val="18"/>
                <w:szCs w:val="18"/>
              </w:rPr>
            </w:pPr>
            <w:r w:rsidRPr="00CF057F">
              <w:rPr>
                <w:rFonts w:ascii="Arial" w:hAnsi="Arial" w:cs="Arial"/>
                <w:b/>
                <w:sz w:val="18"/>
                <w:szCs w:val="18"/>
              </w:rPr>
              <w:t>(11)</w:t>
            </w:r>
          </w:p>
        </w:tc>
        <w:tc>
          <w:tcPr>
            <w:tcW w:w="416" w:type="pct"/>
            <w:tcBorders>
              <w:top w:val="nil"/>
              <w:left w:val="nil"/>
              <w:bottom w:val="nil"/>
              <w:right w:val="nil"/>
            </w:tcBorders>
            <w:noWrap/>
            <w:vAlign w:val="bottom"/>
          </w:tcPr>
          <w:p w14:paraId="51682296" w14:textId="77777777" w:rsidR="00DD071B" w:rsidRPr="00CF057F" w:rsidRDefault="00DD071B" w:rsidP="00DD071B">
            <w:pPr>
              <w:jc w:val="right"/>
              <w:rPr>
                <w:rFonts w:ascii="Arial" w:hAnsi="Arial" w:cs="Arial"/>
                <w:sz w:val="18"/>
                <w:szCs w:val="18"/>
              </w:rPr>
            </w:pPr>
            <w:r w:rsidRPr="00CF057F">
              <w:rPr>
                <w:rFonts w:ascii="Arial" w:hAnsi="Arial" w:cs="Arial"/>
                <w:sz w:val="18"/>
                <w:szCs w:val="18"/>
              </w:rPr>
              <w:t>(2)</w:t>
            </w:r>
          </w:p>
        </w:tc>
        <w:tc>
          <w:tcPr>
            <w:tcW w:w="588" w:type="pct"/>
            <w:tcBorders>
              <w:top w:val="nil"/>
              <w:left w:val="nil"/>
              <w:bottom w:val="nil"/>
              <w:right w:val="nil"/>
            </w:tcBorders>
            <w:noWrap/>
            <w:vAlign w:val="bottom"/>
          </w:tcPr>
          <w:p w14:paraId="2303B860"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(9)</w:t>
            </w:r>
          </w:p>
        </w:tc>
        <w:tc>
          <w:tcPr>
            <w:tcW w:w="422" w:type="pct"/>
            <w:tcBorders>
              <w:top w:val="nil"/>
              <w:left w:val="nil"/>
              <w:bottom w:val="nil"/>
              <w:right w:val="nil"/>
            </w:tcBorders>
            <w:noWrap/>
            <w:vAlign w:val="bottom"/>
          </w:tcPr>
          <w:p w14:paraId="60C4F338"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(11)</w:t>
            </w:r>
          </w:p>
        </w:tc>
      </w:tr>
      <w:tr w:rsidR="00811BE4" w:rsidRPr="003D431A" w14:paraId="7B6EE208" w14:textId="77777777" w:rsidTr="00A93726">
        <w:trPr>
          <w:trHeight w:val="240"/>
        </w:trPr>
        <w:tc>
          <w:tcPr>
            <w:tcW w:w="2166" w:type="pct"/>
            <w:tcBorders>
              <w:top w:val="nil"/>
              <w:left w:val="nil"/>
              <w:bottom w:val="nil"/>
              <w:right w:val="nil"/>
            </w:tcBorders>
            <w:noWrap/>
            <w:vAlign w:val="bottom"/>
          </w:tcPr>
          <w:p w14:paraId="4B73066E" w14:textId="27A6801A" w:rsidR="00811BE4" w:rsidRDefault="00811BE4" w:rsidP="00DD071B">
            <w:pPr>
              <w:rPr>
                <w:rFonts w:ascii="Arial" w:hAnsi="Arial" w:cs="Arial"/>
                <w:sz w:val="18"/>
                <w:szCs w:val="18"/>
              </w:rPr>
            </w:pPr>
            <w:r>
              <w:rPr>
                <w:rFonts w:ascii="Arial" w:hAnsi="Arial" w:cs="Arial"/>
                <w:sz w:val="18"/>
                <w:szCs w:val="18"/>
              </w:rPr>
              <w:t>Past service cost</w:t>
            </w:r>
          </w:p>
        </w:tc>
        <w:tc>
          <w:tcPr>
            <w:tcW w:w="476" w:type="pct"/>
            <w:tcBorders>
              <w:top w:val="nil"/>
              <w:left w:val="nil"/>
              <w:bottom w:val="nil"/>
              <w:right w:val="nil"/>
            </w:tcBorders>
            <w:noWrap/>
            <w:vAlign w:val="bottom"/>
          </w:tcPr>
          <w:p w14:paraId="16CA90B1" w14:textId="77777777" w:rsidR="00811BE4" w:rsidRPr="00811BE4" w:rsidRDefault="00811BE4" w:rsidP="00DD071B">
            <w:pPr>
              <w:jc w:val="right"/>
              <w:rPr>
                <w:rFonts w:ascii="Arial" w:hAnsi="Arial" w:cs="Arial"/>
                <w:b/>
                <w:sz w:val="18"/>
                <w:szCs w:val="18"/>
              </w:rPr>
            </w:pPr>
            <w:r w:rsidRPr="00811BE4">
              <w:rPr>
                <w:rFonts w:ascii="Arial" w:hAnsi="Arial" w:cs="Arial"/>
                <w:b/>
                <w:sz w:val="18"/>
                <w:szCs w:val="18"/>
              </w:rPr>
              <w:t>(5)</w:t>
            </w:r>
          </w:p>
        </w:tc>
        <w:tc>
          <w:tcPr>
            <w:tcW w:w="514" w:type="pct"/>
            <w:tcBorders>
              <w:top w:val="nil"/>
              <w:left w:val="nil"/>
              <w:bottom w:val="nil"/>
              <w:right w:val="nil"/>
            </w:tcBorders>
            <w:noWrap/>
            <w:vAlign w:val="bottom"/>
          </w:tcPr>
          <w:p w14:paraId="741D8AE6" w14:textId="77777777" w:rsidR="00811BE4" w:rsidRPr="00CF057F" w:rsidRDefault="002176D5" w:rsidP="00DD071B">
            <w:pPr>
              <w:jc w:val="right"/>
              <w:rPr>
                <w:rFonts w:ascii="Arial" w:hAnsi="Arial" w:cs="Arial"/>
                <w:b/>
                <w:sz w:val="18"/>
                <w:szCs w:val="18"/>
              </w:rPr>
            </w:pPr>
            <w:r>
              <w:rPr>
                <w:rFonts w:ascii="Arial" w:hAnsi="Arial" w:cs="Arial"/>
                <w:b/>
                <w:sz w:val="18"/>
                <w:szCs w:val="18"/>
              </w:rPr>
              <w:t>3</w:t>
            </w:r>
          </w:p>
        </w:tc>
        <w:tc>
          <w:tcPr>
            <w:tcW w:w="418" w:type="pct"/>
            <w:tcBorders>
              <w:top w:val="nil"/>
              <w:left w:val="nil"/>
              <w:bottom w:val="nil"/>
              <w:right w:val="nil"/>
            </w:tcBorders>
            <w:noWrap/>
            <w:vAlign w:val="bottom"/>
          </w:tcPr>
          <w:p w14:paraId="2C668707" w14:textId="77777777" w:rsidR="00811BE4" w:rsidRPr="004F5EAA" w:rsidRDefault="00CF057F" w:rsidP="00DD071B">
            <w:pPr>
              <w:jc w:val="right"/>
              <w:rPr>
                <w:rFonts w:ascii="Arial" w:hAnsi="Arial" w:cs="Arial"/>
                <w:b/>
                <w:sz w:val="18"/>
                <w:szCs w:val="18"/>
              </w:rPr>
            </w:pPr>
            <w:r w:rsidRPr="004F5EAA">
              <w:rPr>
                <w:rFonts w:ascii="Arial" w:hAnsi="Arial" w:cs="Arial"/>
                <w:b/>
                <w:sz w:val="18"/>
                <w:szCs w:val="18"/>
              </w:rPr>
              <w:t>(</w:t>
            </w:r>
            <w:r w:rsidR="002176D5">
              <w:rPr>
                <w:rFonts w:ascii="Arial" w:hAnsi="Arial" w:cs="Arial"/>
                <w:b/>
                <w:sz w:val="18"/>
                <w:szCs w:val="18"/>
              </w:rPr>
              <w:t>2</w:t>
            </w:r>
            <w:r w:rsidRPr="004F5EAA">
              <w:rPr>
                <w:rFonts w:ascii="Arial" w:hAnsi="Arial" w:cs="Arial"/>
                <w:b/>
                <w:sz w:val="18"/>
                <w:szCs w:val="18"/>
              </w:rPr>
              <w:t>)</w:t>
            </w:r>
          </w:p>
        </w:tc>
        <w:tc>
          <w:tcPr>
            <w:tcW w:w="416" w:type="pct"/>
            <w:tcBorders>
              <w:top w:val="nil"/>
              <w:left w:val="nil"/>
              <w:bottom w:val="nil"/>
              <w:right w:val="nil"/>
            </w:tcBorders>
            <w:noWrap/>
            <w:vAlign w:val="bottom"/>
          </w:tcPr>
          <w:p w14:paraId="7456D98D" w14:textId="77777777" w:rsidR="00811BE4" w:rsidRPr="00DD071B" w:rsidRDefault="004F5EAA" w:rsidP="00DD071B">
            <w:pPr>
              <w:jc w:val="right"/>
              <w:rPr>
                <w:rFonts w:ascii="Arial" w:hAnsi="Arial" w:cs="Arial"/>
                <w:sz w:val="18"/>
                <w:szCs w:val="18"/>
              </w:rPr>
            </w:pPr>
            <w:r w:rsidRPr="00DD071B">
              <w:rPr>
                <w:rFonts w:ascii="Arial" w:hAnsi="Arial" w:cs="Arial"/>
                <w:sz w:val="18"/>
                <w:szCs w:val="18"/>
              </w:rPr>
              <w:t>–</w:t>
            </w:r>
          </w:p>
        </w:tc>
        <w:tc>
          <w:tcPr>
            <w:tcW w:w="588" w:type="pct"/>
            <w:tcBorders>
              <w:top w:val="nil"/>
              <w:left w:val="nil"/>
              <w:bottom w:val="nil"/>
              <w:right w:val="nil"/>
            </w:tcBorders>
            <w:noWrap/>
            <w:vAlign w:val="bottom"/>
          </w:tcPr>
          <w:p w14:paraId="42E4F766" w14:textId="77777777" w:rsidR="00811BE4" w:rsidRPr="00DD071B" w:rsidRDefault="004F5EAA" w:rsidP="00DD071B">
            <w:pPr>
              <w:jc w:val="right"/>
              <w:rPr>
                <w:rFonts w:ascii="Arial" w:hAnsi="Arial" w:cs="Arial"/>
                <w:sz w:val="18"/>
                <w:szCs w:val="18"/>
              </w:rPr>
            </w:pPr>
            <w:r w:rsidRPr="00DD071B">
              <w:rPr>
                <w:rFonts w:ascii="Arial" w:hAnsi="Arial" w:cs="Arial"/>
                <w:sz w:val="18"/>
                <w:szCs w:val="18"/>
              </w:rPr>
              <w:t>–</w:t>
            </w:r>
          </w:p>
        </w:tc>
        <w:tc>
          <w:tcPr>
            <w:tcW w:w="422" w:type="pct"/>
            <w:tcBorders>
              <w:top w:val="nil"/>
              <w:left w:val="nil"/>
              <w:bottom w:val="nil"/>
              <w:right w:val="nil"/>
            </w:tcBorders>
            <w:noWrap/>
            <w:vAlign w:val="bottom"/>
          </w:tcPr>
          <w:p w14:paraId="64F3E396" w14:textId="77777777" w:rsidR="00811BE4" w:rsidRPr="00DD071B" w:rsidRDefault="004F5EAA" w:rsidP="00DD071B">
            <w:pPr>
              <w:jc w:val="right"/>
              <w:rPr>
                <w:rFonts w:ascii="Arial" w:hAnsi="Arial" w:cs="Arial"/>
                <w:sz w:val="18"/>
                <w:szCs w:val="18"/>
              </w:rPr>
            </w:pPr>
            <w:r w:rsidRPr="00DD071B">
              <w:rPr>
                <w:rFonts w:ascii="Arial" w:hAnsi="Arial" w:cs="Arial"/>
                <w:sz w:val="18"/>
                <w:szCs w:val="18"/>
              </w:rPr>
              <w:t>–</w:t>
            </w:r>
          </w:p>
        </w:tc>
      </w:tr>
      <w:tr w:rsidR="00DD071B" w:rsidRPr="003D431A" w14:paraId="56E0F9A6" w14:textId="77777777" w:rsidTr="00A93726">
        <w:trPr>
          <w:trHeight w:val="240"/>
        </w:trPr>
        <w:tc>
          <w:tcPr>
            <w:tcW w:w="2166" w:type="pct"/>
            <w:tcBorders>
              <w:top w:val="nil"/>
              <w:left w:val="nil"/>
              <w:bottom w:val="nil"/>
              <w:right w:val="nil"/>
            </w:tcBorders>
            <w:noWrap/>
            <w:vAlign w:val="bottom"/>
          </w:tcPr>
          <w:p w14:paraId="67E2465D" w14:textId="77777777" w:rsidR="00DD071B" w:rsidRDefault="00DD071B" w:rsidP="00DD071B">
            <w:pPr>
              <w:rPr>
                <w:rFonts w:ascii="Arial" w:hAnsi="Arial" w:cs="Arial"/>
                <w:sz w:val="18"/>
                <w:szCs w:val="18"/>
              </w:rPr>
            </w:pPr>
            <w:r>
              <w:rPr>
                <w:rFonts w:ascii="Arial" w:hAnsi="Arial" w:cs="Arial"/>
                <w:sz w:val="18"/>
                <w:szCs w:val="18"/>
              </w:rPr>
              <w:t>Administration costs</w:t>
            </w:r>
          </w:p>
        </w:tc>
        <w:tc>
          <w:tcPr>
            <w:tcW w:w="476" w:type="pct"/>
            <w:tcBorders>
              <w:top w:val="nil"/>
              <w:left w:val="nil"/>
              <w:bottom w:val="nil"/>
              <w:right w:val="nil"/>
            </w:tcBorders>
            <w:noWrap/>
            <w:vAlign w:val="bottom"/>
          </w:tcPr>
          <w:p w14:paraId="6EB2488E" w14:textId="77777777" w:rsidR="00DD071B" w:rsidRPr="00811BE4" w:rsidRDefault="00DD071B" w:rsidP="00DD071B">
            <w:pPr>
              <w:jc w:val="right"/>
              <w:rPr>
                <w:rFonts w:ascii="Arial" w:hAnsi="Arial" w:cs="Arial"/>
                <w:b/>
                <w:sz w:val="18"/>
                <w:szCs w:val="18"/>
              </w:rPr>
            </w:pPr>
            <w:r w:rsidRPr="00811BE4">
              <w:rPr>
                <w:rFonts w:ascii="Arial" w:hAnsi="Arial" w:cs="Arial"/>
                <w:b/>
                <w:sz w:val="18"/>
                <w:szCs w:val="18"/>
              </w:rPr>
              <w:t>(4)</w:t>
            </w:r>
          </w:p>
        </w:tc>
        <w:tc>
          <w:tcPr>
            <w:tcW w:w="514" w:type="pct"/>
            <w:tcBorders>
              <w:top w:val="nil"/>
              <w:left w:val="nil"/>
              <w:bottom w:val="nil"/>
              <w:right w:val="nil"/>
            </w:tcBorders>
            <w:noWrap/>
            <w:vAlign w:val="bottom"/>
          </w:tcPr>
          <w:p w14:paraId="48966992" w14:textId="77777777" w:rsidR="00DD071B" w:rsidRPr="00CF057F" w:rsidRDefault="00DD071B" w:rsidP="00DD071B">
            <w:pPr>
              <w:jc w:val="right"/>
              <w:rPr>
                <w:rFonts w:ascii="Arial" w:hAnsi="Arial" w:cs="Arial"/>
                <w:b/>
                <w:sz w:val="18"/>
                <w:szCs w:val="18"/>
              </w:rPr>
            </w:pPr>
            <w:r w:rsidRPr="00CF057F">
              <w:rPr>
                <w:rFonts w:ascii="Arial" w:hAnsi="Arial" w:cs="Arial"/>
                <w:b/>
                <w:sz w:val="18"/>
                <w:szCs w:val="18"/>
              </w:rPr>
              <w:t>–</w:t>
            </w:r>
          </w:p>
        </w:tc>
        <w:tc>
          <w:tcPr>
            <w:tcW w:w="418" w:type="pct"/>
            <w:tcBorders>
              <w:top w:val="nil"/>
              <w:left w:val="nil"/>
              <w:bottom w:val="nil"/>
              <w:right w:val="nil"/>
            </w:tcBorders>
            <w:noWrap/>
            <w:vAlign w:val="bottom"/>
          </w:tcPr>
          <w:p w14:paraId="4D5CD4CA" w14:textId="77777777" w:rsidR="00DD071B" w:rsidRPr="004F5EAA" w:rsidRDefault="00DD071B" w:rsidP="00DD071B">
            <w:pPr>
              <w:jc w:val="right"/>
              <w:rPr>
                <w:rFonts w:ascii="Arial" w:hAnsi="Arial" w:cs="Arial"/>
                <w:b/>
                <w:sz w:val="18"/>
                <w:szCs w:val="18"/>
              </w:rPr>
            </w:pPr>
            <w:r w:rsidRPr="004F5EAA">
              <w:rPr>
                <w:rFonts w:ascii="Arial" w:hAnsi="Arial" w:cs="Arial"/>
                <w:b/>
                <w:sz w:val="18"/>
                <w:szCs w:val="18"/>
              </w:rPr>
              <w:t>(4)</w:t>
            </w:r>
          </w:p>
        </w:tc>
        <w:tc>
          <w:tcPr>
            <w:tcW w:w="416" w:type="pct"/>
            <w:tcBorders>
              <w:top w:val="nil"/>
              <w:left w:val="nil"/>
              <w:bottom w:val="nil"/>
              <w:right w:val="nil"/>
            </w:tcBorders>
            <w:noWrap/>
            <w:vAlign w:val="bottom"/>
          </w:tcPr>
          <w:p w14:paraId="7D5C1F8C" w14:textId="77777777" w:rsidR="00DD071B" w:rsidRPr="00CF057F" w:rsidRDefault="00DD071B" w:rsidP="00DD071B">
            <w:pPr>
              <w:jc w:val="right"/>
              <w:rPr>
                <w:rFonts w:ascii="Arial" w:hAnsi="Arial" w:cs="Arial"/>
                <w:sz w:val="18"/>
                <w:szCs w:val="18"/>
              </w:rPr>
            </w:pPr>
            <w:r w:rsidRPr="00CF057F">
              <w:rPr>
                <w:rFonts w:ascii="Arial" w:hAnsi="Arial" w:cs="Arial"/>
                <w:sz w:val="18"/>
                <w:szCs w:val="18"/>
              </w:rPr>
              <w:t>(4)</w:t>
            </w:r>
          </w:p>
        </w:tc>
        <w:tc>
          <w:tcPr>
            <w:tcW w:w="588" w:type="pct"/>
            <w:tcBorders>
              <w:top w:val="nil"/>
              <w:left w:val="nil"/>
              <w:bottom w:val="nil"/>
              <w:right w:val="nil"/>
            </w:tcBorders>
            <w:noWrap/>
            <w:vAlign w:val="bottom"/>
          </w:tcPr>
          <w:p w14:paraId="523339B7"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w:t>
            </w:r>
          </w:p>
        </w:tc>
        <w:tc>
          <w:tcPr>
            <w:tcW w:w="422" w:type="pct"/>
            <w:tcBorders>
              <w:top w:val="nil"/>
              <w:left w:val="nil"/>
              <w:bottom w:val="nil"/>
              <w:right w:val="nil"/>
            </w:tcBorders>
            <w:noWrap/>
            <w:vAlign w:val="bottom"/>
          </w:tcPr>
          <w:p w14:paraId="123A0510"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(4)</w:t>
            </w:r>
          </w:p>
        </w:tc>
      </w:tr>
      <w:tr w:rsidR="00DD071B" w:rsidRPr="003D431A" w14:paraId="43505142" w14:textId="77777777" w:rsidTr="00A93726">
        <w:trPr>
          <w:trHeight w:val="240"/>
        </w:trPr>
        <w:tc>
          <w:tcPr>
            <w:tcW w:w="2166" w:type="pct"/>
            <w:tcBorders>
              <w:top w:val="nil"/>
              <w:left w:val="nil"/>
              <w:bottom w:val="nil"/>
              <w:right w:val="nil"/>
            </w:tcBorders>
            <w:noWrap/>
            <w:vAlign w:val="bottom"/>
          </w:tcPr>
          <w:p w14:paraId="0FD6300C" w14:textId="77777777" w:rsidR="00DD071B" w:rsidRPr="00B85BA8" w:rsidRDefault="00DD071B" w:rsidP="00DD071B">
            <w:pPr>
              <w:rPr>
                <w:rFonts w:ascii="Arial" w:hAnsi="Arial" w:cs="Arial"/>
                <w:sz w:val="18"/>
                <w:szCs w:val="18"/>
              </w:rPr>
            </w:pPr>
            <w:r w:rsidRPr="00B85BA8">
              <w:rPr>
                <w:rFonts w:ascii="Arial" w:hAnsi="Arial" w:cs="Arial"/>
                <w:sz w:val="18"/>
                <w:szCs w:val="18"/>
              </w:rPr>
              <w:t>Net interest income/(expense)</w:t>
            </w:r>
          </w:p>
        </w:tc>
        <w:tc>
          <w:tcPr>
            <w:tcW w:w="476" w:type="pct"/>
            <w:tcBorders>
              <w:top w:val="nil"/>
              <w:left w:val="nil"/>
              <w:bottom w:val="nil"/>
              <w:right w:val="nil"/>
            </w:tcBorders>
            <w:noWrap/>
            <w:vAlign w:val="bottom"/>
          </w:tcPr>
          <w:p w14:paraId="26FDEE90" w14:textId="77777777" w:rsidR="00DD071B" w:rsidRPr="00811BE4" w:rsidRDefault="00811BE4" w:rsidP="00DD071B">
            <w:pPr>
              <w:jc w:val="right"/>
              <w:rPr>
                <w:rFonts w:ascii="Arial" w:hAnsi="Arial" w:cs="Arial"/>
                <w:b/>
                <w:sz w:val="18"/>
                <w:szCs w:val="18"/>
              </w:rPr>
            </w:pPr>
            <w:r w:rsidRPr="00811BE4">
              <w:rPr>
                <w:rFonts w:ascii="Arial" w:hAnsi="Arial" w:cs="Arial"/>
                <w:b/>
                <w:sz w:val="18"/>
                <w:szCs w:val="18"/>
              </w:rPr>
              <w:t>6</w:t>
            </w:r>
          </w:p>
        </w:tc>
        <w:tc>
          <w:tcPr>
            <w:tcW w:w="514" w:type="pct"/>
            <w:tcBorders>
              <w:top w:val="nil"/>
              <w:left w:val="nil"/>
              <w:bottom w:val="nil"/>
              <w:right w:val="nil"/>
            </w:tcBorders>
            <w:noWrap/>
            <w:vAlign w:val="bottom"/>
          </w:tcPr>
          <w:p w14:paraId="76B5D89C" w14:textId="77777777" w:rsidR="00DD071B" w:rsidRPr="00CF057F" w:rsidRDefault="00DD071B" w:rsidP="00DD071B">
            <w:pPr>
              <w:jc w:val="right"/>
              <w:rPr>
                <w:rFonts w:ascii="Arial" w:hAnsi="Arial" w:cs="Arial"/>
                <w:b/>
                <w:sz w:val="18"/>
                <w:szCs w:val="18"/>
              </w:rPr>
            </w:pPr>
            <w:r w:rsidRPr="00CF057F">
              <w:rPr>
                <w:rFonts w:ascii="Arial" w:hAnsi="Arial" w:cs="Arial"/>
                <w:b/>
                <w:sz w:val="18"/>
                <w:szCs w:val="18"/>
              </w:rPr>
              <w:t>(2)</w:t>
            </w:r>
          </w:p>
        </w:tc>
        <w:tc>
          <w:tcPr>
            <w:tcW w:w="418" w:type="pct"/>
            <w:tcBorders>
              <w:top w:val="nil"/>
              <w:left w:val="nil"/>
              <w:bottom w:val="nil"/>
              <w:right w:val="nil"/>
            </w:tcBorders>
            <w:noWrap/>
            <w:vAlign w:val="bottom"/>
          </w:tcPr>
          <w:p w14:paraId="3943D1C2" w14:textId="77777777" w:rsidR="00DD071B" w:rsidRPr="004F5EAA" w:rsidRDefault="00CF057F" w:rsidP="00DD071B">
            <w:pPr>
              <w:jc w:val="right"/>
              <w:rPr>
                <w:rFonts w:ascii="Arial" w:hAnsi="Arial" w:cs="Arial"/>
                <w:b/>
                <w:sz w:val="18"/>
                <w:szCs w:val="18"/>
              </w:rPr>
            </w:pPr>
            <w:r w:rsidRPr="004F5EAA">
              <w:rPr>
                <w:rFonts w:ascii="Arial" w:hAnsi="Arial" w:cs="Arial"/>
                <w:b/>
                <w:sz w:val="18"/>
                <w:szCs w:val="18"/>
              </w:rPr>
              <w:t>4</w:t>
            </w:r>
          </w:p>
        </w:tc>
        <w:tc>
          <w:tcPr>
            <w:tcW w:w="416" w:type="pct"/>
            <w:tcBorders>
              <w:top w:val="nil"/>
              <w:left w:val="nil"/>
              <w:bottom w:val="nil"/>
              <w:right w:val="nil"/>
            </w:tcBorders>
            <w:noWrap/>
            <w:vAlign w:val="bottom"/>
          </w:tcPr>
          <w:p w14:paraId="79D2C754"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7</w:t>
            </w:r>
          </w:p>
        </w:tc>
        <w:tc>
          <w:tcPr>
            <w:tcW w:w="588" w:type="pct"/>
            <w:tcBorders>
              <w:top w:val="nil"/>
              <w:left w:val="nil"/>
              <w:bottom w:val="nil"/>
              <w:right w:val="nil"/>
            </w:tcBorders>
            <w:noWrap/>
            <w:vAlign w:val="bottom"/>
          </w:tcPr>
          <w:p w14:paraId="2635E923"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(2)</w:t>
            </w:r>
          </w:p>
        </w:tc>
        <w:tc>
          <w:tcPr>
            <w:tcW w:w="422" w:type="pct"/>
            <w:tcBorders>
              <w:top w:val="nil"/>
              <w:left w:val="nil"/>
              <w:bottom w:val="nil"/>
              <w:right w:val="nil"/>
            </w:tcBorders>
            <w:noWrap/>
            <w:vAlign w:val="bottom"/>
          </w:tcPr>
          <w:p w14:paraId="7D3DB4DC"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5</w:t>
            </w:r>
          </w:p>
        </w:tc>
      </w:tr>
      <w:tr w:rsidR="00DD071B" w:rsidRPr="003D431A" w14:paraId="52BD6B86" w14:textId="77777777" w:rsidTr="00A93726">
        <w:trPr>
          <w:trHeight w:val="240"/>
        </w:trPr>
        <w:tc>
          <w:tcPr>
            <w:tcW w:w="2166" w:type="pct"/>
            <w:tcBorders>
              <w:top w:val="nil"/>
              <w:left w:val="nil"/>
              <w:bottom w:val="nil"/>
              <w:right w:val="nil"/>
            </w:tcBorders>
            <w:noWrap/>
            <w:vAlign w:val="bottom"/>
          </w:tcPr>
          <w:p w14:paraId="7B4A3C32" w14:textId="77777777" w:rsidR="00DD071B" w:rsidRDefault="00DD071B" w:rsidP="00DD071B">
            <w:pPr>
              <w:rPr>
                <w:rFonts w:ascii="Arial" w:hAnsi="Arial" w:cs="Arial"/>
                <w:sz w:val="18"/>
                <w:szCs w:val="18"/>
              </w:rPr>
            </w:pPr>
            <w:r>
              <w:rPr>
                <w:rFonts w:ascii="Arial" w:hAnsi="Arial" w:cs="Arial"/>
                <w:sz w:val="18"/>
                <w:szCs w:val="18"/>
              </w:rPr>
              <w:t xml:space="preserve">Net actuarial </w:t>
            </w:r>
            <w:r w:rsidR="001E5CFA">
              <w:rPr>
                <w:rFonts w:ascii="Arial" w:hAnsi="Arial" w:cs="Arial"/>
                <w:sz w:val="18"/>
                <w:szCs w:val="18"/>
              </w:rPr>
              <w:t>gains/</w:t>
            </w:r>
            <w:r>
              <w:rPr>
                <w:rFonts w:ascii="Arial" w:hAnsi="Arial" w:cs="Arial"/>
                <w:sz w:val="18"/>
                <w:szCs w:val="18"/>
              </w:rPr>
              <w:t>(losses)</w:t>
            </w:r>
          </w:p>
        </w:tc>
        <w:tc>
          <w:tcPr>
            <w:tcW w:w="476" w:type="pct"/>
            <w:tcBorders>
              <w:top w:val="nil"/>
              <w:left w:val="nil"/>
              <w:bottom w:val="nil"/>
              <w:right w:val="nil"/>
            </w:tcBorders>
            <w:noWrap/>
            <w:vAlign w:val="bottom"/>
          </w:tcPr>
          <w:p w14:paraId="69F44798" w14:textId="77777777" w:rsidR="00DD071B" w:rsidRPr="00811BE4" w:rsidRDefault="00811BE4" w:rsidP="00DD071B">
            <w:pPr>
              <w:jc w:val="right"/>
              <w:rPr>
                <w:rFonts w:ascii="Arial" w:hAnsi="Arial" w:cs="Arial"/>
                <w:b/>
                <w:sz w:val="18"/>
                <w:szCs w:val="18"/>
              </w:rPr>
            </w:pPr>
            <w:r w:rsidRPr="00811BE4">
              <w:rPr>
                <w:rFonts w:ascii="Arial" w:hAnsi="Arial" w:cs="Arial"/>
                <w:b/>
                <w:sz w:val="18"/>
                <w:szCs w:val="18"/>
              </w:rPr>
              <w:t>74</w:t>
            </w:r>
          </w:p>
        </w:tc>
        <w:tc>
          <w:tcPr>
            <w:tcW w:w="514" w:type="pct"/>
            <w:tcBorders>
              <w:top w:val="nil"/>
              <w:left w:val="nil"/>
              <w:bottom w:val="nil"/>
              <w:right w:val="nil"/>
            </w:tcBorders>
            <w:noWrap/>
            <w:vAlign w:val="bottom"/>
          </w:tcPr>
          <w:p w14:paraId="5B6B6EC1" w14:textId="77777777" w:rsidR="00DD071B" w:rsidRPr="00CF057F" w:rsidRDefault="004F5EAA" w:rsidP="00DD071B">
            <w:pPr>
              <w:jc w:val="right"/>
              <w:rPr>
                <w:rFonts w:ascii="Arial" w:hAnsi="Arial" w:cs="Arial"/>
                <w:b/>
                <w:sz w:val="18"/>
                <w:szCs w:val="18"/>
              </w:rPr>
            </w:pPr>
            <w:r>
              <w:rPr>
                <w:rFonts w:ascii="Arial" w:hAnsi="Arial" w:cs="Arial"/>
                <w:b/>
                <w:sz w:val="18"/>
                <w:szCs w:val="18"/>
              </w:rPr>
              <w:t>4</w:t>
            </w:r>
          </w:p>
        </w:tc>
        <w:tc>
          <w:tcPr>
            <w:tcW w:w="418" w:type="pct"/>
            <w:tcBorders>
              <w:top w:val="nil"/>
              <w:left w:val="nil"/>
              <w:bottom w:val="nil"/>
              <w:right w:val="nil"/>
            </w:tcBorders>
            <w:noWrap/>
            <w:vAlign w:val="bottom"/>
          </w:tcPr>
          <w:p w14:paraId="4384C877" w14:textId="77777777" w:rsidR="00DD071B" w:rsidRPr="004F5EAA" w:rsidRDefault="00CF057F" w:rsidP="00DD071B">
            <w:pPr>
              <w:jc w:val="right"/>
              <w:rPr>
                <w:rFonts w:ascii="Arial" w:hAnsi="Arial" w:cs="Arial"/>
                <w:b/>
                <w:sz w:val="18"/>
                <w:szCs w:val="18"/>
              </w:rPr>
            </w:pPr>
            <w:r w:rsidRPr="004F5EAA">
              <w:rPr>
                <w:rFonts w:ascii="Arial" w:hAnsi="Arial" w:cs="Arial"/>
                <w:b/>
                <w:sz w:val="18"/>
                <w:szCs w:val="18"/>
              </w:rPr>
              <w:t>7</w:t>
            </w:r>
            <w:r w:rsidR="004F5EAA">
              <w:rPr>
                <w:rFonts w:ascii="Arial" w:hAnsi="Arial" w:cs="Arial"/>
                <w:b/>
                <w:sz w:val="18"/>
                <w:szCs w:val="18"/>
              </w:rPr>
              <w:t>8</w:t>
            </w:r>
          </w:p>
        </w:tc>
        <w:tc>
          <w:tcPr>
            <w:tcW w:w="416" w:type="pct"/>
            <w:tcBorders>
              <w:top w:val="nil"/>
              <w:left w:val="nil"/>
              <w:bottom w:val="nil"/>
              <w:right w:val="nil"/>
            </w:tcBorders>
            <w:noWrap/>
            <w:vAlign w:val="bottom"/>
          </w:tcPr>
          <w:p w14:paraId="580B5BB7"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(62)</w:t>
            </w:r>
          </w:p>
        </w:tc>
        <w:tc>
          <w:tcPr>
            <w:tcW w:w="588" w:type="pct"/>
            <w:tcBorders>
              <w:top w:val="nil"/>
              <w:left w:val="nil"/>
              <w:bottom w:val="nil"/>
              <w:right w:val="nil"/>
            </w:tcBorders>
            <w:noWrap/>
            <w:vAlign w:val="bottom"/>
          </w:tcPr>
          <w:p w14:paraId="46CA5731"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4</w:t>
            </w:r>
          </w:p>
        </w:tc>
        <w:tc>
          <w:tcPr>
            <w:tcW w:w="422" w:type="pct"/>
            <w:tcBorders>
              <w:top w:val="nil"/>
              <w:left w:val="nil"/>
              <w:bottom w:val="nil"/>
              <w:right w:val="nil"/>
            </w:tcBorders>
            <w:noWrap/>
            <w:vAlign w:val="bottom"/>
          </w:tcPr>
          <w:p w14:paraId="5B7FD93A"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(58)</w:t>
            </w:r>
          </w:p>
        </w:tc>
      </w:tr>
      <w:tr w:rsidR="00DD071B" w:rsidRPr="003D431A" w14:paraId="15F1A7FF" w14:textId="77777777" w:rsidTr="00A93726">
        <w:trPr>
          <w:trHeight w:val="240"/>
        </w:trPr>
        <w:tc>
          <w:tcPr>
            <w:tcW w:w="2166" w:type="pct"/>
            <w:tcBorders>
              <w:top w:val="nil"/>
              <w:left w:val="nil"/>
              <w:bottom w:val="nil"/>
              <w:right w:val="nil"/>
            </w:tcBorders>
            <w:noWrap/>
            <w:vAlign w:val="bottom"/>
          </w:tcPr>
          <w:p w14:paraId="47D2CB45" w14:textId="77777777" w:rsidR="00DD071B" w:rsidRDefault="00DD071B" w:rsidP="00DD071B">
            <w:pPr>
              <w:rPr>
                <w:rFonts w:ascii="Arial" w:hAnsi="Arial" w:cs="Arial"/>
                <w:sz w:val="18"/>
                <w:szCs w:val="18"/>
              </w:rPr>
            </w:pPr>
            <w:r w:rsidRPr="00EF1091">
              <w:rPr>
                <w:rFonts w:ascii="Arial" w:hAnsi="Arial" w:cs="Arial"/>
                <w:sz w:val="18"/>
                <w:szCs w:val="18"/>
              </w:rPr>
              <w:t>Contributions paid by employer</w:t>
            </w:r>
          </w:p>
        </w:tc>
        <w:tc>
          <w:tcPr>
            <w:tcW w:w="476" w:type="pct"/>
            <w:tcBorders>
              <w:top w:val="nil"/>
              <w:left w:val="nil"/>
              <w:bottom w:val="nil"/>
              <w:right w:val="nil"/>
            </w:tcBorders>
            <w:noWrap/>
            <w:vAlign w:val="bottom"/>
          </w:tcPr>
          <w:p w14:paraId="7CCCFCDD" w14:textId="77777777" w:rsidR="00DD071B" w:rsidRPr="00811BE4" w:rsidRDefault="00DD071B" w:rsidP="00DD071B">
            <w:pPr>
              <w:jc w:val="right"/>
              <w:rPr>
                <w:rFonts w:ascii="Arial" w:hAnsi="Arial" w:cs="Arial"/>
                <w:b/>
                <w:sz w:val="18"/>
                <w:szCs w:val="18"/>
              </w:rPr>
            </w:pPr>
            <w:r w:rsidRPr="00811BE4">
              <w:rPr>
                <w:rFonts w:ascii="Arial" w:hAnsi="Arial" w:cs="Arial"/>
                <w:b/>
                <w:sz w:val="18"/>
                <w:szCs w:val="18"/>
              </w:rPr>
              <w:t>3</w:t>
            </w:r>
            <w:r w:rsidR="00811BE4" w:rsidRPr="00811BE4">
              <w:rPr>
                <w:rFonts w:ascii="Arial" w:hAnsi="Arial" w:cs="Arial"/>
                <w:b/>
                <w:sz w:val="18"/>
                <w:szCs w:val="18"/>
              </w:rPr>
              <w:t>7</w:t>
            </w:r>
          </w:p>
        </w:tc>
        <w:tc>
          <w:tcPr>
            <w:tcW w:w="514" w:type="pct"/>
            <w:tcBorders>
              <w:top w:val="nil"/>
              <w:left w:val="nil"/>
              <w:bottom w:val="nil"/>
              <w:right w:val="nil"/>
            </w:tcBorders>
            <w:noWrap/>
            <w:vAlign w:val="bottom"/>
          </w:tcPr>
          <w:p w14:paraId="5F0DB294" w14:textId="77777777" w:rsidR="00DD071B" w:rsidRPr="00CF057F" w:rsidRDefault="00CF057F" w:rsidP="00DD071B">
            <w:pPr>
              <w:jc w:val="right"/>
              <w:rPr>
                <w:rFonts w:ascii="Arial" w:hAnsi="Arial" w:cs="Arial"/>
                <w:b/>
                <w:sz w:val="18"/>
                <w:szCs w:val="18"/>
              </w:rPr>
            </w:pPr>
            <w:r w:rsidRPr="00CF057F">
              <w:rPr>
                <w:rFonts w:ascii="Arial" w:hAnsi="Arial" w:cs="Arial"/>
                <w:b/>
                <w:sz w:val="18"/>
                <w:szCs w:val="18"/>
              </w:rPr>
              <w:t>3</w:t>
            </w:r>
          </w:p>
        </w:tc>
        <w:tc>
          <w:tcPr>
            <w:tcW w:w="418" w:type="pct"/>
            <w:tcBorders>
              <w:top w:val="nil"/>
              <w:left w:val="nil"/>
              <w:bottom w:val="nil"/>
              <w:right w:val="nil"/>
            </w:tcBorders>
            <w:noWrap/>
            <w:vAlign w:val="bottom"/>
          </w:tcPr>
          <w:p w14:paraId="2B88C131" w14:textId="77777777" w:rsidR="00DD071B" w:rsidRPr="00CF057F" w:rsidRDefault="00CF057F" w:rsidP="00DD071B">
            <w:pPr>
              <w:jc w:val="right"/>
              <w:rPr>
                <w:rFonts w:ascii="Arial" w:hAnsi="Arial" w:cs="Arial"/>
                <w:b/>
                <w:sz w:val="18"/>
                <w:szCs w:val="18"/>
              </w:rPr>
            </w:pPr>
            <w:r w:rsidRPr="00CF057F">
              <w:rPr>
                <w:rFonts w:ascii="Arial" w:hAnsi="Arial" w:cs="Arial"/>
                <w:b/>
                <w:sz w:val="18"/>
                <w:szCs w:val="18"/>
              </w:rPr>
              <w:t>40</w:t>
            </w:r>
          </w:p>
        </w:tc>
        <w:tc>
          <w:tcPr>
            <w:tcW w:w="416" w:type="pct"/>
            <w:tcBorders>
              <w:top w:val="nil"/>
              <w:left w:val="nil"/>
              <w:bottom w:val="nil"/>
              <w:right w:val="nil"/>
            </w:tcBorders>
            <w:noWrap/>
            <w:vAlign w:val="bottom"/>
          </w:tcPr>
          <w:p w14:paraId="38683E15"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36</w:t>
            </w:r>
          </w:p>
        </w:tc>
        <w:tc>
          <w:tcPr>
            <w:tcW w:w="588" w:type="pct"/>
            <w:tcBorders>
              <w:top w:val="nil"/>
              <w:left w:val="nil"/>
              <w:bottom w:val="nil"/>
              <w:right w:val="nil"/>
            </w:tcBorders>
            <w:noWrap/>
            <w:vAlign w:val="bottom"/>
          </w:tcPr>
          <w:p w14:paraId="122277D6"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2</w:t>
            </w:r>
          </w:p>
        </w:tc>
        <w:tc>
          <w:tcPr>
            <w:tcW w:w="422" w:type="pct"/>
            <w:tcBorders>
              <w:top w:val="nil"/>
              <w:left w:val="nil"/>
              <w:bottom w:val="nil"/>
              <w:right w:val="nil"/>
            </w:tcBorders>
            <w:noWrap/>
            <w:vAlign w:val="bottom"/>
          </w:tcPr>
          <w:p w14:paraId="4F5BF5CD"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38</w:t>
            </w:r>
          </w:p>
        </w:tc>
      </w:tr>
      <w:tr w:rsidR="00DD071B" w:rsidRPr="003D431A" w14:paraId="70E86DBC" w14:textId="77777777" w:rsidTr="00A93726">
        <w:trPr>
          <w:trHeight w:val="240"/>
        </w:trPr>
        <w:tc>
          <w:tcPr>
            <w:tcW w:w="2166" w:type="pct"/>
            <w:tcBorders>
              <w:top w:val="nil"/>
              <w:left w:val="nil"/>
              <w:bottom w:val="single" w:sz="4" w:space="0" w:color="auto"/>
              <w:right w:val="nil"/>
            </w:tcBorders>
            <w:noWrap/>
            <w:vAlign w:val="bottom"/>
          </w:tcPr>
          <w:p w14:paraId="72C6920A" w14:textId="77777777" w:rsidR="00DD071B" w:rsidRDefault="00DD071B" w:rsidP="00DD071B">
            <w:pPr>
              <w:rPr>
                <w:rFonts w:ascii="Arial" w:hAnsi="Arial" w:cs="Arial"/>
                <w:sz w:val="18"/>
                <w:szCs w:val="18"/>
              </w:rPr>
            </w:pPr>
            <w:r>
              <w:rPr>
                <w:rFonts w:ascii="Arial" w:hAnsi="Arial" w:cs="Arial"/>
                <w:sz w:val="18"/>
                <w:szCs w:val="18"/>
              </w:rPr>
              <w:t>Exchange differences</w:t>
            </w:r>
          </w:p>
        </w:tc>
        <w:tc>
          <w:tcPr>
            <w:tcW w:w="476" w:type="pct"/>
            <w:tcBorders>
              <w:top w:val="nil"/>
              <w:left w:val="nil"/>
              <w:bottom w:val="single" w:sz="4" w:space="0" w:color="auto"/>
              <w:right w:val="nil"/>
            </w:tcBorders>
            <w:noWrap/>
            <w:vAlign w:val="bottom"/>
          </w:tcPr>
          <w:p w14:paraId="46DD7082" w14:textId="77777777" w:rsidR="00DD071B" w:rsidRPr="00811BE4" w:rsidRDefault="00DD071B" w:rsidP="00DD071B">
            <w:pPr>
              <w:jc w:val="right"/>
              <w:rPr>
                <w:rFonts w:ascii="Arial" w:hAnsi="Arial" w:cs="Arial"/>
                <w:b/>
                <w:sz w:val="18"/>
                <w:szCs w:val="18"/>
              </w:rPr>
            </w:pPr>
            <w:r w:rsidRPr="00811BE4">
              <w:rPr>
                <w:rFonts w:ascii="Arial" w:hAnsi="Arial" w:cs="Arial"/>
                <w:b/>
                <w:sz w:val="18"/>
                <w:szCs w:val="18"/>
              </w:rPr>
              <w:t>–</w:t>
            </w:r>
          </w:p>
        </w:tc>
        <w:tc>
          <w:tcPr>
            <w:tcW w:w="514" w:type="pct"/>
            <w:tcBorders>
              <w:top w:val="nil"/>
              <w:left w:val="nil"/>
              <w:bottom w:val="single" w:sz="4" w:space="0" w:color="auto"/>
              <w:right w:val="nil"/>
            </w:tcBorders>
            <w:noWrap/>
            <w:vAlign w:val="bottom"/>
          </w:tcPr>
          <w:p w14:paraId="38321434" w14:textId="77777777" w:rsidR="00DD071B" w:rsidRPr="00CF057F" w:rsidRDefault="002176D5" w:rsidP="00DD071B">
            <w:pPr>
              <w:jc w:val="right"/>
              <w:rPr>
                <w:rFonts w:ascii="Arial" w:hAnsi="Arial" w:cs="Arial"/>
                <w:b/>
                <w:sz w:val="18"/>
                <w:szCs w:val="18"/>
              </w:rPr>
            </w:pPr>
            <w:r>
              <w:rPr>
                <w:rFonts w:ascii="Arial" w:hAnsi="Arial" w:cs="Arial"/>
                <w:b/>
                <w:sz w:val="18"/>
                <w:szCs w:val="18"/>
              </w:rPr>
              <w:t>1</w:t>
            </w:r>
          </w:p>
        </w:tc>
        <w:tc>
          <w:tcPr>
            <w:tcW w:w="418" w:type="pct"/>
            <w:tcBorders>
              <w:top w:val="nil"/>
              <w:left w:val="nil"/>
              <w:bottom w:val="single" w:sz="4" w:space="0" w:color="auto"/>
              <w:right w:val="nil"/>
            </w:tcBorders>
            <w:noWrap/>
            <w:vAlign w:val="bottom"/>
          </w:tcPr>
          <w:p w14:paraId="743DD4B9" w14:textId="77777777" w:rsidR="00DD071B" w:rsidRPr="00CF057F" w:rsidRDefault="002176D5" w:rsidP="00DD071B">
            <w:pPr>
              <w:jc w:val="right"/>
              <w:rPr>
                <w:rFonts w:ascii="Arial" w:hAnsi="Arial" w:cs="Arial"/>
                <w:b/>
                <w:sz w:val="18"/>
                <w:szCs w:val="18"/>
              </w:rPr>
            </w:pPr>
            <w:r>
              <w:rPr>
                <w:rFonts w:ascii="Arial" w:hAnsi="Arial" w:cs="Arial"/>
                <w:b/>
                <w:sz w:val="18"/>
                <w:szCs w:val="18"/>
              </w:rPr>
              <w:t>1</w:t>
            </w:r>
          </w:p>
        </w:tc>
        <w:tc>
          <w:tcPr>
            <w:tcW w:w="416" w:type="pct"/>
            <w:tcBorders>
              <w:top w:val="nil"/>
              <w:left w:val="nil"/>
              <w:bottom w:val="single" w:sz="4" w:space="0" w:color="auto"/>
              <w:right w:val="nil"/>
            </w:tcBorders>
            <w:noWrap/>
            <w:vAlign w:val="bottom"/>
          </w:tcPr>
          <w:p w14:paraId="0316A224"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w:t>
            </w:r>
          </w:p>
        </w:tc>
        <w:tc>
          <w:tcPr>
            <w:tcW w:w="588" w:type="pct"/>
            <w:tcBorders>
              <w:top w:val="nil"/>
              <w:left w:val="nil"/>
              <w:bottom w:val="single" w:sz="4" w:space="0" w:color="auto"/>
              <w:right w:val="nil"/>
            </w:tcBorders>
            <w:noWrap/>
            <w:vAlign w:val="bottom"/>
          </w:tcPr>
          <w:p w14:paraId="1656E5F8"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(2)</w:t>
            </w:r>
          </w:p>
        </w:tc>
        <w:tc>
          <w:tcPr>
            <w:tcW w:w="422" w:type="pct"/>
            <w:tcBorders>
              <w:top w:val="nil"/>
              <w:left w:val="nil"/>
              <w:bottom w:val="single" w:sz="4" w:space="0" w:color="auto"/>
              <w:right w:val="nil"/>
            </w:tcBorders>
            <w:noWrap/>
            <w:vAlign w:val="bottom"/>
          </w:tcPr>
          <w:p w14:paraId="1EC118FD"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(2)</w:t>
            </w:r>
          </w:p>
        </w:tc>
      </w:tr>
      <w:tr w:rsidR="00DD071B" w:rsidRPr="003D431A" w14:paraId="0DA37C24" w14:textId="77777777" w:rsidTr="00A93726">
        <w:trPr>
          <w:trHeight w:val="255"/>
        </w:trPr>
        <w:tc>
          <w:tcPr>
            <w:tcW w:w="2166" w:type="pct"/>
            <w:tcBorders>
              <w:top w:val="single" w:sz="4" w:space="0" w:color="auto"/>
              <w:left w:val="nil"/>
              <w:bottom w:val="single" w:sz="12" w:space="0" w:color="auto"/>
              <w:right w:val="nil"/>
            </w:tcBorders>
            <w:noWrap/>
            <w:vAlign w:val="bottom"/>
          </w:tcPr>
          <w:p w14:paraId="1FC6BE9C" w14:textId="77777777" w:rsidR="00DD071B" w:rsidRPr="00443469" w:rsidRDefault="00DD071B" w:rsidP="00DD071B">
            <w:pPr>
              <w:rPr>
                <w:rFonts w:ascii="Arial" w:hAnsi="Arial" w:cs="Arial"/>
                <w:b/>
                <w:sz w:val="18"/>
                <w:szCs w:val="18"/>
              </w:rPr>
            </w:pPr>
            <w:r w:rsidRPr="00B85BA8">
              <w:rPr>
                <w:rFonts w:ascii="Arial" w:hAnsi="Arial" w:cs="Arial"/>
                <w:b/>
                <w:sz w:val="18"/>
                <w:szCs w:val="18"/>
              </w:rPr>
              <w:t>Net surplus/(deficit) in</w:t>
            </w:r>
            <w:r w:rsidRPr="00443469">
              <w:rPr>
                <w:rFonts w:ascii="Arial" w:hAnsi="Arial" w:cs="Arial"/>
                <w:b/>
                <w:sz w:val="18"/>
                <w:szCs w:val="18"/>
              </w:rPr>
              <w:t xml:space="preserve"> scheme</w:t>
            </w:r>
            <w:r>
              <w:rPr>
                <w:rFonts w:ascii="Arial" w:hAnsi="Arial" w:cs="Arial"/>
                <w:b/>
                <w:sz w:val="18"/>
                <w:szCs w:val="18"/>
              </w:rPr>
              <w:t>s</w:t>
            </w:r>
            <w:r w:rsidRPr="00443469">
              <w:rPr>
                <w:rFonts w:ascii="Arial" w:hAnsi="Arial" w:cs="Arial"/>
                <w:b/>
                <w:sz w:val="18"/>
                <w:szCs w:val="18"/>
              </w:rPr>
              <w:t xml:space="preserve"> at end of year</w:t>
            </w:r>
          </w:p>
        </w:tc>
        <w:tc>
          <w:tcPr>
            <w:tcW w:w="476" w:type="pct"/>
            <w:tcBorders>
              <w:top w:val="single" w:sz="4" w:space="0" w:color="auto"/>
              <w:left w:val="nil"/>
              <w:bottom w:val="single" w:sz="12" w:space="0" w:color="auto"/>
              <w:right w:val="nil"/>
            </w:tcBorders>
            <w:noWrap/>
            <w:vAlign w:val="bottom"/>
          </w:tcPr>
          <w:p w14:paraId="268B1D26" w14:textId="77777777" w:rsidR="00DD071B" w:rsidRPr="00811BE4" w:rsidRDefault="00811BE4" w:rsidP="00DD071B">
            <w:pPr>
              <w:jc w:val="right"/>
              <w:rPr>
                <w:rFonts w:ascii="Arial" w:hAnsi="Arial" w:cs="Arial"/>
                <w:b/>
                <w:sz w:val="18"/>
                <w:szCs w:val="18"/>
              </w:rPr>
            </w:pPr>
            <w:r w:rsidRPr="00811BE4">
              <w:rPr>
                <w:rFonts w:ascii="Arial" w:hAnsi="Arial" w:cs="Arial"/>
                <w:b/>
                <w:sz w:val="18"/>
                <w:szCs w:val="18"/>
              </w:rPr>
              <w:t>320</w:t>
            </w:r>
          </w:p>
        </w:tc>
        <w:tc>
          <w:tcPr>
            <w:tcW w:w="514" w:type="pct"/>
            <w:tcBorders>
              <w:top w:val="single" w:sz="4" w:space="0" w:color="auto"/>
              <w:left w:val="nil"/>
              <w:bottom w:val="single" w:sz="12" w:space="0" w:color="auto"/>
              <w:right w:val="nil"/>
            </w:tcBorders>
            <w:noWrap/>
            <w:vAlign w:val="bottom"/>
          </w:tcPr>
          <w:p w14:paraId="41E9F04E" w14:textId="77777777" w:rsidR="00DD071B" w:rsidRPr="00CF057F" w:rsidRDefault="00DD071B" w:rsidP="00DD071B">
            <w:pPr>
              <w:jc w:val="right"/>
              <w:rPr>
                <w:rFonts w:ascii="Arial" w:hAnsi="Arial" w:cs="Arial"/>
                <w:b/>
                <w:sz w:val="18"/>
                <w:szCs w:val="18"/>
              </w:rPr>
            </w:pPr>
            <w:r w:rsidRPr="00CF057F">
              <w:rPr>
                <w:rFonts w:ascii="Arial" w:hAnsi="Arial" w:cs="Arial"/>
                <w:b/>
                <w:sz w:val="18"/>
                <w:szCs w:val="18"/>
              </w:rPr>
              <w:t>(115)</w:t>
            </w:r>
          </w:p>
        </w:tc>
        <w:tc>
          <w:tcPr>
            <w:tcW w:w="418" w:type="pct"/>
            <w:tcBorders>
              <w:top w:val="single" w:sz="4" w:space="0" w:color="auto"/>
              <w:left w:val="nil"/>
              <w:bottom w:val="single" w:sz="12" w:space="0" w:color="auto"/>
              <w:right w:val="nil"/>
            </w:tcBorders>
            <w:noWrap/>
            <w:vAlign w:val="bottom"/>
          </w:tcPr>
          <w:p w14:paraId="46B4AE56" w14:textId="77777777" w:rsidR="00DD071B" w:rsidRPr="00CF057F" w:rsidRDefault="00CF057F" w:rsidP="00DD071B">
            <w:pPr>
              <w:jc w:val="right"/>
              <w:rPr>
                <w:rFonts w:ascii="Arial" w:hAnsi="Arial" w:cs="Arial"/>
                <w:b/>
                <w:sz w:val="18"/>
                <w:szCs w:val="18"/>
              </w:rPr>
            </w:pPr>
            <w:r w:rsidRPr="00CF057F">
              <w:rPr>
                <w:rFonts w:ascii="Arial" w:hAnsi="Arial" w:cs="Arial"/>
                <w:b/>
                <w:sz w:val="18"/>
                <w:szCs w:val="18"/>
              </w:rPr>
              <w:t>205</w:t>
            </w:r>
          </w:p>
        </w:tc>
        <w:tc>
          <w:tcPr>
            <w:tcW w:w="416" w:type="pct"/>
            <w:tcBorders>
              <w:top w:val="single" w:sz="4" w:space="0" w:color="auto"/>
              <w:left w:val="nil"/>
              <w:bottom w:val="single" w:sz="12" w:space="0" w:color="auto"/>
              <w:right w:val="nil"/>
            </w:tcBorders>
            <w:noWrap/>
            <w:vAlign w:val="bottom"/>
          </w:tcPr>
          <w:p w14:paraId="1C90F675"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214</w:t>
            </w:r>
          </w:p>
        </w:tc>
        <w:tc>
          <w:tcPr>
            <w:tcW w:w="588" w:type="pct"/>
            <w:tcBorders>
              <w:top w:val="single" w:sz="4" w:space="0" w:color="auto"/>
              <w:left w:val="nil"/>
              <w:bottom w:val="single" w:sz="12" w:space="0" w:color="auto"/>
              <w:right w:val="nil"/>
            </w:tcBorders>
            <w:noWrap/>
            <w:vAlign w:val="bottom"/>
          </w:tcPr>
          <w:p w14:paraId="004B987C"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(115)</w:t>
            </w:r>
          </w:p>
        </w:tc>
        <w:tc>
          <w:tcPr>
            <w:tcW w:w="422" w:type="pct"/>
            <w:tcBorders>
              <w:top w:val="single" w:sz="4" w:space="0" w:color="auto"/>
              <w:left w:val="nil"/>
              <w:bottom w:val="single" w:sz="12" w:space="0" w:color="auto"/>
              <w:right w:val="nil"/>
            </w:tcBorders>
            <w:noWrap/>
            <w:vAlign w:val="bottom"/>
          </w:tcPr>
          <w:p w14:paraId="6F258670"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99</w:t>
            </w:r>
          </w:p>
        </w:tc>
      </w:tr>
      <w:tr w:rsidR="00A93726" w:rsidRPr="003D431A" w14:paraId="23173A24" w14:textId="77777777" w:rsidTr="00A93726">
        <w:trPr>
          <w:trHeight w:val="255"/>
        </w:trPr>
        <w:tc>
          <w:tcPr>
            <w:tcW w:w="2166" w:type="pct"/>
            <w:tcBorders>
              <w:top w:val="single" w:sz="12" w:space="0" w:color="auto"/>
              <w:left w:val="nil"/>
              <w:right w:val="nil"/>
            </w:tcBorders>
            <w:noWrap/>
            <w:vAlign w:val="bottom"/>
          </w:tcPr>
          <w:p w14:paraId="53DE1FE8" w14:textId="77777777" w:rsidR="00A93726" w:rsidRDefault="00A93726" w:rsidP="00A93726">
            <w:pPr>
              <w:rPr>
                <w:rFonts w:ascii="Arial" w:hAnsi="Arial" w:cs="Arial"/>
                <w:b/>
                <w:sz w:val="18"/>
                <w:szCs w:val="18"/>
              </w:rPr>
            </w:pPr>
          </w:p>
        </w:tc>
        <w:tc>
          <w:tcPr>
            <w:tcW w:w="476" w:type="pct"/>
            <w:tcBorders>
              <w:top w:val="single" w:sz="12" w:space="0" w:color="auto"/>
              <w:left w:val="nil"/>
              <w:right w:val="nil"/>
            </w:tcBorders>
            <w:noWrap/>
            <w:vAlign w:val="bottom"/>
          </w:tcPr>
          <w:p w14:paraId="0B7AF548" w14:textId="77777777" w:rsidR="00A93726" w:rsidRPr="00B5215A" w:rsidRDefault="00A93726" w:rsidP="00A93726">
            <w:pPr>
              <w:jc w:val="right"/>
              <w:rPr>
                <w:rFonts w:ascii="Arial" w:hAnsi="Arial" w:cs="Arial"/>
                <w:b/>
                <w:sz w:val="18"/>
                <w:szCs w:val="18"/>
              </w:rPr>
            </w:pPr>
          </w:p>
        </w:tc>
        <w:tc>
          <w:tcPr>
            <w:tcW w:w="514" w:type="pct"/>
            <w:tcBorders>
              <w:top w:val="single" w:sz="12" w:space="0" w:color="auto"/>
              <w:left w:val="nil"/>
              <w:right w:val="nil"/>
            </w:tcBorders>
            <w:noWrap/>
            <w:vAlign w:val="bottom"/>
          </w:tcPr>
          <w:p w14:paraId="07207126" w14:textId="77777777" w:rsidR="00A93726" w:rsidRPr="00B5215A" w:rsidRDefault="00A93726" w:rsidP="00A93726">
            <w:pPr>
              <w:jc w:val="right"/>
              <w:rPr>
                <w:rFonts w:ascii="Arial" w:hAnsi="Arial" w:cs="Arial"/>
                <w:b/>
                <w:sz w:val="18"/>
                <w:szCs w:val="18"/>
              </w:rPr>
            </w:pPr>
          </w:p>
        </w:tc>
        <w:tc>
          <w:tcPr>
            <w:tcW w:w="418" w:type="pct"/>
            <w:tcBorders>
              <w:top w:val="single" w:sz="12" w:space="0" w:color="auto"/>
              <w:left w:val="nil"/>
              <w:right w:val="nil"/>
            </w:tcBorders>
            <w:noWrap/>
            <w:vAlign w:val="bottom"/>
          </w:tcPr>
          <w:p w14:paraId="02A175CE" w14:textId="77777777" w:rsidR="00A93726" w:rsidRPr="00B5215A" w:rsidRDefault="00A93726" w:rsidP="00A93726">
            <w:pPr>
              <w:jc w:val="right"/>
              <w:rPr>
                <w:rFonts w:ascii="Arial" w:hAnsi="Arial" w:cs="Arial"/>
                <w:b/>
                <w:sz w:val="18"/>
                <w:szCs w:val="18"/>
              </w:rPr>
            </w:pPr>
          </w:p>
        </w:tc>
        <w:tc>
          <w:tcPr>
            <w:tcW w:w="416" w:type="pct"/>
            <w:tcBorders>
              <w:top w:val="single" w:sz="12" w:space="0" w:color="auto"/>
              <w:left w:val="nil"/>
              <w:right w:val="nil"/>
            </w:tcBorders>
            <w:noWrap/>
            <w:vAlign w:val="bottom"/>
          </w:tcPr>
          <w:p w14:paraId="07311FC1" w14:textId="77777777" w:rsidR="00A93726" w:rsidRPr="00A93726" w:rsidRDefault="00A93726" w:rsidP="00A93726">
            <w:pPr>
              <w:jc w:val="right"/>
              <w:rPr>
                <w:rFonts w:ascii="Arial" w:hAnsi="Arial" w:cs="Arial"/>
                <w:sz w:val="18"/>
                <w:szCs w:val="18"/>
              </w:rPr>
            </w:pPr>
          </w:p>
        </w:tc>
        <w:tc>
          <w:tcPr>
            <w:tcW w:w="588" w:type="pct"/>
            <w:tcBorders>
              <w:top w:val="single" w:sz="12" w:space="0" w:color="auto"/>
              <w:left w:val="nil"/>
              <w:right w:val="nil"/>
            </w:tcBorders>
            <w:noWrap/>
            <w:vAlign w:val="bottom"/>
          </w:tcPr>
          <w:p w14:paraId="029BE046" w14:textId="77777777" w:rsidR="00A93726" w:rsidRPr="00A93726" w:rsidRDefault="00A93726" w:rsidP="00A93726">
            <w:pPr>
              <w:jc w:val="right"/>
              <w:rPr>
                <w:rFonts w:ascii="Arial" w:hAnsi="Arial" w:cs="Arial"/>
                <w:sz w:val="18"/>
                <w:szCs w:val="18"/>
              </w:rPr>
            </w:pPr>
          </w:p>
        </w:tc>
        <w:tc>
          <w:tcPr>
            <w:tcW w:w="422" w:type="pct"/>
            <w:tcBorders>
              <w:top w:val="single" w:sz="12" w:space="0" w:color="auto"/>
              <w:left w:val="nil"/>
              <w:right w:val="nil"/>
            </w:tcBorders>
            <w:noWrap/>
            <w:vAlign w:val="bottom"/>
          </w:tcPr>
          <w:p w14:paraId="30F78788" w14:textId="77777777" w:rsidR="00A93726" w:rsidRPr="00A93726" w:rsidRDefault="00A93726" w:rsidP="00A93726">
            <w:pPr>
              <w:jc w:val="right"/>
              <w:rPr>
                <w:rFonts w:ascii="Arial" w:hAnsi="Arial" w:cs="Arial"/>
                <w:sz w:val="18"/>
                <w:szCs w:val="18"/>
              </w:rPr>
            </w:pPr>
          </w:p>
        </w:tc>
      </w:tr>
      <w:tr w:rsidR="00DD071B" w:rsidRPr="003D431A" w14:paraId="2B61D9FB" w14:textId="77777777" w:rsidTr="00A93726">
        <w:trPr>
          <w:trHeight w:val="240"/>
        </w:trPr>
        <w:tc>
          <w:tcPr>
            <w:tcW w:w="2166" w:type="pct"/>
            <w:tcBorders>
              <w:left w:val="nil"/>
              <w:bottom w:val="nil"/>
              <w:right w:val="nil"/>
            </w:tcBorders>
            <w:noWrap/>
            <w:vAlign w:val="bottom"/>
          </w:tcPr>
          <w:p w14:paraId="4D1E3079" w14:textId="77777777" w:rsidR="00DD071B" w:rsidRDefault="00DD071B" w:rsidP="00DD071B">
            <w:pPr>
              <w:rPr>
                <w:rFonts w:ascii="Arial" w:hAnsi="Arial" w:cs="Arial"/>
                <w:sz w:val="18"/>
                <w:szCs w:val="18"/>
              </w:rPr>
            </w:pPr>
            <w:r>
              <w:rPr>
                <w:rFonts w:ascii="Arial" w:hAnsi="Arial" w:cs="Arial"/>
                <w:sz w:val="18"/>
                <w:szCs w:val="18"/>
              </w:rPr>
              <w:t>Present value of defined benefit obligations</w:t>
            </w:r>
          </w:p>
        </w:tc>
        <w:tc>
          <w:tcPr>
            <w:tcW w:w="476" w:type="pct"/>
            <w:tcBorders>
              <w:left w:val="nil"/>
              <w:bottom w:val="nil"/>
              <w:right w:val="nil"/>
            </w:tcBorders>
            <w:noWrap/>
            <w:vAlign w:val="bottom"/>
          </w:tcPr>
          <w:p w14:paraId="1A36710B" w14:textId="77777777" w:rsidR="00DD071B" w:rsidRPr="00811BE4" w:rsidRDefault="00DD071B" w:rsidP="00DD071B">
            <w:pPr>
              <w:jc w:val="right"/>
              <w:rPr>
                <w:rFonts w:ascii="Arial" w:hAnsi="Arial" w:cs="Arial"/>
                <w:b/>
                <w:sz w:val="18"/>
                <w:szCs w:val="18"/>
              </w:rPr>
            </w:pPr>
            <w:r w:rsidRPr="00811BE4">
              <w:rPr>
                <w:rFonts w:ascii="Arial" w:hAnsi="Arial" w:cs="Arial"/>
                <w:b/>
                <w:sz w:val="18"/>
                <w:szCs w:val="18"/>
              </w:rPr>
              <w:t>(</w:t>
            </w:r>
            <w:r w:rsidR="00811BE4" w:rsidRPr="00811BE4">
              <w:rPr>
                <w:rFonts w:ascii="Arial" w:hAnsi="Arial" w:cs="Arial"/>
                <w:b/>
                <w:sz w:val="18"/>
                <w:szCs w:val="18"/>
              </w:rPr>
              <w:t>2,842</w:t>
            </w:r>
            <w:r w:rsidRPr="00811BE4">
              <w:rPr>
                <w:rFonts w:ascii="Arial" w:hAnsi="Arial" w:cs="Arial"/>
                <w:b/>
                <w:sz w:val="18"/>
                <w:szCs w:val="18"/>
              </w:rPr>
              <w:t>)</w:t>
            </w:r>
          </w:p>
        </w:tc>
        <w:tc>
          <w:tcPr>
            <w:tcW w:w="514" w:type="pct"/>
            <w:tcBorders>
              <w:left w:val="nil"/>
              <w:bottom w:val="nil"/>
              <w:right w:val="nil"/>
            </w:tcBorders>
            <w:noWrap/>
            <w:vAlign w:val="bottom"/>
          </w:tcPr>
          <w:p w14:paraId="359B79BB" w14:textId="77777777" w:rsidR="00DD071B" w:rsidRPr="001E1FF0" w:rsidRDefault="00DD071B" w:rsidP="00DD071B">
            <w:pPr>
              <w:jc w:val="right"/>
              <w:rPr>
                <w:rFonts w:ascii="Arial" w:hAnsi="Arial" w:cs="Arial"/>
                <w:b/>
                <w:sz w:val="18"/>
                <w:szCs w:val="18"/>
              </w:rPr>
            </w:pPr>
            <w:r w:rsidRPr="001E1FF0">
              <w:rPr>
                <w:rFonts w:ascii="Arial" w:hAnsi="Arial" w:cs="Arial"/>
                <w:b/>
                <w:sz w:val="18"/>
                <w:szCs w:val="18"/>
              </w:rPr>
              <w:t>(13</w:t>
            </w:r>
            <w:r w:rsidR="001E1FF0" w:rsidRPr="001E1FF0">
              <w:rPr>
                <w:rFonts w:ascii="Arial" w:hAnsi="Arial" w:cs="Arial"/>
                <w:b/>
                <w:sz w:val="18"/>
                <w:szCs w:val="18"/>
              </w:rPr>
              <w:t>5</w:t>
            </w:r>
            <w:r w:rsidRPr="001E1FF0">
              <w:rPr>
                <w:rFonts w:ascii="Arial" w:hAnsi="Arial" w:cs="Arial"/>
                <w:b/>
                <w:sz w:val="18"/>
                <w:szCs w:val="18"/>
              </w:rPr>
              <w:t>)</w:t>
            </w:r>
          </w:p>
        </w:tc>
        <w:tc>
          <w:tcPr>
            <w:tcW w:w="418" w:type="pct"/>
            <w:tcBorders>
              <w:left w:val="nil"/>
              <w:bottom w:val="nil"/>
              <w:right w:val="nil"/>
            </w:tcBorders>
            <w:noWrap/>
            <w:vAlign w:val="bottom"/>
          </w:tcPr>
          <w:p w14:paraId="2899C065" w14:textId="77777777" w:rsidR="00DD071B" w:rsidRPr="001E1FF0" w:rsidRDefault="00DD071B" w:rsidP="00DD071B">
            <w:pPr>
              <w:jc w:val="right"/>
              <w:rPr>
                <w:rFonts w:ascii="Arial" w:hAnsi="Arial" w:cs="Arial"/>
                <w:b/>
                <w:sz w:val="18"/>
                <w:szCs w:val="18"/>
              </w:rPr>
            </w:pPr>
            <w:r w:rsidRPr="001E1FF0">
              <w:rPr>
                <w:rFonts w:ascii="Arial" w:hAnsi="Arial" w:cs="Arial"/>
                <w:b/>
                <w:sz w:val="18"/>
                <w:szCs w:val="18"/>
              </w:rPr>
              <w:t>(</w:t>
            </w:r>
            <w:r w:rsidR="001E1FF0" w:rsidRPr="001E1FF0">
              <w:rPr>
                <w:rFonts w:ascii="Arial" w:hAnsi="Arial" w:cs="Arial"/>
                <w:b/>
                <w:sz w:val="18"/>
                <w:szCs w:val="18"/>
              </w:rPr>
              <w:t>2,977</w:t>
            </w:r>
            <w:r w:rsidRPr="001E1FF0">
              <w:rPr>
                <w:rFonts w:ascii="Arial" w:hAnsi="Arial" w:cs="Arial"/>
                <w:b/>
                <w:sz w:val="18"/>
                <w:szCs w:val="18"/>
              </w:rPr>
              <w:t>)</w:t>
            </w:r>
          </w:p>
        </w:tc>
        <w:tc>
          <w:tcPr>
            <w:tcW w:w="416" w:type="pct"/>
            <w:tcBorders>
              <w:left w:val="nil"/>
              <w:bottom w:val="nil"/>
              <w:right w:val="nil"/>
            </w:tcBorders>
            <w:noWrap/>
            <w:vAlign w:val="bottom"/>
          </w:tcPr>
          <w:p w14:paraId="2D76A4C8"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(3,002)</w:t>
            </w:r>
          </w:p>
        </w:tc>
        <w:tc>
          <w:tcPr>
            <w:tcW w:w="588" w:type="pct"/>
            <w:tcBorders>
              <w:left w:val="nil"/>
              <w:bottom w:val="nil"/>
              <w:right w:val="nil"/>
            </w:tcBorders>
            <w:noWrap/>
            <w:vAlign w:val="bottom"/>
          </w:tcPr>
          <w:p w14:paraId="3B9C4813"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(134)</w:t>
            </w:r>
          </w:p>
        </w:tc>
        <w:tc>
          <w:tcPr>
            <w:tcW w:w="422" w:type="pct"/>
            <w:tcBorders>
              <w:left w:val="nil"/>
              <w:bottom w:val="nil"/>
              <w:right w:val="nil"/>
            </w:tcBorders>
            <w:noWrap/>
            <w:vAlign w:val="bottom"/>
          </w:tcPr>
          <w:p w14:paraId="7585DC50"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(3,136)</w:t>
            </w:r>
          </w:p>
        </w:tc>
      </w:tr>
      <w:tr w:rsidR="00DD071B" w:rsidRPr="003D431A" w14:paraId="091C665C" w14:textId="77777777" w:rsidTr="00A93726">
        <w:trPr>
          <w:trHeight w:val="240"/>
        </w:trPr>
        <w:tc>
          <w:tcPr>
            <w:tcW w:w="2166" w:type="pct"/>
            <w:tcBorders>
              <w:top w:val="nil"/>
              <w:left w:val="nil"/>
              <w:bottom w:val="single" w:sz="4" w:space="0" w:color="auto"/>
              <w:right w:val="nil"/>
            </w:tcBorders>
            <w:noWrap/>
            <w:vAlign w:val="bottom"/>
          </w:tcPr>
          <w:p w14:paraId="63F441D5" w14:textId="77777777" w:rsidR="00DD071B" w:rsidRDefault="00DD071B" w:rsidP="00DD071B">
            <w:pPr>
              <w:rPr>
                <w:rFonts w:ascii="Arial" w:hAnsi="Arial" w:cs="Arial"/>
                <w:sz w:val="18"/>
                <w:szCs w:val="18"/>
              </w:rPr>
            </w:pPr>
            <w:r>
              <w:rPr>
                <w:rFonts w:ascii="Arial" w:hAnsi="Arial" w:cs="Arial"/>
                <w:sz w:val="18"/>
                <w:szCs w:val="18"/>
              </w:rPr>
              <w:t>Fair value of scheme assets</w:t>
            </w:r>
          </w:p>
        </w:tc>
        <w:tc>
          <w:tcPr>
            <w:tcW w:w="476" w:type="pct"/>
            <w:tcBorders>
              <w:top w:val="nil"/>
              <w:left w:val="nil"/>
              <w:bottom w:val="single" w:sz="4" w:space="0" w:color="auto"/>
              <w:right w:val="nil"/>
            </w:tcBorders>
            <w:noWrap/>
            <w:vAlign w:val="bottom"/>
          </w:tcPr>
          <w:p w14:paraId="2C8E6571" w14:textId="77777777" w:rsidR="00DD071B" w:rsidRPr="00811BE4" w:rsidRDefault="00811BE4" w:rsidP="00DD071B">
            <w:pPr>
              <w:jc w:val="right"/>
              <w:rPr>
                <w:rFonts w:ascii="Arial" w:hAnsi="Arial" w:cs="Arial"/>
                <w:b/>
                <w:sz w:val="18"/>
                <w:szCs w:val="18"/>
              </w:rPr>
            </w:pPr>
            <w:r w:rsidRPr="00811BE4">
              <w:rPr>
                <w:rFonts w:ascii="Arial" w:hAnsi="Arial" w:cs="Arial"/>
                <w:b/>
                <w:sz w:val="18"/>
                <w:szCs w:val="18"/>
              </w:rPr>
              <w:t>3,162</w:t>
            </w:r>
          </w:p>
        </w:tc>
        <w:tc>
          <w:tcPr>
            <w:tcW w:w="514" w:type="pct"/>
            <w:tcBorders>
              <w:top w:val="nil"/>
              <w:left w:val="nil"/>
              <w:bottom w:val="single" w:sz="4" w:space="0" w:color="auto"/>
              <w:right w:val="nil"/>
            </w:tcBorders>
            <w:noWrap/>
            <w:vAlign w:val="bottom"/>
          </w:tcPr>
          <w:p w14:paraId="6DD66A74" w14:textId="77777777" w:rsidR="00DD071B" w:rsidRPr="001E1FF0" w:rsidRDefault="001E1FF0" w:rsidP="00DD071B">
            <w:pPr>
              <w:jc w:val="right"/>
              <w:rPr>
                <w:rFonts w:ascii="Arial" w:hAnsi="Arial" w:cs="Arial"/>
                <w:b/>
                <w:sz w:val="18"/>
                <w:szCs w:val="18"/>
              </w:rPr>
            </w:pPr>
            <w:r w:rsidRPr="001E1FF0">
              <w:rPr>
                <w:rFonts w:ascii="Arial" w:hAnsi="Arial" w:cs="Arial"/>
                <w:b/>
                <w:sz w:val="18"/>
                <w:szCs w:val="18"/>
              </w:rPr>
              <w:t>20</w:t>
            </w:r>
          </w:p>
        </w:tc>
        <w:tc>
          <w:tcPr>
            <w:tcW w:w="418" w:type="pct"/>
            <w:tcBorders>
              <w:top w:val="nil"/>
              <w:left w:val="nil"/>
              <w:bottom w:val="single" w:sz="4" w:space="0" w:color="auto"/>
              <w:right w:val="nil"/>
            </w:tcBorders>
            <w:noWrap/>
            <w:vAlign w:val="bottom"/>
          </w:tcPr>
          <w:p w14:paraId="55BECC24" w14:textId="77777777" w:rsidR="00DD071B" w:rsidRPr="001E1FF0" w:rsidRDefault="00DD071B" w:rsidP="00DD071B">
            <w:pPr>
              <w:jc w:val="right"/>
              <w:rPr>
                <w:rFonts w:ascii="Arial" w:hAnsi="Arial" w:cs="Arial"/>
                <w:b/>
                <w:sz w:val="18"/>
                <w:szCs w:val="18"/>
              </w:rPr>
            </w:pPr>
            <w:r w:rsidRPr="001E1FF0">
              <w:rPr>
                <w:rFonts w:ascii="Arial" w:hAnsi="Arial" w:cs="Arial"/>
                <w:b/>
                <w:sz w:val="18"/>
                <w:szCs w:val="18"/>
              </w:rPr>
              <w:t>3,</w:t>
            </w:r>
            <w:r w:rsidR="001E1FF0" w:rsidRPr="001E1FF0">
              <w:rPr>
                <w:rFonts w:ascii="Arial" w:hAnsi="Arial" w:cs="Arial"/>
                <w:b/>
                <w:sz w:val="18"/>
                <w:szCs w:val="18"/>
              </w:rPr>
              <w:t>182</w:t>
            </w:r>
          </w:p>
        </w:tc>
        <w:tc>
          <w:tcPr>
            <w:tcW w:w="416" w:type="pct"/>
            <w:tcBorders>
              <w:top w:val="nil"/>
              <w:left w:val="nil"/>
              <w:bottom w:val="single" w:sz="4" w:space="0" w:color="auto"/>
              <w:right w:val="nil"/>
            </w:tcBorders>
            <w:noWrap/>
            <w:vAlign w:val="bottom"/>
          </w:tcPr>
          <w:p w14:paraId="13AA5F6A"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3,216</w:t>
            </w:r>
          </w:p>
        </w:tc>
        <w:tc>
          <w:tcPr>
            <w:tcW w:w="588" w:type="pct"/>
            <w:tcBorders>
              <w:top w:val="nil"/>
              <w:left w:val="nil"/>
              <w:bottom w:val="single" w:sz="4" w:space="0" w:color="auto"/>
              <w:right w:val="nil"/>
            </w:tcBorders>
            <w:noWrap/>
            <w:vAlign w:val="bottom"/>
          </w:tcPr>
          <w:p w14:paraId="0A1B3349"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19</w:t>
            </w:r>
          </w:p>
        </w:tc>
        <w:tc>
          <w:tcPr>
            <w:tcW w:w="422" w:type="pct"/>
            <w:tcBorders>
              <w:top w:val="nil"/>
              <w:left w:val="nil"/>
              <w:bottom w:val="single" w:sz="4" w:space="0" w:color="auto"/>
              <w:right w:val="nil"/>
            </w:tcBorders>
            <w:noWrap/>
            <w:vAlign w:val="bottom"/>
          </w:tcPr>
          <w:p w14:paraId="508B3FD3"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3,235</w:t>
            </w:r>
          </w:p>
        </w:tc>
      </w:tr>
      <w:tr w:rsidR="00DD071B" w:rsidRPr="003D431A" w14:paraId="737EC759" w14:textId="77777777" w:rsidTr="00A93726">
        <w:trPr>
          <w:trHeight w:val="255"/>
        </w:trPr>
        <w:tc>
          <w:tcPr>
            <w:tcW w:w="2166" w:type="pct"/>
            <w:tcBorders>
              <w:top w:val="single" w:sz="4" w:space="0" w:color="auto"/>
              <w:left w:val="nil"/>
              <w:bottom w:val="single" w:sz="12" w:space="0" w:color="auto"/>
              <w:right w:val="nil"/>
            </w:tcBorders>
            <w:noWrap/>
            <w:vAlign w:val="bottom"/>
          </w:tcPr>
          <w:p w14:paraId="218F8FB2" w14:textId="77777777" w:rsidR="00DD071B" w:rsidRPr="00B85BA8" w:rsidRDefault="00DD071B" w:rsidP="00DD071B">
            <w:pPr>
              <w:rPr>
                <w:rFonts w:ascii="Arial" w:hAnsi="Arial" w:cs="Arial"/>
                <w:b/>
                <w:sz w:val="18"/>
                <w:szCs w:val="18"/>
              </w:rPr>
            </w:pPr>
            <w:r w:rsidRPr="00B85BA8">
              <w:rPr>
                <w:rFonts w:ascii="Arial" w:hAnsi="Arial" w:cs="Arial"/>
                <w:b/>
                <w:sz w:val="18"/>
                <w:szCs w:val="18"/>
              </w:rPr>
              <w:t>Net surplus/(deficit) in schemes</w:t>
            </w:r>
          </w:p>
        </w:tc>
        <w:tc>
          <w:tcPr>
            <w:tcW w:w="476" w:type="pct"/>
            <w:tcBorders>
              <w:top w:val="single" w:sz="4" w:space="0" w:color="auto"/>
              <w:left w:val="nil"/>
              <w:bottom w:val="single" w:sz="12" w:space="0" w:color="auto"/>
              <w:right w:val="nil"/>
            </w:tcBorders>
            <w:noWrap/>
            <w:vAlign w:val="bottom"/>
          </w:tcPr>
          <w:p w14:paraId="1B8862F4" w14:textId="77777777" w:rsidR="00DD071B" w:rsidRPr="00811BE4" w:rsidRDefault="00811BE4" w:rsidP="00DD071B">
            <w:pPr>
              <w:jc w:val="right"/>
              <w:rPr>
                <w:rFonts w:ascii="Arial" w:hAnsi="Arial" w:cs="Arial"/>
                <w:b/>
                <w:sz w:val="18"/>
                <w:szCs w:val="18"/>
              </w:rPr>
            </w:pPr>
            <w:r w:rsidRPr="00811BE4">
              <w:rPr>
                <w:rFonts w:ascii="Arial" w:hAnsi="Arial" w:cs="Arial"/>
                <w:b/>
                <w:sz w:val="18"/>
                <w:szCs w:val="18"/>
              </w:rPr>
              <w:t>320</w:t>
            </w:r>
          </w:p>
        </w:tc>
        <w:tc>
          <w:tcPr>
            <w:tcW w:w="514" w:type="pct"/>
            <w:tcBorders>
              <w:top w:val="single" w:sz="4" w:space="0" w:color="auto"/>
              <w:left w:val="nil"/>
              <w:bottom w:val="single" w:sz="12" w:space="0" w:color="auto"/>
              <w:right w:val="nil"/>
            </w:tcBorders>
            <w:noWrap/>
            <w:vAlign w:val="bottom"/>
          </w:tcPr>
          <w:p w14:paraId="5A48E276" w14:textId="77777777" w:rsidR="00DD071B" w:rsidRPr="001E1FF0" w:rsidRDefault="00DD071B" w:rsidP="00DD071B">
            <w:pPr>
              <w:jc w:val="right"/>
              <w:rPr>
                <w:rFonts w:ascii="Arial" w:hAnsi="Arial" w:cs="Arial"/>
                <w:b/>
                <w:sz w:val="18"/>
                <w:szCs w:val="18"/>
              </w:rPr>
            </w:pPr>
            <w:r w:rsidRPr="001E1FF0">
              <w:rPr>
                <w:rFonts w:ascii="Arial" w:hAnsi="Arial" w:cs="Arial"/>
                <w:b/>
                <w:sz w:val="18"/>
                <w:szCs w:val="18"/>
              </w:rPr>
              <w:t>(115)</w:t>
            </w:r>
          </w:p>
        </w:tc>
        <w:tc>
          <w:tcPr>
            <w:tcW w:w="418" w:type="pct"/>
            <w:tcBorders>
              <w:top w:val="single" w:sz="4" w:space="0" w:color="auto"/>
              <w:left w:val="nil"/>
              <w:bottom w:val="single" w:sz="12" w:space="0" w:color="auto"/>
              <w:right w:val="nil"/>
            </w:tcBorders>
            <w:noWrap/>
            <w:vAlign w:val="bottom"/>
          </w:tcPr>
          <w:p w14:paraId="3924AF12" w14:textId="77777777" w:rsidR="00DD071B" w:rsidRPr="001E1FF0" w:rsidRDefault="001E1FF0" w:rsidP="00DD071B">
            <w:pPr>
              <w:jc w:val="right"/>
              <w:rPr>
                <w:rFonts w:ascii="Arial" w:hAnsi="Arial" w:cs="Arial"/>
                <w:b/>
                <w:sz w:val="18"/>
                <w:szCs w:val="18"/>
              </w:rPr>
            </w:pPr>
            <w:r w:rsidRPr="001E1FF0">
              <w:rPr>
                <w:rFonts w:ascii="Arial" w:hAnsi="Arial" w:cs="Arial"/>
                <w:b/>
                <w:sz w:val="18"/>
                <w:szCs w:val="18"/>
              </w:rPr>
              <w:t>205</w:t>
            </w:r>
          </w:p>
        </w:tc>
        <w:tc>
          <w:tcPr>
            <w:tcW w:w="416" w:type="pct"/>
            <w:tcBorders>
              <w:top w:val="single" w:sz="4" w:space="0" w:color="auto"/>
              <w:left w:val="nil"/>
              <w:bottom w:val="single" w:sz="12" w:space="0" w:color="auto"/>
              <w:right w:val="nil"/>
            </w:tcBorders>
            <w:noWrap/>
            <w:vAlign w:val="bottom"/>
          </w:tcPr>
          <w:p w14:paraId="4F5D1616"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214</w:t>
            </w:r>
          </w:p>
        </w:tc>
        <w:tc>
          <w:tcPr>
            <w:tcW w:w="588" w:type="pct"/>
            <w:tcBorders>
              <w:top w:val="single" w:sz="4" w:space="0" w:color="auto"/>
              <w:left w:val="nil"/>
              <w:bottom w:val="single" w:sz="12" w:space="0" w:color="auto"/>
              <w:right w:val="nil"/>
            </w:tcBorders>
            <w:noWrap/>
            <w:vAlign w:val="bottom"/>
          </w:tcPr>
          <w:p w14:paraId="41252DF2"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(115)</w:t>
            </w:r>
          </w:p>
        </w:tc>
        <w:tc>
          <w:tcPr>
            <w:tcW w:w="422" w:type="pct"/>
            <w:tcBorders>
              <w:top w:val="single" w:sz="4" w:space="0" w:color="auto"/>
              <w:left w:val="nil"/>
              <w:bottom w:val="single" w:sz="12" w:space="0" w:color="auto"/>
              <w:right w:val="nil"/>
            </w:tcBorders>
            <w:noWrap/>
            <w:vAlign w:val="bottom"/>
          </w:tcPr>
          <w:p w14:paraId="4A608297"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99</w:t>
            </w:r>
          </w:p>
        </w:tc>
      </w:tr>
    </w:tbl>
    <w:p w14:paraId="61B2A222" w14:textId="77777777" w:rsidR="00BC22B5" w:rsidRDefault="00BC22B5" w:rsidP="000D6142">
      <w:pPr>
        <w:rPr>
          <w:rFonts w:ascii="Arial" w:hAnsi="Arial" w:cs="Arial"/>
          <w:sz w:val="18"/>
          <w:szCs w:val="18"/>
        </w:rPr>
      </w:pPr>
    </w:p>
    <w:p w14:paraId="1D02D57C" w14:textId="398D3565" w:rsidR="008857FD" w:rsidRDefault="00F11D60" w:rsidP="00BA0967">
      <w:pPr>
        <w:jc w:val="both"/>
        <w:rPr>
          <w:rFonts w:ascii="Arial" w:hAnsi="Arial" w:cs="Arial"/>
          <w:sz w:val="18"/>
          <w:szCs w:val="18"/>
        </w:rPr>
      </w:pPr>
      <w:r>
        <w:rPr>
          <w:rFonts w:ascii="Arial" w:hAnsi="Arial" w:cs="Arial"/>
          <w:sz w:val="18"/>
          <w:szCs w:val="18"/>
        </w:rPr>
        <w:t>For the UK scheme, a</w:t>
      </w:r>
      <w:r w:rsidR="00AD0711" w:rsidRPr="00AD0711">
        <w:rPr>
          <w:rFonts w:ascii="Arial" w:hAnsi="Arial" w:cs="Arial"/>
          <w:sz w:val="18"/>
          <w:szCs w:val="18"/>
        </w:rPr>
        <w:t xml:space="preserve"> £5m exceptional </w:t>
      </w:r>
      <w:r w:rsidR="00AD0711">
        <w:rPr>
          <w:rFonts w:ascii="Arial" w:hAnsi="Arial" w:cs="Arial"/>
          <w:sz w:val="18"/>
          <w:szCs w:val="18"/>
        </w:rPr>
        <w:t>past service cost</w:t>
      </w:r>
      <w:r w:rsidR="00AD0711" w:rsidRPr="00AD0711">
        <w:rPr>
          <w:rFonts w:ascii="Arial" w:hAnsi="Arial" w:cs="Arial"/>
          <w:sz w:val="18"/>
          <w:szCs w:val="18"/>
        </w:rPr>
        <w:t xml:space="preserve"> has been recognised in the year relating to the equalisation of guaranteed minimum pension benefits between men and women.</w:t>
      </w:r>
    </w:p>
    <w:p w14:paraId="07B73EF1" w14:textId="77777777" w:rsidR="00AD0711" w:rsidRDefault="00AD0711" w:rsidP="00BA0967">
      <w:pPr>
        <w:jc w:val="both"/>
        <w:rPr>
          <w:rFonts w:ascii="Arial" w:hAnsi="Arial" w:cs="Arial"/>
          <w:sz w:val="18"/>
          <w:szCs w:val="18"/>
        </w:rPr>
      </w:pPr>
    </w:p>
    <w:p w14:paraId="10C4B570" w14:textId="77777777" w:rsidR="00845C22" w:rsidRPr="00342772" w:rsidRDefault="000D6142" w:rsidP="00BA0967">
      <w:pPr>
        <w:jc w:val="both"/>
        <w:rPr>
          <w:rFonts w:ascii="Arial" w:hAnsi="Arial" w:cs="Arial"/>
          <w:sz w:val="18"/>
          <w:szCs w:val="18"/>
        </w:rPr>
      </w:pPr>
      <w:r w:rsidRPr="00342772">
        <w:rPr>
          <w:rFonts w:ascii="Arial" w:hAnsi="Arial" w:cs="Arial"/>
          <w:sz w:val="18"/>
          <w:szCs w:val="18"/>
        </w:rPr>
        <w:t>The assumptions used in calculating the costs and obligations of the Group’s defined benefit pension schemes are set by the Directors after consultation with independent professionally qualified actuaries. The assumptions are based on the conditions at the time and changes in these assumptions can lead to significant movements in the estimated obligations, as illustrated in the sensitivity analysis.</w:t>
      </w:r>
    </w:p>
    <w:p w14:paraId="657156C9" w14:textId="77777777" w:rsidR="00845C22" w:rsidRPr="00342772" w:rsidRDefault="00845C22" w:rsidP="00BA0967">
      <w:pPr>
        <w:jc w:val="both"/>
        <w:rPr>
          <w:rFonts w:ascii="Arial" w:hAnsi="Arial" w:cs="Arial"/>
          <w:sz w:val="18"/>
          <w:szCs w:val="18"/>
        </w:rPr>
      </w:pPr>
    </w:p>
    <w:p w14:paraId="481B59B3" w14:textId="77777777" w:rsidR="00447FDC" w:rsidRDefault="00845C22" w:rsidP="00BA0967">
      <w:pPr>
        <w:jc w:val="both"/>
        <w:rPr>
          <w:rFonts w:ascii="Arial" w:hAnsi="Arial" w:cs="Arial"/>
          <w:sz w:val="18"/>
          <w:szCs w:val="18"/>
        </w:rPr>
      </w:pPr>
      <w:r w:rsidRPr="00342772">
        <w:rPr>
          <w:rFonts w:ascii="Arial" w:hAnsi="Arial" w:cs="Arial"/>
          <w:sz w:val="18"/>
          <w:szCs w:val="18"/>
        </w:rPr>
        <w:t>A key assumption in valuing the pension obligation</w:t>
      </w:r>
      <w:r w:rsidR="006A2FCC" w:rsidRPr="00342772">
        <w:rPr>
          <w:rFonts w:ascii="Arial" w:hAnsi="Arial" w:cs="Arial"/>
          <w:sz w:val="18"/>
          <w:szCs w:val="18"/>
        </w:rPr>
        <w:t>s</w:t>
      </w:r>
      <w:r w:rsidRPr="00342772">
        <w:rPr>
          <w:rFonts w:ascii="Arial" w:hAnsi="Arial" w:cs="Arial"/>
          <w:sz w:val="18"/>
          <w:szCs w:val="18"/>
        </w:rPr>
        <w:t xml:space="preserve"> is the discount </w:t>
      </w:r>
      <w:r w:rsidRPr="00C00F54">
        <w:rPr>
          <w:rFonts w:ascii="Arial" w:hAnsi="Arial" w:cs="Arial"/>
          <w:sz w:val="18"/>
          <w:szCs w:val="18"/>
        </w:rPr>
        <w:t xml:space="preserve">rate. </w:t>
      </w:r>
      <w:r w:rsidR="00294AC8" w:rsidRPr="00C00F54">
        <w:rPr>
          <w:rFonts w:ascii="Arial" w:hAnsi="Arial" w:cs="Arial"/>
          <w:sz w:val="18"/>
          <w:szCs w:val="18"/>
        </w:rPr>
        <w:t xml:space="preserve">Accounting standards require this to be set based on market yields on high quality corporate bonds at the balance sheet date. </w:t>
      </w:r>
      <w:r w:rsidR="00C00F54" w:rsidRPr="00C00F54">
        <w:rPr>
          <w:rFonts w:ascii="Arial" w:hAnsi="Arial" w:cs="Arial"/>
          <w:sz w:val="18"/>
          <w:szCs w:val="18"/>
        </w:rPr>
        <w:t xml:space="preserve">The UK scheme discount rate is derived using a single equivalent discount rate approach, based on the yields available on a portfolio of high-quality </w:t>
      </w:r>
      <w:r w:rsidR="00447FDC">
        <w:rPr>
          <w:rFonts w:ascii="Arial" w:hAnsi="Arial" w:cs="Arial"/>
          <w:sz w:val="18"/>
          <w:szCs w:val="18"/>
        </w:rPr>
        <w:t>S</w:t>
      </w:r>
      <w:r w:rsidR="00C00F54" w:rsidRPr="00C00F54">
        <w:rPr>
          <w:rFonts w:ascii="Arial" w:hAnsi="Arial" w:cs="Arial"/>
          <w:sz w:val="18"/>
          <w:szCs w:val="18"/>
        </w:rPr>
        <w:t xml:space="preserve">terling corporate bonds with the same duration </w:t>
      </w:r>
      <w:r w:rsidR="002C64DE">
        <w:rPr>
          <w:rFonts w:ascii="Arial" w:hAnsi="Arial" w:cs="Arial"/>
          <w:sz w:val="18"/>
          <w:szCs w:val="18"/>
        </w:rPr>
        <w:t>as</w:t>
      </w:r>
      <w:r w:rsidR="00C00F54" w:rsidRPr="00C00F54">
        <w:rPr>
          <w:rFonts w:ascii="Arial" w:hAnsi="Arial" w:cs="Arial"/>
          <w:sz w:val="18"/>
          <w:szCs w:val="18"/>
        </w:rPr>
        <w:t xml:space="preserve"> that of the scheme liabilities</w:t>
      </w:r>
      <w:r w:rsidR="00447FDC">
        <w:rPr>
          <w:rFonts w:ascii="Arial" w:hAnsi="Arial" w:cs="Arial"/>
          <w:sz w:val="18"/>
          <w:szCs w:val="18"/>
        </w:rPr>
        <w:t>.</w:t>
      </w:r>
    </w:p>
    <w:p w14:paraId="5C4D0B75" w14:textId="77777777" w:rsidR="00447FDC" w:rsidRDefault="00447FDC" w:rsidP="00BA0967">
      <w:pPr>
        <w:jc w:val="both"/>
        <w:rPr>
          <w:rFonts w:ascii="Arial" w:hAnsi="Arial" w:cs="Arial"/>
          <w:sz w:val="18"/>
          <w:szCs w:val="18"/>
        </w:rPr>
      </w:pPr>
    </w:p>
    <w:p w14:paraId="12BD62C5" w14:textId="77777777" w:rsidR="0071106F" w:rsidRDefault="004E5B4D" w:rsidP="00BA0967">
      <w:pPr>
        <w:jc w:val="both"/>
        <w:rPr>
          <w:rFonts w:ascii="Arial" w:hAnsi="Arial" w:cs="Arial"/>
          <w:sz w:val="18"/>
          <w:szCs w:val="18"/>
        </w:rPr>
      </w:pPr>
      <w:r w:rsidRPr="00C00F54">
        <w:rPr>
          <w:rFonts w:ascii="Arial" w:hAnsi="Arial" w:cs="Arial"/>
          <w:sz w:val="18"/>
          <w:szCs w:val="18"/>
        </w:rPr>
        <w:t>The principal</w:t>
      </w:r>
      <w:r w:rsidRPr="00342772">
        <w:rPr>
          <w:rFonts w:ascii="Arial" w:hAnsi="Arial" w:cs="Arial"/>
          <w:sz w:val="18"/>
          <w:szCs w:val="18"/>
        </w:rPr>
        <w:t xml:space="preserve"> financial assumptions for the UK scheme are as follows:</w:t>
      </w:r>
    </w:p>
    <w:p w14:paraId="0682DC30" w14:textId="77777777" w:rsidR="0071106F" w:rsidRDefault="0071106F" w:rsidP="0071106F">
      <w:pPr>
        <w:ind w:right="-993"/>
        <w:jc w:val="both"/>
        <w:rPr>
          <w:rFonts w:ascii="Arial" w:hAnsi="Arial" w:cs="Arial"/>
          <w:sz w:val="18"/>
          <w:szCs w:val="18"/>
        </w:rPr>
      </w:pPr>
    </w:p>
    <w:tbl>
      <w:tblPr>
        <w:tblW w:w="5000" w:type="pct"/>
        <w:tblLook w:val="01E0" w:firstRow="1" w:lastRow="1" w:firstColumn="1" w:lastColumn="1" w:noHBand="0" w:noVBand="0"/>
      </w:tblPr>
      <w:tblGrid>
        <w:gridCol w:w="6725"/>
        <w:gridCol w:w="1796"/>
        <w:gridCol w:w="1118"/>
      </w:tblGrid>
      <w:tr w:rsidR="007F04A4" w:rsidRPr="002565C4" w14:paraId="2B92AAB3" w14:textId="77777777" w:rsidTr="00A93726">
        <w:tc>
          <w:tcPr>
            <w:tcW w:w="6725" w:type="dxa"/>
            <w:tcBorders>
              <w:bottom w:val="single" w:sz="4" w:space="0" w:color="auto"/>
            </w:tcBorders>
            <w:shd w:val="clear" w:color="auto" w:fill="auto"/>
            <w:vAlign w:val="bottom"/>
          </w:tcPr>
          <w:p w14:paraId="6545CEE3" w14:textId="77777777" w:rsidR="007F04A4" w:rsidRPr="002565C4" w:rsidRDefault="007F04A4" w:rsidP="007F04A4">
            <w:pPr>
              <w:ind w:right="-993"/>
              <w:jc w:val="both"/>
              <w:rPr>
                <w:rFonts w:ascii="Arial" w:hAnsi="Arial" w:cs="Arial"/>
                <w:sz w:val="18"/>
                <w:szCs w:val="18"/>
              </w:rPr>
            </w:pPr>
            <w:r w:rsidRPr="002565C4">
              <w:rPr>
                <w:rFonts w:ascii="Arial" w:hAnsi="Arial" w:cs="Arial"/>
                <w:sz w:val="18"/>
                <w:szCs w:val="18"/>
              </w:rPr>
              <w:t>Annual % rate</w:t>
            </w:r>
          </w:p>
        </w:tc>
        <w:tc>
          <w:tcPr>
            <w:tcW w:w="1796" w:type="dxa"/>
            <w:tcBorders>
              <w:bottom w:val="single" w:sz="4" w:space="0" w:color="auto"/>
            </w:tcBorders>
            <w:shd w:val="clear" w:color="auto" w:fill="auto"/>
            <w:vAlign w:val="bottom"/>
          </w:tcPr>
          <w:p w14:paraId="421ED62C" w14:textId="77777777" w:rsidR="007F04A4" w:rsidRPr="002565C4" w:rsidRDefault="007F04A4" w:rsidP="00A93726">
            <w:pPr>
              <w:jc w:val="right"/>
              <w:rPr>
                <w:rFonts w:ascii="Arial" w:hAnsi="Arial" w:cs="Arial"/>
                <w:sz w:val="18"/>
                <w:szCs w:val="18"/>
              </w:rPr>
            </w:pPr>
            <w:r w:rsidRPr="002565C4">
              <w:rPr>
                <w:rFonts w:ascii="Arial" w:hAnsi="Arial" w:cs="Arial"/>
                <w:sz w:val="18"/>
                <w:szCs w:val="18"/>
              </w:rPr>
              <w:t>201</w:t>
            </w:r>
            <w:r w:rsidR="009A2B00">
              <w:rPr>
                <w:rFonts w:ascii="Arial" w:hAnsi="Arial" w:cs="Arial"/>
                <w:sz w:val="18"/>
                <w:szCs w:val="18"/>
              </w:rPr>
              <w:t>8</w:t>
            </w:r>
            <w:r w:rsidRPr="002565C4">
              <w:rPr>
                <w:rFonts w:ascii="Arial" w:hAnsi="Arial" w:cs="Arial"/>
                <w:sz w:val="18"/>
                <w:szCs w:val="18"/>
              </w:rPr>
              <w:t>/1</w:t>
            </w:r>
            <w:r w:rsidR="009A2B00">
              <w:rPr>
                <w:rFonts w:ascii="Arial" w:hAnsi="Arial" w:cs="Arial"/>
                <w:sz w:val="18"/>
                <w:szCs w:val="18"/>
              </w:rPr>
              <w:t>9</w:t>
            </w:r>
          </w:p>
        </w:tc>
        <w:tc>
          <w:tcPr>
            <w:tcW w:w="1118" w:type="dxa"/>
            <w:tcBorders>
              <w:bottom w:val="single" w:sz="4" w:space="0" w:color="auto"/>
            </w:tcBorders>
            <w:vAlign w:val="bottom"/>
          </w:tcPr>
          <w:p w14:paraId="340B2B8E" w14:textId="77777777" w:rsidR="007F04A4" w:rsidRPr="002565C4" w:rsidRDefault="007F04A4" w:rsidP="00A93726">
            <w:pPr>
              <w:jc w:val="right"/>
              <w:rPr>
                <w:rFonts w:ascii="Arial" w:hAnsi="Arial" w:cs="Arial"/>
                <w:sz w:val="18"/>
                <w:szCs w:val="18"/>
              </w:rPr>
            </w:pPr>
            <w:r w:rsidRPr="002565C4">
              <w:rPr>
                <w:rFonts w:ascii="Arial" w:hAnsi="Arial" w:cs="Arial"/>
                <w:sz w:val="18"/>
                <w:szCs w:val="18"/>
              </w:rPr>
              <w:t>201</w:t>
            </w:r>
            <w:r w:rsidR="009A2B00">
              <w:rPr>
                <w:rFonts w:ascii="Arial" w:hAnsi="Arial" w:cs="Arial"/>
                <w:sz w:val="18"/>
                <w:szCs w:val="18"/>
              </w:rPr>
              <w:t>7</w:t>
            </w:r>
            <w:r w:rsidRPr="002565C4">
              <w:rPr>
                <w:rFonts w:ascii="Arial" w:hAnsi="Arial" w:cs="Arial"/>
                <w:sz w:val="18"/>
                <w:szCs w:val="18"/>
              </w:rPr>
              <w:t>/1</w:t>
            </w:r>
            <w:r w:rsidR="009A2B00">
              <w:rPr>
                <w:rFonts w:ascii="Arial" w:hAnsi="Arial" w:cs="Arial"/>
                <w:sz w:val="18"/>
                <w:szCs w:val="18"/>
              </w:rPr>
              <w:t>8</w:t>
            </w:r>
          </w:p>
        </w:tc>
      </w:tr>
      <w:tr w:rsidR="00DD071B" w:rsidRPr="002565C4" w14:paraId="387B49AE" w14:textId="77777777" w:rsidTr="00A93726">
        <w:tc>
          <w:tcPr>
            <w:tcW w:w="6725" w:type="dxa"/>
            <w:tcBorders>
              <w:top w:val="single" w:sz="4" w:space="0" w:color="auto"/>
            </w:tcBorders>
            <w:shd w:val="clear" w:color="auto" w:fill="auto"/>
            <w:vAlign w:val="bottom"/>
          </w:tcPr>
          <w:p w14:paraId="34AB4CC6" w14:textId="77777777" w:rsidR="00DD071B" w:rsidRPr="002565C4" w:rsidRDefault="00DD071B" w:rsidP="00DD071B">
            <w:pPr>
              <w:ind w:right="-993"/>
              <w:jc w:val="both"/>
              <w:rPr>
                <w:rFonts w:ascii="Arial" w:hAnsi="Arial" w:cs="Arial"/>
                <w:sz w:val="18"/>
                <w:szCs w:val="18"/>
              </w:rPr>
            </w:pPr>
            <w:r w:rsidRPr="002565C4">
              <w:rPr>
                <w:rFonts w:ascii="Arial" w:hAnsi="Arial" w:cs="Arial"/>
                <w:sz w:val="18"/>
                <w:szCs w:val="18"/>
              </w:rPr>
              <w:t>Discount rate</w:t>
            </w:r>
          </w:p>
        </w:tc>
        <w:tc>
          <w:tcPr>
            <w:tcW w:w="1796" w:type="dxa"/>
            <w:tcBorders>
              <w:top w:val="single" w:sz="4" w:space="0" w:color="auto"/>
            </w:tcBorders>
            <w:shd w:val="clear" w:color="auto" w:fill="auto"/>
            <w:vAlign w:val="bottom"/>
          </w:tcPr>
          <w:p w14:paraId="2AAD272A" w14:textId="77777777" w:rsidR="00DD071B" w:rsidRPr="00EE74A2" w:rsidRDefault="00DD071B" w:rsidP="00DD071B">
            <w:pPr>
              <w:jc w:val="right"/>
              <w:rPr>
                <w:rFonts w:ascii="Arial" w:hAnsi="Arial" w:cs="Arial"/>
                <w:b/>
                <w:sz w:val="18"/>
                <w:szCs w:val="18"/>
              </w:rPr>
            </w:pPr>
            <w:r w:rsidRPr="00EE74A2">
              <w:rPr>
                <w:rFonts w:ascii="Arial" w:hAnsi="Arial" w:cs="Arial"/>
                <w:b/>
                <w:sz w:val="18"/>
                <w:szCs w:val="18"/>
              </w:rPr>
              <w:t>2.5</w:t>
            </w:r>
          </w:p>
        </w:tc>
        <w:tc>
          <w:tcPr>
            <w:tcW w:w="1118" w:type="dxa"/>
            <w:tcBorders>
              <w:top w:val="single" w:sz="4" w:space="0" w:color="auto"/>
            </w:tcBorders>
            <w:vAlign w:val="bottom"/>
          </w:tcPr>
          <w:p w14:paraId="4FC44AED"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2.5</w:t>
            </w:r>
          </w:p>
        </w:tc>
      </w:tr>
      <w:tr w:rsidR="00DD071B" w:rsidRPr="002565C4" w14:paraId="275D4F7A" w14:textId="77777777" w:rsidTr="002E2BAB">
        <w:tc>
          <w:tcPr>
            <w:tcW w:w="6725" w:type="dxa"/>
            <w:shd w:val="clear" w:color="auto" w:fill="auto"/>
            <w:vAlign w:val="bottom"/>
          </w:tcPr>
          <w:p w14:paraId="6CC65B0B" w14:textId="77777777" w:rsidR="00DD071B" w:rsidRPr="002565C4" w:rsidRDefault="00DD071B" w:rsidP="00DD071B">
            <w:pPr>
              <w:ind w:right="-993"/>
              <w:jc w:val="both"/>
              <w:rPr>
                <w:rFonts w:ascii="Arial" w:hAnsi="Arial" w:cs="Arial"/>
                <w:sz w:val="18"/>
                <w:szCs w:val="18"/>
              </w:rPr>
            </w:pPr>
            <w:r>
              <w:rPr>
                <w:rFonts w:ascii="Arial" w:hAnsi="Arial" w:cs="Arial"/>
                <w:sz w:val="18"/>
                <w:szCs w:val="18"/>
              </w:rPr>
              <w:t>Price inflation</w:t>
            </w:r>
          </w:p>
        </w:tc>
        <w:tc>
          <w:tcPr>
            <w:tcW w:w="1796" w:type="dxa"/>
            <w:shd w:val="clear" w:color="auto" w:fill="auto"/>
            <w:vAlign w:val="bottom"/>
          </w:tcPr>
          <w:p w14:paraId="109FB61A" w14:textId="77777777" w:rsidR="00DD071B" w:rsidRPr="00EE74A2" w:rsidRDefault="00DD071B" w:rsidP="00DD071B">
            <w:pPr>
              <w:jc w:val="right"/>
              <w:rPr>
                <w:rFonts w:ascii="Arial" w:hAnsi="Arial" w:cs="Arial"/>
                <w:b/>
                <w:sz w:val="18"/>
                <w:szCs w:val="18"/>
              </w:rPr>
            </w:pPr>
            <w:r w:rsidRPr="00EE74A2">
              <w:rPr>
                <w:rFonts w:ascii="Arial" w:hAnsi="Arial" w:cs="Arial"/>
                <w:b/>
                <w:sz w:val="18"/>
                <w:szCs w:val="18"/>
              </w:rPr>
              <w:t>3.</w:t>
            </w:r>
            <w:r w:rsidR="00EE74A2" w:rsidRPr="00EE74A2">
              <w:rPr>
                <w:rFonts w:ascii="Arial" w:hAnsi="Arial" w:cs="Arial"/>
                <w:b/>
                <w:sz w:val="18"/>
                <w:szCs w:val="18"/>
              </w:rPr>
              <w:t>3</w:t>
            </w:r>
          </w:p>
        </w:tc>
        <w:tc>
          <w:tcPr>
            <w:tcW w:w="1118" w:type="dxa"/>
            <w:vAlign w:val="bottom"/>
          </w:tcPr>
          <w:p w14:paraId="5A19B5B9" w14:textId="77777777" w:rsidR="00DD071B" w:rsidRPr="00DD071B" w:rsidRDefault="00DD071B" w:rsidP="00DD071B">
            <w:pPr>
              <w:jc w:val="right"/>
              <w:rPr>
                <w:rFonts w:ascii="Arial" w:hAnsi="Arial" w:cs="Arial"/>
                <w:sz w:val="18"/>
                <w:szCs w:val="18"/>
              </w:rPr>
            </w:pPr>
            <w:r w:rsidRPr="00DD071B">
              <w:rPr>
                <w:rFonts w:ascii="Arial" w:hAnsi="Arial" w:cs="Arial"/>
                <w:sz w:val="18"/>
                <w:szCs w:val="18"/>
              </w:rPr>
              <w:t>3.4</w:t>
            </w:r>
          </w:p>
        </w:tc>
      </w:tr>
      <w:tr w:rsidR="008E1B4C" w:rsidRPr="002565C4" w14:paraId="653AAEE6" w14:textId="77777777" w:rsidTr="00A93726">
        <w:tc>
          <w:tcPr>
            <w:tcW w:w="6725" w:type="dxa"/>
            <w:tcBorders>
              <w:bottom w:val="single" w:sz="12" w:space="0" w:color="auto"/>
            </w:tcBorders>
            <w:shd w:val="clear" w:color="auto" w:fill="auto"/>
            <w:vAlign w:val="bottom"/>
          </w:tcPr>
          <w:p w14:paraId="5746AD68" w14:textId="4CC712DC" w:rsidR="008E1B4C" w:rsidRDefault="008E1B4C" w:rsidP="00DD071B">
            <w:pPr>
              <w:ind w:right="-993"/>
              <w:jc w:val="both"/>
              <w:rPr>
                <w:rFonts w:ascii="Arial" w:hAnsi="Arial" w:cs="Arial"/>
                <w:sz w:val="18"/>
                <w:szCs w:val="18"/>
              </w:rPr>
            </w:pPr>
            <w:r>
              <w:rPr>
                <w:rFonts w:ascii="Arial" w:hAnsi="Arial" w:cs="Arial"/>
                <w:sz w:val="18"/>
                <w:szCs w:val="18"/>
              </w:rPr>
              <w:t>Rate of pension increases</w:t>
            </w:r>
          </w:p>
        </w:tc>
        <w:tc>
          <w:tcPr>
            <w:tcW w:w="1796" w:type="dxa"/>
            <w:tcBorders>
              <w:bottom w:val="single" w:sz="12" w:space="0" w:color="auto"/>
            </w:tcBorders>
            <w:shd w:val="clear" w:color="auto" w:fill="auto"/>
            <w:vAlign w:val="bottom"/>
          </w:tcPr>
          <w:p w14:paraId="4D77471F" w14:textId="5194BD5E" w:rsidR="008E1B4C" w:rsidRPr="00EE74A2" w:rsidRDefault="008E1B4C" w:rsidP="00DD071B">
            <w:pPr>
              <w:jc w:val="right"/>
              <w:rPr>
                <w:rFonts w:ascii="Arial" w:hAnsi="Arial" w:cs="Arial"/>
                <w:b/>
                <w:sz w:val="18"/>
                <w:szCs w:val="18"/>
              </w:rPr>
            </w:pPr>
            <w:r>
              <w:rPr>
                <w:rFonts w:ascii="Arial" w:hAnsi="Arial" w:cs="Arial"/>
                <w:b/>
                <w:sz w:val="18"/>
                <w:szCs w:val="18"/>
              </w:rPr>
              <w:t>3.0</w:t>
            </w:r>
          </w:p>
        </w:tc>
        <w:tc>
          <w:tcPr>
            <w:tcW w:w="1118" w:type="dxa"/>
            <w:tcBorders>
              <w:bottom w:val="single" w:sz="12" w:space="0" w:color="auto"/>
            </w:tcBorders>
            <w:vAlign w:val="bottom"/>
          </w:tcPr>
          <w:p w14:paraId="73F05004" w14:textId="7297D636" w:rsidR="008E1B4C" w:rsidRPr="00DD071B" w:rsidRDefault="008E1B4C" w:rsidP="00DD071B">
            <w:pPr>
              <w:jc w:val="right"/>
              <w:rPr>
                <w:rFonts w:ascii="Arial" w:hAnsi="Arial" w:cs="Arial"/>
                <w:sz w:val="18"/>
                <w:szCs w:val="18"/>
              </w:rPr>
            </w:pPr>
            <w:r>
              <w:rPr>
                <w:rFonts w:ascii="Arial" w:hAnsi="Arial" w:cs="Arial"/>
                <w:sz w:val="18"/>
                <w:szCs w:val="18"/>
              </w:rPr>
              <w:t>3.1</w:t>
            </w:r>
          </w:p>
        </w:tc>
      </w:tr>
    </w:tbl>
    <w:p w14:paraId="41BEC9EC" w14:textId="77777777" w:rsidR="0071106F" w:rsidRDefault="0071106F" w:rsidP="0071106F">
      <w:pPr>
        <w:ind w:right="-993"/>
        <w:jc w:val="both"/>
        <w:rPr>
          <w:rFonts w:ascii="Arial" w:hAnsi="Arial" w:cs="Arial"/>
          <w:sz w:val="18"/>
          <w:szCs w:val="18"/>
        </w:rPr>
      </w:pPr>
    </w:p>
    <w:p w14:paraId="4F552AF7" w14:textId="77777777" w:rsidR="000D6142" w:rsidRDefault="00F26611" w:rsidP="00BA0967">
      <w:pPr>
        <w:ind w:right="53"/>
        <w:jc w:val="both"/>
        <w:rPr>
          <w:rFonts w:ascii="Arial" w:hAnsi="Arial" w:cs="Arial"/>
          <w:sz w:val="18"/>
          <w:szCs w:val="18"/>
        </w:rPr>
      </w:pPr>
      <w:r w:rsidRPr="00EC5A81">
        <w:rPr>
          <w:rFonts w:ascii="Arial" w:hAnsi="Arial" w:cs="Arial"/>
          <w:sz w:val="18"/>
          <w:szCs w:val="18"/>
        </w:rPr>
        <w:t xml:space="preserve">For the UK scheme, the mortality assumptions used have been selected with regard to the characteristics and experience of the membership of the </w:t>
      </w:r>
      <w:r w:rsidR="00FD5F6F" w:rsidRPr="00B74A6B">
        <w:rPr>
          <w:rFonts w:ascii="Arial" w:hAnsi="Arial" w:cs="Arial"/>
          <w:sz w:val="18"/>
          <w:szCs w:val="18"/>
        </w:rPr>
        <w:t xml:space="preserve">scheme </w:t>
      </w:r>
      <w:r w:rsidR="003A03FA">
        <w:rPr>
          <w:rFonts w:ascii="Arial" w:hAnsi="Arial" w:cs="Arial"/>
          <w:sz w:val="18"/>
          <w:szCs w:val="18"/>
        </w:rPr>
        <w:t xml:space="preserve">as assessed </w:t>
      </w:r>
      <w:r w:rsidR="00FD5F6F" w:rsidRPr="00B87BBF">
        <w:rPr>
          <w:rFonts w:ascii="Arial" w:hAnsi="Arial" w:cs="Arial"/>
          <w:sz w:val="18"/>
          <w:szCs w:val="18"/>
        </w:rPr>
        <w:t>from</w:t>
      </w:r>
      <w:r w:rsidR="00E174BE">
        <w:rPr>
          <w:rFonts w:ascii="Arial" w:hAnsi="Arial" w:cs="Arial"/>
          <w:sz w:val="18"/>
          <w:szCs w:val="18"/>
        </w:rPr>
        <w:t xml:space="preserve"> time to time</w:t>
      </w:r>
      <w:r w:rsidR="00C312AA">
        <w:rPr>
          <w:rFonts w:ascii="Arial" w:hAnsi="Arial" w:cs="Arial"/>
          <w:sz w:val="18"/>
          <w:szCs w:val="18"/>
        </w:rPr>
        <w:t xml:space="preserve"> relating to</w:t>
      </w:r>
      <w:r w:rsidR="00E174BE">
        <w:rPr>
          <w:rFonts w:ascii="Arial" w:hAnsi="Arial" w:cs="Arial"/>
          <w:sz w:val="18"/>
          <w:szCs w:val="18"/>
        </w:rPr>
        <w:t xml:space="preserve"> triennial funding valuations</w:t>
      </w:r>
      <w:r w:rsidRPr="00B978C9">
        <w:rPr>
          <w:rFonts w:ascii="Arial" w:hAnsi="Arial" w:cs="Arial"/>
          <w:sz w:val="18"/>
          <w:szCs w:val="18"/>
        </w:rPr>
        <w:t>.</w:t>
      </w:r>
      <w:r w:rsidRPr="00B74A6B">
        <w:rPr>
          <w:rFonts w:ascii="Arial" w:hAnsi="Arial" w:cs="Arial"/>
          <w:sz w:val="18"/>
          <w:szCs w:val="18"/>
        </w:rPr>
        <w:t xml:space="preserve"> </w:t>
      </w:r>
      <w:r w:rsidR="000D6142" w:rsidRPr="00B74A6B">
        <w:rPr>
          <w:rFonts w:ascii="Arial" w:hAnsi="Arial" w:cs="Arial"/>
          <w:sz w:val="18"/>
          <w:szCs w:val="18"/>
        </w:rPr>
        <w:t>The</w:t>
      </w:r>
      <w:r w:rsidR="000D6142" w:rsidRPr="00EC5A81">
        <w:rPr>
          <w:rFonts w:ascii="Arial" w:hAnsi="Arial" w:cs="Arial"/>
          <w:sz w:val="18"/>
          <w:szCs w:val="18"/>
        </w:rPr>
        <w:t xml:space="preserve"> assumptions for life expectancy of </w:t>
      </w:r>
      <w:smartTag w:uri="urn:schemas-microsoft-com:office:smarttags" w:element="country-region">
        <w:smartTag w:uri="urn:schemas-microsoft-com:office:smarttags" w:element="place">
          <w:r w:rsidR="000D6142" w:rsidRPr="00EC5A81">
            <w:rPr>
              <w:rFonts w:ascii="Arial" w:hAnsi="Arial" w:cs="Arial"/>
              <w:sz w:val="18"/>
              <w:szCs w:val="18"/>
            </w:rPr>
            <w:t>UK</w:t>
          </w:r>
        </w:smartTag>
      </w:smartTag>
      <w:r w:rsidR="000D6142" w:rsidRPr="00EC5A81">
        <w:rPr>
          <w:rFonts w:ascii="Arial" w:hAnsi="Arial" w:cs="Arial"/>
          <w:sz w:val="18"/>
          <w:szCs w:val="18"/>
        </w:rPr>
        <w:t xml:space="preserve"> scheme members are as follows:</w:t>
      </w:r>
    </w:p>
    <w:p w14:paraId="115E2378" w14:textId="77777777" w:rsidR="000D6142" w:rsidRDefault="000D6142" w:rsidP="000D6142">
      <w:pPr>
        <w:ind w:right="-993"/>
        <w:jc w:val="both"/>
        <w:rPr>
          <w:rFonts w:ascii="Arial" w:hAnsi="Arial" w:cs="Arial"/>
          <w:sz w:val="18"/>
          <w:szCs w:val="18"/>
        </w:rPr>
      </w:pPr>
    </w:p>
    <w:tbl>
      <w:tblPr>
        <w:tblW w:w="5000" w:type="pct"/>
        <w:tblLook w:val="01E0" w:firstRow="1" w:lastRow="1" w:firstColumn="1" w:lastColumn="1" w:noHBand="0" w:noVBand="0"/>
      </w:tblPr>
      <w:tblGrid>
        <w:gridCol w:w="5483"/>
        <w:gridCol w:w="564"/>
        <w:gridCol w:w="930"/>
        <w:gridCol w:w="1496"/>
        <w:gridCol w:w="1166"/>
      </w:tblGrid>
      <w:tr w:rsidR="007F04A4" w:rsidRPr="002565C4" w14:paraId="4CAFFE4E" w14:textId="77777777" w:rsidTr="00A93726">
        <w:tc>
          <w:tcPr>
            <w:tcW w:w="5483" w:type="dxa"/>
            <w:tcBorders>
              <w:bottom w:val="single" w:sz="4" w:space="0" w:color="auto"/>
            </w:tcBorders>
            <w:shd w:val="clear" w:color="auto" w:fill="auto"/>
            <w:vAlign w:val="bottom"/>
          </w:tcPr>
          <w:p w14:paraId="63836EFC" w14:textId="77777777" w:rsidR="007F04A4" w:rsidRPr="002565C4" w:rsidRDefault="007F04A4" w:rsidP="007F04A4">
            <w:pPr>
              <w:ind w:right="-993"/>
              <w:jc w:val="both"/>
              <w:rPr>
                <w:rFonts w:ascii="Arial" w:hAnsi="Arial" w:cs="Arial"/>
                <w:sz w:val="18"/>
                <w:szCs w:val="18"/>
              </w:rPr>
            </w:pPr>
            <w:r w:rsidRPr="002565C4">
              <w:rPr>
                <w:rFonts w:ascii="Arial" w:hAnsi="Arial" w:cs="Arial"/>
                <w:sz w:val="18"/>
                <w:szCs w:val="18"/>
              </w:rPr>
              <w:t>Years</w:t>
            </w:r>
          </w:p>
        </w:tc>
        <w:tc>
          <w:tcPr>
            <w:tcW w:w="1494" w:type="dxa"/>
            <w:gridSpan w:val="2"/>
            <w:tcBorders>
              <w:bottom w:val="single" w:sz="4" w:space="0" w:color="auto"/>
            </w:tcBorders>
            <w:vAlign w:val="bottom"/>
          </w:tcPr>
          <w:p w14:paraId="4445A2D2" w14:textId="77777777" w:rsidR="007F04A4" w:rsidRPr="002565C4" w:rsidRDefault="007F04A4" w:rsidP="007F04A4">
            <w:pPr>
              <w:jc w:val="right"/>
              <w:rPr>
                <w:rFonts w:ascii="Arial" w:hAnsi="Arial" w:cs="Arial"/>
                <w:sz w:val="18"/>
                <w:szCs w:val="18"/>
              </w:rPr>
            </w:pPr>
          </w:p>
        </w:tc>
        <w:tc>
          <w:tcPr>
            <w:tcW w:w="1496" w:type="dxa"/>
            <w:tcBorders>
              <w:bottom w:val="single" w:sz="4" w:space="0" w:color="auto"/>
            </w:tcBorders>
            <w:vAlign w:val="bottom"/>
          </w:tcPr>
          <w:p w14:paraId="3E8433FF" w14:textId="77777777" w:rsidR="007F04A4" w:rsidRPr="002565C4" w:rsidRDefault="007F04A4" w:rsidP="007F04A4">
            <w:pPr>
              <w:jc w:val="right"/>
              <w:rPr>
                <w:rFonts w:ascii="Arial" w:hAnsi="Arial" w:cs="Arial"/>
                <w:sz w:val="18"/>
                <w:szCs w:val="18"/>
              </w:rPr>
            </w:pPr>
            <w:r w:rsidRPr="002565C4">
              <w:rPr>
                <w:rFonts w:ascii="Arial" w:hAnsi="Arial" w:cs="Arial"/>
                <w:sz w:val="18"/>
                <w:szCs w:val="18"/>
              </w:rPr>
              <w:t>201</w:t>
            </w:r>
            <w:r w:rsidR="009A2B00">
              <w:rPr>
                <w:rFonts w:ascii="Arial" w:hAnsi="Arial" w:cs="Arial"/>
                <w:sz w:val="18"/>
                <w:szCs w:val="18"/>
              </w:rPr>
              <w:t>8</w:t>
            </w:r>
            <w:r w:rsidRPr="002565C4">
              <w:rPr>
                <w:rFonts w:ascii="Arial" w:hAnsi="Arial" w:cs="Arial"/>
                <w:sz w:val="18"/>
                <w:szCs w:val="18"/>
              </w:rPr>
              <w:t>/1</w:t>
            </w:r>
            <w:r w:rsidR="009A2B00">
              <w:rPr>
                <w:rFonts w:ascii="Arial" w:hAnsi="Arial" w:cs="Arial"/>
                <w:sz w:val="18"/>
                <w:szCs w:val="18"/>
              </w:rPr>
              <w:t>9</w:t>
            </w:r>
          </w:p>
        </w:tc>
        <w:tc>
          <w:tcPr>
            <w:tcW w:w="1166" w:type="dxa"/>
            <w:tcBorders>
              <w:bottom w:val="single" w:sz="4" w:space="0" w:color="auto"/>
            </w:tcBorders>
            <w:vAlign w:val="bottom"/>
          </w:tcPr>
          <w:p w14:paraId="70CB9214" w14:textId="77777777" w:rsidR="007F04A4" w:rsidRPr="008C583A" w:rsidRDefault="006D73B8" w:rsidP="00A93726">
            <w:pPr>
              <w:tabs>
                <w:tab w:val="left" w:pos="1235"/>
              </w:tabs>
              <w:jc w:val="right"/>
              <w:rPr>
                <w:rFonts w:ascii="Arial" w:hAnsi="Arial" w:cs="Arial"/>
                <w:sz w:val="18"/>
                <w:szCs w:val="18"/>
              </w:rPr>
            </w:pPr>
            <w:r>
              <w:rPr>
                <w:rFonts w:ascii="Arial" w:hAnsi="Arial" w:cs="Arial"/>
                <w:sz w:val="18"/>
                <w:szCs w:val="18"/>
              </w:rPr>
              <w:t>201</w:t>
            </w:r>
            <w:r w:rsidR="009A2B00">
              <w:rPr>
                <w:rFonts w:ascii="Arial" w:hAnsi="Arial" w:cs="Arial"/>
                <w:sz w:val="18"/>
                <w:szCs w:val="18"/>
              </w:rPr>
              <w:t>7</w:t>
            </w:r>
            <w:r>
              <w:rPr>
                <w:rFonts w:ascii="Arial" w:hAnsi="Arial" w:cs="Arial"/>
                <w:sz w:val="18"/>
                <w:szCs w:val="18"/>
              </w:rPr>
              <w:t>/1</w:t>
            </w:r>
            <w:r w:rsidR="009A2B00">
              <w:rPr>
                <w:rFonts w:ascii="Arial" w:hAnsi="Arial" w:cs="Arial"/>
                <w:sz w:val="18"/>
                <w:szCs w:val="18"/>
              </w:rPr>
              <w:t>8</w:t>
            </w:r>
          </w:p>
        </w:tc>
      </w:tr>
      <w:tr w:rsidR="007F04A4" w:rsidRPr="002565C4" w14:paraId="749596C6" w14:textId="77777777" w:rsidTr="00A93726">
        <w:tc>
          <w:tcPr>
            <w:tcW w:w="6047" w:type="dxa"/>
            <w:gridSpan w:val="2"/>
            <w:tcBorders>
              <w:top w:val="single" w:sz="4" w:space="0" w:color="auto"/>
            </w:tcBorders>
            <w:shd w:val="clear" w:color="auto" w:fill="auto"/>
            <w:vAlign w:val="bottom"/>
          </w:tcPr>
          <w:p w14:paraId="16BBC5B0" w14:textId="77777777" w:rsidR="007F04A4" w:rsidRPr="002565C4" w:rsidRDefault="007F04A4" w:rsidP="007F04A4">
            <w:pPr>
              <w:ind w:right="-993"/>
              <w:jc w:val="both"/>
              <w:rPr>
                <w:rFonts w:ascii="Arial" w:hAnsi="Arial" w:cs="Arial"/>
                <w:sz w:val="18"/>
                <w:szCs w:val="18"/>
              </w:rPr>
            </w:pPr>
            <w:r w:rsidRPr="002565C4">
              <w:rPr>
                <w:rFonts w:ascii="Arial" w:hAnsi="Arial" w:cs="Arial"/>
                <w:sz w:val="18"/>
                <w:szCs w:val="18"/>
              </w:rPr>
              <w:t>Age to which current pensioners are expected to live (60 now)</w:t>
            </w:r>
          </w:p>
        </w:tc>
        <w:tc>
          <w:tcPr>
            <w:tcW w:w="930" w:type="dxa"/>
            <w:tcBorders>
              <w:top w:val="single" w:sz="4" w:space="0" w:color="auto"/>
            </w:tcBorders>
            <w:vAlign w:val="bottom"/>
          </w:tcPr>
          <w:p w14:paraId="3C9BB220" w14:textId="77777777" w:rsidR="007F04A4" w:rsidRPr="002565C4" w:rsidRDefault="007F04A4" w:rsidP="007F04A4">
            <w:pPr>
              <w:jc w:val="right"/>
              <w:rPr>
                <w:rFonts w:ascii="Arial" w:hAnsi="Arial" w:cs="Arial"/>
                <w:b/>
                <w:sz w:val="18"/>
                <w:szCs w:val="18"/>
              </w:rPr>
            </w:pPr>
          </w:p>
        </w:tc>
        <w:tc>
          <w:tcPr>
            <w:tcW w:w="1496" w:type="dxa"/>
            <w:tcBorders>
              <w:top w:val="single" w:sz="4" w:space="0" w:color="auto"/>
            </w:tcBorders>
            <w:vAlign w:val="bottom"/>
          </w:tcPr>
          <w:p w14:paraId="3C0D5083" w14:textId="77777777" w:rsidR="007F04A4" w:rsidRPr="002565C4" w:rsidRDefault="007F04A4" w:rsidP="007F04A4">
            <w:pPr>
              <w:jc w:val="right"/>
              <w:rPr>
                <w:rFonts w:ascii="Arial" w:hAnsi="Arial" w:cs="Arial"/>
                <w:b/>
                <w:sz w:val="18"/>
                <w:szCs w:val="18"/>
              </w:rPr>
            </w:pPr>
          </w:p>
        </w:tc>
        <w:tc>
          <w:tcPr>
            <w:tcW w:w="1166" w:type="dxa"/>
            <w:tcBorders>
              <w:top w:val="single" w:sz="4" w:space="0" w:color="auto"/>
            </w:tcBorders>
            <w:vAlign w:val="bottom"/>
          </w:tcPr>
          <w:p w14:paraId="65D69817" w14:textId="77777777" w:rsidR="007F04A4" w:rsidRPr="00281AF4" w:rsidRDefault="007F04A4" w:rsidP="007F04A4">
            <w:pPr>
              <w:jc w:val="right"/>
              <w:rPr>
                <w:rFonts w:ascii="Arial" w:hAnsi="Arial" w:cs="Arial"/>
                <w:sz w:val="18"/>
                <w:szCs w:val="18"/>
              </w:rPr>
            </w:pPr>
          </w:p>
        </w:tc>
      </w:tr>
      <w:tr w:rsidR="009A2B00" w:rsidRPr="002565C4" w14:paraId="4E818092" w14:textId="77777777" w:rsidTr="00A93726">
        <w:tc>
          <w:tcPr>
            <w:tcW w:w="6047" w:type="dxa"/>
            <w:gridSpan w:val="2"/>
            <w:shd w:val="clear" w:color="auto" w:fill="auto"/>
            <w:vAlign w:val="bottom"/>
          </w:tcPr>
          <w:p w14:paraId="29C623C4" w14:textId="77777777" w:rsidR="009A2B00" w:rsidRPr="002565C4" w:rsidRDefault="009A2B00" w:rsidP="009A2B00">
            <w:pPr>
              <w:ind w:right="-993"/>
              <w:jc w:val="both"/>
              <w:rPr>
                <w:rFonts w:ascii="Arial" w:hAnsi="Arial" w:cs="Arial"/>
                <w:sz w:val="18"/>
                <w:szCs w:val="18"/>
              </w:rPr>
            </w:pPr>
            <w:r w:rsidRPr="002565C4">
              <w:rPr>
                <w:rFonts w:ascii="Arial" w:hAnsi="Arial" w:cs="Arial"/>
                <w:sz w:val="18"/>
                <w:szCs w:val="18"/>
              </w:rPr>
              <w:t>- Male</w:t>
            </w:r>
          </w:p>
        </w:tc>
        <w:tc>
          <w:tcPr>
            <w:tcW w:w="930" w:type="dxa"/>
          </w:tcPr>
          <w:p w14:paraId="3156D72B" w14:textId="77777777" w:rsidR="009A2B00" w:rsidRPr="002565C4" w:rsidRDefault="009A2B00" w:rsidP="009A2B00">
            <w:pPr>
              <w:jc w:val="right"/>
              <w:rPr>
                <w:rFonts w:ascii="Arial" w:hAnsi="Arial" w:cs="Arial"/>
                <w:b/>
                <w:sz w:val="18"/>
                <w:szCs w:val="18"/>
              </w:rPr>
            </w:pPr>
          </w:p>
        </w:tc>
        <w:tc>
          <w:tcPr>
            <w:tcW w:w="1496" w:type="dxa"/>
            <w:vAlign w:val="bottom"/>
          </w:tcPr>
          <w:p w14:paraId="6B89529A" w14:textId="77777777" w:rsidR="009A2B00" w:rsidRPr="00633BE1" w:rsidRDefault="009A2B00" w:rsidP="009A2B00">
            <w:pPr>
              <w:jc w:val="right"/>
              <w:rPr>
                <w:rFonts w:ascii="Arial" w:hAnsi="Arial" w:cs="Arial"/>
                <w:b/>
                <w:sz w:val="18"/>
                <w:szCs w:val="18"/>
              </w:rPr>
            </w:pPr>
            <w:r w:rsidRPr="00633BE1">
              <w:rPr>
                <w:rFonts w:ascii="Arial" w:hAnsi="Arial" w:cs="Arial"/>
                <w:b/>
                <w:sz w:val="18"/>
                <w:szCs w:val="18"/>
              </w:rPr>
              <w:t>87.</w:t>
            </w:r>
            <w:r w:rsidR="00633BE1" w:rsidRPr="00633BE1">
              <w:rPr>
                <w:rFonts w:ascii="Arial" w:hAnsi="Arial" w:cs="Arial"/>
                <w:b/>
                <w:sz w:val="18"/>
                <w:szCs w:val="18"/>
              </w:rPr>
              <w:t>3</w:t>
            </w:r>
          </w:p>
        </w:tc>
        <w:tc>
          <w:tcPr>
            <w:tcW w:w="1166" w:type="dxa"/>
            <w:vAlign w:val="bottom"/>
          </w:tcPr>
          <w:p w14:paraId="0E32D0D0" w14:textId="77777777" w:rsidR="009A2B00" w:rsidRPr="009A2B00" w:rsidRDefault="009A2B00" w:rsidP="009A2B00">
            <w:pPr>
              <w:jc w:val="right"/>
              <w:rPr>
                <w:rFonts w:ascii="Arial" w:hAnsi="Arial" w:cs="Arial"/>
                <w:sz w:val="18"/>
                <w:szCs w:val="18"/>
              </w:rPr>
            </w:pPr>
            <w:r w:rsidRPr="009A2B00">
              <w:rPr>
                <w:rFonts w:ascii="Arial" w:hAnsi="Arial" w:cs="Arial"/>
                <w:sz w:val="18"/>
                <w:szCs w:val="18"/>
              </w:rPr>
              <w:t>87.2</w:t>
            </w:r>
          </w:p>
        </w:tc>
      </w:tr>
      <w:tr w:rsidR="009A2B00" w:rsidRPr="002565C4" w14:paraId="49004172" w14:textId="77777777" w:rsidTr="00A93726">
        <w:tc>
          <w:tcPr>
            <w:tcW w:w="6047" w:type="dxa"/>
            <w:gridSpan w:val="2"/>
            <w:shd w:val="clear" w:color="auto" w:fill="auto"/>
            <w:vAlign w:val="bottom"/>
          </w:tcPr>
          <w:p w14:paraId="592E460B" w14:textId="77777777" w:rsidR="009A2B00" w:rsidRPr="002565C4" w:rsidRDefault="009A2B00" w:rsidP="009A2B00">
            <w:pPr>
              <w:ind w:right="-993"/>
              <w:jc w:val="both"/>
              <w:rPr>
                <w:rFonts w:ascii="Arial" w:hAnsi="Arial" w:cs="Arial"/>
                <w:sz w:val="18"/>
                <w:szCs w:val="18"/>
              </w:rPr>
            </w:pPr>
            <w:r w:rsidRPr="002565C4">
              <w:rPr>
                <w:rFonts w:ascii="Arial" w:hAnsi="Arial" w:cs="Arial"/>
                <w:sz w:val="18"/>
                <w:szCs w:val="18"/>
              </w:rPr>
              <w:t xml:space="preserve">- Female </w:t>
            </w:r>
          </w:p>
        </w:tc>
        <w:tc>
          <w:tcPr>
            <w:tcW w:w="930" w:type="dxa"/>
          </w:tcPr>
          <w:p w14:paraId="5F41E824" w14:textId="77777777" w:rsidR="009A2B00" w:rsidRPr="002565C4" w:rsidRDefault="009A2B00" w:rsidP="009A2B00">
            <w:pPr>
              <w:jc w:val="right"/>
              <w:rPr>
                <w:rFonts w:ascii="Arial" w:hAnsi="Arial" w:cs="Arial"/>
                <w:b/>
                <w:sz w:val="18"/>
                <w:szCs w:val="18"/>
              </w:rPr>
            </w:pPr>
          </w:p>
        </w:tc>
        <w:tc>
          <w:tcPr>
            <w:tcW w:w="1496" w:type="dxa"/>
            <w:vAlign w:val="bottom"/>
          </w:tcPr>
          <w:p w14:paraId="7E73863D" w14:textId="77777777" w:rsidR="009A2B00" w:rsidRPr="00633BE1" w:rsidRDefault="009A2B00" w:rsidP="009A2B00">
            <w:pPr>
              <w:jc w:val="right"/>
              <w:rPr>
                <w:rFonts w:ascii="Arial" w:hAnsi="Arial" w:cs="Arial"/>
                <w:b/>
                <w:sz w:val="18"/>
                <w:szCs w:val="18"/>
              </w:rPr>
            </w:pPr>
            <w:r w:rsidRPr="00633BE1">
              <w:rPr>
                <w:rFonts w:ascii="Arial" w:hAnsi="Arial" w:cs="Arial"/>
                <w:b/>
                <w:sz w:val="18"/>
                <w:szCs w:val="18"/>
              </w:rPr>
              <w:t>8</w:t>
            </w:r>
            <w:r w:rsidR="00633BE1" w:rsidRPr="00633BE1">
              <w:rPr>
                <w:rFonts w:ascii="Arial" w:hAnsi="Arial" w:cs="Arial"/>
                <w:b/>
                <w:sz w:val="18"/>
                <w:szCs w:val="18"/>
              </w:rPr>
              <w:t>9.0</w:t>
            </w:r>
          </w:p>
        </w:tc>
        <w:tc>
          <w:tcPr>
            <w:tcW w:w="1166" w:type="dxa"/>
            <w:vAlign w:val="bottom"/>
          </w:tcPr>
          <w:p w14:paraId="30F1D835" w14:textId="77777777" w:rsidR="009A2B00" w:rsidRPr="009A2B00" w:rsidRDefault="009A2B00" w:rsidP="009A2B00">
            <w:pPr>
              <w:jc w:val="right"/>
              <w:rPr>
                <w:rFonts w:ascii="Arial" w:hAnsi="Arial" w:cs="Arial"/>
                <w:sz w:val="18"/>
                <w:szCs w:val="18"/>
              </w:rPr>
            </w:pPr>
            <w:r w:rsidRPr="009A2B00">
              <w:rPr>
                <w:rFonts w:ascii="Arial" w:hAnsi="Arial" w:cs="Arial"/>
                <w:sz w:val="18"/>
                <w:szCs w:val="18"/>
              </w:rPr>
              <w:t>88.9</w:t>
            </w:r>
          </w:p>
        </w:tc>
      </w:tr>
      <w:tr w:rsidR="009A2B00" w:rsidRPr="002565C4" w14:paraId="1D65F249" w14:textId="77777777" w:rsidTr="00A93726">
        <w:tc>
          <w:tcPr>
            <w:tcW w:w="6047" w:type="dxa"/>
            <w:gridSpan w:val="2"/>
            <w:shd w:val="clear" w:color="auto" w:fill="auto"/>
            <w:vAlign w:val="bottom"/>
          </w:tcPr>
          <w:p w14:paraId="29DB843D" w14:textId="77777777" w:rsidR="009A2B00" w:rsidRPr="002565C4" w:rsidRDefault="009A2B00" w:rsidP="009A2B00">
            <w:pPr>
              <w:ind w:right="-993"/>
              <w:jc w:val="both"/>
              <w:rPr>
                <w:rFonts w:ascii="Arial" w:hAnsi="Arial" w:cs="Arial"/>
                <w:sz w:val="18"/>
                <w:szCs w:val="18"/>
              </w:rPr>
            </w:pPr>
            <w:r w:rsidRPr="002565C4">
              <w:rPr>
                <w:rFonts w:ascii="Arial" w:hAnsi="Arial" w:cs="Arial"/>
                <w:sz w:val="18"/>
                <w:szCs w:val="18"/>
              </w:rPr>
              <w:t>Age to which future pensioners are expected to live (60 in 15 years</w:t>
            </w:r>
            <w:r>
              <w:rPr>
                <w:rFonts w:ascii="Arial" w:hAnsi="Arial" w:cs="Arial"/>
                <w:sz w:val="18"/>
                <w:szCs w:val="18"/>
              </w:rPr>
              <w:t>’ t</w:t>
            </w:r>
            <w:r w:rsidRPr="002565C4">
              <w:rPr>
                <w:rFonts w:ascii="Arial" w:hAnsi="Arial" w:cs="Arial"/>
                <w:sz w:val="18"/>
                <w:szCs w:val="18"/>
              </w:rPr>
              <w:t>ime)</w:t>
            </w:r>
          </w:p>
        </w:tc>
        <w:tc>
          <w:tcPr>
            <w:tcW w:w="930" w:type="dxa"/>
          </w:tcPr>
          <w:p w14:paraId="656CD91F" w14:textId="77777777" w:rsidR="009A2B00" w:rsidRPr="002565C4" w:rsidRDefault="009A2B00" w:rsidP="009A2B00">
            <w:pPr>
              <w:jc w:val="right"/>
              <w:rPr>
                <w:rFonts w:ascii="Arial" w:hAnsi="Arial" w:cs="Arial"/>
                <w:b/>
                <w:sz w:val="18"/>
                <w:szCs w:val="18"/>
              </w:rPr>
            </w:pPr>
          </w:p>
        </w:tc>
        <w:tc>
          <w:tcPr>
            <w:tcW w:w="1496" w:type="dxa"/>
            <w:vAlign w:val="bottom"/>
          </w:tcPr>
          <w:p w14:paraId="1BD2669C" w14:textId="77777777" w:rsidR="009A2B00" w:rsidRPr="00633BE1" w:rsidRDefault="009A2B00" w:rsidP="009A2B00">
            <w:pPr>
              <w:jc w:val="right"/>
              <w:rPr>
                <w:rFonts w:ascii="Arial" w:hAnsi="Arial" w:cs="Arial"/>
                <w:b/>
                <w:sz w:val="18"/>
                <w:szCs w:val="18"/>
              </w:rPr>
            </w:pPr>
          </w:p>
        </w:tc>
        <w:tc>
          <w:tcPr>
            <w:tcW w:w="1166" w:type="dxa"/>
            <w:vAlign w:val="bottom"/>
          </w:tcPr>
          <w:p w14:paraId="71B73B2C" w14:textId="77777777" w:rsidR="009A2B00" w:rsidRPr="009A2B00" w:rsidRDefault="009A2B00" w:rsidP="009A2B00">
            <w:pPr>
              <w:jc w:val="right"/>
              <w:rPr>
                <w:rFonts w:ascii="Arial" w:hAnsi="Arial" w:cs="Arial"/>
                <w:sz w:val="18"/>
                <w:szCs w:val="18"/>
              </w:rPr>
            </w:pPr>
          </w:p>
        </w:tc>
      </w:tr>
      <w:tr w:rsidR="009A2B00" w:rsidRPr="002565C4" w14:paraId="09D1C555" w14:textId="77777777" w:rsidTr="00A93726">
        <w:tc>
          <w:tcPr>
            <w:tcW w:w="6047" w:type="dxa"/>
            <w:gridSpan w:val="2"/>
            <w:shd w:val="clear" w:color="auto" w:fill="auto"/>
            <w:vAlign w:val="bottom"/>
          </w:tcPr>
          <w:p w14:paraId="6B0C9230" w14:textId="77777777" w:rsidR="009A2B00" w:rsidRPr="002565C4" w:rsidRDefault="009A2B00" w:rsidP="009A2B00">
            <w:pPr>
              <w:ind w:right="-993"/>
              <w:jc w:val="both"/>
              <w:rPr>
                <w:rFonts w:ascii="Arial" w:hAnsi="Arial" w:cs="Arial"/>
                <w:sz w:val="18"/>
                <w:szCs w:val="18"/>
              </w:rPr>
            </w:pPr>
            <w:r w:rsidRPr="002565C4">
              <w:rPr>
                <w:rFonts w:ascii="Arial" w:hAnsi="Arial" w:cs="Arial"/>
                <w:sz w:val="18"/>
                <w:szCs w:val="18"/>
              </w:rPr>
              <w:t>- Male</w:t>
            </w:r>
          </w:p>
        </w:tc>
        <w:tc>
          <w:tcPr>
            <w:tcW w:w="930" w:type="dxa"/>
          </w:tcPr>
          <w:p w14:paraId="5C513A11" w14:textId="77777777" w:rsidR="009A2B00" w:rsidRPr="002565C4" w:rsidRDefault="009A2B00" w:rsidP="009A2B00">
            <w:pPr>
              <w:jc w:val="right"/>
              <w:rPr>
                <w:rFonts w:ascii="Arial" w:hAnsi="Arial" w:cs="Arial"/>
                <w:b/>
                <w:sz w:val="18"/>
                <w:szCs w:val="18"/>
              </w:rPr>
            </w:pPr>
          </w:p>
        </w:tc>
        <w:tc>
          <w:tcPr>
            <w:tcW w:w="1496" w:type="dxa"/>
            <w:vAlign w:val="bottom"/>
          </w:tcPr>
          <w:p w14:paraId="332D771E" w14:textId="77777777" w:rsidR="009A2B00" w:rsidRPr="00633BE1" w:rsidRDefault="009A2B00" w:rsidP="009A2B00">
            <w:pPr>
              <w:jc w:val="right"/>
              <w:rPr>
                <w:rFonts w:ascii="Arial" w:hAnsi="Arial" w:cs="Arial"/>
                <w:b/>
                <w:sz w:val="18"/>
                <w:szCs w:val="18"/>
              </w:rPr>
            </w:pPr>
            <w:r w:rsidRPr="00633BE1">
              <w:rPr>
                <w:rFonts w:ascii="Arial" w:hAnsi="Arial" w:cs="Arial"/>
                <w:b/>
                <w:sz w:val="18"/>
                <w:szCs w:val="18"/>
              </w:rPr>
              <w:t>88.</w:t>
            </w:r>
            <w:r w:rsidR="00633BE1" w:rsidRPr="00633BE1">
              <w:rPr>
                <w:rFonts w:ascii="Arial" w:hAnsi="Arial" w:cs="Arial"/>
                <w:b/>
                <w:sz w:val="18"/>
                <w:szCs w:val="18"/>
              </w:rPr>
              <w:t>5</w:t>
            </w:r>
          </w:p>
        </w:tc>
        <w:tc>
          <w:tcPr>
            <w:tcW w:w="1166" w:type="dxa"/>
            <w:vAlign w:val="bottom"/>
          </w:tcPr>
          <w:p w14:paraId="723F84AD" w14:textId="77777777" w:rsidR="009A2B00" w:rsidRPr="009A2B00" w:rsidRDefault="009A2B00" w:rsidP="009A2B00">
            <w:pPr>
              <w:jc w:val="right"/>
              <w:rPr>
                <w:rFonts w:ascii="Arial" w:hAnsi="Arial" w:cs="Arial"/>
                <w:sz w:val="18"/>
                <w:szCs w:val="18"/>
              </w:rPr>
            </w:pPr>
            <w:r w:rsidRPr="009A2B00">
              <w:rPr>
                <w:rFonts w:ascii="Arial" w:hAnsi="Arial" w:cs="Arial"/>
                <w:sz w:val="18"/>
                <w:szCs w:val="18"/>
              </w:rPr>
              <w:t>88.4</w:t>
            </w:r>
          </w:p>
        </w:tc>
      </w:tr>
      <w:tr w:rsidR="009A2B00" w:rsidRPr="002565C4" w14:paraId="3C98FE07" w14:textId="77777777" w:rsidTr="00A93726">
        <w:tc>
          <w:tcPr>
            <w:tcW w:w="6047" w:type="dxa"/>
            <w:gridSpan w:val="2"/>
            <w:tcBorders>
              <w:bottom w:val="single" w:sz="12" w:space="0" w:color="auto"/>
            </w:tcBorders>
            <w:shd w:val="clear" w:color="auto" w:fill="auto"/>
            <w:vAlign w:val="bottom"/>
          </w:tcPr>
          <w:p w14:paraId="4F8BF152" w14:textId="77777777" w:rsidR="009A2B00" w:rsidRPr="002565C4" w:rsidRDefault="009A2B00" w:rsidP="009A2B00">
            <w:pPr>
              <w:ind w:right="-993"/>
              <w:jc w:val="both"/>
              <w:rPr>
                <w:rFonts w:ascii="Arial" w:hAnsi="Arial" w:cs="Arial"/>
                <w:sz w:val="18"/>
                <w:szCs w:val="18"/>
              </w:rPr>
            </w:pPr>
            <w:r w:rsidRPr="002565C4">
              <w:rPr>
                <w:rFonts w:ascii="Arial" w:hAnsi="Arial" w:cs="Arial"/>
                <w:sz w:val="18"/>
                <w:szCs w:val="18"/>
              </w:rPr>
              <w:t>- Female</w:t>
            </w:r>
          </w:p>
        </w:tc>
        <w:tc>
          <w:tcPr>
            <w:tcW w:w="930" w:type="dxa"/>
            <w:tcBorders>
              <w:bottom w:val="single" w:sz="12" w:space="0" w:color="auto"/>
            </w:tcBorders>
          </w:tcPr>
          <w:p w14:paraId="46B5AD68" w14:textId="77777777" w:rsidR="009A2B00" w:rsidRPr="002565C4" w:rsidRDefault="009A2B00" w:rsidP="009A2B00">
            <w:pPr>
              <w:jc w:val="right"/>
              <w:rPr>
                <w:rFonts w:ascii="Arial" w:hAnsi="Arial" w:cs="Arial"/>
                <w:b/>
                <w:sz w:val="18"/>
                <w:szCs w:val="18"/>
              </w:rPr>
            </w:pPr>
          </w:p>
        </w:tc>
        <w:tc>
          <w:tcPr>
            <w:tcW w:w="1496" w:type="dxa"/>
            <w:tcBorders>
              <w:bottom w:val="single" w:sz="12" w:space="0" w:color="auto"/>
            </w:tcBorders>
            <w:vAlign w:val="bottom"/>
          </w:tcPr>
          <w:p w14:paraId="42CA47B9" w14:textId="77777777" w:rsidR="009A2B00" w:rsidRPr="00633BE1" w:rsidRDefault="009A2B00" w:rsidP="009A2B00">
            <w:pPr>
              <w:jc w:val="right"/>
              <w:rPr>
                <w:rFonts w:ascii="Arial" w:hAnsi="Arial" w:cs="Arial"/>
                <w:b/>
                <w:sz w:val="18"/>
                <w:szCs w:val="18"/>
              </w:rPr>
            </w:pPr>
            <w:r w:rsidRPr="00633BE1">
              <w:rPr>
                <w:rFonts w:ascii="Arial" w:hAnsi="Arial" w:cs="Arial"/>
                <w:b/>
                <w:sz w:val="18"/>
                <w:szCs w:val="18"/>
              </w:rPr>
              <w:t>90.</w:t>
            </w:r>
            <w:r w:rsidR="00633BE1" w:rsidRPr="00633BE1">
              <w:rPr>
                <w:rFonts w:ascii="Arial" w:hAnsi="Arial" w:cs="Arial"/>
                <w:b/>
                <w:sz w:val="18"/>
                <w:szCs w:val="18"/>
              </w:rPr>
              <w:t>9</w:t>
            </w:r>
          </w:p>
        </w:tc>
        <w:tc>
          <w:tcPr>
            <w:tcW w:w="1166" w:type="dxa"/>
            <w:tcBorders>
              <w:bottom w:val="single" w:sz="12" w:space="0" w:color="auto"/>
            </w:tcBorders>
            <w:vAlign w:val="bottom"/>
          </w:tcPr>
          <w:p w14:paraId="652E4EFC" w14:textId="77777777" w:rsidR="009A2B00" w:rsidRPr="009A2B00" w:rsidRDefault="009A2B00" w:rsidP="009A2B00">
            <w:pPr>
              <w:jc w:val="right"/>
              <w:rPr>
                <w:rFonts w:ascii="Arial" w:hAnsi="Arial" w:cs="Arial"/>
                <w:sz w:val="18"/>
                <w:szCs w:val="18"/>
              </w:rPr>
            </w:pPr>
            <w:r w:rsidRPr="009A2B00">
              <w:rPr>
                <w:rFonts w:ascii="Arial" w:hAnsi="Arial" w:cs="Arial"/>
                <w:sz w:val="18"/>
                <w:szCs w:val="18"/>
              </w:rPr>
              <w:t>90.8</w:t>
            </w:r>
          </w:p>
        </w:tc>
      </w:tr>
    </w:tbl>
    <w:p w14:paraId="54561C46" w14:textId="77777777" w:rsidR="000D6142" w:rsidRDefault="000D6142" w:rsidP="000D6142">
      <w:pPr>
        <w:ind w:right="53"/>
        <w:rPr>
          <w:rFonts w:ascii="Arial" w:hAnsi="Arial" w:cs="Arial"/>
          <w:sz w:val="18"/>
          <w:szCs w:val="18"/>
        </w:rPr>
      </w:pPr>
    </w:p>
    <w:p w14:paraId="06877915" w14:textId="77777777" w:rsidR="000D6142" w:rsidRPr="00B74A6B" w:rsidRDefault="000D6142" w:rsidP="00BA0967">
      <w:pPr>
        <w:ind w:right="53"/>
        <w:jc w:val="both"/>
        <w:rPr>
          <w:rFonts w:ascii="Arial" w:hAnsi="Arial" w:cs="Arial"/>
          <w:sz w:val="18"/>
          <w:szCs w:val="18"/>
        </w:rPr>
      </w:pPr>
      <w:r w:rsidRPr="00EC5A81">
        <w:rPr>
          <w:rFonts w:ascii="Arial" w:hAnsi="Arial" w:cs="Arial"/>
          <w:sz w:val="18"/>
          <w:szCs w:val="18"/>
        </w:rPr>
        <w:t xml:space="preserve">The following sensitivity analysis for the UK scheme shows the estimated impact on </w:t>
      </w:r>
      <w:r w:rsidR="0023399A" w:rsidRPr="00EC5A81">
        <w:rPr>
          <w:rFonts w:ascii="Arial" w:hAnsi="Arial" w:cs="Arial"/>
          <w:sz w:val="18"/>
          <w:szCs w:val="18"/>
        </w:rPr>
        <w:t xml:space="preserve">the </w:t>
      </w:r>
      <w:r w:rsidRPr="00EC5A81">
        <w:rPr>
          <w:rFonts w:ascii="Arial" w:hAnsi="Arial" w:cs="Arial"/>
          <w:sz w:val="18"/>
          <w:szCs w:val="18"/>
        </w:rPr>
        <w:t xml:space="preserve">obligation resulting from </w:t>
      </w:r>
      <w:r w:rsidRPr="00B74A6B">
        <w:rPr>
          <w:rFonts w:ascii="Arial" w:hAnsi="Arial" w:cs="Arial"/>
          <w:sz w:val="18"/>
          <w:szCs w:val="18"/>
        </w:rPr>
        <w:t>changes to key actuarial assumptions, whilst holding all other assumptions constant.</w:t>
      </w:r>
    </w:p>
    <w:p w14:paraId="163CD154" w14:textId="77777777" w:rsidR="000D6142" w:rsidRPr="00B74A6B" w:rsidRDefault="000D6142" w:rsidP="000D6142">
      <w:pPr>
        <w:ind w:right="53"/>
        <w:jc w:val="both"/>
        <w:rPr>
          <w:rFonts w:ascii="Arial" w:hAnsi="Arial" w:cs="Arial"/>
          <w:sz w:val="18"/>
          <w:szCs w:val="18"/>
        </w:rPr>
      </w:pPr>
    </w:p>
    <w:tbl>
      <w:tblPr>
        <w:tblW w:w="5000" w:type="pct"/>
        <w:tblLook w:val="01E0" w:firstRow="1" w:lastRow="1" w:firstColumn="1" w:lastColumn="1" w:noHBand="0" w:noVBand="0"/>
      </w:tblPr>
      <w:tblGrid>
        <w:gridCol w:w="2398"/>
        <w:gridCol w:w="3839"/>
        <w:gridCol w:w="3402"/>
      </w:tblGrid>
      <w:tr w:rsidR="000D6142" w:rsidRPr="00B74A6B" w14:paraId="34C99C9C" w14:textId="77777777" w:rsidTr="001606EE">
        <w:tc>
          <w:tcPr>
            <w:tcW w:w="2398" w:type="dxa"/>
            <w:tcBorders>
              <w:bottom w:val="single" w:sz="4" w:space="0" w:color="auto"/>
            </w:tcBorders>
            <w:shd w:val="clear" w:color="auto" w:fill="auto"/>
            <w:vAlign w:val="bottom"/>
          </w:tcPr>
          <w:p w14:paraId="36374DEC" w14:textId="77777777" w:rsidR="000D6142" w:rsidRPr="00B74A6B" w:rsidRDefault="000D6142" w:rsidP="002565C4">
            <w:pPr>
              <w:ind w:right="-993"/>
              <w:jc w:val="both"/>
              <w:rPr>
                <w:rFonts w:ascii="Arial" w:hAnsi="Arial" w:cs="Arial"/>
                <w:sz w:val="18"/>
                <w:szCs w:val="18"/>
              </w:rPr>
            </w:pPr>
            <w:r w:rsidRPr="00B74A6B">
              <w:rPr>
                <w:rFonts w:ascii="Arial" w:hAnsi="Arial" w:cs="Arial"/>
                <w:sz w:val="18"/>
                <w:szCs w:val="18"/>
              </w:rPr>
              <w:t>Assumption</w:t>
            </w:r>
          </w:p>
        </w:tc>
        <w:tc>
          <w:tcPr>
            <w:tcW w:w="3839" w:type="dxa"/>
            <w:tcBorders>
              <w:bottom w:val="single" w:sz="4" w:space="0" w:color="auto"/>
            </w:tcBorders>
            <w:shd w:val="clear" w:color="auto" w:fill="auto"/>
            <w:vAlign w:val="bottom"/>
          </w:tcPr>
          <w:p w14:paraId="02B51860" w14:textId="77777777" w:rsidR="000D6142" w:rsidRPr="00B74A6B" w:rsidRDefault="000D6142" w:rsidP="002565C4">
            <w:pPr>
              <w:jc w:val="right"/>
              <w:rPr>
                <w:rFonts w:ascii="Arial" w:hAnsi="Arial" w:cs="Arial"/>
                <w:sz w:val="18"/>
                <w:szCs w:val="18"/>
              </w:rPr>
            </w:pPr>
            <w:r w:rsidRPr="00B74A6B">
              <w:rPr>
                <w:rFonts w:ascii="Arial" w:hAnsi="Arial" w:cs="Arial"/>
                <w:sz w:val="18"/>
                <w:szCs w:val="18"/>
              </w:rPr>
              <w:t>Change in assumption</w:t>
            </w:r>
          </w:p>
        </w:tc>
        <w:tc>
          <w:tcPr>
            <w:tcW w:w="3402" w:type="dxa"/>
            <w:tcBorders>
              <w:bottom w:val="single" w:sz="4" w:space="0" w:color="auto"/>
            </w:tcBorders>
            <w:shd w:val="clear" w:color="auto" w:fill="auto"/>
            <w:vAlign w:val="bottom"/>
          </w:tcPr>
          <w:p w14:paraId="7874D2D8" w14:textId="77777777" w:rsidR="000D6142" w:rsidRPr="00B74A6B" w:rsidRDefault="000D6142" w:rsidP="002565C4">
            <w:pPr>
              <w:jc w:val="right"/>
              <w:rPr>
                <w:rFonts w:ascii="Arial" w:hAnsi="Arial" w:cs="Arial"/>
                <w:sz w:val="18"/>
                <w:szCs w:val="18"/>
              </w:rPr>
            </w:pPr>
            <w:r w:rsidRPr="00B74A6B">
              <w:rPr>
                <w:rFonts w:ascii="Arial" w:hAnsi="Arial" w:cs="Arial"/>
                <w:sz w:val="18"/>
                <w:szCs w:val="18"/>
              </w:rPr>
              <w:t>Impact on defined benefit obligation</w:t>
            </w:r>
          </w:p>
        </w:tc>
      </w:tr>
      <w:tr w:rsidR="00B74A6B" w:rsidRPr="00B74A6B" w14:paraId="33FD432A" w14:textId="77777777" w:rsidTr="001606EE">
        <w:tc>
          <w:tcPr>
            <w:tcW w:w="2398" w:type="dxa"/>
            <w:tcBorders>
              <w:top w:val="single" w:sz="4" w:space="0" w:color="auto"/>
            </w:tcBorders>
            <w:shd w:val="clear" w:color="auto" w:fill="auto"/>
            <w:vAlign w:val="bottom"/>
          </w:tcPr>
          <w:p w14:paraId="3589EC0E" w14:textId="77777777" w:rsidR="00B74A6B" w:rsidRPr="00B74A6B" w:rsidRDefault="00B74A6B" w:rsidP="00B74A6B">
            <w:pPr>
              <w:ind w:right="-993"/>
              <w:jc w:val="both"/>
              <w:rPr>
                <w:rFonts w:ascii="Arial" w:hAnsi="Arial" w:cs="Arial"/>
                <w:sz w:val="18"/>
                <w:szCs w:val="18"/>
              </w:rPr>
            </w:pPr>
            <w:r w:rsidRPr="00B74A6B">
              <w:rPr>
                <w:rFonts w:ascii="Arial" w:hAnsi="Arial" w:cs="Arial"/>
                <w:sz w:val="18"/>
                <w:szCs w:val="18"/>
              </w:rPr>
              <w:t>Discount rate</w:t>
            </w:r>
          </w:p>
        </w:tc>
        <w:tc>
          <w:tcPr>
            <w:tcW w:w="3839" w:type="dxa"/>
            <w:tcBorders>
              <w:top w:val="single" w:sz="4" w:space="0" w:color="auto"/>
            </w:tcBorders>
            <w:shd w:val="clear" w:color="auto" w:fill="auto"/>
            <w:vAlign w:val="bottom"/>
          </w:tcPr>
          <w:p w14:paraId="0731B7B2" w14:textId="77777777" w:rsidR="00B74A6B" w:rsidRPr="00B74A6B" w:rsidRDefault="00B74A6B" w:rsidP="00B74A6B">
            <w:pPr>
              <w:jc w:val="right"/>
              <w:rPr>
                <w:rFonts w:ascii="Arial" w:hAnsi="Arial" w:cs="Arial"/>
                <w:sz w:val="18"/>
                <w:szCs w:val="18"/>
              </w:rPr>
            </w:pPr>
            <w:r w:rsidRPr="00B74A6B">
              <w:rPr>
                <w:rFonts w:ascii="Arial" w:hAnsi="Arial" w:cs="Arial"/>
                <w:sz w:val="18"/>
                <w:szCs w:val="18"/>
              </w:rPr>
              <w:t>Increase/decrease by 0.</w:t>
            </w:r>
            <w:r w:rsidR="00426A81">
              <w:rPr>
                <w:rFonts w:ascii="Arial" w:hAnsi="Arial" w:cs="Arial"/>
                <w:sz w:val="18"/>
                <w:szCs w:val="18"/>
              </w:rPr>
              <w:t>5</w:t>
            </w:r>
            <w:r w:rsidRPr="00B74A6B">
              <w:rPr>
                <w:rFonts w:ascii="Arial" w:hAnsi="Arial" w:cs="Arial"/>
                <w:sz w:val="18"/>
                <w:szCs w:val="18"/>
              </w:rPr>
              <w:t>%</w:t>
            </w:r>
          </w:p>
        </w:tc>
        <w:tc>
          <w:tcPr>
            <w:tcW w:w="3402" w:type="dxa"/>
            <w:tcBorders>
              <w:top w:val="single" w:sz="4" w:space="0" w:color="auto"/>
            </w:tcBorders>
            <w:shd w:val="clear" w:color="auto" w:fill="auto"/>
            <w:vAlign w:val="bottom"/>
          </w:tcPr>
          <w:p w14:paraId="1960DCA4" w14:textId="77777777" w:rsidR="00B74A6B" w:rsidRPr="00EE74A2" w:rsidRDefault="00843046" w:rsidP="00B74A6B">
            <w:pPr>
              <w:jc w:val="right"/>
              <w:rPr>
                <w:rFonts w:ascii="Arial" w:hAnsi="Arial" w:cs="Arial"/>
                <w:sz w:val="18"/>
                <w:szCs w:val="18"/>
              </w:rPr>
            </w:pPr>
            <w:r w:rsidRPr="00EE74A2">
              <w:rPr>
                <w:rFonts w:ascii="Arial" w:hAnsi="Arial" w:cs="Arial"/>
                <w:sz w:val="18"/>
                <w:szCs w:val="18"/>
              </w:rPr>
              <w:t>Decrease/increase by £</w:t>
            </w:r>
            <w:r w:rsidR="00426A81" w:rsidRPr="00EE74A2">
              <w:rPr>
                <w:rFonts w:ascii="Arial" w:hAnsi="Arial" w:cs="Arial"/>
                <w:sz w:val="18"/>
                <w:szCs w:val="18"/>
              </w:rPr>
              <w:t>3</w:t>
            </w:r>
            <w:r w:rsidR="00EE74A2" w:rsidRPr="00EE74A2">
              <w:rPr>
                <w:rFonts w:ascii="Arial" w:hAnsi="Arial" w:cs="Arial"/>
                <w:sz w:val="18"/>
                <w:szCs w:val="18"/>
              </w:rPr>
              <w:t>15</w:t>
            </w:r>
            <w:r w:rsidR="00B74A6B" w:rsidRPr="00EE74A2">
              <w:rPr>
                <w:rFonts w:ascii="Arial" w:hAnsi="Arial" w:cs="Arial"/>
                <w:sz w:val="18"/>
                <w:szCs w:val="18"/>
              </w:rPr>
              <w:t>m</w:t>
            </w:r>
          </w:p>
        </w:tc>
      </w:tr>
      <w:tr w:rsidR="00B74A6B" w:rsidRPr="00B74A6B" w14:paraId="3B6A7F76" w14:textId="77777777" w:rsidTr="001606EE">
        <w:tc>
          <w:tcPr>
            <w:tcW w:w="2398" w:type="dxa"/>
            <w:shd w:val="clear" w:color="auto" w:fill="auto"/>
            <w:vAlign w:val="bottom"/>
          </w:tcPr>
          <w:p w14:paraId="160675F5" w14:textId="77777777" w:rsidR="00B74A6B" w:rsidRPr="00B74A6B" w:rsidRDefault="00B74A6B" w:rsidP="00B74A6B">
            <w:pPr>
              <w:ind w:right="-993"/>
              <w:jc w:val="both"/>
              <w:rPr>
                <w:rFonts w:ascii="Arial" w:hAnsi="Arial" w:cs="Arial"/>
                <w:sz w:val="18"/>
                <w:szCs w:val="18"/>
              </w:rPr>
            </w:pPr>
            <w:r w:rsidRPr="00B74A6B">
              <w:rPr>
                <w:rFonts w:ascii="Arial" w:hAnsi="Arial" w:cs="Arial"/>
                <w:sz w:val="18"/>
                <w:szCs w:val="18"/>
              </w:rPr>
              <w:t>Price inflation</w:t>
            </w:r>
          </w:p>
        </w:tc>
        <w:tc>
          <w:tcPr>
            <w:tcW w:w="3839" w:type="dxa"/>
            <w:shd w:val="clear" w:color="auto" w:fill="auto"/>
            <w:vAlign w:val="bottom"/>
          </w:tcPr>
          <w:p w14:paraId="10E7E75D" w14:textId="77777777" w:rsidR="00B74A6B" w:rsidRPr="00B74A6B" w:rsidRDefault="00B74A6B" w:rsidP="00B74A6B">
            <w:pPr>
              <w:jc w:val="right"/>
              <w:rPr>
                <w:rFonts w:ascii="Arial" w:hAnsi="Arial" w:cs="Arial"/>
                <w:sz w:val="18"/>
                <w:szCs w:val="18"/>
              </w:rPr>
            </w:pPr>
            <w:r w:rsidRPr="00B74A6B">
              <w:rPr>
                <w:rFonts w:ascii="Arial" w:hAnsi="Arial" w:cs="Arial"/>
                <w:sz w:val="18"/>
                <w:szCs w:val="18"/>
              </w:rPr>
              <w:t>Increase/decrease by 0.</w:t>
            </w:r>
            <w:r w:rsidR="00426A81">
              <w:rPr>
                <w:rFonts w:ascii="Arial" w:hAnsi="Arial" w:cs="Arial"/>
                <w:sz w:val="18"/>
                <w:szCs w:val="18"/>
              </w:rPr>
              <w:t>5</w:t>
            </w:r>
            <w:r w:rsidRPr="00B74A6B">
              <w:rPr>
                <w:rFonts w:ascii="Arial" w:hAnsi="Arial" w:cs="Arial"/>
                <w:sz w:val="18"/>
                <w:szCs w:val="18"/>
              </w:rPr>
              <w:t>%</w:t>
            </w:r>
          </w:p>
        </w:tc>
        <w:tc>
          <w:tcPr>
            <w:tcW w:w="3402" w:type="dxa"/>
            <w:shd w:val="clear" w:color="auto" w:fill="auto"/>
            <w:vAlign w:val="bottom"/>
          </w:tcPr>
          <w:p w14:paraId="2BA38678" w14:textId="6BCF2B75" w:rsidR="00B74A6B" w:rsidRPr="00EE74A2" w:rsidRDefault="000E253E" w:rsidP="00B74A6B">
            <w:pPr>
              <w:jc w:val="right"/>
              <w:rPr>
                <w:rFonts w:ascii="Arial" w:hAnsi="Arial" w:cs="Arial"/>
                <w:sz w:val="18"/>
                <w:szCs w:val="18"/>
              </w:rPr>
            </w:pPr>
            <w:r w:rsidRPr="00EE74A2">
              <w:rPr>
                <w:rFonts w:ascii="Arial" w:hAnsi="Arial" w:cs="Arial"/>
                <w:sz w:val="18"/>
                <w:szCs w:val="18"/>
              </w:rPr>
              <w:t>Increase/decrease by £</w:t>
            </w:r>
            <w:r w:rsidR="00F21ED8">
              <w:rPr>
                <w:rFonts w:ascii="Arial" w:hAnsi="Arial" w:cs="Arial"/>
                <w:sz w:val="18"/>
                <w:szCs w:val="18"/>
              </w:rPr>
              <w:t>252</w:t>
            </w:r>
            <w:r w:rsidR="00F21ED8" w:rsidRPr="00EE74A2">
              <w:rPr>
                <w:rFonts w:ascii="Arial" w:hAnsi="Arial" w:cs="Arial"/>
                <w:sz w:val="18"/>
                <w:szCs w:val="18"/>
              </w:rPr>
              <w:t>m</w:t>
            </w:r>
          </w:p>
        </w:tc>
      </w:tr>
      <w:tr w:rsidR="00F21ED8" w:rsidRPr="00B74A6B" w14:paraId="7CB7ABEA" w14:textId="77777777" w:rsidTr="001606EE">
        <w:tc>
          <w:tcPr>
            <w:tcW w:w="2398" w:type="dxa"/>
            <w:shd w:val="clear" w:color="auto" w:fill="auto"/>
            <w:vAlign w:val="bottom"/>
          </w:tcPr>
          <w:p w14:paraId="0EB3DF3E" w14:textId="2EF8CD84" w:rsidR="00F21ED8" w:rsidRPr="00B74A6B" w:rsidRDefault="00F21ED8" w:rsidP="00B74A6B">
            <w:pPr>
              <w:ind w:right="-993"/>
              <w:jc w:val="both"/>
              <w:rPr>
                <w:rFonts w:ascii="Arial" w:hAnsi="Arial" w:cs="Arial"/>
                <w:sz w:val="18"/>
                <w:szCs w:val="18"/>
              </w:rPr>
            </w:pPr>
            <w:r>
              <w:rPr>
                <w:rFonts w:ascii="Arial" w:hAnsi="Arial" w:cs="Arial"/>
                <w:sz w:val="18"/>
                <w:szCs w:val="18"/>
              </w:rPr>
              <w:t>Rate of pension increases</w:t>
            </w:r>
          </w:p>
        </w:tc>
        <w:tc>
          <w:tcPr>
            <w:tcW w:w="3839" w:type="dxa"/>
            <w:shd w:val="clear" w:color="auto" w:fill="auto"/>
            <w:vAlign w:val="bottom"/>
          </w:tcPr>
          <w:p w14:paraId="25881588" w14:textId="5241880C" w:rsidR="00F21ED8" w:rsidRPr="00B74A6B" w:rsidRDefault="00F21ED8" w:rsidP="00B74A6B">
            <w:pPr>
              <w:jc w:val="right"/>
              <w:rPr>
                <w:rFonts w:ascii="Arial" w:hAnsi="Arial" w:cs="Arial"/>
                <w:sz w:val="18"/>
                <w:szCs w:val="18"/>
              </w:rPr>
            </w:pPr>
            <w:r w:rsidRPr="00B74A6B">
              <w:rPr>
                <w:rFonts w:ascii="Arial" w:hAnsi="Arial" w:cs="Arial"/>
                <w:sz w:val="18"/>
                <w:szCs w:val="18"/>
              </w:rPr>
              <w:t>Increase/decrease by 0.</w:t>
            </w:r>
            <w:r>
              <w:rPr>
                <w:rFonts w:ascii="Arial" w:hAnsi="Arial" w:cs="Arial"/>
                <w:sz w:val="18"/>
                <w:szCs w:val="18"/>
              </w:rPr>
              <w:t>5</w:t>
            </w:r>
            <w:r w:rsidRPr="00B74A6B">
              <w:rPr>
                <w:rFonts w:ascii="Arial" w:hAnsi="Arial" w:cs="Arial"/>
                <w:sz w:val="18"/>
                <w:szCs w:val="18"/>
              </w:rPr>
              <w:t>%</w:t>
            </w:r>
          </w:p>
        </w:tc>
        <w:tc>
          <w:tcPr>
            <w:tcW w:w="3402" w:type="dxa"/>
            <w:shd w:val="clear" w:color="auto" w:fill="auto"/>
            <w:vAlign w:val="bottom"/>
          </w:tcPr>
          <w:p w14:paraId="70AECB3C" w14:textId="10A2CF77" w:rsidR="00F21ED8" w:rsidRPr="00EE74A2" w:rsidRDefault="00F21ED8" w:rsidP="00B74A6B">
            <w:pPr>
              <w:jc w:val="right"/>
              <w:rPr>
                <w:rFonts w:ascii="Arial" w:hAnsi="Arial" w:cs="Arial"/>
                <w:sz w:val="18"/>
                <w:szCs w:val="18"/>
              </w:rPr>
            </w:pPr>
            <w:r w:rsidRPr="00EE74A2">
              <w:rPr>
                <w:rFonts w:ascii="Arial" w:hAnsi="Arial" w:cs="Arial"/>
                <w:sz w:val="18"/>
                <w:szCs w:val="18"/>
              </w:rPr>
              <w:t>Increase/decrease by £260m</w:t>
            </w:r>
          </w:p>
        </w:tc>
      </w:tr>
      <w:tr w:rsidR="00B74A6B" w:rsidRPr="00B74A6B" w14:paraId="2B3EAEC4" w14:textId="77777777" w:rsidTr="001606EE">
        <w:tc>
          <w:tcPr>
            <w:tcW w:w="2398" w:type="dxa"/>
            <w:tcBorders>
              <w:bottom w:val="single" w:sz="12" w:space="0" w:color="auto"/>
            </w:tcBorders>
            <w:shd w:val="clear" w:color="auto" w:fill="auto"/>
            <w:vAlign w:val="bottom"/>
          </w:tcPr>
          <w:p w14:paraId="7FA8B1D9" w14:textId="77777777" w:rsidR="00B74A6B" w:rsidRPr="00B74A6B" w:rsidRDefault="00B74A6B" w:rsidP="00B74A6B">
            <w:pPr>
              <w:ind w:right="-993"/>
              <w:jc w:val="both"/>
              <w:rPr>
                <w:rFonts w:ascii="Arial" w:hAnsi="Arial" w:cs="Arial"/>
                <w:sz w:val="18"/>
                <w:szCs w:val="18"/>
              </w:rPr>
            </w:pPr>
            <w:r w:rsidRPr="00B74A6B">
              <w:rPr>
                <w:rFonts w:ascii="Arial" w:hAnsi="Arial" w:cs="Arial"/>
                <w:sz w:val="18"/>
                <w:szCs w:val="18"/>
              </w:rPr>
              <w:t>Mortality</w:t>
            </w:r>
          </w:p>
        </w:tc>
        <w:tc>
          <w:tcPr>
            <w:tcW w:w="3839" w:type="dxa"/>
            <w:tcBorders>
              <w:bottom w:val="single" w:sz="12" w:space="0" w:color="auto"/>
            </w:tcBorders>
            <w:shd w:val="clear" w:color="auto" w:fill="auto"/>
            <w:vAlign w:val="bottom"/>
          </w:tcPr>
          <w:p w14:paraId="05BBC5D3" w14:textId="77777777" w:rsidR="00B74A6B" w:rsidRPr="00B74A6B" w:rsidRDefault="00B74A6B" w:rsidP="00B74A6B">
            <w:pPr>
              <w:jc w:val="right"/>
              <w:rPr>
                <w:rFonts w:ascii="Arial" w:hAnsi="Arial" w:cs="Arial"/>
                <w:sz w:val="18"/>
                <w:szCs w:val="18"/>
              </w:rPr>
            </w:pPr>
            <w:r w:rsidRPr="00B74A6B">
              <w:rPr>
                <w:rFonts w:ascii="Arial" w:hAnsi="Arial" w:cs="Arial"/>
                <w:sz w:val="18"/>
                <w:szCs w:val="18"/>
              </w:rPr>
              <w:t>Increase in life expectancy by one year</w:t>
            </w:r>
          </w:p>
        </w:tc>
        <w:tc>
          <w:tcPr>
            <w:tcW w:w="3402" w:type="dxa"/>
            <w:tcBorders>
              <w:bottom w:val="single" w:sz="12" w:space="0" w:color="auto"/>
            </w:tcBorders>
            <w:shd w:val="clear" w:color="auto" w:fill="auto"/>
            <w:vAlign w:val="bottom"/>
          </w:tcPr>
          <w:p w14:paraId="0FA0EA06" w14:textId="77777777" w:rsidR="00B74A6B" w:rsidRPr="00EE74A2" w:rsidRDefault="00843046" w:rsidP="00B74A6B">
            <w:pPr>
              <w:jc w:val="right"/>
              <w:rPr>
                <w:rFonts w:ascii="Arial" w:hAnsi="Arial" w:cs="Arial"/>
                <w:sz w:val="18"/>
                <w:szCs w:val="18"/>
              </w:rPr>
            </w:pPr>
            <w:r w:rsidRPr="00EE74A2">
              <w:rPr>
                <w:rFonts w:ascii="Arial" w:hAnsi="Arial" w:cs="Arial"/>
                <w:sz w:val="18"/>
                <w:szCs w:val="18"/>
              </w:rPr>
              <w:t>Increase by £9</w:t>
            </w:r>
            <w:r w:rsidR="00EE74A2" w:rsidRPr="00EE74A2">
              <w:rPr>
                <w:rFonts w:ascii="Arial" w:hAnsi="Arial" w:cs="Arial"/>
                <w:sz w:val="18"/>
                <w:szCs w:val="18"/>
              </w:rPr>
              <w:t>4</w:t>
            </w:r>
            <w:r w:rsidR="00B74A6B" w:rsidRPr="00EE74A2">
              <w:rPr>
                <w:rFonts w:ascii="Arial" w:hAnsi="Arial" w:cs="Arial"/>
                <w:sz w:val="18"/>
                <w:szCs w:val="18"/>
              </w:rPr>
              <w:t>m</w:t>
            </w:r>
          </w:p>
        </w:tc>
      </w:tr>
    </w:tbl>
    <w:p w14:paraId="1EC34CBA" w14:textId="77777777" w:rsidR="00DC25B4" w:rsidRPr="00EF1091" w:rsidRDefault="00C84CF0">
      <w:pPr>
        <w:rPr>
          <w:rFonts w:ascii="Arial" w:hAnsi="Arial" w:cs="Arial"/>
          <w:sz w:val="18"/>
          <w:szCs w:val="18"/>
        </w:rPr>
      </w:pPr>
      <w:r>
        <w:rPr>
          <w:rFonts w:ascii="Arial" w:hAnsi="Arial" w:cs="Arial"/>
          <w:sz w:val="18"/>
          <w:szCs w:val="18"/>
        </w:rPr>
        <w:br w:type="page"/>
      </w:r>
    </w:p>
    <w:p w14:paraId="456345E6" w14:textId="77777777" w:rsidR="00DC25B4" w:rsidRPr="00EF1091" w:rsidRDefault="007B1AD5" w:rsidP="00D5655F">
      <w:pPr>
        <w:ind w:hanging="540"/>
        <w:rPr>
          <w:rFonts w:ascii="Arial" w:hAnsi="Arial" w:cs="Arial"/>
          <w:b/>
          <w:sz w:val="18"/>
          <w:szCs w:val="18"/>
        </w:rPr>
      </w:pPr>
      <w:r>
        <w:rPr>
          <w:rFonts w:ascii="Arial" w:hAnsi="Arial" w:cs="Arial"/>
          <w:b/>
          <w:sz w:val="18"/>
          <w:szCs w:val="18"/>
        </w:rPr>
        <w:lastRenderedPageBreak/>
        <w:t>1</w:t>
      </w:r>
      <w:r w:rsidR="000D44B7">
        <w:rPr>
          <w:rFonts w:ascii="Arial" w:hAnsi="Arial" w:cs="Arial"/>
          <w:b/>
          <w:sz w:val="18"/>
          <w:szCs w:val="18"/>
        </w:rPr>
        <w:t>0</w:t>
      </w:r>
      <w:r w:rsidR="00DC25B4" w:rsidRPr="00EF1091">
        <w:rPr>
          <w:rFonts w:ascii="Arial" w:hAnsi="Arial" w:cs="Arial"/>
          <w:b/>
          <w:sz w:val="18"/>
          <w:szCs w:val="18"/>
        </w:rPr>
        <w:tab/>
      </w:r>
      <w:r w:rsidR="00E82DA8">
        <w:rPr>
          <w:rFonts w:ascii="Arial" w:hAnsi="Arial" w:cs="Arial"/>
          <w:b/>
          <w:sz w:val="18"/>
          <w:szCs w:val="18"/>
        </w:rPr>
        <w:t>Cash generated by operations</w:t>
      </w:r>
    </w:p>
    <w:p w14:paraId="0C7D6997" w14:textId="77777777" w:rsidR="00DC25B4" w:rsidRDefault="00DC25B4" w:rsidP="00A70836">
      <w:pPr>
        <w:pStyle w:val="Header"/>
        <w:tabs>
          <w:tab w:val="clear" w:pos="4153"/>
          <w:tab w:val="clear" w:pos="8306"/>
        </w:tabs>
      </w:pPr>
    </w:p>
    <w:tbl>
      <w:tblPr>
        <w:tblW w:w="5000" w:type="pct"/>
        <w:tblLook w:val="0000" w:firstRow="0" w:lastRow="0" w:firstColumn="0" w:lastColumn="0" w:noHBand="0" w:noVBand="0"/>
      </w:tblPr>
      <w:tblGrid>
        <w:gridCol w:w="7574"/>
        <w:gridCol w:w="1041"/>
        <w:gridCol w:w="1024"/>
      </w:tblGrid>
      <w:tr w:rsidR="00CF1FC2" w:rsidRPr="00232C68" w14:paraId="38B90994" w14:textId="77777777" w:rsidTr="001606EE">
        <w:trPr>
          <w:trHeight w:val="255"/>
        </w:trPr>
        <w:tc>
          <w:tcPr>
            <w:tcW w:w="3929" w:type="pct"/>
            <w:tcBorders>
              <w:top w:val="nil"/>
              <w:left w:val="nil"/>
              <w:bottom w:val="single" w:sz="4" w:space="0" w:color="auto"/>
              <w:right w:val="nil"/>
            </w:tcBorders>
            <w:shd w:val="clear" w:color="auto" w:fill="auto"/>
            <w:noWrap/>
            <w:vAlign w:val="bottom"/>
          </w:tcPr>
          <w:p w14:paraId="424881F3" w14:textId="77777777" w:rsidR="00CF1FC2" w:rsidRPr="00232C68" w:rsidRDefault="00CF1FC2" w:rsidP="00CF1FC2">
            <w:pPr>
              <w:rPr>
                <w:rFonts w:ascii="Arial" w:hAnsi="Arial" w:cs="Arial"/>
                <w:sz w:val="18"/>
                <w:szCs w:val="18"/>
              </w:rPr>
            </w:pPr>
            <w:r w:rsidRPr="00232C68">
              <w:rPr>
                <w:rFonts w:ascii="Arial" w:hAnsi="Arial" w:cs="Arial"/>
                <w:sz w:val="18"/>
                <w:szCs w:val="18"/>
              </w:rPr>
              <w:t>£ millions</w:t>
            </w:r>
          </w:p>
        </w:tc>
        <w:tc>
          <w:tcPr>
            <w:tcW w:w="540" w:type="pct"/>
            <w:tcBorders>
              <w:top w:val="nil"/>
              <w:left w:val="nil"/>
              <w:bottom w:val="single" w:sz="4" w:space="0" w:color="auto"/>
              <w:right w:val="nil"/>
            </w:tcBorders>
            <w:shd w:val="clear" w:color="auto" w:fill="auto"/>
            <w:noWrap/>
            <w:vAlign w:val="bottom"/>
          </w:tcPr>
          <w:p w14:paraId="72AE14AD" w14:textId="77777777" w:rsidR="00CF1FC2" w:rsidRPr="00EF1091" w:rsidRDefault="008328D7" w:rsidP="008328D7">
            <w:pPr>
              <w:jc w:val="right"/>
              <w:rPr>
                <w:rFonts w:ascii="Arial" w:hAnsi="Arial" w:cs="Arial"/>
                <w:sz w:val="18"/>
                <w:szCs w:val="18"/>
              </w:rPr>
            </w:pPr>
            <w:r>
              <w:rPr>
                <w:rFonts w:ascii="Arial" w:hAnsi="Arial" w:cs="Arial"/>
                <w:sz w:val="18"/>
                <w:szCs w:val="18"/>
              </w:rPr>
              <w:t>201</w:t>
            </w:r>
            <w:r w:rsidR="009A2B00">
              <w:rPr>
                <w:rFonts w:ascii="Arial" w:hAnsi="Arial" w:cs="Arial"/>
                <w:sz w:val="18"/>
                <w:szCs w:val="18"/>
              </w:rPr>
              <w:t>8</w:t>
            </w:r>
            <w:r w:rsidR="00CF1FC2">
              <w:rPr>
                <w:rFonts w:ascii="Arial" w:hAnsi="Arial" w:cs="Arial"/>
                <w:sz w:val="18"/>
                <w:szCs w:val="18"/>
              </w:rPr>
              <w:t>/1</w:t>
            </w:r>
            <w:r w:rsidR="009A2B00">
              <w:rPr>
                <w:rFonts w:ascii="Arial" w:hAnsi="Arial" w:cs="Arial"/>
                <w:sz w:val="18"/>
                <w:szCs w:val="18"/>
              </w:rPr>
              <w:t>9</w:t>
            </w:r>
          </w:p>
        </w:tc>
        <w:tc>
          <w:tcPr>
            <w:tcW w:w="531" w:type="pct"/>
            <w:tcBorders>
              <w:top w:val="nil"/>
              <w:left w:val="nil"/>
              <w:bottom w:val="single" w:sz="4" w:space="0" w:color="auto"/>
              <w:right w:val="nil"/>
            </w:tcBorders>
            <w:vAlign w:val="bottom"/>
          </w:tcPr>
          <w:p w14:paraId="1B5C230A" w14:textId="77777777" w:rsidR="00CF1FC2" w:rsidRPr="00EF1091" w:rsidRDefault="005F4DFB" w:rsidP="008328D7">
            <w:pPr>
              <w:jc w:val="right"/>
              <w:rPr>
                <w:rFonts w:ascii="Arial" w:hAnsi="Arial" w:cs="Arial"/>
                <w:sz w:val="18"/>
                <w:szCs w:val="18"/>
              </w:rPr>
            </w:pPr>
            <w:r>
              <w:rPr>
                <w:rFonts w:ascii="Arial" w:hAnsi="Arial" w:cs="Arial"/>
                <w:sz w:val="18"/>
                <w:szCs w:val="18"/>
              </w:rPr>
              <w:t>201</w:t>
            </w:r>
            <w:r w:rsidR="009A2B00">
              <w:rPr>
                <w:rFonts w:ascii="Arial" w:hAnsi="Arial" w:cs="Arial"/>
                <w:sz w:val="18"/>
                <w:szCs w:val="18"/>
              </w:rPr>
              <w:t>7</w:t>
            </w:r>
            <w:r w:rsidR="00CF1FC2">
              <w:rPr>
                <w:rFonts w:ascii="Arial" w:hAnsi="Arial" w:cs="Arial"/>
                <w:sz w:val="18"/>
                <w:szCs w:val="18"/>
              </w:rPr>
              <w:t>/1</w:t>
            </w:r>
            <w:r w:rsidR="009A2B00">
              <w:rPr>
                <w:rFonts w:ascii="Arial" w:hAnsi="Arial" w:cs="Arial"/>
                <w:sz w:val="18"/>
                <w:szCs w:val="18"/>
              </w:rPr>
              <w:t>8</w:t>
            </w:r>
          </w:p>
        </w:tc>
      </w:tr>
      <w:tr w:rsidR="009A2B00" w:rsidRPr="00232C68" w14:paraId="26DE0A8A" w14:textId="77777777" w:rsidTr="001606EE">
        <w:trPr>
          <w:trHeight w:val="255"/>
        </w:trPr>
        <w:tc>
          <w:tcPr>
            <w:tcW w:w="3929" w:type="pct"/>
            <w:tcBorders>
              <w:top w:val="nil"/>
              <w:left w:val="nil"/>
              <w:bottom w:val="nil"/>
              <w:right w:val="nil"/>
            </w:tcBorders>
            <w:shd w:val="clear" w:color="auto" w:fill="auto"/>
            <w:noWrap/>
            <w:vAlign w:val="bottom"/>
          </w:tcPr>
          <w:p w14:paraId="2DB14F87" w14:textId="77777777" w:rsidR="009A2B00" w:rsidRPr="002A7D7A" w:rsidRDefault="009A2B00" w:rsidP="009A2B00">
            <w:pPr>
              <w:rPr>
                <w:rFonts w:ascii="Arial" w:hAnsi="Arial" w:cs="Arial"/>
                <w:b/>
                <w:sz w:val="18"/>
                <w:szCs w:val="18"/>
              </w:rPr>
            </w:pPr>
            <w:r>
              <w:rPr>
                <w:rFonts w:ascii="Arial" w:hAnsi="Arial" w:cs="Arial"/>
                <w:b/>
                <w:sz w:val="18"/>
                <w:szCs w:val="18"/>
              </w:rPr>
              <w:t>O</w:t>
            </w:r>
            <w:r w:rsidRPr="002A7D7A">
              <w:rPr>
                <w:rFonts w:ascii="Arial" w:hAnsi="Arial" w:cs="Arial"/>
                <w:b/>
                <w:sz w:val="18"/>
                <w:szCs w:val="18"/>
              </w:rPr>
              <w:t>perating profit</w:t>
            </w:r>
          </w:p>
        </w:tc>
        <w:tc>
          <w:tcPr>
            <w:tcW w:w="540" w:type="pct"/>
            <w:tcBorders>
              <w:top w:val="nil"/>
              <w:left w:val="nil"/>
              <w:bottom w:val="nil"/>
              <w:right w:val="nil"/>
            </w:tcBorders>
            <w:shd w:val="clear" w:color="auto" w:fill="auto"/>
            <w:noWrap/>
            <w:vAlign w:val="bottom"/>
          </w:tcPr>
          <w:p w14:paraId="0644C2F1" w14:textId="278FC244" w:rsidR="009A2B00" w:rsidRPr="001A4E36" w:rsidRDefault="001A4E36" w:rsidP="009A2B00">
            <w:pPr>
              <w:jc w:val="right"/>
              <w:rPr>
                <w:rFonts w:ascii="Arial" w:hAnsi="Arial" w:cs="Arial"/>
                <w:b/>
                <w:bCs/>
                <w:sz w:val="18"/>
                <w:szCs w:val="18"/>
              </w:rPr>
            </w:pPr>
            <w:r w:rsidRPr="001A4E36">
              <w:rPr>
                <w:rFonts w:ascii="Arial" w:hAnsi="Arial" w:cs="Arial"/>
                <w:b/>
                <w:bCs/>
                <w:sz w:val="18"/>
                <w:szCs w:val="18"/>
              </w:rPr>
              <w:t>3</w:t>
            </w:r>
            <w:r w:rsidR="00FC4A8D">
              <w:rPr>
                <w:rFonts w:ascii="Arial" w:hAnsi="Arial" w:cs="Arial"/>
                <w:b/>
                <w:bCs/>
                <w:sz w:val="18"/>
                <w:szCs w:val="18"/>
              </w:rPr>
              <w:t>29</w:t>
            </w:r>
          </w:p>
        </w:tc>
        <w:tc>
          <w:tcPr>
            <w:tcW w:w="531" w:type="pct"/>
            <w:tcBorders>
              <w:top w:val="nil"/>
              <w:left w:val="nil"/>
              <w:bottom w:val="nil"/>
              <w:right w:val="nil"/>
            </w:tcBorders>
            <w:vAlign w:val="bottom"/>
          </w:tcPr>
          <w:p w14:paraId="16F74350"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685</w:t>
            </w:r>
          </w:p>
        </w:tc>
      </w:tr>
      <w:tr w:rsidR="009A2B00" w:rsidRPr="00232C68" w14:paraId="6002A31F" w14:textId="77777777" w:rsidTr="001606EE">
        <w:trPr>
          <w:trHeight w:val="255"/>
        </w:trPr>
        <w:tc>
          <w:tcPr>
            <w:tcW w:w="3929" w:type="pct"/>
            <w:tcBorders>
              <w:top w:val="nil"/>
              <w:left w:val="nil"/>
              <w:bottom w:val="nil"/>
              <w:right w:val="nil"/>
            </w:tcBorders>
            <w:shd w:val="clear" w:color="auto" w:fill="auto"/>
            <w:noWrap/>
            <w:vAlign w:val="bottom"/>
          </w:tcPr>
          <w:p w14:paraId="2F4705A2" w14:textId="77777777" w:rsidR="009A2B00" w:rsidRPr="002A7D7A" w:rsidRDefault="009A2B00" w:rsidP="009A2B00">
            <w:pPr>
              <w:rPr>
                <w:rFonts w:ascii="Arial" w:hAnsi="Arial" w:cs="Arial"/>
                <w:sz w:val="18"/>
                <w:szCs w:val="18"/>
              </w:rPr>
            </w:pPr>
            <w:r>
              <w:rPr>
                <w:rFonts w:ascii="Arial" w:hAnsi="Arial" w:cs="Arial"/>
                <w:sz w:val="18"/>
                <w:szCs w:val="18"/>
              </w:rPr>
              <w:t>Share of post-</w:t>
            </w:r>
            <w:r w:rsidRPr="002A7D7A">
              <w:rPr>
                <w:rFonts w:ascii="Arial" w:hAnsi="Arial" w:cs="Arial"/>
                <w:sz w:val="18"/>
                <w:szCs w:val="18"/>
              </w:rPr>
              <w:t>tax results of joint ventures and associates</w:t>
            </w:r>
          </w:p>
        </w:tc>
        <w:tc>
          <w:tcPr>
            <w:tcW w:w="540" w:type="pct"/>
            <w:tcBorders>
              <w:top w:val="nil"/>
              <w:left w:val="nil"/>
              <w:bottom w:val="nil"/>
              <w:right w:val="nil"/>
            </w:tcBorders>
            <w:shd w:val="clear" w:color="auto" w:fill="auto"/>
            <w:noWrap/>
            <w:vAlign w:val="bottom"/>
          </w:tcPr>
          <w:p w14:paraId="52AFE5DA" w14:textId="7E0E56B3" w:rsidR="009A2B00" w:rsidRPr="001A4E36" w:rsidRDefault="009A2B00" w:rsidP="009A2B00">
            <w:pPr>
              <w:jc w:val="right"/>
              <w:rPr>
                <w:rFonts w:ascii="Arial" w:hAnsi="Arial" w:cs="Arial"/>
                <w:b/>
                <w:bCs/>
                <w:sz w:val="18"/>
                <w:szCs w:val="18"/>
              </w:rPr>
            </w:pPr>
            <w:r w:rsidRPr="001A4E36">
              <w:rPr>
                <w:rFonts w:ascii="Arial" w:hAnsi="Arial" w:cs="Arial"/>
                <w:b/>
                <w:bCs/>
                <w:sz w:val="18"/>
                <w:szCs w:val="18"/>
              </w:rPr>
              <w:t>(</w:t>
            </w:r>
            <w:r w:rsidR="001A4E36" w:rsidRPr="001A4E36">
              <w:rPr>
                <w:rFonts w:ascii="Arial" w:hAnsi="Arial" w:cs="Arial"/>
                <w:b/>
                <w:bCs/>
                <w:sz w:val="18"/>
                <w:szCs w:val="18"/>
              </w:rPr>
              <w:t>2</w:t>
            </w:r>
            <w:r w:rsidRPr="001A4E36">
              <w:rPr>
                <w:rFonts w:ascii="Arial" w:hAnsi="Arial" w:cs="Arial"/>
                <w:b/>
                <w:bCs/>
                <w:sz w:val="18"/>
                <w:szCs w:val="18"/>
              </w:rPr>
              <w:t>)</w:t>
            </w:r>
          </w:p>
        </w:tc>
        <w:tc>
          <w:tcPr>
            <w:tcW w:w="531" w:type="pct"/>
            <w:tcBorders>
              <w:top w:val="nil"/>
              <w:left w:val="nil"/>
              <w:bottom w:val="nil"/>
              <w:right w:val="nil"/>
            </w:tcBorders>
            <w:vAlign w:val="bottom"/>
          </w:tcPr>
          <w:p w14:paraId="4111B968"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(3)</w:t>
            </w:r>
          </w:p>
        </w:tc>
      </w:tr>
      <w:tr w:rsidR="009A2B00" w:rsidRPr="00232C68" w14:paraId="5987DA20" w14:textId="77777777" w:rsidTr="001606EE">
        <w:trPr>
          <w:trHeight w:val="255"/>
        </w:trPr>
        <w:tc>
          <w:tcPr>
            <w:tcW w:w="3929" w:type="pct"/>
            <w:tcBorders>
              <w:top w:val="nil"/>
              <w:left w:val="nil"/>
              <w:bottom w:val="nil"/>
              <w:right w:val="nil"/>
            </w:tcBorders>
            <w:shd w:val="clear" w:color="auto" w:fill="auto"/>
            <w:noWrap/>
            <w:vAlign w:val="bottom"/>
          </w:tcPr>
          <w:p w14:paraId="6038BC05" w14:textId="77777777" w:rsidR="009A2B00" w:rsidRPr="002A7D7A" w:rsidRDefault="009A2B00" w:rsidP="009A2B00">
            <w:pPr>
              <w:rPr>
                <w:rFonts w:ascii="Arial" w:hAnsi="Arial" w:cs="Arial"/>
                <w:sz w:val="18"/>
                <w:szCs w:val="18"/>
              </w:rPr>
            </w:pPr>
            <w:r>
              <w:rPr>
                <w:rFonts w:ascii="Arial" w:hAnsi="Arial" w:cs="Arial"/>
                <w:sz w:val="18"/>
                <w:szCs w:val="18"/>
              </w:rPr>
              <w:t>D</w:t>
            </w:r>
            <w:r w:rsidRPr="002A7D7A">
              <w:rPr>
                <w:rFonts w:ascii="Arial" w:hAnsi="Arial" w:cs="Arial"/>
                <w:sz w:val="18"/>
                <w:szCs w:val="18"/>
              </w:rPr>
              <w:t>epreciation</w:t>
            </w:r>
            <w:r>
              <w:rPr>
                <w:rFonts w:ascii="Arial" w:hAnsi="Arial" w:cs="Arial"/>
                <w:sz w:val="18"/>
                <w:szCs w:val="18"/>
              </w:rPr>
              <w:t xml:space="preserve"> and amortisation</w:t>
            </w:r>
            <w:r w:rsidRPr="002A7D7A">
              <w:rPr>
                <w:rFonts w:ascii="Arial" w:hAnsi="Arial" w:cs="Arial"/>
                <w:sz w:val="18"/>
                <w:szCs w:val="18"/>
              </w:rPr>
              <w:t xml:space="preserve"> </w:t>
            </w:r>
          </w:p>
        </w:tc>
        <w:tc>
          <w:tcPr>
            <w:tcW w:w="540" w:type="pct"/>
            <w:tcBorders>
              <w:top w:val="nil"/>
              <w:left w:val="nil"/>
              <w:bottom w:val="nil"/>
              <w:right w:val="nil"/>
            </w:tcBorders>
            <w:shd w:val="clear" w:color="auto" w:fill="auto"/>
            <w:noWrap/>
            <w:vAlign w:val="bottom"/>
          </w:tcPr>
          <w:p w14:paraId="7B91EAE6" w14:textId="4538A56A" w:rsidR="009A2B00" w:rsidRPr="001A4E36" w:rsidRDefault="009A2B00" w:rsidP="009A2B00">
            <w:pPr>
              <w:jc w:val="right"/>
              <w:rPr>
                <w:rFonts w:ascii="Arial" w:hAnsi="Arial" w:cs="Arial"/>
                <w:b/>
                <w:bCs/>
                <w:sz w:val="18"/>
                <w:szCs w:val="18"/>
              </w:rPr>
            </w:pPr>
            <w:r w:rsidRPr="001A4E36">
              <w:rPr>
                <w:rFonts w:ascii="Arial" w:hAnsi="Arial" w:cs="Arial"/>
                <w:b/>
                <w:bCs/>
                <w:sz w:val="18"/>
                <w:szCs w:val="18"/>
              </w:rPr>
              <w:t>2</w:t>
            </w:r>
            <w:r w:rsidR="001A4E36" w:rsidRPr="001A4E36">
              <w:rPr>
                <w:rFonts w:ascii="Arial" w:hAnsi="Arial" w:cs="Arial"/>
                <w:b/>
                <w:bCs/>
                <w:sz w:val="18"/>
                <w:szCs w:val="18"/>
              </w:rPr>
              <w:t>72</w:t>
            </w:r>
          </w:p>
        </w:tc>
        <w:tc>
          <w:tcPr>
            <w:tcW w:w="531" w:type="pct"/>
            <w:tcBorders>
              <w:top w:val="nil"/>
              <w:left w:val="nil"/>
              <w:bottom w:val="nil"/>
              <w:right w:val="nil"/>
            </w:tcBorders>
            <w:vAlign w:val="bottom"/>
          </w:tcPr>
          <w:p w14:paraId="27ED66A7"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254</w:t>
            </w:r>
          </w:p>
        </w:tc>
      </w:tr>
      <w:tr w:rsidR="009A2B00" w:rsidRPr="00232C68" w14:paraId="1F9F8077" w14:textId="77777777" w:rsidTr="001606EE">
        <w:trPr>
          <w:trHeight w:val="255"/>
        </w:trPr>
        <w:tc>
          <w:tcPr>
            <w:tcW w:w="3929" w:type="pct"/>
            <w:tcBorders>
              <w:top w:val="nil"/>
              <w:left w:val="nil"/>
              <w:bottom w:val="nil"/>
              <w:right w:val="nil"/>
            </w:tcBorders>
            <w:shd w:val="clear" w:color="auto" w:fill="auto"/>
            <w:noWrap/>
            <w:vAlign w:val="bottom"/>
          </w:tcPr>
          <w:p w14:paraId="4BC7E613" w14:textId="77777777" w:rsidR="009A2B00" w:rsidRPr="002A7D7A" w:rsidRDefault="009A2B00" w:rsidP="009A2B00">
            <w:pPr>
              <w:rPr>
                <w:rFonts w:ascii="Arial" w:hAnsi="Arial" w:cs="Arial"/>
                <w:sz w:val="18"/>
                <w:szCs w:val="18"/>
              </w:rPr>
            </w:pPr>
            <w:r>
              <w:rPr>
                <w:rFonts w:ascii="Arial" w:hAnsi="Arial" w:cs="Arial"/>
                <w:sz w:val="18"/>
                <w:szCs w:val="18"/>
              </w:rPr>
              <w:t>Net i</w:t>
            </w:r>
            <w:r w:rsidRPr="002A7D7A">
              <w:rPr>
                <w:rFonts w:ascii="Arial" w:hAnsi="Arial" w:cs="Arial"/>
                <w:sz w:val="18"/>
                <w:szCs w:val="18"/>
              </w:rPr>
              <w:t>mpairment losses</w:t>
            </w:r>
          </w:p>
        </w:tc>
        <w:tc>
          <w:tcPr>
            <w:tcW w:w="540" w:type="pct"/>
            <w:tcBorders>
              <w:top w:val="nil"/>
              <w:left w:val="nil"/>
              <w:bottom w:val="nil"/>
              <w:right w:val="nil"/>
            </w:tcBorders>
            <w:shd w:val="clear" w:color="auto" w:fill="auto"/>
            <w:noWrap/>
            <w:vAlign w:val="bottom"/>
          </w:tcPr>
          <w:p w14:paraId="4ED248AF" w14:textId="7C477D53" w:rsidR="009A2B00" w:rsidRPr="001A4E36" w:rsidRDefault="009A2B00" w:rsidP="009A2B00">
            <w:pPr>
              <w:jc w:val="right"/>
              <w:rPr>
                <w:rFonts w:ascii="Arial" w:hAnsi="Arial" w:cs="Arial"/>
                <w:b/>
                <w:bCs/>
                <w:sz w:val="18"/>
                <w:szCs w:val="18"/>
              </w:rPr>
            </w:pPr>
            <w:r w:rsidRPr="001A4E36">
              <w:rPr>
                <w:rFonts w:ascii="Arial" w:hAnsi="Arial" w:cs="Arial"/>
                <w:b/>
                <w:bCs/>
                <w:sz w:val="18"/>
                <w:szCs w:val="18"/>
              </w:rPr>
              <w:t>1</w:t>
            </w:r>
            <w:r w:rsidR="001A4E36" w:rsidRPr="001A4E36">
              <w:rPr>
                <w:rFonts w:ascii="Arial" w:hAnsi="Arial" w:cs="Arial"/>
                <w:b/>
                <w:bCs/>
                <w:sz w:val="18"/>
                <w:szCs w:val="18"/>
              </w:rPr>
              <w:t>60</w:t>
            </w:r>
          </w:p>
        </w:tc>
        <w:tc>
          <w:tcPr>
            <w:tcW w:w="531" w:type="pct"/>
            <w:tcBorders>
              <w:top w:val="nil"/>
              <w:left w:val="nil"/>
              <w:bottom w:val="nil"/>
              <w:right w:val="nil"/>
            </w:tcBorders>
            <w:vAlign w:val="bottom"/>
          </w:tcPr>
          <w:p w14:paraId="743B3CFC"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1</w:t>
            </w:r>
          </w:p>
        </w:tc>
      </w:tr>
      <w:tr w:rsidR="009A2B00" w:rsidRPr="00232C68" w14:paraId="378F9B60" w14:textId="77777777" w:rsidTr="001606EE">
        <w:trPr>
          <w:trHeight w:val="255"/>
        </w:trPr>
        <w:tc>
          <w:tcPr>
            <w:tcW w:w="3929" w:type="pct"/>
            <w:tcBorders>
              <w:top w:val="nil"/>
              <w:left w:val="nil"/>
              <w:bottom w:val="nil"/>
              <w:right w:val="nil"/>
            </w:tcBorders>
            <w:shd w:val="clear" w:color="auto" w:fill="auto"/>
            <w:noWrap/>
            <w:vAlign w:val="bottom"/>
          </w:tcPr>
          <w:p w14:paraId="451024E1" w14:textId="4FE75483" w:rsidR="009A2B00" w:rsidRPr="002A7D7A" w:rsidRDefault="001A4E36" w:rsidP="009A2B00">
            <w:pPr>
              <w:rPr>
                <w:rFonts w:ascii="Arial" w:hAnsi="Arial" w:cs="Arial"/>
                <w:sz w:val="12"/>
                <w:szCs w:val="12"/>
              </w:rPr>
            </w:pPr>
            <w:r>
              <w:rPr>
                <w:rFonts w:ascii="Arial" w:hAnsi="Arial" w:cs="Arial"/>
                <w:sz w:val="18"/>
                <w:szCs w:val="18"/>
              </w:rPr>
              <w:t>(Profit)/lo</w:t>
            </w:r>
            <w:r w:rsidR="009A2B00" w:rsidRPr="00E113AB">
              <w:rPr>
                <w:rFonts w:ascii="Arial" w:hAnsi="Arial" w:cs="Arial"/>
                <w:sz w:val="18"/>
                <w:szCs w:val="18"/>
              </w:rPr>
              <w:t>ss on</w:t>
            </w:r>
            <w:r w:rsidR="009A2B00" w:rsidRPr="002A7D7A">
              <w:rPr>
                <w:rFonts w:ascii="Arial" w:hAnsi="Arial" w:cs="Arial"/>
                <w:sz w:val="18"/>
                <w:szCs w:val="18"/>
              </w:rPr>
              <w:t xml:space="preserve"> disposal of property, plant and equipment</w:t>
            </w:r>
            <w:r w:rsidR="009A2B00">
              <w:rPr>
                <w:rFonts w:ascii="Arial" w:hAnsi="Arial" w:cs="Arial"/>
                <w:sz w:val="18"/>
                <w:szCs w:val="18"/>
              </w:rPr>
              <w:t xml:space="preserve"> and investment property</w:t>
            </w:r>
          </w:p>
        </w:tc>
        <w:tc>
          <w:tcPr>
            <w:tcW w:w="540" w:type="pct"/>
            <w:tcBorders>
              <w:top w:val="nil"/>
              <w:left w:val="nil"/>
              <w:bottom w:val="nil"/>
              <w:right w:val="nil"/>
            </w:tcBorders>
            <w:shd w:val="clear" w:color="auto" w:fill="auto"/>
            <w:noWrap/>
            <w:vAlign w:val="bottom"/>
          </w:tcPr>
          <w:p w14:paraId="1763A8CD" w14:textId="3306C866" w:rsidR="009A2B00" w:rsidRPr="001A4E36" w:rsidRDefault="001A4E36" w:rsidP="009A2B00">
            <w:pPr>
              <w:jc w:val="right"/>
              <w:rPr>
                <w:rFonts w:ascii="Arial" w:hAnsi="Arial" w:cs="Arial"/>
                <w:b/>
                <w:bCs/>
                <w:sz w:val="18"/>
                <w:szCs w:val="18"/>
              </w:rPr>
            </w:pPr>
            <w:r w:rsidRPr="001A4E36">
              <w:rPr>
                <w:rFonts w:ascii="Arial" w:hAnsi="Arial" w:cs="Arial"/>
                <w:b/>
                <w:bCs/>
                <w:sz w:val="18"/>
                <w:szCs w:val="18"/>
              </w:rPr>
              <w:t>(25)</w:t>
            </w:r>
          </w:p>
        </w:tc>
        <w:tc>
          <w:tcPr>
            <w:tcW w:w="531" w:type="pct"/>
            <w:tcBorders>
              <w:top w:val="nil"/>
              <w:left w:val="nil"/>
              <w:bottom w:val="nil"/>
              <w:right w:val="nil"/>
            </w:tcBorders>
            <w:vAlign w:val="bottom"/>
          </w:tcPr>
          <w:p w14:paraId="654F8AE0"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2</w:t>
            </w:r>
          </w:p>
        </w:tc>
      </w:tr>
      <w:tr w:rsidR="009A2B00" w:rsidRPr="00232C68" w14:paraId="3C2DA3CE" w14:textId="77777777" w:rsidTr="001606EE">
        <w:trPr>
          <w:trHeight w:val="255"/>
        </w:trPr>
        <w:tc>
          <w:tcPr>
            <w:tcW w:w="3929" w:type="pct"/>
            <w:tcBorders>
              <w:top w:val="nil"/>
              <w:left w:val="nil"/>
              <w:right w:val="nil"/>
            </w:tcBorders>
            <w:shd w:val="clear" w:color="auto" w:fill="auto"/>
            <w:noWrap/>
            <w:vAlign w:val="bottom"/>
          </w:tcPr>
          <w:p w14:paraId="1ED77A3E" w14:textId="77777777" w:rsidR="009A2B00" w:rsidRPr="002A7D7A" w:rsidRDefault="009A2B00" w:rsidP="009A2B00">
            <w:pPr>
              <w:rPr>
                <w:rFonts w:ascii="Arial" w:hAnsi="Arial" w:cs="Arial"/>
                <w:sz w:val="18"/>
                <w:szCs w:val="18"/>
              </w:rPr>
            </w:pPr>
            <w:r>
              <w:rPr>
                <w:rFonts w:ascii="Arial" w:hAnsi="Arial" w:cs="Arial"/>
                <w:sz w:val="18"/>
                <w:szCs w:val="18"/>
              </w:rPr>
              <w:t>Share-based compensation charge</w:t>
            </w:r>
          </w:p>
        </w:tc>
        <w:tc>
          <w:tcPr>
            <w:tcW w:w="540" w:type="pct"/>
            <w:tcBorders>
              <w:top w:val="nil"/>
              <w:left w:val="nil"/>
              <w:right w:val="nil"/>
            </w:tcBorders>
            <w:shd w:val="clear" w:color="auto" w:fill="auto"/>
            <w:noWrap/>
            <w:vAlign w:val="bottom"/>
          </w:tcPr>
          <w:p w14:paraId="4B795FCF" w14:textId="29CF89FB" w:rsidR="009A2B00" w:rsidRPr="001A4E36" w:rsidRDefault="001A4E36" w:rsidP="009A2B00">
            <w:pPr>
              <w:jc w:val="right"/>
              <w:rPr>
                <w:rFonts w:ascii="Arial" w:hAnsi="Arial" w:cs="Arial"/>
                <w:b/>
                <w:bCs/>
                <w:sz w:val="18"/>
                <w:szCs w:val="18"/>
              </w:rPr>
            </w:pPr>
            <w:r w:rsidRPr="001A4E36">
              <w:rPr>
                <w:rFonts w:ascii="Arial" w:hAnsi="Arial" w:cs="Arial"/>
                <w:b/>
                <w:bCs/>
                <w:sz w:val="18"/>
                <w:szCs w:val="18"/>
              </w:rPr>
              <w:t>15</w:t>
            </w:r>
          </w:p>
        </w:tc>
        <w:tc>
          <w:tcPr>
            <w:tcW w:w="531" w:type="pct"/>
            <w:tcBorders>
              <w:top w:val="nil"/>
              <w:left w:val="nil"/>
              <w:right w:val="nil"/>
            </w:tcBorders>
            <w:vAlign w:val="bottom"/>
          </w:tcPr>
          <w:p w14:paraId="0A5D6663"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8</w:t>
            </w:r>
          </w:p>
        </w:tc>
      </w:tr>
      <w:tr w:rsidR="009A2B00" w:rsidRPr="00232C68" w14:paraId="1DC638D7" w14:textId="77777777" w:rsidTr="001606EE">
        <w:trPr>
          <w:trHeight w:val="255"/>
        </w:trPr>
        <w:tc>
          <w:tcPr>
            <w:tcW w:w="3929" w:type="pct"/>
            <w:tcBorders>
              <w:top w:val="nil"/>
              <w:left w:val="nil"/>
              <w:right w:val="nil"/>
            </w:tcBorders>
            <w:shd w:val="clear" w:color="auto" w:fill="auto"/>
            <w:noWrap/>
            <w:vAlign w:val="bottom"/>
          </w:tcPr>
          <w:p w14:paraId="3DF1E662" w14:textId="54E79A66" w:rsidR="009A2B00" w:rsidRPr="002A7D7A" w:rsidRDefault="001A4E36" w:rsidP="009A2B00">
            <w:pPr>
              <w:rPr>
                <w:rFonts w:ascii="Arial" w:hAnsi="Arial" w:cs="Arial"/>
                <w:sz w:val="18"/>
                <w:szCs w:val="18"/>
              </w:rPr>
            </w:pPr>
            <w:r>
              <w:rPr>
                <w:rFonts w:ascii="Arial" w:hAnsi="Arial" w:cs="Arial"/>
                <w:sz w:val="18"/>
                <w:szCs w:val="18"/>
              </w:rPr>
              <w:t>Decrease/(i</w:t>
            </w:r>
            <w:r w:rsidR="009A2B00">
              <w:rPr>
                <w:rFonts w:ascii="Arial" w:hAnsi="Arial" w:cs="Arial"/>
                <w:sz w:val="18"/>
                <w:szCs w:val="18"/>
              </w:rPr>
              <w:t>ncrease</w:t>
            </w:r>
            <w:r>
              <w:rPr>
                <w:rFonts w:ascii="Arial" w:hAnsi="Arial" w:cs="Arial"/>
                <w:sz w:val="18"/>
                <w:szCs w:val="18"/>
              </w:rPr>
              <w:t>)</w:t>
            </w:r>
            <w:r w:rsidR="009A2B00" w:rsidRPr="007B7091">
              <w:rPr>
                <w:rFonts w:ascii="Arial" w:hAnsi="Arial" w:cs="Arial"/>
                <w:sz w:val="18"/>
                <w:szCs w:val="18"/>
              </w:rPr>
              <w:t xml:space="preserve"> in inventories</w:t>
            </w:r>
          </w:p>
        </w:tc>
        <w:tc>
          <w:tcPr>
            <w:tcW w:w="540" w:type="pct"/>
            <w:tcBorders>
              <w:top w:val="nil"/>
              <w:left w:val="nil"/>
              <w:right w:val="nil"/>
            </w:tcBorders>
            <w:shd w:val="clear" w:color="auto" w:fill="auto"/>
            <w:noWrap/>
            <w:vAlign w:val="bottom"/>
          </w:tcPr>
          <w:p w14:paraId="0420218F" w14:textId="511C72C9" w:rsidR="009A2B00" w:rsidRPr="001A4E36" w:rsidRDefault="00FC4A8D" w:rsidP="009A2B00">
            <w:pPr>
              <w:jc w:val="right"/>
              <w:rPr>
                <w:rFonts w:ascii="Arial" w:hAnsi="Arial" w:cs="Arial"/>
                <w:b/>
                <w:bCs/>
                <w:sz w:val="18"/>
                <w:szCs w:val="18"/>
              </w:rPr>
            </w:pPr>
            <w:r>
              <w:rPr>
                <w:rFonts w:ascii="Arial" w:hAnsi="Arial" w:cs="Arial"/>
                <w:b/>
                <w:bCs/>
                <w:sz w:val="18"/>
                <w:szCs w:val="18"/>
              </w:rPr>
              <w:t>95</w:t>
            </w:r>
          </w:p>
        </w:tc>
        <w:tc>
          <w:tcPr>
            <w:tcW w:w="531" w:type="pct"/>
            <w:tcBorders>
              <w:top w:val="nil"/>
              <w:left w:val="nil"/>
              <w:right w:val="nil"/>
            </w:tcBorders>
            <w:vAlign w:val="bottom"/>
          </w:tcPr>
          <w:p w14:paraId="5FB42A43"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(473)</w:t>
            </w:r>
          </w:p>
        </w:tc>
      </w:tr>
      <w:tr w:rsidR="009A2B00" w:rsidRPr="00232C68" w14:paraId="47A77722" w14:textId="77777777" w:rsidTr="001606EE">
        <w:trPr>
          <w:trHeight w:val="255"/>
        </w:trPr>
        <w:tc>
          <w:tcPr>
            <w:tcW w:w="3929" w:type="pct"/>
            <w:tcBorders>
              <w:bottom w:val="nil"/>
              <w:right w:val="nil"/>
            </w:tcBorders>
            <w:shd w:val="clear" w:color="auto" w:fill="auto"/>
            <w:noWrap/>
            <w:vAlign w:val="bottom"/>
          </w:tcPr>
          <w:p w14:paraId="587F442E" w14:textId="77777777" w:rsidR="009A2B00" w:rsidRPr="002A7D7A" w:rsidRDefault="009A2B00" w:rsidP="009A2B00">
            <w:pPr>
              <w:rPr>
                <w:rFonts w:ascii="Arial" w:hAnsi="Arial" w:cs="Arial"/>
                <w:sz w:val="18"/>
                <w:szCs w:val="18"/>
              </w:rPr>
            </w:pPr>
            <w:r>
              <w:rPr>
                <w:rFonts w:ascii="Arial" w:hAnsi="Arial" w:cs="Arial"/>
                <w:sz w:val="18"/>
                <w:szCs w:val="18"/>
              </w:rPr>
              <w:t>D</w:t>
            </w:r>
            <w:r w:rsidRPr="007B7091">
              <w:rPr>
                <w:rFonts w:ascii="Arial" w:hAnsi="Arial" w:cs="Arial"/>
                <w:sz w:val="18"/>
                <w:szCs w:val="18"/>
              </w:rPr>
              <w:t>ecrease in trade and other receivables</w:t>
            </w:r>
          </w:p>
        </w:tc>
        <w:tc>
          <w:tcPr>
            <w:tcW w:w="540" w:type="pct"/>
            <w:tcBorders>
              <w:left w:val="nil"/>
              <w:bottom w:val="nil"/>
              <w:right w:val="nil"/>
            </w:tcBorders>
            <w:shd w:val="clear" w:color="auto" w:fill="auto"/>
            <w:noWrap/>
            <w:vAlign w:val="bottom"/>
          </w:tcPr>
          <w:p w14:paraId="25677BC5" w14:textId="4D8EE0D4" w:rsidR="009A2B00" w:rsidRPr="001A4E36" w:rsidRDefault="001A4E36" w:rsidP="009A2B00">
            <w:pPr>
              <w:jc w:val="right"/>
              <w:rPr>
                <w:rFonts w:ascii="Arial" w:hAnsi="Arial" w:cs="Arial"/>
                <w:b/>
                <w:bCs/>
                <w:sz w:val="18"/>
                <w:szCs w:val="18"/>
              </w:rPr>
            </w:pPr>
            <w:r w:rsidRPr="001A4E36">
              <w:rPr>
                <w:rFonts w:ascii="Arial" w:hAnsi="Arial" w:cs="Arial"/>
                <w:b/>
                <w:bCs/>
                <w:sz w:val="18"/>
                <w:szCs w:val="18"/>
              </w:rPr>
              <w:t>14</w:t>
            </w:r>
            <w:r w:rsidR="00006220">
              <w:rPr>
                <w:rFonts w:ascii="Arial" w:hAnsi="Arial" w:cs="Arial"/>
                <w:b/>
                <w:bCs/>
                <w:sz w:val="18"/>
                <w:szCs w:val="18"/>
              </w:rPr>
              <w:t>4</w:t>
            </w:r>
          </w:p>
        </w:tc>
        <w:tc>
          <w:tcPr>
            <w:tcW w:w="531" w:type="pct"/>
            <w:tcBorders>
              <w:left w:val="nil"/>
              <w:bottom w:val="nil"/>
              <w:right w:val="nil"/>
            </w:tcBorders>
            <w:vAlign w:val="bottom"/>
          </w:tcPr>
          <w:p w14:paraId="0E03ECFE"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12</w:t>
            </w:r>
          </w:p>
        </w:tc>
      </w:tr>
      <w:tr w:rsidR="009A2B00" w:rsidRPr="00232C68" w14:paraId="623EDAC1" w14:textId="77777777" w:rsidTr="001606EE">
        <w:trPr>
          <w:trHeight w:val="255"/>
        </w:trPr>
        <w:tc>
          <w:tcPr>
            <w:tcW w:w="3929" w:type="pct"/>
            <w:tcBorders>
              <w:top w:val="nil"/>
              <w:bottom w:val="nil"/>
              <w:right w:val="nil"/>
            </w:tcBorders>
            <w:shd w:val="clear" w:color="auto" w:fill="auto"/>
            <w:noWrap/>
            <w:vAlign w:val="bottom"/>
          </w:tcPr>
          <w:p w14:paraId="7E92294A" w14:textId="65D57C7C" w:rsidR="009A2B00" w:rsidRPr="002A7D7A" w:rsidRDefault="001A4E36" w:rsidP="009A2B00">
            <w:pPr>
              <w:rPr>
                <w:rFonts w:ascii="Arial" w:hAnsi="Arial" w:cs="Arial"/>
                <w:sz w:val="18"/>
                <w:szCs w:val="18"/>
              </w:rPr>
            </w:pPr>
            <w:r>
              <w:rPr>
                <w:rFonts w:ascii="Arial" w:hAnsi="Arial" w:cs="Arial"/>
                <w:sz w:val="18"/>
                <w:szCs w:val="18"/>
              </w:rPr>
              <w:t>(Decrease)/i</w:t>
            </w:r>
            <w:r w:rsidR="009A2B00">
              <w:rPr>
                <w:rFonts w:ascii="Arial" w:hAnsi="Arial" w:cs="Arial"/>
                <w:sz w:val="18"/>
                <w:szCs w:val="18"/>
              </w:rPr>
              <w:t>ncrease</w:t>
            </w:r>
            <w:r w:rsidR="009A2B00" w:rsidRPr="002A7D7A">
              <w:rPr>
                <w:rFonts w:ascii="Arial" w:hAnsi="Arial" w:cs="Arial"/>
                <w:sz w:val="18"/>
                <w:szCs w:val="18"/>
              </w:rPr>
              <w:t xml:space="preserve"> in trade and other payables</w:t>
            </w:r>
          </w:p>
        </w:tc>
        <w:tc>
          <w:tcPr>
            <w:tcW w:w="540" w:type="pct"/>
            <w:tcBorders>
              <w:top w:val="nil"/>
              <w:left w:val="nil"/>
              <w:bottom w:val="nil"/>
              <w:right w:val="nil"/>
            </w:tcBorders>
            <w:shd w:val="clear" w:color="auto" w:fill="auto"/>
            <w:noWrap/>
            <w:vAlign w:val="bottom"/>
          </w:tcPr>
          <w:p w14:paraId="48470933" w14:textId="4B6C58D1" w:rsidR="009A2B00" w:rsidRPr="001A4E36" w:rsidRDefault="001A4E36" w:rsidP="009A2B00">
            <w:pPr>
              <w:jc w:val="right"/>
              <w:rPr>
                <w:rFonts w:ascii="Arial" w:hAnsi="Arial" w:cs="Arial"/>
                <w:b/>
                <w:bCs/>
                <w:sz w:val="18"/>
                <w:szCs w:val="18"/>
              </w:rPr>
            </w:pPr>
            <w:r w:rsidRPr="001A4E36">
              <w:rPr>
                <w:rFonts w:ascii="Arial" w:hAnsi="Arial" w:cs="Arial"/>
                <w:b/>
                <w:bCs/>
                <w:sz w:val="18"/>
                <w:szCs w:val="18"/>
              </w:rPr>
              <w:t>(2</w:t>
            </w:r>
            <w:r w:rsidR="00FC4A8D">
              <w:rPr>
                <w:rFonts w:ascii="Arial" w:hAnsi="Arial" w:cs="Arial"/>
                <w:b/>
                <w:bCs/>
                <w:sz w:val="18"/>
                <w:szCs w:val="18"/>
              </w:rPr>
              <w:t>03</w:t>
            </w:r>
            <w:r w:rsidRPr="001A4E36">
              <w:rPr>
                <w:rFonts w:ascii="Arial" w:hAnsi="Arial" w:cs="Arial"/>
                <w:b/>
                <w:bCs/>
                <w:sz w:val="18"/>
                <w:szCs w:val="18"/>
              </w:rPr>
              <w:t>)</w:t>
            </w:r>
          </w:p>
        </w:tc>
        <w:tc>
          <w:tcPr>
            <w:tcW w:w="531" w:type="pct"/>
            <w:tcBorders>
              <w:top w:val="nil"/>
              <w:left w:val="nil"/>
              <w:bottom w:val="nil"/>
              <w:right w:val="nil"/>
            </w:tcBorders>
            <w:vAlign w:val="bottom"/>
          </w:tcPr>
          <w:p w14:paraId="6838B32E"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87</w:t>
            </w:r>
          </w:p>
        </w:tc>
      </w:tr>
      <w:tr w:rsidR="009A2B00" w:rsidRPr="00232C68" w14:paraId="1AFD673D" w14:textId="77777777" w:rsidTr="001606EE">
        <w:trPr>
          <w:trHeight w:val="255"/>
        </w:trPr>
        <w:tc>
          <w:tcPr>
            <w:tcW w:w="3929" w:type="pct"/>
            <w:tcBorders>
              <w:left w:val="nil"/>
              <w:right w:val="nil"/>
            </w:tcBorders>
            <w:shd w:val="clear" w:color="auto" w:fill="auto"/>
            <w:noWrap/>
            <w:vAlign w:val="bottom"/>
          </w:tcPr>
          <w:p w14:paraId="205AFF4C" w14:textId="77777777" w:rsidR="009A2B00" w:rsidRDefault="009A2B00" w:rsidP="009A2B00">
            <w:pPr>
              <w:rPr>
                <w:rFonts w:ascii="Arial" w:hAnsi="Arial" w:cs="Arial"/>
                <w:sz w:val="18"/>
                <w:szCs w:val="18"/>
              </w:rPr>
            </w:pPr>
            <w:r>
              <w:rPr>
                <w:rFonts w:ascii="Arial" w:hAnsi="Arial" w:cs="Arial"/>
                <w:bCs/>
                <w:sz w:val="18"/>
                <w:szCs w:val="18"/>
              </w:rPr>
              <w:t>Movement</w:t>
            </w:r>
            <w:r w:rsidRPr="002A7D7A">
              <w:rPr>
                <w:rFonts w:ascii="Arial" w:hAnsi="Arial" w:cs="Arial"/>
                <w:bCs/>
                <w:sz w:val="18"/>
                <w:szCs w:val="18"/>
              </w:rPr>
              <w:t xml:space="preserve"> in provisions</w:t>
            </w:r>
          </w:p>
        </w:tc>
        <w:tc>
          <w:tcPr>
            <w:tcW w:w="540" w:type="pct"/>
            <w:tcBorders>
              <w:left w:val="nil"/>
              <w:right w:val="nil"/>
            </w:tcBorders>
            <w:shd w:val="clear" w:color="auto" w:fill="auto"/>
            <w:noWrap/>
            <w:vAlign w:val="bottom"/>
          </w:tcPr>
          <w:p w14:paraId="5E00D0A3" w14:textId="169834ED" w:rsidR="009A2B00" w:rsidRPr="001A4E36" w:rsidRDefault="00FC4A8D" w:rsidP="009A2B00">
            <w:pPr>
              <w:jc w:val="right"/>
              <w:rPr>
                <w:rFonts w:ascii="Arial" w:hAnsi="Arial" w:cs="Arial"/>
                <w:b/>
                <w:bCs/>
                <w:sz w:val="18"/>
                <w:szCs w:val="18"/>
              </w:rPr>
            </w:pPr>
            <w:r>
              <w:rPr>
                <w:rFonts w:ascii="Arial" w:hAnsi="Arial" w:cs="Arial"/>
                <w:b/>
                <w:bCs/>
                <w:sz w:val="18"/>
                <w:szCs w:val="18"/>
              </w:rPr>
              <w:t>19</w:t>
            </w:r>
          </w:p>
        </w:tc>
        <w:tc>
          <w:tcPr>
            <w:tcW w:w="531" w:type="pct"/>
            <w:tcBorders>
              <w:left w:val="nil"/>
              <w:right w:val="nil"/>
            </w:tcBorders>
            <w:vAlign w:val="bottom"/>
          </w:tcPr>
          <w:p w14:paraId="6050E8BC"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(75)</w:t>
            </w:r>
          </w:p>
        </w:tc>
      </w:tr>
      <w:tr w:rsidR="009A2B00" w:rsidRPr="00232C68" w14:paraId="5DEB02E2" w14:textId="77777777" w:rsidTr="001606EE">
        <w:trPr>
          <w:trHeight w:val="255"/>
        </w:trPr>
        <w:tc>
          <w:tcPr>
            <w:tcW w:w="3929" w:type="pct"/>
            <w:tcBorders>
              <w:top w:val="nil"/>
              <w:left w:val="nil"/>
              <w:bottom w:val="single" w:sz="4" w:space="0" w:color="auto"/>
              <w:right w:val="nil"/>
            </w:tcBorders>
            <w:shd w:val="clear" w:color="auto" w:fill="auto"/>
            <w:noWrap/>
            <w:vAlign w:val="bottom"/>
          </w:tcPr>
          <w:p w14:paraId="066E5B11" w14:textId="77777777" w:rsidR="009A2B00" w:rsidRPr="002A7D7A" w:rsidRDefault="009A2B00" w:rsidP="009A2B00">
            <w:pPr>
              <w:rPr>
                <w:rFonts w:ascii="Arial" w:hAnsi="Arial" w:cs="Arial"/>
                <w:sz w:val="18"/>
                <w:szCs w:val="18"/>
              </w:rPr>
            </w:pPr>
            <w:r>
              <w:rPr>
                <w:rFonts w:ascii="Arial" w:hAnsi="Arial" w:cs="Arial"/>
                <w:sz w:val="18"/>
                <w:szCs w:val="18"/>
              </w:rPr>
              <w:t>Movement</w:t>
            </w:r>
            <w:r w:rsidRPr="002A7D7A">
              <w:rPr>
                <w:rFonts w:ascii="Arial" w:hAnsi="Arial" w:cs="Arial"/>
                <w:sz w:val="18"/>
                <w:szCs w:val="18"/>
              </w:rPr>
              <w:t xml:space="preserve"> in post</w:t>
            </w:r>
            <w:r>
              <w:rPr>
                <w:rFonts w:ascii="Arial" w:hAnsi="Arial" w:cs="Arial"/>
                <w:sz w:val="18"/>
                <w:szCs w:val="18"/>
              </w:rPr>
              <w:t>-</w:t>
            </w:r>
            <w:r w:rsidRPr="002A7D7A">
              <w:rPr>
                <w:rFonts w:ascii="Arial" w:hAnsi="Arial" w:cs="Arial"/>
                <w:sz w:val="18"/>
                <w:szCs w:val="18"/>
              </w:rPr>
              <w:t>employment benefits</w:t>
            </w:r>
          </w:p>
        </w:tc>
        <w:tc>
          <w:tcPr>
            <w:tcW w:w="540" w:type="pct"/>
            <w:tcBorders>
              <w:top w:val="nil"/>
              <w:left w:val="nil"/>
              <w:bottom w:val="single" w:sz="4" w:space="0" w:color="auto"/>
              <w:right w:val="nil"/>
            </w:tcBorders>
            <w:shd w:val="clear" w:color="auto" w:fill="auto"/>
            <w:noWrap/>
            <w:vAlign w:val="bottom"/>
          </w:tcPr>
          <w:p w14:paraId="52A84EBA" w14:textId="77777777" w:rsidR="009A2B00" w:rsidRPr="001A4E36" w:rsidRDefault="009A2B00" w:rsidP="009A2B00">
            <w:pPr>
              <w:jc w:val="right"/>
              <w:rPr>
                <w:rFonts w:ascii="Arial" w:hAnsi="Arial" w:cs="Arial"/>
                <w:b/>
                <w:bCs/>
                <w:sz w:val="18"/>
                <w:szCs w:val="18"/>
              </w:rPr>
            </w:pPr>
            <w:r w:rsidRPr="001A4E36">
              <w:rPr>
                <w:rFonts w:ascii="Arial" w:hAnsi="Arial" w:cs="Arial"/>
                <w:b/>
                <w:bCs/>
                <w:sz w:val="18"/>
                <w:szCs w:val="18"/>
              </w:rPr>
              <w:t>(23)</w:t>
            </w:r>
          </w:p>
        </w:tc>
        <w:tc>
          <w:tcPr>
            <w:tcW w:w="531" w:type="pct"/>
            <w:tcBorders>
              <w:top w:val="nil"/>
              <w:left w:val="nil"/>
              <w:bottom w:val="single" w:sz="4" w:space="0" w:color="auto"/>
              <w:right w:val="nil"/>
            </w:tcBorders>
            <w:vAlign w:val="bottom"/>
          </w:tcPr>
          <w:p w14:paraId="1DE10E36"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(23)</w:t>
            </w:r>
          </w:p>
        </w:tc>
      </w:tr>
      <w:tr w:rsidR="009A2B00" w:rsidRPr="00232C68" w14:paraId="6A0226B5" w14:textId="77777777" w:rsidTr="001606EE">
        <w:trPr>
          <w:trHeight w:val="255"/>
        </w:trPr>
        <w:tc>
          <w:tcPr>
            <w:tcW w:w="3929" w:type="pct"/>
            <w:tcBorders>
              <w:top w:val="single" w:sz="4" w:space="0" w:color="auto"/>
              <w:left w:val="nil"/>
              <w:bottom w:val="single" w:sz="12" w:space="0" w:color="auto"/>
              <w:right w:val="nil"/>
            </w:tcBorders>
            <w:shd w:val="clear" w:color="auto" w:fill="auto"/>
            <w:noWrap/>
            <w:vAlign w:val="bottom"/>
          </w:tcPr>
          <w:p w14:paraId="1BDA8D11" w14:textId="77777777" w:rsidR="009A2B00" w:rsidRPr="002A7D7A" w:rsidRDefault="009A2B00" w:rsidP="009A2B00">
            <w:pPr>
              <w:rPr>
                <w:rFonts w:ascii="Arial" w:hAnsi="Arial" w:cs="Arial"/>
                <w:sz w:val="18"/>
                <w:szCs w:val="18"/>
              </w:rPr>
            </w:pPr>
            <w:r w:rsidRPr="002A7D7A">
              <w:rPr>
                <w:rFonts w:ascii="Arial" w:hAnsi="Arial" w:cs="Arial"/>
                <w:b/>
                <w:bCs/>
                <w:sz w:val="18"/>
                <w:szCs w:val="18"/>
              </w:rPr>
              <w:t>Cash generated by operations</w:t>
            </w:r>
          </w:p>
        </w:tc>
        <w:tc>
          <w:tcPr>
            <w:tcW w:w="540" w:type="pct"/>
            <w:tcBorders>
              <w:top w:val="single" w:sz="4" w:space="0" w:color="auto"/>
              <w:left w:val="nil"/>
              <w:bottom w:val="single" w:sz="12" w:space="0" w:color="auto"/>
              <w:right w:val="nil"/>
            </w:tcBorders>
            <w:shd w:val="clear" w:color="auto" w:fill="auto"/>
            <w:noWrap/>
            <w:vAlign w:val="bottom"/>
          </w:tcPr>
          <w:p w14:paraId="2A628D69" w14:textId="1DD1A1CA" w:rsidR="009A2B00" w:rsidRPr="001A4E36" w:rsidRDefault="001A4E36" w:rsidP="009A2B00">
            <w:pPr>
              <w:jc w:val="right"/>
              <w:rPr>
                <w:rFonts w:ascii="Arial" w:hAnsi="Arial" w:cs="Arial"/>
                <w:b/>
                <w:bCs/>
                <w:sz w:val="18"/>
                <w:szCs w:val="18"/>
              </w:rPr>
            </w:pPr>
            <w:r w:rsidRPr="001A4E36">
              <w:rPr>
                <w:rFonts w:ascii="Arial" w:hAnsi="Arial" w:cs="Arial"/>
                <w:b/>
                <w:bCs/>
                <w:sz w:val="18"/>
                <w:szCs w:val="18"/>
              </w:rPr>
              <w:t>78</w:t>
            </w:r>
            <w:r w:rsidR="00006220">
              <w:rPr>
                <w:rFonts w:ascii="Arial" w:hAnsi="Arial" w:cs="Arial"/>
                <w:b/>
                <w:bCs/>
                <w:sz w:val="18"/>
                <w:szCs w:val="18"/>
              </w:rPr>
              <w:t>1</w:t>
            </w:r>
          </w:p>
        </w:tc>
        <w:tc>
          <w:tcPr>
            <w:tcW w:w="531" w:type="pct"/>
            <w:tcBorders>
              <w:top w:val="single" w:sz="4" w:space="0" w:color="auto"/>
              <w:left w:val="nil"/>
              <w:bottom w:val="single" w:sz="12" w:space="0" w:color="auto"/>
              <w:right w:val="nil"/>
            </w:tcBorders>
            <w:vAlign w:val="bottom"/>
          </w:tcPr>
          <w:p w14:paraId="21D7AC85"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475</w:t>
            </w:r>
          </w:p>
        </w:tc>
      </w:tr>
    </w:tbl>
    <w:p w14:paraId="6F93D707" w14:textId="77777777" w:rsidR="00D5655F" w:rsidRPr="00EF1091" w:rsidRDefault="00D5655F">
      <w:pPr>
        <w:rPr>
          <w:rFonts w:ascii="Arial" w:hAnsi="Arial" w:cs="Arial"/>
          <w:sz w:val="18"/>
          <w:szCs w:val="18"/>
        </w:rPr>
      </w:pPr>
    </w:p>
    <w:p w14:paraId="15AD0941" w14:textId="77777777" w:rsidR="001E2491" w:rsidRDefault="001E2491" w:rsidP="00DE26A3">
      <w:pPr>
        <w:ind w:left="-567"/>
        <w:rPr>
          <w:rFonts w:ascii="Arial" w:hAnsi="Arial" w:cs="Arial"/>
          <w:b/>
          <w:sz w:val="18"/>
          <w:szCs w:val="18"/>
        </w:rPr>
      </w:pPr>
    </w:p>
    <w:p w14:paraId="2A48B0B2" w14:textId="77777777" w:rsidR="00387314" w:rsidRDefault="000D44B7" w:rsidP="00DE26A3">
      <w:pPr>
        <w:ind w:left="-567"/>
        <w:rPr>
          <w:rFonts w:ascii="Arial" w:hAnsi="Arial" w:cs="Arial"/>
          <w:sz w:val="18"/>
          <w:szCs w:val="18"/>
        </w:rPr>
      </w:pPr>
      <w:r>
        <w:rPr>
          <w:rFonts w:ascii="Arial" w:hAnsi="Arial" w:cs="Arial"/>
          <w:b/>
          <w:sz w:val="18"/>
          <w:szCs w:val="18"/>
        </w:rPr>
        <w:t>11</w:t>
      </w:r>
      <w:r w:rsidR="004B3A37">
        <w:rPr>
          <w:rFonts w:ascii="Arial" w:hAnsi="Arial" w:cs="Arial"/>
          <w:b/>
          <w:sz w:val="18"/>
          <w:szCs w:val="18"/>
        </w:rPr>
        <w:tab/>
        <w:t xml:space="preserve">Net </w:t>
      </w:r>
      <w:r w:rsidR="00833664">
        <w:rPr>
          <w:rFonts w:ascii="Arial" w:hAnsi="Arial" w:cs="Arial"/>
          <w:b/>
          <w:sz w:val="18"/>
          <w:szCs w:val="18"/>
        </w:rPr>
        <w:t>cash</w:t>
      </w:r>
    </w:p>
    <w:p w14:paraId="41AF6B57" w14:textId="77777777" w:rsidR="00307C86" w:rsidRDefault="00307C86">
      <w:pPr>
        <w:rPr>
          <w:rFonts w:ascii="Arial" w:hAnsi="Arial" w:cs="Arial"/>
          <w:sz w:val="18"/>
          <w:szCs w:val="18"/>
        </w:rPr>
      </w:pPr>
    </w:p>
    <w:tbl>
      <w:tblPr>
        <w:tblW w:w="5000" w:type="pct"/>
        <w:tblLayout w:type="fixed"/>
        <w:tblLook w:val="0000" w:firstRow="0" w:lastRow="0" w:firstColumn="0" w:lastColumn="0" w:noHBand="0" w:noVBand="0"/>
      </w:tblPr>
      <w:tblGrid>
        <w:gridCol w:w="7496"/>
        <w:gridCol w:w="692"/>
        <w:gridCol w:w="418"/>
        <w:gridCol w:w="1033"/>
      </w:tblGrid>
      <w:tr w:rsidR="00CF1FC2" w14:paraId="2644B20A" w14:textId="77777777" w:rsidTr="001606EE">
        <w:trPr>
          <w:trHeight w:val="255"/>
        </w:trPr>
        <w:tc>
          <w:tcPr>
            <w:tcW w:w="3888" w:type="pct"/>
            <w:tcBorders>
              <w:top w:val="nil"/>
              <w:left w:val="nil"/>
              <w:bottom w:val="single" w:sz="4" w:space="0" w:color="auto"/>
              <w:right w:val="nil"/>
            </w:tcBorders>
            <w:shd w:val="clear" w:color="auto" w:fill="auto"/>
            <w:noWrap/>
            <w:vAlign w:val="bottom"/>
          </w:tcPr>
          <w:p w14:paraId="01B5B7CF" w14:textId="77777777" w:rsidR="00CF1FC2" w:rsidRPr="00232C68" w:rsidRDefault="00CF1FC2" w:rsidP="00CF1FC2">
            <w:pPr>
              <w:rPr>
                <w:rFonts w:ascii="Arial" w:hAnsi="Arial" w:cs="Arial"/>
                <w:sz w:val="18"/>
                <w:szCs w:val="18"/>
              </w:rPr>
            </w:pPr>
            <w:r w:rsidRPr="00232C68">
              <w:rPr>
                <w:rFonts w:ascii="Arial" w:hAnsi="Arial" w:cs="Arial"/>
                <w:sz w:val="18"/>
                <w:szCs w:val="18"/>
              </w:rPr>
              <w:t>£ millions</w:t>
            </w:r>
          </w:p>
        </w:tc>
        <w:tc>
          <w:tcPr>
            <w:tcW w:w="576" w:type="pct"/>
            <w:gridSpan w:val="2"/>
            <w:tcBorders>
              <w:top w:val="nil"/>
              <w:left w:val="nil"/>
              <w:bottom w:val="single" w:sz="4" w:space="0" w:color="auto"/>
              <w:right w:val="nil"/>
            </w:tcBorders>
            <w:shd w:val="clear" w:color="auto" w:fill="auto"/>
            <w:noWrap/>
            <w:vAlign w:val="bottom"/>
          </w:tcPr>
          <w:p w14:paraId="33593374" w14:textId="77777777" w:rsidR="00CF1FC2" w:rsidRPr="00EF1091" w:rsidRDefault="005F4DFB" w:rsidP="00A25FDB">
            <w:pPr>
              <w:jc w:val="right"/>
              <w:rPr>
                <w:rFonts w:ascii="Arial" w:hAnsi="Arial" w:cs="Arial"/>
                <w:sz w:val="18"/>
                <w:szCs w:val="18"/>
              </w:rPr>
            </w:pPr>
            <w:r>
              <w:rPr>
                <w:rFonts w:ascii="Arial" w:hAnsi="Arial" w:cs="Arial"/>
                <w:sz w:val="18"/>
                <w:szCs w:val="18"/>
              </w:rPr>
              <w:t>201</w:t>
            </w:r>
            <w:r w:rsidR="009A2B00">
              <w:rPr>
                <w:rFonts w:ascii="Arial" w:hAnsi="Arial" w:cs="Arial"/>
                <w:sz w:val="18"/>
                <w:szCs w:val="18"/>
              </w:rPr>
              <w:t>8</w:t>
            </w:r>
            <w:r w:rsidR="00CF1FC2">
              <w:rPr>
                <w:rFonts w:ascii="Arial" w:hAnsi="Arial" w:cs="Arial"/>
                <w:sz w:val="18"/>
                <w:szCs w:val="18"/>
              </w:rPr>
              <w:t>/1</w:t>
            </w:r>
            <w:r w:rsidR="009A2B00">
              <w:rPr>
                <w:rFonts w:ascii="Arial" w:hAnsi="Arial" w:cs="Arial"/>
                <w:sz w:val="18"/>
                <w:szCs w:val="18"/>
              </w:rPr>
              <w:t>9</w:t>
            </w:r>
          </w:p>
        </w:tc>
        <w:tc>
          <w:tcPr>
            <w:tcW w:w="536" w:type="pct"/>
            <w:tcBorders>
              <w:top w:val="nil"/>
              <w:left w:val="nil"/>
              <w:bottom w:val="single" w:sz="4" w:space="0" w:color="auto"/>
              <w:right w:val="nil"/>
            </w:tcBorders>
            <w:shd w:val="clear" w:color="auto" w:fill="auto"/>
            <w:noWrap/>
            <w:vAlign w:val="bottom"/>
          </w:tcPr>
          <w:p w14:paraId="0017A5EA" w14:textId="77777777" w:rsidR="00CF1FC2" w:rsidRPr="00EF1091" w:rsidRDefault="005F4DFB" w:rsidP="00A25FDB">
            <w:pPr>
              <w:jc w:val="right"/>
              <w:rPr>
                <w:rFonts w:ascii="Arial" w:hAnsi="Arial" w:cs="Arial"/>
                <w:sz w:val="18"/>
                <w:szCs w:val="18"/>
              </w:rPr>
            </w:pPr>
            <w:r>
              <w:rPr>
                <w:rFonts w:ascii="Arial" w:hAnsi="Arial" w:cs="Arial"/>
                <w:sz w:val="18"/>
                <w:szCs w:val="18"/>
              </w:rPr>
              <w:t>201</w:t>
            </w:r>
            <w:r w:rsidR="009A2B00">
              <w:rPr>
                <w:rFonts w:ascii="Arial" w:hAnsi="Arial" w:cs="Arial"/>
                <w:sz w:val="18"/>
                <w:szCs w:val="18"/>
              </w:rPr>
              <w:t>7</w:t>
            </w:r>
            <w:r>
              <w:rPr>
                <w:rFonts w:ascii="Arial" w:hAnsi="Arial" w:cs="Arial"/>
                <w:sz w:val="18"/>
                <w:szCs w:val="18"/>
              </w:rPr>
              <w:t>/1</w:t>
            </w:r>
            <w:r w:rsidR="009A2B00">
              <w:rPr>
                <w:rFonts w:ascii="Arial" w:hAnsi="Arial" w:cs="Arial"/>
                <w:sz w:val="18"/>
                <w:szCs w:val="18"/>
              </w:rPr>
              <w:t>8</w:t>
            </w:r>
          </w:p>
        </w:tc>
      </w:tr>
      <w:tr w:rsidR="009A2B00" w:rsidRPr="00AC4FCB" w14:paraId="4619F20F" w14:textId="77777777" w:rsidTr="001606EE">
        <w:trPr>
          <w:trHeight w:val="255"/>
        </w:trPr>
        <w:tc>
          <w:tcPr>
            <w:tcW w:w="3888" w:type="pct"/>
            <w:tcBorders>
              <w:top w:val="single" w:sz="4" w:space="0" w:color="auto"/>
              <w:left w:val="nil"/>
              <w:bottom w:val="nil"/>
              <w:right w:val="nil"/>
            </w:tcBorders>
            <w:shd w:val="clear" w:color="auto" w:fill="auto"/>
            <w:noWrap/>
            <w:vAlign w:val="bottom"/>
          </w:tcPr>
          <w:p w14:paraId="346EEDAC" w14:textId="77777777" w:rsidR="009A2B00" w:rsidRPr="00841BA5" w:rsidRDefault="009A2B00" w:rsidP="009A2B00">
            <w:pPr>
              <w:rPr>
                <w:rFonts w:ascii="Arial" w:hAnsi="Arial" w:cs="Arial"/>
                <w:sz w:val="18"/>
                <w:szCs w:val="18"/>
              </w:rPr>
            </w:pPr>
            <w:r w:rsidRPr="00841BA5">
              <w:rPr>
                <w:rFonts w:ascii="Arial" w:hAnsi="Arial" w:cs="Arial"/>
                <w:sz w:val="18"/>
                <w:szCs w:val="18"/>
              </w:rPr>
              <w:t>Cash and cash equivalents</w:t>
            </w:r>
          </w:p>
        </w:tc>
        <w:tc>
          <w:tcPr>
            <w:tcW w:w="576" w:type="pct"/>
            <w:gridSpan w:val="2"/>
            <w:tcBorders>
              <w:top w:val="single" w:sz="4" w:space="0" w:color="auto"/>
              <w:left w:val="nil"/>
              <w:bottom w:val="nil"/>
              <w:right w:val="nil"/>
            </w:tcBorders>
            <w:shd w:val="clear" w:color="auto" w:fill="auto"/>
            <w:noWrap/>
            <w:vAlign w:val="bottom"/>
          </w:tcPr>
          <w:p w14:paraId="1EA09DE7" w14:textId="7D1C84BC" w:rsidR="009A2B00" w:rsidRPr="001D52E2" w:rsidRDefault="009A2B00" w:rsidP="009A2B00">
            <w:pPr>
              <w:jc w:val="right"/>
              <w:rPr>
                <w:rFonts w:ascii="Arial" w:hAnsi="Arial" w:cs="Arial"/>
                <w:b/>
                <w:bCs/>
                <w:sz w:val="18"/>
                <w:szCs w:val="18"/>
              </w:rPr>
            </w:pPr>
            <w:r w:rsidRPr="001D52E2">
              <w:rPr>
                <w:rFonts w:ascii="Arial" w:hAnsi="Arial" w:cs="Arial"/>
                <w:b/>
                <w:bCs/>
                <w:sz w:val="18"/>
                <w:szCs w:val="18"/>
              </w:rPr>
              <w:t>2</w:t>
            </w:r>
            <w:r w:rsidR="001D52E2" w:rsidRPr="001D52E2">
              <w:rPr>
                <w:rFonts w:ascii="Arial" w:hAnsi="Arial" w:cs="Arial"/>
                <w:b/>
                <w:bCs/>
                <w:sz w:val="18"/>
                <w:szCs w:val="18"/>
              </w:rPr>
              <w:t>29</w:t>
            </w:r>
          </w:p>
        </w:tc>
        <w:tc>
          <w:tcPr>
            <w:tcW w:w="536" w:type="pct"/>
            <w:tcBorders>
              <w:top w:val="single" w:sz="4" w:space="0" w:color="auto"/>
              <w:left w:val="nil"/>
              <w:bottom w:val="nil"/>
              <w:right w:val="nil"/>
            </w:tcBorders>
            <w:shd w:val="clear" w:color="auto" w:fill="auto"/>
            <w:noWrap/>
            <w:vAlign w:val="bottom"/>
          </w:tcPr>
          <w:p w14:paraId="12D66629"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230</w:t>
            </w:r>
          </w:p>
        </w:tc>
      </w:tr>
      <w:tr w:rsidR="009A2B00" w:rsidRPr="00AC4FCB" w14:paraId="348FB8C4" w14:textId="77777777" w:rsidTr="001606EE">
        <w:trPr>
          <w:trHeight w:val="255"/>
        </w:trPr>
        <w:tc>
          <w:tcPr>
            <w:tcW w:w="3888" w:type="pct"/>
            <w:tcBorders>
              <w:top w:val="nil"/>
              <w:left w:val="nil"/>
              <w:bottom w:val="nil"/>
              <w:right w:val="nil"/>
            </w:tcBorders>
            <w:shd w:val="clear" w:color="auto" w:fill="auto"/>
            <w:noWrap/>
            <w:vAlign w:val="bottom"/>
          </w:tcPr>
          <w:p w14:paraId="6C680802" w14:textId="77777777" w:rsidR="009A2B00" w:rsidRPr="00232C68" w:rsidRDefault="009A2B00" w:rsidP="009A2B00">
            <w:pPr>
              <w:rPr>
                <w:rFonts w:ascii="Arial" w:hAnsi="Arial" w:cs="Arial"/>
                <w:sz w:val="18"/>
                <w:szCs w:val="18"/>
              </w:rPr>
            </w:pPr>
            <w:r w:rsidRPr="00232C68">
              <w:rPr>
                <w:rFonts w:ascii="Arial" w:hAnsi="Arial" w:cs="Arial"/>
                <w:sz w:val="18"/>
                <w:szCs w:val="18"/>
              </w:rPr>
              <w:t>Bank loans</w:t>
            </w:r>
          </w:p>
        </w:tc>
        <w:tc>
          <w:tcPr>
            <w:tcW w:w="576" w:type="pct"/>
            <w:gridSpan w:val="2"/>
            <w:tcBorders>
              <w:top w:val="nil"/>
              <w:left w:val="nil"/>
              <w:bottom w:val="nil"/>
              <w:right w:val="nil"/>
            </w:tcBorders>
            <w:shd w:val="clear" w:color="auto" w:fill="auto"/>
            <w:noWrap/>
            <w:vAlign w:val="bottom"/>
          </w:tcPr>
          <w:p w14:paraId="6E081768" w14:textId="1FCB6436" w:rsidR="009A2B00" w:rsidRPr="001D52E2" w:rsidRDefault="009A2B00" w:rsidP="009A2B00">
            <w:pPr>
              <w:jc w:val="right"/>
              <w:rPr>
                <w:rFonts w:ascii="Arial" w:hAnsi="Arial" w:cs="Arial"/>
                <w:b/>
                <w:bCs/>
                <w:sz w:val="18"/>
                <w:szCs w:val="18"/>
              </w:rPr>
            </w:pPr>
            <w:r w:rsidRPr="001D52E2">
              <w:rPr>
                <w:rFonts w:ascii="Arial" w:hAnsi="Arial" w:cs="Arial"/>
                <w:b/>
                <w:bCs/>
                <w:sz w:val="18"/>
                <w:szCs w:val="18"/>
              </w:rPr>
              <w:t>(</w:t>
            </w:r>
            <w:r w:rsidR="008D63F4">
              <w:rPr>
                <w:rFonts w:ascii="Arial" w:hAnsi="Arial" w:cs="Arial"/>
                <w:b/>
                <w:bCs/>
                <w:sz w:val="18"/>
                <w:szCs w:val="18"/>
              </w:rPr>
              <w:t>4</w:t>
            </w:r>
            <w:r w:rsidRPr="001D52E2">
              <w:rPr>
                <w:rFonts w:ascii="Arial" w:hAnsi="Arial" w:cs="Arial"/>
                <w:b/>
                <w:bCs/>
                <w:sz w:val="18"/>
                <w:szCs w:val="18"/>
              </w:rPr>
              <w:t>)</w:t>
            </w:r>
          </w:p>
        </w:tc>
        <w:tc>
          <w:tcPr>
            <w:tcW w:w="536" w:type="pct"/>
            <w:tcBorders>
              <w:top w:val="nil"/>
              <w:left w:val="nil"/>
              <w:bottom w:val="nil"/>
              <w:right w:val="nil"/>
            </w:tcBorders>
            <w:shd w:val="clear" w:color="auto" w:fill="auto"/>
            <w:noWrap/>
            <w:vAlign w:val="bottom"/>
          </w:tcPr>
          <w:p w14:paraId="4776D329"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(6)</w:t>
            </w:r>
          </w:p>
        </w:tc>
      </w:tr>
      <w:tr w:rsidR="009A2B00" w:rsidRPr="00AC4FCB" w14:paraId="1E5EF0E9" w14:textId="77777777" w:rsidTr="001606EE">
        <w:trPr>
          <w:trHeight w:val="255"/>
        </w:trPr>
        <w:tc>
          <w:tcPr>
            <w:tcW w:w="3888" w:type="pct"/>
            <w:tcBorders>
              <w:top w:val="nil"/>
              <w:left w:val="nil"/>
              <w:bottom w:val="nil"/>
              <w:right w:val="nil"/>
            </w:tcBorders>
            <w:shd w:val="clear" w:color="auto" w:fill="auto"/>
            <w:noWrap/>
            <w:vAlign w:val="bottom"/>
          </w:tcPr>
          <w:p w14:paraId="08B00E20" w14:textId="4550D5DA" w:rsidR="009A2B00" w:rsidRPr="00232C68" w:rsidRDefault="008D63F4" w:rsidP="009A2B00">
            <w:pPr>
              <w:rPr>
                <w:rFonts w:ascii="Arial" w:hAnsi="Arial" w:cs="Arial"/>
                <w:sz w:val="18"/>
                <w:szCs w:val="18"/>
              </w:rPr>
            </w:pPr>
            <w:r>
              <w:rPr>
                <w:rFonts w:ascii="Arial" w:hAnsi="Arial" w:cs="Arial"/>
                <w:sz w:val="18"/>
                <w:szCs w:val="18"/>
              </w:rPr>
              <w:t>F</w:t>
            </w:r>
            <w:r w:rsidR="009A2B00" w:rsidRPr="00232C68">
              <w:rPr>
                <w:rFonts w:ascii="Arial" w:hAnsi="Arial" w:cs="Arial"/>
                <w:sz w:val="18"/>
                <w:szCs w:val="18"/>
              </w:rPr>
              <w:t>ixed term debt</w:t>
            </w:r>
          </w:p>
        </w:tc>
        <w:tc>
          <w:tcPr>
            <w:tcW w:w="576" w:type="pct"/>
            <w:gridSpan w:val="2"/>
            <w:tcBorders>
              <w:top w:val="nil"/>
              <w:left w:val="nil"/>
              <w:bottom w:val="nil"/>
              <w:right w:val="nil"/>
            </w:tcBorders>
            <w:shd w:val="clear" w:color="auto" w:fill="auto"/>
            <w:noWrap/>
            <w:vAlign w:val="bottom"/>
          </w:tcPr>
          <w:p w14:paraId="651A89B6" w14:textId="4928F6D1" w:rsidR="009A2B00" w:rsidRPr="001D52E2" w:rsidRDefault="009A2B00" w:rsidP="009A2B00">
            <w:pPr>
              <w:jc w:val="right"/>
              <w:rPr>
                <w:rFonts w:ascii="Arial" w:hAnsi="Arial" w:cs="Arial"/>
                <w:b/>
                <w:bCs/>
                <w:sz w:val="18"/>
                <w:szCs w:val="18"/>
              </w:rPr>
            </w:pPr>
            <w:r w:rsidRPr="001D52E2">
              <w:rPr>
                <w:rFonts w:ascii="Arial" w:hAnsi="Arial" w:cs="Arial"/>
                <w:b/>
                <w:bCs/>
                <w:sz w:val="18"/>
                <w:szCs w:val="18"/>
              </w:rPr>
              <w:t>(</w:t>
            </w:r>
            <w:r w:rsidR="008D63F4">
              <w:rPr>
                <w:rFonts w:ascii="Arial" w:hAnsi="Arial" w:cs="Arial"/>
                <w:b/>
                <w:bCs/>
                <w:sz w:val="18"/>
                <w:szCs w:val="18"/>
              </w:rPr>
              <w:t>136</w:t>
            </w:r>
            <w:r w:rsidRPr="001D52E2">
              <w:rPr>
                <w:rFonts w:ascii="Arial" w:hAnsi="Arial" w:cs="Arial"/>
                <w:b/>
                <w:bCs/>
                <w:sz w:val="18"/>
                <w:szCs w:val="18"/>
              </w:rPr>
              <w:t>)</w:t>
            </w:r>
          </w:p>
        </w:tc>
        <w:tc>
          <w:tcPr>
            <w:tcW w:w="536" w:type="pct"/>
            <w:tcBorders>
              <w:top w:val="nil"/>
              <w:left w:val="nil"/>
              <w:bottom w:val="nil"/>
              <w:right w:val="nil"/>
            </w:tcBorders>
            <w:shd w:val="clear" w:color="auto" w:fill="auto"/>
            <w:noWrap/>
            <w:vAlign w:val="bottom"/>
          </w:tcPr>
          <w:p w14:paraId="4621EBC6"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(125)</w:t>
            </w:r>
          </w:p>
        </w:tc>
      </w:tr>
      <w:tr w:rsidR="009A2B00" w:rsidRPr="00AC4FCB" w14:paraId="3EC0A04F" w14:textId="77777777" w:rsidTr="001606EE">
        <w:trPr>
          <w:trHeight w:val="255"/>
        </w:trPr>
        <w:tc>
          <w:tcPr>
            <w:tcW w:w="3888" w:type="pct"/>
            <w:tcBorders>
              <w:top w:val="nil"/>
              <w:left w:val="nil"/>
              <w:bottom w:val="nil"/>
              <w:right w:val="nil"/>
            </w:tcBorders>
            <w:shd w:val="clear" w:color="auto" w:fill="auto"/>
            <w:noWrap/>
            <w:vAlign w:val="bottom"/>
          </w:tcPr>
          <w:p w14:paraId="3B4CD64A" w14:textId="77777777" w:rsidR="009A2B00" w:rsidRPr="00232C68" w:rsidRDefault="009A2B00" w:rsidP="009A2B00">
            <w:pPr>
              <w:rPr>
                <w:rFonts w:ascii="Arial" w:hAnsi="Arial" w:cs="Arial"/>
                <w:sz w:val="18"/>
                <w:szCs w:val="18"/>
              </w:rPr>
            </w:pPr>
            <w:r>
              <w:rPr>
                <w:rFonts w:ascii="Arial" w:hAnsi="Arial" w:cs="Arial"/>
                <w:sz w:val="18"/>
                <w:szCs w:val="18"/>
              </w:rPr>
              <w:t>Financing derivatives</w:t>
            </w:r>
          </w:p>
        </w:tc>
        <w:tc>
          <w:tcPr>
            <w:tcW w:w="576" w:type="pct"/>
            <w:gridSpan w:val="2"/>
            <w:tcBorders>
              <w:top w:val="nil"/>
              <w:left w:val="nil"/>
              <w:bottom w:val="nil"/>
              <w:right w:val="nil"/>
            </w:tcBorders>
            <w:shd w:val="clear" w:color="auto" w:fill="auto"/>
            <w:noWrap/>
            <w:vAlign w:val="bottom"/>
          </w:tcPr>
          <w:p w14:paraId="0DC59ED7" w14:textId="3291EBD5" w:rsidR="009A2B00" w:rsidRPr="001D52E2" w:rsidRDefault="001D52E2" w:rsidP="009A2B00">
            <w:pPr>
              <w:jc w:val="right"/>
              <w:rPr>
                <w:rFonts w:ascii="Arial" w:hAnsi="Arial" w:cs="Arial"/>
                <w:b/>
                <w:bCs/>
                <w:sz w:val="18"/>
                <w:szCs w:val="18"/>
              </w:rPr>
            </w:pPr>
            <w:r w:rsidRPr="001D52E2">
              <w:rPr>
                <w:rFonts w:ascii="Arial" w:hAnsi="Arial" w:cs="Arial"/>
                <w:b/>
                <w:bCs/>
                <w:sz w:val="18"/>
                <w:szCs w:val="18"/>
              </w:rPr>
              <w:t>(5)</w:t>
            </w:r>
          </w:p>
        </w:tc>
        <w:tc>
          <w:tcPr>
            <w:tcW w:w="536" w:type="pct"/>
            <w:tcBorders>
              <w:top w:val="nil"/>
              <w:left w:val="nil"/>
              <w:bottom w:val="nil"/>
              <w:right w:val="nil"/>
            </w:tcBorders>
            <w:shd w:val="clear" w:color="auto" w:fill="auto"/>
            <w:noWrap/>
            <w:vAlign w:val="bottom"/>
          </w:tcPr>
          <w:p w14:paraId="716B5C4B"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14</w:t>
            </w:r>
          </w:p>
        </w:tc>
      </w:tr>
      <w:tr w:rsidR="009A2B00" w:rsidRPr="00AC4FCB" w14:paraId="6A5197D8" w14:textId="77777777" w:rsidTr="001606EE">
        <w:trPr>
          <w:trHeight w:val="255"/>
        </w:trPr>
        <w:tc>
          <w:tcPr>
            <w:tcW w:w="3888" w:type="pct"/>
            <w:tcBorders>
              <w:top w:val="nil"/>
              <w:left w:val="nil"/>
              <w:bottom w:val="nil"/>
              <w:right w:val="nil"/>
            </w:tcBorders>
            <w:shd w:val="clear" w:color="auto" w:fill="auto"/>
            <w:noWrap/>
            <w:vAlign w:val="bottom"/>
          </w:tcPr>
          <w:p w14:paraId="7ED2C24C" w14:textId="77777777" w:rsidR="009A2B00" w:rsidRPr="00232C68" w:rsidRDefault="009A2B00" w:rsidP="009A2B00">
            <w:pPr>
              <w:rPr>
                <w:rFonts w:ascii="Arial" w:hAnsi="Arial" w:cs="Arial"/>
                <w:sz w:val="18"/>
                <w:szCs w:val="18"/>
              </w:rPr>
            </w:pPr>
            <w:r w:rsidRPr="00232C68">
              <w:rPr>
                <w:rFonts w:ascii="Arial" w:hAnsi="Arial" w:cs="Arial"/>
                <w:sz w:val="18"/>
                <w:szCs w:val="18"/>
              </w:rPr>
              <w:t>Finance leases</w:t>
            </w:r>
          </w:p>
        </w:tc>
        <w:tc>
          <w:tcPr>
            <w:tcW w:w="576" w:type="pct"/>
            <w:gridSpan w:val="2"/>
            <w:tcBorders>
              <w:top w:val="nil"/>
              <w:left w:val="nil"/>
              <w:bottom w:val="nil"/>
              <w:right w:val="nil"/>
            </w:tcBorders>
            <w:shd w:val="clear" w:color="auto" w:fill="auto"/>
            <w:noWrap/>
            <w:vAlign w:val="bottom"/>
          </w:tcPr>
          <w:p w14:paraId="7674E860" w14:textId="2A2FEE30" w:rsidR="009A2B00" w:rsidRPr="001D52E2" w:rsidRDefault="009A2B00" w:rsidP="009A2B00">
            <w:pPr>
              <w:jc w:val="right"/>
              <w:rPr>
                <w:rFonts w:ascii="Arial" w:hAnsi="Arial" w:cs="Arial"/>
                <w:b/>
                <w:bCs/>
                <w:sz w:val="18"/>
                <w:szCs w:val="18"/>
              </w:rPr>
            </w:pPr>
            <w:r w:rsidRPr="001D52E2">
              <w:rPr>
                <w:rFonts w:ascii="Arial" w:hAnsi="Arial" w:cs="Arial"/>
                <w:b/>
                <w:bCs/>
                <w:sz w:val="18"/>
                <w:szCs w:val="18"/>
              </w:rPr>
              <w:t>(</w:t>
            </w:r>
            <w:r w:rsidR="001D52E2" w:rsidRPr="001D52E2">
              <w:rPr>
                <w:rFonts w:ascii="Arial" w:hAnsi="Arial" w:cs="Arial"/>
                <w:b/>
                <w:bCs/>
                <w:sz w:val="18"/>
                <w:szCs w:val="18"/>
              </w:rPr>
              <w:t>36</w:t>
            </w:r>
            <w:r w:rsidRPr="001D52E2">
              <w:rPr>
                <w:rFonts w:ascii="Arial" w:hAnsi="Arial" w:cs="Arial"/>
                <w:b/>
                <w:bCs/>
                <w:sz w:val="18"/>
                <w:szCs w:val="18"/>
              </w:rPr>
              <w:t>)</w:t>
            </w:r>
          </w:p>
        </w:tc>
        <w:tc>
          <w:tcPr>
            <w:tcW w:w="536" w:type="pct"/>
            <w:tcBorders>
              <w:top w:val="nil"/>
              <w:left w:val="nil"/>
              <w:bottom w:val="nil"/>
              <w:right w:val="nil"/>
            </w:tcBorders>
            <w:shd w:val="clear" w:color="auto" w:fill="auto"/>
            <w:noWrap/>
            <w:vAlign w:val="bottom"/>
          </w:tcPr>
          <w:p w14:paraId="7E0393FF"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(45)</w:t>
            </w:r>
          </w:p>
        </w:tc>
      </w:tr>
      <w:tr w:rsidR="009A2B00" w:rsidRPr="00AC4FCB" w14:paraId="02E0AEEA" w14:textId="77777777" w:rsidTr="001606EE">
        <w:trPr>
          <w:trHeight w:val="270"/>
        </w:trPr>
        <w:tc>
          <w:tcPr>
            <w:tcW w:w="3888" w:type="pct"/>
            <w:tcBorders>
              <w:top w:val="single" w:sz="4" w:space="0" w:color="auto"/>
              <w:left w:val="nil"/>
              <w:bottom w:val="single" w:sz="12" w:space="0" w:color="auto"/>
              <w:right w:val="nil"/>
            </w:tcBorders>
            <w:shd w:val="clear" w:color="auto" w:fill="auto"/>
            <w:noWrap/>
            <w:vAlign w:val="bottom"/>
          </w:tcPr>
          <w:p w14:paraId="573B1D32" w14:textId="77777777" w:rsidR="009A2B00" w:rsidRPr="00232C68" w:rsidRDefault="009A2B00" w:rsidP="009A2B00">
            <w:pPr>
              <w:rPr>
                <w:rFonts w:ascii="Arial" w:hAnsi="Arial" w:cs="Arial"/>
                <w:b/>
                <w:bCs/>
                <w:sz w:val="18"/>
                <w:szCs w:val="18"/>
              </w:rPr>
            </w:pPr>
            <w:r w:rsidRPr="00232C68">
              <w:rPr>
                <w:rFonts w:ascii="Arial" w:hAnsi="Arial" w:cs="Arial"/>
                <w:b/>
                <w:bCs/>
                <w:sz w:val="18"/>
                <w:szCs w:val="18"/>
              </w:rPr>
              <w:t xml:space="preserve">Net </w:t>
            </w:r>
            <w:r>
              <w:rPr>
                <w:rFonts w:ascii="Arial" w:hAnsi="Arial" w:cs="Arial"/>
                <w:b/>
                <w:bCs/>
                <w:sz w:val="18"/>
                <w:szCs w:val="18"/>
              </w:rPr>
              <w:t>cash</w:t>
            </w:r>
          </w:p>
        </w:tc>
        <w:tc>
          <w:tcPr>
            <w:tcW w:w="576" w:type="pct"/>
            <w:gridSpan w:val="2"/>
            <w:tcBorders>
              <w:top w:val="single" w:sz="4" w:space="0" w:color="auto"/>
              <w:left w:val="nil"/>
              <w:bottom w:val="single" w:sz="12" w:space="0" w:color="auto"/>
              <w:right w:val="nil"/>
            </w:tcBorders>
            <w:shd w:val="clear" w:color="auto" w:fill="auto"/>
            <w:noWrap/>
            <w:vAlign w:val="bottom"/>
          </w:tcPr>
          <w:p w14:paraId="11DBFE4E" w14:textId="7DDDE388" w:rsidR="009A2B00" w:rsidRPr="001D52E2" w:rsidRDefault="001D52E2" w:rsidP="009A2B00">
            <w:pPr>
              <w:jc w:val="right"/>
              <w:rPr>
                <w:rFonts w:ascii="Arial" w:hAnsi="Arial" w:cs="Arial"/>
                <w:b/>
                <w:bCs/>
                <w:sz w:val="18"/>
                <w:szCs w:val="18"/>
              </w:rPr>
            </w:pPr>
            <w:r w:rsidRPr="001D52E2">
              <w:rPr>
                <w:rFonts w:ascii="Arial" w:hAnsi="Arial" w:cs="Arial"/>
                <w:b/>
                <w:bCs/>
                <w:sz w:val="18"/>
                <w:szCs w:val="18"/>
              </w:rPr>
              <w:t>4</w:t>
            </w:r>
            <w:r w:rsidR="009A2B00" w:rsidRPr="001D52E2">
              <w:rPr>
                <w:rFonts w:ascii="Arial" w:hAnsi="Arial" w:cs="Arial"/>
                <w:b/>
                <w:bCs/>
                <w:sz w:val="18"/>
                <w:szCs w:val="18"/>
              </w:rPr>
              <w:t>8</w:t>
            </w:r>
          </w:p>
        </w:tc>
        <w:tc>
          <w:tcPr>
            <w:tcW w:w="536" w:type="pct"/>
            <w:tcBorders>
              <w:top w:val="single" w:sz="4" w:space="0" w:color="auto"/>
              <w:left w:val="nil"/>
              <w:bottom w:val="single" w:sz="12" w:space="0" w:color="auto"/>
              <w:right w:val="nil"/>
            </w:tcBorders>
            <w:shd w:val="clear" w:color="auto" w:fill="auto"/>
            <w:noWrap/>
            <w:vAlign w:val="bottom"/>
          </w:tcPr>
          <w:p w14:paraId="3FB7A278"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68</w:t>
            </w:r>
          </w:p>
        </w:tc>
      </w:tr>
      <w:tr w:rsidR="00EE7026" w:rsidRPr="00AC4FCB" w14:paraId="42C58C8B" w14:textId="77777777" w:rsidTr="00A25FDB">
        <w:trPr>
          <w:trHeight w:val="255"/>
        </w:trPr>
        <w:tc>
          <w:tcPr>
            <w:tcW w:w="3888" w:type="pct"/>
            <w:tcBorders>
              <w:top w:val="single" w:sz="12" w:space="0" w:color="auto"/>
              <w:left w:val="nil"/>
              <w:bottom w:val="nil"/>
              <w:right w:val="nil"/>
            </w:tcBorders>
            <w:shd w:val="clear" w:color="auto" w:fill="auto"/>
            <w:noWrap/>
            <w:vAlign w:val="bottom"/>
          </w:tcPr>
          <w:p w14:paraId="00A2E7E8" w14:textId="77777777" w:rsidR="00EE7026" w:rsidRPr="00232C68" w:rsidRDefault="00EE7026" w:rsidP="00A70836">
            <w:pPr>
              <w:rPr>
                <w:rFonts w:ascii="Arial" w:hAnsi="Arial" w:cs="Arial"/>
                <w:sz w:val="18"/>
                <w:szCs w:val="18"/>
              </w:rPr>
            </w:pPr>
          </w:p>
        </w:tc>
        <w:tc>
          <w:tcPr>
            <w:tcW w:w="359" w:type="pct"/>
            <w:tcBorders>
              <w:top w:val="single" w:sz="12" w:space="0" w:color="auto"/>
              <w:left w:val="nil"/>
              <w:bottom w:val="nil"/>
              <w:right w:val="nil"/>
            </w:tcBorders>
            <w:shd w:val="clear" w:color="auto" w:fill="auto"/>
            <w:noWrap/>
            <w:vAlign w:val="bottom"/>
          </w:tcPr>
          <w:p w14:paraId="04A758CC" w14:textId="77777777" w:rsidR="00EE7026" w:rsidRPr="00232C68" w:rsidRDefault="00EE7026" w:rsidP="00A70836">
            <w:pPr>
              <w:rPr>
                <w:rFonts w:ascii="Arial" w:hAnsi="Arial" w:cs="Arial"/>
                <w:b/>
                <w:bCs/>
                <w:sz w:val="18"/>
                <w:szCs w:val="18"/>
              </w:rPr>
            </w:pPr>
          </w:p>
        </w:tc>
        <w:tc>
          <w:tcPr>
            <w:tcW w:w="753" w:type="pct"/>
            <w:gridSpan w:val="2"/>
            <w:tcBorders>
              <w:top w:val="single" w:sz="12" w:space="0" w:color="auto"/>
              <w:left w:val="nil"/>
              <w:bottom w:val="nil"/>
              <w:right w:val="nil"/>
            </w:tcBorders>
            <w:shd w:val="clear" w:color="auto" w:fill="auto"/>
            <w:noWrap/>
            <w:vAlign w:val="bottom"/>
          </w:tcPr>
          <w:p w14:paraId="23064659" w14:textId="77777777" w:rsidR="00EE7026" w:rsidRPr="008C583A" w:rsidRDefault="00EE7026" w:rsidP="00A70836">
            <w:pPr>
              <w:rPr>
                <w:rFonts w:ascii="Arial" w:hAnsi="Arial" w:cs="Arial"/>
                <w:sz w:val="18"/>
                <w:szCs w:val="18"/>
              </w:rPr>
            </w:pPr>
          </w:p>
        </w:tc>
      </w:tr>
      <w:tr w:rsidR="00CF1FC2" w:rsidRPr="00AC4FCB" w14:paraId="6B534F1D" w14:textId="77777777" w:rsidTr="001606EE">
        <w:trPr>
          <w:trHeight w:val="255"/>
        </w:trPr>
        <w:tc>
          <w:tcPr>
            <w:tcW w:w="3888" w:type="pct"/>
            <w:tcBorders>
              <w:top w:val="nil"/>
              <w:left w:val="nil"/>
              <w:bottom w:val="single" w:sz="4" w:space="0" w:color="auto"/>
              <w:right w:val="nil"/>
            </w:tcBorders>
            <w:shd w:val="clear" w:color="auto" w:fill="auto"/>
            <w:noWrap/>
            <w:vAlign w:val="bottom"/>
          </w:tcPr>
          <w:p w14:paraId="2FAD961A" w14:textId="77777777" w:rsidR="00CF1FC2" w:rsidRPr="00232C68" w:rsidRDefault="00CF1FC2" w:rsidP="00CF1FC2">
            <w:pPr>
              <w:rPr>
                <w:rFonts w:ascii="Arial" w:hAnsi="Arial" w:cs="Arial"/>
                <w:sz w:val="18"/>
                <w:szCs w:val="18"/>
              </w:rPr>
            </w:pPr>
            <w:r w:rsidRPr="00232C68">
              <w:rPr>
                <w:rFonts w:ascii="Arial" w:hAnsi="Arial" w:cs="Arial"/>
                <w:sz w:val="18"/>
                <w:szCs w:val="18"/>
              </w:rPr>
              <w:t>£ millions</w:t>
            </w:r>
          </w:p>
        </w:tc>
        <w:tc>
          <w:tcPr>
            <w:tcW w:w="576" w:type="pct"/>
            <w:gridSpan w:val="2"/>
            <w:tcBorders>
              <w:top w:val="nil"/>
              <w:left w:val="nil"/>
              <w:bottom w:val="single" w:sz="4" w:space="0" w:color="auto"/>
              <w:right w:val="nil"/>
            </w:tcBorders>
            <w:shd w:val="clear" w:color="auto" w:fill="auto"/>
            <w:noWrap/>
            <w:vAlign w:val="bottom"/>
          </w:tcPr>
          <w:p w14:paraId="3164229C" w14:textId="77777777" w:rsidR="00CF1FC2" w:rsidRPr="00EF1091" w:rsidRDefault="005F4DFB" w:rsidP="00C747FB">
            <w:pPr>
              <w:jc w:val="right"/>
              <w:rPr>
                <w:rFonts w:ascii="Arial" w:hAnsi="Arial" w:cs="Arial"/>
                <w:sz w:val="18"/>
                <w:szCs w:val="18"/>
              </w:rPr>
            </w:pPr>
            <w:r>
              <w:rPr>
                <w:rFonts w:ascii="Arial" w:hAnsi="Arial" w:cs="Arial"/>
                <w:sz w:val="18"/>
                <w:szCs w:val="18"/>
              </w:rPr>
              <w:t>201</w:t>
            </w:r>
            <w:r w:rsidR="009A2B00">
              <w:rPr>
                <w:rFonts w:ascii="Arial" w:hAnsi="Arial" w:cs="Arial"/>
                <w:sz w:val="18"/>
                <w:szCs w:val="18"/>
              </w:rPr>
              <w:t>8</w:t>
            </w:r>
            <w:r w:rsidR="00CF1FC2">
              <w:rPr>
                <w:rFonts w:ascii="Arial" w:hAnsi="Arial" w:cs="Arial"/>
                <w:sz w:val="18"/>
                <w:szCs w:val="18"/>
              </w:rPr>
              <w:t>/1</w:t>
            </w:r>
            <w:r w:rsidR="009A2B00">
              <w:rPr>
                <w:rFonts w:ascii="Arial" w:hAnsi="Arial" w:cs="Arial"/>
                <w:sz w:val="18"/>
                <w:szCs w:val="18"/>
              </w:rPr>
              <w:t>9</w:t>
            </w:r>
          </w:p>
        </w:tc>
        <w:tc>
          <w:tcPr>
            <w:tcW w:w="536" w:type="pct"/>
            <w:tcBorders>
              <w:top w:val="nil"/>
              <w:left w:val="nil"/>
              <w:bottom w:val="single" w:sz="4" w:space="0" w:color="auto"/>
              <w:right w:val="nil"/>
            </w:tcBorders>
            <w:shd w:val="clear" w:color="auto" w:fill="auto"/>
            <w:noWrap/>
            <w:vAlign w:val="bottom"/>
          </w:tcPr>
          <w:p w14:paraId="6990993B" w14:textId="77777777" w:rsidR="00CF1FC2" w:rsidRPr="00FC37BE" w:rsidRDefault="005F4DFB" w:rsidP="00C747FB">
            <w:pPr>
              <w:jc w:val="right"/>
              <w:rPr>
                <w:rFonts w:ascii="Arial" w:hAnsi="Arial" w:cs="Arial"/>
                <w:sz w:val="18"/>
                <w:szCs w:val="18"/>
              </w:rPr>
            </w:pPr>
            <w:r>
              <w:rPr>
                <w:rFonts w:ascii="Arial" w:hAnsi="Arial" w:cs="Arial"/>
                <w:sz w:val="18"/>
                <w:szCs w:val="18"/>
              </w:rPr>
              <w:t>201</w:t>
            </w:r>
            <w:r w:rsidR="009A2B00">
              <w:rPr>
                <w:rFonts w:ascii="Arial" w:hAnsi="Arial" w:cs="Arial"/>
                <w:sz w:val="18"/>
                <w:szCs w:val="18"/>
              </w:rPr>
              <w:t>7</w:t>
            </w:r>
            <w:r w:rsidR="00CF1FC2" w:rsidRPr="008C583A">
              <w:rPr>
                <w:rFonts w:ascii="Arial" w:hAnsi="Arial" w:cs="Arial"/>
                <w:sz w:val="18"/>
                <w:szCs w:val="18"/>
              </w:rPr>
              <w:t>/1</w:t>
            </w:r>
            <w:r w:rsidR="009A2B00">
              <w:rPr>
                <w:rFonts w:ascii="Arial" w:hAnsi="Arial" w:cs="Arial"/>
                <w:sz w:val="18"/>
                <w:szCs w:val="18"/>
              </w:rPr>
              <w:t>8</w:t>
            </w:r>
          </w:p>
        </w:tc>
      </w:tr>
      <w:tr w:rsidR="009A2B00" w:rsidRPr="00AC4FCB" w14:paraId="4A7CFD42" w14:textId="77777777" w:rsidTr="001606EE">
        <w:trPr>
          <w:trHeight w:val="255"/>
        </w:trPr>
        <w:tc>
          <w:tcPr>
            <w:tcW w:w="3888" w:type="pct"/>
            <w:tcBorders>
              <w:top w:val="nil"/>
              <w:left w:val="nil"/>
              <w:bottom w:val="single" w:sz="4" w:space="0" w:color="auto"/>
              <w:right w:val="nil"/>
            </w:tcBorders>
            <w:shd w:val="clear" w:color="auto" w:fill="auto"/>
            <w:noWrap/>
            <w:vAlign w:val="bottom"/>
          </w:tcPr>
          <w:p w14:paraId="760EEDD7" w14:textId="77777777" w:rsidR="009A2B00" w:rsidRPr="00232C68" w:rsidRDefault="009A2B00" w:rsidP="009A2B00">
            <w:pPr>
              <w:rPr>
                <w:rFonts w:ascii="Arial" w:hAnsi="Arial" w:cs="Arial"/>
                <w:b/>
                <w:bCs/>
                <w:sz w:val="18"/>
                <w:szCs w:val="18"/>
              </w:rPr>
            </w:pPr>
            <w:r w:rsidRPr="00232C68">
              <w:rPr>
                <w:rFonts w:ascii="Arial" w:hAnsi="Arial" w:cs="Arial"/>
                <w:b/>
                <w:bCs/>
                <w:sz w:val="18"/>
                <w:szCs w:val="18"/>
              </w:rPr>
              <w:t xml:space="preserve">Net </w:t>
            </w:r>
            <w:r>
              <w:rPr>
                <w:rFonts w:ascii="Arial" w:hAnsi="Arial" w:cs="Arial"/>
                <w:b/>
                <w:bCs/>
                <w:sz w:val="18"/>
                <w:szCs w:val="18"/>
              </w:rPr>
              <w:t>cash</w:t>
            </w:r>
            <w:r w:rsidRPr="00232C68">
              <w:rPr>
                <w:rFonts w:ascii="Arial" w:hAnsi="Arial" w:cs="Arial"/>
                <w:b/>
                <w:bCs/>
                <w:sz w:val="18"/>
                <w:szCs w:val="18"/>
              </w:rPr>
              <w:t xml:space="preserve"> at beginning of year</w:t>
            </w:r>
          </w:p>
        </w:tc>
        <w:tc>
          <w:tcPr>
            <w:tcW w:w="576" w:type="pct"/>
            <w:gridSpan w:val="2"/>
            <w:tcBorders>
              <w:top w:val="nil"/>
              <w:left w:val="nil"/>
              <w:bottom w:val="single" w:sz="4" w:space="0" w:color="auto"/>
              <w:right w:val="nil"/>
            </w:tcBorders>
            <w:shd w:val="clear" w:color="auto" w:fill="auto"/>
            <w:noWrap/>
            <w:vAlign w:val="bottom"/>
          </w:tcPr>
          <w:p w14:paraId="35C736EF" w14:textId="4BFE3CA5" w:rsidR="009A2B00" w:rsidRPr="00B01DA4" w:rsidRDefault="00C60273" w:rsidP="009A2B00">
            <w:pPr>
              <w:jc w:val="right"/>
              <w:rPr>
                <w:rFonts w:ascii="Arial" w:hAnsi="Arial" w:cs="Arial"/>
                <w:b/>
                <w:bCs/>
                <w:sz w:val="18"/>
                <w:szCs w:val="18"/>
              </w:rPr>
            </w:pPr>
            <w:r w:rsidRPr="00B01DA4">
              <w:rPr>
                <w:rFonts w:ascii="Arial" w:hAnsi="Arial" w:cs="Arial"/>
                <w:b/>
                <w:bCs/>
                <w:sz w:val="18"/>
                <w:szCs w:val="18"/>
              </w:rPr>
              <w:t>68</w:t>
            </w:r>
          </w:p>
        </w:tc>
        <w:tc>
          <w:tcPr>
            <w:tcW w:w="536" w:type="pct"/>
            <w:tcBorders>
              <w:top w:val="nil"/>
              <w:left w:val="nil"/>
              <w:bottom w:val="single" w:sz="4" w:space="0" w:color="auto"/>
              <w:right w:val="nil"/>
            </w:tcBorders>
            <w:shd w:val="clear" w:color="auto" w:fill="auto"/>
            <w:noWrap/>
            <w:vAlign w:val="bottom"/>
          </w:tcPr>
          <w:p w14:paraId="369342F8"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641</w:t>
            </w:r>
          </w:p>
        </w:tc>
      </w:tr>
      <w:tr w:rsidR="009A2B00" w:rsidRPr="00AC4FCB" w14:paraId="1C433580" w14:textId="77777777" w:rsidTr="001606EE">
        <w:trPr>
          <w:trHeight w:val="255"/>
        </w:trPr>
        <w:tc>
          <w:tcPr>
            <w:tcW w:w="3888" w:type="pct"/>
            <w:tcBorders>
              <w:top w:val="single" w:sz="4" w:space="0" w:color="auto"/>
              <w:left w:val="single" w:sz="4" w:space="0" w:color="auto"/>
              <w:bottom w:val="nil"/>
              <w:right w:val="nil"/>
            </w:tcBorders>
            <w:shd w:val="clear" w:color="auto" w:fill="auto"/>
            <w:noWrap/>
            <w:vAlign w:val="bottom"/>
          </w:tcPr>
          <w:p w14:paraId="380CACA9" w14:textId="68332A42" w:rsidR="009A2B00" w:rsidRPr="005D340D" w:rsidRDefault="009A2B00" w:rsidP="009A2B00">
            <w:pPr>
              <w:rPr>
                <w:rFonts w:ascii="Arial" w:hAnsi="Arial" w:cs="Arial"/>
                <w:sz w:val="18"/>
                <w:szCs w:val="18"/>
              </w:rPr>
            </w:pPr>
            <w:r w:rsidRPr="005D340D">
              <w:rPr>
                <w:rFonts w:ascii="Arial" w:hAnsi="Arial" w:cs="Arial"/>
                <w:sz w:val="18"/>
                <w:szCs w:val="18"/>
              </w:rPr>
              <w:t>Net increase</w:t>
            </w:r>
            <w:r w:rsidR="00C60273">
              <w:rPr>
                <w:rFonts w:ascii="Arial" w:hAnsi="Arial" w:cs="Arial"/>
                <w:sz w:val="18"/>
                <w:szCs w:val="18"/>
              </w:rPr>
              <w:t>/(decrease)</w:t>
            </w:r>
            <w:r w:rsidRPr="005D340D">
              <w:rPr>
                <w:rFonts w:ascii="Arial" w:hAnsi="Arial" w:cs="Arial"/>
                <w:sz w:val="18"/>
                <w:szCs w:val="18"/>
              </w:rPr>
              <w:t xml:space="preserve"> in cash and cash equivalents</w:t>
            </w:r>
          </w:p>
        </w:tc>
        <w:tc>
          <w:tcPr>
            <w:tcW w:w="576" w:type="pct"/>
            <w:gridSpan w:val="2"/>
            <w:tcBorders>
              <w:top w:val="single" w:sz="4" w:space="0" w:color="auto"/>
              <w:left w:val="nil"/>
              <w:bottom w:val="nil"/>
              <w:right w:val="nil"/>
            </w:tcBorders>
            <w:shd w:val="clear" w:color="auto" w:fill="auto"/>
            <w:noWrap/>
            <w:vAlign w:val="bottom"/>
          </w:tcPr>
          <w:p w14:paraId="5948A782" w14:textId="0DE90EBB" w:rsidR="009A2B00" w:rsidRPr="00B01DA4" w:rsidRDefault="00C60273" w:rsidP="009A2B00">
            <w:pPr>
              <w:jc w:val="right"/>
              <w:rPr>
                <w:rFonts w:ascii="Arial" w:hAnsi="Arial" w:cs="Arial"/>
                <w:b/>
                <w:bCs/>
                <w:sz w:val="18"/>
                <w:szCs w:val="18"/>
              </w:rPr>
            </w:pPr>
            <w:r w:rsidRPr="00B01DA4">
              <w:rPr>
                <w:rFonts w:ascii="Arial" w:hAnsi="Arial" w:cs="Arial"/>
                <w:b/>
                <w:bCs/>
                <w:sz w:val="18"/>
                <w:szCs w:val="18"/>
              </w:rPr>
              <w:t>1</w:t>
            </w:r>
            <w:r w:rsidR="00FC4A8D">
              <w:rPr>
                <w:rFonts w:ascii="Arial" w:hAnsi="Arial" w:cs="Arial"/>
                <w:b/>
                <w:bCs/>
                <w:sz w:val="18"/>
                <w:szCs w:val="18"/>
              </w:rPr>
              <w:t>2</w:t>
            </w:r>
          </w:p>
        </w:tc>
        <w:tc>
          <w:tcPr>
            <w:tcW w:w="536" w:type="pct"/>
            <w:tcBorders>
              <w:top w:val="single" w:sz="4" w:space="0" w:color="auto"/>
              <w:left w:val="nil"/>
              <w:bottom w:val="nil"/>
              <w:right w:val="single" w:sz="4" w:space="0" w:color="auto"/>
            </w:tcBorders>
            <w:shd w:val="clear" w:color="auto" w:fill="auto"/>
            <w:noWrap/>
            <w:vAlign w:val="bottom"/>
          </w:tcPr>
          <w:p w14:paraId="534F1771"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(596)</w:t>
            </w:r>
          </w:p>
        </w:tc>
      </w:tr>
      <w:tr w:rsidR="009A2B00" w:rsidRPr="00AC4FCB" w14:paraId="4E17A94E" w14:textId="77777777" w:rsidTr="001606EE">
        <w:trPr>
          <w:trHeight w:val="255"/>
        </w:trPr>
        <w:tc>
          <w:tcPr>
            <w:tcW w:w="3888" w:type="pct"/>
            <w:tcBorders>
              <w:top w:val="nil"/>
              <w:left w:val="single" w:sz="4" w:space="0" w:color="auto"/>
              <w:bottom w:val="nil"/>
              <w:right w:val="nil"/>
            </w:tcBorders>
            <w:shd w:val="clear" w:color="auto" w:fill="auto"/>
            <w:noWrap/>
            <w:vAlign w:val="bottom"/>
          </w:tcPr>
          <w:p w14:paraId="14B70A19" w14:textId="77777777" w:rsidR="009A2B00" w:rsidRPr="005D340D" w:rsidRDefault="009A2B00" w:rsidP="009A2B00">
            <w:pPr>
              <w:rPr>
                <w:rFonts w:ascii="Arial" w:hAnsi="Arial" w:cs="Arial"/>
                <w:sz w:val="18"/>
                <w:szCs w:val="18"/>
              </w:rPr>
            </w:pPr>
            <w:r w:rsidRPr="005D340D">
              <w:rPr>
                <w:rFonts w:ascii="Arial" w:hAnsi="Arial" w:cs="Arial"/>
                <w:sz w:val="18"/>
                <w:szCs w:val="18"/>
              </w:rPr>
              <w:t>Repayment of bank loans</w:t>
            </w:r>
          </w:p>
        </w:tc>
        <w:tc>
          <w:tcPr>
            <w:tcW w:w="576" w:type="pct"/>
            <w:gridSpan w:val="2"/>
            <w:tcBorders>
              <w:top w:val="nil"/>
              <w:left w:val="nil"/>
              <w:bottom w:val="nil"/>
              <w:right w:val="nil"/>
            </w:tcBorders>
            <w:shd w:val="clear" w:color="auto" w:fill="auto"/>
            <w:noWrap/>
            <w:vAlign w:val="bottom"/>
          </w:tcPr>
          <w:p w14:paraId="4D0B2DCF" w14:textId="714E0536" w:rsidR="009A2B00" w:rsidRPr="00B01DA4" w:rsidRDefault="00D70137" w:rsidP="009A2B00">
            <w:pPr>
              <w:jc w:val="right"/>
              <w:rPr>
                <w:rFonts w:ascii="Arial" w:hAnsi="Arial" w:cs="Arial"/>
                <w:b/>
                <w:bCs/>
                <w:sz w:val="18"/>
                <w:szCs w:val="18"/>
              </w:rPr>
            </w:pPr>
            <w:r>
              <w:rPr>
                <w:rFonts w:ascii="Arial" w:hAnsi="Arial" w:cs="Arial"/>
                <w:b/>
                <w:bCs/>
                <w:sz w:val="18"/>
                <w:szCs w:val="18"/>
              </w:rPr>
              <w:t>1</w:t>
            </w:r>
          </w:p>
        </w:tc>
        <w:tc>
          <w:tcPr>
            <w:tcW w:w="536" w:type="pct"/>
            <w:tcBorders>
              <w:top w:val="nil"/>
              <w:left w:val="nil"/>
              <w:bottom w:val="nil"/>
              <w:right w:val="single" w:sz="4" w:space="0" w:color="auto"/>
            </w:tcBorders>
            <w:shd w:val="clear" w:color="auto" w:fill="auto"/>
            <w:noWrap/>
            <w:vAlign w:val="bottom"/>
          </w:tcPr>
          <w:p w14:paraId="40E9380A"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7</w:t>
            </w:r>
          </w:p>
        </w:tc>
      </w:tr>
      <w:tr w:rsidR="009A2B00" w:rsidRPr="00AC4FCB" w14:paraId="5B382E56" w14:textId="77777777" w:rsidTr="001606EE">
        <w:trPr>
          <w:trHeight w:val="255"/>
        </w:trPr>
        <w:tc>
          <w:tcPr>
            <w:tcW w:w="3888" w:type="pct"/>
            <w:tcBorders>
              <w:top w:val="nil"/>
              <w:left w:val="single" w:sz="4" w:space="0" w:color="auto"/>
              <w:bottom w:val="nil"/>
              <w:right w:val="nil"/>
            </w:tcBorders>
            <w:shd w:val="clear" w:color="auto" w:fill="auto"/>
            <w:noWrap/>
            <w:vAlign w:val="bottom"/>
          </w:tcPr>
          <w:p w14:paraId="7CC6EEB9" w14:textId="77777777" w:rsidR="009A2B00" w:rsidRPr="005D340D" w:rsidRDefault="009A2B00" w:rsidP="009A2B00">
            <w:pPr>
              <w:rPr>
                <w:rFonts w:ascii="Arial" w:hAnsi="Arial" w:cs="Arial"/>
                <w:sz w:val="18"/>
                <w:szCs w:val="18"/>
              </w:rPr>
            </w:pPr>
            <w:r w:rsidRPr="005D340D">
              <w:rPr>
                <w:rFonts w:ascii="Arial" w:hAnsi="Arial" w:cs="Arial"/>
                <w:sz w:val="18"/>
                <w:szCs w:val="18"/>
              </w:rPr>
              <w:t xml:space="preserve">Repayment of fixed term debt </w:t>
            </w:r>
          </w:p>
        </w:tc>
        <w:tc>
          <w:tcPr>
            <w:tcW w:w="576" w:type="pct"/>
            <w:gridSpan w:val="2"/>
            <w:tcBorders>
              <w:top w:val="nil"/>
              <w:left w:val="nil"/>
              <w:bottom w:val="nil"/>
              <w:right w:val="nil"/>
            </w:tcBorders>
            <w:shd w:val="clear" w:color="auto" w:fill="auto"/>
            <w:noWrap/>
            <w:vAlign w:val="bottom"/>
          </w:tcPr>
          <w:p w14:paraId="76C123CB" w14:textId="238D6FC9" w:rsidR="009A2B00" w:rsidRPr="00B01DA4" w:rsidRDefault="00B01DA4" w:rsidP="009A2B00">
            <w:pPr>
              <w:jc w:val="right"/>
              <w:rPr>
                <w:rFonts w:ascii="Arial" w:hAnsi="Arial" w:cs="Arial"/>
                <w:b/>
                <w:bCs/>
                <w:sz w:val="18"/>
                <w:szCs w:val="18"/>
              </w:rPr>
            </w:pPr>
            <w:r w:rsidRPr="00B01DA4">
              <w:rPr>
                <w:rFonts w:ascii="Arial" w:hAnsi="Arial" w:cs="Arial"/>
                <w:b/>
                <w:bCs/>
                <w:sz w:val="18"/>
                <w:szCs w:val="18"/>
              </w:rPr>
              <w:t>134</w:t>
            </w:r>
          </w:p>
        </w:tc>
        <w:tc>
          <w:tcPr>
            <w:tcW w:w="536" w:type="pct"/>
            <w:tcBorders>
              <w:top w:val="nil"/>
              <w:left w:val="nil"/>
              <w:bottom w:val="nil"/>
              <w:right w:val="single" w:sz="4" w:space="0" w:color="auto"/>
            </w:tcBorders>
            <w:shd w:val="clear" w:color="auto" w:fill="auto"/>
            <w:noWrap/>
            <w:vAlign w:val="bottom"/>
          </w:tcPr>
          <w:p w14:paraId="6A8714DC"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w:t>
            </w:r>
          </w:p>
        </w:tc>
      </w:tr>
      <w:tr w:rsidR="00B01DA4" w:rsidRPr="00AC4FCB" w14:paraId="7CBDB1A8" w14:textId="77777777" w:rsidTr="001606EE">
        <w:trPr>
          <w:trHeight w:val="255"/>
        </w:trPr>
        <w:tc>
          <w:tcPr>
            <w:tcW w:w="3888" w:type="pct"/>
            <w:tcBorders>
              <w:top w:val="nil"/>
              <w:left w:val="single" w:sz="4" w:space="0" w:color="auto"/>
              <w:bottom w:val="nil"/>
              <w:right w:val="nil"/>
            </w:tcBorders>
            <w:shd w:val="clear" w:color="auto" w:fill="auto"/>
            <w:noWrap/>
            <w:vAlign w:val="bottom"/>
          </w:tcPr>
          <w:p w14:paraId="0D4BC6BC" w14:textId="0FCB158A" w:rsidR="00B01DA4" w:rsidRPr="005D340D" w:rsidRDefault="00B01DA4" w:rsidP="009A2B00">
            <w:pPr>
              <w:rPr>
                <w:rFonts w:ascii="Arial" w:hAnsi="Arial" w:cs="Arial"/>
                <w:sz w:val="18"/>
                <w:szCs w:val="18"/>
              </w:rPr>
            </w:pPr>
            <w:r>
              <w:rPr>
                <w:rFonts w:ascii="Arial" w:hAnsi="Arial" w:cs="Arial"/>
                <w:sz w:val="18"/>
                <w:szCs w:val="18"/>
              </w:rPr>
              <w:t>Issue of fixed term debt</w:t>
            </w:r>
          </w:p>
        </w:tc>
        <w:tc>
          <w:tcPr>
            <w:tcW w:w="576" w:type="pct"/>
            <w:gridSpan w:val="2"/>
            <w:tcBorders>
              <w:top w:val="nil"/>
              <w:left w:val="nil"/>
              <w:bottom w:val="nil"/>
              <w:right w:val="nil"/>
            </w:tcBorders>
            <w:shd w:val="clear" w:color="auto" w:fill="auto"/>
            <w:noWrap/>
            <w:vAlign w:val="bottom"/>
          </w:tcPr>
          <w:p w14:paraId="2F13E4DA" w14:textId="666A9C48" w:rsidR="00B01DA4" w:rsidRPr="00B01DA4" w:rsidRDefault="00D70137" w:rsidP="009A2B00">
            <w:pPr>
              <w:jc w:val="right"/>
              <w:rPr>
                <w:rFonts w:ascii="Arial" w:hAnsi="Arial" w:cs="Arial"/>
                <w:b/>
                <w:bCs/>
                <w:sz w:val="18"/>
                <w:szCs w:val="18"/>
              </w:rPr>
            </w:pPr>
            <w:r>
              <w:rPr>
                <w:rFonts w:ascii="Arial" w:hAnsi="Arial" w:cs="Arial"/>
                <w:b/>
                <w:bCs/>
                <w:sz w:val="18"/>
                <w:szCs w:val="18"/>
              </w:rPr>
              <w:t>(139)</w:t>
            </w:r>
          </w:p>
        </w:tc>
        <w:tc>
          <w:tcPr>
            <w:tcW w:w="536" w:type="pct"/>
            <w:tcBorders>
              <w:top w:val="nil"/>
              <w:left w:val="nil"/>
              <w:bottom w:val="nil"/>
              <w:right w:val="single" w:sz="4" w:space="0" w:color="auto"/>
            </w:tcBorders>
            <w:shd w:val="clear" w:color="auto" w:fill="auto"/>
            <w:noWrap/>
            <w:vAlign w:val="bottom"/>
          </w:tcPr>
          <w:p w14:paraId="293F4EC5" w14:textId="75D51CCE" w:rsidR="00B01DA4" w:rsidRPr="009A2B00" w:rsidRDefault="00B01DA4" w:rsidP="009A2B00">
            <w:pPr>
              <w:jc w:val="right"/>
              <w:rPr>
                <w:rFonts w:ascii="Arial" w:hAnsi="Arial" w:cs="Arial"/>
                <w:bCs/>
                <w:sz w:val="18"/>
                <w:szCs w:val="18"/>
              </w:rPr>
            </w:pPr>
            <w:r w:rsidRPr="009A2B00">
              <w:rPr>
                <w:rFonts w:ascii="Arial" w:hAnsi="Arial" w:cs="Arial"/>
                <w:bCs/>
                <w:sz w:val="18"/>
                <w:szCs w:val="18"/>
              </w:rPr>
              <w:t>–</w:t>
            </w:r>
          </w:p>
        </w:tc>
      </w:tr>
      <w:tr w:rsidR="009A2B00" w:rsidRPr="00AC4FCB" w14:paraId="09D378EE" w14:textId="77777777" w:rsidTr="001606EE">
        <w:trPr>
          <w:trHeight w:val="255"/>
        </w:trPr>
        <w:tc>
          <w:tcPr>
            <w:tcW w:w="3888" w:type="pct"/>
            <w:tcBorders>
              <w:top w:val="nil"/>
              <w:left w:val="single" w:sz="4" w:space="0" w:color="auto"/>
              <w:bottom w:val="nil"/>
              <w:right w:val="nil"/>
            </w:tcBorders>
            <w:shd w:val="clear" w:color="auto" w:fill="auto"/>
            <w:noWrap/>
            <w:vAlign w:val="bottom"/>
          </w:tcPr>
          <w:p w14:paraId="15568119" w14:textId="77777777" w:rsidR="009A2B00" w:rsidRPr="005D340D" w:rsidRDefault="009A2B00" w:rsidP="009A2B00">
            <w:pPr>
              <w:rPr>
                <w:rFonts w:ascii="Arial" w:hAnsi="Arial" w:cs="Arial"/>
                <w:sz w:val="18"/>
                <w:szCs w:val="18"/>
              </w:rPr>
            </w:pPr>
            <w:r>
              <w:rPr>
                <w:rFonts w:ascii="Arial" w:hAnsi="Arial" w:cs="Arial"/>
                <w:sz w:val="18"/>
                <w:szCs w:val="18"/>
              </w:rPr>
              <w:t>Receipt</w:t>
            </w:r>
            <w:r w:rsidRPr="005D340D">
              <w:rPr>
                <w:rFonts w:ascii="Arial" w:hAnsi="Arial" w:cs="Arial"/>
                <w:sz w:val="18"/>
                <w:szCs w:val="18"/>
              </w:rPr>
              <w:t xml:space="preserve"> on financing derivatives</w:t>
            </w:r>
          </w:p>
        </w:tc>
        <w:tc>
          <w:tcPr>
            <w:tcW w:w="576" w:type="pct"/>
            <w:gridSpan w:val="2"/>
            <w:tcBorders>
              <w:top w:val="nil"/>
              <w:left w:val="nil"/>
              <w:bottom w:val="nil"/>
              <w:right w:val="nil"/>
            </w:tcBorders>
            <w:shd w:val="clear" w:color="auto" w:fill="auto"/>
            <w:noWrap/>
            <w:vAlign w:val="bottom"/>
          </w:tcPr>
          <w:p w14:paraId="32A3461E" w14:textId="6178C4BA" w:rsidR="009A2B00" w:rsidRPr="00B01DA4" w:rsidRDefault="00B01DA4" w:rsidP="009A2B00">
            <w:pPr>
              <w:jc w:val="right"/>
              <w:rPr>
                <w:rFonts w:ascii="Arial" w:hAnsi="Arial" w:cs="Arial"/>
                <w:b/>
                <w:bCs/>
                <w:sz w:val="18"/>
                <w:szCs w:val="18"/>
              </w:rPr>
            </w:pPr>
            <w:r w:rsidRPr="00B01DA4">
              <w:rPr>
                <w:rFonts w:ascii="Arial" w:hAnsi="Arial" w:cs="Arial"/>
                <w:b/>
                <w:bCs/>
                <w:sz w:val="18"/>
                <w:szCs w:val="18"/>
              </w:rPr>
              <w:t>(37)</w:t>
            </w:r>
          </w:p>
        </w:tc>
        <w:tc>
          <w:tcPr>
            <w:tcW w:w="536" w:type="pct"/>
            <w:tcBorders>
              <w:top w:val="nil"/>
              <w:left w:val="nil"/>
              <w:bottom w:val="nil"/>
              <w:right w:val="single" w:sz="4" w:space="0" w:color="auto"/>
            </w:tcBorders>
            <w:shd w:val="clear" w:color="auto" w:fill="auto"/>
            <w:noWrap/>
            <w:vAlign w:val="bottom"/>
          </w:tcPr>
          <w:p w14:paraId="3CC5C2EB"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w:t>
            </w:r>
          </w:p>
        </w:tc>
      </w:tr>
      <w:tr w:rsidR="009A2B00" w:rsidRPr="00AC4FCB" w14:paraId="037E69C1" w14:textId="77777777" w:rsidTr="001606EE">
        <w:trPr>
          <w:trHeight w:val="255"/>
        </w:trPr>
        <w:tc>
          <w:tcPr>
            <w:tcW w:w="3888" w:type="pct"/>
            <w:tcBorders>
              <w:top w:val="nil"/>
              <w:left w:val="single" w:sz="4" w:space="0" w:color="auto"/>
              <w:bottom w:val="single" w:sz="4" w:space="0" w:color="auto"/>
              <w:right w:val="nil"/>
            </w:tcBorders>
            <w:shd w:val="clear" w:color="auto" w:fill="auto"/>
            <w:noWrap/>
            <w:vAlign w:val="bottom"/>
          </w:tcPr>
          <w:p w14:paraId="10D307D9" w14:textId="77777777" w:rsidR="009A2B00" w:rsidRPr="005D340D" w:rsidRDefault="009A2B00" w:rsidP="009A2B00">
            <w:pPr>
              <w:rPr>
                <w:rFonts w:ascii="Arial" w:hAnsi="Arial" w:cs="Arial"/>
                <w:sz w:val="18"/>
                <w:szCs w:val="18"/>
              </w:rPr>
            </w:pPr>
            <w:r w:rsidRPr="005D340D">
              <w:rPr>
                <w:rFonts w:ascii="Arial" w:hAnsi="Arial" w:cs="Arial"/>
                <w:sz w:val="18"/>
                <w:szCs w:val="18"/>
              </w:rPr>
              <w:t xml:space="preserve">Capital element of finance lease rental payments </w:t>
            </w:r>
          </w:p>
        </w:tc>
        <w:tc>
          <w:tcPr>
            <w:tcW w:w="576" w:type="pct"/>
            <w:gridSpan w:val="2"/>
            <w:tcBorders>
              <w:top w:val="nil"/>
              <w:left w:val="nil"/>
              <w:bottom w:val="single" w:sz="4" w:space="0" w:color="auto"/>
              <w:right w:val="nil"/>
            </w:tcBorders>
            <w:shd w:val="clear" w:color="auto" w:fill="auto"/>
            <w:noWrap/>
            <w:vAlign w:val="bottom"/>
          </w:tcPr>
          <w:p w14:paraId="0AE0CAF4" w14:textId="739587C6" w:rsidR="009A2B00" w:rsidRPr="00B01DA4" w:rsidRDefault="009A2B00" w:rsidP="009A2B00">
            <w:pPr>
              <w:jc w:val="right"/>
              <w:rPr>
                <w:rFonts w:ascii="Arial" w:hAnsi="Arial" w:cs="Arial"/>
                <w:b/>
                <w:bCs/>
                <w:sz w:val="18"/>
                <w:szCs w:val="18"/>
              </w:rPr>
            </w:pPr>
            <w:r w:rsidRPr="00B01DA4">
              <w:rPr>
                <w:rFonts w:ascii="Arial" w:hAnsi="Arial" w:cs="Arial"/>
                <w:b/>
                <w:bCs/>
                <w:sz w:val="18"/>
                <w:szCs w:val="18"/>
              </w:rPr>
              <w:t>1</w:t>
            </w:r>
            <w:r w:rsidR="00B01DA4" w:rsidRPr="00B01DA4">
              <w:rPr>
                <w:rFonts w:ascii="Arial" w:hAnsi="Arial" w:cs="Arial"/>
                <w:b/>
                <w:bCs/>
                <w:sz w:val="18"/>
                <w:szCs w:val="18"/>
              </w:rPr>
              <w:t>0</w:t>
            </w:r>
          </w:p>
        </w:tc>
        <w:tc>
          <w:tcPr>
            <w:tcW w:w="536" w:type="pct"/>
            <w:tcBorders>
              <w:top w:val="nil"/>
              <w:left w:val="nil"/>
              <w:bottom w:val="single" w:sz="4" w:space="0" w:color="auto"/>
              <w:right w:val="single" w:sz="4" w:space="0" w:color="auto"/>
            </w:tcBorders>
            <w:shd w:val="clear" w:color="auto" w:fill="auto"/>
            <w:noWrap/>
            <w:vAlign w:val="bottom"/>
          </w:tcPr>
          <w:p w14:paraId="6CD6B22D"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11</w:t>
            </w:r>
          </w:p>
        </w:tc>
      </w:tr>
      <w:tr w:rsidR="009A2B00" w:rsidRPr="00AC4FCB" w14:paraId="54122AEB" w14:textId="77777777" w:rsidTr="001606EE">
        <w:trPr>
          <w:trHeight w:val="255"/>
        </w:trPr>
        <w:tc>
          <w:tcPr>
            <w:tcW w:w="3888" w:type="pct"/>
            <w:tcBorders>
              <w:top w:val="single" w:sz="4" w:space="0" w:color="auto"/>
              <w:left w:val="nil"/>
              <w:bottom w:val="nil"/>
              <w:right w:val="nil"/>
            </w:tcBorders>
            <w:shd w:val="clear" w:color="auto" w:fill="auto"/>
            <w:noWrap/>
            <w:vAlign w:val="bottom"/>
          </w:tcPr>
          <w:p w14:paraId="23ABB8E7" w14:textId="77777777" w:rsidR="009A2B00" w:rsidRPr="005D340D" w:rsidRDefault="009A2B00" w:rsidP="009A2B00">
            <w:pPr>
              <w:rPr>
                <w:rFonts w:ascii="Arial" w:hAnsi="Arial" w:cs="Arial"/>
                <w:b/>
                <w:sz w:val="18"/>
                <w:szCs w:val="18"/>
              </w:rPr>
            </w:pPr>
            <w:r w:rsidRPr="005D340D">
              <w:rPr>
                <w:rFonts w:ascii="Arial" w:hAnsi="Arial" w:cs="Arial"/>
                <w:b/>
                <w:sz w:val="18"/>
                <w:szCs w:val="18"/>
              </w:rPr>
              <w:t>Cash flow movement in net cash</w:t>
            </w:r>
          </w:p>
        </w:tc>
        <w:tc>
          <w:tcPr>
            <w:tcW w:w="576" w:type="pct"/>
            <w:gridSpan w:val="2"/>
            <w:tcBorders>
              <w:top w:val="single" w:sz="4" w:space="0" w:color="auto"/>
              <w:left w:val="nil"/>
              <w:bottom w:val="nil"/>
              <w:right w:val="nil"/>
            </w:tcBorders>
            <w:shd w:val="clear" w:color="auto" w:fill="auto"/>
            <w:noWrap/>
            <w:vAlign w:val="bottom"/>
          </w:tcPr>
          <w:p w14:paraId="0DE13AB5" w14:textId="22FA6474" w:rsidR="009A2B00" w:rsidRPr="00B01DA4" w:rsidRDefault="00B01DA4" w:rsidP="009A2B00">
            <w:pPr>
              <w:jc w:val="right"/>
              <w:rPr>
                <w:rFonts w:ascii="Arial" w:hAnsi="Arial" w:cs="Arial"/>
                <w:b/>
                <w:bCs/>
                <w:sz w:val="18"/>
                <w:szCs w:val="18"/>
              </w:rPr>
            </w:pPr>
            <w:r w:rsidRPr="00B01DA4">
              <w:rPr>
                <w:rFonts w:ascii="Arial" w:hAnsi="Arial" w:cs="Arial"/>
                <w:b/>
                <w:bCs/>
                <w:sz w:val="18"/>
                <w:szCs w:val="18"/>
              </w:rPr>
              <w:t>(</w:t>
            </w:r>
            <w:r w:rsidR="00FC4A8D">
              <w:rPr>
                <w:rFonts w:ascii="Arial" w:hAnsi="Arial" w:cs="Arial"/>
                <w:b/>
                <w:bCs/>
                <w:sz w:val="18"/>
                <w:szCs w:val="18"/>
              </w:rPr>
              <w:t>19</w:t>
            </w:r>
            <w:r w:rsidRPr="00B01DA4">
              <w:rPr>
                <w:rFonts w:ascii="Arial" w:hAnsi="Arial" w:cs="Arial"/>
                <w:b/>
                <w:bCs/>
                <w:sz w:val="18"/>
                <w:szCs w:val="18"/>
              </w:rPr>
              <w:t>)</w:t>
            </w:r>
          </w:p>
        </w:tc>
        <w:tc>
          <w:tcPr>
            <w:tcW w:w="536" w:type="pct"/>
            <w:tcBorders>
              <w:top w:val="single" w:sz="4" w:space="0" w:color="auto"/>
              <w:left w:val="nil"/>
              <w:bottom w:val="nil"/>
              <w:right w:val="nil"/>
            </w:tcBorders>
            <w:shd w:val="clear" w:color="auto" w:fill="auto"/>
            <w:noWrap/>
            <w:vAlign w:val="bottom"/>
          </w:tcPr>
          <w:p w14:paraId="1495DB7E"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(578)</w:t>
            </w:r>
          </w:p>
        </w:tc>
      </w:tr>
      <w:tr w:rsidR="009A2B00" w:rsidRPr="00AC4FCB" w14:paraId="05A486CB" w14:textId="77777777" w:rsidTr="001606EE">
        <w:trPr>
          <w:trHeight w:val="255"/>
        </w:trPr>
        <w:tc>
          <w:tcPr>
            <w:tcW w:w="3888" w:type="pct"/>
            <w:tcBorders>
              <w:top w:val="nil"/>
              <w:left w:val="nil"/>
              <w:bottom w:val="nil"/>
              <w:right w:val="nil"/>
            </w:tcBorders>
            <w:shd w:val="clear" w:color="auto" w:fill="auto"/>
            <w:noWrap/>
            <w:vAlign w:val="bottom"/>
          </w:tcPr>
          <w:p w14:paraId="58055169" w14:textId="77777777" w:rsidR="009A2B00" w:rsidRPr="00232C68" w:rsidRDefault="009A2B00" w:rsidP="009A2B00">
            <w:pPr>
              <w:rPr>
                <w:rFonts w:ascii="Arial" w:hAnsi="Arial" w:cs="Arial"/>
                <w:sz w:val="18"/>
                <w:szCs w:val="18"/>
              </w:rPr>
            </w:pPr>
            <w:r>
              <w:rPr>
                <w:rFonts w:ascii="Arial" w:hAnsi="Arial" w:cs="Arial"/>
                <w:sz w:val="18"/>
                <w:szCs w:val="18"/>
              </w:rPr>
              <w:t>Borrowings acquired</w:t>
            </w:r>
          </w:p>
        </w:tc>
        <w:tc>
          <w:tcPr>
            <w:tcW w:w="576" w:type="pct"/>
            <w:gridSpan w:val="2"/>
            <w:tcBorders>
              <w:top w:val="nil"/>
              <w:left w:val="nil"/>
              <w:bottom w:val="nil"/>
              <w:right w:val="nil"/>
            </w:tcBorders>
            <w:shd w:val="clear" w:color="auto" w:fill="auto"/>
            <w:noWrap/>
            <w:vAlign w:val="bottom"/>
          </w:tcPr>
          <w:p w14:paraId="5F111364" w14:textId="6842E663" w:rsidR="009A2B00" w:rsidRPr="00B01DA4" w:rsidRDefault="00B01DA4" w:rsidP="009A2B00">
            <w:pPr>
              <w:jc w:val="right"/>
              <w:rPr>
                <w:rFonts w:ascii="Arial" w:hAnsi="Arial" w:cs="Arial"/>
                <w:b/>
                <w:bCs/>
                <w:sz w:val="18"/>
                <w:szCs w:val="18"/>
              </w:rPr>
            </w:pPr>
            <w:r w:rsidRPr="00B01DA4">
              <w:rPr>
                <w:rFonts w:ascii="Arial" w:hAnsi="Arial" w:cs="Arial"/>
                <w:b/>
                <w:bCs/>
                <w:sz w:val="18"/>
                <w:szCs w:val="18"/>
              </w:rPr>
              <w:t>–</w:t>
            </w:r>
          </w:p>
        </w:tc>
        <w:tc>
          <w:tcPr>
            <w:tcW w:w="536" w:type="pct"/>
            <w:tcBorders>
              <w:top w:val="nil"/>
              <w:left w:val="nil"/>
              <w:bottom w:val="nil"/>
              <w:right w:val="nil"/>
            </w:tcBorders>
            <w:shd w:val="clear" w:color="auto" w:fill="auto"/>
            <w:noWrap/>
            <w:vAlign w:val="bottom"/>
          </w:tcPr>
          <w:p w14:paraId="2D21D2E6"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(7)</w:t>
            </w:r>
          </w:p>
        </w:tc>
      </w:tr>
      <w:tr w:rsidR="009A2B00" w:rsidRPr="00AC4FCB" w14:paraId="6E9574AE" w14:textId="77777777" w:rsidTr="001606EE">
        <w:trPr>
          <w:trHeight w:val="255"/>
        </w:trPr>
        <w:tc>
          <w:tcPr>
            <w:tcW w:w="3888" w:type="pct"/>
            <w:tcBorders>
              <w:top w:val="nil"/>
              <w:left w:val="nil"/>
              <w:bottom w:val="nil"/>
              <w:right w:val="nil"/>
            </w:tcBorders>
            <w:shd w:val="clear" w:color="auto" w:fill="auto"/>
            <w:noWrap/>
            <w:vAlign w:val="bottom"/>
          </w:tcPr>
          <w:p w14:paraId="13D3C6EE" w14:textId="77777777" w:rsidR="009A2B00" w:rsidRPr="00232C68" w:rsidRDefault="009A2B00" w:rsidP="009A2B00">
            <w:pPr>
              <w:rPr>
                <w:rFonts w:ascii="Arial" w:hAnsi="Arial" w:cs="Arial"/>
                <w:sz w:val="18"/>
                <w:szCs w:val="18"/>
              </w:rPr>
            </w:pPr>
            <w:r w:rsidRPr="00232C68">
              <w:rPr>
                <w:rFonts w:ascii="Arial" w:hAnsi="Arial" w:cs="Arial"/>
                <w:sz w:val="18"/>
                <w:szCs w:val="18"/>
              </w:rPr>
              <w:t>Exchange differences and other non-cash movements</w:t>
            </w:r>
          </w:p>
        </w:tc>
        <w:tc>
          <w:tcPr>
            <w:tcW w:w="576" w:type="pct"/>
            <w:gridSpan w:val="2"/>
            <w:tcBorders>
              <w:top w:val="nil"/>
              <w:left w:val="nil"/>
              <w:bottom w:val="nil"/>
              <w:right w:val="nil"/>
            </w:tcBorders>
            <w:shd w:val="clear" w:color="auto" w:fill="auto"/>
            <w:noWrap/>
            <w:vAlign w:val="bottom"/>
          </w:tcPr>
          <w:p w14:paraId="3E83603E" w14:textId="7AEC7800" w:rsidR="009A2B00" w:rsidRPr="00B01DA4" w:rsidRDefault="00FC4A8D" w:rsidP="009A2B00">
            <w:pPr>
              <w:jc w:val="right"/>
              <w:rPr>
                <w:rFonts w:ascii="Arial" w:hAnsi="Arial" w:cs="Arial"/>
                <w:b/>
                <w:bCs/>
                <w:sz w:val="18"/>
                <w:szCs w:val="18"/>
              </w:rPr>
            </w:pPr>
            <w:r>
              <w:rPr>
                <w:rFonts w:ascii="Arial" w:hAnsi="Arial" w:cs="Arial"/>
                <w:b/>
                <w:bCs/>
                <w:sz w:val="18"/>
                <w:szCs w:val="18"/>
              </w:rPr>
              <w:t>(1)</w:t>
            </w:r>
          </w:p>
        </w:tc>
        <w:tc>
          <w:tcPr>
            <w:tcW w:w="536" w:type="pct"/>
            <w:tcBorders>
              <w:top w:val="nil"/>
              <w:left w:val="nil"/>
              <w:bottom w:val="nil"/>
              <w:right w:val="nil"/>
            </w:tcBorders>
            <w:shd w:val="clear" w:color="auto" w:fill="auto"/>
            <w:noWrap/>
            <w:vAlign w:val="bottom"/>
          </w:tcPr>
          <w:p w14:paraId="511004D0"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12</w:t>
            </w:r>
          </w:p>
        </w:tc>
      </w:tr>
      <w:tr w:rsidR="009A2B00" w:rsidRPr="00AC4FCB" w14:paraId="61492660" w14:textId="77777777" w:rsidTr="001606EE">
        <w:trPr>
          <w:trHeight w:val="270"/>
        </w:trPr>
        <w:tc>
          <w:tcPr>
            <w:tcW w:w="3888" w:type="pct"/>
            <w:tcBorders>
              <w:top w:val="single" w:sz="4" w:space="0" w:color="auto"/>
              <w:left w:val="nil"/>
              <w:bottom w:val="single" w:sz="12" w:space="0" w:color="auto"/>
              <w:right w:val="nil"/>
            </w:tcBorders>
            <w:shd w:val="clear" w:color="auto" w:fill="auto"/>
            <w:noWrap/>
            <w:vAlign w:val="bottom"/>
          </w:tcPr>
          <w:p w14:paraId="76AA1E3C" w14:textId="77777777" w:rsidR="009A2B00" w:rsidRPr="00232C68" w:rsidRDefault="009A2B00" w:rsidP="009A2B00">
            <w:pPr>
              <w:rPr>
                <w:rFonts w:ascii="Arial" w:hAnsi="Arial" w:cs="Arial"/>
                <w:b/>
                <w:bCs/>
                <w:sz w:val="18"/>
                <w:szCs w:val="18"/>
              </w:rPr>
            </w:pPr>
            <w:r w:rsidRPr="00232C68">
              <w:rPr>
                <w:rFonts w:ascii="Arial" w:hAnsi="Arial" w:cs="Arial"/>
                <w:b/>
                <w:bCs/>
                <w:sz w:val="18"/>
                <w:szCs w:val="18"/>
              </w:rPr>
              <w:t xml:space="preserve">Net </w:t>
            </w:r>
            <w:r>
              <w:rPr>
                <w:rFonts w:ascii="Arial" w:hAnsi="Arial" w:cs="Arial"/>
                <w:b/>
                <w:bCs/>
                <w:sz w:val="18"/>
                <w:szCs w:val="18"/>
              </w:rPr>
              <w:t xml:space="preserve">cash </w:t>
            </w:r>
            <w:r w:rsidRPr="00232C68">
              <w:rPr>
                <w:rFonts w:ascii="Arial" w:hAnsi="Arial" w:cs="Arial"/>
                <w:b/>
                <w:bCs/>
                <w:sz w:val="18"/>
                <w:szCs w:val="18"/>
              </w:rPr>
              <w:t>at end of year</w:t>
            </w:r>
          </w:p>
        </w:tc>
        <w:tc>
          <w:tcPr>
            <w:tcW w:w="576" w:type="pct"/>
            <w:gridSpan w:val="2"/>
            <w:tcBorders>
              <w:top w:val="single" w:sz="4" w:space="0" w:color="auto"/>
              <w:left w:val="nil"/>
              <w:bottom w:val="single" w:sz="12" w:space="0" w:color="auto"/>
              <w:right w:val="nil"/>
            </w:tcBorders>
            <w:shd w:val="clear" w:color="auto" w:fill="auto"/>
            <w:noWrap/>
            <w:vAlign w:val="bottom"/>
          </w:tcPr>
          <w:p w14:paraId="7756DAB4" w14:textId="1BC7E386" w:rsidR="009A2B00" w:rsidRPr="00B01DA4" w:rsidRDefault="00B01DA4" w:rsidP="009A2B00">
            <w:pPr>
              <w:jc w:val="right"/>
              <w:rPr>
                <w:rFonts w:ascii="Arial" w:hAnsi="Arial" w:cs="Arial"/>
                <w:b/>
                <w:bCs/>
                <w:sz w:val="18"/>
                <w:szCs w:val="18"/>
              </w:rPr>
            </w:pPr>
            <w:r w:rsidRPr="00B01DA4">
              <w:rPr>
                <w:rFonts w:ascii="Arial" w:hAnsi="Arial" w:cs="Arial"/>
                <w:b/>
                <w:bCs/>
                <w:sz w:val="18"/>
                <w:szCs w:val="18"/>
              </w:rPr>
              <w:t>48</w:t>
            </w:r>
          </w:p>
        </w:tc>
        <w:tc>
          <w:tcPr>
            <w:tcW w:w="536" w:type="pct"/>
            <w:tcBorders>
              <w:top w:val="single" w:sz="4" w:space="0" w:color="auto"/>
              <w:left w:val="nil"/>
              <w:bottom w:val="single" w:sz="12" w:space="0" w:color="auto"/>
              <w:right w:val="nil"/>
            </w:tcBorders>
            <w:shd w:val="clear" w:color="auto" w:fill="auto"/>
            <w:noWrap/>
            <w:vAlign w:val="bottom"/>
          </w:tcPr>
          <w:p w14:paraId="5A1135C8" w14:textId="77777777" w:rsidR="009A2B00" w:rsidRPr="009A2B00" w:rsidRDefault="009A2B00" w:rsidP="009A2B00">
            <w:pPr>
              <w:jc w:val="right"/>
              <w:rPr>
                <w:rFonts w:ascii="Arial" w:hAnsi="Arial" w:cs="Arial"/>
                <w:bCs/>
                <w:sz w:val="18"/>
                <w:szCs w:val="18"/>
              </w:rPr>
            </w:pPr>
            <w:r w:rsidRPr="009A2B00">
              <w:rPr>
                <w:rFonts w:ascii="Arial" w:hAnsi="Arial" w:cs="Arial"/>
                <w:bCs/>
                <w:sz w:val="18"/>
                <w:szCs w:val="18"/>
              </w:rPr>
              <w:t>68</w:t>
            </w:r>
          </w:p>
        </w:tc>
      </w:tr>
    </w:tbl>
    <w:p w14:paraId="4E522038" w14:textId="77777777" w:rsidR="00387314" w:rsidRDefault="00387314">
      <w:pPr>
        <w:rPr>
          <w:rFonts w:ascii="Arial" w:hAnsi="Arial" w:cs="Arial"/>
          <w:sz w:val="18"/>
          <w:szCs w:val="18"/>
        </w:rPr>
      </w:pPr>
    </w:p>
    <w:p w14:paraId="3FAADB09" w14:textId="77777777" w:rsidR="00F84FA2" w:rsidRPr="00425B87" w:rsidRDefault="00FE135B" w:rsidP="00F84FA2">
      <w:pPr>
        <w:ind w:left="-567"/>
        <w:rPr>
          <w:rFonts w:ascii="Arial" w:hAnsi="Arial" w:cs="Arial"/>
          <w:b/>
          <w:sz w:val="18"/>
          <w:szCs w:val="18"/>
          <w:highlight w:val="yellow"/>
        </w:rPr>
      </w:pPr>
      <w:r>
        <w:rPr>
          <w:rFonts w:ascii="Arial" w:hAnsi="Arial" w:cs="Arial"/>
          <w:b/>
          <w:sz w:val="18"/>
          <w:szCs w:val="18"/>
        </w:rPr>
        <w:br w:type="page"/>
      </w:r>
      <w:r w:rsidR="00F84FA2" w:rsidRPr="00C54A75">
        <w:rPr>
          <w:rFonts w:ascii="Arial" w:hAnsi="Arial" w:cs="Arial"/>
          <w:b/>
          <w:sz w:val="18"/>
          <w:szCs w:val="18"/>
        </w:rPr>
        <w:lastRenderedPageBreak/>
        <w:t>12</w:t>
      </w:r>
      <w:r w:rsidR="00F84FA2" w:rsidRPr="00C54A75">
        <w:rPr>
          <w:rFonts w:ascii="Arial" w:hAnsi="Arial" w:cs="Arial"/>
          <w:b/>
          <w:sz w:val="18"/>
          <w:szCs w:val="18"/>
        </w:rPr>
        <w:tab/>
      </w:r>
      <w:r w:rsidR="003877A1">
        <w:rPr>
          <w:rFonts w:ascii="Arial" w:hAnsi="Arial" w:cs="Arial"/>
          <w:b/>
          <w:sz w:val="18"/>
          <w:szCs w:val="18"/>
        </w:rPr>
        <w:t>Acquisitions</w:t>
      </w:r>
      <w:r w:rsidR="0073382A">
        <w:rPr>
          <w:rFonts w:ascii="Arial" w:hAnsi="Arial" w:cs="Arial"/>
          <w:b/>
          <w:sz w:val="18"/>
          <w:szCs w:val="18"/>
        </w:rPr>
        <w:t xml:space="preserve"> </w:t>
      </w:r>
    </w:p>
    <w:p w14:paraId="18A1C82E" w14:textId="77777777" w:rsidR="00F84FA2" w:rsidRPr="003877A1" w:rsidRDefault="00F84FA2" w:rsidP="00F84FA2">
      <w:pPr>
        <w:rPr>
          <w:rFonts w:ascii="Arial" w:hAnsi="Arial" w:cs="Arial"/>
          <w:sz w:val="18"/>
          <w:szCs w:val="18"/>
        </w:rPr>
      </w:pPr>
    </w:p>
    <w:p w14:paraId="1189535F" w14:textId="1365072C" w:rsidR="003877A1" w:rsidRPr="00254DAF" w:rsidRDefault="007E2A0B" w:rsidP="00FA21A3">
      <w:pPr>
        <w:jc w:val="both"/>
        <w:rPr>
          <w:rFonts w:ascii="Arial" w:hAnsi="Arial" w:cs="Arial"/>
          <w:sz w:val="18"/>
          <w:szCs w:val="18"/>
        </w:rPr>
      </w:pPr>
      <w:r>
        <w:rPr>
          <w:rFonts w:ascii="Arial" w:hAnsi="Arial" w:cs="Arial"/>
          <w:sz w:val="18"/>
          <w:szCs w:val="18"/>
        </w:rPr>
        <w:t>In the prior year o</w:t>
      </w:r>
      <w:r w:rsidR="003877A1" w:rsidRPr="00254DAF">
        <w:rPr>
          <w:rFonts w:ascii="Arial" w:hAnsi="Arial" w:cs="Arial"/>
          <w:sz w:val="18"/>
          <w:szCs w:val="18"/>
        </w:rPr>
        <w:t>n 30 November 2017, the Group obtained control of Praktiker Romania S.</w:t>
      </w:r>
      <w:r w:rsidR="00C312AA" w:rsidRPr="00254DAF">
        <w:rPr>
          <w:rFonts w:ascii="Arial" w:hAnsi="Arial" w:cs="Arial"/>
          <w:sz w:val="18"/>
          <w:szCs w:val="18"/>
        </w:rPr>
        <w:t>A</w:t>
      </w:r>
      <w:r w:rsidR="003877A1" w:rsidRPr="00254DAF">
        <w:rPr>
          <w:rFonts w:ascii="Arial" w:hAnsi="Arial" w:cs="Arial"/>
          <w:sz w:val="18"/>
          <w:szCs w:val="18"/>
        </w:rPr>
        <w:t xml:space="preserve">. (“Praktiker”) by acquiring 100% of its share </w:t>
      </w:r>
      <w:r w:rsidR="004E5912" w:rsidRPr="00254DAF">
        <w:rPr>
          <w:rFonts w:ascii="Arial" w:hAnsi="Arial" w:cs="Arial"/>
          <w:sz w:val="18"/>
          <w:szCs w:val="18"/>
        </w:rPr>
        <w:t xml:space="preserve">capital for a </w:t>
      </w:r>
      <w:r w:rsidR="00254DAF" w:rsidRPr="00254DAF">
        <w:rPr>
          <w:rFonts w:ascii="Arial" w:hAnsi="Arial" w:cs="Arial"/>
          <w:sz w:val="18"/>
          <w:szCs w:val="18"/>
        </w:rPr>
        <w:t xml:space="preserve">cash </w:t>
      </w:r>
      <w:r w:rsidR="004E5912" w:rsidRPr="00254DAF">
        <w:rPr>
          <w:rFonts w:ascii="Arial" w:hAnsi="Arial" w:cs="Arial"/>
          <w:sz w:val="18"/>
          <w:szCs w:val="18"/>
        </w:rPr>
        <w:t xml:space="preserve">consideration </w:t>
      </w:r>
      <w:r w:rsidR="0002565F" w:rsidRPr="00254DAF">
        <w:rPr>
          <w:rFonts w:ascii="Arial" w:hAnsi="Arial" w:cs="Arial"/>
          <w:sz w:val="18"/>
          <w:szCs w:val="18"/>
        </w:rPr>
        <w:t>of £14</w:t>
      </w:r>
      <w:r w:rsidR="004E5912" w:rsidRPr="00254DAF">
        <w:rPr>
          <w:rFonts w:ascii="Arial" w:hAnsi="Arial" w:cs="Arial"/>
          <w:sz w:val="18"/>
          <w:szCs w:val="18"/>
        </w:rPr>
        <w:t>m</w:t>
      </w:r>
      <w:r w:rsidR="00254DAF" w:rsidRPr="00254DAF">
        <w:rPr>
          <w:rFonts w:ascii="Arial" w:hAnsi="Arial" w:cs="Arial"/>
          <w:sz w:val="18"/>
          <w:szCs w:val="18"/>
        </w:rPr>
        <w:t xml:space="preserve"> (excluding cash acquired of £2m)</w:t>
      </w:r>
      <w:r w:rsidR="003877A1" w:rsidRPr="00254DAF">
        <w:rPr>
          <w:rFonts w:ascii="Arial" w:hAnsi="Arial" w:cs="Arial"/>
          <w:sz w:val="18"/>
          <w:szCs w:val="18"/>
        </w:rPr>
        <w:t xml:space="preserve">. Praktiker is a home </w:t>
      </w:r>
      <w:r w:rsidR="00D778EE" w:rsidRPr="00254DAF">
        <w:rPr>
          <w:rFonts w:ascii="Arial" w:hAnsi="Arial" w:cs="Arial"/>
          <w:sz w:val="18"/>
          <w:szCs w:val="18"/>
        </w:rPr>
        <w:t xml:space="preserve">improvement retailer </w:t>
      </w:r>
      <w:r w:rsidR="00876548" w:rsidRPr="00254DAF">
        <w:rPr>
          <w:rFonts w:ascii="Arial" w:hAnsi="Arial" w:cs="Arial"/>
          <w:sz w:val="18"/>
          <w:szCs w:val="18"/>
        </w:rPr>
        <w:t xml:space="preserve">and was acquired to </w:t>
      </w:r>
      <w:r w:rsidR="003877A1" w:rsidRPr="00254DAF">
        <w:rPr>
          <w:rFonts w:ascii="Arial" w:hAnsi="Arial" w:cs="Arial"/>
          <w:sz w:val="18"/>
          <w:szCs w:val="18"/>
        </w:rPr>
        <w:t xml:space="preserve">strengthen the Group’s position in Romania. </w:t>
      </w:r>
    </w:p>
    <w:p w14:paraId="5C502200" w14:textId="77777777" w:rsidR="003877A1" w:rsidRPr="00254DAF" w:rsidRDefault="003877A1" w:rsidP="00FA21A3">
      <w:pPr>
        <w:jc w:val="both"/>
        <w:rPr>
          <w:rFonts w:ascii="Arial" w:hAnsi="Arial" w:cs="Arial"/>
          <w:sz w:val="18"/>
          <w:szCs w:val="18"/>
        </w:rPr>
      </w:pPr>
    </w:p>
    <w:p w14:paraId="09354693" w14:textId="77777777" w:rsidR="009E7B59" w:rsidRPr="00254DAF" w:rsidRDefault="004E5912" w:rsidP="00FA21A3">
      <w:pPr>
        <w:jc w:val="both"/>
        <w:rPr>
          <w:rFonts w:ascii="Arial" w:hAnsi="Arial" w:cs="Arial"/>
          <w:sz w:val="18"/>
          <w:szCs w:val="18"/>
        </w:rPr>
      </w:pPr>
      <w:r w:rsidRPr="00254DAF">
        <w:rPr>
          <w:rFonts w:ascii="Arial" w:hAnsi="Arial" w:cs="Arial"/>
          <w:sz w:val="18"/>
          <w:szCs w:val="18"/>
        </w:rPr>
        <w:t xml:space="preserve">Goodwill of </w:t>
      </w:r>
      <w:r w:rsidR="00A4058A" w:rsidRPr="00254DAF">
        <w:rPr>
          <w:rFonts w:ascii="Arial" w:hAnsi="Arial" w:cs="Arial"/>
          <w:sz w:val="18"/>
          <w:szCs w:val="18"/>
        </w:rPr>
        <w:t>£</w:t>
      </w:r>
      <w:r w:rsidRPr="00254DAF">
        <w:rPr>
          <w:rFonts w:ascii="Arial" w:hAnsi="Arial" w:cs="Arial"/>
          <w:sz w:val="18"/>
          <w:szCs w:val="18"/>
        </w:rPr>
        <w:t>36</w:t>
      </w:r>
      <w:r w:rsidR="00880C27" w:rsidRPr="00254DAF">
        <w:rPr>
          <w:rFonts w:ascii="Arial" w:hAnsi="Arial" w:cs="Arial"/>
          <w:sz w:val="18"/>
          <w:szCs w:val="18"/>
        </w:rPr>
        <w:t xml:space="preserve">m </w:t>
      </w:r>
      <w:r w:rsidR="009E7B59" w:rsidRPr="00254DAF">
        <w:rPr>
          <w:rFonts w:ascii="Arial" w:hAnsi="Arial" w:cs="Arial"/>
          <w:sz w:val="18"/>
          <w:szCs w:val="18"/>
        </w:rPr>
        <w:t>was</w:t>
      </w:r>
      <w:r w:rsidR="00880C27" w:rsidRPr="00254DAF">
        <w:rPr>
          <w:rFonts w:ascii="Arial" w:hAnsi="Arial" w:cs="Arial"/>
          <w:sz w:val="18"/>
          <w:szCs w:val="18"/>
        </w:rPr>
        <w:t xml:space="preserve"> reco</w:t>
      </w:r>
      <w:r w:rsidRPr="00254DAF">
        <w:rPr>
          <w:rFonts w:ascii="Arial" w:hAnsi="Arial" w:cs="Arial"/>
          <w:sz w:val="18"/>
          <w:szCs w:val="18"/>
        </w:rPr>
        <w:t>gnised on net liabilities acquired of</w:t>
      </w:r>
      <w:r w:rsidR="00880C27" w:rsidRPr="00254DAF">
        <w:rPr>
          <w:rFonts w:ascii="Arial" w:hAnsi="Arial" w:cs="Arial"/>
          <w:sz w:val="18"/>
          <w:szCs w:val="18"/>
        </w:rPr>
        <w:t xml:space="preserve"> £</w:t>
      </w:r>
      <w:r w:rsidRPr="00254DAF">
        <w:rPr>
          <w:rFonts w:ascii="Arial" w:hAnsi="Arial" w:cs="Arial"/>
          <w:sz w:val="18"/>
          <w:szCs w:val="18"/>
        </w:rPr>
        <w:t>22</w:t>
      </w:r>
      <w:r w:rsidR="00880C27" w:rsidRPr="00254DAF">
        <w:rPr>
          <w:rFonts w:ascii="Arial" w:hAnsi="Arial" w:cs="Arial"/>
          <w:sz w:val="18"/>
          <w:szCs w:val="18"/>
        </w:rPr>
        <w:t xml:space="preserve">m, representing a strategic premium to strengthen the Group’s position in Romania and anticipated synergies that will arise from the acquisition. </w:t>
      </w:r>
    </w:p>
    <w:p w14:paraId="5BE13072" w14:textId="77777777" w:rsidR="00DF6AA4" w:rsidRPr="00CC1A2D" w:rsidRDefault="00DF6AA4" w:rsidP="00DF6AA4">
      <w:pPr>
        <w:rPr>
          <w:rFonts w:ascii="Arial" w:hAnsi="Arial" w:cs="Arial"/>
          <w:sz w:val="18"/>
          <w:szCs w:val="18"/>
        </w:rPr>
      </w:pPr>
    </w:p>
    <w:p w14:paraId="690C6459" w14:textId="77777777" w:rsidR="00DF6AA4" w:rsidRPr="007550F3" w:rsidRDefault="00DF6AA4" w:rsidP="00DF6AA4">
      <w:pPr>
        <w:ind w:left="-567"/>
        <w:rPr>
          <w:rFonts w:ascii="Arial" w:hAnsi="Arial" w:cs="Arial"/>
          <w:b/>
          <w:sz w:val="18"/>
          <w:szCs w:val="18"/>
        </w:rPr>
      </w:pPr>
      <w:r w:rsidRPr="007550F3">
        <w:rPr>
          <w:rFonts w:ascii="Arial" w:hAnsi="Arial" w:cs="Arial"/>
          <w:b/>
          <w:sz w:val="18"/>
          <w:szCs w:val="18"/>
        </w:rPr>
        <w:t>1</w:t>
      </w:r>
      <w:r w:rsidR="00486887">
        <w:rPr>
          <w:rFonts w:ascii="Arial" w:hAnsi="Arial" w:cs="Arial"/>
          <w:b/>
          <w:sz w:val="18"/>
          <w:szCs w:val="18"/>
        </w:rPr>
        <w:t>3</w:t>
      </w:r>
      <w:r w:rsidRPr="007550F3">
        <w:rPr>
          <w:rFonts w:ascii="Arial" w:hAnsi="Arial" w:cs="Arial"/>
          <w:b/>
          <w:sz w:val="18"/>
          <w:szCs w:val="18"/>
        </w:rPr>
        <w:tab/>
      </w:r>
      <w:r>
        <w:rPr>
          <w:rFonts w:ascii="Arial" w:hAnsi="Arial" w:cs="Arial"/>
          <w:b/>
          <w:sz w:val="18"/>
          <w:szCs w:val="18"/>
        </w:rPr>
        <w:t xml:space="preserve">Contingent </w:t>
      </w:r>
      <w:r w:rsidR="00190480">
        <w:rPr>
          <w:rFonts w:ascii="Arial" w:hAnsi="Arial" w:cs="Arial"/>
          <w:b/>
          <w:sz w:val="18"/>
          <w:szCs w:val="18"/>
        </w:rPr>
        <w:t>liabilities</w:t>
      </w:r>
    </w:p>
    <w:p w14:paraId="1B72897E" w14:textId="77777777" w:rsidR="00DF6AA4" w:rsidRDefault="00DF6AA4" w:rsidP="00740EEA">
      <w:pPr>
        <w:rPr>
          <w:rFonts w:ascii="Arial" w:hAnsi="Arial" w:cs="Arial"/>
          <w:b/>
          <w:sz w:val="18"/>
          <w:szCs w:val="18"/>
        </w:rPr>
      </w:pPr>
    </w:p>
    <w:p w14:paraId="1411747A" w14:textId="77777777" w:rsidR="00DF6AA4" w:rsidRDefault="00DF6AA4" w:rsidP="00FA21A3">
      <w:pPr>
        <w:jc w:val="both"/>
        <w:rPr>
          <w:rFonts w:ascii="Arial" w:hAnsi="Arial" w:cs="Arial"/>
          <w:sz w:val="18"/>
          <w:szCs w:val="18"/>
        </w:rPr>
      </w:pPr>
      <w:bookmarkStart w:id="14" w:name="_Hlk2091738"/>
      <w:r w:rsidRPr="00FA21A3">
        <w:rPr>
          <w:rFonts w:ascii="Arial" w:hAnsi="Arial" w:cs="Arial"/>
          <w:sz w:val="18"/>
          <w:szCs w:val="18"/>
        </w:rPr>
        <w:t xml:space="preserve">The Group has arranged for certain guarantees to be provided to third parties in the ordinary course of business. Of these guarantees, </w:t>
      </w:r>
      <w:r w:rsidRPr="006F6889">
        <w:rPr>
          <w:rFonts w:ascii="Arial" w:hAnsi="Arial" w:cs="Arial"/>
          <w:sz w:val="18"/>
          <w:szCs w:val="18"/>
        </w:rPr>
        <w:t>£4</w:t>
      </w:r>
      <w:r w:rsidR="006F6889" w:rsidRPr="006F6889">
        <w:rPr>
          <w:rFonts w:ascii="Arial" w:hAnsi="Arial" w:cs="Arial"/>
          <w:sz w:val="18"/>
          <w:szCs w:val="18"/>
        </w:rPr>
        <w:t>3</w:t>
      </w:r>
      <w:r w:rsidRPr="006F6889">
        <w:rPr>
          <w:rFonts w:ascii="Arial" w:hAnsi="Arial" w:cs="Arial"/>
          <w:sz w:val="18"/>
          <w:szCs w:val="18"/>
        </w:rPr>
        <w:t>m</w:t>
      </w:r>
      <w:r w:rsidRPr="00FA21A3">
        <w:rPr>
          <w:rFonts w:ascii="Arial" w:hAnsi="Arial" w:cs="Arial"/>
          <w:sz w:val="18"/>
          <w:szCs w:val="18"/>
        </w:rPr>
        <w:t xml:space="preserve"> (201</w:t>
      </w:r>
      <w:r w:rsidR="009A2B00">
        <w:rPr>
          <w:rFonts w:ascii="Arial" w:hAnsi="Arial" w:cs="Arial"/>
          <w:sz w:val="18"/>
          <w:szCs w:val="18"/>
        </w:rPr>
        <w:t>7</w:t>
      </w:r>
      <w:r w:rsidRPr="00FA21A3">
        <w:rPr>
          <w:rFonts w:ascii="Arial" w:hAnsi="Arial" w:cs="Arial"/>
          <w:sz w:val="18"/>
          <w:szCs w:val="18"/>
        </w:rPr>
        <w:t>/1</w:t>
      </w:r>
      <w:r w:rsidR="009A2B00">
        <w:rPr>
          <w:rFonts w:ascii="Arial" w:hAnsi="Arial" w:cs="Arial"/>
          <w:sz w:val="18"/>
          <w:szCs w:val="18"/>
        </w:rPr>
        <w:t>8</w:t>
      </w:r>
      <w:r w:rsidRPr="00FA21A3">
        <w:rPr>
          <w:rFonts w:ascii="Arial" w:hAnsi="Arial" w:cs="Arial"/>
          <w:sz w:val="18"/>
          <w:szCs w:val="18"/>
        </w:rPr>
        <w:t>:</w:t>
      </w:r>
      <w:r w:rsidR="002522C1">
        <w:rPr>
          <w:rFonts w:ascii="Arial" w:hAnsi="Arial" w:cs="Arial"/>
          <w:sz w:val="18"/>
          <w:szCs w:val="18"/>
        </w:rPr>
        <w:t xml:space="preserve"> </w:t>
      </w:r>
      <w:r w:rsidRPr="00FA21A3">
        <w:rPr>
          <w:rFonts w:ascii="Arial" w:hAnsi="Arial" w:cs="Arial"/>
          <w:sz w:val="18"/>
          <w:szCs w:val="18"/>
        </w:rPr>
        <w:t>£</w:t>
      </w:r>
      <w:r w:rsidR="009A2B00">
        <w:rPr>
          <w:rFonts w:ascii="Arial" w:hAnsi="Arial" w:cs="Arial"/>
          <w:sz w:val="18"/>
          <w:szCs w:val="18"/>
        </w:rPr>
        <w:t>43</w:t>
      </w:r>
      <w:r w:rsidRPr="00FA21A3">
        <w:rPr>
          <w:rFonts w:ascii="Arial" w:hAnsi="Arial" w:cs="Arial"/>
          <w:sz w:val="18"/>
          <w:szCs w:val="18"/>
        </w:rPr>
        <w:t xml:space="preserve">m) </w:t>
      </w:r>
      <w:r w:rsidR="00E62F91">
        <w:rPr>
          <w:rFonts w:ascii="Arial" w:hAnsi="Arial" w:cs="Arial"/>
          <w:sz w:val="18"/>
          <w:szCs w:val="18"/>
        </w:rPr>
        <w:t>w</w:t>
      </w:r>
      <w:r w:rsidRPr="00FA21A3">
        <w:rPr>
          <w:rFonts w:ascii="Arial" w:hAnsi="Arial" w:cs="Arial"/>
          <w:sz w:val="18"/>
          <w:szCs w:val="18"/>
        </w:rPr>
        <w:t>ould crystallise due to possible future events not wholly within the Group’s control.</w:t>
      </w:r>
    </w:p>
    <w:p w14:paraId="7CAE2DA8" w14:textId="77777777" w:rsidR="00DF6AA4" w:rsidRPr="00FA21A3" w:rsidRDefault="00DF6AA4" w:rsidP="00FA21A3">
      <w:pPr>
        <w:jc w:val="both"/>
        <w:rPr>
          <w:rFonts w:ascii="Arial" w:hAnsi="Arial" w:cs="Arial"/>
          <w:sz w:val="18"/>
          <w:szCs w:val="18"/>
        </w:rPr>
      </w:pPr>
    </w:p>
    <w:p w14:paraId="411A6EDB" w14:textId="77777777" w:rsidR="00DF6AA4" w:rsidRDefault="00DF6AA4" w:rsidP="00FA21A3">
      <w:pPr>
        <w:jc w:val="both"/>
        <w:rPr>
          <w:rFonts w:ascii="Arial" w:hAnsi="Arial" w:cs="Arial"/>
          <w:sz w:val="18"/>
          <w:szCs w:val="18"/>
        </w:rPr>
      </w:pPr>
      <w:r w:rsidRPr="00FA21A3">
        <w:rPr>
          <w:rFonts w:ascii="Arial" w:hAnsi="Arial" w:cs="Arial"/>
          <w:sz w:val="18"/>
          <w:szCs w:val="18"/>
        </w:rPr>
        <w:t>The Group is subject to claims and litigation arising in the ordinary course of business and provision is made where liabilities are considered likely to arise on the basis of current information and legal advice.</w:t>
      </w:r>
    </w:p>
    <w:p w14:paraId="2E1BA5E5" w14:textId="77777777" w:rsidR="00DF6AA4" w:rsidRPr="00FA21A3" w:rsidRDefault="00DF6AA4" w:rsidP="00FA21A3">
      <w:pPr>
        <w:jc w:val="both"/>
        <w:rPr>
          <w:rFonts w:ascii="Arial" w:hAnsi="Arial" w:cs="Arial"/>
          <w:sz w:val="18"/>
          <w:szCs w:val="18"/>
        </w:rPr>
      </w:pPr>
    </w:p>
    <w:p w14:paraId="75B80FF7" w14:textId="77777777" w:rsidR="00DF6AA4" w:rsidRDefault="00DF6AA4" w:rsidP="00FA21A3">
      <w:pPr>
        <w:jc w:val="both"/>
        <w:rPr>
          <w:rFonts w:ascii="Arial" w:hAnsi="Arial" w:cs="Arial"/>
          <w:sz w:val="18"/>
          <w:szCs w:val="18"/>
        </w:rPr>
      </w:pPr>
      <w:r w:rsidRPr="00FA21A3">
        <w:rPr>
          <w:rFonts w:ascii="Arial" w:hAnsi="Arial" w:cs="Arial"/>
          <w:sz w:val="18"/>
          <w:szCs w:val="18"/>
        </w:rPr>
        <w:t xml:space="preserve">The Group files tax returns in many jurisdictions around the world and at any one time, is subject to periodic tax audits in the ordinary course of its business. Applicable tax laws and regulations are subject to differing interpretations and the resolution of a final tax position can take several years to complete. Where it is considered that future tax liabilities are more likely than not to arise, an appropriate provision is recognised in the financial statements. </w:t>
      </w:r>
    </w:p>
    <w:p w14:paraId="31496567" w14:textId="77777777" w:rsidR="00DF6AA4" w:rsidRDefault="00DF6AA4" w:rsidP="00FA21A3">
      <w:pPr>
        <w:jc w:val="both"/>
        <w:rPr>
          <w:rFonts w:ascii="Arial" w:hAnsi="Arial" w:cs="Arial"/>
          <w:sz w:val="18"/>
          <w:szCs w:val="18"/>
        </w:rPr>
      </w:pPr>
    </w:p>
    <w:p w14:paraId="67C3DED5" w14:textId="77777777" w:rsidR="00DF6AA4" w:rsidRPr="00E62F91" w:rsidRDefault="00DF6AA4" w:rsidP="00FA21A3">
      <w:pPr>
        <w:jc w:val="both"/>
        <w:rPr>
          <w:rFonts w:ascii="Arial" w:hAnsi="Arial" w:cs="Arial"/>
          <w:sz w:val="18"/>
          <w:szCs w:val="18"/>
        </w:rPr>
      </w:pPr>
      <w:r w:rsidRPr="00E62F91">
        <w:rPr>
          <w:rFonts w:ascii="Arial" w:hAnsi="Arial" w:cs="Arial"/>
          <w:sz w:val="18"/>
          <w:szCs w:val="18"/>
        </w:rPr>
        <w:t>Included within these audits is a dispute with the French Tax Authority regarding the treatment of interest paid since the 2010 year</w:t>
      </w:r>
      <w:r w:rsidR="00A96339" w:rsidRPr="00E62F91">
        <w:rPr>
          <w:rFonts w:ascii="Arial" w:hAnsi="Arial" w:cs="Arial"/>
          <w:sz w:val="18"/>
          <w:szCs w:val="18"/>
        </w:rPr>
        <w:t xml:space="preserve"> </w:t>
      </w:r>
      <w:r w:rsidRPr="00E62F91">
        <w:rPr>
          <w:rFonts w:ascii="Arial" w:hAnsi="Arial" w:cs="Arial"/>
          <w:sz w:val="18"/>
          <w:szCs w:val="18"/>
        </w:rPr>
        <w:t xml:space="preserve">end, where additional French tax of </w:t>
      </w:r>
      <w:r w:rsidR="00E62F91" w:rsidRPr="006F6889">
        <w:rPr>
          <w:rFonts w:ascii="Arial" w:hAnsi="Arial" w:cs="Arial"/>
          <w:sz w:val="18"/>
          <w:szCs w:val="18"/>
        </w:rPr>
        <w:t>€49m (£4</w:t>
      </w:r>
      <w:r w:rsidR="006F6889" w:rsidRPr="006F6889">
        <w:rPr>
          <w:rFonts w:ascii="Arial" w:hAnsi="Arial" w:cs="Arial"/>
          <w:sz w:val="18"/>
          <w:szCs w:val="18"/>
        </w:rPr>
        <w:t>3</w:t>
      </w:r>
      <w:r w:rsidR="00E62F91" w:rsidRPr="006F6889">
        <w:rPr>
          <w:rFonts w:ascii="Arial" w:hAnsi="Arial" w:cs="Arial"/>
          <w:sz w:val="18"/>
          <w:szCs w:val="18"/>
        </w:rPr>
        <w:t>m)</w:t>
      </w:r>
      <w:r w:rsidR="00190480" w:rsidRPr="006F6889">
        <w:rPr>
          <w:rFonts w:ascii="Arial" w:hAnsi="Arial" w:cs="Arial"/>
          <w:sz w:val="18"/>
          <w:szCs w:val="18"/>
        </w:rPr>
        <w:t xml:space="preserve"> </w:t>
      </w:r>
      <w:r w:rsidRPr="006F6889">
        <w:rPr>
          <w:rFonts w:ascii="Arial" w:hAnsi="Arial" w:cs="Arial"/>
          <w:sz w:val="18"/>
          <w:szCs w:val="18"/>
        </w:rPr>
        <w:t xml:space="preserve">has been assessed and for which a bank guarantee is now in place. </w:t>
      </w:r>
      <w:r w:rsidR="00990EC0" w:rsidRPr="006F6889">
        <w:rPr>
          <w:rFonts w:ascii="Arial" w:hAnsi="Arial" w:cs="Arial"/>
          <w:sz w:val="18"/>
          <w:szCs w:val="18"/>
        </w:rPr>
        <w:t>At the balance sheet date, interest</w:t>
      </w:r>
      <w:r w:rsidRPr="006F6889">
        <w:rPr>
          <w:rFonts w:ascii="Arial" w:hAnsi="Arial" w:cs="Arial"/>
          <w:sz w:val="18"/>
          <w:szCs w:val="18"/>
        </w:rPr>
        <w:t xml:space="preserve"> and penalties of </w:t>
      </w:r>
      <w:r w:rsidR="00E62F91" w:rsidRPr="006F6889">
        <w:rPr>
          <w:rFonts w:ascii="Arial" w:hAnsi="Arial" w:cs="Arial"/>
          <w:sz w:val="18"/>
          <w:szCs w:val="18"/>
        </w:rPr>
        <w:t>€5</w:t>
      </w:r>
      <w:r w:rsidR="00C91952" w:rsidRPr="006F6889">
        <w:rPr>
          <w:rFonts w:ascii="Arial" w:hAnsi="Arial" w:cs="Arial"/>
          <w:sz w:val="18"/>
          <w:szCs w:val="18"/>
        </w:rPr>
        <w:t>1</w:t>
      </w:r>
      <w:r w:rsidR="00E62F91" w:rsidRPr="006F6889">
        <w:rPr>
          <w:rFonts w:ascii="Arial" w:hAnsi="Arial" w:cs="Arial"/>
          <w:sz w:val="18"/>
          <w:szCs w:val="18"/>
        </w:rPr>
        <w:t>m (£4</w:t>
      </w:r>
      <w:r w:rsidR="00C91952" w:rsidRPr="006F6889">
        <w:rPr>
          <w:rFonts w:ascii="Arial" w:hAnsi="Arial" w:cs="Arial"/>
          <w:sz w:val="18"/>
          <w:szCs w:val="18"/>
        </w:rPr>
        <w:t>4</w:t>
      </w:r>
      <w:r w:rsidR="00E62F91" w:rsidRPr="006F6889">
        <w:rPr>
          <w:rFonts w:ascii="Arial" w:hAnsi="Arial" w:cs="Arial"/>
          <w:sz w:val="18"/>
          <w:szCs w:val="18"/>
        </w:rPr>
        <w:t>m)</w:t>
      </w:r>
      <w:r w:rsidR="00190480" w:rsidRPr="00E62F91">
        <w:rPr>
          <w:rFonts w:ascii="Arial" w:hAnsi="Arial" w:cs="Arial"/>
          <w:sz w:val="18"/>
          <w:szCs w:val="18"/>
        </w:rPr>
        <w:t xml:space="preserve"> </w:t>
      </w:r>
      <w:r w:rsidRPr="00E62F91">
        <w:rPr>
          <w:rFonts w:ascii="Arial" w:hAnsi="Arial" w:cs="Arial"/>
          <w:sz w:val="18"/>
          <w:szCs w:val="18"/>
        </w:rPr>
        <w:t xml:space="preserve">would </w:t>
      </w:r>
      <w:r w:rsidR="00990EC0" w:rsidRPr="00E62F91">
        <w:rPr>
          <w:rFonts w:ascii="Arial" w:hAnsi="Arial" w:cs="Arial"/>
          <w:sz w:val="18"/>
          <w:szCs w:val="18"/>
        </w:rPr>
        <w:t>be due</w:t>
      </w:r>
      <w:r w:rsidRPr="00E62F91">
        <w:rPr>
          <w:rFonts w:ascii="Arial" w:hAnsi="Arial" w:cs="Arial"/>
          <w:sz w:val="18"/>
          <w:szCs w:val="18"/>
        </w:rPr>
        <w:t xml:space="preserve"> on this assessment if not challenged successfully. Having taken external professional advice, the Group disagrees with the assessment and intends to defend its position through the courts. The Group does not consider it necessary to make provision for the amounts assessed at the current time, nor for any potential further amounts which may be assessed for subsequent years.</w:t>
      </w:r>
    </w:p>
    <w:p w14:paraId="604876FB" w14:textId="77777777" w:rsidR="00DF6AA4" w:rsidRPr="00E62F91" w:rsidRDefault="00DF6AA4" w:rsidP="00FA21A3">
      <w:pPr>
        <w:jc w:val="both"/>
        <w:rPr>
          <w:rFonts w:ascii="Arial" w:hAnsi="Arial" w:cs="Arial"/>
          <w:sz w:val="18"/>
          <w:szCs w:val="18"/>
        </w:rPr>
      </w:pPr>
    </w:p>
    <w:p w14:paraId="570960B6" w14:textId="77777777" w:rsidR="00DF6AA4" w:rsidRPr="00FA21A3" w:rsidRDefault="00DF6AA4" w:rsidP="00FA21A3">
      <w:pPr>
        <w:jc w:val="both"/>
        <w:rPr>
          <w:rFonts w:ascii="Arial" w:hAnsi="Arial" w:cs="Arial"/>
          <w:sz w:val="18"/>
          <w:szCs w:val="18"/>
        </w:rPr>
      </w:pPr>
      <w:r w:rsidRPr="00E62F91">
        <w:rPr>
          <w:rFonts w:ascii="Arial" w:hAnsi="Arial" w:cs="Arial"/>
          <w:sz w:val="18"/>
          <w:szCs w:val="18"/>
        </w:rPr>
        <w:t>In October 2017, the European Commission opened a state aid investigation into the Group Financing Exemption section of the UK controlled foreign company rules. Along with many other UK-based international companies, the Group may be affected by the outcome of this investigation and is therefore monitoring developments. The Group does not currently consider any provision is required in relation to EU State Aid.</w:t>
      </w:r>
    </w:p>
    <w:p w14:paraId="1DD004AE" w14:textId="77777777" w:rsidR="00DF6AA4" w:rsidRPr="00FA21A3" w:rsidRDefault="00DF6AA4" w:rsidP="00FA21A3">
      <w:pPr>
        <w:jc w:val="both"/>
        <w:rPr>
          <w:rFonts w:ascii="Arial" w:hAnsi="Arial" w:cs="Arial"/>
          <w:sz w:val="18"/>
          <w:szCs w:val="18"/>
        </w:rPr>
      </w:pPr>
    </w:p>
    <w:p w14:paraId="50504387" w14:textId="77777777" w:rsidR="00486887" w:rsidRDefault="00DF6AA4" w:rsidP="00FA21A3">
      <w:pPr>
        <w:jc w:val="both"/>
        <w:rPr>
          <w:rFonts w:ascii="Arial" w:hAnsi="Arial" w:cs="Arial"/>
          <w:sz w:val="18"/>
          <w:szCs w:val="18"/>
        </w:rPr>
      </w:pPr>
      <w:r w:rsidRPr="00FA21A3">
        <w:rPr>
          <w:rFonts w:ascii="Arial" w:hAnsi="Arial" w:cs="Arial"/>
          <w:sz w:val="18"/>
          <w:szCs w:val="18"/>
        </w:rPr>
        <w:t xml:space="preserve">Whilst the procedures that must be followed to resolve these </w:t>
      </w:r>
      <w:r w:rsidR="00107608">
        <w:rPr>
          <w:rFonts w:ascii="Arial" w:hAnsi="Arial" w:cs="Arial"/>
          <w:sz w:val="18"/>
          <w:szCs w:val="18"/>
        </w:rPr>
        <w:t>types</w:t>
      </w:r>
      <w:r w:rsidRPr="00FA21A3">
        <w:rPr>
          <w:rFonts w:ascii="Arial" w:hAnsi="Arial" w:cs="Arial"/>
          <w:sz w:val="18"/>
          <w:szCs w:val="18"/>
        </w:rPr>
        <w:t xml:space="preserve"> of tax issues make it likely that it will be some years before the eventual outcome is known, the Group does not currently expect the outcome of these contingent liabilities to have a material effect on the Group’s financial position.</w:t>
      </w:r>
    </w:p>
    <w:bookmarkEnd w:id="14"/>
    <w:p w14:paraId="53DB02C5" w14:textId="77777777" w:rsidR="00DF6AA4" w:rsidRPr="00740EEA" w:rsidRDefault="00DF6AA4" w:rsidP="00740EEA">
      <w:pPr>
        <w:rPr>
          <w:rFonts w:ascii="Arial" w:hAnsi="Arial" w:cs="Arial"/>
          <w:b/>
          <w:sz w:val="18"/>
          <w:szCs w:val="18"/>
        </w:rPr>
      </w:pPr>
    </w:p>
    <w:sectPr w:rsidR="00DF6AA4" w:rsidRPr="00740EEA" w:rsidSect="0038487F">
      <w:headerReference w:type="even" r:id="rId8"/>
      <w:headerReference w:type="default" r:id="rId9"/>
      <w:footerReference w:type="even" r:id="rId10"/>
      <w:footerReference w:type="default" r:id="rId11"/>
      <w:headerReference w:type="first" r:id="rId12"/>
      <w:footerReference w:type="first" r:id="rId13"/>
      <w:pgSz w:w="11907" w:h="16840" w:code="9"/>
      <w:pgMar w:top="624" w:right="1134" w:bottom="28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F05F0" w14:textId="77777777" w:rsidR="00F11D60" w:rsidRDefault="00F11D60">
      <w:r>
        <w:separator/>
      </w:r>
    </w:p>
  </w:endnote>
  <w:endnote w:type="continuationSeparator" w:id="0">
    <w:p w14:paraId="41090E42" w14:textId="77777777" w:rsidR="00F11D60" w:rsidRDefault="00F1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ZapfCalligr BT">
    <w:altName w:val="Calibri"/>
    <w:charset w:val="00"/>
    <w:family w:val="roman"/>
    <w:pitch w:val="variable"/>
    <w:sig w:usb0="00000087" w:usb1="00000000" w:usb2="00000000" w:usb3="00000000" w:csb0="0000001B" w:csb1="00000000"/>
  </w:font>
  <w:font w:name="Trade Gothic LT Std Light">
    <w:altName w:val="Calibri"/>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C06B" w14:textId="77777777" w:rsidR="00F11D60" w:rsidRDefault="00F11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C11B" w14:textId="77777777" w:rsidR="00F11D60" w:rsidRDefault="00F11D60">
    <w:pPr>
      <w:pStyle w:val="Footer"/>
      <w:jc w:val="right"/>
    </w:pPr>
  </w:p>
  <w:p w14:paraId="076507AC" w14:textId="77777777" w:rsidR="00F11D60" w:rsidRDefault="00F11D60" w:rsidP="002565C4">
    <w:pPr>
      <w:pStyle w:val="Footer"/>
      <w:tabs>
        <w:tab w:val="clear" w:pos="4153"/>
        <w:tab w:val="clear" w:pos="8306"/>
        <w:tab w:val="center" w:pos="4791"/>
        <w:tab w:val="right" w:pos="9582"/>
      </w:tabs>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9FF2" w14:textId="77777777" w:rsidR="00F11D60" w:rsidRDefault="00F11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31239" w14:textId="77777777" w:rsidR="00F11D60" w:rsidRDefault="00F11D60">
      <w:r>
        <w:separator/>
      </w:r>
    </w:p>
  </w:footnote>
  <w:footnote w:type="continuationSeparator" w:id="0">
    <w:p w14:paraId="34F62BB7" w14:textId="77777777" w:rsidR="00F11D60" w:rsidRDefault="00F1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FD5B" w14:textId="64EF3094" w:rsidR="00F11D60" w:rsidRDefault="00F11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3948" w14:textId="47279B6C" w:rsidR="00F11D60" w:rsidRDefault="00F11D60" w:rsidP="002C04AF">
    <w:pPr>
      <w:pStyle w:val="Header"/>
      <w:tabs>
        <w:tab w:val="clear" w:pos="4153"/>
        <w:tab w:val="clear" w:pos="8306"/>
        <w:tab w:val="center" w:pos="4819"/>
        <w:tab w:val="right" w:pos="9639"/>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E5E2" w14:textId="3EC69FD9" w:rsidR="00F11D60" w:rsidRDefault="00F11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7D32"/>
    <w:multiLevelType w:val="singleLevel"/>
    <w:tmpl w:val="5EC4DBAC"/>
    <w:lvl w:ilvl="0">
      <w:start w:val="20"/>
      <w:numFmt w:val="decimal"/>
      <w:pStyle w:val="Heading5"/>
      <w:lvlText w:val="%1"/>
      <w:lvlJc w:val="left"/>
      <w:pPr>
        <w:tabs>
          <w:tab w:val="num" w:pos="3"/>
        </w:tabs>
        <w:ind w:left="3" w:hanging="570"/>
      </w:pPr>
      <w:rPr>
        <w:b/>
        <w:i w:val="0"/>
      </w:rPr>
    </w:lvl>
  </w:abstractNum>
  <w:abstractNum w:abstractNumId="1" w15:restartNumberingAfterBreak="0">
    <w:nsid w:val="20841B30"/>
    <w:multiLevelType w:val="hybridMultilevel"/>
    <w:tmpl w:val="1E38AABC"/>
    <w:lvl w:ilvl="0" w:tplc="B204CC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0A78C7"/>
    <w:multiLevelType w:val="hybridMultilevel"/>
    <w:tmpl w:val="5F049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0A3E4E"/>
    <w:multiLevelType w:val="hybridMultilevel"/>
    <w:tmpl w:val="1C7AF33E"/>
    <w:lvl w:ilvl="0" w:tplc="D74C2228">
      <w:start w:val="1"/>
      <w:numFmt w:val="bullet"/>
      <w:pStyle w:val="indent12"/>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66F37"/>
    <w:multiLevelType w:val="singleLevel"/>
    <w:tmpl w:val="FFFFFFFF"/>
    <w:lvl w:ilvl="0">
      <w:numFmt w:val="decimal"/>
      <w:pStyle w:val="Heading4"/>
      <w:lvlText w:val="%1"/>
      <w:legacy w:legacy="1" w:legacySpace="0" w:legacyIndent="0"/>
      <w:lvlJc w:val="left"/>
    </w:lvl>
  </w:abstractNum>
  <w:abstractNum w:abstractNumId="5" w15:restartNumberingAfterBreak="0">
    <w:nsid w:val="4E9B6190"/>
    <w:multiLevelType w:val="hybridMultilevel"/>
    <w:tmpl w:val="49C0B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3F449E"/>
    <w:multiLevelType w:val="hybridMultilevel"/>
    <w:tmpl w:val="8242A792"/>
    <w:lvl w:ilvl="0" w:tplc="EC5038DC">
      <w:start w:val="1"/>
      <w:numFmt w:val="decimal"/>
      <w:lvlText w:val="%1"/>
      <w:lvlJc w:val="left"/>
      <w:pPr>
        <w:tabs>
          <w:tab w:val="num" w:pos="570"/>
        </w:tabs>
        <w:ind w:left="570" w:hanging="570"/>
      </w:pPr>
      <w:rPr>
        <w:rFonts w:hint="default"/>
      </w:rPr>
    </w:lvl>
    <w:lvl w:ilvl="1" w:tplc="E52EAE90">
      <w:start w:val="1"/>
      <w:numFmt w:val="lowerLetter"/>
      <w:lvlText w:val="%2."/>
      <w:lvlJc w:val="left"/>
      <w:pPr>
        <w:tabs>
          <w:tab w:val="num" w:pos="513"/>
        </w:tabs>
        <w:ind w:left="513" w:hanging="360"/>
      </w:pPr>
      <w:rPr>
        <w:rFonts w:hint="default"/>
      </w:r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7" w15:restartNumberingAfterBreak="0">
    <w:nsid w:val="6E087AB0"/>
    <w:multiLevelType w:val="hybridMultilevel"/>
    <w:tmpl w:val="1D6E56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5980685"/>
    <w:multiLevelType w:val="hybridMultilevel"/>
    <w:tmpl w:val="7E0E76C4"/>
    <w:lvl w:ilvl="0" w:tplc="12BAA7F8">
      <w:start w:val="27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3"/>
  </w:num>
  <w:num w:numId="6">
    <w:abstractNumId w:val="8"/>
  </w:num>
  <w:num w:numId="7">
    <w:abstractNumId w:val="5"/>
  </w:num>
  <w:num w:numId="8">
    <w:abstractNumId w:val="2"/>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9B"/>
    <w:rsid w:val="00000131"/>
    <w:rsid w:val="00000625"/>
    <w:rsid w:val="0000069B"/>
    <w:rsid w:val="00000B93"/>
    <w:rsid w:val="000012F7"/>
    <w:rsid w:val="0000171E"/>
    <w:rsid w:val="00002877"/>
    <w:rsid w:val="00002AC7"/>
    <w:rsid w:val="00002E67"/>
    <w:rsid w:val="000030BA"/>
    <w:rsid w:val="00003869"/>
    <w:rsid w:val="00003CCC"/>
    <w:rsid w:val="00003E96"/>
    <w:rsid w:val="00004097"/>
    <w:rsid w:val="000041A8"/>
    <w:rsid w:val="00004734"/>
    <w:rsid w:val="00004B05"/>
    <w:rsid w:val="00005119"/>
    <w:rsid w:val="00005170"/>
    <w:rsid w:val="000052BB"/>
    <w:rsid w:val="0000538E"/>
    <w:rsid w:val="0000572B"/>
    <w:rsid w:val="00005744"/>
    <w:rsid w:val="00005D53"/>
    <w:rsid w:val="00005E35"/>
    <w:rsid w:val="00006072"/>
    <w:rsid w:val="0000617C"/>
    <w:rsid w:val="00006220"/>
    <w:rsid w:val="000066B1"/>
    <w:rsid w:val="000066DB"/>
    <w:rsid w:val="0000739C"/>
    <w:rsid w:val="0000755A"/>
    <w:rsid w:val="000076D3"/>
    <w:rsid w:val="000079A7"/>
    <w:rsid w:val="00010299"/>
    <w:rsid w:val="00010337"/>
    <w:rsid w:val="000103FE"/>
    <w:rsid w:val="0001050F"/>
    <w:rsid w:val="000108F1"/>
    <w:rsid w:val="00010EB7"/>
    <w:rsid w:val="00010FDE"/>
    <w:rsid w:val="000116C7"/>
    <w:rsid w:val="00011966"/>
    <w:rsid w:val="00011FB0"/>
    <w:rsid w:val="000125F4"/>
    <w:rsid w:val="00012BD6"/>
    <w:rsid w:val="00013709"/>
    <w:rsid w:val="00013760"/>
    <w:rsid w:val="00013805"/>
    <w:rsid w:val="000140BE"/>
    <w:rsid w:val="0001426E"/>
    <w:rsid w:val="000145C8"/>
    <w:rsid w:val="00014714"/>
    <w:rsid w:val="00014858"/>
    <w:rsid w:val="00014F14"/>
    <w:rsid w:val="00015011"/>
    <w:rsid w:val="000151F2"/>
    <w:rsid w:val="000159F2"/>
    <w:rsid w:val="00015A47"/>
    <w:rsid w:val="00015A51"/>
    <w:rsid w:val="00015E39"/>
    <w:rsid w:val="0001605E"/>
    <w:rsid w:val="00016193"/>
    <w:rsid w:val="000162FC"/>
    <w:rsid w:val="00016C82"/>
    <w:rsid w:val="0001734A"/>
    <w:rsid w:val="000175E9"/>
    <w:rsid w:val="00017DA7"/>
    <w:rsid w:val="000206F0"/>
    <w:rsid w:val="000207B7"/>
    <w:rsid w:val="00020865"/>
    <w:rsid w:val="0002107F"/>
    <w:rsid w:val="000213CF"/>
    <w:rsid w:val="000216F3"/>
    <w:rsid w:val="00021933"/>
    <w:rsid w:val="00021960"/>
    <w:rsid w:val="00021AEE"/>
    <w:rsid w:val="00022222"/>
    <w:rsid w:val="00022669"/>
    <w:rsid w:val="00022ED8"/>
    <w:rsid w:val="00023193"/>
    <w:rsid w:val="0002320F"/>
    <w:rsid w:val="00023686"/>
    <w:rsid w:val="0002443A"/>
    <w:rsid w:val="000245C8"/>
    <w:rsid w:val="000246E8"/>
    <w:rsid w:val="000252F4"/>
    <w:rsid w:val="0002565F"/>
    <w:rsid w:val="000261C3"/>
    <w:rsid w:val="00026B17"/>
    <w:rsid w:val="00026BDF"/>
    <w:rsid w:val="00026DC2"/>
    <w:rsid w:val="00027177"/>
    <w:rsid w:val="000276A4"/>
    <w:rsid w:val="00027960"/>
    <w:rsid w:val="000300CD"/>
    <w:rsid w:val="000307F1"/>
    <w:rsid w:val="00030C3C"/>
    <w:rsid w:val="00030CF2"/>
    <w:rsid w:val="00030D4A"/>
    <w:rsid w:val="00030FAF"/>
    <w:rsid w:val="000313E8"/>
    <w:rsid w:val="00031406"/>
    <w:rsid w:val="00031660"/>
    <w:rsid w:val="000318BA"/>
    <w:rsid w:val="00031A0A"/>
    <w:rsid w:val="00031A29"/>
    <w:rsid w:val="00032013"/>
    <w:rsid w:val="00032030"/>
    <w:rsid w:val="00032386"/>
    <w:rsid w:val="00032DF9"/>
    <w:rsid w:val="00032DFC"/>
    <w:rsid w:val="000332F2"/>
    <w:rsid w:val="00033499"/>
    <w:rsid w:val="00033D35"/>
    <w:rsid w:val="00033E60"/>
    <w:rsid w:val="00033E7F"/>
    <w:rsid w:val="00034526"/>
    <w:rsid w:val="00034711"/>
    <w:rsid w:val="00034840"/>
    <w:rsid w:val="00034854"/>
    <w:rsid w:val="00034D55"/>
    <w:rsid w:val="000354C6"/>
    <w:rsid w:val="000356E7"/>
    <w:rsid w:val="00035762"/>
    <w:rsid w:val="00035E2B"/>
    <w:rsid w:val="00036712"/>
    <w:rsid w:val="00036839"/>
    <w:rsid w:val="00036D7D"/>
    <w:rsid w:val="00036FE9"/>
    <w:rsid w:val="0003702D"/>
    <w:rsid w:val="00037946"/>
    <w:rsid w:val="00037FA4"/>
    <w:rsid w:val="00040B60"/>
    <w:rsid w:val="00040C03"/>
    <w:rsid w:val="0004115E"/>
    <w:rsid w:val="00041F6D"/>
    <w:rsid w:val="00043353"/>
    <w:rsid w:val="00043557"/>
    <w:rsid w:val="00043D7E"/>
    <w:rsid w:val="000443ED"/>
    <w:rsid w:val="0004452D"/>
    <w:rsid w:val="000446BC"/>
    <w:rsid w:val="00044F94"/>
    <w:rsid w:val="000452CE"/>
    <w:rsid w:val="00045411"/>
    <w:rsid w:val="000459AB"/>
    <w:rsid w:val="00045E3A"/>
    <w:rsid w:val="00046412"/>
    <w:rsid w:val="000464CD"/>
    <w:rsid w:val="00046B4C"/>
    <w:rsid w:val="00046DA4"/>
    <w:rsid w:val="00047795"/>
    <w:rsid w:val="00047D31"/>
    <w:rsid w:val="00047E90"/>
    <w:rsid w:val="00047F5F"/>
    <w:rsid w:val="000502A3"/>
    <w:rsid w:val="000506CC"/>
    <w:rsid w:val="000508DE"/>
    <w:rsid w:val="000508F1"/>
    <w:rsid w:val="00050950"/>
    <w:rsid w:val="0005201D"/>
    <w:rsid w:val="000525D7"/>
    <w:rsid w:val="000526FD"/>
    <w:rsid w:val="000540F6"/>
    <w:rsid w:val="00054129"/>
    <w:rsid w:val="0005457D"/>
    <w:rsid w:val="000546BD"/>
    <w:rsid w:val="00054A20"/>
    <w:rsid w:val="00055216"/>
    <w:rsid w:val="00055250"/>
    <w:rsid w:val="000558A6"/>
    <w:rsid w:val="00055E57"/>
    <w:rsid w:val="00055FA5"/>
    <w:rsid w:val="000561B4"/>
    <w:rsid w:val="0005649D"/>
    <w:rsid w:val="0005653D"/>
    <w:rsid w:val="00056E05"/>
    <w:rsid w:val="00056EDF"/>
    <w:rsid w:val="00057023"/>
    <w:rsid w:val="00057976"/>
    <w:rsid w:val="00060AD9"/>
    <w:rsid w:val="00060B22"/>
    <w:rsid w:val="00060CFA"/>
    <w:rsid w:val="000611D1"/>
    <w:rsid w:val="0006135A"/>
    <w:rsid w:val="00061433"/>
    <w:rsid w:val="000617CA"/>
    <w:rsid w:val="00061B92"/>
    <w:rsid w:val="00061CA1"/>
    <w:rsid w:val="000625DE"/>
    <w:rsid w:val="00062E17"/>
    <w:rsid w:val="00063243"/>
    <w:rsid w:val="0006341C"/>
    <w:rsid w:val="0006352A"/>
    <w:rsid w:val="00063837"/>
    <w:rsid w:val="00063E80"/>
    <w:rsid w:val="00063EAC"/>
    <w:rsid w:val="0006415A"/>
    <w:rsid w:val="00064922"/>
    <w:rsid w:val="00065010"/>
    <w:rsid w:val="000652BB"/>
    <w:rsid w:val="00065DFB"/>
    <w:rsid w:val="00065E22"/>
    <w:rsid w:val="000665A6"/>
    <w:rsid w:val="00066711"/>
    <w:rsid w:val="00066BFB"/>
    <w:rsid w:val="000670B8"/>
    <w:rsid w:val="000674C1"/>
    <w:rsid w:val="000676B9"/>
    <w:rsid w:val="00067708"/>
    <w:rsid w:val="0006772D"/>
    <w:rsid w:val="00067BBD"/>
    <w:rsid w:val="00070931"/>
    <w:rsid w:val="00071414"/>
    <w:rsid w:val="000714EB"/>
    <w:rsid w:val="000715A7"/>
    <w:rsid w:val="00071786"/>
    <w:rsid w:val="00071DBF"/>
    <w:rsid w:val="00071FC3"/>
    <w:rsid w:val="000724A5"/>
    <w:rsid w:val="00072CC1"/>
    <w:rsid w:val="0007351C"/>
    <w:rsid w:val="00073A14"/>
    <w:rsid w:val="00073A57"/>
    <w:rsid w:val="00073D38"/>
    <w:rsid w:val="000740A4"/>
    <w:rsid w:val="00074B0D"/>
    <w:rsid w:val="00074F9D"/>
    <w:rsid w:val="00075028"/>
    <w:rsid w:val="000751A2"/>
    <w:rsid w:val="000754DC"/>
    <w:rsid w:val="00075664"/>
    <w:rsid w:val="00075924"/>
    <w:rsid w:val="00076907"/>
    <w:rsid w:val="00077C99"/>
    <w:rsid w:val="000801DE"/>
    <w:rsid w:val="00080363"/>
    <w:rsid w:val="000807E0"/>
    <w:rsid w:val="00080819"/>
    <w:rsid w:val="00080E33"/>
    <w:rsid w:val="00080F24"/>
    <w:rsid w:val="00080FF6"/>
    <w:rsid w:val="000813C6"/>
    <w:rsid w:val="0008186C"/>
    <w:rsid w:val="000818FD"/>
    <w:rsid w:val="00081A8B"/>
    <w:rsid w:val="000823BA"/>
    <w:rsid w:val="00083568"/>
    <w:rsid w:val="00083684"/>
    <w:rsid w:val="00083970"/>
    <w:rsid w:val="00083ADA"/>
    <w:rsid w:val="00083C0D"/>
    <w:rsid w:val="00084182"/>
    <w:rsid w:val="000843B5"/>
    <w:rsid w:val="0008460D"/>
    <w:rsid w:val="00084D33"/>
    <w:rsid w:val="00085137"/>
    <w:rsid w:val="0008544C"/>
    <w:rsid w:val="000856CA"/>
    <w:rsid w:val="00085CA7"/>
    <w:rsid w:val="00085DFD"/>
    <w:rsid w:val="00085EA6"/>
    <w:rsid w:val="0008618A"/>
    <w:rsid w:val="000864B4"/>
    <w:rsid w:val="0008670B"/>
    <w:rsid w:val="00086C96"/>
    <w:rsid w:val="00086CE1"/>
    <w:rsid w:val="000873F5"/>
    <w:rsid w:val="00087540"/>
    <w:rsid w:val="00087BCB"/>
    <w:rsid w:val="00087F18"/>
    <w:rsid w:val="0009055D"/>
    <w:rsid w:val="00090B36"/>
    <w:rsid w:val="000911F2"/>
    <w:rsid w:val="00091311"/>
    <w:rsid w:val="000917B1"/>
    <w:rsid w:val="00091BEE"/>
    <w:rsid w:val="00091F44"/>
    <w:rsid w:val="00091F7D"/>
    <w:rsid w:val="0009203F"/>
    <w:rsid w:val="000921CA"/>
    <w:rsid w:val="000923D9"/>
    <w:rsid w:val="0009267E"/>
    <w:rsid w:val="00092982"/>
    <w:rsid w:val="000929B0"/>
    <w:rsid w:val="00093518"/>
    <w:rsid w:val="00093695"/>
    <w:rsid w:val="0009382E"/>
    <w:rsid w:val="00093AA7"/>
    <w:rsid w:val="00093BA0"/>
    <w:rsid w:val="00093CD5"/>
    <w:rsid w:val="00093E08"/>
    <w:rsid w:val="000945DC"/>
    <w:rsid w:val="00094EC1"/>
    <w:rsid w:val="0009543E"/>
    <w:rsid w:val="00095EF6"/>
    <w:rsid w:val="00095F95"/>
    <w:rsid w:val="000962E6"/>
    <w:rsid w:val="00096931"/>
    <w:rsid w:val="00096D06"/>
    <w:rsid w:val="000973E1"/>
    <w:rsid w:val="00097CB8"/>
    <w:rsid w:val="000A0164"/>
    <w:rsid w:val="000A0717"/>
    <w:rsid w:val="000A0D77"/>
    <w:rsid w:val="000A0F74"/>
    <w:rsid w:val="000A0FE1"/>
    <w:rsid w:val="000A15AF"/>
    <w:rsid w:val="000A1AD1"/>
    <w:rsid w:val="000A1B75"/>
    <w:rsid w:val="000A1E3B"/>
    <w:rsid w:val="000A1ECB"/>
    <w:rsid w:val="000A23F2"/>
    <w:rsid w:val="000A2538"/>
    <w:rsid w:val="000A27C4"/>
    <w:rsid w:val="000A2979"/>
    <w:rsid w:val="000A347B"/>
    <w:rsid w:val="000A3E22"/>
    <w:rsid w:val="000A4168"/>
    <w:rsid w:val="000A434A"/>
    <w:rsid w:val="000A4B60"/>
    <w:rsid w:val="000A57D6"/>
    <w:rsid w:val="000A5A6D"/>
    <w:rsid w:val="000A5D10"/>
    <w:rsid w:val="000A664C"/>
    <w:rsid w:val="000A685B"/>
    <w:rsid w:val="000A6FEB"/>
    <w:rsid w:val="000A7C27"/>
    <w:rsid w:val="000B0383"/>
    <w:rsid w:val="000B04C8"/>
    <w:rsid w:val="000B05B7"/>
    <w:rsid w:val="000B07AD"/>
    <w:rsid w:val="000B086D"/>
    <w:rsid w:val="000B08D4"/>
    <w:rsid w:val="000B179E"/>
    <w:rsid w:val="000B17F3"/>
    <w:rsid w:val="000B19EC"/>
    <w:rsid w:val="000B1AF3"/>
    <w:rsid w:val="000B1B5D"/>
    <w:rsid w:val="000B210F"/>
    <w:rsid w:val="000B21D4"/>
    <w:rsid w:val="000B3043"/>
    <w:rsid w:val="000B331D"/>
    <w:rsid w:val="000B360A"/>
    <w:rsid w:val="000B45B2"/>
    <w:rsid w:val="000B47C3"/>
    <w:rsid w:val="000B484F"/>
    <w:rsid w:val="000B4B04"/>
    <w:rsid w:val="000B4CEF"/>
    <w:rsid w:val="000B524E"/>
    <w:rsid w:val="000B5749"/>
    <w:rsid w:val="000B58B8"/>
    <w:rsid w:val="000B62DF"/>
    <w:rsid w:val="000B64E4"/>
    <w:rsid w:val="000B6A5F"/>
    <w:rsid w:val="000B7250"/>
    <w:rsid w:val="000B7600"/>
    <w:rsid w:val="000B7FC9"/>
    <w:rsid w:val="000C00B2"/>
    <w:rsid w:val="000C0412"/>
    <w:rsid w:val="000C0633"/>
    <w:rsid w:val="000C0787"/>
    <w:rsid w:val="000C0C99"/>
    <w:rsid w:val="000C1425"/>
    <w:rsid w:val="000C17FA"/>
    <w:rsid w:val="000C1969"/>
    <w:rsid w:val="000C25FE"/>
    <w:rsid w:val="000C263F"/>
    <w:rsid w:val="000C2673"/>
    <w:rsid w:val="000C3A2B"/>
    <w:rsid w:val="000C400B"/>
    <w:rsid w:val="000C43A9"/>
    <w:rsid w:val="000C4652"/>
    <w:rsid w:val="000C47D5"/>
    <w:rsid w:val="000C484E"/>
    <w:rsid w:val="000C4F94"/>
    <w:rsid w:val="000C54E5"/>
    <w:rsid w:val="000C5E5F"/>
    <w:rsid w:val="000C6259"/>
    <w:rsid w:val="000C643B"/>
    <w:rsid w:val="000C6592"/>
    <w:rsid w:val="000C6684"/>
    <w:rsid w:val="000C6980"/>
    <w:rsid w:val="000C6E66"/>
    <w:rsid w:val="000C6F6C"/>
    <w:rsid w:val="000C77A7"/>
    <w:rsid w:val="000C7946"/>
    <w:rsid w:val="000C7A3C"/>
    <w:rsid w:val="000D007B"/>
    <w:rsid w:val="000D02EB"/>
    <w:rsid w:val="000D09B0"/>
    <w:rsid w:val="000D0A65"/>
    <w:rsid w:val="000D11AE"/>
    <w:rsid w:val="000D1814"/>
    <w:rsid w:val="000D1E80"/>
    <w:rsid w:val="000D2184"/>
    <w:rsid w:val="000D2D4F"/>
    <w:rsid w:val="000D353C"/>
    <w:rsid w:val="000D3AA9"/>
    <w:rsid w:val="000D3DA2"/>
    <w:rsid w:val="000D3FFA"/>
    <w:rsid w:val="000D4282"/>
    <w:rsid w:val="000D44B7"/>
    <w:rsid w:val="000D4827"/>
    <w:rsid w:val="000D48C9"/>
    <w:rsid w:val="000D4AAB"/>
    <w:rsid w:val="000D4CED"/>
    <w:rsid w:val="000D506D"/>
    <w:rsid w:val="000D5344"/>
    <w:rsid w:val="000D56FD"/>
    <w:rsid w:val="000D57B7"/>
    <w:rsid w:val="000D5873"/>
    <w:rsid w:val="000D589F"/>
    <w:rsid w:val="000D5F8E"/>
    <w:rsid w:val="000D6142"/>
    <w:rsid w:val="000D6170"/>
    <w:rsid w:val="000D667D"/>
    <w:rsid w:val="000D7A9B"/>
    <w:rsid w:val="000E0023"/>
    <w:rsid w:val="000E0584"/>
    <w:rsid w:val="000E059D"/>
    <w:rsid w:val="000E09A2"/>
    <w:rsid w:val="000E0AE1"/>
    <w:rsid w:val="000E0E2D"/>
    <w:rsid w:val="000E0E7C"/>
    <w:rsid w:val="000E138C"/>
    <w:rsid w:val="000E1A10"/>
    <w:rsid w:val="000E1C29"/>
    <w:rsid w:val="000E1EE4"/>
    <w:rsid w:val="000E21DF"/>
    <w:rsid w:val="000E227E"/>
    <w:rsid w:val="000E253E"/>
    <w:rsid w:val="000E2C3A"/>
    <w:rsid w:val="000E3AD7"/>
    <w:rsid w:val="000E4035"/>
    <w:rsid w:val="000E4438"/>
    <w:rsid w:val="000E4479"/>
    <w:rsid w:val="000E4682"/>
    <w:rsid w:val="000E4923"/>
    <w:rsid w:val="000E4BBE"/>
    <w:rsid w:val="000E4CB1"/>
    <w:rsid w:val="000E5078"/>
    <w:rsid w:val="000E53BC"/>
    <w:rsid w:val="000E551F"/>
    <w:rsid w:val="000E57FC"/>
    <w:rsid w:val="000E5C74"/>
    <w:rsid w:val="000E607B"/>
    <w:rsid w:val="000E6119"/>
    <w:rsid w:val="000E6241"/>
    <w:rsid w:val="000E6866"/>
    <w:rsid w:val="000E73C2"/>
    <w:rsid w:val="000E75D8"/>
    <w:rsid w:val="000F074E"/>
    <w:rsid w:val="000F115A"/>
    <w:rsid w:val="000F14D3"/>
    <w:rsid w:val="000F158D"/>
    <w:rsid w:val="000F1642"/>
    <w:rsid w:val="000F1656"/>
    <w:rsid w:val="000F1A5A"/>
    <w:rsid w:val="000F1C97"/>
    <w:rsid w:val="000F1F59"/>
    <w:rsid w:val="000F221D"/>
    <w:rsid w:val="000F2359"/>
    <w:rsid w:val="000F23B8"/>
    <w:rsid w:val="000F2481"/>
    <w:rsid w:val="000F27B1"/>
    <w:rsid w:val="000F2F45"/>
    <w:rsid w:val="000F304F"/>
    <w:rsid w:val="000F3131"/>
    <w:rsid w:val="000F31BD"/>
    <w:rsid w:val="000F32D8"/>
    <w:rsid w:val="000F3576"/>
    <w:rsid w:val="000F3B6F"/>
    <w:rsid w:val="000F3EAB"/>
    <w:rsid w:val="000F3EF7"/>
    <w:rsid w:val="000F3FA6"/>
    <w:rsid w:val="000F40B2"/>
    <w:rsid w:val="000F4340"/>
    <w:rsid w:val="000F487E"/>
    <w:rsid w:val="000F4894"/>
    <w:rsid w:val="000F49E0"/>
    <w:rsid w:val="000F4A8E"/>
    <w:rsid w:val="000F4CDA"/>
    <w:rsid w:val="000F4D44"/>
    <w:rsid w:val="000F50F5"/>
    <w:rsid w:val="000F5233"/>
    <w:rsid w:val="000F52D8"/>
    <w:rsid w:val="000F569A"/>
    <w:rsid w:val="000F5731"/>
    <w:rsid w:val="000F68BD"/>
    <w:rsid w:val="000F6E14"/>
    <w:rsid w:val="000F70AA"/>
    <w:rsid w:val="000F7327"/>
    <w:rsid w:val="000F756A"/>
    <w:rsid w:val="000F7576"/>
    <w:rsid w:val="000F7B34"/>
    <w:rsid w:val="000F7C84"/>
    <w:rsid w:val="0010009D"/>
    <w:rsid w:val="00100216"/>
    <w:rsid w:val="00100406"/>
    <w:rsid w:val="00100EB5"/>
    <w:rsid w:val="001011AA"/>
    <w:rsid w:val="001019C4"/>
    <w:rsid w:val="00101D68"/>
    <w:rsid w:val="00102D08"/>
    <w:rsid w:val="00102D31"/>
    <w:rsid w:val="00103417"/>
    <w:rsid w:val="001039F8"/>
    <w:rsid w:val="00103E8C"/>
    <w:rsid w:val="001043EB"/>
    <w:rsid w:val="00104E56"/>
    <w:rsid w:val="001053D9"/>
    <w:rsid w:val="00105999"/>
    <w:rsid w:val="00105A01"/>
    <w:rsid w:val="00105C1C"/>
    <w:rsid w:val="00105CAF"/>
    <w:rsid w:val="00105DE3"/>
    <w:rsid w:val="00105FC1"/>
    <w:rsid w:val="00106A12"/>
    <w:rsid w:val="00106F35"/>
    <w:rsid w:val="00107420"/>
    <w:rsid w:val="00107608"/>
    <w:rsid w:val="00107659"/>
    <w:rsid w:val="00107745"/>
    <w:rsid w:val="00107C19"/>
    <w:rsid w:val="00107D0C"/>
    <w:rsid w:val="00107F5B"/>
    <w:rsid w:val="00110F1E"/>
    <w:rsid w:val="00110F48"/>
    <w:rsid w:val="00111A1F"/>
    <w:rsid w:val="00111DFB"/>
    <w:rsid w:val="00111E46"/>
    <w:rsid w:val="00111FB7"/>
    <w:rsid w:val="00112101"/>
    <w:rsid w:val="0011218F"/>
    <w:rsid w:val="001123B0"/>
    <w:rsid w:val="001123F4"/>
    <w:rsid w:val="00112771"/>
    <w:rsid w:val="001131B4"/>
    <w:rsid w:val="00113464"/>
    <w:rsid w:val="001139F1"/>
    <w:rsid w:val="00113C07"/>
    <w:rsid w:val="00113C92"/>
    <w:rsid w:val="00114103"/>
    <w:rsid w:val="0011413D"/>
    <w:rsid w:val="00114BD6"/>
    <w:rsid w:val="001150C5"/>
    <w:rsid w:val="00115114"/>
    <w:rsid w:val="0011516C"/>
    <w:rsid w:val="001153D0"/>
    <w:rsid w:val="00115FC4"/>
    <w:rsid w:val="0011600D"/>
    <w:rsid w:val="0011639E"/>
    <w:rsid w:val="001169E1"/>
    <w:rsid w:val="00116B9C"/>
    <w:rsid w:val="001174B0"/>
    <w:rsid w:val="001209D1"/>
    <w:rsid w:val="00120C87"/>
    <w:rsid w:val="00121047"/>
    <w:rsid w:val="001212BF"/>
    <w:rsid w:val="001214AA"/>
    <w:rsid w:val="00121871"/>
    <w:rsid w:val="001218F7"/>
    <w:rsid w:val="001219E6"/>
    <w:rsid w:val="00121A38"/>
    <w:rsid w:val="00121FAB"/>
    <w:rsid w:val="0012283A"/>
    <w:rsid w:val="00122898"/>
    <w:rsid w:val="001228C9"/>
    <w:rsid w:val="00122AA5"/>
    <w:rsid w:val="00122F90"/>
    <w:rsid w:val="001231C6"/>
    <w:rsid w:val="0012364C"/>
    <w:rsid w:val="00123B10"/>
    <w:rsid w:val="00123BAE"/>
    <w:rsid w:val="00124396"/>
    <w:rsid w:val="001247A5"/>
    <w:rsid w:val="00124AE1"/>
    <w:rsid w:val="00124C69"/>
    <w:rsid w:val="001261B9"/>
    <w:rsid w:val="00126493"/>
    <w:rsid w:val="0012663E"/>
    <w:rsid w:val="0012670E"/>
    <w:rsid w:val="00126C88"/>
    <w:rsid w:val="00127034"/>
    <w:rsid w:val="001272E7"/>
    <w:rsid w:val="00127302"/>
    <w:rsid w:val="001276C7"/>
    <w:rsid w:val="00127B23"/>
    <w:rsid w:val="001300C8"/>
    <w:rsid w:val="0013014C"/>
    <w:rsid w:val="0013056D"/>
    <w:rsid w:val="0013074F"/>
    <w:rsid w:val="001309B7"/>
    <w:rsid w:val="00130D0E"/>
    <w:rsid w:val="0013125D"/>
    <w:rsid w:val="00131829"/>
    <w:rsid w:val="00131D92"/>
    <w:rsid w:val="00131E7C"/>
    <w:rsid w:val="001320BC"/>
    <w:rsid w:val="0013281B"/>
    <w:rsid w:val="00132A1F"/>
    <w:rsid w:val="00132CC8"/>
    <w:rsid w:val="0013303C"/>
    <w:rsid w:val="00133165"/>
    <w:rsid w:val="00133169"/>
    <w:rsid w:val="001333DB"/>
    <w:rsid w:val="001334C5"/>
    <w:rsid w:val="00133C66"/>
    <w:rsid w:val="00134072"/>
    <w:rsid w:val="00134073"/>
    <w:rsid w:val="0013412B"/>
    <w:rsid w:val="0013510F"/>
    <w:rsid w:val="001352E6"/>
    <w:rsid w:val="00135B07"/>
    <w:rsid w:val="00135B7F"/>
    <w:rsid w:val="00135C30"/>
    <w:rsid w:val="00135C84"/>
    <w:rsid w:val="00135D95"/>
    <w:rsid w:val="00136143"/>
    <w:rsid w:val="001362B2"/>
    <w:rsid w:val="00136B1F"/>
    <w:rsid w:val="00136E10"/>
    <w:rsid w:val="00136F61"/>
    <w:rsid w:val="00137075"/>
    <w:rsid w:val="0013749D"/>
    <w:rsid w:val="001377C9"/>
    <w:rsid w:val="0013781B"/>
    <w:rsid w:val="00137973"/>
    <w:rsid w:val="00137BD4"/>
    <w:rsid w:val="00137E7B"/>
    <w:rsid w:val="001405B3"/>
    <w:rsid w:val="001409B1"/>
    <w:rsid w:val="00140BF2"/>
    <w:rsid w:val="00140D0A"/>
    <w:rsid w:val="00140D6B"/>
    <w:rsid w:val="00140DE8"/>
    <w:rsid w:val="00140EA7"/>
    <w:rsid w:val="001410B8"/>
    <w:rsid w:val="00141271"/>
    <w:rsid w:val="00141293"/>
    <w:rsid w:val="001413F8"/>
    <w:rsid w:val="00141719"/>
    <w:rsid w:val="00142004"/>
    <w:rsid w:val="00142198"/>
    <w:rsid w:val="00142227"/>
    <w:rsid w:val="00142364"/>
    <w:rsid w:val="00142584"/>
    <w:rsid w:val="001427BD"/>
    <w:rsid w:val="00142BE7"/>
    <w:rsid w:val="001434D7"/>
    <w:rsid w:val="001435A7"/>
    <w:rsid w:val="001438B0"/>
    <w:rsid w:val="00143B4C"/>
    <w:rsid w:val="00143BE4"/>
    <w:rsid w:val="0014483C"/>
    <w:rsid w:val="00144931"/>
    <w:rsid w:val="00144A3C"/>
    <w:rsid w:val="00144A9F"/>
    <w:rsid w:val="00144C03"/>
    <w:rsid w:val="00145217"/>
    <w:rsid w:val="001453C3"/>
    <w:rsid w:val="00146A33"/>
    <w:rsid w:val="00146F68"/>
    <w:rsid w:val="001471B9"/>
    <w:rsid w:val="00147713"/>
    <w:rsid w:val="0014772C"/>
    <w:rsid w:val="00147A5F"/>
    <w:rsid w:val="00147CA3"/>
    <w:rsid w:val="0015020E"/>
    <w:rsid w:val="00150301"/>
    <w:rsid w:val="0015060C"/>
    <w:rsid w:val="00150F22"/>
    <w:rsid w:val="001517FA"/>
    <w:rsid w:val="00152465"/>
    <w:rsid w:val="00152F1D"/>
    <w:rsid w:val="00153072"/>
    <w:rsid w:val="00153122"/>
    <w:rsid w:val="001532B6"/>
    <w:rsid w:val="001533EE"/>
    <w:rsid w:val="00154021"/>
    <w:rsid w:val="00154223"/>
    <w:rsid w:val="00154D3A"/>
    <w:rsid w:val="0015528C"/>
    <w:rsid w:val="00155695"/>
    <w:rsid w:val="00155F1A"/>
    <w:rsid w:val="001560A3"/>
    <w:rsid w:val="001562D2"/>
    <w:rsid w:val="00157142"/>
    <w:rsid w:val="001575F6"/>
    <w:rsid w:val="00157A81"/>
    <w:rsid w:val="00157B59"/>
    <w:rsid w:val="0016029B"/>
    <w:rsid w:val="001606EE"/>
    <w:rsid w:val="001610AE"/>
    <w:rsid w:val="001610ED"/>
    <w:rsid w:val="00161769"/>
    <w:rsid w:val="00161A0F"/>
    <w:rsid w:val="0016272C"/>
    <w:rsid w:val="00163128"/>
    <w:rsid w:val="001632E3"/>
    <w:rsid w:val="001636ED"/>
    <w:rsid w:val="00163780"/>
    <w:rsid w:val="00164BB7"/>
    <w:rsid w:val="00164D83"/>
    <w:rsid w:val="00164FD4"/>
    <w:rsid w:val="001654A0"/>
    <w:rsid w:val="001654E6"/>
    <w:rsid w:val="0016558D"/>
    <w:rsid w:val="001656BB"/>
    <w:rsid w:val="00165A3C"/>
    <w:rsid w:val="0016600B"/>
    <w:rsid w:val="0016628A"/>
    <w:rsid w:val="001667DB"/>
    <w:rsid w:val="00166F35"/>
    <w:rsid w:val="0016703B"/>
    <w:rsid w:val="001671EC"/>
    <w:rsid w:val="0016763E"/>
    <w:rsid w:val="00167798"/>
    <w:rsid w:val="00167DE4"/>
    <w:rsid w:val="001702FA"/>
    <w:rsid w:val="00170A8F"/>
    <w:rsid w:val="00170AE6"/>
    <w:rsid w:val="00170F43"/>
    <w:rsid w:val="00171390"/>
    <w:rsid w:val="00171E5B"/>
    <w:rsid w:val="00172804"/>
    <w:rsid w:val="0017287F"/>
    <w:rsid w:val="00172A13"/>
    <w:rsid w:val="00172CE2"/>
    <w:rsid w:val="00172D0F"/>
    <w:rsid w:val="00172DBE"/>
    <w:rsid w:val="001733B3"/>
    <w:rsid w:val="00173965"/>
    <w:rsid w:val="00173A96"/>
    <w:rsid w:val="00173AF5"/>
    <w:rsid w:val="001740C2"/>
    <w:rsid w:val="00175907"/>
    <w:rsid w:val="00175980"/>
    <w:rsid w:val="00175C9A"/>
    <w:rsid w:val="00175DD2"/>
    <w:rsid w:val="00176165"/>
    <w:rsid w:val="001761CB"/>
    <w:rsid w:val="00177290"/>
    <w:rsid w:val="0017780F"/>
    <w:rsid w:val="00177DC2"/>
    <w:rsid w:val="001800F6"/>
    <w:rsid w:val="0018021A"/>
    <w:rsid w:val="0018034B"/>
    <w:rsid w:val="00180875"/>
    <w:rsid w:val="00180B31"/>
    <w:rsid w:val="001816C8"/>
    <w:rsid w:val="00181E0D"/>
    <w:rsid w:val="00181F4C"/>
    <w:rsid w:val="00181F5A"/>
    <w:rsid w:val="001820FC"/>
    <w:rsid w:val="001822AD"/>
    <w:rsid w:val="001825A2"/>
    <w:rsid w:val="001827E7"/>
    <w:rsid w:val="00182C38"/>
    <w:rsid w:val="00183893"/>
    <w:rsid w:val="00183E8F"/>
    <w:rsid w:val="00184021"/>
    <w:rsid w:val="001841D6"/>
    <w:rsid w:val="00184472"/>
    <w:rsid w:val="0018468D"/>
    <w:rsid w:val="001846D9"/>
    <w:rsid w:val="00184CC7"/>
    <w:rsid w:val="00184F2C"/>
    <w:rsid w:val="0018507F"/>
    <w:rsid w:val="00185419"/>
    <w:rsid w:val="00185B60"/>
    <w:rsid w:val="00185C1D"/>
    <w:rsid w:val="00186295"/>
    <w:rsid w:val="001868B9"/>
    <w:rsid w:val="00186F85"/>
    <w:rsid w:val="00187277"/>
    <w:rsid w:val="00187450"/>
    <w:rsid w:val="0018754E"/>
    <w:rsid w:val="00187E1E"/>
    <w:rsid w:val="0019022E"/>
    <w:rsid w:val="0019031D"/>
    <w:rsid w:val="00190480"/>
    <w:rsid w:val="00190620"/>
    <w:rsid w:val="00190936"/>
    <w:rsid w:val="00190AB4"/>
    <w:rsid w:val="00190E31"/>
    <w:rsid w:val="00191029"/>
    <w:rsid w:val="001910B1"/>
    <w:rsid w:val="0019166A"/>
    <w:rsid w:val="00191CB8"/>
    <w:rsid w:val="00191E13"/>
    <w:rsid w:val="00191F96"/>
    <w:rsid w:val="00192019"/>
    <w:rsid w:val="00192528"/>
    <w:rsid w:val="00192C71"/>
    <w:rsid w:val="001933C9"/>
    <w:rsid w:val="001934DB"/>
    <w:rsid w:val="001936CF"/>
    <w:rsid w:val="00193C07"/>
    <w:rsid w:val="001942BB"/>
    <w:rsid w:val="00194325"/>
    <w:rsid w:val="0019436F"/>
    <w:rsid w:val="00194431"/>
    <w:rsid w:val="00194A22"/>
    <w:rsid w:val="00194C48"/>
    <w:rsid w:val="00195BE1"/>
    <w:rsid w:val="00196044"/>
    <w:rsid w:val="00197234"/>
    <w:rsid w:val="001977AA"/>
    <w:rsid w:val="001978FC"/>
    <w:rsid w:val="00197A47"/>
    <w:rsid w:val="00197EDC"/>
    <w:rsid w:val="001A0378"/>
    <w:rsid w:val="001A0677"/>
    <w:rsid w:val="001A09D5"/>
    <w:rsid w:val="001A11D9"/>
    <w:rsid w:val="001A11E1"/>
    <w:rsid w:val="001A1B04"/>
    <w:rsid w:val="001A2250"/>
    <w:rsid w:val="001A2745"/>
    <w:rsid w:val="001A2BE9"/>
    <w:rsid w:val="001A3612"/>
    <w:rsid w:val="001A387C"/>
    <w:rsid w:val="001A3ED6"/>
    <w:rsid w:val="001A4AB5"/>
    <w:rsid w:val="001A4E36"/>
    <w:rsid w:val="001A523D"/>
    <w:rsid w:val="001A5840"/>
    <w:rsid w:val="001A5934"/>
    <w:rsid w:val="001A5C1B"/>
    <w:rsid w:val="001A5ED8"/>
    <w:rsid w:val="001A626D"/>
    <w:rsid w:val="001A6866"/>
    <w:rsid w:val="001A68A7"/>
    <w:rsid w:val="001A6F9E"/>
    <w:rsid w:val="001A7824"/>
    <w:rsid w:val="001A7B26"/>
    <w:rsid w:val="001A7CB9"/>
    <w:rsid w:val="001A7D36"/>
    <w:rsid w:val="001B00E5"/>
    <w:rsid w:val="001B04F2"/>
    <w:rsid w:val="001B07D7"/>
    <w:rsid w:val="001B0EFB"/>
    <w:rsid w:val="001B10A0"/>
    <w:rsid w:val="001B1235"/>
    <w:rsid w:val="001B19E7"/>
    <w:rsid w:val="001B1A80"/>
    <w:rsid w:val="001B1A98"/>
    <w:rsid w:val="001B1C08"/>
    <w:rsid w:val="001B1F5E"/>
    <w:rsid w:val="001B2254"/>
    <w:rsid w:val="001B2813"/>
    <w:rsid w:val="001B2FF6"/>
    <w:rsid w:val="001B390D"/>
    <w:rsid w:val="001B3B82"/>
    <w:rsid w:val="001B3CE1"/>
    <w:rsid w:val="001B3D4F"/>
    <w:rsid w:val="001B4058"/>
    <w:rsid w:val="001B4206"/>
    <w:rsid w:val="001B4935"/>
    <w:rsid w:val="001B5132"/>
    <w:rsid w:val="001B562F"/>
    <w:rsid w:val="001B58FD"/>
    <w:rsid w:val="001B59D5"/>
    <w:rsid w:val="001B5EFC"/>
    <w:rsid w:val="001B617E"/>
    <w:rsid w:val="001B62C6"/>
    <w:rsid w:val="001B640E"/>
    <w:rsid w:val="001B6837"/>
    <w:rsid w:val="001B6B04"/>
    <w:rsid w:val="001B71E6"/>
    <w:rsid w:val="001B72FA"/>
    <w:rsid w:val="001B73BC"/>
    <w:rsid w:val="001B7948"/>
    <w:rsid w:val="001B7E5E"/>
    <w:rsid w:val="001C0681"/>
    <w:rsid w:val="001C0689"/>
    <w:rsid w:val="001C0956"/>
    <w:rsid w:val="001C0B45"/>
    <w:rsid w:val="001C13C1"/>
    <w:rsid w:val="001C1A9C"/>
    <w:rsid w:val="001C1BC4"/>
    <w:rsid w:val="001C1FDA"/>
    <w:rsid w:val="001C2282"/>
    <w:rsid w:val="001C23A0"/>
    <w:rsid w:val="001C2406"/>
    <w:rsid w:val="001C2FF6"/>
    <w:rsid w:val="001C31D1"/>
    <w:rsid w:val="001C33BE"/>
    <w:rsid w:val="001C34C7"/>
    <w:rsid w:val="001C3509"/>
    <w:rsid w:val="001C3BA8"/>
    <w:rsid w:val="001C3E3C"/>
    <w:rsid w:val="001C3E9C"/>
    <w:rsid w:val="001C40EA"/>
    <w:rsid w:val="001C4A0D"/>
    <w:rsid w:val="001C4A9F"/>
    <w:rsid w:val="001C50C0"/>
    <w:rsid w:val="001C5192"/>
    <w:rsid w:val="001C5DFC"/>
    <w:rsid w:val="001C69DB"/>
    <w:rsid w:val="001C719E"/>
    <w:rsid w:val="001C742E"/>
    <w:rsid w:val="001C7944"/>
    <w:rsid w:val="001C7A38"/>
    <w:rsid w:val="001C7A42"/>
    <w:rsid w:val="001D00EA"/>
    <w:rsid w:val="001D01EA"/>
    <w:rsid w:val="001D021C"/>
    <w:rsid w:val="001D082B"/>
    <w:rsid w:val="001D0987"/>
    <w:rsid w:val="001D0A73"/>
    <w:rsid w:val="001D10B3"/>
    <w:rsid w:val="001D1442"/>
    <w:rsid w:val="001D14AF"/>
    <w:rsid w:val="001D1824"/>
    <w:rsid w:val="001D1E44"/>
    <w:rsid w:val="001D2352"/>
    <w:rsid w:val="001D2994"/>
    <w:rsid w:val="001D32BD"/>
    <w:rsid w:val="001D3AFD"/>
    <w:rsid w:val="001D3BEC"/>
    <w:rsid w:val="001D52E2"/>
    <w:rsid w:val="001D5B41"/>
    <w:rsid w:val="001D6892"/>
    <w:rsid w:val="001D6AD4"/>
    <w:rsid w:val="001D7CCA"/>
    <w:rsid w:val="001D7E90"/>
    <w:rsid w:val="001E0672"/>
    <w:rsid w:val="001E12F3"/>
    <w:rsid w:val="001E1368"/>
    <w:rsid w:val="001E1425"/>
    <w:rsid w:val="001E1439"/>
    <w:rsid w:val="001E16BC"/>
    <w:rsid w:val="001E1B70"/>
    <w:rsid w:val="001E1BE9"/>
    <w:rsid w:val="001E1E20"/>
    <w:rsid w:val="001E1FF0"/>
    <w:rsid w:val="001E2491"/>
    <w:rsid w:val="001E2497"/>
    <w:rsid w:val="001E28BC"/>
    <w:rsid w:val="001E2E9F"/>
    <w:rsid w:val="001E3112"/>
    <w:rsid w:val="001E3B2E"/>
    <w:rsid w:val="001E3C77"/>
    <w:rsid w:val="001E3DB1"/>
    <w:rsid w:val="001E462A"/>
    <w:rsid w:val="001E5085"/>
    <w:rsid w:val="001E5262"/>
    <w:rsid w:val="001E5A32"/>
    <w:rsid w:val="001E5B8C"/>
    <w:rsid w:val="001E5C63"/>
    <w:rsid w:val="001E5CFA"/>
    <w:rsid w:val="001E5FA1"/>
    <w:rsid w:val="001E625A"/>
    <w:rsid w:val="001E66C5"/>
    <w:rsid w:val="001E7057"/>
    <w:rsid w:val="001E7C6D"/>
    <w:rsid w:val="001F047E"/>
    <w:rsid w:val="001F04A1"/>
    <w:rsid w:val="001F04AB"/>
    <w:rsid w:val="001F05ED"/>
    <w:rsid w:val="001F06D6"/>
    <w:rsid w:val="001F0A80"/>
    <w:rsid w:val="001F0AAD"/>
    <w:rsid w:val="001F1BED"/>
    <w:rsid w:val="001F1FAD"/>
    <w:rsid w:val="001F2FA3"/>
    <w:rsid w:val="001F3908"/>
    <w:rsid w:val="001F3ADA"/>
    <w:rsid w:val="001F3D57"/>
    <w:rsid w:val="001F4239"/>
    <w:rsid w:val="001F4A64"/>
    <w:rsid w:val="001F56CA"/>
    <w:rsid w:val="001F5ADA"/>
    <w:rsid w:val="001F5B32"/>
    <w:rsid w:val="001F5B60"/>
    <w:rsid w:val="001F5C59"/>
    <w:rsid w:val="001F5F27"/>
    <w:rsid w:val="001F5F43"/>
    <w:rsid w:val="001F62C2"/>
    <w:rsid w:val="001F6805"/>
    <w:rsid w:val="001F6E5D"/>
    <w:rsid w:val="001F707B"/>
    <w:rsid w:val="001F72A9"/>
    <w:rsid w:val="001F7374"/>
    <w:rsid w:val="001F75E8"/>
    <w:rsid w:val="001F7969"/>
    <w:rsid w:val="001F798D"/>
    <w:rsid w:val="0020014D"/>
    <w:rsid w:val="00200348"/>
    <w:rsid w:val="00200613"/>
    <w:rsid w:val="002008C7"/>
    <w:rsid w:val="002009AE"/>
    <w:rsid w:val="00200C19"/>
    <w:rsid w:val="002011E8"/>
    <w:rsid w:val="00201960"/>
    <w:rsid w:val="00201A49"/>
    <w:rsid w:val="00201BF2"/>
    <w:rsid w:val="00201D45"/>
    <w:rsid w:val="00201EAC"/>
    <w:rsid w:val="0020206D"/>
    <w:rsid w:val="00202086"/>
    <w:rsid w:val="00202ADB"/>
    <w:rsid w:val="00203EEC"/>
    <w:rsid w:val="002045E4"/>
    <w:rsid w:val="00204AED"/>
    <w:rsid w:val="00204CA8"/>
    <w:rsid w:val="00204CBE"/>
    <w:rsid w:val="00204DD6"/>
    <w:rsid w:val="00204E01"/>
    <w:rsid w:val="00205A20"/>
    <w:rsid w:val="00205F8F"/>
    <w:rsid w:val="002061F1"/>
    <w:rsid w:val="00206207"/>
    <w:rsid w:val="00206349"/>
    <w:rsid w:val="0020696A"/>
    <w:rsid w:val="00207326"/>
    <w:rsid w:val="002075DC"/>
    <w:rsid w:val="00207813"/>
    <w:rsid w:val="00207971"/>
    <w:rsid w:val="00207AAB"/>
    <w:rsid w:val="00207C08"/>
    <w:rsid w:val="002100F1"/>
    <w:rsid w:val="002101DC"/>
    <w:rsid w:val="00210422"/>
    <w:rsid w:val="002108E7"/>
    <w:rsid w:val="00210AD3"/>
    <w:rsid w:val="00210CD6"/>
    <w:rsid w:val="00211DED"/>
    <w:rsid w:val="00212258"/>
    <w:rsid w:val="00212263"/>
    <w:rsid w:val="00212689"/>
    <w:rsid w:val="002127AA"/>
    <w:rsid w:val="00212C53"/>
    <w:rsid w:val="00212ECE"/>
    <w:rsid w:val="002130A0"/>
    <w:rsid w:val="002131E8"/>
    <w:rsid w:val="0021334A"/>
    <w:rsid w:val="002137AF"/>
    <w:rsid w:val="00214919"/>
    <w:rsid w:val="00214B62"/>
    <w:rsid w:val="0021545B"/>
    <w:rsid w:val="00215807"/>
    <w:rsid w:val="00215877"/>
    <w:rsid w:val="0021594F"/>
    <w:rsid w:val="002163C0"/>
    <w:rsid w:val="00216A58"/>
    <w:rsid w:val="00216AA5"/>
    <w:rsid w:val="00216D32"/>
    <w:rsid w:val="00216EFD"/>
    <w:rsid w:val="00216F3E"/>
    <w:rsid w:val="002176D5"/>
    <w:rsid w:val="00217A5B"/>
    <w:rsid w:val="00217CC7"/>
    <w:rsid w:val="00217CD7"/>
    <w:rsid w:val="00217F8E"/>
    <w:rsid w:val="00220A5C"/>
    <w:rsid w:val="002211DA"/>
    <w:rsid w:val="0022187D"/>
    <w:rsid w:val="00221C5B"/>
    <w:rsid w:val="002227A2"/>
    <w:rsid w:val="00223785"/>
    <w:rsid w:val="00223ACA"/>
    <w:rsid w:val="00224247"/>
    <w:rsid w:val="002244BB"/>
    <w:rsid w:val="00224E6F"/>
    <w:rsid w:val="002250CE"/>
    <w:rsid w:val="00225704"/>
    <w:rsid w:val="00225764"/>
    <w:rsid w:val="0022725B"/>
    <w:rsid w:val="002272D3"/>
    <w:rsid w:val="0022745B"/>
    <w:rsid w:val="0022759E"/>
    <w:rsid w:val="00227796"/>
    <w:rsid w:val="0022784F"/>
    <w:rsid w:val="00227DD4"/>
    <w:rsid w:val="0023024B"/>
    <w:rsid w:val="00230A4E"/>
    <w:rsid w:val="00230D7C"/>
    <w:rsid w:val="00231535"/>
    <w:rsid w:val="00231B10"/>
    <w:rsid w:val="00231BD9"/>
    <w:rsid w:val="00231CDC"/>
    <w:rsid w:val="00231FB8"/>
    <w:rsid w:val="00232271"/>
    <w:rsid w:val="00232C68"/>
    <w:rsid w:val="00232CFD"/>
    <w:rsid w:val="00232D0F"/>
    <w:rsid w:val="00233272"/>
    <w:rsid w:val="00233298"/>
    <w:rsid w:val="0023337D"/>
    <w:rsid w:val="002333B9"/>
    <w:rsid w:val="00233400"/>
    <w:rsid w:val="0023399A"/>
    <w:rsid w:val="002339E5"/>
    <w:rsid w:val="00233CC5"/>
    <w:rsid w:val="00233FC5"/>
    <w:rsid w:val="002341EF"/>
    <w:rsid w:val="00234770"/>
    <w:rsid w:val="002347FE"/>
    <w:rsid w:val="002349CD"/>
    <w:rsid w:val="00235496"/>
    <w:rsid w:val="002354A1"/>
    <w:rsid w:val="00235B8F"/>
    <w:rsid w:val="00236347"/>
    <w:rsid w:val="00236504"/>
    <w:rsid w:val="00236593"/>
    <w:rsid w:val="0023662D"/>
    <w:rsid w:val="00237734"/>
    <w:rsid w:val="00237980"/>
    <w:rsid w:val="00237C1D"/>
    <w:rsid w:val="002400E0"/>
    <w:rsid w:val="0024040D"/>
    <w:rsid w:val="00241062"/>
    <w:rsid w:val="00241ED3"/>
    <w:rsid w:val="00242347"/>
    <w:rsid w:val="00242445"/>
    <w:rsid w:val="002428F4"/>
    <w:rsid w:val="00242A8C"/>
    <w:rsid w:val="00242BB5"/>
    <w:rsid w:val="00242BBB"/>
    <w:rsid w:val="00242CE0"/>
    <w:rsid w:val="00242FAC"/>
    <w:rsid w:val="0024307F"/>
    <w:rsid w:val="00243648"/>
    <w:rsid w:val="0024384C"/>
    <w:rsid w:val="00243C1B"/>
    <w:rsid w:val="00244105"/>
    <w:rsid w:val="00244178"/>
    <w:rsid w:val="002443E3"/>
    <w:rsid w:val="00244438"/>
    <w:rsid w:val="00244445"/>
    <w:rsid w:val="0024472B"/>
    <w:rsid w:val="002449B7"/>
    <w:rsid w:val="00244F19"/>
    <w:rsid w:val="00245242"/>
    <w:rsid w:val="0024528C"/>
    <w:rsid w:val="002457A1"/>
    <w:rsid w:val="0024591B"/>
    <w:rsid w:val="00245B7E"/>
    <w:rsid w:val="00245BDC"/>
    <w:rsid w:val="00245E4F"/>
    <w:rsid w:val="00245EBF"/>
    <w:rsid w:val="00246249"/>
    <w:rsid w:val="002471FF"/>
    <w:rsid w:val="002475CF"/>
    <w:rsid w:val="002476C4"/>
    <w:rsid w:val="00247801"/>
    <w:rsid w:val="00247865"/>
    <w:rsid w:val="002502EF"/>
    <w:rsid w:val="002503FF"/>
    <w:rsid w:val="00250576"/>
    <w:rsid w:val="002505E6"/>
    <w:rsid w:val="0025098B"/>
    <w:rsid w:val="00250A93"/>
    <w:rsid w:val="00251376"/>
    <w:rsid w:val="002515F2"/>
    <w:rsid w:val="002517EA"/>
    <w:rsid w:val="00251974"/>
    <w:rsid w:val="00251E74"/>
    <w:rsid w:val="00251FAA"/>
    <w:rsid w:val="002522C1"/>
    <w:rsid w:val="002528D1"/>
    <w:rsid w:val="002534CA"/>
    <w:rsid w:val="00253A4D"/>
    <w:rsid w:val="00254466"/>
    <w:rsid w:val="00254871"/>
    <w:rsid w:val="00254945"/>
    <w:rsid w:val="00254C95"/>
    <w:rsid w:val="00254DAF"/>
    <w:rsid w:val="00254EDF"/>
    <w:rsid w:val="00256497"/>
    <w:rsid w:val="00256513"/>
    <w:rsid w:val="002565C4"/>
    <w:rsid w:val="00256869"/>
    <w:rsid w:val="00257060"/>
    <w:rsid w:val="002574C0"/>
    <w:rsid w:val="002577C3"/>
    <w:rsid w:val="00257C6C"/>
    <w:rsid w:val="00257DC7"/>
    <w:rsid w:val="0026055D"/>
    <w:rsid w:val="00260833"/>
    <w:rsid w:val="00260880"/>
    <w:rsid w:val="00260D4E"/>
    <w:rsid w:val="00260F15"/>
    <w:rsid w:val="00261128"/>
    <w:rsid w:val="00261207"/>
    <w:rsid w:val="00261423"/>
    <w:rsid w:val="002614B7"/>
    <w:rsid w:val="002615C2"/>
    <w:rsid w:val="002616C7"/>
    <w:rsid w:val="00262673"/>
    <w:rsid w:val="0026279B"/>
    <w:rsid w:val="00262830"/>
    <w:rsid w:val="00262AB2"/>
    <w:rsid w:val="00262C5F"/>
    <w:rsid w:val="00262D79"/>
    <w:rsid w:val="00262D87"/>
    <w:rsid w:val="00262F1A"/>
    <w:rsid w:val="0026348A"/>
    <w:rsid w:val="00263856"/>
    <w:rsid w:val="002638B7"/>
    <w:rsid w:val="00263A46"/>
    <w:rsid w:val="00264132"/>
    <w:rsid w:val="00264A01"/>
    <w:rsid w:val="00264AAD"/>
    <w:rsid w:val="00264C4B"/>
    <w:rsid w:val="00264DE5"/>
    <w:rsid w:val="002652F0"/>
    <w:rsid w:val="0026546D"/>
    <w:rsid w:val="002655DB"/>
    <w:rsid w:val="0026569C"/>
    <w:rsid w:val="00265793"/>
    <w:rsid w:val="0026608C"/>
    <w:rsid w:val="00266165"/>
    <w:rsid w:val="0026668B"/>
    <w:rsid w:val="0026680D"/>
    <w:rsid w:val="0026730E"/>
    <w:rsid w:val="002678D4"/>
    <w:rsid w:val="00267DAC"/>
    <w:rsid w:val="0027054F"/>
    <w:rsid w:val="0027114F"/>
    <w:rsid w:val="0027116C"/>
    <w:rsid w:val="00271262"/>
    <w:rsid w:val="002715CC"/>
    <w:rsid w:val="00271C00"/>
    <w:rsid w:val="00271C5B"/>
    <w:rsid w:val="00271C9A"/>
    <w:rsid w:val="002720C2"/>
    <w:rsid w:val="002722F0"/>
    <w:rsid w:val="00272305"/>
    <w:rsid w:val="002729FF"/>
    <w:rsid w:val="00272A83"/>
    <w:rsid w:val="00273135"/>
    <w:rsid w:val="00273253"/>
    <w:rsid w:val="00273550"/>
    <w:rsid w:val="0027372D"/>
    <w:rsid w:val="00273FB5"/>
    <w:rsid w:val="00273FD7"/>
    <w:rsid w:val="0027420C"/>
    <w:rsid w:val="0027428B"/>
    <w:rsid w:val="00274443"/>
    <w:rsid w:val="002745F9"/>
    <w:rsid w:val="00275011"/>
    <w:rsid w:val="00275058"/>
    <w:rsid w:val="00275425"/>
    <w:rsid w:val="002759D0"/>
    <w:rsid w:val="002759FB"/>
    <w:rsid w:val="002763F6"/>
    <w:rsid w:val="002768C8"/>
    <w:rsid w:val="00276994"/>
    <w:rsid w:val="00276A5F"/>
    <w:rsid w:val="00276AF9"/>
    <w:rsid w:val="00276C3C"/>
    <w:rsid w:val="00277166"/>
    <w:rsid w:val="00277870"/>
    <w:rsid w:val="00277D58"/>
    <w:rsid w:val="002804F5"/>
    <w:rsid w:val="00280BC4"/>
    <w:rsid w:val="002810C7"/>
    <w:rsid w:val="0028118B"/>
    <w:rsid w:val="00281596"/>
    <w:rsid w:val="00281AF4"/>
    <w:rsid w:val="00281FDE"/>
    <w:rsid w:val="00282B54"/>
    <w:rsid w:val="00282BB9"/>
    <w:rsid w:val="00282E8E"/>
    <w:rsid w:val="0028302B"/>
    <w:rsid w:val="0028390E"/>
    <w:rsid w:val="002839D1"/>
    <w:rsid w:val="00283E49"/>
    <w:rsid w:val="0028452F"/>
    <w:rsid w:val="002846B9"/>
    <w:rsid w:val="00284A35"/>
    <w:rsid w:val="00284E59"/>
    <w:rsid w:val="00284E63"/>
    <w:rsid w:val="002855DE"/>
    <w:rsid w:val="002856D8"/>
    <w:rsid w:val="00285ADA"/>
    <w:rsid w:val="00285ADE"/>
    <w:rsid w:val="002863BF"/>
    <w:rsid w:val="00286532"/>
    <w:rsid w:val="00286A58"/>
    <w:rsid w:val="002871E8"/>
    <w:rsid w:val="00287356"/>
    <w:rsid w:val="00290075"/>
    <w:rsid w:val="0029020E"/>
    <w:rsid w:val="002904FD"/>
    <w:rsid w:val="002907D5"/>
    <w:rsid w:val="00290B13"/>
    <w:rsid w:val="00290D53"/>
    <w:rsid w:val="00291159"/>
    <w:rsid w:val="0029115E"/>
    <w:rsid w:val="00291E5A"/>
    <w:rsid w:val="00291EF9"/>
    <w:rsid w:val="002922C3"/>
    <w:rsid w:val="0029247D"/>
    <w:rsid w:val="00292B7E"/>
    <w:rsid w:val="00292D39"/>
    <w:rsid w:val="00292EB5"/>
    <w:rsid w:val="00293A4A"/>
    <w:rsid w:val="00293C34"/>
    <w:rsid w:val="00293F27"/>
    <w:rsid w:val="00294288"/>
    <w:rsid w:val="002946C5"/>
    <w:rsid w:val="00294703"/>
    <w:rsid w:val="00294938"/>
    <w:rsid w:val="00294AC8"/>
    <w:rsid w:val="00295458"/>
    <w:rsid w:val="00295AA4"/>
    <w:rsid w:val="00295B0F"/>
    <w:rsid w:val="002964FE"/>
    <w:rsid w:val="002968DF"/>
    <w:rsid w:val="00296C0E"/>
    <w:rsid w:val="00296DD6"/>
    <w:rsid w:val="00297A98"/>
    <w:rsid w:val="002A139B"/>
    <w:rsid w:val="002A1757"/>
    <w:rsid w:val="002A1EDA"/>
    <w:rsid w:val="002A20A6"/>
    <w:rsid w:val="002A22A4"/>
    <w:rsid w:val="002A263A"/>
    <w:rsid w:val="002A2A45"/>
    <w:rsid w:val="002A2C58"/>
    <w:rsid w:val="002A33E4"/>
    <w:rsid w:val="002A3875"/>
    <w:rsid w:val="002A3AEF"/>
    <w:rsid w:val="002A3E76"/>
    <w:rsid w:val="002A40BE"/>
    <w:rsid w:val="002A4941"/>
    <w:rsid w:val="002A49F5"/>
    <w:rsid w:val="002A4F6E"/>
    <w:rsid w:val="002A535F"/>
    <w:rsid w:val="002A5474"/>
    <w:rsid w:val="002A5D09"/>
    <w:rsid w:val="002A5EC0"/>
    <w:rsid w:val="002A5EE1"/>
    <w:rsid w:val="002A6037"/>
    <w:rsid w:val="002A6873"/>
    <w:rsid w:val="002A696D"/>
    <w:rsid w:val="002A6A50"/>
    <w:rsid w:val="002A74D2"/>
    <w:rsid w:val="002A773A"/>
    <w:rsid w:val="002A7BE2"/>
    <w:rsid w:val="002A7CEA"/>
    <w:rsid w:val="002A7F24"/>
    <w:rsid w:val="002B0030"/>
    <w:rsid w:val="002B0725"/>
    <w:rsid w:val="002B0A8F"/>
    <w:rsid w:val="002B0E39"/>
    <w:rsid w:val="002B1148"/>
    <w:rsid w:val="002B143A"/>
    <w:rsid w:val="002B1883"/>
    <w:rsid w:val="002B18FA"/>
    <w:rsid w:val="002B201C"/>
    <w:rsid w:val="002B2107"/>
    <w:rsid w:val="002B22E4"/>
    <w:rsid w:val="002B24CA"/>
    <w:rsid w:val="002B280A"/>
    <w:rsid w:val="002B322F"/>
    <w:rsid w:val="002B343F"/>
    <w:rsid w:val="002B405B"/>
    <w:rsid w:val="002B4901"/>
    <w:rsid w:val="002B4E71"/>
    <w:rsid w:val="002B5B8E"/>
    <w:rsid w:val="002B5FC5"/>
    <w:rsid w:val="002B5FCA"/>
    <w:rsid w:val="002B617D"/>
    <w:rsid w:val="002B6595"/>
    <w:rsid w:val="002B66C2"/>
    <w:rsid w:val="002B67FB"/>
    <w:rsid w:val="002B6E3A"/>
    <w:rsid w:val="002B70AF"/>
    <w:rsid w:val="002B7523"/>
    <w:rsid w:val="002B775B"/>
    <w:rsid w:val="002B7A5D"/>
    <w:rsid w:val="002B7AD6"/>
    <w:rsid w:val="002C04AF"/>
    <w:rsid w:val="002C0795"/>
    <w:rsid w:val="002C1330"/>
    <w:rsid w:val="002C136F"/>
    <w:rsid w:val="002C143F"/>
    <w:rsid w:val="002C17D9"/>
    <w:rsid w:val="002C1899"/>
    <w:rsid w:val="002C1C28"/>
    <w:rsid w:val="002C1E2B"/>
    <w:rsid w:val="002C1EFB"/>
    <w:rsid w:val="002C215B"/>
    <w:rsid w:val="002C26E2"/>
    <w:rsid w:val="002C293F"/>
    <w:rsid w:val="002C2AF4"/>
    <w:rsid w:val="002C2D20"/>
    <w:rsid w:val="002C2F67"/>
    <w:rsid w:val="002C32D8"/>
    <w:rsid w:val="002C38F8"/>
    <w:rsid w:val="002C3A9A"/>
    <w:rsid w:val="002C3E12"/>
    <w:rsid w:val="002C3E6A"/>
    <w:rsid w:val="002C3E8E"/>
    <w:rsid w:val="002C401C"/>
    <w:rsid w:val="002C4212"/>
    <w:rsid w:val="002C4694"/>
    <w:rsid w:val="002C4D93"/>
    <w:rsid w:val="002C5681"/>
    <w:rsid w:val="002C5FBA"/>
    <w:rsid w:val="002C64DE"/>
    <w:rsid w:val="002C6553"/>
    <w:rsid w:val="002C65F3"/>
    <w:rsid w:val="002C6DCF"/>
    <w:rsid w:val="002C7BBF"/>
    <w:rsid w:val="002D0946"/>
    <w:rsid w:val="002D0C5C"/>
    <w:rsid w:val="002D1490"/>
    <w:rsid w:val="002D1EBB"/>
    <w:rsid w:val="002D21A7"/>
    <w:rsid w:val="002D23B0"/>
    <w:rsid w:val="002D278A"/>
    <w:rsid w:val="002D2E89"/>
    <w:rsid w:val="002D3097"/>
    <w:rsid w:val="002D3A37"/>
    <w:rsid w:val="002D3E8A"/>
    <w:rsid w:val="002D3F42"/>
    <w:rsid w:val="002D4066"/>
    <w:rsid w:val="002D425E"/>
    <w:rsid w:val="002D45FE"/>
    <w:rsid w:val="002D4B96"/>
    <w:rsid w:val="002D4C82"/>
    <w:rsid w:val="002D5196"/>
    <w:rsid w:val="002D55E6"/>
    <w:rsid w:val="002D583F"/>
    <w:rsid w:val="002D5933"/>
    <w:rsid w:val="002D5E71"/>
    <w:rsid w:val="002D6412"/>
    <w:rsid w:val="002D6AD6"/>
    <w:rsid w:val="002D6D9B"/>
    <w:rsid w:val="002D7043"/>
    <w:rsid w:val="002D7054"/>
    <w:rsid w:val="002D7DC2"/>
    <w:rsid w:val="002E00C6"/>
    <w:rsid w:val="002E030D"/>
    <w:rsid w:val="002E04B7"/>
    <w:rsid w:val="002E052A"/>
    <w:rsid w:val="002E095E"/>
    <w:rsid w:val="002E0CE8"/>
    <w:rsid w:val="002E11FB"/>
    <w:rsid w:val="002E16B0"/>
    <w:rsid w:val="002E1933"/>
    <w:rsid w:val="002E1B0C"/>
    <w:rsid w:val="002E1B89"/>
    <w:rsid w:val="002E1C9A"/>
    <w:rsid w:val="002E2021"/>
    <w:rsid w:val="002E2098"/>
    <w:rsid w:val="002E2102"/>
    <w:rsid w:val="002E2899"/>
    <w:rsid w:val="002E2AE5"/>
    <w:rsid w:val="002E2BAB"/>
    <w:rsid w:val="002E2C5E"/>
    <w:rsid w:val="002E2D8C"/>
    <w:rsid w:val="002E342D"/>
    <w:rsid w:val="002E3549"/>
    <w:rsid w:val="002E3A5E"/>
    <w:rsid w:val="002E3E81"/>
    <w:rsid w:val="002E45E6"/>
    <w:rsid w:val="002E4B24"/>
    <w:rsid w:val="002E4BE2"/>
    <w:rsid w:val="002E516F"/>
    <w:rsid w:val="002E5D9C"/>
    <w:rsid w:val="002E6FA8"/>
    <w:rsid w:val="002E6FC0"/>
    <w:rsid w:val="002E71B1"/>
    <w:rsid w:val="002E71E2"/>
    <w:rsid w:val="002E72AC"/>
    <w:rsid w:val="002E745E"/>
    <w:rsid w:val="002E764F"/>
    <w:rsid w:val="002E7855"/>
    <w:rsid w:val="002F022B"/>
    <w:rsid w:val="002F040F"/>
    <w:rsid w:val="002F083B"/>
    <w:rsid w:val="002F1094"/>
    <w:rsid w:val="002F1510"/>
    <w:rsid w:val="002F1935"/>
    <w:rsid w:val="002F1947"/>
    <w:rsid w:val="002F1EDF"/>
    <w:rsid w:val="002F1EEE"/>
    <w:rsid w:val="002F2269"/>
    <w:rsid w:val="002F2ED6"/>
    <w:rsid w:val="002F3295"/>
    <w:rsid w:val="002F33A0"/>
    <w:rsid w:val="002F35D3"/>
    <w:rsid w:val="002F3CAD"/>
    <w:rsid w:val="002F42E1"/>
    <w:rsid w:val="002F475D"/>
    <w:rsid w:val="002F4B82"/>
    <w:rsid w:val="002F52F6"/>
    <w:rsid w:val="002F55E6"/>
    <w:rsid w:val="002F55FC"/>
    <w:rsid w:val="002F5C4A"/>
    <w:rsid w:val="002F620D"/>
    <w:rsid w:val="002F6564"/>
    <w:rsid w:val="002F6661"/>
    <w:rsid w:val="002F7618"/>
    <w:rsid w:val="002F7B6B"/>
    <w:rsid w:val="002F7FDA"/>
    <w:rsid w:val="003006A1"/>
    <w:rsid w:val="0030070B"/>
    <w:rsid w:val="00300E09"/>
    <w:rsid w:val="00300E1F"/>
    <w:rsid w:val="0030110D"/>
    <w:rsid w:val="00301C0E"/>
    <w:rsid w:val="00301C8F"/>
    <w:rsid w:val="00301D17"/>
    <w:rsid w:val="00301F69"/>
    <w:rsid w:val="00302316"/>
    <w:rsid w:val="003026A2"/>
    <w:rsid w:val="00302EE5"/>
    <w:rsid w:val="00303101"/>
    <w:rsid w:val="00303115"/>
    <w:rsid w:val="003034DF"/>
    <w:rsid w:val="00303B52"/>
    <w:rsid w:val="00303EF4"/>
    <w:rsid w:val="003045F4"/>
    <w:rsid w:val="003049FD"/>
    <w:rsid w:val="00304AAC"/>
    <w:rsid w:val="00304B12"/>
    <w:rsid w:val="00305858"/>
    <w:rsid w:val="0030594E"/>
    <w:rsid w:val="0030599C"/>
    <w:rsid w:val="00305A76"/>
    <w:rsid w:val="00307C86"/>
    <w:rsid w:val="00310488"/>
    <w:rsid w:val="00311082"/>
    <w:rsid w:val="003110F4"/>
    <w:rsid w:val="00311394"/>
    <w:rsid w:val="003122A2"/>
    <w:rsid w:val="003126C1"/>
    <w:rsid w:val="00312709"/>
    <w:rsid w:val="00312ACF"/>
    <w:rsid w:val="00313555"/>
    <w:rsid w:val="003137A8"/>
    <w:rsid w:val="0031384C"/>
    <w:rsid w:val="0031407D"/>
    <w:rsid w:val="0031432A"/>
    <w:rsid w:val="00314658"/>
    <w:rsid w:val="003147C2"/>
    <w:rsid w:val="00314E13"/>
    <w:rsid w:val="00314F6A"/>
    <w:rsid w:val="0031513A"/>
    <w:rsid w:val="003154AD"/>
    <w:rsid w:val="003155DE"/>
    <w:rsid w:val="003156FB"/>
    <w:rsid w:val="0031575E"/>
    <w:rsid w:val="00315771"/>
    <w:rsid w:val="00315867"/>
    <w:rsid w:val="0031591C"/>
    <w:rsid w:val="00315D1B"/>
    <w:rsid w:val="00315DBD"/>
    <w:rsid w:val="00315FEB"/>
    <w:rsid w:val="00316509"/>
    <w:rsid w:val="0031691F"/>
    <w:rsid w:val="0031693F"/>
    <w:rsid w:val="00316B0D"/>
    <w:rsid w:val="00316FCB"/>
    <w:rsid w:val="0031752A"/>
    <w:rsid w:val="00317923"/>
    <w:rsid w:val="00317ED8"/>
    <w:rsid w:val="0032077A"/>
    <w:rsid w:val="00320E67"/>
    <w:rsid w:val="00320E7F"/>
    <w:rsid w:val="00321EEE"/>
    <w:rsid w:val="0032208F"/>
    <w:rsid w:val="003220CA"/>
    <w:rsid w:val="00322573"/>
    <w:rsid w:val="0032259E"/>
    <w:rsid w:val="00322A40"/>
    <w:rsid w:val="00322CAF"/>
    <w:rsid w:val="00322FA7"/>
    <w:rsid w:val="00323705"/>
    <w:rsid w:val="00323C75"/>
    <w:rsid w:val="003249D2"/>
    <w:rsid w:val="00324A00"/>
    <w:rsid w:val="00324DE0"/>
    <w:rsid w:val="00325133"/>
    <w:rsid w:val="00325223"/>
    <w:rsid w:val="003253C4"/>
    <w:rsid w:val="0032555A"/>
    <w:rsid w:val="0032610F"/>
    <w:rsid w:val="0032667A"/>
    <w:rsid w:val="003266C8"/>
    <w:rsid w:val="00326C69"/>
    <w:rsid w:val="00327149"/>
    <w:rsid w:val="003271A3"/>
    <w:rsid w:val="00327620"/>
    <w:rsid w:val="00327DFE"/>
    <w:rsid w:val="00327FCA"/>
    <w:rsid w:val="0033035F"/>
    <w:rsid w:val="00331466"/>
    <w:rsid w:val="0033147A"/>
    <w:rsid w:val="0033167C"/>
    <w:rsid w:val="003316F1"/>
    <w:rsid w:val="0033294A"/>
    <w:rsid w:val="0033299A"/>
    <w:rsid w:val="00332CD2"/>
    <w:rsid w:val="00332D46"/>
    <w:rsid w:val="00332D6C"/>
    <w:rsid w:val="003332E9"/>
    <w:rsid w:val="00333413"/>
    <w:rsid w:val="00333476"/>
    <w:rsid w:val="00333530"/>
    <w:rsid w:val="003336FA"/>
    <w:rsid w:val="00333AF9"/>
    <w:rsid w:val="00334259"/>
    <w:rsid w:val="003344F9"/>
    <w:rsid w:val="00334AFE"/>
    <w:rsid w:val="00334B5A"/>
    <w:rsid w:val="00334FCF"/>
    <w:rsid w:val="0033517E"/>
    <w:rsid w:val="00335700"/>
    <w:rsid w:val="00335D99"/>
    <w:rsid w:val="00335E2B"/>
    <w:rsid w:val="0033654B"/>
    <w:rsid w:val="0033743C"/>
    <w:rsid w:val="003378E2"/>
    <w:rsid w:val="00337C0B"/>
    <w:rsid w:val="00337EAD"/>
    <w:rsid w:val="0034029C"/>
    <w:rsid w:val="00340689"/>
    <w:rsid w:val="003407B0"/>
    <w:rsid w:val="00340990"/>
    <w:rsid w:val="00340C5A"/>
    <w:rsid w:val="00340FF1"/>
    <w:rsid w:val="003412C1"/>
    <w:rsid w:val="003415B6"/>
    <w:rsid w:val="00341BC5"/>
    <w:rsid w:val="00341BDD"/>
    <w:rsid w:val="00341D3E"/>
    <w:rsid w:val="00342329"/>
    <w:rsid w:val="00342772"/>
    <w:rsid w:val="00342B47"/>
    <w:rsid w:val="00342BA4"/>
    <w:rsid w:val="00342C0D"/>
    <w:rsid w:val="00342F9D"/>
    <w:rsid w:val="0034321A"/>
    <w:rsid w:val="00343984"/>
    <w:rsid w:val="003439DB"/>
    <w:rsid w:val="00343CEB"/>
    <w:rsid w:val="00343E6D"/>
    <w:rsid w:val="0034402F"/>
    <w:rsid w:val="00344758"/>
    <w:rsid w:val="00344A08"/>
    <w:rsid w:val="00344DA2"/>
    <w:rsid w:val="00345AFF"/>
    <w:rsid w:val="00345EE2"/>
    <w:rsid w:val="003462FA"/>
    <w:rsid w:val="0034681D"/>
    <w:rsid w:val="00346A85"/>
    <w:rsid w:val="00347021"/>
    <w:rsid w:val="00347295"/>
    <w:rsid w:val="00347D0C"/>
    <w:rsid w:val="003506CA"/>
    <w:rsid w:val="00350883"/>
    <w:rsid w:val="003508ED"/>
    <w:rsid w:val="00350B55"/>
    <w:rsid w:val="00350EFD"/>
    <w:rsid w:val="00350F6D"/>
    <w:rsid w:val="00351341"/>
    <w:rsid w:val="00351706"/>
    <w:rsid w:val="003519D5"/>
    <w:rsid w:val="00351BA2"/>
    <w:rsid w:val="00351D37"/>
    <w:rsid w:val="00352A50"/>
    <w:rsid w:val="00352BD3"/>
    <w:rsid w:val="00352C9B"/>
    <w:rsid w:val="00352CFB"/>
    <w:rsid w:val="003537DA"/>
    <w:rsid w:val="00354216"/>
    <w:rsid w:val="00354289"/>
    <w:rsid w:val="0035477F"/>
    <w:rsid w:val="00354C9B"/>
    <w:rsid w:val="00354D62"/>
    <w:rsid w:val="003552C8"/>
    <w:rsid w:val="00355F44"/>
    <w:rsid w:val="00356D82"/>
    <w:rsid w:val="00356E27"/>
    <w:rsid w:val="00356E2E"/>
    <w:rsid w:val="00357131"/>
    <w:rsid w:val="00357312"/>
    <w:rsid w:val="00357CF1"/>
    <w:rsid w:val="0036064E"/>
    <w:rsid w:val="00360810"/>
    <w:rsid w:val="00360B35"/>
    <w:rsid w:val="003610B6"/>
    <w:rsid w:val="003611FE"/>
    <w:rsid w:val="00361727"/>
    <w:rsid w:val="00361F69"/>
    <w:rsid w:val="00362008"/>
    <w:rsid w:val="003621F6"/>
    <w:rsid w:val="003623E3"/>
    <w:rsid w:val="003624DA"/>
    <w:rsid w:val="0036282A"/>
    <w:rsid w:val="00362A35"/>
    <w:rsid w:val="00362B4E"/>
    <w:rsid w:val="00362FD6"/>
    <w:rsid w:val="00363433"/>
    <w:rsid w:val="003635FC"/>
    <w:rsid w:val="003637BA"/>
    <w:rsid w:val="00363857"/>
    <w:rsid w:val="00363B18"/>
    <w:rsid w:val="00363BEC"/>
    <w:rsid w:val="00363EB3"/>
    <w:rsid w:val="00364728"/>
    <w:rsid w:val="00364ABB"/>
    <w:rsid w:val="00364B75"/>
    <w:rsid w:val="00364F66"/>
    <w:rsid w:val="00365113"/>
    <w:rsid w:val="0036576B"/>
    <w:rsid w:val="003662F8"/>
    <w:rsid w:val="003664BE"/>
    <w:rsid w:val="003666AF"/>
    <w:rsid w:val="003666C7"/>
    <w:rsid w:val="00366847"/>
    <w:rsid w:val="00366E37"/>
    <w:rsid w:val="00366F30"/>
    <w:rsid w:val="0036759B"/>
    <w:rsid w:val="00370000"/>
    <w:rsid w:val="0037025E"/>
    <w:rsid w:val="00370678"/>
    <w:rsid w:val="003707F3"/>
    <w:rsid w:val="00370941"/>
    <w:rsid w:val="00370E1C"/>
    <w:rsid w:val="003717EC"/>
    <w:rsid w:val="00371832"/>
    <w:rsid w:val="00371842"/>
    <w:rsid w:val="00371C87"/>
    <w:rsid w:val="0037221E"/>
    <w:rsid w:val="00372F8E"/>
    <w:rsid w:val="00373088"/>
    <w:rsid w:val="003734A4"/>
    <w:rsid w:val="00373519"/>
    <w:rsid w:val="00373640"/>
    <w:rsid w:val="0037375C"/>
    <w:rsid w:val="003741CD"/>
    <w:rsid w:val="0037434B"/>
    <w:rsid w:val="003743A3"/>
    <w:rsid w:val="003745B4"/>
    <w:rsid w:val="003749DA"/>
    <w:rsid w:val="00374B69"/>
    <w:rsid w:val="00374C18"/>
    <w:rsid w:val="00374D94"/>
    <w:rsid w:val="00374E50"/>
    <w:rsid w:val="00374FD8"/>
    <w:rsid w:val="00375493"/>
    <w:rsid w:val="003757DC"/>
    <w:rsid w:val="003760BE"/>
    <w:rsid w:val="00376690"/>
    <w:rsid w:val="00376B4E"/>
    <w:rsid w:val="003775B4"/>
    <w:rsid w:val="003778EA"/>
    <w:rsid w:val="00377C1E"/>
    <w:rsid w:val="00380440"/>
    <w:rsid w:val="003808FF"/>
    <w:rsid w:val="003809E5"/>
    <w:rsid w:val="00380BA1"/>
    <w:rsid w:val="00380BDD"/>
    <w:rsid w:val="0038183B"/>
    <w:rsid w:val="00381A58"/>
    <w:rsid w:val="00381C7C"/>
    <w:rsid w:val="00381CF0"/>
    <w:rsid w:val="00381F61"/>
    <w:rsid w:val="003821F0"/>
    <w:rsid w:val="00382742"/>
    <w:rsid w:val="0038289D"/>
    <w:rsid w:val="00382C81"/>
    <w:rsid w:val="00383079"/>
    <w:rsid w:val="00383274"/>
    <w:rsid w:val="00383697"/>
    <w:rsid w:val="003836EB"/>
    <w:rsid w:val="0038379D"/>
    <w:rsid w:val="00383A15"/>
    <w:rsid w:val="00383AAF"/>
    <w:rsid w:val="00383D38"/>
    <w:rsid w:val="003847F5"/>
    <w:rsid w:val="0038487F"/>
    <w:rsid w:val="00384C70"/>
    <w:rsid w:val="00384E85"/>
    <w:rsid w:val="00384F41"/>
    <w:rsid w:val="003850C2"/>
    <w:rsid w:val="00385104"/>
    <w:rsid w:val="003855B6"/>
    <w:rsid w:val="003856F3"/>
    <w:rsid w:val="003858B9"/>
    <w:rsid w:val="00385BA8"/>
    <w:rsid w:val="00385EBB"/>
    <w:rsid w:val="00387027"/>
    <w:rsid w:val="00387314"/>
    <w:rsid w:val="0038752F"/>
    <w:rsid w:val="00387561"/>
    <w:rsid w:val="0038764D"/>
    <w:rsid w:val="003877A1"/>
    <w:rsid w:val="003877A4"/>
    <w:rsid w:val="00387D86"/>
    <w:rsid w:val="00390267"/>
    <w:rsid w:val="00390758"/>
    <w:rsid w:val="00390EFA"/>
    <w:rsid w:val="00391010"/>
    <w:rsid w:val="0039103B"/>
    <w:rsid w:val="003915CE"/>
    <w:rsid w:val="0039176D"/>
    <w:rsid w:val="00391B56"/>
    <w:rsid w:val="0039204B"/>
    <w:rsid w:val="003922AF"/>
    <w:rsid w:val="00392561"/>
    <w:rsid w:val="0039313B"/>
    <w:rsid w:val="0039337E"/>
    <w:rsid w:val="003936A3"/>
    <w:rsid w:val="00393842"/>
    <w:rsid w:val="00393884"/>
    <w:rsid w:val="003938FC"/>
    <w:rsid w:val="00393D23"/>
    <w:rsid w:val="00393E5E"/>
    <w:rsid w:val="00394086"/>
    <w:rsid w:val="0039419D"/>
    <w:rsid w:val="0039471B"/>
    <w:rsid w:val="0039493A"/>
    <w:rsid w:val="00394C59"/>
    <w:rsid w:val="00395031"/>
    <w:rsid w:val="003955EF"/>
    <w:rsid w:val="00395894"/>
    <w:rsid w:val="003959BC"/>
    <w:rsid w:val="00395A58"/>
    <w:rsid w:val="00395CC5"/>
    <w:rsid w:val="0039600B"/>
    <w:rsid w:val="00396162"/>
    <w:rsid w:val="00396355"/>
    <w:rsid w:val="0039693A"/>
    <w:rsid w:val="00396F5E"/>
    <w:rsid w:val="00397B6C"/>
    <w:rsid w:val="003A01A9"/>
    <w:rsid w:val="003A037C"/>
    <w:rsid w:val="003A03FA"/>
    <w:rsid w:val="003A06D3"/>
    <w:rsid w:val="003A08EF"/>
    <w:rsid w:val="003A11E8"/>
    <w:rsid w:val="003A1E44"/>
    <w:rsid w:val="003A20A1"/>
    <w:rsid w:val="003A23D2"/>
    <w:rsid w:val="003A25ED"/>
    <w:rsid w:val="003A2816"/>
    <w:rsid w:val="003A2844"/>
    <w:rsid w:val="003A2B5A"/>
    <w:rsid w:val="003A2ED1"/>
    <w:rsid w:val="003A3B81"/>
    <w:rsid w:val="003A3D61"/>
    <w:rsid w:val="003A4111"/>
    <w:rsid w:val="003A475C"/>
    <w:rsid w:val="003A47D1"/>
    <w:rsid w:val="003A4F3F"/>
    <w:rsid w:val="003A5681"/>
    <w:rsid w:val="003A56AE"/>
    <w:rsid w:val="003A570B"/>
    <w:rsid w:val="003A5AC8"/>
    <w:rsid w:val="003A5C19"/>
    <w:rsid w:val="003A6039"/>
    <w:rsid w:val="003A6147"/>
    <w:rsid w:val="003A64F4"/>
    <w:rsid w:val="003A6628"/>
    <w:rsid w:val="003A7B9C"/>
    <w:rsid w:val="003B004D"/>
    <w:rsid w:val="003B02FC"/>
    <w:rsid w:val="003B07BF"/>
    <w:rsid w:val="003B0E93"/>
    <w:rsid w:val="003B1097"/>
    <w:rsid w:val="003B1B97"/>
    <w:rsid w:val="003B22C4"/>
    <w:rsid w:val="003B26D2"/>
    <w:rsid w:val="003B32D5"/>
    <w:rsid w:val="003B38F2"/>
    <w:rsid w:val="003B3BBD"/>
    <w:rsid w:val="003B40A4"/>
    <w:rsid w:val="003B433A"/>
    <w:rsid w:val="003B464C"/>
    <w:rsid w:val="003B5331"/>
    <w:rsid w:val="003B5F40"/>
    <w:rsid w:val="003B5F95"/>
    <w:rsid w:val="003B6894"/>
    <w:rsid w:val="003B701D"/>
    <w:rsid w:val="003B7256"/>
    <w:rsid w:val="003B7D4C"/>
    <w:rsid w:val="003B7E4E"/>
    <w:rsid w:val="003C0147"/>
    <w:rsid w:val="003C1635"/>
    <w:rsid w:val="003C1D84"/>
    <w:rsid w:val="003C27D5"/>
    <w:rsid w:val="003C28E1"/>
    <w:rsid w:val="003C2E73"/>
    <w:rsid w:val="003C33F7"/>
    <w:rsid w:val="003C37B4"/>
    <w:rsid w:val="003C3DB2"/>
    <w:rsid w:val="003C4712"/>
    <w:rsid w:val="003C52FD"/>
    <w:rsid w:val="003C5454"/>
    <w:rsid w:val="003C5548"/>
    <w:rsid w:val="003C554E"/>
    <w:rsid w:val="003C58CB"/>
    <w:rsid w:val="003C59EB"/>
    <w:rsid w:val="003C5B0D"/>
    <w:rsid w:val="003C5EF3"/>
    <w:rsid w:val="003C617E"/>
    <w:rsid w:val="003C698C"/>
    <w:rsid w:val="003C6C16"/>
    <w:rsid w:val="003C6D66"/>
    <w:rsid w:val="003C7541"/>
    <w:rsid w:val="003C77ED"/>
    <w:rsid w:val="003C7AD1"/>
    <w:rsid w:val="003D0068"/>
    <w:rsid w:val="003D04B3"/>
    <w:rsid w:val="003D04DA"/>
    <w:rsid w:val="003D04DF"/>
    <w:rsid w:val="003D084B"/>
    <w:rsid w:val="003D09E3"/>
    <w:rsid w:val="003D0C1D"/>
    <w:rsid w:val="003D1DE1"/>
    <w:rsid w:val="003D25F8"/>
    <w:rsid w:val="003D2860"/>
    <w:rsid w:val="003D33FA"/>
    <w:rsid w:val="003D4101"/>
    <w:rsid w:val="003D431A"/>
    <w:rsid w:val="003D4507"/>
    <w:rsid w:val="003D4679"/>
    <w:rsid w:val="003D49CD"/>
    <w:rsid w:val="003D4AA1"/>
    <w:rsid w:val="003D4E29"/>
    <w:rsid w:val="003D4F40"/>
    <w:rsid w:val="003D545D"/>
    <w:rsid w:val="003D5CD4"/>
    <w:rsid w:val="003D5D43"/>
    <w:rsid w:val="003D5E33"/>
    <w:rsid w:val="003D646A"/>
    <w:rsid w:val="003D6893"/>
    <w:rsid w:val="003D6A13"/>
    <w:rsid w:val="003D6AFC"/>
    <w:rsid w:val="003D7C2B"/>
    <w:rsid w:val="003E10CE"/>
    <w:rsid w:val="003E11D3"/>
    <w:rsid w:val="003E1815"/>
    <w:rsid w:val="003E1A3B"/>
    <w:rsid w:val="003E1A9A"/>
    <w:rsid w:val="003E1AEB"/>
    <w:rsid w:val="003E1B07"/>
    <w:rsid w:val="003E1B43"/>
    <w:rsid w:val="003E1E46"/>
    <w:rsid w:val="003E2591"/>
    <w:rsid w:val="003E27C0"/>
    <w:rsid w:val="003E29E1"/>
    <w:rsid w:val="003E338A"/>
    <w:rsid w:val="003E3511"/>
    <w:rsid w:val="003E3F2E"/>
    <w:rsid w:val="003E4451"/>
    <w:rsid w:val="003E486C"/>
    <w:rsid w:val="003E4A68"/>
    <w:rsid w:val="003E4F81"/>
    <w:rsid w:val="003E628B"/>
    <w:rsid w:val="003E628C"/>
    <w:rsid w:val="003E672A"/>
    <w:rsid w:val="003E697E"/>
    <w:rsid w:val="003E7A3D"/>
    <w:rsid w:val="003E7AC3"/>
    <w:rsid w:val="003E7FDE"/>
    <w:rsid w:val="003F0162"/>
    <w:rsid w:val="003F03B4"/>
    <w:rsid w:val="003F0AE4"/>
    <w:rsid w:val="003F1753"/>
    <w:rsid w:val="003F1AD1"/>
    <w:rsid w:val="003F293C"/>
    <w:rsid w:val="003F2BDF"/>
    <w:rsid w:val="003F2E60"/>
    <w:rsid w:val="003F3102"/>
    <w:rsid w:val="003F34E1"/>
    <w:rsid w:val="003F35CD"/>
    <w:rsid w:val="003F364E"/>
    <w:rsid w:val="003F37F4"/>
    <w:rsid w:val="003F3CDD"/>
    <w:rsid w:val="003F4411"/>
    <w:rsid w:val="003F4908"/>
    <w:rsid w:val="003F521E"/>
    <w:rsid w:val="003F5BC7"/>
    <w:rsid w:val="003F6168"/>
    <w:rsid w:val="003F62F8"/>
    <w:rsid w:val="003F63E5"/>
    <w:rsid w:val="003F63F2"/>
    <w:rsid w:val="003F6733"/>
    <w:rsid w:val="003F6A61"/>
    <w:rsid w:val="003F73CA"/>
    <w:rsid w:val="003F763B"/>
    <w:rsid w:val="0040051A"/>
    <w:rsid w:val="00401374"/>
    <w:rsid w:val="004017B1"/>
    <w:rsid w:val="00401928"/>
    <w:rsid w:val="00401C0E"/>
    <w:rsid w:val="004022FC"/>
    <w:rsid w:val="00402334"/>
    <w:rsid w:val="00402569"/>
    <w:rsid w:val="00402654"/>
    <w:rsid w:val="0040304B"/>
    <w:rsid w:val="004036F5"/>
    <w:rsid w:val="004038F7"/>
    <w:rsid w:val="004043FA"/>
    <w:rsid w:val="004045BF"/>
    <w:rsid w:val="00404AFD"/>
    <w:rsid w:val="00405003"/>
    <w:rsid w:val="004051AB"/>
    <w:rsid w:val="004051F6"/>
    <w:rsid w:val="004052E6"/>
    <w:rsid w:val="0040543B"/>
    <w:rsid w:val="00405486"/>
    <w:rsid w:val="004054D1"/>
    <w:rsid w:val="00405EB0"/>
    <w:rsid w:val="004061BC"/>
    <w:rsid w:val="004068B7"/>
    <w:rsid w:val="004068E2"/>
    <w:rsid w:val="00406AB9"/>
    <w:rsid w:val="00406F9E"/>
    <w:rsid w:val="004074C2"/>
    <w:rsid w:val="00407EE6"/>
    <w:rsid w:val="00407F75"/>
    <w:rsid w:val="004100B8"/>
    <w:rsid w:val="0041040D"/>
    <w:rsid w:val="00410977"/>
    <w:rsid w:val="00411553"/>
    <w:rsid w:val="0041158E"/>
    <w:rsid w:val="00411685"/>
    <w:rsid w:val="0041170A"/>
    <w:rsid w:val="004122DE"/>
    <w:rsid w:val="004123B0"/>
    <w:rsid w:val="004124EC"/>
    <w:rsid w:val="00412E72"/>
    <w:rsid w:val="00413095"/>
    <w:rsid w:val="00413444"/>
    <w:rsid w:val="00413622"/>
    <w:rsid w:val="00414151"/>
    <w:rsid w:val="0041468A"/>
    <w:rsid w:val="00414ACF"/>
    <w:rsid w:val="0041723D"/>
    <w:rsid w:val="00417AA7"/>
    <w:rsid w:val="00420F16"/>
    <w:rsid w:val="00421715"/>
    <w:rsid w:val="004218F9"/>
    <w:rsid w:val="00421B29"/>
    <w:rsid w:val="00421B63"/>
    <w:rsid w:val="004224D7"/>
    <w:rsid w:val="0042252D"/>
    <w:rsid w:val="0042253B"/>
    <w:rsid w:val="0042323B"/>
    <w:rsid w:val="004233DD"/>
    <w:rsid w:val="00423BA4"/>
    <w:rsid w:val="00424368"/>
    <w:rsid w:val="004248DE"/>
    <w:rsid w:val="00424A9C"/>
    <w:rsid w:val="00425052"/>
    <w:rsid w:val="0042509E"/>
    <w:rsid w:val="004251E2"/>
    <w:rsid w:val="00425594"/>
    <w:rsid w:val="00425699"/>
    <w:rsid w:val="0042573B"/>
    <w:rsid w:val="00425A40"/>
    <w:rsid w:val="00425B2A"/>
    <w:rsid w:val="00425B87"/>
    <w:rsid w:val="00426006"/>
    <w:rsid w:val="004261C7"/>
    <w:rsid w:val="00426A00"/>
    <w:rsid w:val="00426A81"/>
    <w:rsid w:val="00427376"/>
    <w:rsid w:val="00427A2D"/>
    <w:rsid w:val="00427B93"/>
    <w:rsid w:val="004303B2"/>
    <w:rsid w:val="00430517"/>
    <w:rsid w:val="00430C49"/>
    <w:rsid w:val="00430DA4"/>
    <w:rsid w:val="0043160E"/>
    <w:rsid w:val="004323AD"/>
    <w:rsid w:val="0043245B"/>
    <w:rsid w:val="00432686"/>
    <w:rsid w:val="004327C4"/>
    <w:rsid w:val="004328B0"/>
    <w:rsid w:val="004330B4"/>
    <w:rsid w:val="004333B5"/>
    <w:rsid w:val="0043342C"/>
    <w:rsid w:val="00433461"/>
    <w:rsid w:val="004344E2"/>
    <w:rsid w:val="0043491E"/>
    <w:rsid w:val="00434DFC"/>
    <w:rsid w:val="00434E7C"/>
    <w:rsid w:val="004350A3"/>
    <w:rsid w:val="00435487"/>
    <w:rsid w:val="00435BD1"/>
    <w:rsid w:val="00435C3D"/>
    <w:rsid w:val="004361E3"/>
    <w:rsid w:val="00436856"/>
    <w:rsid w:val="004368DA"/>
    <w:rsid w:val="00436BB1"/>
    <w:rsid w:val="00436CC5"/>
    <w:rsid w:val="004372EB"/>
    <w:rsid w:val="004376BB"/>
    <w:rsid w:val="004376D4"/>
    <w:rsid w:val="004377C9"/>
    <w:rsid w:val="00437B11"/>
    <w:rsid w:val="00437D1D"/>
    <w:rsid w:val="00437EDB"/>
    <w:rsid w:val="004400F8"/>
    <w:rsid w:val="004403AC"/>
    <w:rsid w:val="0044058C"/>
    <w:rsid w:val="0044061A"/>
    <w:rsid w:val="00440DE8"/>
    <w:rsid w:val="00440F8A"/>
    <w:rsid w:val="00441AB4"/>
    <w:rsid w:val="00441CAF"/>
    <w:rsid w:val="00441D32"/>
    <w:rsid w:val="00441E8D"/>
    <w:rsid w:val="004422DE"/>
    <w:rsid w:val="00442948"/>
    <w:rsid w:val="00442AB0"/>
    <w:rsid w:val="00442C0B"/>
    <w:rsid w:val="00442D3F"/>
    <w:rsid w:val="00442D63"/>
    <w:rsid w:val="00443469"/>
    <w:rsid w:val="00443D34"/>
    <w:rsid w:val="00443DF3"/>
    <w:rsid w:val="004440B8"/>
    <w:rsid w:val="00444F87"/>
    <w:rsid w:val="00445921"/>
    <w:rsid w:val="0044667B"/>
    <w:rsid w:val="00446A5E"/>
    <w:rsid w:val="00446ADE"/>
    <w:rsid w:val="00446B6F"/>
    <w:rsid w:val="00446BC9"/>
    <w:rsid w:val="00446CF5"/>
    <w:rsid w:val="00446D98"/>
    <w:rsid w:val="00447CDB"/>
    <w:rsid w:val="00447FDC"/>
    <w:rsid w:val="0045083C"/>
    <w:rsid w:val="0045088E"/>
    <w:rsid w:val="004510BA"/>
    <w:rsid w:val="0045132E"/>
    <w:rsid w:val="00451951"/>
    <w:rsid w:val="00451A80"/>
    <w:rsid w:val="00451BF2"/>
    <w:rsid w:val="004520FF"/>
    <w:rsid w:val="004526B8"/>
    <w:rsid w:val="004527F1"/>
    <w:rsid w:val="004529E5"/>
    <w:rsid w:val="00452F13"/>
    <w:rsid w:val="00453402"/>
    <w:rsid w:val="004536DE"/>
    <w:rsid w:val="00453C8C"/>
    <w:rsid w:val="0045435B"/>
    <w:rsid w:val="0045488C"/>
    <w:rsid w:val="00454B5A"/>
    <w:rsid w:val="00454C3A"/>
    <w:rsid w:val="00454E0F"/>
    <w:rsid w:val="004557FC"/>
    <w:rsid w:val="004562D4"/>
    <w:rsid w:val="0045765A"/>
    <w:rsid w:val="0045780E"/>
    <w:rsid w:val="00457A05"/>
    <w:rsid w:val="00457FBA"/>
    <w:rsid w:val="00457FCD"/>
    <w:rsid w:val="00460054"/>
    <w:rsid w:val="0046016F"/>
    <w:rsid w:val="0046017D"/>
    <w:rsid w:val="004610BD"/>
    <w:rsid w:val="0046115F"/>
    <w:rsid w:val="00461301"/>
    <w:rsid w:val="0046149D"/>
    <w:rsid w:val="004618C6"/>
    <w:rsid w:val="00461A01"/>
    <w:rsid w:val="00462336"/>
    <w:rsid w:val="00462644"/>
    <w:rsid w:val="004627FC"/>
    <w:rsid w:val="00462857"/>
    <w:rsid w:val="00462CD3"/>
    <w:rsid w:val="00462FAC"/>
    <w:rsid w:val="00463212"/>
    <w:rsid w:val="004632DC"/>
    <w:rsid w:val="00463DB6"/>
    <w:rsid w:val="00464186"/>
    <w:rsid w:val="00464607"/>
    <w:rsid w:val="0046465A"/>
    <w:rsid w:val="00464B54"/>
    <w:rsid w:val="00464BE5"/>
    <w:rsid w:val="00464C7D"/>
    <w:rsid w:val="00465217"/>
    <w:rsid w:val="00465575"/>
    <w:rsid w:val="004656D4"/>
    <w:rsid w:val="0046633B"/>
    <w:rsid w:val="00466B0A"/>
    <w:rsid w:val="00466B31"/>
    <w:rsid w:val="00467707"/>
    <w:rsid w:val="00467BFD"/>
    <w:rsid w:val="00467FC9"/>
    <w:rsid w:val="00467FD9"/>
    <w:rsid w:val="00470009"/>
    <w:rsid w:val="004702E4"/>
    <w:rsid w:val="00470538"/>
    <w:rsid w:val="00470993"/>
    <w:rsid w:val="00470DB5"/>
    <w:rsid w:val="0047125F"/>
    <w:rsid w:val="00471734"/>
    <w:rsid w:val="004725AA"/>
    <w:rsid w:val="004727C2"/>
    <w:rsid w:val="00472E53"/>
    <w:rsid w:val="00472F8E"/>
    <w:rsid w:val="004730CF"/>
    <w:rsid w:val="00473513"/>
    <w:rsid w:val="004737C9"/>
    <w:rsid w:val="0047436E"/>
    <w:rsid w:val="004744F1"/>
    <w:rsid w:val="00474E9D"/>
    <w:rsid w:val="00474F00"/>
    <w:rsid w:val="00475056"/>
    <w:rsid w:val="0047604C"/>
    <w:rsid w:val="00476331"/>
    <w:rsid w:val="00476611"/>
    <w:rsid w:val="00476871"/>
    <w:rsid w:val="0047690B"/>
    <w:rsid w:val="00476D80"/>
    <w:rsid w:val="00477153"/>
    <w:rsid w:val="0047719F"/>
    <w:rsid w:val="00477546"/>
    <w:rsid w:val="004778FA"/>
    <w:rsid w:val="00477CAE"/>
    <w:rsid w:val="00480253"/>
    <w:rsid w:val="00480748"/>
    <w:rsid w:val="004809BA"/>
    <w:rsid w:val="00480D50"/>
    <w:rsid w:val="00481077"/>
    <w:rsid w:val="00481495"/>
    <w:rsid w:val="0048162F"/>
    <w:rsid w:val="00481860"/>
    <w:rsid w:val="00481E81"/>
    <w:rsid w:val="004820E6"/>
    <w:rsid w:val="00482223"/>
    <w:rsid w:val="0048240A"/>
    <w:rsid w:val="00482514"/>
    <w:rsid w:val="00482763"/>
    <w:rsid w:val="00482D25"/>
    <w:rsid w:val="0048377A"/>
    <w:rsid w:val="00484240"/>
    <w:rsid w:val="00484B97"/>
    <w:rsid w:val="00484F37"/>
    <w:rsid w:val="004852B2"/>
    <w:rsid w:val="00485628"/>
    <w:rsid w:val="00485A22"/>
    <w:rsid w:val="00485B1D"/>
    <w:rsid w:val="00485B99"/>
    <w:rsid w:val="00485F25"/>
    <w:rsid w:val="004860E8"/>
    <w:rsid w:val="004862FD"/>
    <w:rsid w:val="00486817"/>
    <w:rsid w:val="00486887"/>
    <w:rsid w:val="00486A49"/>
    <w:rsid w:val="00486C25"/>
    <w:rsid w:val="00487539"/>
    <w:rsid w:val="00487B35"/>
    <w:rsid w:val="00487C0D"/>
    <w:rsid w:val="00487D4F"/>
    <w:rsid w:val="00487D94"/>
    <w:rsid w:val="00487DEE"/>
    <w:rsid w:val="004900DD"/>
    <w:rsid w:val="0049022A"/>
    <w:rsid w:val="00490361"/>
    <w:rsid w:val="0049084E"/>
    <w:rsid w:val="00490AC6"/>
    <w:rsid w:val="00490F90"/>
    <w:rsid w:val="00491197"/>
    <w:rsid w:val="00491765"/>
    <w:rsid w:val="00491C1A"/>
    <w:rsid w:val="00491EBF"/>
    <w:rsid w:val="004922B4"/>
    <w:rsid w:val="004927A6"/>
    <w:rsid w:val="00492B46"/>
    <w:rsid w:val="00492D88"/>
    <w:rsid w:val="00492FC0"/>
    <w:rsid w:val="00493C0E"/>
    <w:rsid w:val="00493DCC"/>
    <w:rsid w:val="00493EB7"/>
    <w:rsid w:val="00494045"/>
    <w:rsid w:val="00494055"/>
    <w:rsid w:val="004940C4"/>
    <w:rsid w:val="0049434B"/>
    <w:rsid w:val="004957CD"/>
    <w:rsid w:val="00495B00"/>
    <w:rsid w:val="00495E65"/>
    <w:rsid w:val="0049602D"/>
    <w:rsid w:val="00496195"/>
    <w:rsid w:val="00496801"/>
    <w:rsid w:val="00496BB3"/>
    <w:rsid w:val="00496CC6"/>
    <w:rsid w:val="00496E5F"/>
    <w:rsid w:val="0049747D"/>
    <w:rsid w:val="00497F19"/>
    <w:rsid w:val="00497F41"/>
    <w:rsid w:val="00497F86"/>
    <w:rsid w:val="004A017E"/>
    <w:rsid w:val="004A02C1"/>
    <w:rsid w:val="004A07EF"/>
    <w:rsid w:val="004A0EE1"/>
    <w:rsid w:val="004A10AD"/>
    <w:rsid w:val="004A1C59"/>
    <w:rsid w:val="004A2304"/>
    <w:rsid w:val="004A2BC9"/>
    <w:rsid w:val="004A2EE8"/>
    <w:rsid w:val="004A322A"/>
    <w:rsid w:val="004A3759"/>
    <w:rsid w:val="004A3F4C"/>
    <w:rsid w:val="004A3FAD"/>
    <w:rsid w:val="004A40F1"/>
    <w:rsid w:val="004A4AA8"/>
    <w:rsid w:val="004A5817"/>
    <w:rsid w:val="004A5A3C"/>
    <w:rsid w:val="004A5CAE"/>
    <w:rsid w:val="004A65B9"/>
    <w:rsid w:val="004A773B"/>
    <w:rsid w:val="004A77BB"/>
    <w:rsid w:val="004A79BD"/>
    <w:rsid w:val="004A79F2"/>
    <w:rsid w:val="004B026B"/>
    <w:rsid w:val="004B0B40"/>
    <w:rsid w:val="004B0C88"/>
    <w:rsid w:val="004B14A0"/>
    <w:rsid w:val="004B15C3"/>
    <w:rsid w:val="004B1E52"/>
    <w:rsid w:val="004B278B"/>
    <w:rsid w:val="004B2BCD"/>
    <w:rsid w:val="004B3723"/>
    <w:rsid w:val="004B38E3"/>
    <w:rsid w:val="004B3A37"/>
    <w:rsid w:val="004B3B09"/>
    <w:rsid w:val="004B3B28"/>
    <w:rsid w:val="004B3E5E"/>
    <w:rsid w:val="004B3EDA"/>
    <w:rsid w:val="004B4158"/>
    <w:rsid w:val="004B429E"/>
    <w:rsid w:val="004B4879"/>
    <w:rsid w:val="004B4970"/>
    <w:rsid w:val="004B5103"/>
    <w:rsid w:val="004B5131"/>
    <w:rsid w:val="004B5189"/>
    <w:rsid w:val="004B542F"/>
    <w:rsid w:val="004B58F9"/>
    <w:rsid w:val="004B5C29"/>
    <w:rsid w:val="004B5CF8"/>
    <w:rsid w:val="004B5D9D"/>
    <w:rsid w:val="004B63B5"/>
    <w:rsid w:val="004B651D"/>
    <w:rsid w:val="004B67F1"/>
    <w:rsid w:val="004B6809"/>
    <w:rsid w:val="004B68A4"/>
    <w:rsid w:val="004B69CE"/>
    <w:rsid w:val="004B6E88"/>
    <w:rsid w:val="004B6F13"/>
    <w:rsid w:val="004B7722"/>
    <w:rsid w:val="004B77B7"/>
    <w:rsid w:val="004B7828"/>
    <w:rsid w:val="004B78B6"/>
    <w:rsid w:val="004B7AEB"/>
    <w:rsid w:val="004C00C2"/>
    <w:rsid w:val="004C07D9"/>
    <w:rsid w:val="004C0A9C"/>
    <w:rsid w:val="004C0BBA"/>
    <w:rsid w:val="004C0D11"/>
    <w:rsid w:val="004C0D81"/>
    <w:rsid w:val="004C0FEA"/>
    <w:rsid w:val="004C1281"/>
    <w:rsid w:val="004C1A2F"/>
    <w:rsid w:val="004C221B"/>
    <w:rsid w:val="004C244F"/>
    <w:rsid w:val="004C250F"/>
    <w:rsid w:val="004C26C3"/>
    <w:rsid w:val="004C2A19"/>
    <w:rsid w:val="004C2A8E"/>
    <w:rsid w:val="004C2F48"/>
    <w:rsid w:val="004C44B4"/>
    <w:rsid w:val="004C4B93"/>
    <w:rsid w:val="004C4E8B"/>
    <w:rsid w:val="004C56E0"/>
    <w:rsid w:val="004C5D7D"/>
    <w:rsid w:val="004C604A"/>
    <w:rsid w:val="004C6188"/>
    <w:rsid w:val="004C6C1F"/>
    <w:rsid w:val="004C6CFD"/>
    <w:rsid w:val="004C6E93"/>
    <w:rsid w:val="004C71D2"/>
    <w:rsid w:val="004C7BA0"/>
    <w:rsid w:val="004D0138"/>
    <w:rsid w:val="004D0A3E"/>
    <w:rsid w:val="004D0C77"/>
    <w:rsid w:val="004D15D6"/>
    <w:rsid w:val="004D2676"/>
    <w:rsid w:val="004D277A"/>
    <w:rsid w:val="004D2800"/>
    <w:rsid w:val="004D2EB8"/>
    <w:rsid w:val="004D357F"/>
    <w:rsid w:val="004D379B"/>
    <w:rsid w:val="004D3ED0"/>
    <w:rsid w:val="004D3EDE"/>
    <w:rsid w:val="004D3FE4"/>
    <w:rsid w:val="004D401B"/>
    <w:rsid w:val="004D426A"/>
    <w:rsid w:val="004D44FE"/>
    <w:rsid w:val="004D4F0B"/>
    <w:rsid w:val="004D4FC6"/>
    <w:rsid w:val="004D5223"/>
    <w:rsid w:val="004D58B0"/>
    <w:rsid w:val="004D59D2"/>
    <w:rsid w:val="004D5AAE"/>
    <w:rsid w:val="004D5C39"/>
    <w:rsid w:val="004D5D18"/>
    <w:rsid w:val="004D5E55"/>
    <w:rsid w:val="004D653C"/>
    <w:rsid w:val="004D6922"/>
    <w:rsid w:val="004D6CE2"/>
    <w:rsid w:val="004D6F22"/>
    <w:rsid w:val="004D73D3"/>
    <w:rsid w:val="004D775F"/>
    <w:rsid w:val="004D77B5"/>
    <w:rsid w:val="004D785C"/>
    <w:rsid w:val="004D7AE1"/>
    <w:rsid w:val="004D7DDA"/>
    <w:rsid w:val="004E11B2"/>
    <w:rsid w:val="004E1523"/>
    <w:rsid w:val="004E1D26"/>
    <w:rsid w:val="004E26F8"/>
    <w:rsid w:val="004E2EBA"/>
    <w:rsid w:val="004E2FF8"/>
    <w:rsid w:val="004E36E9"/>
    <w:rsid w:val="004E3FA3"/>
    <w:rsid w:val="004E40F0"/>
    <w:rsid w:val="004E43FA"/>
    <w:rsid w:val="004E4972"/>
    <w:rsid w:val="004E5912"/>
    <w:rsid w:val="004E5B4D"/>
    <w:rsid w:val="004E5DC0"/>
    <w:rsid w:val="004E611E"/>
    <w:rsid w:val="004E6625"/>
    <w:rsid w:val="004E67A9"/>
    <w:rsid w:val="004E6EFD"/>
    <w:rsid w:val="004E7071"/>
    <w:rsid w:val="004E71FC"/>
    <w:rsid w:val="004E74D9"/>
    <w:rsid w:val="004E74E1"/>
    <w:rsid w:val="004F0116"/>
    <w:rsid w:val="004F0258"/>
    <w:rsid w:val="004F1323"/>
    <w:rsid w:val="004F1332"/>
    <w:rsid w:val="004F19A1"/>
    <w:rsid w:val="004F1E4C"/>
    <w:rsid w:val="004F1E74"/>
    <w:rsid w:val="004F1EA0"/>
    <w:rsid w:val="004F1F8C"/>
    <w:rsid w:val="004F20DB"/>
    <w:rsid w:val="004F2462"/>
    <w:rsid w:val="004F252C"/>
    <w:rsid w:val="004F2615"/>
    <w:rsid w:val="004F2704"/>
    <w:rsid w:val="004F2952"/>
    <w:rsid w:val="004F33F2"/>
    <w:rsid w:val="004F34A3"/>
    <w:rsid w:val="004F3CF5"/>
    <w:rsid w:val="004F4793"/>
    <w:rsid w:val="004F4AB2"/>
    <w:rsid w:val="004F5675"/>
    <w:rsid w:val="004F5AE8"/>
    <w:rsid w:val="004F5D74"/>
    <w:rsid w:val="004F5EAA"/>
    <w:rsid w:val="004F690D"/>
    <w:rsid w:val="004F6A5E"/>
    <w:rsid w:val="004F6AC1"/>
    <w:rsid w:val="004F70AD"/>
    <w:rsid w:val="005002F6"/>
    <w:rsid w:val="00500A2F"/>
    <w:rsid w:val="00500F6F"/>
    <w:rsid w:val="00500FDA"/>
    <w:rsid w:val="00501765"/>
    <w:rsid w:val="0050197B"/>
    <w:rsid w:val="00501B25"/>
    <w:rsid w:val="00502147"/>
    <w:rsid w:val="00502497"/>
    <w:rsid w:val="005024FD"/>
    <w:rsid w:val="00502826"/>
    <w:rsid w:val="00502842"/>
    <w:rsid w:val="005028B9"/>
    <w:rsid w:val="00502913"/>
    <w:rsid w:val="00502A45"/>
    <w:rsid w:val="00502FAB"/>
    <w:rsid w:val="00503353"/>
    <w:rsid w:val="00503963"/>
    <w:rsid w:val="00503C03"/>
    <w:rsid w:val="005048DE"/>
    <w:rsid w:val="005049F3"/>
    <w:rsid w:val="00504AF9"/>
    <w:rsid w:val="00504D6D"/>
    <w:rsid w:val="00504F50"/>
    <w:rsid w:val="00505B8A"/>
    <w:rsid w:val="00505CB1"/>
    <w:rsid w:val="00505CD8"/>
    <w:rsid w:val="00506240"/>
    <w:rsid w:val="0050670A"/>
    <w:rsid w:val="005067F5"/>
    <w:rsid w:val="00506C7D"/>
    <w:rsid w:val="005071AF"/>
    <w:rsid w:val="005075D6"/>
    <w:rsid w:val="005077C7"/>
    <w:rsid w:val="00507DCB"/>
    <w:rsid w:val="00507ED4"/>
    <w:rsid w:val="00510298"/>
    <w:rsid w:val="005104C2"/>
    <w:rsid w:val="0051076A"/>
    <w:rsid w:val="00510821"/>
    <w:rsid w:val="005108D4"/>
    <w:rsid w:val="00510BA8"/>
    <w:rsid w:val="00511097"/>
    <w:rsid w:val="005110E8"/>
    <w:rsid w:val="005113E1"/>
    <w:rsid w:val="005117E7"/>
    <w:rsid w:val="0051199D"/>
    <w:rsid w:val="00511BC2"/>
    <w:rsid w:val="00511F19"/>
    <w:rsid w:val="00512041"/>
    <w:rsid w:val="005120DB"/>
    <w:rsid w:val="00512200"/>
    <w:rsid w:val="00512EED"/>
    <w:rsid w:val="00512FE9"/>
    <w:rsid w:val="005130BC"/>
    <w:rsid w:val="00513E2D"/>
    <w:rsid w:val="00513E41"/>
    <w:rsid w:val="005142DA"/>
    <w:rsid w:val="005145CE"/>
    <w:rsid w:val="0051489C"/>
    <w:rsid w:val="00515271"/>
    <w:rsid w:val="005157BE"/>
    <w:rsid w:val="00515C76"/>
    <w:rsid w:val="00515E85"/>
    <w:rsid w:val="005161F2"/>
    <w:rsid w:val="005164DB"/>
    <w:rsid w:val="005165EF"/>
    <w:rsid w:val="00516A92"/>
    <w:rsid w:val="00516AB3"/>
    <w:rsid w:val="00516D3D"/>
    <w:rsid w:val="005170C4"/>
    <w:rsid w:val="005174FF"/>
    <w:rsid w:val="005176BD"/>
    <w:rsid w:val="00517750"/>
    <w:rsid w:val="00517BD3"/>
    <w:rsid w:val="00517C6B"/>
    <w:rsid w:val="00517D1C"/>
    <w:rsid w:val="00517E5D"/>
    <w:rsid w:val="00520CCD"/>
    <w:rsid w:val="00520F2A"/>
    <w:rsid w:val="00520FFB"/>
    <w:rsid w:val="005219B4"/>
    <w:rsid w:val="00521AEE"/>
    <w:rsid w:val="00521E38"/>
    <w:rsid w:val="00522464"/>
    <w:rsid w:val="00522507"/>
    <w:rsid w:val="005225B6"/>
    <w:rsid w:val="0052366B"/>
    <w:rsid w:val="00523CFB"/>
    <w:rsid w:val="00523E3E"/>
    <w:rsid w:val="0052430E"/>
    <w:rsid w:val="005247E6"/>
    <w:rsid w:val="0052506E"/>
    <w:rsid w:val="0052556C"/>
    <w:rsid w:val="00525751"/>
    <w:rsid w:val="00525788"/>
    <w:rsid w:val="005258B5"/>
    <w:rsid w:val="00525B9E"/>
    <w:rsid w:val="00525C50"/>
    <w:rsid w:val="00525EF2"/>
    <w:rsid w:val="00526276"/>
    <w:rsid w:val="005263F7"/>
    <w:rsid w:val="00526CDA"/>
    <w:rsid w:val="00527065"/>
    <w:rsid w:val="00527095"/>
    <w:rsid w:val="005270E1"/>
    <w:rsid w:val="00527DF5"/>
    <w:rsid w:val="00530717"/>
    <w:rsid w:val="00530817"/>
    <w:rsid w:val="00531260"/>
    <w:rsid w:val="00531657"/>
    <w:rsid w:val="005317BD"/>
    <w:rsid w:val="005320FC"/>
    <w:rsid w:val="0053214C"/>
    <w:rsid w:val="00532420"/>
    <w:rsid w:val="00532C9F"/>
    <w:rsid w:val="0053301B"/>
    <w:rsid w:val="0053315A"/>
    <w:rsid w:val="00533346"/>
    <w:rsid w:val="00533615"/>
    <w:rsid w:val="0053362E"/>
    <w:rsid w:val="00533773"/>
    <w:rsid w:val="00533FDC"/>
    <w:rsid w:val="00534178"/>
    <w:rsid w:val="00534519"/>
    <w:rsid w:val="00534559"/>
    <w:rsid w:val="0053459F"/>
    <w:rsid w:val="00534693"/>
    <w:rsid w:val="00534752"/>
    <w:rsid w:val="00534A9A"/>
    <w:rsid w:val="00534C7E"/>
    <w:rsid w:val="005353A3"/>
    <w:rsid w:val="00536293"/>
    <w:rsid w:val="0053664C"/>
    <w:rsid w:val="005367F9"/>
    <w:rsid w:val="00536C9F"/>
    <w:rsid w:val="00536DBC"/>
    <w:rsid w:val="00536EA9"/>
    <w:rsid w:val="005374B7"/>
    <w:rsid w:val="0053789A"/>
    <w:rsid w:val="00537BCA"/>
    <w:rsid w:val="0054008C"/>
    <w:rsid w:val="00540A40"/>
    <w:rsid w:val="00541187"/>
    <w:rsid w:val="00541480"/>
    <w:rsid w:val="00541502"/>
    <w:rsid w:val="00541A2B"/>
    <w:rsid w:val="00542254"/>
    <w:rsid w:val="00542813"/>
    <w:rsid w:val="00542B00"/>
    <w:rsid w:val="0054319C"/>
    <w:rsid w:val="005432B9"/>
    <w:rsid w:val="00543365"/>
    <w:rsid w:val="00543701"/>
    <w:rsid w:val="00543A41"/>
    <w:rsid w:val="00543DC8"/>
    <w:rsid w:val="00543E39"/>
    <w:rsid w:val="005441FC"/>
    <w:rsid w:val="0054495A"/>
    <w:rsid w:val="00544A49"/>
    <w:rsid w:val="0054593F"/>
    <w:rsid w:val="00545D0F"/>
    <w:rsid w:val="00545EC7"/>
    <w:rsid w:val="00546164"/>
    <w:rsid w:val="005467F5"/>
    <w:rsid w:val="00546808"/>
    <w:rsid w:val="00546AB1"/>
    <w:rsid w:val="00547723"/>
    <w:rsid w:val="00547884"/>
    <w:rsid w:val="00547F36"/>
    <w:rsid w:val="0055196D"/>
    <w:rsid w:val="00551CE9"/>
    <w:rsid w:val="005522D9"/>
    <w:rsid w:val="0055265A"/>
    <w:rsid w:val="0055274E"/>
    <w:rsid w:val="00553280"/>
    <w:rsid w:val="005533E1"/>
    <w:rsid w:val="005535C0"/>
    <w:rsid w:val="0055380E"/>
    <w:rsid w:val="00553A62"/>
    <w:rsid w:val="00553AD3"/>
    <w:rsid w:val="00553D83"/>
    <w:rsid w:val="00553E7E"/>
    <w:rsid w:val="005546BB"/>
    <w:rsid w:val="00554B20"/>
    <w:rsid w:val="0055504E"/>
    <w:rsid w:val="0055554B"/>
    <w:rsid w:val="00555836"/>
    <w:rsid w:val="00555AB3"/>
    <w:rsid w:val="00555EB2"/>
    <w:rsid w:val="0055603B"/>
    <w:rsid w:val="00556813"/>
    <w:rsid w:val="00556919"/>
    <w:rsid w:val="00556998"/>
    <w:rsid w:val="00557030"/>
    <w:rsid w:val="0055735A"/>
    <w:rsid w:val="005577B3"/>
    <w:rsid w:val="00557BD7"/>
    <w:rsid w:val="00560000"/>
    <w:rsid w:val="00560AF2"/>
    <w:rsid w:val="00560E2E"/>
    <w:rsid w:val="00560E69"/>
    <w:rsid w:val="00561B3C"/>
    <w:rsid w:val="00561CCC"/>
    <w:rsid w:val="0056261E"/>
    <w:rsid w:val="00562D1A"/>
    <w:rsid w:val="00562ED0"/>
    <w:rsid w:val="00562F23"/>
    <w:rsid w:val="0056367A"/>
    <w:rsid w:val="00564522"/>
    <w:rsid w:val="00564653"/>
    <w:rsid w:val="00564E51"/>
    <w:rsid w:val="00565065"/>
    <w:rsid w:val="00565657"/>
    <w:rsid w:val="00565C69"/>
    <w:rsid w:val="00565ED3"/>
    <w:rsid w:val="00565FE5"/>
    <w:rsid w:val="00566286"/>
    <w:rsid w:val="005668D9"/>
    <w:rsid w:val="00566C7E"/>
    <w:rsid w:val="005672F0"/>
    <w:rsid w:val="005673D1"/>
    <w:rsid w:val="005674AF"/>
    <w:rsid w:val="005674D3"/>
    <w:rsid w:val="00567EF9"/>
    <w:rsid w:val="00567F8D"/>
    <w:rsid w:val="005709F3"/>
    <w:rsid w:val="00570EC2"/>
    <w:rsid w:val="005713AF"/>
    <w:rsid w:val="005716F4"/>
    <w:rsid w:val="00571D68"/>
    <w:rsid w:val="00571F6A"/>
    <w:rsid w:val="00572482"/>
    <w:rsid w:val="00572A78"/>
    <w:rsid w:val="00572F2B"/>
    <w:rsid w:val="00573085"/>
    <w:rsid w:val="00573AD6"/>
    <w:rsid w:val="00573D48"/>
    <w:rsid w:val="005742AD"/>
    <w:rsid w:val="005746DE"/>
    <w:rsid w:val="0057476C"/>
    <w:rsid w:val="00574872"/>
    <w:rsid w:val="0057573A"/>
    <w:rsid w:val="00575AEF"/>
    <w:rsid w:val="00575CE0"/>
    <w:rsid w:val="00575F0E"/>
    <w:rsid w:val="005760BA"/>
    <w:rsid w:val="00576524"/>
    <w:rsid w:val="00576B14"/>
    <w:rsid w:val="0057703C"/>
    <w:rsid w:val="005771BA"/>
    <w:rsid w:val="005771FB"/>
    <w:rsid w:val="005804D2"/>
    <w:rsid w:val="005807BE"/>
    <w:rsid w:val="005808F0"/>
    <w:rsid w:val="00580B99"/>
    <w:rsid w:val="00581379"/>
    <w:rsid w:val="00581737"/>
    <w:rsid w:val="00581755"/>
    <w:rsid w:val="005818E9"/>
    <w:rsid w:val="0058225A"/>
    <w:rsid w:val="00582287"/>
    <w:rsid w:val="005825BA"/>
    <w:rsid w:val="00582B53"/>
    <w:rsid w:val="00582FF0"/>
    <w:rsid w:val="00583047"/>
    <w:rsid w:val="005830F3"/>
    <w:rsid w:val="00583145"/>
    <w:rsid w:val="00583160"/>
    <w:rsid w:val="0058321B"/>
    <w:rsid w:val="0058358E"/>
    <w:rsid w:val="0058389F"/>
    <w:rsid w:val="00583D9B"/>
    <w:rsid w:val="00583FEB"/>
    <w:rsid w:val="00584F3B"/>
    <w:rsid w:val="00585166"/>
    <w:rsid w:val="005865AF"/>
    <w:rsid w:val="005866AC"/>
    <w:rsid w:val="005869A2"/>
    <w:rsid w:val="005874FE"/>
    <w:rsid w:val="00587548"/>
    <w:rsid w:val="005878BC"/>
    <w:rsid w:val="00587A1E"/>
    <w:rsid w:val="00587AA7"/>
    <w:rsid w:val="00587D4C"/>
    <w:rsid w:val="00587E4E"/>
    <w:rsid w:val="00590911"/>
    <w:rsid w:val="00590F7E"/>
    <w:rsid w:val="00591C6B"/>
    <w:rsid w:val="00591EAC"/>
    <w:rsid w:val="00591EEF"/>
    <w:rsid w:val="005920AF"/>
    <w:rsid w:val="005925A3"/>
    <w:rsid w:val="00592C11"/>
    <w:rsid w:val="00592F17"/>
    <w:rsid w:val="00593471"/>
    <w:rsid w:val="005934C2"/>
    <w:rsid w:val="005939B9"/>
    <w:rsid w:val="00593A9D"/>
    <w:rsid w:val="00593F99"/>
    <w:rsid w:val="00594056"/>
    <w:rsid w:val="005943F7"/>
    <w:rsid w:val="00594A8E"/>
    <w:rsid w:val="00594AE0"/>
    <w:rsid w:val="0059546F"/>
    <w:rsid w:val="00595A8F"/>
    <w:rsid w:val="00595FB3"/>
    <w:rsid w:val="00596594"/>
    <w:rsid w:val="005965C9"/>
    <w:rsid w:val="0059667A"/>
    <w:rsid w:val="0059692F"/>
    <w:rsid w:val="00596D51"/>
    <w:rsid w:val="00597D61"/>
    <w:rsid w:val="005A0347"/>
    <w:rsid w:val="005A13C2"/>
    <w:rsid w:val="005A1942"/>
    <w:rsid w:val="005A1E8A"/>
    <w:rsid w:val="005A2355"/>
    <w:rsid w:val="005A2D09"/>
    <w:rsid w:val="005A3153"/>
    <w:rsid w:val="005A31F1"/>
    <w:rsid w:val="005A3272"/>
    <w:rsid w:val="005A350B"/>
    <w:rsid w:val="005A433B"/>
    <w:rsid w:val="005A43FD"/>
    <w:rsid w:val="005A4892"/>
    <w:rsid w:val="005A5535"/>
    <w:rsid w:val="005A5FEC"/>
    <w:rsid w:val="005A620A"/>
    <w:rsid w:val="005A6246"/>
    <w:rsid w:val="005A6783"/>
    <w:rsid w:val="005A7702"/>
    <w:rsid w:val="005A780C"/>
    <w:rsid w:val="005A784D"/>
    <w:rsid w:val="005A7860"/>
    <w:rsid w:val="005A7D97"/>
    <w:rsid w:val="005A7EC4"/>
    <w:rsid w:val="005A7F92"/>
    <w:rsid w:val="005B17C5"/>
    <w:rsid w:val="005B19A7"/>
    <w:rsid w:val="005B1A7D"/>
    <w:rsid w:val="005B280B"/>
    <w:rsid w:val="005B28E1"/>
    <w:rsid w:val="005B3A60"/>
    <w:rsid w:val="005B3BCD"/>
    <w:rsid w:val="005B3D8C"/>
    <w:rsid w:val="005B420A"/>
    <w:rsid w:val="005B44D5"/>
    <w:rsid w:val="005B4C94"/>
    <w:rsid w:val="005B4E82"/>
    <w:rsid w:val="005B504A"/>
    <w:rsid w:val="005B5B47"/>
    <w:rsid w:val="005B5DBD"/>
    <w:rsid w:val="005B629B"/>
    <w:rsid w:val="005B6483"/>
    <w:rsid w:val="005B673F"/>
    <w:rsid w:val="005B6971"/>
    <w:rsid w:val="005B6ACD"/>
    <w:rsid w:val="005B6D40"/>
    <w:rsid w:val="005B6F40"/>
    <w:rsid w:val="005B706C"/>
    <w:rsid w:val="005B7CC8"/>
    <w:rsid w:val="005B7DA8"/>
    <w:rsid w:val="005C0BCA"/>
    <w:rsid w:val="005C1259"/>
    <w:rsid w:val="005C15EB"/>
    <w:rsid w:val="005C1661"/>
    <w:rsid w:val="005C1757"/>
    <w:rsid w:val="005C184B"/>
    <w:rsid w:val="005C1889"/>
    <w:rsid w:val="005C1B73"/>
    <w:rsid w:val="005C1C5E"/>
    <w:rsid w:val="005C2F33"/>
    <w:rsid w:val="005C39B2"/>
    <w:rsid w:val="005C3B80"/>
    <w:rsid w:val="005C4697"/>
    <w:rsid w:val="005C4978"/>
    <w:rsid w:val="005C4C27"/>
    <w:rsid w:val="005C4F1F"/>
    <w:rsid w:val="005C4FCC"/>
    <w:rsid w:val="005C5D68"/>
    <w:rsid w:val="005C5DE4"/>
    <w:rsid w:val="005C5E8D"/>
    <w:rsid w:val="005C6896"/>
    <w:rsid w:val="005C68FE"/>
    <w:rsid w:val="005C6CAD"/>
    <w:rsid w:val="005C74B0"/>
    <w:rsid w:val="005C7AA2"/>
    <w:rsid w:val="005C7CC0"/>
    <w:rsid w:val="005D032E"/>
    <w:rsid w:val="005D0630"/>
    <w:rsid w:val="005D0D8D"/>
    <w:rsid w:val="005D0F84"/>
    <w:rsid w:val="005D1696"/>
    <w:rsid w:val="005D1732"/>
    <w:rsid w:val="005D1863"/>
    <w:rsid w:val="005D1AB1"/>
    <w:rsid w:val="005D1AFB"/>
    <w:rsid w:val="005D1EF8"/>
    <w:rsid w:val="005D229F"/>
    <w:rsid w:val="005D28E3"/>
    <w:rsid w:val="005D33A3"/>
    <w:rsid w:val="005D340D"/>
    <w:rsid w:val="005D3459"/>
    <w:rsid w:val="005D376B"/>
    <w:rsid w:val="005D5082"/>
    <w:rsid w:val="005D52C1"/>
    <w:rsid w:val="005D564F"/>
    <w:rsid w:val="005D56C4"/>
    <w:rsid w:val="005D5AC2"/>
    <w:rsid w:val="005D5F40"/>
    <w:rsid w:val="005D62E6"/>
    <w:rsid w:val="005D6730"/>
    <w:rsid w:val="005D6AED"/>
    <w:rsid w:val="005D6BDA"/>
    <w:rsid w:val="005D783B"/>
    <w:rsid w:val="005D7900"/>
    <w:rsid w:val="005D7962"/>
    <w:rsid w:val="005D7A98"/>
    <w:rsid w:val="005D7AE5"/>
    <w:rsid w:val="005E007A"/>
    <w:rsid w:val="005E018F"/>
    <w:rsid w:val="005E0558"/>
    <w:rsid w:val="005E0691"/>
    <w:rsid w:val="005E08AC"/>
    <w:rsid w:val="005E0ADD"/>
    <w:rsid w:val="005E0BC2"/>
    <w:rsid w:val="005E171E"/>
    <w:rsid w:val="005E220D"/>
    <w:rsid w:val="005E296C"/>
    <w:rsid w:val="005E3118"/>
    <w:rsid w:val="005E35B1"/>
    <w:rsid w:val="005E3BDD"/>
    <w:rsid w:val="005E4195"/>
    <w:rsid w:val="005E4400"/>
    <w:rsid w:val="005E4820"/>
    <w:rsid w:val="005E4EED"/>
    <w:rsid w:val="005E54FD"/>
    <w:rsid w:val="005E5593"/>
    <w:rsid w:val="005E5603"/>
    <w:rsid w:val="005E6A5A"/>
    <w:rsid w:val="005E6C56"/>
    <w:rsid w:val="005E6FCC"/>
    <w:rsid w:val="005E76E9"/>
    <w:rsid w:val="005E7FE0"/>
    <w:rsid w:val="005F018F"/>
    <w:rsid w:val="005F0366"/>
    <w:rsid w:val="005F09B5"/>
    <w:rsid w:val="005F0BD6"/>
    <w:rsid w:val="005F18E0"/>
    <w:rsid w:val="005F1BFE"/>
    <w:rsid w:val="005F27E9"/>
    <w:rsid w:val="005F2970"/>
    <w:rsid w:val="005F2984"/>
    <w:rsid w:val="005F2F76"/>
    <w:rsid w:val="005F319A"/>
    <w:rsid w:val="005F3206"/>
    <w:rsid w:val="005F3525"/>
    <w:rsid w:val="005F35C1"/>
    <w:rsid w:val="005F3619"/>
    <w:rsid w:val="005F3973"/>
    <w:rsid w:val="005F3A65"/>
    <w:rsid w:val="005F3AFF"/>
    <w:rsid w:val="005F4136"/>
    <w:rsid w:val="005F464A"/>
    <w:rsid w:val="005F4DFB"/>
    <w:rsid w:val="005F52BB"/>
    <w:rsid w:val="005F5493"/>
    <w:rsid w:val="005F552C"/>
    <w:rsid w:val="005F57BD"/>
    <w:rsid w:val="005F5D49"/>
    <w:rsid w:val="005F6216"/>
    <w:rsid w:val="005F6352"/>
    <w:rsid w:val="005F642B"/>
    <w:rsid w:val="005F69B5"/>
    <w:rsid w:val="005F6E63"/>
    <w:rsid w:val="005F6F30"/>
    <w:rsid w:val="005F760A"/>
    <w:rsid w:val="005F78CD"/>
    <w:rsid w:val="005F7C23"/>
    <w:rsid w:val="0060048C"/>
    <w:rsid w:val="0060048D"/>
    <w:rsid w:val="006005A3"/>
    <w:rsid w:val="00600C50"/>
    <w:rsid w:val="006014CB"/>
    <w:rsid w:val="00601A20"/>
    <w:rsid w:val="00601BE6"/>
    <w:rsid w:val="00601D63"/>
    <w:rsid w:val="00601E36"/>
    <w:rsid w:val="00601F20"/>
    <w:rsid w:val="00602173"/>
    <w:rsid w:val="00602204"/>
    <w:rsid w:val="0060223C"/>
    <w:rsid w:val="00602B70"/>
    <w:rsid w:val="0060303B"/>
    <w:rsid w:val="00603303"/>
    <w:rsid w:val="006034CF"/>
    <w:rsid w:val="006038EB"/>
    <w:rsid w:val="00603B24"/>
    <w:rsid w:val="00603BDF"/>
    <w:rsid w:val="006046E5"/>
    <w:rsid w:val="00604A7D"/>
    <w:rsid w:val="00604BCF"/>
    <w:rsid w:val="006053FA"/>
    <w:rsid w:val="00605CBA"/>
    <w:rsid w:val="00605DED"/>
    <w:rsid w:val="006065AB"/>
    <w:rsid w:val="00607BE7"/>
    <w:rsid w:val="00610F58"/>
    <w:rsid w:val="006112B4"/>
    <w:rsid w:val="00611D87"/>
    <w:rsid w:val="0061272A"/>
    <w:rsid w:val="00612A9C"/>
    <w:rsid w:val="006130D3"/>
    <w:rsid w:val="00613D94"/>
    <w:rsid w:val="00613ED7"/>
    <w:rsid w:val="006140D8"/>
    <w:rsid w:val="0061440F"/>
    <w:rsid w:val="0061463F"/>
    <w:rsid w:val="00615CC4"/>
    <w:rsid w:val="006161EB"/>
    <w:rsid w:val="00616C61"/>
    <w:rsid w:val="00616D82"/>
    <w:rsid w:val="0061718F"/>
    <w:rsid w:val="00617D24"/>
    <w:rsid w:val="00620194"/>
    <w:rsid w:val="00620750"/>
    <w:rsid w:val="006209F2"/>
    <w:rsid w:val="00620C25"/>
    <w:rsid w:val="00620D7A"/>
    <w:rsid w:val="00620F80"/>
    <w:rsid w:val="00621441"/>
    <w:rsid w:val="006216A7"/>
    <w:rsid w:val="00621D51"/>
    <w:rsid w:val="0062250F"/>
    <w:rsid w:val="00622D57"/>
    <w:rsid w:val="00622FE3"/>
    <w:rsid w:val="0062318E"/>
    <w:rsid w:val="0062328D"/>
    <w:rsid w:val="00623C46"/>
    <w:rsid w:val="00624327"/>
    <w:rsid w:val="006245D2"/>
    <w:rsid w:val="006249EF"/>
    <w:rsid w:val="00624B13"/>
    <w:rsid w:val="00624C1A"/>
    <w:rsid w:val="00624F57"/>
    <w:rsid w:val="00624FEF"/>
    <w:rsid w:val="006253D2"/>
    <w:rsid w:val="0062550D"/>
    <w:rsid w:val="006255DC"/>
    <w:rsid w:val="006259FC"/>
    <w:rsid w:val="00625ACF"/>
    <w:rsid w:val="00625F34"/>
    <w:rsid w:val="00625F7E"/>
    <w:rsid w:val="006268ED"/>
    <w:rsid w:val="006270A7"/>
    <w:rsid w:val="00627699"/>
    <w:rsid w:val="00630077"/>
    <w:rsid w:val="006304C7"/>
    <w:rsid w:val="0063053E"/>
    <w:rsid w:val="00630BFF"/>
    <w:rsid w:val="00631589"/>
    <w:rsid w:val="006317D7"/>
    <w:rsid w:val="006318B0"/>
    <w:rsid w:val="00631F79"/>
    <w:rsid w:val="006321A0"/>
    <w:rsid w:val="0063259C"/>
    <w:rsid w:val="006325DD"/>
    <w:rsid w:val="00633895"/>
    <w:rsid w:val="00633AE7"/>
    <w:rsid w:val="00633BE1"/>
    <w:rsid w:val="006343A5"/>
    <w:rsid w:val="006349E3"/>
    <w:rsid w:val="00634C17"/>
    <w:rsid w:val="00634C4D"/>
    <w:rsid w:val="00635214"/>
    <w:rsid w:val="0063525B"/>
    <w:rsid w:val="0063590A"/>
    <w:rsid w:val="00635AAB"/>
    <w:rsid w:val="00635F30"/>
    <w:rsid w:val="00636849"/>
    <w:rsid w:val="006369A1"/>
    <w:rsid w:val="00637090"/>
    <w:rsid w:val="00637AC0"/>
    <w:rsid w:val="00637B26"/>
    <w:rsid w:val="00637FC9"/>
    <w:rsid w:val="00640381"/>
    <w:rsid w:val="006406FD"/>
    <w:rsid w:val="00640754"/>
    <w:rsid w:val="00640BA9"/>
    <w:rsid w:val="00640F9B"/>
    <w:rsid w:val="0064142C"/>
    <w:rsid w:val="0064160C"/>
    <w:rsid w:val="00641C8D"/>
    <w:rsid w:val="006427CC"/>
    <w:rsid w:val="006428F7"/>
    <w:rsid w:val="00642F25"/>
    <w:rsid w:val="006431F5"/>
    <w:rsid w:val="00643339"/>
    <w:rsid w:val="00643CEB"/>
    <w:rsid w:val="00643DC6"/>
    <w:rsid w:val="00644A76"/>
    <w:rsid w:val="00644F2C"/>
    <w:rsid w:val="0064507B"/>
    <w:rsid w:val="006451EB"/>
    <w:rsid w:val="006452C9"/>
    <w:rsid w:val="00645748"/>
    <w:rsid w:val="00645FF3"/>
    <w:rsid w:val="006467FA"/>
    <w:rsid w:val="0064762C"/>
    <w:rsid w:val="0064778A"/>
    <w:rsid w:val="00647818"/>
    <w:rsid w:val="00650551"/>
    <w:rsid w:val="00650A6E"/>
    <w:rsid w:val="00650B1B"/>
    <w:rsid w:val="00650BDD"/>
    <w:rsid w:val="00650F49"/>
    <w:rsid w:val="00651775"/>
    <w:rsid w:val="006518CB"/>
    <w:rsid w:val="006518E6"/>
    <w:rsid w:val="00651FC3"/>
    <w:rsid w:val="00652320"/>
    <w:rsid w:val="0065289B"/>
    <w:rsid w:val="006528D4"/>
    <w:rsid w:val="0065290D"/>
    <w:rsid w:val="00652A1A"/>
    <w:rsid w:val="00652C72"/>
    <w:rsid w:val="0065305B"/>
    <w:rsid w:val="006532E8"/>
    <w:rsid w:val="00653429"/>
    <w:rsid w:val="006537AC"/>
    <w:rsid w:val="00653DB8"/>
    <w:rsid w:val="00654410"/>
    <w:rsid w:val="006546DE"/>
    <w:rsid w:val="00654A3B"/>
    <w:rsid w:val="0065548E"/>
    <w:rsid w:val="006554AA"/>
    <w:rsid w:val="00655647"/>
    <w:rsid w:val="0065578E"/>
    <w:rsid w:val="00656094"/>
    <w:rsid w:val="006564C4"/>
    <w:rsid w:val="00656DF1"/>
    <w:rsid w:val="006573E4"/>
    <w:rsid w:val="00657451"/>
    <w:rsid w:val="0065777A"/>
    <w:rsid w:val="006579D1"/>
    <w:rsid w:val="00660A73"/>
    <w:rsid w:val="00660A8A"/>
    <w:rsid w:val="00660C16"/>
    <w:rsid w:val="00661284"/>
    <w:rsid w:val="006612B1"/>
    <w:rsid w:val="00661659"/>
    <w:rsid w:val="00661A75"/>
    <w:rsid w:val="0066208F"/>
    <w:rsid w:val="006623D7"/>
    <w:rsid w:val="00662538"/>
    <w:rsid w:val="00662608"/>
    <w:rsid w:val="00663893"/>
    <w:rsid w:val="00663DF5"/>
    <w:rsid w:val="00664113"/>
    <w:rsid w:val="00664422"/>
    <w:rsid w:val="00664452"/>
    <w:rsid w:val="00665632"/>
    <w:rsid w:val="006659DE"/>
    <w:rsid w:val="00665C4B"/>
    <w:rsid w:val="00666374"/>
    <w:rsid w:val="0066645F"/>
    <w:rsid w:val="006665BC"/>
    <w:rsid w:val="00666949"/>
    <w:rsid w:val="00667A68"/>
    <w:rsid w:val="0067021A"/>
    <w:rsid w:val="00670540"/>
    <w:rsid w:val="00670AAF"/>
    <w:rsid w:val="00671717"/>
    <w:rsid w:val="0067222F"/>
    <w:rsid w:val="006724CA"/>
    <w:rsid w:val="00672889"/>
    <w:rsid w:val="00673CA3"/>
    <w:rsid w:val="0067406B"/>
    <w:rsid w:val="006746DC"/>
    <w:rsid w:val="00674F25"/>
    <w:rsid w:val="00675C5D"/>
    <w:rsid w:val="006760B0"/>
    <w:rsid w:val="00676677"/>
    <w:rsid w:val="00676B9A"/>
    <w:rsid w:val="00677392"/>
    <w:rsid w:val="00677510"/>
    <w:rsid w:val="0067757E"/>
    <w:rsid w:val="00677913"/>
    <w:rsid w:val="00677BA3"/>
    <w:rsid w:val="00677C3B"/>
    <w:rsid w:val="00677D90"/>
    <w:rsid w:val="00680037"/>
    <w:rsid w:val="00680046"/>
    <w:rsid w:val="0068023F"/>
    <w:rsid w:val="00680310"/>
    <w:rsid w:val="0068077B"/>
    <w:rsid w:val="0068077C"/>
    <w:rsid w:val="0068184A"/>
    <w:rsid w:val="0068243C"/>
    <w:rsid w:val="00682D73"/>
    <w:rsid w:val="00683641"/>
    <w:rsid w:val="006836A0"/>
    <w:rsid w:val="00683898"/>
    <w:rsid w:val="00684651"/>
    <w:rsid w:val="0068470C"/>
    <w:rsid w:val="006847C0"/>
    <w:rsid w:val="00684950"/>
    <w:rsid w:val="00684E5F"/>
    <w:rsid w:val="00684ED7"/>
    <w:rsid w:val="0068570D"/>
    <w:rsid w:val="006857A3"/>
    <w:rsid w:val="00685FBA"/>
    <w:rsid w:val="0068651F"/>
    <w:rsid w:val="0068694F"/>
    <w:rsid w:val="006869E8"/>
    <w:rsid w:val="00686D80"/>
    <w:rsid w:val="006874A6"/>
    <w:rsid w:val="00687BF5"/>
    <w:rsid w:val="00687CD7"/>
    <w:rsid w:val="00690268"/>
    <w:rsid w:val="006905FC"/>
    <w:rsid w:val="00690C16"/>
    <w:rsid w:val="00690FAF"/>
    <w:rsid w:val="00691307"/>
    <w:rsid w:val="00692040"/>
    <w:rsid w:val="00692757"/>
    <w:rsid w:val="00692B39"/>
    <w:rsid w:val="00692D6B"/>
    <w:rsid w:val="00692EA3"/>
    <w:rsid w:val="0069341F"/>
    <w:rsid w:val="006938D4"/>
    <w:rsid w:val="00693A96"/>
    <w:rsid w:val="00693B23"/>
    <w:rsid w:val="00693FC4"/>
    <w:rsid w:val="00693FE4"/>
    <w:rsid w:val="006940B5"/>
    <w:rsid w:val="0069411F"/>
    <w:rsid w:val="0069468A"/>
    <w:rsid w:val="0069475C"/>
    <w:rsid w:val="0069540C"/>
    <w:rsid w:val="006956AB"/>
    <w:rsid w:val="00695B84"/>
    <w:rsid w:val="00695F40"/>
    <w:rsid w:val="00696691"/>
    <w:rsid w:val="006969BD"/>
    <w:rsid w:val="00697CCC"/>
    <w:rsid w:val="006A05AF"/>
    <w:rsid w:val="006A0826"/>
    <w:rsid w:val="006A08FC"/>
    <w:rsid w:val="006A0B19"/>
    <w:rsid w:val="006A15F7"/>
    <w:rsid w:val="006A237B"/>
    <w:rsid w:val="006A2B07"/>
    <w:rsid w:val="006A2E48"/>
    <w:rsid w:val="006A2FCC"/>
    <w:rsid w:val="006A3267"/>
    <w:rsid w:val="006A3402"/>
    <w:rsid w:val="006A3765"/>
    <w:rsid w:val="006A3A89"/>
    <w:rsid w:val="006A3C6E"/>
    <w:rsid w:val="006A3DFA"/>
    <w:rsid w:val="006A3F73"/>
    <w:rsid w:val="006A49A0"/>
    <w:rsid w:val="006A4B7A"/>
    <w:rsid w:val="006A52B7"/>
    <w:rsid w:val="006A54CC"/>
    <w:rsid w:val="006A563C"/>
    <w:rsid w:val="006A57B5"/>
    <w:rsid w:val="006A5925"/>
    <w:rsid w:val="006A5D76"/>
    <w:rsid w:val="006A6706"/>
    <w:rsid w:val="006A671A"/>
    <w:rsid w:val="006A6797"/>
    <w:rsid w:val="006A680F"/>
    <w:rsid w:val="006A6A33"/>
    <w:rsid w:val="006A6ACF"/>
    <w:rsid w:val="006A6FC9"/>
    <w:rsid w:val="006A701F"/>
    <w:rsid w:val="006A7145"/>
    <w:rsid w:val="006A7303"/>
    <w:rsid w:val="006A7AC7"/>
    <w:rsid w:val="006A7BBA"/>
    <w:rsid w:val="006B0338"/>
    <w:rsid w:val="006B0436"/>
    <w:rsid w:val="006B0969"/>
    <w:rsid w:val="006B10F2"/>
    <w:rsid w:val="006B16C8"/>
    <w:rsid w:val="006B1B3F"/>
    <w:rsid w:val="006B1C75"/>
    <w:rsid w:val="006B262D"/>
    <w:rsid w:val="006B2E3B"/>
    <w:rsid w:val="006B2E55"/>
    <w:rsid w:val="006B2F79"/>
    <w:rsid w:val="006B3097"/>
    <w:rsid w:val="006B319A"/>
    <w:rsid w:val="006B3726"/>
    <w:rsid w:val="006B380B"/>
    <w:rsid w:val="006B3990"/>
    <w:rsid w:val="006B3D0E"/>
    <w:rsid w:val="006B4094"/>
    <w:rsid w:val="006B41E3"/>
    <w:rsid w:val="006B422B"/>
    <w:rsid w:val="006B4446"/>
    <w:rsid w:val="006B4793"/>
    <w:rsid w:val="006B50F0"/>
    <w:rsid w:val="006B51BF"/>
    <w:rsid w:val="006B583E"/>
    <w:rsid w:val="006B7268"/>
    <w:rsid w:val="006B72F9"/>
    <w:rsid w:val="006B76C1"/>
    <w:rsid w:val="006B77F3"/>
    <w:rsid w:val="006B7EAC"/>
    <w:rsid w:val="006C03C0"/>
    <w:rsid w:val="006C1803"/>
    <w:rsid w:val="006C1834"/>
    <w:rsid w:val="006C1D7A"/>
    <w:rsid w:val="006C1DAA"/>
    <w:rsid w:val="006C1EF4"/>
    <w:rsid w:val="006C29D4"/>
    <w:rsid w:val="006C2B44"/>
    <w:rsid w:val="006C2C89"/>
    <w:rsid w:val="006C2DF8"/>
    <w:rsid w:val="006C2FE2"/>
    <w:rsid w:val="006C372C"/>
    <w:rsid w:val="006C37AD"/>
    <w:rsid w:val="006C4304"/>
    <w:rsid w:val="006C46F5"/>
    <w:rsid w:val="006C4DCB"/>
    <w:rsid w:val="006C590F"/>
    <w:rsid w:val="006C5C8F"/>
    <w:rsid w:val="006C605E"/>
    <w:rsid w:val="006C6B7A"/>
    <w:rsid w:val="006C6E04"/>
    <w:rsid w:val="006C71DF"/>
    <w:rsid w:val="006C7374"/>
    <w:rsid w:val="006C75B0"/>
    <w:rsid w:val="006C7956"/>
    <w:rsid w:val="006C7B4C"/>
    <w:rsid w:val="006C7CF2"/>
    <w:rsid w:val="006D0679"/>
    <w:rsid w:val="006D0A1A"/>
    <w:rsid w:val="006D0BA3"/>
    <w:rsid w:val="006D122F"/>
    <w:rsid w:val="006D15CE"/>
    <w:rsid w:val="006D24E7"/>
    <w:rsid w:val="006D33D8"/>
    <w:rsid w:val="006D358F"/>
    <w:rsid w:val="006D35E8"/>
    <w:rsid w:val="006D3C89"/>
    <w:rsid w:val="006D3E93"/>
    <w:rsid w:val="006D4130"/>
    <w:rsid w:val="006D43ED"/>
    <w:rsid w:val="006D4459"/>
    <w:rsid w:val="006D475B"/>
    <w:rsid w:val="006D4A7A"/>
    <w:rsid w:val="006D52B9"/>
    <w:rsid w:val="006D53C6"/>
    <w:rsid w:val="006D5635"/>
    <w:rsid w:val="006D5709"/>
    <w:rsid w:val="006D580C"/>
    <w:rsid w:val="006D59C8"/>
    <w:rsid w:val="006D6207"/>
    <w:rsid w:val="006D6F23"/>
    <w:rsid w:val="006D7015"/>
    <w:rsid w:val="006D704F"/>
    <w:rsid w:val="006D722C"/>
    <w:rsid w:val="006D73B8"/>
    <w:rsid w:val="006D73E4"/>
    <w:rsid w:val="006D745E"/>
    <w:rsid w:val="006D7574"/>
    <w:rsid w:val="006D7770"/>
    <w:rsid w:val="006E01B7"/>
    <w:rsid w:val="006E0AA0"/>
    <w:rsid w:val="006E0C05"/>
    <w:rsid w:val="006E0C9E"/>
    <w:rsid w:val="006E0D18"/>
    <w:rsid w:val="006E1045"/>
    <w:rsid w:val="006E10F4"/>
    <w:rsid w:val="006E11FF"/>
    <w:rsid w:val="006E1C8C"/>
    <w:rsid w:val="006E1F6F"/>
    <w:rsid w:val="006E2006"/>
    <w:rsid w:val="006E2E8E"/>
    <w:rsid w:val="006E32AD"/>
    <w:rsid w:val="006E3CF6"/>
    <w:rsid w:val="006E3F63"/>
    <w:rsid w:val="006E45DE"/>
    <w:rsid w:val="006E4913"/>
    <w:rsid w:val="006E533F"/>
    <w:rsid w:val="006E6E52"/>
    <w:rsid w:val="006E7C26"/>
    <w:rsid w:val="006E7EA2"/>
    <w:rsid w:val="006F01B1"/>
    <w:rsid w:val="006F06A9"/>
    <w:rsid w:val="006F08B6"/>
    <w:rsid w:val="006F0AB7"/>
    <w:rsid w:val="006F0AE4"/>
    <w:rsid w:val="006F0DBD"/>
    <w:rsid w:val="006F154F"/>
    <w:rsid w:val="006F1755"/>
    <w:rsid w:val="006F17C8"/>
    <w:rsid w:val="006F1A0A"/>
    <w:rsid w:val="006F1C8E"/>
    <w:rsid w:val="006F238F"/>
    <w:rsid w:val="006F23F5"/>
    <w:rsid w:val="006F29D7"/>
    <w:rsid w:val="006F2A0E"/>
    <w:rsid w:val="006F3920"/>
    <w:rsid w:val="006F3AA0"/>
    <w:rsid w:val="006F4955"/>
    <w:rsid w:val="006F4A18"/>
    <w:rsid w:val="006F4C6D"/>
    <w:rsid w:val="006F4E04"/>
    <w:rsid w:val="006F4EBC"/>
    <w:rsid w:val="006F528D"/>
    <w:rsid w:val="006F5BA6"/>
    <w:rsid w:val="006F6135"/>
    <w:rsid w:val="006F656F"/>
    <w:rsid w:val="006F6889"/>
    <w:rsid w:val="006F6AC9"/>
    <w:rsid w:val="006F6CF5"/>
    <w:rsid w:val="006F6D96"/>
    <w:rsid w:val="006F6EDE"/>
    <w:rsid w:val="006F6F49"/>
    <w:rsid w:val="006F6FAF"/>
    <w:rsid w:val="006F71B8"/>
    <w:rsid w:val="006F74F9"/>
    <w:rsid w:val="006F77C5"/>
    <w:rsid w:val="006F7C62"/>
    <w:rsid w:val="006F7FB1"/>
    <w:rsid w:val="0070049C"/>
    <w:rsid w:val="00700D22"/>
    <w:rsid w:val="00700EB9"/>
    <w:rsid w:val="00700FBB"/>
    <w:rsid w:val="00701415"/>
    <w:rsid w:val="0070169B"/>
    <w:rsid w:val="00701730"/>
    <w:rsid w:val="007017E4"/>
    <w:rsid w:val="007018F2"/>
    <w:rsid w:val="00701B28"/>
    <w:rsid w:val="007023BC"/>
    <w:rsid w:val="00702A4B"/>
    <w:rsid w:val="00703060"/>
    <w:rsid w:val="00703724"/>
    <w:rsid w:val="007037C1"/>
    <w:rsid w:val="007037DC"/>
    <w:rsid w:val="00703A49"/>
    <w:rsid w:val="00703B03"/>
    <w:rsid w:val="00703B2B"/>
    <w:rsid w:val="00703F76"/>
    <w:rsid w:val="00704851"/>
    <w:rsid w:val="00704AFF"/>
    <w:rsid w:val="00704F41"/>
    <w:rsid w:val="00705386"/>
    <w:rsid w:val="0070555D"/>
    <w:rsid w:val="0070598B"/>
    <w:rsid w:val="00705DE5"/>
    <w:rsid w:val="0070602E"/>
    <w:rsid w:val="007061B0"/>
    <w:rsid w:val="007066DF"/>
    <w:rsid w:val="00706888"/>
    <w:rsid w:val="00706B09"/>
    <w:rsid w:val="00706CC6"/>
    <w:rsid w:val="0070708D"/>
    <w:rsid w:val="00707175"/>
    <w:rsid w:val="00707251"/>
    <w:rsid w:val="00707904"/>
    <w:rsid w:val="00707949"/>
    <w:rsid w:val="00707B21"/>
    <w:rsid w:val="00707ED6"/>
    <w:rsid w:val="007103B9"/>
    <w:rsid w:val="00710559"/>
    <w:rsid w:val="007107EB"/>
    <w:rsid w:val="00710917"/>
    <w:rsid w:val="00710CD1"/>
    <w:rsid w:val="0071106F"/>
    <w:rsid w:val="0071119A"/>
    <w:rsid w:val="00711678"/>
    <w:rsid w:val="00711D6E"/>
    <w:rsid w:val="00712036"/>
    <w:rsid w:val="007122A8"/>
    <w:rsid w:val="00712CEC"/>
    <w:rsid w:val="00712EE5"/>
    <w:rsid w:val="0071321A"/>
    <w:rsid w:val="00714582"/>
    <w:rsid w:val="0071467A"/>
    <w:rsid w:val="00714BFC"/>
    <w:rsid w:val="00714C4B"/>
    <w:rsid w:val="00714FCE"/>
    <w:rsid w:val="007153A3"/>
    <w:rsid w:val="007154CD"/>
    <w:rsid w:val="00715A66"/>
    <w:rsid w:val="00715E1E"/>
    <w:rsid w:val="007161B7"/>
    <w:rsid w:val="0071638D"/>
    <w:rsid w:val="00716651"/>
    <w:rsid w:val="007168E8"/>
    <w:rsid w:val="00716A1C"/>
    <w:rsid w:val="00716ACC"/>
    <w:rsid w:val="00716CB4"/>
    <w:rsid w:val="00716D9A"/>
    <w:rsid w:val="00716E9D"/>
    <w:rsid w:val="00716EE7"/>
    <w:rsid w:val="00717823"/>
    <w:rsid w:val="00717B6F"/>
    <w:rsid w:val="00717F08"/>
    <w:rsid w:val="00717F1E"/>
    <w:rsid w:val="00720267"/>
    <w:rsid w:val="00720B40"/>
    <w:rsid w:val="00720B9F"/>
    <w:rsid w:val="00720D40"/>
    <w:rsid w:val="00720D51"/>
    <w:rsid w:val="007214F5"/>
    <w:rsid w:val="007219F7"/>
    <w:rsid w:val="00721A5C"/>
    <w:rsid w:val="00721DD9"/>
    <w:rsid w:val="0072233A"/>
    <w:rsid w:val="007224BF"/>
    <w:rsid w:val="00722749"/>
    <w:rsid w:val="00722877"/>
    <w:rsid w:val="00722D66"/>
    <w:rsid w:val="007232B0"/>
    <w:rsid w:val="00723919"/>
    <w:rsid w:val="00723A06"/>
    <w:rsid w:val="00723D65"/>
    <w:rsid w:val="00723E27"/>
    <w:rsid w:val="00723E34"/>
    <w:rsid w:val="00723E67"/>
    <w:rsid w:val="0072412C"/>
    <w:rsid w:val="0072436C"/>
    <w:rsid w:val="00724455"/>
    <w:rsid w:val="007246CE"/>
    <w:rsid w:val="007257CB"/>
    <w:rsid w:val="00725EE5"/>
    <w:rsid w:val="00726197"/>
    <w:rsid w:val="00726B82"/>
    <w:rsid w:val="00727092"/>
    <w:rsid w:val="00727202"/>
    <w:rsid w:val="0072754A"/>
    <w:rsid w:val="00727678"/>
    <w:rsid w:val="00727906"/>
    <w:rsid w:val="007279E5"/>
    <w:rsid w:val="00727AC3"/>
    <w:rsid w:val="00727B0A"/>
    <w:rsid w:val="0073096C"/>
    <w:rsid w:val="00730BEB"/>
    <w:rsid w:val="00730C85"/>
    <w:rsid w:val="0073136B"/>
    <w:rsid w:val="007314D1"/>
    <w:rsid w:val="007318A7"/>
    <w:rsid w:val="00731D60"/>
    <w:rsid w:val="007320E1"/>
    <w:rsid w:val="007321DC"/>
    <w:rsid w:val="0073263E"/>
    <w:rsid w:val="00732AAB"/>
    <w:rsid w:val="00732E73"/>
    <w:rsid w:val="007331A9"/>
    <w:rsid w:val="0073382A"/>
    <w:rsid w:val="007342B8"/>
    <w:rsid w:val="007349B5"/>
    <w:rsid w:val="00734A5C"/>
    <w:rsid w:val="00734CD7"/>
    <w:rsid w:val="00735065"/>
    <w:rsid w:val="007350FC"/>
    <w:rsid w:val="0073557B"/>
    <w:rsid w:val="00736377"/>
    <w:rsid w:val="007376C0"/>
    <w:rsid w:val="00737B26"/>
    <w:rsid w:val="00740082"/>
    <w:rsid w:val="00740DCA"/>
    <w:rsid w:val="00740EC9"/>
    <w:rsid w:val="00740EEA"/>
    <w:rsid w:val="00741707"/>
    <w:rsid w:val="007419F3"/>
    <w:rsid w:val="00741A21"/>
    <w:rsid w:val="00741ED8"/>
    <w:rsid w:val="00741F2F"/>
    <w:rsid w:val="00742014"/>
    <w:rsid w:val="00742268"/>
    <w:rsid w:val="007424D5"/>
    <w:rsid w:val="007425E2"/>
    <w:rsid w:val="0074346F"/>
    <w:rsid w:val="00743E96"/>
    <w:rsid w:val="00744F39"/>
    <w:rsid w:val="00744F3F"/>
    <w:rsid w:val="007455DE"/>
    <w:rsid w:val="00745604"/>
    <w:rsid w:val="00745914"/>
    <w:rsid w:val="00745950"/>
    <w:rsid w:val="00745A92"/>
    <w:rsid w:val="00745D08"/>
    <w:rsid w:val="007464DC"/>
    <w:rsid w:val="00746704"/>
    <w:rsid w:val="00746CC7"/>
    <w:rsid w:val="007470FF"/>
    <w:rsid w:val="00750325"/>
    <w:rsid w:val="00750432"/>
    <w:rsid w:val="00750455"/>
    <w:rsid w:val="00750AE2"/>
    <w:rsid w:val="00750C6A"/>
    <w:rsid w:val="00750D31"/>
    <w:rsid w:val="007511BD"/>
    <w:rsid w:val="007513AD"/>
    <w:rsid w:val="007517D6"/>
    <w:rsid w:val="007520CC"/>
    <w:rsid w:val="00752190"/>
    <w:rsid w:val="007521C1"/>
    <w:rsid w:val="007526B8"/>
    <w:rsid w:val="007529C0"/>
    <w:rsid w:val="007531C3"/>
    <w:rsid w:val="007531DA"/>
    <w:rsid w:val="00753241"/>
    <w:rsid w:val="0075376F"/>
    <w:rsid w:val="00753D30"/>
    <w:rsid w:val="00753EC3"/>
    <w:rsid w:val="00753F94"/>
    <w:rsid w:val="00754429"/>
    <w:rsid w:val="0075464E"/>
    <w:rsid w:val="007547FD"/>
    <w:rsid w:val="00754819"/>
    <w:rsid w:val="007550F3"/>
    <w:rsid w:val="00755192"/>
    <w:rsid w:val="007551E9"/>
    <w:rsid w:val="0075563F"/>
    <w:rsid w:val="007561C8"/>
    <w:rsid w:val="007564F7"/>
    <w:rsid w:val="007566FB"/>
    <w:rsid w:val="007568D6"/>
    <w:rsid w:val="007571E8"/>
    <w:rsid w:val="007577F9"/>
    <w:rsid w:val="007578AB"/>
    <w:rsid w:val="00757ACF"/>
    <w:rsid w:val="00757AFB"/>
    <w:rsid w:val="00757E8F"/>
    <w:rsid w:val="00760455"/>
    <w:rsid w:val="007604C0"/>
    <w:rsid w:val="00760591"/>
    <w:rsid w:val="00760AF2"/>
    <w:rsid w:val="00760CEB"/>
    <w:rsid w:val="00761018"/>
    <w:rsid w:val="00761024"/>
    <w:rsid w:val="00761438"/>
    <w:rsid w:val="007616EC"/>
    <w:rsid w:val="00761ACA"/>
    <w:rsid w:val="00761C52"/>
    <w:rsid w:val="0076233B"/>
    <w:rsid w:val="007627DB"/>
    <w:rsid w:val="00762D6E"/>
    <w:rsid w:val="00762EDB"/>
    <w:rsid w:val="00763084"/>
    <w:rsid w:val="00763499"/>
    <w:rsid w:val="00764841"/>
    <w:rsid w:val="00764979"/>
    <w:rsid w:val="00765067"/>
    <w:rsid w:val="007651AD"/>
    <w:rsid w:val="00765519"/>
    <w:rsid w:val="00765D14"/>
    <w:rsid w:val="00766087"/>
    <w:rsid w:val="0076649D"/>
    <w:rsid w:val="00766542"/>
    <w:rsid w:val="0076661B"/>
    <w:rsid w:val="00766881"/>
    <w:rsid w:val="007668E4"/>
    <w:rsid w:val="007669A7"/>
    <w:rsid w:val="00767A98"/>
    <w:rsid w:val="00767D0A"/>
    <w:rsid w:val="00767DCC"/>
    <w:rsid w:val="007700CF"/>
    <w:rsid w:val="0077087F"/>
    <w:rsid w:val="00770BD0"/>
    <w:rsid w:val="00770F48"/>
    <w:rsid w:val="00770FF8"/>
    <w:rsid w:val="007713F0"/>
    <w:rsid w:val="0077192A"/>
    <w:rsid w:val="00771BEC"/>
    <w:rsid w:val="00771BEF"/>
    <w:rsid w:val="00772B4E"/>
    <w:rsid w:val="00772B53"/>
    <w:rsid w:val="00772E1F"/>
    <w:rsid w:val="00773083"/>
    <w:rsid w:val="0077309F"/>
    <w:rsid w:val="0077340F"/>
    <w:rsid w:val="00773B99"/>
    <w:rsid w:val="00773F9A"/>
    <w:rsid w:val="007743DF"/>
    <w:rsid w:val="00774496"/>
    <w:rsid w:val="007744BB"/>
    <w:rsid w:val="00774660"/>
    <w:rsid w:val="007746C7"/>
    <w:rsid w:val="00774708"/>
    <w:rsid w:val="00775128"/>
    <w:rsid w:val="00775131"/>
    <w:rsid w:val="00775B14"/>
    <w:rsid w:val="00776268"/>
    <w:rsid w:val="0077640C"/>
    <w:rsid w:val="00776AAD"/>
    <w:rsid w:val="00776D0B"/>
    <w:rsid w:val="00776EEA"/>
    <w:rsid w:val="00777447"/>
    <w:rsid w:val="0077784A"/>
    <w:rsid w:val="00777A6C"/>
    <w:rsid w:val="00777A72"/>
    <w:rsid w:val="00777C88"/>
    <w:rsid w:val="00777E5F"/>
    <w:rsid w:val="00777F17"/>
    <w:rsid w:val="0078058C"/>
    <w:rsid w:val="0078092D"/>
    <w:rsid w:val="00780C52"/>
    <w:rsid w:val="007810D6"/>
    <w:rsid w:val="00781AD9"/>
    <w:rsid w:val="00781DA7"/>
    <w:rsid w:val="00782020"/>
    <w:rsid w:val="007821BD"/>
    <w:rsid w:val="00782B24"/>
    <w:rsid w:val="00782BAE"/>
    <w:rsid w:val="00782C00"/>
    <w:rsid w:val="00782C3F"/>
    <w:rsid w:val="00782EB2"/>
    <w:rsid w:val="00782F7D"/>
    <w:rsid w:val="007836EF"/>
    <w:rsid w:val="00783773"/>
    <w:rsid w:val="00783967"/>
    <w:rsid w:val="007839A4"/>
    <w:rsid w:val="00783E3E"/>
    <w:rsid w:val="007841DE"/>
    <w:rsid w:val="00784ADE"/>
    <w:rsid w:val="00784D81"/>
    <w:rsid w:val="00784FD2"/>
    <w:rsid w:val="00785200"/>
    <w:rsid w:val="0078563C"/>
    <w:rsid w:val="00785702"/>
    <w:rsid w:val="0078576C"/>
    <w:rsid w:val="007857A0"/>
    <w:rsid w:val="00785D7D"/>
    <w:rsid w:val="00785F5C"/>
    <w:rsid w:val="00786966"/>
    <w:rsid w:val="00786ED6"/>
    <w:rsid w:val="00787135"/>
    <w:rsid w:val="007874D6"/>
    <w:rsid w:val="007876B6"/>
    <w:rsid w:val="0079094F"/>
    <w:rsid w:val="00790B30"/>
    <w:rsid w:val="00790B69"/>
    <w:rsid w:val="00790B6C"/>
    <w:rsid w:val="00790E84"/>
    <w:rsid w:val="0079162D"/>
    <w:rsid w:val="0079216B"/>
    <w:rsid w:val="00792D1D"/>
    <w:rsid w:val="00792ED5"/>
    <w:rsid w:val="00793023"/>
    <w:rsid w:val="0079329B"/>
    <w:rsid w:val="00793B9F"/>
    <w:rsid w:val="00794013"/>
    <w:rsid w:val="007940FB"/>
    <w:rsid w:val="00794312"/>
    <w:rsid w:val="00794975"/>
    <w:rsid w:val="00794AC3"/>
    <w:rsid w:val="00794DD3"/>
    <w:rsid w:val="007954A2"/>
    <w:rsid w:val="007955F7"/>
    <w:rsid w:val="007959DE"/>
    <w:rsid w:val="0079630D"/>
    <w:rsid w:val="0079750E"/>
    <w:rsid w:val="007975EA"/>
    <w:rsid w:val="007975EB"/>
    <w:rsid w:val="007976F0"/>
    <w:rsid w:val="00797FC8"/>
    <w:rsid w:val="00797FE8"/>
    <w:rsid w:val="007A05CA"/>
    <w:rsid w:val="007A0815"/>
    <w:rsid w:val="007A0E66"/>
    <w:rsid w:val="007A10CA"/>
    <w:rsid w:val="007A112C"/>
    <w:rsid w:val="007A12FF"/>
    <w:rsid w:val="007A139D"/>
    <w:rsid w:val="007A13CE"/>
    <w:rsid w:val="007A1A2B"/>
    <w:rsid w:val="007A1D8B"/>
    <w:rsid w:val="007A1FFF"/>
    <w:rsid w:val="007A2028"/>
    <w:rsid w:val="007A21EF"/>
    <w:rsid w:val="007A2555"/>
    <w:rsid w:val="007A2750"/>
    <w:rsid w:val="007A28BB"/>
    <w:rsid w:val="007A294B"/>
    <w:rsid w:val="007A302D"/>
    <w:rsid w:val="007A315C"/>
    <w:rsid w:val="007A3B83"/>
    <w:rsid w:val="007A3F08"/>
    <w:rsid w:val="007A42A2"/>
    <w:rsid w:val="007A45E0"/>
    <w:rsid w:val="007A45F4"/>
    <w:rsid w:val="007A4825"/>
    <w:rsid w:val="007A4C5A"/>
    <w:rsid w:val="007A50E2"/>
    <w:rsid w:val="007A5A32"/>
    <w:rsid w:val="007A602B"/>
    <w:rsid w:val="007A66D6"/>
    <w:rsid w:val="007A6A6F"/>
    <w:rsid w:val="007A6C8E"/>
    <w:rsid w:val="007A6E35"/>
    <w:rsid w:val="007A73B6"/>
    <w:rsid w:val="007A73E8"/>
    <w:rsid w:val="007A77E1"/>
    <w:rsid w:val="007A78B1"/>
    <w:rsid w:val="007A792D"/>
    <w:rsid w:val="007A7DE2"/>
    <w:rsid w:val="007B0280"/>
    <w:rsid w:val="007B079B"/>
    <w:rsid w:val="007B08FD"/>
    <w:rsid w:val="007B0939"/>
    <w:rsid w:val="007B0AB3"/>
    <w:rsid w:val="007B0CDD"/>
    <w:rsid w:val="007B0DEF"/>
    <w:rsid w:val="007B121F"/>
    <w:rsid w:val="007B154D"/>
    <w:rsid w:val="007B178B"/>
    <w:rsid w:val="007B17BC"/>
    <w:rsid w:val="007B1AD5"/>
    <w:rsid w:val="007B1FA5"/>
    <w:rsid w:val="007B289E"/>
    <w:rsid w:val="007B2BA2"/>
    <w:rsid w:val="007B314A"/>
    <w:rsid w:val="007B316C"/>
    <w:rsid w:val="007B3367"/>
    <w:rsid w:val="007B3550"/>
    <w:rsid w:val="007B39B3"/>
    <w:rsid w:val="007B3F10"/>
    <w:rsid w:val="007B49BB"/>
    <w:rsid w:val="007B4AB4"/>
    <w:rsid w:val="007B4B03"/>
    <w:rsid w:val="007B4BF8"/>
    <w:rsid w:val="007B4D37"/>
    <w:rsid w:val="007B56A1"/>
    <w:rsid w:val="007B5960"/>
    <w:rsid w:val="007B5AF0"/>
    <w:rsid w:val="007B5BA4"/>
    <w:rsid w:val="007B5BD1"/>
    <w:rsid w:val="007B5F03"/>
    <w:rsid w:val="007B64E2"/>
    <w:rsid w:val="007B6637"/>
    <w:rsid w:val="007B6728"/>
    <w:rsid w:val="007B7091"/>
    <w:rsid w:val="007B71A3"/>
    <w:rsid w:val="007B72BE"/>
    <w:rsid w:val="007B76D4"/>
    <w:rsid w:val="007B7ACE"/>
    <w:rsid w:val="007B7B1D"/>
    <w:rsid w:val="007B7D85"/>
    <w:rsid w:val="007B7E38"/>
    <w:rsid w:val="007C0123"/>
    <w:rsid w:val="007C0660"/>
    <w:rsid w:val="007C0E02"/>
    <w:rsid w:val="007C1315"/>
    <w:rsid w:val="007C186D"/>
    <w:rsid w:val="007C1D12"/>
    <w:rsid w:val="007C26E8"/>
    <w:rsid w:val="007C3DBB"/>
    <w:rsid w:val="007C3E5B"/>
    <w:rsid w:val="007C46EA"/>
    <w:rsid w:val="007C4E30"/>
    <w:rsid w:val="007C50DE"/>
    <w:rsid w:val="007C533C"/>
    <w:rsid w:val="007C5552"/>
    <w:rsid w:val="007C56F2"/>
    <w:rsid w:val="007C5A1F"/>
    <w:rsid w:val="007C5C4F"/>
    <w:rsid w:val="007C5DA4"/>
    <w:rsid w:val="007C6285"/>
    <w:rsid w:val="007C663E"/>
    <w:rsid w:val="007C6C03"/>
    <w:rsid w:val="007C6E51"/>
    <w:rsid w:val="007C7367"/>
    <w:rsid w:val="007C7422"/>
    <w:rsid w:val="007C76D2"/>
    <w:rsid w:val="007C794A"/>
    <w:rsid w:val="007C7BA7"/>
    <w:rsid w:val="007C7BF0"/>
    <w:rsid w:val="007C7D7A"/>
    <w:rsid w:val="007D0F58"/>
    <w:rsid w:val="007D13C7"/>
    <w:rsid w:val="007D1443"/>
    <w:rsid w:val="007D1645"/>
    <w:rsid w:val="007D167B"/>
    <w:rsid w:val="007D1807"/>
    <w:rsid w:val="007D1893"/>
    <w:rsid w:val="007D1E18"/>
    <w:rsid w:val="007D22F1"/>
    <w:rsid w:val="007D3349"/>
    <w:rsid w:val="007D3F1A"/>
    <w:rsid w:val="007D4826"/>
    <w:rsid w:val="007D49DE"/>
    <w:rsid w:val="007D4ADF"/>
    <w:rsid w:val="007D4E66"/>
    <w:rsid w:val="007D5415"/>
    <w:rsid w:val="007D596D"/>
    <w:rsid w:val="007D5C09"/>
    <w:rsid w:val="007D679B"/>
    <w:rsid w:val="007D6DCF"/>
    <w:rsid w:val="007D78A5"/>
    <w:rsid w:val="007D79D3"/>
    <w:rsid w:val="007D7AE5"/>
    <w:rsid w:val="007D7C0D"/>
    <w:rsid w:val="007D7D10"/>
    <w:rsid w:val="007E0264"/>
    <w:rsid w:val="007E02CC"/>
    <w:rsid w:val="007E03A1"/>
    <w:rsid w:val="007E0434"/>
    <w:rsid w:val="007E0541"/>
    <w:rsid w:val="007E0A28"/>
    <w:rsid w:val="007E0B4D"/>
    <w:rsid w:val="007E0B82"/>
    <w:rsid w:val="007E0C0A"/>
    <w:rsid w:val="007E0DDF"/>
    <w:rsid w:val="007E0F59"/>
    <w:rsid w:val="007E1412"/>
    <w:rsid w:val="007E14EB"/>
    <w:rsid w:val="007E18FC"/>
    <w:rsid w:val="007E2841"/>
    <w:rsid w:val="007E2A0B"/>
    <w:rsid w:val="007E2BD2"/>
    <w:rsid w:val="007E2CBA"/>
    <w:rsid w:val="007E3170"/>
    <w:rsid w:val="007E34F8"/>
    <w:rsid w:val="007E3520"/>
    <w:rsid w:val="007E35C5"/>
    <w:rsid w:val="007E36AD"/>
    <w:rsid w:val="007E3A53"/>
    <w:rsid w:val="007E3DCC"/>
    <w:rsid w:val="007E3F80"/>
    <w:rsid w:val="007E4056"/>
    <w:rsid w:val="007E4221"/>
    <w:rsid w:val="007E4D7D"/>
    <w:rsid w:val="007E4EF2"/>
    <w:rsid w:val="007E55C1"/>
    <w:rsid w:val="007E5888"/>
    <w:rsid w:val="007E5B73"/>
    <w:rsid w:val="007E5E46"/>
    <w:rsid w:val="007E5FA5"/>
    <w:rsid w:val="007E64BB"/>
    <w:rsid w:val="007E665B"/>
    <w:rsid w:val="007E6823"/>
    <w:rsid w:val="007E6A86"/>
    <w:rsid w:val="007E6D09"/>
    <w:rsid w:val="007E6E90"/>
    <w:rsid w:val="007E7A4B"/>
    <w:rsid w:val="007E7F22"/>
    <w:rsid w:val="007F0000"/>
    <w:rsid w:val="007F04A4"/>
    <w:rsid w:val="007F07C7"/>
    <w:rsid w:val="007F0921"/>
    <w:rsid w:val="007F0A7D"/>
    <w:rsid w:val="007F0FA5"/>
    <w:rsid w:val="007F10FE"/>
    <w:rsid w:val="007F1475"/>
    <w:rsid w:val="007F17BB"/>
    <w:rsid w:val="007F19F1"/>
    <w:rsid w:val="007F1D52"/>
    <w:rsid w:val="007F28FC"/>
    <w:rsid w:val="007F2C62"/>
    <w:rsid w:val="007F2EB9"/>
    <w:rsid w:val="007F32FD"/>
    <w:rsid w:val="007F347A"/>
    <w:rsid w:val="007F393D"/>
    <w:rsid w:val="007F3B8D"/>
    <w:rsid w:val="007F3C96"/>
    <w:rsid w:val="007F3CED"/>
    <w:rsid w:val="007F4A5E"/>
    <w:rsid w:val="007F4AA2"/>
    <w:rsid w:val="007F4C55"/>
    <w:rsid w:val="007F4FBF"/>
    <w:rsid w:val="007F51C9"/>
    <w:rsid w:val="007F54F3"/>
    <w:rsid w:val="007F59D3"/>
    <w:rsid w:val="007F60C9"/>
    <w:rsid w:val="007F66FE"/>
    <w:rsid w:val="007F68E4"/>
    <w:rsid w:val="007F72B6"/>
    <w:rsid w:val="007F7595"/>
    <w:rsid w:val="007F7C95"/>
    <w:rsid w:val="007F7E32"/>
    <w:rsid w:val="007F7E9A"/>
    <w:rsid w:val="00800113"/>
    <w:rsid w:val="0080049B"/>
    <w:rsid w:val="00800643"/>
    <w:rsid w:val="0080067C"/>
    <w:rsid w:val="00800C86"/>
    <w:rsid w:val="00801111"/>
    <w:rsid w:val="00801137"/>
    <w:rsid w:val="00801319"/>
    <w:rsid w:val="0080148F"/>
    <w:rsid w:val="00801522"/>
    <w:rsid w:val="00801B3D"/>
    <w:rsid w:val="00802030"/>
    <w:rsid w:val="0080251D"/>
    <w:rsid w:val="00802809"/>
    <w:rsid w:val="00802882"/>
    <w:rsid w:val="00802C1E"/>
    <w:rsid w:val="00802E00"/>
    <w:rsid w:val="00802F2B"/>
    <w:rsid w:val="0080372D"/>
    <w:rsid w:val="00803A9A"/>
    <w:rsid w:val="00803F90"/>
    <w:rsid w:val="00804F92"/>
    <w:rsid w:val="00805485"/>
    <w:rsid w:val="00805655"/>
    <w:rsid w:val="0080692F"/>
    <w:rsid w:val="00806EFF"/>
    <w:rsid w:val="00807548"/>
    <w:rsid w:val="00807592"/>
    <w:rsid w:val="00807619"/>
    <w:rsid w:val="00807E8B"/>
    <w:rsid w:val="008101AD"/>
    <w:rsid w:val="00810230"/>
    <w:rsid w:val="0081122B"/>
    <w:rsid w:val="0081133E"/>
    <w:rsid w:val="00811419"/>
    <w:rsid w:val="00811A6F"/>
    <w:rsid w:val="00811BE4"/>
    <w:rsid w:val="00812267"/>
    <w:rsid w:val="00812365"/>
    <w:rsid w:val="00812B04"/>
    <w:rsid w:val="00812C64"/>
    <w:rsid w:val="00812EF5"/>
    <w:rsid w:val="00813610"/>
    <w:rsid w:val="00813DE7"/>
    <w:rsid w:val="00814056"/>
    <w:rsid w:val="0081484D"/>
    <w:rsid w:val="00814E83"/>
    <w:rsid w:val="00815213"/>
    <w:rsid w:val="00815315"/>
    <w:rsid w:val="00815666"/>
    <w:rsid w:val="0081671D"/>
    <w:rsid w:val="00816885"/>
    <w:rsid w:val="008169C9"/>
    <w:rsid w:val="00816B7C"/>
    <w:rsid w:val="00820007"/>
    <w:rsid w:val="00820FAD"/>
    <w:rsid w:val="008211B4"/>
    <w:rsid w:val="00821205"/>
    <w:rsid w:val="00821AAC"/>
    <w:rsid w:val="008224DF"/>
    <w:rsid w:val="008225D9"/>
    <w:rsid w:val="00822D53"/>
    <w:rsid w:val="00822D81"/>
    <w:rsid w:val="008230CD"/>
    <w:rsid w:val="008237CE"/>
    <w:rsid w:val="00823B5D"/>
    <w:rsid w:val="008241BE"/>
    <w:rsid w:val="0082438C"/>
    <w:rsid w:val="00824645"/>
    <w:rsid w:val="00824B2A"/>
    <w:rsid w:val="00824DC6"/>
    <w:rsid w:val="00825569"/>
    <w:rsid w:val="00825B9A"/>
    <w:rsid w:val="00826031"/>
    <w:rsid w:val="00826094"/>
    <w:rsid w:val="0082671F"/>
    <w:rsid w:val="00826ED2"/>
    <w:rsid w:val="008272C4"/>
    <w:rsid w:val="00827404"/>
    <w:rsid w:val="00827619"/>
    <w:rsid w:val="00827A88"/>
    <w:rsid w:val="00827FBF"/>
    <w:rsid w:val="008302B1"/>
    <w:rsid w:val="0083039B"/>
    <w:rsid w:val="008303D0"/>
    <w:rsid w:val="008304C8"/>
    <w:rsid w:val="008305E9"/>
    <w:rsid w:val="00830DE4"/>
    <w:rsid w:val="00830E71"/>
    <w:rsid w:val="00830F29"/>
    <w:rsid w:val="00831002"/>
    <w:rsid w:val="00831349"/>
    <w:rsid w:val="00831395"/>
    <w:rsid w:val="00831B78"/>
    <w:rsid w:val="00831BFC"/>
    <w:rsid w:val="00831DC3"/>
    <w:rsid w:val="00832356"/>
    <w:rsid w:val="008328D7"/>
    <w:rsid w:val="008329DF"/>
    <w:rsid w:val="00832A31"/>
    <w:rsid w:val="00832BF5"/>
    <w:rsid w:val="00832D27"/>
    <w:rsid w:val="00833664"/>
    <w:rsid w:val="008341B0"/>
    <w:rsid w:val="008344E8"/>
    <w:rsid w:val="008355AB"/>
    <w:rsid w:val="0083570A"/>
    <w:rsid w:val="00835861"/>
    <w:rsid w:val="008358E6"/>
    <w:rsid w:val="00836C1E"/>
    <w:rsid w:val="008372BE"/>
    <w:rsid w:val="0084014B"/>
    <w:rsid w:val="008407D2"/>
    <w:rsid w:val="00841197"/>
    <w:rsid w:val="00841B86"/>
    <w:rsid w:val="00841BA5"/>
    <w:rsid w:val="00841D75"/>
    <w:rsid w:val="008429B6"/>
    <w:rsid w:val="00843046"/>
    <w:rsid w:val="00843122"/>
    <w:rsid w:val="008435C6"/>
    <w:rsid w:val="00843CFA"/>
    <w:rsid w:val="00843E3E"/>
    <w:rsid w:val="00844280"/>
    <w:rsid w:val="008448F9"/>
    <w:rsid w:val="008448FD"/>
    <w:rsid w:val="00844C24"/>
    <w:rsid w:val="008456EE"/>
    <w:rsid w:val="00845C22"/>
    <w:rsid w:val="00845EB1"/>
    <w:rsid w:val="00846218"/>
    <w:rsid w:val="008464FD"/>
    <w:rsid w:val="00846753"/>
    <w:rsid w:val="0084681A"/>
    <w:rsid w:val="008468F1"/>
    <w:rsid w:val="00846C24"/>
    <w:rsid w:val="00846FC9"/>
    <w:rsid w:val="008479A3"/>
    <w:rsid w:val="00847F68"/>
    <w:rsid w:val="008500EA"/>
    <w:rsid w:val="00850364"/>
    <w:rsid w:val="00850CDA"/>
    <w:rsid w:val="008510D7"/>
    <w:rsid w:val="008511EF"/>
    <w:rsid w:val="0085123C"/>
    <w:rsid w:val="008512B6"/>
    <w:rsid w:val="00851417"/>
    <w:rsid w:val="00851446"/>
    <w:rsid w:val="00851959"/>
    <w:rsid w:val="00851B2B"/>
    <w:rsid w:val="008521E0"/>
    <w:rsid w:val="008521FA"/>
    <w:rsid w:val="00852699"/>
    <w:rsid w:val="00852763"/>
    <w:rsid w:val="00852A6A"/>
    <w:rsid w:val="00852B53"/>
    <w:rsid w:val="00853386"/>
    <w:rsid w:val="00853399"/>
    <w:rsid w:val="00853A07"/>
    <w:rsid w:val="00854102"/>
    <w:rsid w:val="00854EE9"/>
    <w:rsid w:val="00855876"/>
    <w:rsid w:val="00855925"/>
    <w:rsid w:val="00855D7C"/>
    <w:rsid w:val="00855DF6"/>
    <w:rsid w:val="0085636B"/>
    <w:rsid w:val="00856684"/>
    <w:rsid w:val="008568AC"/>
    <w:rsid w:val="00856B58"/>
    <w:rsid w:val="00856DE5"/>
    <w:rsid w:val="008573F5"/>
    <w:rsid w:val="00857412"/>
    <w:rsid w:val="008574AA"/>
    <w:rsid w:val="00857CD1"/>
    <w:rsid w:val="00860452"/>
    <w:rsid w:val="008607F1"/>
    <w:rsid w:val="0086100F"/>
    <w:rsid w:val="00861268"/>
    <w:rsid w:val="00861C1A"/>
    <w:rsid w:val="00861D37"/>
    <w:rsid w:val="00861D4B"/>
    <w:rsid w:val="00862323"/>
    <w:rsid w:val="00862828"/>
    <w:rsid w:val="00862A00"/>
    <w:rsid w:val="008631E4"/>
    <w:rsid w:val="008638EE"/>
    <w:rsid w:val="008639C3"/>
    <w:rsid w:val="00863A7E"/>
    <w:rsid w:val="00863C56"/>
    <w:rsid w:val="00863DCA"/>
    <w:rsid w:val="00863E84"/>
    <w:rsid w:val="00864584"/>
    <w:rsid w:val="00864741"/>
    <w:rsid w:val="008649DF"/>
    <w:rsid w:val="00864A95"/>
    <w:rsid w:val="008651A9"/>
    <w:rsid w:val="008658CC"/>
    <w:rsid w:val="008658D5"/>
    <w:rsid w:val="0086667A"/>
    <w:rsid w:val="00866B4B"/>
    <w:rsid w:val="00866BA0"/>
    <w:rsid w:val="00867246"/>
    <w:rsid w:val="00867700"/>
    <w:rsid w:val="00867704"/>
    <w:rsid w:val="008700C5"/>
    <w:rsid w:val="00870499"/>
    <w:rsid w:val="00870713"/>
    <w:rsid w:val="00871237"/>
    <w:rsid w:val="008712DB"/>
    <w:rsid w:val="008717D5"/>
    <w:rsid w:val="00872175"/>
    <w:rsid w:val="00872388"/>
    <w:rsid w:val="00872389"/>
    <w:rsid w:val="00872DCA"/>
    <w:rsid w:val="00872E44"/>
    <w:rsid w:val="00873B17"/>
    <w:rsid w:val="00873B3B"/>
    <w:rsid w:val="00873E70"/>
    <w:rsid w:val="00874147"/>
    <w:rsid w:val="008744C2"/>
    <w:rsid w:val="0087457A"/>
    <w:rsid w:val="00874786"/>
    <w:rsid w:val="00874AEC"/>
    <w:rsid w:val="00874C08"/>
    <w:rsid w:val="00874C23"/>
    <w:rsid w:val="00875376"/>
    <w:rsid w:val="00875422"/>
    <w:rsid w:val="0087547D"/>
    <w:rsid w:val="00875507"/>
    <w:rsid w:val="00875A06"/>
    <w:rsid w:val="00876548"/>
    <w:rsid w:val="00876682"/>
    <w:rsid w:val="00876CCC"/>
    <w:rsid w:val="00877396"/>
    <w:rsid w:val="00877634"/>
    <w:rsid w:val="00880440"/>
    <w:rsid w:val="008804EA"/>
    <w:rsid w:val="008807D7"/>
    <w:rsid w:val="008808FE"/>
    <w:rsid w:val="00880A60"/>
    <w:rsid w:val="00880C27"/>
    <w:rsid w:val="00881036"/>
    <w:rsid w:val="00882734"/>
    <w:rsid w:val="0088324F"/>
    <w:rsid w:val="00883319"/>
    <w:rsid w:val="0088373F"/>
    <w:rsid w:val="00883E13"/>
    <w:rsid w:val="0088421C"/>
    <w:rsid w:val="0088425C"/>
    <w:rsid w:val="00884E1E"/>
    <w:rsid w:val="008855D4"/>
    <w:rsid w:val="008856BA"/>
    <w:rsid w:val="008857FD"/>
    <w:rsid w:val="00885E09"/>
    <w:rsid w:val="008861CE"/>
    <w:rsid w:val="0088735B"/>
    <w:rsid w:val="0088762F"/>
    <w:rsid w:val="00887C09"/>
    <w:rsid w:val="00890829"/>
    <w:rsid w:val="00890831"/>
    <w:rsid w:val="00890889"/>
    <w:rsid w:val="00890D39"/>
    <w:rsid w:val="00890D4C"/>
    <w:rsid w:val="00890E59"/>
    <w:rsid w:val="00890E78"/>
    <w:rsid w:val="00890F1C"/>
    <w:rsid w:val="0089138D"/>
    <w:rsid w:val="00891819"/>
    <w:rsid w:val="008924E3"/>
    <w:rsid w:val="00892E68"/>
    <w:rsid w:val="00893DEF"/>
    <w:rsid w:val="00894402"/>
    <w:rsid w:val="00894923"/>
    <w:rsid w:val="00894A99"/>
    <w:rsid w:val="00894B12"/>
    <w:rsid w:val="00894C29"/>
    <w:rsid w:val="00895692"/>
    <w:rsid w:val="00895A92"/>
    <w:rsid w:val="00895F50"/>
    <w:rsid w:val="00897022"/>
    <w:rsid w:val="00897521"/>
    <w:rsid w:val="0089759F"/>
    <w:rsid w:val="00897E8A"/>
    <w:rsid w:val="008A003B"/>
    <w:rsid w:val="008A02FE"/>
    <w:rsid w:val="008A031E"/>
    <w:rsid w:val="008A0710"/>
    <w:rsid w:val="008A0DDD"/>
    <w:rsid w:val="008A0FFA"/>
    <w:rsid w:val="008A1168"/>
    <w:rsid w:val="008A1727"/>
    <w:rsid w:val="008A1B00"/>
    <w:rsid w:val="008A274D"/>
    <w:rsid w:val="008A2BA7"/>
    <w:rsid w:val="008A2D79"/>
    <w:rsid w:val="008A2D8D"/>
    <w:rsid w:val="008A2E44"/>
    <w:rsid w:val="008A313A"/>
    <w:rsid w:val="008A3168"/>
    <w:rsid w:val="008A3223"/>
    <w:rsid w:val="008A32EA"/>
    <w:rsid w:val="008A38B9"/>
    <w:rsid w:val="008A3D3F"/>
    <w:rsid w:val="008A3DAA"/>
    <w:rsid w:val="008A458B"/>
    <w:rsid w:val="008A4972"/>
    <w:rsid w:val="008A4AEC"/>
    <w:rsid w:val="008A4B46"/>
    <w:rsid w:val="008A58D5"/>
    <w:rsid w:val="008A58F8"/>
    <w:rsid w:val="008A593E"/>
    <w:rsid w:val="008A5C73"/>
    <w:rsid w:val="008A5FA1"/>
    <w:rsid w:val="008A5FC0"/>
    <w:rsid w:val="008A6175"/>
    <w:rsid w:val="008A6533"/>
    <w:rsid w:val="008A6F6E"/>
    <w:rsid w:val="008A7B72"/>
    <w:rsid w:val="008B0190"/>
    <w:rsid w:val="008B0320"/>
    <w:rsid w:val="008B03CF"/>
    <w:rsid w:val="008B0DA8"/>
    <w:rsid w:val="008B11E3"/>
    <w:rsid w:val="008B134E"/>
    <w:rsid w:val="008B1868"/>
    <w:rsid w:val="008B1F84"/>
    <w:rsid w:val="008B34B6"/>
    <w:rsid w:val="008B3A17"/>
    <w:rsid w:val="008B3E8E"/>
    <w:rsid w:val="008B3EE0"/>
    <w:rsid w:val="008B4022"/>
    <w:rsid w:val="008B4117"/>
    <w:rsid w:val="008B411C"/>
    <w:rsid w:val="008B4554"/>
    <w:rsid w:val="008B4952"/>
    <w:rsid w:val="008B4F1F"/>
    <w:rsid w:val="008B5811"/>
    <w:rsid w:val="008B5B00"/>
    <w:rsid w:val="008B5CA6"/>
    <w:rsid w:val="008B673C"/>
    <w:rsid w:val="008B6858"/>
    <w:rsid w:val="008B6AA4"/>
    <w:rsid w:val="008B6EDB"/>
    <w:rsid w:val="008B73CA"/>
    <w:rsid w:val="008B76B9"/>
    <w:rsid w:val="008B7830"/>
    <w:rsid w:val="008B787E"/>
    <w:rsid w:val="008B7A50"/>
    <w:rsid w:val="008B7A7D"/>
    <w:rsid w:val="008B7B57"/>
    <w:rsid w:val="008B7C06"/>
    <w:rsid w:val="008B7E90"/>
    <w:rsid w:val="008B7F26"/>
    <w:rsid w:val="008C003C"/>
    <w:rsid w:val="008C0902"/>
    <w:rsid w:val="008C0B46"/>
    <w:rsid w:val="008C0BE1"/>
    <w:rsid w:val="008C0C04"/>
    <w:rsid w:val="008C0DCF"/>
    <w:rsid w:val="008C0FA3"/>
    <w:rsid w:val="008C134A"/>
    <w:rsid w:val="008C177F"/>
    <w:rsid w:val="008C1B6E"/>
    <w:rsid w:val="008C1B95"/>
    <w:rsid w:val="008C1DEB"/>
    <w:rsid w:val="008C1DF8"/>
    <w:rsid w:val="008C254B"/>
    <w:rsid w:val="008C2947"/>
    <w:rsid w:val="008C2A3B"/>
    <w:rsid w:val="008C31BC"/>
    <w:rsid w:val="008C327F"/>
    <w:rsid w:val="008C3551"/>
    <w:rsid w:val="008C43AF"/>
    <w:rsid w:val="008C44DB"/>
    <w:rsid w:val="008C4665"/>
    <w:rsid w:val="008C48F1"/>
    <w:rsid w:val="008C5011"/>
    <w:rsid w:val="008C5595"/>
    <w:rsid w:val="008C583A"/>
    <w:rsid w:val="008C584B"/>
    <w:rsid w:val="008C5860"/>
    <w:rsid w:val="008C5897"/>
    <w:rsid w:val="008C5CE8"/>
    <w:rsid w:val="008C6987"/>
    <w:rsid w:val="008C724D"/>
    <w:rsid w:val="008C7875"/>
    <w:rsid w:val="008C7EC8"/>
    <w:rsid w:val="008D0778"/>
    <w:rsid w:val="008D0873"/>
    <w:rsid w:val="008D0C81"/>
    <w:rsid w:val="008D0CA6"/>
    <w:rsid w:val="008D1500"/>
    <w:rsid w:val="008D185B"/>
    <w:rsid w:val="008D18C9"/>
    <w:rsid w:val="008D1EBC"/>
    <w:rsid w:val="008D243F"/>
    <w:rsid w:val="008D24FC"/>
    <w:rsid w:val="008D276F"/>
    <w:rsid w:val="008D3072"/>
    <w:rsid w:val="008D3198"/>
    <w:rsid w:val="008D32A0"/>
    <w:rsid w:val="008D32C2"/>
    <w:rsid w:val="008D3343"/>
    <w:rsid w:val="008D3441"/>
    <w:rsid w:val="008D3C73"/>
    <w:rsid w:val="008D3D1B"/>
    <w:rsid w:val="008D421B"/>
    <w:rsid w:val="008D47B9"/>
    <w:rsid w:val="008D63F4"/>
    <w:rsid w:val="008D6642"/>
    <w:rsid w:val="008D7481"/>
    <w:rsid w:val="008D767B"/>
    <w:rsid w:val="008D7B04"/>
    <w:rsid w:val="008D7CB7"/>
    <w:rsid w:val="008D7FD2"/>
    <w:rsid w:val="008E00BF"/>
    <w:rsid w:val="008E048E"/>
    <w:rsid w:val="008E07BB"/>
    <w:rsid w:val="008E08BE"/>
    <w:rsid w:val="008E1198"/>
    <w:rsid w:val="008E14D9"/>
    <w:rsid w:val="008E1934"/>
    <w:rsid w:val="008E1B4C"/>
    <w:rsid w:val="008E1D98"/>
    <w:rsid w:val="008E22BD"/>
    <w:rsid w:val="008E25A9"/>
    <w:rsid w:val="008E2E1A"/>
    <w:rsid w:val="008E3D7F"/>
    <w:rsid w:val="008E3F9E"/>
    <w:rsid w:val="008E436F"/>
    <w:rsid w:val="008E49EB"/>
    <w:rsid w:val="008E4A8C"/>
    <w:rsid w:val="008E4F27"/>
    <w:rsid w:val="008E53EA"/>
    <w:rsid w:val="008E5C9F"/>
    <w:rsid w:val="008E69A7"/>
    <w:rsid w:val="008E6B40"/>
    <w:rsid w:val="008E6D92"/>
    <w:rsid w:val="008E7B00"/>
    <w:rsid w:val="008F0179"/>
    <w:rsid w:val="008F01FD"/>
    <w:rsid w:val="008F0959"/>
    <w:rsid w:val="008F1258"/>
    <w:rsid w:val="008F1264"/>
    <w:rsid w:val="008F1351"/>
    <w:rsid w:val="008F1BEA"/>
    <w:rsid w:val="008F2223"/>
    <w:rsid w:val="008F226C"/>
    <w:rsid w:val="008F251E"/>
    <w:rsid w:val="008F2829"/>
    <w:rsid w:val="008F39A6"/>
    <w:rsid w:val="008F3A10"/>
    <w:rsid w:val="008F3AF8"/>
    <w:rsid w:val="008F4411"/>
    <w:rsid w:val="008F4578"/>
    <w:rsid w:val="008F485E"/>
    <w:rsid w:val="008F490F"/>
    <w:rsid w:val="008F4968"/>
    <w:rsid w:val="008F4C18"/>
    <w:rsid w:val="008F5071"/>
    <w:rsid w:val="008F5414"/>
    <w:rsid w:val="008F5532"/>
    <w:rsid w:val="008F5672"/>
    <w:rsid w:val="008F5B3D"/>
    <w:rsid w:val="008F660B"/>
    <w:rsid w:val="008F664F"/>
    <w:rsid w:val="008F6B9B"/>
    <w:rsid w:val="008F6C47"/>
    <w:rsid w:val="008F6D1F"/>
    <w:rsid w:val="008F741C"/>
    <w:rsid w:val="008F76AE"/>
    <w:rsid w:val="008F7B4C"/>
    <w:rsid w:val="008F7DD0"/>
    <w:rsid w:val="00900814"/>
    <w:rsid w:val="00900C8E"/>
    <w:rsid w:val="009016A4"/>
    <w:rsid w:val="00901892"/>
    <w:rsid w:val="00901A61"/>
    <w:rsid w:val="00902B37"/>
    <w:rsid w:val="009033B5"/>
    <w:rsid w:val="00903466"/>
    <w:rsid w:val="009034C3"/>
    <w:rsid w:val="009034CA"/>
    <w:rsid w:val="00903B4B"/>
    <w:rsid w:val="00903CEE"/>
    <w:rsid w:val="00903EBF"/>
    <w:rsid w:val="00904949"/>
    <w:rsid w:val="00904BA4"/>
    <w:rsid w:val="00904F36"/>
    <w:rsid w:val="00904F42"/>
    <w:rsid w:val="00905024"/>
    <w:rsid w:val="0090590E"/>
    <w:rsid w:val="00905FA2"/>
    <w:rsid w:val="0090601C"/>
    <w:rsid w:val="0090645D"/>
    <w:rsid w:val="0090646D"/>
    <w:rsid w:val="00906BD1"/>
    <w:rsid w:val="009075D8"/>
    <w:rsid w:val="00907806"/>
    <w:rsid w:val="00907D9D"/>
    <w:rsid w:val="00910655"/>
    <w:rsid w:val="009107D1"/>
    <w:rsid w:val="00910853"/>
    <w:rsid w:val="009108FF"/>
    <w:rsid w:val="00910C49"/>
    <w:rsid w:val="00910CC2"/>
    <w:rsid w:val="00910ED0"/>
    <w:rsid w:val="009117C7"/>
    <w:rsid w:val="00911A09"/>
    <w:rsid w:val="00912109"/>
    <w:rsid w:val="009129ED"/>
    <w:rsid w:val="00912BB5"/>
    <w:rsid w:val="00912BFE"/>
    <w:rsid w:val="00912F7F"/>
    <w:rsid w:val="00913439"/>
    <w:rsid w:val="00913755"/>
    <w:rsid w:val="00913B96"/>
    <w:rsid w:val="009142C7"/>
    <w:rsid w:val="0091470F"/>
    <w:rsid w:val="00914D46"/>
    <w:rsid w:val="00915359"/>
    <w:rsid w:val="00915EEE"/>
    <w:rsid w:val="009160AF"/>
    <w:rsid w:val="00916282"/>
    <w:rsid w:val="009168A6"/>
    <w:rsid w:val="009173D1"/>
    <w:rsid w:val="00920E3E"/>
    <w:rsid w:val="00920FCE"/>
    <w:rsid w:val="009213B3"/>
    <w:rsid w:val="009215A3"/>
    <w:rsid w:val="00921B56"/>
    <w:rsid w:val="00921EE3"/>
    <w:rsid w:val="009220B8"/>
    <w:rsid w:val="00922847"/>
    <w:rsid w:val="009228AE"/>
    <w:rsid w:val="009229C1"/>
    <w:rsid w:val="00922CF7"/>
    <w:rsid w:val="00922E01"/>
    <w:rsid w:val="00922F5C"/>
    <w:rsid w:val="00922F7D"/>
    <w:rsid w:val="009231BF"/>
    <w:rsid w:val="00923A58"/>
    <w:rsid w:val="00923EC7"/>
    <w:rsid w:val="00924016"/>
    <w:rsid w:val="00924D1D"/>
    <w:rsid w:val="00924DF3"/>
    <w:rsid w:val="00925272"/>
    <w:rsid w:val="0092550B"/>
    <w:rsid w:val="00925F40"/>
    <w:rsid w:val="00926121"/>
    <w:rsid w:val="0092613D"/>
    <w:rsid w:val="009266D2"/>
    <w:rsid w:val="00926F46"/>
    <w:rsid w:val="00926FE0"/>
    <w:rsid w:val="00927161"/>
    <w:rsid w:val="009271DC"/>
    <w:rsid w:val="00927509"/>
    <w:rsid w:val="0092764A"/>
    <w:rsid w:val="00927BEF"/>
    <w:rsid w:val="00930657"/>
    <w:rsid w:val="0093068E"/>
    <w:rsid w:val="0093075F"/>
    <w:rsid w:val="00930E4C"/>
    <w:rsid w:val="00930F5D"/>
    <w:rsid w:val="00931A13"/>
    <w:rsid w:val="00931FA9"/>
    <w:rsid w:val="009328D8"/>
    <w:rsid w:val="00932A3E"/>
    <w:rsid w:val="00932A4B"/>
    <w:rsid w:val="00932B40"/>
    <w:rsid w:val="009336F6"/>
    <w:rsid w:val="00933749"/>
    <w:rsid w:val="00933BE4"/>
    <w:rsid w:val="0093406A"/>
    <w:rsid w:val="009340E0"/>
    <w:rsid w:val="00934686"/>
    <w:rsid w:val="009349B8"/>
    <w:rsid w:val="00934B58"/>
    <w:rsid w:val="00934F99"/>
    <w:rsid w:val="0093504B"/>
    <w:rsid w:val="009350C6"/>
    <w:rsid w:val="00935574"/>
    <w:rsid w:val="009355DA"/>
    <w:rsid w:val="009356B7"/>
    <w:rsid w:val="00935712"/>
    <w:rsid w:val="009364CA"/>
    <w:rsid w:val="0093689B"/>
    <w:rsid w:val="00937103"/>
    <w:rsid w:val="00937381"/>
    <w:rsid w:val="00937AC9"/>
    <w:rsid w:val="00937EF6"/>
    <w:rsid w:val="00937FBB"/>
    <w:rsid w:val="00940011"/>
    <w:rsid w:val="0094001C"/>
    <w:rsid w:val="00940039"/>
    <w:rsid w:val="009403D5"/>
    <w:rsid w:val="009408CB"/>
    <w:rsid w:val="00940974"/>
    <w:rsid w:val="00940C19"/>
    <w:rsid w:val="00940E11"/>
    <w:rsid w:val="00941048"/>
    <w:rsid w:val="0094143A"/>
    <w:rsid w:val="00941B34"/>
    <w:rsid w:val="00941E36"/>
    <w:rsid w:val="00942078"/>
    <w:rsid w:val="00942BC4"/>
    <w:rsid w:val="00942F2A"/>
    <w:rsid w:val="00943199"/>
    <w:rsid w:val="0094326C"/>
    <w:rsid w:val="00943507"/>
    <w:rsid w:val="009439E0"/>
    <w:rsid w:val="00943DE2"/>
    <w:rsid w:val="00944228"/>
    <w:rsid w:val="009443D5"/>
    <w:rsid w:val="009446A8"/>
    <w:rsid w:val="00944789"/>
    <w:rsid w:val="00944E4E"/>
    <w:rsid w:val="00944F1A"/>
    <w:rsid w:val="00945414"/>
    <w:rsid w:val="00945566"/>
    <w:rsid w:val="0094600D"/>
    <w:rsid w:val="0094655E"/>
    <w:rsid w:val="00946E20"/>
    <w:rsid w:val="009478F9"/>
    <w:rsid w:val="0095078C"/>
    <w:rsid w:val="00950B91"/>
    <w:rsid w:val="0095100B"/>
    <w:rsid w:val="0095149E"/>
    <w:rsid w:val="00951927"/>
    <w:rsid w:val="00952020"/>
    <w:rsid w:val="00952B69"/>
    <w:rsid w:val="00952E9A"/>
    <w:rsid w:val="009537AD"/>
    <w:rsid w:val="00953861"/>
    <w:rsid w:val="00953D46"/>
    <w:rsid w:val="00954174"/>
    <w:rsid w:val="009557CE"/>
    <w:rsid w:val="00955868"/>
    <w:rsid w:val="00955C6C"/>
    <w:rsid w:val="00956315"/>
    <w:rsid w:val="00956324"/>
    <w:rsid w:val="00956C2E"/>
    <w:rsid w:val="00956E80"/>
    <w:rsid w:val="00957108"/>
    <w:rsid w:val="0095749E"/>
    <w:rsid w:val="00957D2D"/>
    <w:rsid w:val="00957DD4"/>
    <w:rsid w:val="00957DED"/>
    <w:rsid w:val="00957F46"/>
    <w:rsid w:val="00957FF8"/>
    <w:rsid w:val="00960BE2"/>
    <w:rsid w:val="00960E77"/>
    <w:rsid w:val="00960E8C"/>
    <w:rsid w:val="0096107E"/>
    <w:rsid w:val="0096139B"/>
    <w:rsid w:val="009615FD"/>
    <w:rsid w:val="00961708"/>
    <w:rsid w:val="00961A2C"/>
    <w:rsid w:val="00961E68"/>
    <w:rsid w:val="00961EDF"/>
    <w:rsid w:val="00961F10"/>
    <w:rsid w:val="00961F36"/>
    <w:rsid w:val="00962098"/>
    <w:rsid w:val="009624F5"/>
    <w:rsid w:val="00962CF3"/>
    <w:rsid w:val="009630B0"/>
    <w:rsid w:val="0096312B"/>
    <w:rsid w:val="0096313C"/>
    <w:rsid w:val="0096316F"/>
    <w:rsid w:val="00963259"/>
    <w:rsid w:val="00963495"/>
    <w:rsid w:val="009640AD"/>
    <w:rsid w:val="009643E3"/>
    <w:rsid w:val="00964632"/>
    <w:rsid w:val="00964B6A"/>
    <w:rsid w:val="00964E62"/>
    <w:rsid w:val="00964FC0"/>
    <w:rsid w:val="00965022"/>
    <w:rsid w:val="009650C2"/>
    <w:rsid w:val="00965182"/>
    <w:rsid w:val="00965357"/>
    <w:rsid w:val="00965BC1"/>
    <w:rsid w:val="00965CD2"/>
    <w:rsid w:val="00966191"/>
    <w:rsid w:val="009670BB"/>
    <w:rsid w:val="0097017F"/>
    <w:rsid w:val="0097097F"/>
    <w:rsid w:val="00970BAF"/>
    <w:rsid w:val="00970C8A"/>
    <w:rsid w:val="0097121B"/>
    <w:rsid w:val="009714B8"/>
    <w:rsid w:val="00972576"/>
    <w:rsid w:val="009725F0"/>
    <w:rsid w:val="0097279B"/>
    <w:rsid w:val="0097297C"/>
    <w:rsid w:val="00972F3B"/>
    <w:rsid w:val="00972FAC"/>
    <w:rsid w:val="009732CE"/>
    <w:rsid w:val="0097418F"/>
    <w:rsid w:val="00974791"/>
    <w:rsid w:val="00974C9D"/>
    <w:rsid w:val="00974CF3"/>
    <w:rsid w:val="00975338"/>
    <w:rsid w:val="0097541D"/>
    <w:rsid w:val="00975625"/>
    <w:rsid w:val="009756F7"/>
    <w:rsid w:val="00976B88"/>
    <w:rsid w:val="00976BBB"/>
    <w:rsid w:val="00976F99"/>
    <w:rsid w:val="00977CC5"/>
    <w:rsid w:val="00977D11"/>
    <w:rsid w:val="00977F28"/>
    <w:rsid w:val="009805C6"/>
    <w:rsid w:val="009808A9"/>
    <w:rsid w:val="009808FE"/>
    <w:rsid w:val="00980E8B"/>
    <w:rsid w:val="00980F2E"/>
    <w:rsid w:val="0098101C"/>
    <w:rsid w:val="009810FB"/>
    <w:rsid w:val="009811ED"/>
    <w:rsid w:val="009814CA"/>
    <w:rsid w:val="00981552"/>
    <w:rsid w:val="00981B36"/>
    <w:rsid w:val="00981E89"/>
    <w:rsid w:val="00982D3E"/>
    <w:rsid w:val="00982FB5"/>
    <w:rsid w:val="00983058"/>
    <w:rsid w:val="009833B6"/>
    <w:rsid w:val="00983A12"/>
    <w:rsid w:val="00983BBF"/>
    <w:rsid w:val="00983CEB"/>
    <w:rsid w:val="00983EE5"/>
    <w:rsid w:val="00983F96"/>
    <w:rsid w:val="009842B4"/>
    <w:rsid w:val="00984812"/>
    <w:rsid w:val="00984884"/>
    <w:rsid w:val="00984BBF"/>
    <w:rsid w:val="00984FF2"/>
    <w:rsid w:val="0098522C"/>
    <w:rsid w:val="0098533C"/>
    <w:rsid w:val="009856E0"/>
    <w:rsid w:val="00985920"/>
    <w:rsid w:val="00985964"/>
    <w:rsid w:val="00985AB9"/>
    <w:rsid w:val="00985ED6"/>
    <w:rsid w:val="0098627B"/>
    <w:rsid w:val="00986BA0"/>
    <w:rsid w:val="00986D7E"/>
    <w:rsid w:val="00986EA7"/>
    <w:rsid w:val="00986F76"/>
    <w:rsid w:val="0098701A"/>
    <w:rsid w:val="00987BA1"/>
    <w:rsid w:val="00990692"/>
    <w:rsid w:val="00990965"/>
    <w:rsid w:val="00990EC0"/>
    <w:rsid w:val="00991445"/>
    <w:rsid w:val="00991611"/>
    <w:rsid w:val="00991865"/>
    <w:rsid w:val="00991897"/>
    <w:rsid w:val="00991E9E"/>
    <w:rsid w:val="00991F32"/>
    <w:rsid w:val="00991F5D"/>
    <w:rsid w:val="00992158"/>
    <w:rsid w:val="0099271F"/>
    <w:rsid w:val="00992FC9"/>
    <w:rsid w:val="009932CF"/>
    <w:rsid w:val="00993452"/>
    <w:rsid w:val="00994388"/>
    <w:rsid w:val="00994597"/>
    <w:rsid w:val="00994B71"/>
    <w:rsid w:val="00994BFB"/>
    <w:rsid w:val="00994DF4"/>
    <w:rsid w:val="00995AD5"/>
    <w:rsid w:val="00995E04"/>
    <w:rsid w:val="00995E72"/>
    <w:rsid w:val="00997BD0"/>
    <w:rsid w:val="00997D45"/>
    <w:rsid w:val="009A0369"/>
    <w:rsid w:val="009A0441"/>
    <w:rsid w:val="009A0A00"/>
    <w:rsid w:val="009A0BE3"/>
    <w:rsid w:val="009A12B4"/>
    <w:rsid w:val="009A16E1"/>
    <w:rsid w:val="009A2201"/>
    <w:rsid w:val="009A24C7"/>
    <w:rsid w:val="009A24FB"/>
    <w:rsid w:val="009A2B00"/>
    <w:rsid w:val="009A3AD8"/>
    <w:rsid w:val="009A3B1B"/>
    <w:rsid w:val="009A3E6E"/>
    <w:rsid w:val="009A4094"/>
    <w:rsid w:val="009A41C5"/>
    <w:rsid w:val="009A4886"/>
    <w:rsid w:val="009A48F1"/>
    <w:rsid w:val="009A4BBE"/>
    <w:rsid w:val="009A4CF1"/>
    <w:rsid w:val="009A512E"/>
    <w:rsid w:val="009A5214"/>
    <w:rsid w:val="009A5822"/>
    <w:rsid w:val="009A5B07"/>
    <w:rsid w:val="009A5DF0"/>
    <w:rsid w:val="009A627D"/>
    <w:rsid w:val="009A62C7"/>
    <w:rsid w:val="009A6540"/>
    <w:rsid w:val="009A6554"/>
    <w:rsid w:val="009A65BE"/>
    <w:rsid w:val="009A6CEA"/>
    <w:rsid w:val="009A7307"/>
    <w:rsid w:val="009A7544"/>
    <w:rsid w:val="009A7F88"/>
    <w:rsid w:val="009B012A"/>
    <w:rsid w:val="009B0622"/>
    <w:rsid w:val="009B0922"/>
    <w:rsid w:val="009B0AA8"/>
    <w:rsid w:val="009B1173"/>
    <w:rsid w:val="009B1501"/>
    <w:rsid w:val="009B16D8"/>
    <w:rsid w:val="009B2439"/>
    <w:rsid w:val="009B2F74"/>
    <w:rsid w:val="009B31CE"/>
    <w:rsid w:val="009B35EE"/>
    <w:rsid w:val="009B38E3"/>
    <w:rsid w:val="009B399C"/>
    <w:rsid w:val="009B3BE3"/>
    <w:rsid w:val="009B3D47"/>
    <w:rsid w:val="009B47C9"/>
    <w:rsid w:val="009B491D"/>
    <w:rsid w:val="009B4D1B"/>
    <w:rsid w:val="009B5253"/>
    <w:rsid w:val="009B55C1"/>
    <w:rsid w:val="009B60BA"/>
    <w:rsid w:val="009B6906"/>
    <w:rsid w:val="009B6B2E"/>
    <w:rsid w:val="009B6D68"/>
    <w:rsid w:val="009B6E3E"/>
    <w:rsid w:val="009B73F7"/>
    <w:rsid w:val="009B7632"/>
    <w:rsid w:val="009B7C8E"/>
    <w:rsid w:val="009C062F"/>
    <w:rsid w:val="009C1028"/>
    <w:rsid w:val="009C128B"/>
    <w:rsid w:val="009C15AF"/>
    <w:rsid w:val="009C1760"/>
    <w:rsid w:val="009C1C6D"/>
    <w:rsid w:val="009C2123"/>
    <w:rsid w:val="009C24A2"/>
    <w:rsid w:val="009C2B76"/>
    <w:rsid w:val="009C2F93"/>
    <w:rsid w:val="009C2FF5"/>
    <w:rsid w:val="009C3CC9"/>
    <w:rsid w:val="009C4278"/>
    <w:rsid w:val="009C4783"/>
    <w:rsid w:val="009C5297"/>
    <w:rsid w:val="009C5953"/>
    <w:rsid w:val="009C59FE"/>
    <w:rsid w:val="009C60FE"/>
    <w:rsid w:val="009C6175"/>
    <w:rsid w:val="009C63A3"/>
    <w:rsid w:val="009C6544"/>
    <w:rsid w:val="009C6891"/>
    <w:rsid w:val="009C6906"/>
    <w:rsid w:val="009C6FAD"/>
    <w:rsid w:val="009C7147"/>
    <w:rsid w:val="009C7626"/>
    <w:rsid w:val="009C79EE"/>
    <w:rsid w:val="009C7C2F"/>
    <w:rsid w:val="009D0200"/>
    <w:rsid w:val="009D0A48"/>
    <w:rsid w:val="009D0AC2"/>
    <w:rsid w:val="009D0B30"/>
    <w:rsid w:val="009D0B6A"/>
    <w:rsid w:val="009D1100"/>
    <w:rsid w:val="009D1108"/>
    <w:rsid w:val="009D20B2"/>
    <w:rsid w:val="009D2155"/>
    <w:rsid w:val="009D257F"/>
    <w:rsid w:val="009D27DB"/>
    <w:rsid w:val="009D2AE9"/>
    <w:rsid w:val="009D2C19"/>
    <w:rsid w:val="009D2D37"/>
    <w:rsid w:val="009D3228"/>
    <w:rsid w:val="009D392A"/>
    <w:rsid w:val="009D3A05"/>
    <w:rsid w:val="009D3BC9"/>
    <w:rsid w:val="009D3F28"/>
    <w:rsid w:val="009D46DC"/>
    <w:rsid w:val="009D48B0"/>
    <w:rsid w:val="009D4A9A"/>
    <w:rsid w:val="009D4BC3"/>
    <w:rsid w:val="009D4E3D"/>
    <w:rsid w:val="009D4FE7"/>
    <w:rsid w:val="009D53A0"/>
    <w:rsid w:val="009D54F3"/>
    <w:rsid w:val="009D5BA3"/>
    <w:rsid w:val="009D5D04"/>
    <w:rsid w:val="009D5FA9"/>
    <w:rsid w:val="009D60C4"/>
    <w:rsid w:val="009D65D1"/>
    <w:rsid w:val="009D6B2E"/>
    <w:rsid w:val="009D6F63"/>
    <w:rsid w:val="009D73AB"/>
    <w:rsid w:val="009D761A"/>
    <w:rsid w:val="009D7F2C"/>
    <w:rsid w:val="009E059A"/>
    <w:rsid w:val="009E0BBA"/>
    <w:rsid w:val="009E1213"/>
    <w:rsid w:val="009E143A"/>
    <w:rsid w:val="009E1441"/>
    <w:rsid w:val="009E177E"/>
    <w:rsid w:val="009E1C23"/>
    <w:rsid w:val="009E23E6"/>
    <w:rsid w:val="009E2B85"/>
    <w:rsid w:val="009E2E25"/>
    <w:rsid w:val="009E2ECA"/>
    <w:rsid w:val="009E3BCC"/>
    <w:rsid w:val="009E3EBD"/>
    <w:rsid w:val="009E4E38"/>
    <w:rsid w:val="009E5631"/>
    <w:rsid w:val="009E58F3"/>
    <w:rsid w:val="009E65B4"/>
    <w:rsid w:val="009E6601"/>
    <w:rsid w:val="009E6833"/>
    <w:rsid w:val="009E6D45"/>
    <w:rsid w:val="009E6D77"/>
    <w:rsid w:val="009E6EA3"/>
    <w:rsid w:val="009E791D"/>
    <w:rsid w:val="009E7AED"/>
    <w:rsid w:val="009E7B59"/>
    <w:rsid w:val="009E7D07"/>
    <w:rsid w:val="009E7D68"/>
    <w:rsid w:val="009E7E59"/>
    <w:rsid w:val="009F029F"/>
    <w:rsid w:val="009F039B"/>
    <w:rsid w:val="009F0C49"/>
    <w:rsid w:val="009F1076"/>
    <w:rsid w:val="009F1AFB"/>
    <w:rsid w:val="009F1CF2"/>
    <w:rsid w:val="009F20F4"/>
    <w:rsid w:val="009F37EA"/>
    <w:rsid w:val="009F48BD"/>
    <w:rsid w:val="009F4A01"/>
    <w:rsid w:val="009F4C32"/>
    <w:rsid w:val="009F4E36"/>
    <w:rsid w:val="009F5A89"/>
    <w:rsid w:val="009F64FA"/>
    <w:rsid w:val="009F654F"/>
    <w:rsid w:val="009F6560"/>
    <w:rsid w:val="009F6662"/>
    <w:rsid w:val="009F6951"/>
    <w:rsid w:val="009F73F7"/>
    <w:rsid w:val="00A0032B"/>
    <w:rsid w:val="00A008B4"/>
    <w:rsid w:val="00A0091B"/>
    <w:rsid w:val="00A00ACC"/>
    <w:rsid w:val="00A012E0"/>
    <w:rsid w:val="00A018AF"/>
    <w:rsid w:val="00A028A7"/>
    <w:rsid w:val="00A02C55"/>
    <w:rsid w:val="00A02F3D"/>
    <w:rsid w:val="00A0331D"/>
    <w:rsid w:val="00A03550"/>
    <w:rsid w:val="00A03608"/>
    <w:rsid w:val="00A0380B"/>
    <w:rsid w:val="00A03A97"/>
    <w:rsid w:val="00A0521C"/>
    <w:rsid w:val="00A054B7"/>
    <w:rsid w:val="00A0609E"/>
    <w:rsid w:val="00A06155"/>
    <w:rsid w:val="00A0615F"/>
    <w:rsid w:val="00A061BC"/>
    <w:rsid w:val="00A06390"/>
    <w:rsid w:val="00A063AD"/>
    <w:rsid w:val="00A066AB"/>
    <w:rsid w:val="00A067FF"/>
    <w:rsid w:val="00A06854"/>
    <w:rsid w:val="00A0737A"/>
    <w:rsid w:val="00A0783E"/>
    <w:rsid w:val="00A07CF0"/>
    <w:rsid w:val="00A07DD1"/>
    <w:rsid w:val="00A10F69"/>
    <w:rsid w:val="00A112D1"/>
    <w:rsid w:val="00A1140F"/>
    <w:rsid w:val="00A11528"/>
    <w:rsid w:val="00A117C5"/>
    <w:rsid w:val="00A11C26"/>
    <w:rsid w:val="00A11D7B"/>
    <w:rsid w:val="00A12D53"/>
    <w:rsid w:val="00A12F51"/>
    <w:rsid w:val="00A13C0A"/>
    <w:rsid w:val="00A13F49"/>
    <w:rsid w:val="00A14270"/>
    <w:rsid w:val="00A142AC"/>
    <w:rsid w:val="00A143F2"/>
    <w:rsid w:val="00A145BA"/>
    <w:rsid w:val="00A14A2B"/>
    <w:rsid w:val="00A14B94"/>
    <w:rsid w:val="00A14D81"/>
    <w:rsid w:val="00A14E7C"/>
    <w:rsid w:val="00A14F7A"/>
    <w:rsid w:val="00A1559D"/>
    <w:rsid w:val="00A15904"/>
    <w:rsid w:val="00A15B48"/>
    <w:rsid w:val="00A15F68"/>
    <w:rsid w:val="00A1674A"/>
    <w:rsid w:val="00A16C59"/>
    <w:rsid w:val="00A16DC9"/>
    <w:rsid w:val="00A17C23"/>
    <w:rsid w:val="00A17D58"/>
    <w:rsid w:val="00A20521"/>
    <w:rsid w:val="00A20573"/>
    <w:rsid w:val="00A20C82"/>
    <w:rsid w:val="00A20EDE"/>
    <w:rsid w:val="00A21197"/>
    <w:rsid w:val="00A21AE7"/>
    <w:rsid w:val="00A2244C"/>
    <w:rsid w:val="00A227D0"/>
    <w:rsid w:val="00A22F65"/>
    <w:rsid w:val="00A23421"/>
    <w:rsid w:val="00A23E89"/>
    <w:rsid w:val="00A24246"/>
    <w:rsid w:val="00A244E3"/>
    <w:rsid w:val="00A249FC"/>
    <w:rsid w:val="00A24CA0"/>
    <w:rsid w:val="00A24EB8"/>
    <w:rsid w:val="00A24ED4"/>
    <w:rsid w:val="00A250B0"/>
    <w:rsid w:val="00A25F24"/>
    <w:rsid w:val="00A25FDB"/>
    <w:rsid w:val="00A2635B"/>
    <w:rsid w:val="00A26923"/>
    <w:rsid w:val="00A26988"/>
    <w:rsid w:val="00A26EE2"/>
    <w:rsid w:val="00A26EF0"/>
    <w:rsid w:val="00A27C69"/>
    <w:rsid w:val="00A27E8A"/>
    <w:rsid w:val="00A30307"/>
    <w:rsid w:val="00A30580"/>
    <w:rsid w:val="00A3077E"/>
    <w:rsid w:val="00A31278"/>
    <w:rsid w:val="00A31296"/>
    <w:rsid w:val="00A3137F"/>
    <w:rsid w:val="00A32032"/>
    <w:rsid w:val="00A322A4"/>
    <w:rsid w:val="00A32A31"/>
    <w:rsid w:val="00A32C83"/>
    <w:rsid w:val="00A32F56"/>
    <w:rsid w:val="00A33627"/>
    <w:rsid w:val="00A33AC3"/>
    <w:rsid w:val="00A33D83"/>
    <w:rsid w:val="00A340F5"/>
    <w:rsid w:val="00A34300"/>
    <w:rsid w:val="00A349CB"/>
    <w:rsid w:val="00A34B1C"/>
    <w:rsid w:val="00A34D10"/>
    <w:rsid w:val="00A34E66"/>
    <w:rsid w:val="00A350C2"/>
    <w:rsid w:val="00A3540B"/>
    <w:rsid w:val="00A3600D"/>
    <w:rsid w:val="00A36411"/>
    <w:rsid w:val="00A36568"/>
    <w:rsid w:val="00A36DF9"/>
    <w:rsid w:val="00A36E7B"/>
    <w:rsid w:val="00A37043"/>
    <w:rsid w:val="00A370AE"/>
    <w:rsid w:val="00A4056A"/>
    <w:rsid w:val="00A4058A"/>
    <w:rsid w:val="00A407A7"/>
    <w:rsid w:val="00A40891"/>
    <w:rsid w:val="00A40A93"/>
    <w:rsid w:val="00A40C53"/>
    <w:rsid w:val="00A42562"/>
    <w:rsid w:val="00A427D6"/>
    <w:rsid w:val="00A42EEC"/>
    <w:rsid w:val="00A43323"/>
    <w:rsid w:val="00A43982"/>
    <w:rsid w:val="00A439CD"/>
    <w:rsid w:val="00A43A26"/>
    <w:rsid w:val="00A43F96"/>
    <w:rsid w:val="00A445FA"/>
    <w:rsid w:val="00A45127"/>
    <w:rsid w:val="00A454CF"/>
    <w:rsid w:val="00A45725"/>
    <w:rsid w:val="00A468DA"/>
    <w:rsid w:val="00A47A70"/>
    <w:rsid w:val="00A47C6B"/>
    <w:rsid w:val="00A5134D"/>
    <w:rsid w:val="00A5136B"/>
    <w:rsid w:val="00A5152C"/>
    <w:rsid w:val="00A517B4"/>
    <w:rsid w:val="00A51D70"/>
    <w:rsid w:val="00A51DB4"/>
    <w:rsid w:val="00A51F5D"/>
    <w:rsid w:val="00A523D9"/>
    <w:rsid w:val="00A523DB"/>
    <w:rsid w:val="00A5259E"/>
    <w:rsid w:val="00A5266F"/>
    <w:rsid w:val="00A526E6"/>
    <w:rsid w:val="00A52B3B"/>
    <w:rsid w:val="00A52BA5"/>
    <w:rsid w:val="00A53F34"/>
    <w:rsid w:val="00A53FFF"/>
    <w:rsid w:val="00A54079"/>
    <w:rsid w:val="00A54358"/>
    <w:rsid w:val="00A546AF"/>
    <w:rsid w:val="00A54744"/>
    <w:rsid w:val="00A54A26"/>
    <w:rsid w:val="00A54BAA"/>
    <w:rsid w:val="00A554BE"/>
    <w:rsid w:val="00A55840"/>
    <w:rsid w:val="00A5594D"/>
    <w:rsid w:val="00A55ADF"/>
    <w:rsid w:val="00A55B56"/>
    <w:rsid w:val="00A55C9F"/>
    <w:rsid w:val="00A55ED9"/>
    <w:rsid w:val="00A55F40"/>
    <w:rsid w:val="00A560FB"/>
    <w:rsid w:val="00A561A8"/>
    <w:rsid w:val="00A5681D"/>
    <w:rsid w:val="00A56C36"/>
    <w:rsid w:val="00A56F73"/>
    <w:rsid w:val="00A57CFF"/>
    <w:rsid w:val="00A6008D"/>
    <w:rsid w:val="00A60E28"/>
    <w:rsid w:val="00A60FB7"/>
    <w:rsid w:val="00A6163D"/>
    <w:rsid w:val="00A61A95"/>
    <w:rsid w:val="00A61D71"/>
    <w:rsid w:val="00A62013"/>
    <w:rsid w:val="00A6203A"/>
    <w:rsid w:val="00A622DD"/>
    <w:rsid w:val="00A62441"/>
    <w:rsid w:val="00A62945"/>
    <w:rsid w:val="00A63240"/>
    <w:rsid w:val="00A6325D"/>
    <w:rsid w:val="00A63605"/>
    <w:rsid w:val="00A63CB9"/>
    <w:rsid w:val="00A641B6"/>
    <w:rsid w:val="00A64525"/>
    <w:rsid w:val="00A645C5"/>
    <w:rsid w:val="00A65036"/>
    <w:rsid w:val="00A65312"/>
    <w:rsid w:val="00A65ECB"/>
    <w:rsid w:val="00A6628A"/>
    <w:rsid w:val="00A664AE"/>
    <w:rsid w:val="00A66956"/>
    <w:rsid w:val="00A67A0A"/>
    <w:rsid w:val="00A67BAA"/>
    <w:rsid w:val="00A70274"/>
    <w:rsid w:val="00A70836"/>
    <w:rsid w:val="00A71399"/>
    <w:rsid w:val="00A71427"/>
    <w:rsid w:val="00A71776"/>
    <w:rsid w:val="00A71CCD"/>
    <w:rsid w:val="00A72201"/>
    <w:rsid w:val="00A72493"/>
    <w:rsid w:val="00A727F5"/>
    <w:rsid w:val="00A7298F"/>
    <w:rsid w:val="00A72BB4"/>
    <w:rsid w:val="00A72DDC"/>
    <w:rsid w:val="00A73808"/>
    <w:rsid w:val="00A741D8"/>
    <w:rsid w:val="00A746DD"/>
    <w:rsid w:val="00A74A0F"/>
    <w:rsid w:val="00A74C2E"/>
    <w:rsid w:val="00A754EE"/>
    <w:rsid w:val="00A75C31"/>
    <w:rsid w:val="00A76958"/>
    <w:rsid w:val="00A7734C"/>
    <w:rsid w:val="00A7747B"/>
    <w:rsid w:val="00A77C95"/>
    <w:rsid w:val="00A77D9B"/>
    <w:rsid w:val="00A77EFC"/>
    <w:rsid w:val="00A80071"/>
    <w:rsid w:val="00A80555"/>
    <w:rsid w:val="00A817C5"/>
    <w:rsid w:val="00A81B87"/>
    <w:rsid w:val="00A82884"/>
    <w:rsid w:val="00A829B9"/>
    <w:rsid w:val="00A829C6"/>
    <w:rsid w:val="00A8310B"/>
    <w:rsid w:val="00A835B1"/>
    <w:rsid w:val="00A83D5D"/>
    <w:rsid w:val="00A84251"/>
    <w:rsid w:val="00A848C3"/>
    <w:rsid w:val="00A85791"/>
    <w:rsid w:val="00A858E8"/>
    <w:rsid w:val="00A85F0F"/>
    <w:rsid w:val="00A85FCE"/>
    <w:rsid w:val="00A867FC"/>
    <w:rsid w:val="00A87044"/>
    <w:rsid w:val="00A87996"/>
    <w:rsid w:val="00A879DB"/>
    <w:rsid w:val="00A87A40"/>
    <w:rsid w:val="00A87B0B"/>
    <w:rsid w:val="00A9033D"/>
    <w:rsid w:val="00A909C4"/>
    <w:rsid w:val="00A90A3F"/>
    <w:rsid w:val="00A90E54"/>
    <w:rsid w:val="00A912F3"/>
    <w:rsid w:val="00A915EA"/>
    <w:rsid w:val="00A91D01"/>
    <w:rsid w:val="00A9269E"/>
    <w:rsid w:val="00A927C0"/>
    <w:rsid w:val="00A92858"/>
    <w:rsid w:val="00A92B5D"/>
    <w:rsid w:val="00A93316"/>
    <w:rsid w:val="00A93726"/>
    <w:rsid w:val="00A9400D"/>
    <w:rsid w:val="00A940F6"/>
    <w:rsid w:val="00A942A4"/>
    <w:rsid w:val="00A942D0"/>
    <w:rsid w:val="00A9444A"/>
    <w:rsid w:val="00A949EC"/>
    <w:rsid w:val="00A94BDA"/>
    <w:rsid w:val="00A94E1A"/>
    <w:rsid w:val="00A954F4"/>
    <w:rsid w:val="00A9562C"/>
    <w:rsid w:val="00A95919"/>
    <w:rsid w:val="00A95A58"/>
    <w:rsid w:val="00A95C78"/>
    <w:rsid w:val="00A96339"/>
    <w:rsid w:val="00A96A2A"/>
    <w:rsid w:val="00A96C25"/>
    <w:rsid w:val="00A96D8D"/>
    <w:rsid w:val="00A97026"/>
    <w:rsid w:val="00A97209"/>
    <w:rsid w:val="00A9721D"/>
    <w:rsid w:val="00A975ED"/>
    <w:rsid w:val="00A9775B"/>
    <w:rsid w:val="00A97843"/>
    <w:rsid w:val="00A978E0"/>
    <w:rsid w:val="00A97B42"/>
    <w:rsid w:val="00A97D44"/>
    <w:rsid w:val="00AA068B"/>
    <w:rsid w:val="00AA08DF"/>
    <w:rsid w:val="00AA1152"/>
    <w:rsid w:val="00AA1B4F"/>
    <w:rsid w:val="00AA1E7B"/>
    <w:rsid w:val="00AA2B0D"/>
    <w:rsid w:val="00AA375B"/>
    <w:rsid w:val="00AA3877"/>
    <w:rsid w:val="00AA3E49"/>
    <w:rsid w:val="00AA3F8B"/>
    <w:rsid w:val="00AA43C8"/>
    <w:rsid w:val="00AA495D"/>
    <w:rsid w:val="00AA4F5C"/>
    <w:rsid w:val="00AA51E3"/>
    <w:rsid w:val="00AA5682"/>
    <w:rsid w:val="00AA57C6"/>
    <w:rsid w:val="00AA5967"/>
    <w:rsid w:val="00AA5A2E"/>
    <w:rsid w:val="00AA5EEB"/>
    <w:rsid w:val="00AA6169"/>
    <w:rsid w:val="00AA61BD"/>
    <w:rsid w:val="00AA64CF"/>
    <w:rsid w:val="00AA70BD"/>
    <w:rsid w:val="00AA7922"/>
    <w:rsid w:val="00AB0118"/>
    <w:rsid w:val="00AB015D"/>
    <w:rsid w:val="00AB0C18"/>
    <w:rsid w:val="00AB0F2D"/>
    <w:rsid w:val="00AB11AF"/>
    <w:rsid w:val="00AB1427"/>
    <w:rsid w:val="00AB169A"/>
    <w:rsid w:val="00AB1F75"/>
    <w:rsid w:val="00AB21C5"/>
    <w:rsid w:val="00AB274D"/>
    <w:rsid w:val="00AB295F"/>
    <w:rsid w:val="00AB329D"/>
    <w:rsid w:val="00AB32F4"/>
    <w:rsid w:val="00AB35F9"/>
    <w:rsid w:val="00AB3608"/>
    <w:rsid w:val="00AB3912"/>
    <w:rsid w:val="00AB3BBE"/>
    <w:rsid w:val="00AB47D5"/>
    <w:rsid w:val="00AB4DD5"/>
    <w:rsid w:val="00AB4E8F"/>
    <w:rsid w:val="00AB5093"/>
    <w:rsid w:val="00AB50C1"/>
    <w:rsid w:val="00AB527E"/>
    <w:rsid w:val="00AB52C3"/>
    <w:rsid w:val="00AB55AD"/>
    <w:rsid w:val="00AB5695"/>
    <w:rsid w:val="00AB5777"/>
    <w:rsid w:val="00AB5B78"/>
    <w:rsid w:val="00AB6287"/>
    <w:rsid w:val="00AB666B"/>
    <w:rsid w:val="00AB6872"/>
    <w:rsid w:val="00AB68F0"/>
    <w:rsid w:val="00AB6ADC"/>
    <w:rsid w:val="00AB6AE1"/>
    <w:rsid w:val="00AB74A1"/>
    <w:rsid w:val="00AB750E"/>
    <w:rsid w:val="00AB781B"/>
    <w:rsid w:val="00AB78AF"/>
    <w:rsid w:val="00AC06C0"/>
    <w:rsid w:val="00AC0984"/>
    <w:rsid w:val="00AC0DCC"/>
    <w:rsid w:val="00AC1439"/>
    <w:rsid w:val="00AC1609"/>
    <w:rsid w:val="00AC1841"/>
    <w:rsid w:val="00AC1AD1"/>
    <w:rsid w:val="00AC1B29"/>
    <w:rsid w:val="00AC2E4A"/>
    <w:rsid w:val="00AC35D5"/>
    <w:rsid w:val="00AC3773"/>
    <w:rsid w:val="00AC3A28"/>
    <w:rsid w:val="00AC3AB5"/>
    <w:rsid w:val="00AC3C6D"/>
    <w:rsid w:val="00AC3E24"/>
    <w:rsid w:val="00AC40CE"/>
    <w:rsid w:val="00AC4138"/>
    <w:rsid w:val="00AC450B"/>
    <w:rsid w:val="00AC49E1"/>
    <w:rsid w:val="00AC4B0B"/>
    <w:rsid w:val="00AC4F18"/>
    <w:rsid w:val="00AC4FCB"/>
    <w:rsid w:val="00AC50DC"/>
    <w:rsid w:val="00AC58B6"/>
    <w:rsid w:val="00AC61AF"/>
    <w:rsid w:val="00AC6322"/>
    <w:rsid w:val="00AC6A74"/>
    <w:rsid w:val="00AC6C8E"/>
    <w:rsid w:val="00AC7186"/>
    <w:rsid w:val="00AC7846"/>
    <w:rsid w:val="00AC78F5"/>
    <w:rsid w:val="00AD0220"/>
    <w:rsid w:val="00AD022D"/>
    <w:rsid w:val="00AD066F"/>
    <w:rsid w:val="00AD0711"/>
    <w:rsid w:val="00AD0A03"/>
    <w:rsid w:val="00AD0BF4"/>
    <w:rsid w:val="00AD0DF1"/>
    <w:rsid w:val="00AD1384"/>
    <w:rsid w:val="00AD14F1"/>
    <w:rsid w:val="00AD1FF6"/>
    <w:rsid w:val="00AD202C"/>
    <w:rsid w:val="00AD237E"/>
    <w:rsid w:val="00AD24B2"/>
    <w:rsid w:val="00AD277B"/>
    <w:rsid w:val="00AD2796"/>
    <w:rsid w:val="00AD2C25"/>
    <w:rsid w:val="00AD2EAA"/>
    <w:rsid w:val="00AD34E6"/>
    <w:rsid w:val="00AD3509"/>
    <w:rsid w:val="00AD351E"/>
    <w:rsid w:val="00AD3C3A"/>
    <w:rsid w:val="00AD40F3"/>
    <w:rsid w:val="00AD4737"/>
    <w:rsid w:val="00AD4A21"/>
    <w:rsid w:val="00AD4D31"/>
    <w:rsid w:val="00AD50F9"/>
    <w:rsid w:val="00AD5BBD"/>
    <w:rsid w:val="00AD5CE9"/>
    <w:rsid w:val="00AD5E45"/>
    <w:rsid w:val="00AD5EA1"/>
    <w:rsid w:val="00AD6ED4"/>
    <w:rsid w:val="00AD6F7F"/>
    <w:rsid w:val="00AD75B1"/>
    <w:rsid w:val="00AD76C7"/>
    <w:rsid w:val="00AD7987"/>
    <w:rsid w:val="00AE06BB"/>
    <w:rsid w:val="00AE0C3B"/>
    <w:rsid w:val="00AE0F14"/>
    <w:rsid w:val="00AE1198"/>
    <w:rsid w:val="00AE177D"/>
    <w:rsid w:val="00AE1BB1"/>
    <w:rsid w:val="00AE24A9"/>
    <w:rsid w:val="00AE2935"/>
    <w:rsid w:val="00AE2D38"/>
    <w:rsid w:val="00AE3581"/>
    <w:rsid w:val="00AE3719"/>
    <w:rsid w:val="00AE3D42"/>
    <w:rsid w:val="00AE4081"/>
    <w:rsid w:val="00AE4130"/>
    <w:rsid w:val="00AE41E1"/>
    <w:rsid w:val="00AE422C"/>
    <w:rsid w:val="00AE4B25"/>
    <w:rsid w:val="00AE4DAB"/>
    <w:rsid w:val="00AE4DE6"/>
    <w:rsid w:val="00AE4E90"/>
    <w:rsid w:val="00AE578E"/>
    <w:rsid w:val="00AE5F7C"/>
    <w:rsid w:val="00AE6796"/>
    <w:rsid w:val="00AE69BB"/>
    <w:rsid w:val="00AE6E07"/>
    <w:rsid w:val="00AE6F95"/>
    <w:rsid w:val="00AE750F"/>
    <w:rsid w:val="00AE7CAF"/>
    <w:rsid w:val="00AE7F8D"/>
    <w:rsid w:val="00AF0003"/>
    <w:rsid w:val="00AF0182"/>
    <w:rsid w:val="00AF0196"/>
    <w:rsid w:val="00AF0588"/>
    <w:rsid w:val="00AF0779"/>
    <w:rsid w:val="00AF07A7"/>
    <w:rsid w:val="00AF0BB7"/>
    <w:rsid w:val="00AF10DB"/>
    <w:rsid w:val="00AF1127"/>
    <w:rsid w:val="00AF17B0"/>
    <w:rsid w:val="00AF1BE5"/>
    <w:rsid w:val="00AF1D28"/>
    <w:rsid w:val="00AF20F0"/>
    <w:rsid w:val="00AF24DD"/>
    <w:rsid w:val="00AF3141"/>
    <w:rsid w:val="00AF34E0"/>
    <w:rsid w:val="00AF3597"/>
    <w:rsid w:val="00AF3CF0"/>
    <w:rsid w:val="00AF4046"/>
    <w:rsid w:val="00AF4259"/>
    <w:rsid w:val="00AF47B3"/>
    <w:rsid w:val="00AF4C0C"/>
    <w:rsid w:val="00AF5102"/>
    <w:rsid w:val="00AF5541"/>
    <w:rsid w:val="00AF5780"/>
    <w:rsid w:val="00AF5A60"/>
    <w:rsid w:val="00AF5A95"/>
    <w:rsid w:val="00AF5EBD"/>
    <w:rsid w:val="00AF601D"/>
    <w:rsid w:val="00AF63D8"/>
    <w:rsid w:val="00AF64A6"/>
    <w:rsid w:val="00AF670F"/>
    <w:rsid w:val="00AF6A61"/>
    <w:rsid w:val="00AF6B8F"/>
    <w:rsid w:val="00AF7249"/>
    <w:rsid w:val="00B00AB8"/>
    <w:rsid w:val="00B00B47"/>
    <w:rsid w:val="00B0143A"/>
    <w:rsid w:val="00B018EE"/>
    <w:rsid w:val="00B01DA4"/>
    <w:rsid w:val="00B01F08"/>
    <w:rsid w:val="00B02815"/>
    <w:rsid w:val="00B02BC9"/>
    <w:rsid w:val="00B0308E"/>
    <w:rsid w:val="00B031F0"/>
    <w:rsid w:val="00B035BD"/>
    <w:rsid w:val="00B03DF9"/>
    <w:rsid w:val="00B04111"/>
    <w:rsid w:val="00B0424A"/>
    <w:rsid w:val="00B0523E"/>
    <w:rsid w:val="00B057C0"/>
    <w:rsid w:val="00B057C6"/>
    <w:rsid w:val="00B05BD3"/>
    <w:rsid w:val="00B064A7"/>
    <w:rsid w:val="00B064EC"/>
    <w:rsid w:val="00B0669E"/>
    <w:rsid w:val="00B066C2"/>
    <w:rsid w:val="00B06C97"/>
    <w:rsid w:val="00B07992"/>
    <w:rsid w:val="00B07C62"/>
    <w:rsid w:val="00B07D6F"/>
    <w:rsid w:val="00B101FC"/>
    <w:rsid w:val="00B108A3"/>
    <w:rsid w:val="00B10964"/>
    <w:rsid w:val="00B10A07"/>
    <w:rsid w:val="00B10B9D"/>
    <w:rsid w:val="00B10E5D"/>
    <w:rsid w:val="00B1135B"/>
    <w:rsid w:val="00B114A7"/>
    <w:rsid w:val="00B118AC"/>
    <w:rsid w:val="00B11CA5"/>
    <w:rsid w:val="00B11F2A"/>
    <w:rsid w:val="00B11F69"/>
    <w:rsid w:val="00B122EA"/>
    <w:rsid w:val="00B123F6"/>
    <w:rsid w:val="00B12A21"/>
    <w:rsid w:val="00B12E4C"/>
    <w:rsid w:val="00B130D9"/>
    <w:rsid w:val="00B13888"/>
    <w:rsid w:val="00B13A0E"/>
    <w:rsid w:val="00B13F2B"/>
    <w:rsid w:val="00B141DB"/>
    <w:rsid w:val="00B14398"/>
    <w:rsid w:val="00B1477D"/>
    <w:rsid w:val="00B14873"/>
    <w:rsid w:val="00B155E9"/>
    <w:rsid w:val="00B15815"/>
    <w:rsid w:val="00B15FD1"/>
    <w:rsid w:val="00B162E0"/>
    <w:rsid w:val="00B16586"/>
    <w:rsid w:val="00B16A38"/>
    <w:rsid w:val="00B16CB8"/>
    <w:rsid w:val="00B1717B"/>
    <w:rsid w:val="00B2018E"/>
    <w:rsid w:val="00B20620"/>
    <w:rsid w:val="00B208BD"/>
    <w:rsid w:val="00B208C3"/>
    <w:rsid w:val="00B20BA0"/>
    <w:rsid w:val="00B20F0A"/>
    <w:rsid w:val="00B21E31"/>
    <w:rsid w:val="00B21EB4"/>
    <w:rsid w:val="00B229B4"/>
    <w:rsid w:val="00B22B49"/>
    <w:rsid w:val="00B22D7A"/>
    <w:rsid w:val="00B236FF"/>
    <w:rsid w:val="00B23760"/>
    <w:rsid w:val="00B23F8B"/>
    <w:rsid w:val="00B24A00"/>
    <w:rsid w:val="00B2508F"/>
    <w:rsid w:val="00B25826"/>
    <w:rsid w:val="00B25AA6"/>
    <w:rsid w:val="00B2647F"/>
    <w:rsid w:val="00B264FE"/>
    <w:rsid w:val="00B26CD5"/>
    <w:rsid w:val="00B272C7"/>
    <w:rsid w:val="00B2735F"/>
    <w:rsid w:val="00B27364"/>
    <w:rsid w:val="00B27A86"/>
    <w:rsid w:val="00B27E48"/>
    <w:rsid w:val="00B3005E"/>
    <w:rsid w:val="00B301D0"/>
    <w:rsid w:val="00B3044E"/>
    <w:rsid w:val="00B3132F"/>
    <w:rsid w:val="00B313A3"/>
    <w:rsid w:val="00B3144B"/>
    <w:rsid w:val="00B315FE"/>
    <w:rsid w:val="00B31766"/>
    <w:rsid w:val="00B322AE"/>
    <w:rsid w:val="00B32517"/>
    <w:rsid w:val="00B32766"/>
    <w:rsid w:val="00B327EB"/>
    <w:rsid w:val="00B32DF0"/>
    <w:rsid w:val="00B32FAA"/>
    <w:rsid w:val="00B33363"/>
    <w:rsid w:val="00B34107"/>
    <w:rsid w:val="00B3460E"/>
    <w:rsid w:val="00B34693"/>
    <w:rsid w:val="00B34BA9"/>
    <w:rsid w:val="00B34F62"/>
    <w:rsid w:val="00B34FB5"/>
    <w:rsid w:val="00B3524C"/>
    <w:rsid w:val="00B3526A"/>
    <w:rsid w:val="00B353B9"/>
    <w:rsid w:val="00B353FB"/>
    <w:rsid w:val="00B354BA"/>
    <w:rsid w:val="00B359C9"/>
    <w:rsid w:val="00B35D05"/>
    <w:rsid w:val="00B363D0"/>
    <w:rsid w:val="00B36817"/>
    <w:rsid w:val="00B36C79"/>
    <w:rsid w:val="00B370F0"/>
    <w:rsid w:val="00B37832"/>
    <w:rsid w:val="00B379D7"/>
    <w:rsid w:val="00B4086A"/>
    <w:rsid w:val="00B40A04"/>
    <w:rsid w:val="00B40AC3"/>
    <w:rsid w:val="00B40C20"/>
    <w:rsid w:val="00B40C23"/>
    <w:rsid w:val="00B41010"/>
    <w:rsid w:val="00B41375"/>
    <w:rsid w:val="00B41DEE"/>
    <w:rsid w:val="00B41F76"/>
    <w:rsid w:val="00B4236B"/>
    <w:rsid w:val="00B437F6"/>
    <w:rsid w:val="00B43B57"/>
    <w:rsid w:val="00B43C90"/>
    <w:rsid w:val="00B441D1"/>
    <w:rsid w:val="00B442A0"/>
    <w:rsid w:val="00B448A1"/>
    <w:rsid w:val="00B44948"/>
    <w:rsid w:val="00B44AED"/>
    <w:rsid w:val="00B44CE7"/>
    <w:rsid w:val="00B44FC9"/>
    <w:rsid w:val="00B45071"/>
    <w:rsid w:val="00B450A7"/>
    <w:rsid w:val="00B452BC"/>
    <w:rsid w:val="00B45488"/>
    <w:rsid w:val="00B454DF"/>
    <w:rsid w:val="00B4592D"/>
    <w:rsid w:val="00B45ACD"/>
    <w:rsid w:val="00B45D17"/>
    <w:rsid w:val="00B45E51"/>
    <w:rsid w:val="00B45EDC"/>
    <w:rsid w:val="00B45F67"/>
    <w:rsid w:val="00B4663A"/>
    <w:rsid w:val="00B46CA4"/>
    <w:rsid w:val="00B475FE"/>
    <w:rsid w:val="00B4787D"/>
    <w:rsid w:val="00B47B65"/>
    <w:rsid w:val="00B5021C"/>
    <w:rsid w:val="00B50615"/>
    <w:rsid w:val="00B507A1"/>
    <w:rsid w:val="00B50BBD"/>
    <w:rsid w:val="00B50E01"/>
    <w:rsid w:val="00B51B11"/>
    <w:rsid w:val="00B51BEF"/>
    <w:rsid w:val="00B51D3F"/>
    <w:rsid w:val="00B51F61"/>
    <w:rsid w:val="00B5215A"/>
    <w:rsid w:val="00B52E84"/>
    <w:rsid w:val="00B52FD7"/>
    <w:rsid w:val="00B531C1"/>
    <w:rsid w:val="00B53AED"/>
    <w:rsid w:val="00B540C7"/>
    <w:rsid w:val="00B5457E"/>
    <w:rsid w:val="00B54937"/>
    <w:rsid w:val="00B54A31"/>
    <w:rsid w:val="00B54C91"/>
    <w:rsid w:val="00B55580"/>
    <w:rsid w:val="00B55AF8"/>
    <w:rsid w:val="00B55E30"/>
    <w:rsid w:val="00B55F67"/>
    <w:rsid w:val="00B5603A"/>
    <w:rsid w:val="00B5608C"/>
    <w:rsid w:val="00B560FD"/>
    <w:rsid w:val="00B570FA"/>
    <w:rsid w:val="00B573CE"/>
    <w:rsid w:val="00B5766F"/>
    <w:rsid w:val="00B57A89"/>
    <w:rsid w:val="00B57A98"/>
    <w:rsid w:val="00B57E17"/>
    <w:rsid w:val="00B600C2"/>
    <w:rsid w:val="00B604B2"/>
    <w:rsid w:val="00B6088F"/>
    <w:rsid w:val="00B609A2"/>
    <w:rsid w:val="00B60B07"/>
    <w:rsid w:val="00B60FD0"/>
    <w:rsid w:val="00B616B0"/>
    <w:rsid w:val="00B61788"/>
    <w:rsid w:val="00B61794"/>
    <w:rsid w:val="00B61AB3"/>
    <w:rsid w:val="00B62556"/>
    <w:rsid w:val="00B6291B"/>
    <w:rsid w:val="00B62AFC"/>
    <w:rsid w:val="00B62B27"/>
    <w:rsid w:val="00B62BD4"/>
    <w:rsid w:val="00B62EC5"/>
    <w:rsid w:val="00B63898"/>
    <w:rsid w:val="00B639DB"/>
    <w:rsid w:val="00B63BBA"/>
    <w:rsid w:val="00B63DD7"/>
    <w:rsid w:val="00B641D9"/>
    <w:rsid w:val="00B645F5"/>
    <w:rsid w:val="00B6461F"/>
    <w:rsid w:val="00B64C07"/>
    <w:rsid w:val="00B6538D"/>
    <w:rsid w:val="00B65555"/>
    <w:rsid w:val="00B6557B"/>
    <w:rsid w:val="00B659B0"/>
    <w:rsid w:val="00B65D08"/>
    <w:rsid w:val="00B65DA8"/>
    <w:rsid w:val="00B6626A"/>
    <w:rsid w:val="00B6648B"/>
    <w:rsid w:val="00B66651"/>
    <w:rsid w:val="00B66EE8"/>
    <w:rsid w:val="00B679E3"/>
    <w:rsid w:val="00B67A8C"/>
    <w:rsid w:val="00B67B72"/>
    <w:rsid w:val="00B70232"/>
    <w:rsid w:val="00B70556"/>
    <w:rsid w:val="00B7073D"/>
    <w:rsid w:val="00B707C0"/>
    <w:rsid w:val="00B70AB0"/>
    <w:rsid w:val="00B70F37"/>
    <w:rsid w:val="00B719AC"/>
    <w:rsid w:val="00B71A86"/>
    <w:rsid w:val="00B72551"/>
    <w:rsid w:val="00B72D25"/>
    <w:rsid w:val="00B73BA4"/>
    <w:rsid w:val="00B741FC"/>
    <w:rsid w:val="00B74A6B"/>
    <w:rsid w:val="00B753D8"/>
    <w:rsid w:val="00B75EDF"/>
    <w:rsid w:val="00B76021"/>
    <w:rsid w:val="00B769BE"/>
    <w:rsid w:val="00B76B8E"/>
    <w:rsid w:val="00B76CA9"/>
    <w:rsid w:val="00B76CF9"/>
    <w:rsid w:val="00B76DF1"/>
    <w:rsid w:val="00B777B4"/>
    <w:rsid w:val="00B77A6D"/>
    <w:rsid w:val="00B77A94"/>
    <w:rsid w:val="00B800D7"/>
    <w:rsid w:val="00B80291"/>
    <w:rsid w:val="00B808C9"/>
    <w:rsid w:val="00B80D35"/>
    <w:rsid w:val="00B80E06"/>
    <w:rsid w:val="00B80EB6"/>
    <w:rsid w:val="00B823E5"/>
    <w:rsid w:val="00B82C21"/>
    <w:rsid w:val="00B82D52"/>
    <w:rsid w:val="00B82E37"/>
    <w:rsid w:val="00B82FF5"/>
    <w:rsid w:val="00B833DB"/>
    <w:rsid w:val="00B836E6"/>
    <w:rsid w:val="00B84C32"/>
    <w:rsid w:val="00B84D7D"/>
    <w:rsid w:val="00B85183"/>
    <w:rsid w:val="00B853D5"/>
    <w:rsid w:val="00B854AC"/>
    <w:rsid w:val="00B858D2"/>
    <w:rsid w:val="00B85BA8"/>
    <w:rsid w:val="00B85C7E"/>
    <w:rsid w:val="00B85FBD"/>
    <w:rsid w:val="00B86545"/>
    <w:rsid w:val="00B867DF"/>
    <w:rsid w:val="00B8686A"/>
    <w:rsid w:val="00B86B9D"/>
    <w:rsid w:val="00B875B2"/>
    <w:rsid w:val="00B8762D"/>
    <w:rsid w:val="00B87BBF"/>
    <w:rsid w:val="00B87BCD"/>
    <w:rsid w:val="00B900E2"/>
    <w:rsid w:val="00B90AE3"/>
    <w:rsid w:val="00B90C8B"/>
    <w:rsid w:val="00B90DAF"/>
    <w:rsid w:val="00B90F29"/>
    <w:rsid w:val="00B919B7"/>
    <w:rsid w:val="00B92258"/>
    <w:rsid w:val="00B92461"/>
    <w:rsid w:val="00B9263B"/>
    <w:rsid w:val="00B92ECA"/>
    <w:rsid w:val="00B92F02"/>
    <w:rsid w:val="00B93823"/>
    <w:rsid w:val="00B93A1C"/>
    <w:rsid w:val="00B93E7B"/>
    <w:rsid w:val="00B94170"/>
    <w:rsid w:val="00B94410"/>
    <w:rsid w:val="00B944DD"/>
    <w:rsid w:val="00B94D31"/>
    <w:rsid w:val="00B94EAC"/>
    <w:rsid w:val="00B94EFF"/>
    <w:rsid w:val="00B95431"/>
    <w:rsid w:val="00B95FA0"/>
    <w:rsid w:val="00B96245"/>
    <w:rsid w:val="00B964F2"/>
    <w:rsid w:val="00B96811"/>
    <w:rsid w:val="00B96A73"/>
    <w:rsid w:val="00B97078"/>
    <w:rsid w:val="00B9748A"/>
    <w:rsid w:val="00B97724"/>
    <w:rsid w:val="00B978C9"/>
    <w:rsid w:val="00B97C4B"/>
    <w:rsid w:val="00BA007B"/>
    <w:rsid w:val="00BA0967"/>
    <w:rsid w:val="00BA0CBF"/>
    <w:rsid w:val="00BA148B"/>
    <w:rsid w:val="00BA1567"/>
    <w:rsid w:val="00BA161A"/>
    <w:rsid w:val="00BA1720"/>
    <w:rsid w:val="00BA1B87"/>
    <w:rsid w:val="00BA21C6"/>
    <w:rsid w:val="00BA23C5"/>
    <w:rsid w:val="00BA337B"/>
    <w:rsid w:val="00BA344D"/>
    <w:rsid w:val="00BA4069"/>
    <w:rsid w:val="00BA406F"/>
    <w:rsid w:val="00BA4684"/>
    <w:rsid w:val="00BA4B6F"/>
    <w:rsid w:val="00BA4C2A"/>
    <w:rsid w:val="00BA5B0D"/>
    <w:rsid w:val="00BA5C4B"/>
    <w:rsid w:val="00BA5F43"/>
    <w:rsid w:val="00BA62D2"/>
    <w:rsid w:val="00BA65F2"/>
    <w:rsid w:val="00BA66D6"/>
    <w:rsid w:val="00BA68F1"/>
    <w:rsid w:val="00BA7434"/>
    <w:rsid w:val="00BA7E87"/>
    <w:rsid w:val="00BB01E3"/>
    <w:rsid w:val="00BB03FD"/>
    <w:rsid w:val="00BB0609"/>
    <w:rsid w:val="00BB1527"/>
    <w:rsid w:val="00BB19F3"/>
    <w:rsid w:val="00BB1BDD"/>
    <w:rsid w:val="00BB2F55"/>
    <w:rsid w:val="00BB37CA"/>
    <w:rsid w:val="00BB3B74"/>
    <w:rsid w:val="00BB3C2D"/>
    <w:rsid w:val="00BB4332"/>
    <w:rsid w:val="00BB47E5"/>
    <w:rsid w:val="00BB50FA"/>
    <w:rsid w:val="00BB5239"/>
    <w:rsid w:val="00BB5428"/>
    <w:rsid w:val="00BB564A"/>
    <w:rsid w:val="00BB5E44"/>
    <w:rsid w:val="00BB5F70"/>
    <w:rsid w:val="00BB6BB7"/>
    <w:rsid w:val="00BB6BE7"/>
    <w:rsid w:val="00BB6D01"/>
    <w:rsid w:val="00BB70BA"/>
    <w:rsid w:val="00BB729B"/>
    <w:rsid w:val="00BB7416"/>
    <w:rsid w:val="00BB762C"/>
    <w:rsid w:val="00BB7659"/>
    <w:rsid w:val="00BB7964"/>
    <w:rsid w:val="00BC03B7"/>
    <w:rsid w:val="00BC05A4"/>
    <w:rsid w:val="00BC0A85"/>
    <w:rsid w:val="00BC0C88"/>
    <w:rsid w:val="00BC1272"/>
    <w:rsid w:val="00BC1D0A"/>
    <w:rsid w:val="00BC2016"/>
    <w:rsid w:val="00BC22B5"/>
    <w:rsid w:val="00BC2706"/>
    <w:rsid w:val="00BC2B50"/>
    <w:rsid w:val="00BC2ED2"/>
    <w:rsid w:val="00BC3391"/>
    <w:rsid w:val="00BC3ECB"/>
    <w:rsid w:val="00BC430D"/>
    <w:rsid w:val="00BC4DAA"/>
    <w:rsid w:val="00BC4FCE"/>
    <w:rsid w:val="00BC53DB"/>
    <w:rsid w:val="00BC5710"/>
    <w:rsid w:val="00BC5B1F"/>
    <w:rsid w:val="00BC5BBC"/>
    <w:rsid w:val="00BC61CC"/>
    <w:rsid w:val="00BC65E8"/>
    <w:rsid w:val="00BC668F"/>
    <w:rsid w:val="00BC6872"/>
    <w:rsid w:val="00BC6A61"/>
    <w:rsid w:val="00BC7181"/>
    <w:rsid w:val="00BC7446"/>
    <w:rsid w:val="00BC756A"/>
    <w:rsid w:val="00BD038F"/>
    <w:rsid w:val="00BD03A2"/>
    <w:rsid w:val="00BD0DEC"/>
    <w:rsid w:val="00BD106C"/>
    <w:rsid w:val="00BD107F"/>
    <w:rsid w:val="00BD1532"/>
    <w:rsid w:val="00BD161D"/>
    <w:rsid w:val="00BD1725"/>
    <w:rsid w:val="00BD185F"/>
    <w:rsid w:val="00BD1863"/>
    <w:rsid w:val="00BD1EA9"/>
    <w:rsid w:val="00BD20B0"/>
    <w:rsid w:val="00BD2350"/>
    <w:rsid w:val="00BD2879"/>
    <w:rsid w:val="00BD2980"/>
    <w:rsid w:val="00BD2991"/>
    <w:rsid w:val="00BD2A1A"/>
    <w:rsid w:val="00BD2D68"/>
    <w:rsid w:val="00BD2E53"/>
    <w:rsid w:val="00BD2ED5"/>
    <w:rsid w:val="00BD2FF5"/>
    <w:rsid w:val="00BD3358"/>
    <w:rsid w:val="00BD364C"/>
    <w:rsid w:val="00BD3C88"/>
    <w:rsid w:val="00BD4088"/>
    <w:rsid w:val="00BD48AF"/>
    <w:rsid w:val="00BD4AD6"/>
    <w:rsid w:val="00BD4EFE"/>
    <w:rsid w:val="00BD5220"/>
    <w:rsid w:val="00BD5B32"/>
    <w:rsid w:val="00BD608B"/>
    <w:rsid w:val="00BD63A6"/>
    <w:rsid w:val="00BD63D8"/>
    <w:rsid w:val="00BD6F4F"/>
    <w:rsid w:val="00BE0496"/>
    <w:rsid w:val="00BE09A1"/>
    <w:rsid w:val="00BE0EC4"/>
    <w:rsid w:val="00BE1138"/>
    <w:rsid w:val="00BE16B8"/>
    <w:rsid w:val="00BE2088"/>
    <w:rsid w:val="00BE21FD"/>
    <w:rsid w:val="00BE27DC"/>
    <w:rsid w:val="00BE2DAD"/>
    <w:rsid w:val="00BE3218"/>
    <w:rsid w:val="00BE35CF"/>
    <w:rsid w:val="00BE3FDD"/>
    <w:rsid w:val="00BE427A"/>
    <w:rsid w:val="00BE4AA9"/>
    <w:rsid w:val="00BE4AC0"/>
    <w:rsid w:val="00BE4BB5"/>
    <w:rsid w:val="00BE4C64"/>
    <w:rsid w:val="00BE4E41"/>
    <w:rsid w:val="00BE5547"/>
    <w:rsid w:val="00BE633F"/>
    <w:rsid w:val="00BE6B35"/>
    <w:rsid w:val="00BE6C53"/>
    <w:rsid w:val="00BE6C73"/>
    <w:rsid w:val="00BE6F3D"/>
    <w:rsid w:val="00BE7362"/>
    <w:rsid w:val="00BE76AF"/>
    <w:rsid w:val="00BE7884"/>
    <w:rsid w:val="00BF051A"/>
    <w:rsid w:val="00BF0550"/>
    <w:rsid w:val="00BF0A12"/>
    <w:rsid w:val="00BF0D97"/>
    <w:rsid w:val="00BF0E1A"/>
    <w:rsid w:val="00BF1203"/>
    <w:rsid w:val="00BF1272"/>
    <w:rsid w:val="00BF1399"/>
    <w:rsid w:val="00BF1D88"/>
    <w:rsid w:val="00BF1D8D"/>
    <w:rsid w:val="00BF222A"/>
    <w:rsid w:val="00BF2E1B"/>
    <w:rsid w:val="00BF3191"/>
    <w:rsid w:val="00BF3659"/>
    <w:rsid w:val="00BF3887"/>
    <w:rsid w:val="00BF46C5"/>
    <w:rsid w:val="00BF485D"/>
    <w:rsid w:val="00BF4A6A"/>
    <w:rsid w:val="00BF4BA0"/>
    <w:rsid w:val="00BF4D9F"/>
    <w:rsid w:val="00BF51FE"/>
    <w:rsid w:val="00BF525C"/>
    <w:rsid w:val="00BF545E"/>
    <w:rsid w:val="00BF619E"/>
    <w:rsid w:val="00BF6A4B"/>
    <w:rsid w:val="00BF7336"/>
    <w:rsid w:val="00BF7957"/>
    <w:rsid w:val="00BF7A6E"/>
    <w:rsid w:val="00BF7ED7"/>
    <w:rsid w:val="00C002E3"/>
    <w:rsid w:val="00C0052E"/>
    <w:rsid w:val="00C00F54"/>
    <w:rsid w:val="00C01587"/>
    <w:rsid w:val="00C01619"/>
    <w:rsid w:val="00C01DF4"/>
    <w:rsid w:val="00C0205A"/>
    <w:rsid w:val="00C02BC8"/>
    <w:rsid w:val="00C0338E"/>
    <w:rsid w:val="00C03BF2"/>
    <w:rsid w:val="00C03FF7"/>
    <w:rsid w:val="00C04F4F"/>
    <w:rsid w:val="00C04F53"/>
    <w:rsid w:val="00C05332"/>
    <w:rsid w:val="00C05373"/>
    <w:rsid w:val="00C058EE"/>
    <w:rsid w:val="00C059DD"/>
    <w:rsid w:val="00C05B89"/>
    <w:rsid w:val="00C05BD5"/>
    <w:rsid w:val="00C05C9B"/>
    <w:rsid w:val="00C062A1"/>
    <w:rsid w:val="00C064B2"/>
    <w:rsid w:val="00C066DA"/>
    <w:rsid w:val="00C0689A"/>
    <w:rsid w:val="00C06B02"/>
    <w:rsid w:val="00C072F6"/>
    <w:rsid w:val="00C0733E"/>
    <w:rsid w:val="00C078A6"/>
    <w:rsid w:val="00C07A1E"/>
    <w:rsid w:val="00C07C58"/>
    <w:rsid w:val="00C07DD0"/>
    <w:rsid w:val="00C100C7"/>
    <w:rsid w:val="00C1012E"/>
    <w:rsid w:val="00C102C8"/>
    <w:rsid w:val="00C10372"/>
    <w:rsid w:val="00C106D8"/>
    <w:rsid w:val="00C109B4"/>
    <w:rsid w:val="00C1111C"/>
    <w:rsid w:val="00C11343"/>
    <w:rsid w:val="00C11A49"/>
    <w:rsid w:val="00C11D00"/>
    <w:rsid w:val="00C12173"/>
    <w:rsid w:val="00C121B8"/>
    <w:rsid w:val="00C1297B"/>
    <w:rsid w:val="00C13549"/>
    <w:rsid w:val="00C13588"/>
    <w:rsid w:val="00C1367D"/>
    <w:rsid w:val="00C138B7"/>
    <w:rsid w:val="00C13B33"/>
    <w:rsid w:val="00C13B6B"/>
    <w:rsid w:val="00C13B86"/>
    <w:rsid w:val="00C1523D"/>
    <w:rsid w:val="00C152FD"/>
    <w:rsid w:val="00C153C4"/>
    <w:rsid w:val="00C153FE"/>
    <w:rsid w:val="00C154E2"/>
    <w:rsid w:val="00C15A56"/>
    <w:rsid w:val="00C160E7"/>
    <w:rsid w:val="00C161D2"/>
    <w:rsid w:val="00C16241"/>
    <w:rsid w:val="00C16341"/>
    <w:rsid w:val="00C16669"/>
    <w:rsid w:val="00C1688F"/>
    <w:rsid w:val="00C16C96"/>
    <w:rsid w:val="00C178CE"/>
    <w:rsid w:val="00C17AB0"/>
    <w:rsid w:val="00C17C45"/>
    <w:rsid w:val="00C17D51"/>
    <w:rsid w:val="00C20653"/>
    <w:rsid w:val="00C214D2"/>
    <w:rsid w:val="00C214E3"/>
    <w:rsid w:val="00C21F72"/>
    <w:rsid w:val="00C21FF3"/>
    <w:rsid w:val="00C2214C"/>
    <w:rsid w:val="00C2227A"/>
    <w:rsid w:val="00C22538"/>
    <w:rsid w:val="00C225AD"/>
    <w:rsid w:val="00C229CC"/>
    <w:rsid w:val="00C22DF4"/>
    <w:rsid w:val="00C22EEC"/>
    <w:rsid w:val="00C2313F"/>
    <w:rsid w:val="00C23252"/>
    <w:rsid w:val="00C23443"/>
    <w:rsid w:val="00C23601"/>
    <w:rsid w:val="00C2400E"/>
    <w:rsid w:val="00C2432D"/>
    <w:rsid w:val="00C245CA"/>
    <w:rsid w:val="00C248A8"/>
    <w:rsid w:val="00C249D1"/>
    <w:rsid w:val="00C25367"/>
    <w:rsid w:val="00C26C60"/>
    <w:rsid w:val="00C27580"/>
    <w:rsid w:val="00C2785E"/>
    <w:rsid w:val="00C27A68"/>
    <w:rsid w:val="00C27CE8"/>
    <w:rsid w:val="00C27DA7"/>
    <w:rsid w:val="00C27F6D"/>
    <w:rsid w:val="00C30578"/>
    <w:rsid w:val="00C30C76"/>
    <w:rsid w:val="00C312AA"/>
    <w:rsid w:val="00C312F6"/>
    <w:rsid w:val="00C3145E"/>
    <w:rsid w:val="00C3151A"/>
    <w:rsid w:val="00C3188B"/>
    <w:rsid w:val="00C31BED"/>
    <w:rsid w:val="00C320BD"/>
    <w:rsid w:val="00C323EB"/>
    <w:rsid w:val="00C32711"/>
    <w:rsid w:val="00C327CF"/>
    <w:rsid w:val="00C32993"/>
    <w:rsid w:val="00C32BDF"/>
    <w:rsid w:val="00C33030"/>
    <w:rsid w:val="00C33450"/>
    <w:rsid w:val="00C33D2D"/>
    <w:rsid w:val="00C341EB"/>
    <w:rsid w:val="00C34C5F"/>
    <w:rsid w:val="00C34D54"/>
    <w:rsid w:val="00C3522C"/>
    <w:rsid w:val="00C356D9"/>
    <w:rsid w:val="00C35CCC"/>
    <w:rsid w:val="00C35D82"/>
    <w:rsid w:val="00C35F45"/>
    <w:rsid w:val="00C35F7B"/>
    <w:rsid w:val="00C366DE"/>
    <w:rsid w:val="00C36F07"/>
    <w:rsid w:val="00C3722C"/>
    <w:rsid w:val="00C37EE7"/>
    <w:rsid w:val="00C400CA"/>
    <w:rsid w:val="00C406C9"/>
    <w:rsid w:val="00C406D5"/>
    <w:rsid w:val="00C407C1"/>
    <w:rsid w:val="00C40A80"/>
    <w:rsid w:val="00C40F29"/>
    <w:rsid w:val="00C4115C"/>
    <w:rsid w:val="00C418AD"/>
    <w:rsid w:val="00C41E78"/>
    <w:rsid w:val="00C42439"/>
    <w:rsid w:val="00C42635"/>
    <w:rsid w:val="00C42713"/>
    <w:rsid w:val="00C42D3D"/>
    <w:rsid w:val="00C43AE3"/>
    <w:rsid w:val="00C44277"/>
    <w:rsid w:val="00C445C4"/>
    <w:rsid w:val="00C4477B"/>
    <w:rsid w:val="00C44A22"/>
    <w:rsid w:val="00C44EC0"/>
    <w:rsid w:val="00C45609"/>
    <w:rsid w:val="00C4574B"/>
    <w:rsid w:val="00C4594A"/>
    <w:rsid w:val="00C46037"/>
    <w:rsid w:val="00C46057"/>
    <w:rsid w:val="00C46356"/>
    <w:rsid w:val="00C4668D"/>
    <w:rsid w:val="00C46B09"/>
    <w:rsid w:val="00C46C21"/>
    <w:rsid w:val="00C46FC2"/>
    <w:rsid w:val="00C46FDE"/>
    <w:rsid w:val="00C46FDF"/>
    <w:rsid w:val="00C4711E"/>
    <w:rsid w:val="00C473B7"/>
    <w:rsid w:val="00C47D60"/>
    <w:rsid w:val="00C47E7B"/>
    <w:rsid w:val="00C5043A"/>
    <w:rsid w:val="00C50A56"/>
    <w:rsid w:val="00C51635"/>
    <w:rsid w:val="00C51B3B"/>
    <w:rsid w:val="00C51BE8"/>
    <w:rsid w:val="00C528CC"/>
    <w:rsid w:val="00C52AB2"/>
    <w:rsid w:val="00C52D86"/>
    <w:rsid w:val="00C5356C"/>
    <w:rsid w:val="00C53E00"/>
    <w:rsid w:val="00C54495"/>
    <w:rsid w:val="00C547A4"/>
    <w:rsid w:val="00C54903"/>
    <w:rsid w:val="00C54A75"/>
    <w:rsid w:val="00C54ECC"/>
    <w:rsid w:val="00C54FF8"/>
    <w:rsid w:val="00C5531F"/>
    <w:rsid w:val="00C56557"/>
    <w:rsid w:val="00C570EB"/>
    <w:rsid w:val="00C5735B"/>
    <w:rsid w:val="00C574AE"/>
    <w:rsid w:val="00C57983"/>
    <w:rsid w:val="00C57C9F"/>
    <w:rsid w:val="00C57D2C"/>
    <w:rsid w:val="00C57FA7"/>
    <w:rsid w:val="00C600E6"/>
    <w:rsid w:val="00C6012F"/>
    <w:rsid w:val="00C60273"/>
    <w:rsid w:val="00C60708"/>
    <w:rsid w:val="00C6071A"/>
    <w:rsid w:val="00C60D71"/>
    <w:rsid w:val="00C60DA3"/>
    <w:rsid w:val="00C60E91"/>
    <w:rsid w:val="00C60F46"/>
    <w:rsid w:val="00C6101A"/>
    <w:rsid w:val="00C6111B"/>
    <w:rsid w:val="00C61169"/>
    <w:rsid w:val="00C61562"/>
    <w:rsid w:val="00C6167F"/>
    <w:rsid w:val="00C619E6"/>
    <w:rsid w:val="00C61BD2"/>
    <w:rsid w:val="00C6225C"/>
    <w:rsid w:val="00C62B0C"/>
    <w:rsid w:val="00C62D5C"/>
    <w:rsid w:val="00C62F71"/>
    <w:rsid w:val="00C63072"/>
    <w:rsid w:val="00C63296"/>
    <w:rsid w:val="00C63386"/>
    <w:rsid w:val="00C638DB"/>
    <w:rsid w:val="00C63A70"/>
    <w:rsid w:val="00C63AEA"/>
    <w:rsid w:val="00C63FB6"/>
    <w:rsid w:val="00C64195"/>
    <w:rsid w:val="00C641AA"/>
    <w:rsid w:val="00C646D3"/>
    <w:rsid w:val="00C64758"/>
    <w:rsid w:val="00C64F46"/>
    <w:rsid w:val="00C65AE3"/>
    <w:rsid w:val="00C65D3A"/>
    <w:rsid w:val="00C663E0"/>
    <w:rsid w:val="00C66D13"/>
    <w:rsid w:val="00C671E0"/>
    <w:rsid w:val="00C67639"/>
    <w:rsid w:val="00C70243"/>
    <w:rsid w:val="00C7040F"/>
    <w:rsid w:val="00C70419"/>
    <w:rsid w:val="00C7046F"/>
    <w:rsid w:val="00C7056C"/>
    <w:rsid w:val="00C7064A"/>
    <w:rsid w:val="00C70736"/>
    <w:rsid w:val="00C708CE"/>
    <w:rsid w:val="00C70A65"/>
    <w:rsid w:val="00C70C2E"/>
    <w:rsid w:val="00C70D8D"/>
    <w:rsid w:val="00C70DD5"/>
    <w:rsid w:val="00C70E49"/>
    <w:rsid w:val="00C70F3C"/>
    <w:rsid w:val="00C7100C"/>
    <w:rsid w:val="00C7107B"/>
    <w:rsid w:val="00C71EF1"/>
    <w:rsid w:val="00C71F8C"/>
    <w:rsid w:val="00C721C1"/>
    <w:rsid w:val="00C72270"/>
    <w:rsid w:val="00C723FB"/>
    <w:rsid w:val="00C73187"/>
    <w:rsid w:val="00C735EC"/>
    <w:rsid w:val="00C736D0"/>
    <w:rsid w:val="00C73862"/>
    <w:rsid w:val="00C73CF9"/>
    <w:rsid w:val="00C74193"/>
    <w:rsid w:val="00C747FB"/>
    <w:rsid w:val="00C74BD7"/>
    <w:rsid w:val="00C74CDE"/>
    <w:rsid w:val="00C74ECA"/>
    <w:rsid w:val="00C75701"/>
    <w:rsid w:val="00C75EB6"/>
    <w:rsid w:val="00C76239"/>
    <w:rsid w:val="00C76F7D"/>
    <w:rsid w:val="00C771DC"/>
    <w:rsid w:val="00C7725C"/>
    <w:rsid w:val="00C77591"/>
    <w:rsid w:val="00C77A6F"/>
    <w:rsid w:val="00C77DD1"/>
    <w:rsid w:val="00C8000F"/>
    <w:rsid w:val="00C80135"/>
    <w:rsid w:val="00C8058C"/>
    <w:rsid w:val="00C805A5"/>
    <w:rsid w:val="00C808A1"/>
    <w:rsid w:val="00C81082"/>
    <w:rsid w:val="00C811ED"/>
    <w:rsid w:val="00C81278"/>
    <w:rsid w:val="00C81AEE"/>
    <w:rsid w:val="00C81CF8"/>
    <w:rsid w:val="00C81E9A"/>
    <w:rsid w:val="00C81EF4"/>
    <w:rsid w:val="00C82289"/>
    <w:rsid w:val="00C824C1"/>
    <w:rsid w:val="00C82775"/>
    <w:rsid w:val="00C82A3D"/>
    <w:rsid w:val="00C82BEF"/>
    <w:rsid w:val="00C832AF"/>
    <w:rsid w:val="00C83857"/>
    <w:rsid w:val="00C84C6E"/>
    <w:rsid w:val="00C84CF0"/>
    <w:rsid w:val="00C8511A"/>
    <w:rsid w:val="00C85C7A"/>
    <w:rsid w:val="00C85D7C"/>
    <w:rsid w:val="00C868FF"/>
    <w:rsid w:val="00C86BC1"/>
    <w:rsid w:val="00C86DBF"/>
    <w:rsid w:val="00C878AA"/>
    <w:rsid w:val="00C905BA"/>
    <w:rsid w:val="00C905BE"/>
    <w:rsid w:val="00C90757"/>
    <w:rsid w:val="00C90B08"/>
    <w:rsid w:val="00C91063"/>
    <w:rsid w:val="00C91809"/>
    <w:rsid w:val="00C91952"/>
    <w:rsid w:val="00C9214A"/>
    <w:rsid w:val="00C92633"/>
    <w:rsid w:val="00C9319D"/>
    <w:rsid w:val="00C932F7"/>
    <w:rsid w:val="00C9331D"/>
    <w:rsid w:val="00C934AF"/>
    <w:rsid w:val="00C93A9B"/>
    <w:rsid w:val="00C93B13"/>
    <w:rsid w:val="00C947AA"/>
    <w:rsid w:val="00C948BD"/>
    <w:rsid w:val="00C94A70"/>
    <w:rsid w:val="00C94B9D"/>
    <w:rsid w:val="00C94CF7"/>
    <w:rsid w:val="00C94DE7"/>
    <w:rsid w:val="00C9547D"/>
    <w:rsid w:val="00C958A8"/>
    <w:rsid w:val="00C95B32"/>
    <w:rsid w:val="00C96114"/>
    <w:rsid w:val="00C96240"/>
    <w:rsid w:val="00C967BC"/>
    <w:rsid w:val="00C96953"/>
    <w:rsid w:val="00C96B69"/>
    <w:rsid w:val="00C97243"/>
    <w:rsid w:val="00C97F64"/>
    <w:rsid w:val="00CA0876"/>
    <w:rsid w:val="00CA091E"/>
    <w:rsid w:val="00CA09DC"/>
    <w:rsid w:val="00CA0A3C"/>
    <w:rsid w:val="00CA0CB6"/>
    <w:rsid w:val="00CA0E4D"/>
    <w:rsid w:val="00CA12D4"/>
    <w:rsid w:val="00CA1507"/>
    <w:rsid w:val="00CA18CA"/>
    <w:rsid w:val="00CA19D0"/>
    <w:rsid w:val="00CA22AF"/>
    <w:rsid w:val="00CA230C"/>
    <w:rsid w:val="00CA2765"/>
    <w:rsid w:val="00CA2C03"/>
    <w:rsid w:val="00CA2E90"/>
    <w:rsid w:val="00CA2F48"/>
    <w:rsid w:val="00CA3DE8"/>
    <w:rsid w:val="00CA3EE0"/>
    <w:rsid w:val="00CA40E5"/>
    <w:rsid w:val="00CA4743"/>
    <w:rsid w:val="00CA4A69"/>
    <w:rsid w:val="00CA4C92"/>
    <w:rsid w:val="00CA4E52"/>
    <w:rsid w:val="00CA4EA0"/>
    <w:rsid w:val="00CA5432"/>
    <w:rsid w:val="00CA5A43"/>
    <w:rsid w:val="00CA5B8E"/>
    <w:rsid w:val="00CA5C99"/>
    <w:rsid w:val="00CA5D7D"/>
    <w:rsid w:val="00CA6174"/>
    <w:rsid w:val="00CA66F3"/>
    <w:rsid w:val="00CA6ED9"/>
    <w:rsid w:val="00CA6F51"/>
    <w:rsid w:val="00CA7846"/>
    <w:rsid w:val="00CA79A4"/>
    <w:rsid w:val="00CA7A2D"/>
    <w:rsid w:val="00CB078E"/>
    <w:rsid w:val="00CB0DEE"/>
    <w:rsid w:val="00CB0E95"/>
    <w:rsid w:val="00CB16AE"/>
    <w:rsid w:val="00CB1944"/>
    <w:rsid w:val="00CB1B2E"/>
    <w:rsid w:val="00CB1E5D"/>
    <w:rsid w:val="00CB209D"/>
    <w:rsid w:val="00CB22F4"/>
    <w:rsid w:val="00CB2B34"/>
    <w:rsid w:val="00CB2BE5"/>
    <w:rsid w:val="00CB2DB5"/>
    <w:rsid w:val="00CB2EF4"/>
    <w:rsid w:val="00CB3548"/>
    <w:rsid w:val="00CB36F2"/>
    <w:rsid w:val="00CB3904"/>
    <w:rsid w:val="00CB4780"/>
    <w:rsid w:val="00CB4A00"/>
    <w:rsid w:val="00CB4A5B"/>
    <w:rsid w:val="00CB5986"/>
    <w:rsid w:val="00CB5EFE"/>
    <w:rsid w:val="00CB6282"/>
    <w:rsid w:val="00CB633B"/>
    <w:rsid w:val="00CB666A"/>
    <w:rsid w:val="00CB6CF4"/>
    <w:rsid w:val="00CB6DBF"/>
    <w:rsid w:val="00CB6F68"/>
    <w:rsid w:val="00CB764B"/>
    <w:rsid w:val="00CB7EF3"/>
    <w:rsid w:val="00CC0BB0"/>
    <w:rsid w:val="00CC0C24"/>
    <w:rsid w:val="00CC1071"/>
    <w:rsid w:val="00CC118D"/>
    <w:rsid w:val="00CC13BD"/>
    <w:rsid w:val="00CC15B1"/>
    <w:rsid w:val="00CC1A2D"/>
    <w:rsid w:val="00CC2601"/>
    <w:rsid w:val="00CC2C61"/>
    <w:rsid w:val="00CC310B"/>
    <w:rsid w:val="00CC382F"/>
    <w:rsid w:val="00CC3CD0"/>
    <w:rsid w:val="00CC425D"/>
    <w:rsid w:val="00CC551B"/>
    <w:rsid w:val="00CC5C49"/>
    <w:rsid w:val="00CC5EC8"/>
    <w:rsid w:val="00CC5EE2"/>
    <w:rsid w:val="00CC659E"/>
    <w:rsid w:val="00CC66AC"/>
    <w:rsid w:val="00CC6D39"/>
    <w:rsid w:val="00CC784F"/>
    <w:rsid w:val="00CD028D"/>
    <w:rsid w:val="00CD1CB4"/>
    <w:rsid w:val="00CD1CC3"/>
    <w:rsid w:val="00CD2130"/>
    <w:rsid w:val="00CD221F"/>
    <w:rsid w:val="00CD23CE"/>
    <w:rsid w:val="00CD24F7"/>
    <w:rsid w:val="00CD28DD"/>
    <w:rsid w:val="00CD2B11"/>
    <w:rsid w:val="00CD3AA7"/>
    <w:rsid w:val="00CD3D93"/>
    <w:rsid w:val="00CD3DD8"/>
    <w:rsid w:val="00CD482B"/>
    <w:rsid w:val="00CD4AC1"/>
    <w:rsid w:val="00CD501F"/>
    <w:rsid w:val="00CD5166"/>
    <w:rsid w:val="00CD516C"/>
    <w:rsid w:val="00CD5241"/>
    <w:rsid w:val="00CD5375"/>
    <w:rsid w:val="00CD53CB"/>
    <w:rsid w:val="00CD5594"/>
    <w:rsid w:val="00CD5AED"/>
    <w:rsid w:val="00CD601F"/>
    <w:rsid w:val="00CD650A"/>
    <w:rsid w:val="00CD65E7"/>
    <w:rsid w:val="00CD672C"/>
    <w:rsid w:val="00CD6E9C"/>
    <w:rsid w:val="00CD6F3E"/>
    <w:rsid w:val="00CD7012"/>
    <w:rsid w:val="00CD7373"/>
    <w:rsid w:val="00CD73CE"/>
    <w:rsid w:val="00CD74F1"/>
    <w:rsid w:val="00CD7682"/>
    <w:rsid w:val="00CD76AB"/>
    <w:rsid w:val="00CD7716"/>
    <w:rsid w:val="00CD7C64"/>
    <w:rsid w:val="00CE04A3"/>
    <w:rsid w:val="00CE04E5"/>
    <w:rsid w:val="00CE0DA7"/>
    <w:rsid w:val="00CE0DB7"/>
    <w:rsid w:val="00CE0F61"/>
    <w:rsid w:val="00CE0F65"/>
    <w:rsid w:val="00CE11BC"/>
    <w:rsid w:val="00CE1442"/>
    <w:rsid w:val="00CE19D6"/>
    <w:rsid w:val="00CE2481"/>
    <w:rsid w:val="00CE2FB2"/>
    <w:rsid w:val="00CE40E7"/>
    <w:rsid w:val="00CE42F9"/>
    <w:rsid w:val="00CE46B0"/>
    <w:rsid w:val="00CE4707"/>
    <w:rsid w:val="00CE4885"/>
    <w:rsid w:val="00CE489C"/>
    <w:rsid w:val="00CE4B44"/>
    <w:rsid w:val="00CE4F32"/>
    <w:rsid w:val="00CE503E"/>
    <w:rsid w:val="00CE5419"/>
    <w:rsid w:val="00CE60A8"/>
    <w:rsid w:val="00CE6649"/>
    <w:rsid w:val="00CE66A1"/>
    <w:rsid w:val="00CE674E"/>
    <w:rsid w:val="00CE6E4F"/>
    <w:rsid w:val="00CE7037"/>
    <w:rsid w:val="00CE7375"/>
    <w:rsid w:val="00CE762A"/>
    <w:rsid w:val="00CE7D7D"/>
    <w:rsid w:val="00CF04EA"/>
    <w:rsid w:val="00CF057F"/>
    <w:rsid w:val="00CF09C9"/>
    <w:rsid w:val="00CF0CE0"/>
    <w:rsid w:val="00CF0DCD"/>
    <w:rsid w:val="00CF104C"/>
    <w:rsid w:val="00CF1240"/>
    <w:rsid w:val="00CF15A9"/>
    <w:rsid w:val="00CF1607"/>
    <w:rsid w:val="00CF1622"/>
    <w:rsid w:val="00CF1741"/>
    <w:rsid w:val="00CF1B97"/>
    <w:rsid w:val="00CF1FC2"/>
    <w:rsid w:val="00CF2496"/>
    <w:rsid w:val="00CF2631"/>
    <w:rsid w:val="00CF3228"/>
    <w:rsid w:val="00CF33DD"/>
    <w:rsid w:val="00CF3505"/>
    <w:rsid w:val="00CF45C2"/>
    <w:rsid w:val="00CF4660"/>
    <w:rsid w:val="00CF4F0B"/>
    <w:rsid w:val="00CF4FBE"/>
    <w:rsid w:val="00CF5A34"/>
    <w:rsid w:val="00CF5E2F"/>
    <w:rsid w:val="00CF61E2"/>
    <w:rsid w:val="00CF6DC6"/>
    <w:rsid w:val="00CF7305"/>
    <w:rsid w:val="00CF76F7"/>
    <w:rsid w:val="00CF786E"/>
    <w:rsid w:val="00CF7DC7"/>
    <w:rsid w:val="00D0000E"/>
    <w:rsid w:val="00D009D8"/>
    <w:rsid w:val="00D00C5B"/>
    <w:rsid w:val="00D01291"/>
    <w:rsid w:val="00D01387"/>
    <w:rsid w:val="00D01537"/>
    <w:rsid w:val="00D01564"/>
    <w:rsid w:val="00D01569"/>
    <w:rsid w:val="00D0162B"/>
    <w:rsid w:val="00D01DCE"/>
    <w:rsid w:val="00D01F13"/>
    <w:rsid w:val="00D020F2"/>
    <w:rsid w:val="00D02153"/>
    <w:rsid w:val="00D02583"/>
    <w:rsid w:val="00D027B3"/>
    <w:rsid w:val="00D0286F"/>
    <w:rsid w:val="00D02A2B"/>
    <w:rsid w:val="00D02A46"/>
    <w:rsid w:val="00D02C7A"/>
    <w:rsid w:val="00D02E7D"/>
    <w:rsid w:val="00D02F87"/>
    <w:rsid w:val="00D032A3"/>
    <w:rsid w:val="00D03C17"/>
    <w:rsid w:val="00D03E3D"/>
    <w:rsid w:val="00D04074"/>
    <w:rsid w:val="00D049D8"/>
    <w:rsid w:val="00D04BCB"/>
    <w:rsid w:val="00D05208"/>
    <w:rsid w:val="00D054EF"/>
    <w:rsid w:val="00D05788"/>
    <w:rsid w:val="00D05C55"/>
    <w:rsid w:val="00D06092"/>
    <w:rsid w:val="00D06B54"/>
    <w:rsid w:val="00D06CCD"/>
    <w:rsid w:val="00D071BF"/>
    <w:rsid w:val="00D07244"/>
    <w:rsid w:val="00D074A2"/>
    <w:rsid w:val="00D104FB"/>
    <w:rsid w:val="00D1124A"/>
    <w:rsid w:val="00D1238A"/>
    <w:rsid w:val="00D123C4"/>
    <w:rsid w:val="00D127BD"/>
    <w:rsid w:val="00D12B4C"/>
    <w:rsid w:val="00D12DFE"/>
    <w:rsid w:val="00D12F38"/>
    <w:rsid w:val="00D1305F"/>
    <w:rsid w:val="00D131E6"/>
    <w:rsid w:val="00D13A72"/>
    <w:rsid w:val="00D14418"/>
    <w:rsid w:val="00D14E1E"/>
    <w:rsid w:val="00D15E43"/>
    <w:rsid w:val="00D1633A"/>
    <w:rsid w:val="00D16857"/>
    <w:rsid w:val="00D16A02"/>
    <w:rsid w:val="00D16C5A"/>
    <w:rsid w:val="00D16C8B"/>
    <w:rsid w:val="00D1731E"/>
    <w:rsid w:val="00D17486"/>
    <w:rsid w:val="00D1781F"/>
    <w:rsid w:val="00D17972"/>
    <w:rsid w:val="00D17B42"/>
    <w:rsid w:val="00D2003E"/>
    <w:rsid w:val="00D200BF"/>
    <w:rsid w:val="00D20349"/>
    <w:rsid w:val="00D20601"/>
    <w:rsid w:val="00D20AE8"/>
    <w:rsid w:val="00D20FC0"/>
    <w:rsid w:val="00D21D16"/>
    <w:rsid w:val="00D21EEE"/>
    <w:rsid w:val="00D21F3B"/>
    <w:rsid w:val="00D2202D"/>
    <w:rsid w:val="00D225C9"/>
    <w:rsid w:val="00D22D6F"/>
    <w:rsid w:val="00D22E28"/>
    <w:rsid w:val="00D23505"/>
    <w:rsid w:val="00D23826"/>
    <w:rsid w:val="00D23C1F"/>
    <w:rsid w:val="00D240F2"/>
    <w:rsid w:val="00D2426C"/>
    <w:rsid w:val="00D244E9"/>
    <w:rsid w:val="00D24BAB"/>
    <w:rsid w:val="00D24F5F"/>
    <w:rsid w:val="00D252FB"/>
    <w:rsid w:val="00D2545E"/>
    <w:rsid w:val="00D25946"/>
    <w:rsid w:val="00D2595F"/>
    <w:rsid w:val="00D2611C"/>
    <w:rsid w:val="00D262F0"/>
    <w:rsid w:val="00D2674A"/>
    <w:rsid w:val="00D26BF1"/>
    <w:rsid w:val="00D26C76"/>
    <w:rsid w:val="00D272E4"/>
    <w:rsid w:val="00D27A16"/>
    <w:rsid w:val="00D27A1A"/>
    <w:rsid w:val="00D3073C"/>
    <w:rsid w:val="00D30A98"/>
    <w:rsid w:val="00D30EA9"/>
    <w:rsid w:val="00D30FA6"/>
    <w:rsid w:val="00D310B5"/>
    <w:rsid w:val="00D312F3"/>
    <w:rsid w:val="00D316F8"/>
    <w:rsid w:val="00D317B1"/>
    <w:rsid w:val="00D31B81"/>
    <w:rsid w:val="00D31C0D"/>
    <w:rsid w:val="00D31E16"/>
    <w:rsid w:val="00D3252B"/>
    <w:rsid w:val="00D33522"/>
    <w:rsid w:val="00D3379C"/>
    <w:rsid w:val="00D34065"/>
    <w:rsid w:val="00D340E2"/>
    <w:rsid w:val="00D34792"/>
    <w:rsid w:val="00D34AE8"/>
    <w:rsid w:val="00D34D24"/>
    <w:rsid w:val="00D35C1A"/>
    <w:rsid w:val="00D35D19"/>
    <w:rsid w:val="00D35E40"/>
    <w:rsid w:val="00D35F97"/>
    <w:rsid w:val="00D36C28"/>
    <w:rsid w:val="00D37956"/>
    <w:rsid w:val="00D37A0A"/>
    <w:rsid w:val="00D37B68"/>
    <w:rsid w:val="00D40105"/>
    <w:rsid w:val="00D40883"/>
    <w:rsid w:val="00D409DF"/>
    <w:rsid w:val="00D40C79"/>
    <w:rsid w:val="00D40DC8"/>
    <w:rsid w:val="00D40E77"/>
    <w:rsid w:val="00D4138F"/>
    <w:rsid w:val="00D415A9"/>
    <w:rsid w:val="00D41653"/>
    <w:rsid w:val="00D42827"/>
    <w:rsid w:val="00D42931"/>
    <w:rsid w:val="00D42E0B"/>
    <w:rsid w:val="00D42FF7"/>
    <w:rsid w:val="00D4309A"/>
    <w:rsid w:val="00D4360E"/>
    <w:rsid w:val="00D43930"/>
    <w:rsid w:val="00D43D2B"/>
    <w:rsid w:val="00D43DE7"/>
    <w:rsid w:val="00D43E59"/>
    <w:rsid w:val="00D44248"/>
    <w:rsid w:val="00D4437D"/>
    <w:rsid w:val="00D44451"/>
    <w:rsid w:val="00D4474B"/>
    <w:rsid w:val="00D44CA3"/>
    <w:rsid w:val="00D44D7A"/>
    <w:rsid w:val="00D44DAC"/>
    <w:rsid w:val="00D458A7"/>
    <w:rsid w:val="00D4597E"/>
    <w:rsid w:val="00D459DB"/>
    <w:rsid w:val="00D45C5E"/>
    <w:rsid w:val="00D45C79"/>
    <w:rsid w:val="00D460CE"/>
    <w:rsid w:val="00D464A1"/>
    <w:rsid w:val="00D46A49"/>
    <w:rsid w:val="00D46F6E"/>
    <w:rsid w:val="00D47009"/>
    <w:rsid w:val="00D47941"/>
    <w:rsid w:val="00D47A4B"/>
    <w:rsid w:val="00D501D1"/>
    <w:rsid w:val="00D50602"/>
    <w:rsid w:val="00D5097C"/>
    <w:rsid w:val="00D50DAD"/>
    <w:rsid w:val="00D50F42"/>
    <w:rsid w:val="00D50F47"/>
    <w:rsid w:val="00D512E7"/>
    <w:rsid w:val="00D5185C"/>
    <w:rsid w:val="00D51C18"/>
    <w:rsid w:val="00D51E07"/>
    <w:rsid w:val="00D52ACE"/>
    <w:rsid w:val="00D53446"/>
    <w:rsid w:val="00D5348F"/>
    <w:rsid w:val="00D53FA9"/>
    <w:rsid w:val="00D546E3"/>
    <w:rsid w:val="00D5470F"/>
    <w:rsid w:val="00D55436"/>
    <w:rsid w:val="00D554FA"/>
    <w:rsid w:val="00D55722"/>
    <w:rsid w:val="00D55851"/>
    <w:rsid w:val="00D56285"/>
    <w:rsid w:val="00D5655F"/>
    <w:rsid w:val="00D566D8"/>
    <w:rsid w:val="00D566F7"/>
    <w:rsid w:val="00D56A8C"/>
    <w:rsid w:val="00D57404"/>
    <w:rsid w:val="00D5740E"/>
    <w:rsid w:val="00D578CD"/>
    <w:rsid w:val="00D57931"/>
    <w:rsid w:val="00D57AF4"/>
    <w:rsid w:val="00D57BC2"/>
    <w:rsid w:val="00D57C14"/>
    <w:rsid w:val="00D60AC2"/>
    <w:rsid w:val="00D6143F"/>
    <w:rsid w:val="00D614E2"/>
    <w:rsid w:val="00D618F1"/>
    <w:rsid w:val="00D61AF8"/>
    <w:rsid w:val="00D62228"/>
    <w:rsid w:val="00D62E9A"/>
    <w:rsid w:val="00D63080"/>
    <w:rsid w:val="00D63404"/>
    <w:rsid w:val="00D63D0E"/>
    <w:rsid w:val="00D63E0F"/>
    <w:rsid w:val="00D63F8D"/>
    <w:rsid w:val="00D64C4B"/>
    <w:rsid w:val="00D65266"/>
    <w:rsid w:val="00D65BAF"/>
    <w:rsid w:val="00D65C85"/>
    <w:rsid w:val="00D65FBF"/>
    <w:rsid w:val="00D66286"/>
    <w:rsid w:val="00D666FF"/>
    <w:rsid w:val="00D66B37"/>
    <w:rsid w:val="00D66F70"/>
    <w:rsid w:val="00D670DF"/>
    <w:rsid w:val="00D674DB"/>
    <w:rsid w:val="00D67509"/>
    <w:rsid w:val="00D67830"/>
    <w:rsid w:val="00D679B5"/>
    <w:rsid w:val="00D67A81"/>
    <w:rsid w:val="00D70137"/>
    <w:rsid w:val="00D7017D"/>
    <w:rsid w:val="00D708DB"/>
    <w:rsid w:val="00D70AD9"/>
    <w:rsid w:val="00D70CD3"/>
    <w:rsid w:val="00D711AA"/>
    <w:rsid w:val="00D7130E"/>
    <w:rsid w:val="00D71679"/>
    <w:rsid w:val="00D7182A"/>
    <w:rsid w:val="00D7192D"/>
    <w:rsid w:val="00D71AF7"/>
    <w:rsid w:val="00D722B2"/>
    <w:rsid w:val="00D7235C"/>
    <w:rsid w:val="00D72B22"/>
    <w:rsid w:val="00D72FC5"/>
    <w:rsid w:val="00D7307D"/>
    <w:rsid w:val="00D735E8"/>
    <w:rsid w:val="00D73CFD"/>
    <w:rsid w:val="00D74190"/>
    <w:rsid w:val="00D74774"/>
    <w:rsid w:val="00D74DFE"/>
    <w:rsid w:val="00D75022"/>
    <w:rsid w:val="00D750E5"/>
    <w:rsid w:val="00D7526A"/>
    <w:rsid w:val="00D7547D"/>
    <w:rsid w:val="00D7594B"/>
    <w:rsid w:val="00D7600A"/>
    <w:rsid w:val="00D76406"/>
    <w:rsid w:val="00D7704C"/>
    <w:rsid w:val="00D7770C"/>
    <w:rsid w:val="00D778EE"/>
    <w:rsid w:val="00D77DAE"/>
    <w:rsid w:val="00D77E3C"/>
    <w:rsid w:val="00D80874"/>
    <w:rsid w:val="00D80A66"/>
    <w:rsid w:val="00D811F1"/>
    <w:rsid w:val="00D81871"/>
    <w:rsid w:val="00D818C9"/>
    <w:rsid w:val="00D81D11"/>
    <w:rsid w:val="00D830A3"/>
    <w:rsid w:val="00D8362B"/>
    <w:rsid w:val="00D83716"/>
    <w:rsid w:val="00D8395E"/>
    <w:rsid w:val="00D83C19"/>
    <w:rsid w:val="00D83C7E"/>
    <w:rsid w:val="00D84334"/>
    <w:rsid w:val="00D84DE0"/>
    <w:rsid w:val="00D84F63"/>
    <w:rsid w:val="00D8541F"/>
    <w:rsid w:val="00D85D64"/>
    <w:rsid w:val="00D85F58"/>
    <w:rsid w:val="00D862ED"/>
    <w:rsid w:val="00D8630B"/>
    <w:rsid w:val="00D86B83"/>
    <w:rsid w:val="00D8738D"/>
    <w:rsid w:val="00D87496"/>
    <w:rsid w:val="00D879F4"/>
    <w:rsid w:val="00D87AA8"/>
    <w:rsid w:val="00D87AEB"/>
    <w:rsid w:val="00D87D3B"/>
    <w:rsid w:val="00D9037B"/>
    <w:rsid w:val="00D904AC"/>
    <w:rsid w:val="00D9050C"/>
    <w:rsid w:val="00D90562"/>
    <w:rsid w:val="00D90EC4"/>
    <w:rsid w:val="00D911E2"/>
    <w:rsid w:val="00D9160C"/>
    <w:rsid w:val="00D91759"/>
    <w:rsid w:val="00D91A2D"/>
    <w:rsid w:val="00D91B39"/>
    <w:rsid w:val="00D9207E"/>
    <w:rsid w:val="00D924E1"/>
    <w:rsid w:val="00D9291C"/>
    <w:rsid w:val="00D92D7E"/>
    <w:rsid w:val="00D92EAF"/>
    <w:rsid w:val="00D93092"/>
    <w:rsid w:val="00D93169"/>
    <w:rsid w:val="00D93328"/>
    <w:rsid w:val="00D935C6"/>
    <w:rsid w:val="00D93780"/>
    <w:rsid w:val="00D93B1C"/>
    <w:rsid w:val="00D947A5"/>
    <w:rsid w:val="00D948E4"/>
    <w:rsid w:val="00D9557D"/>
    <w:rsid w:val="00D95866"/>
    <w:rsid w:val="00D95F29"/>
    <w:rsid w:val="00D9601C"/>
    <w:rsid w:val="00D967A5"/>
    <w:rsid w:val="00D96C25"/>
    <w:rsid w:val="00D96D68"/>
    <w:rsid w:val="00D970ED"/>
    <w:rsid w:val="00D97DDF"/>
    <w:rsid w:val="00DA1F99"/>
    <w:rsid w:val="00DA2763"/>
    <w:rsid w:val="00DA3052"/>
    <w:rsid w:val="00DA39C7"/>
    <w:rsid w:val="00DA3D7F"/>
    <w:rsid w:val="00DA3EBF"/>
    <w:rsid w:val="00DA3F21"/>
    <w:rsid w:val="00DA3FE3"/>
    <w:rsid w:val="00DA4BDD"/>
    <w:rsid w:val="00DA5108"/>
    <w:rsid w:val="00DA5602"/>
    <w:rsid w:val="00DA5A75"/>
    <w:rsid w:val="00DA5B38"/>
    <w:rsid w:val="00DA5BA0"/>
    <w:rsid w:val="00DA5C02"/>
    <w:rsid w:val="00DA5C98"/>
    <w:rsid w:val="00DA5DEB"/>
    <w:rsid w:val="00DA64D6"/>
    <w:rsid w:val="00DA669A"/>
    <w:rsid w:val="00DA6741"/>
    <w:rsid w:val="00DA6BD7"/>
    <w:rsid w:val="00DA712F"/>
    <w:rsid w:val="00DA75D6"/>
    <w:rsid w:val="00DA77AF"/>
    <w:rsid w:val="00DA7B20"/>
    <w:rsid w:val="00DA7C96"/>
    <w:rsid w:val="00DA7D1B"/>
    <w:rsid w:val="00DA7E4B"/>
    <w:rsid w:val="00DB0966"/>
    <w:rsid w:val="00DB0A70"/>
    <w:rsid w:val="00DB0AB2"/>
    <w:rsid w:val="00DB0C19"/>
    <w:rsid w:val="00DB1140"/>
    <w:rsid w:val="00DB16DB"/>
    <w:rsid w:val="00DB1A83"/>
    <w:rsid w:val="00DB1B1D"/>
    <w:rsid w:val="00DB1BF2"/>
    <w:rsid w:val="00DB1DD4"/>
    <w:rsid w:val="00DB23FB"/>
    <w:rsid w:val="00DB2797"/>
    <w:rsid w:val="00DB2BD9"/>
    <w:rsid w:val="00DB335C"/>
    <w:rsid w:val="00DB3D4F"/>
    <w:rsid w:val="00DB3E8A"/>
    <w:rsid w:val="00DB4655"/>
    <w:rsid w:val="00DB4A12"/>
    <w:rsid w:val="00DB4B94"/>
    <w:rsid w:val="00DB4B95"/>
    <w:rsid w:val="00DB517E"/>
    <w:rsid w:val="00DB5694"/>
    <w:rsid w:val="00DB581A"/>
    <w:rsid w:val="00DB5E5C"/>
    <w:rsid w:val="00DB6200"/>
    <w:rsid w:val="00DB6393"/>
    <w:rsid w:val="00DB64C3"/>
    <w:rsid w:val="00DB6872"/>
    <w:rsid w:val="00DB708D"/>
    <w:rsid w:val="00DB736B"/>
    <w:rsid w:val="00DB7469"/>
    <w:rsid w:val="00DB7801"/>
    <w:rsid w:val="00DB7DF4"/>
    <w:rsid w:val="00DC00E1"/>
    <w:rsid w:val="00DC0E18"/>
    <w:rsid w:val="00DC0F48"/>
    <w:rsid w:val="00DC0FB7"/>
    <w:rsid w:val="00DC0FCC"/>
    <w:rsid w:val="00DC1392"/>
    <w:rsid w:val="00DC1733"/>
    <w:rsid w:val="00DC18DA"/>
    <w:rsid w:val="00DC18E4"/>
    <w:rsid w:val="00DC1CEC"/>
    <w:rsid w:val="00DC1EFE"/>
    <w:rsid w:val="00DC1FAF"/>
    <w:rsid w:val="00DC2015"/>
    <w:rsid w:val="00DC21F4"/>
    <w:rsid w:val="00DC25B4"/>
    <w:rsid w:val="00DC2846"/>
    <w:rsid w:val="00DC29A7"/>
    <w:rsid w:val="00DC2F23"/>
    <w:rsid w:val="00DC304B"/>
    <w:rsid w:val="00DC3903"/>
    <w:rsid w:val="00DC3A68"/>
    <w:rsid w:val="00DC3D63"/>
    <w:rsid w:val="00DC3DB6"/>
    <w:rsid w:val="00DC40D2"/>
    <w:rsid w:val="00DC4823"/>
    <w:rsid w:val="00DC4EC7"/>
    <w:rsid w:val="00DC4F4C"/>
    <w:rsid w:val="00DC516A"/>
    <w:rsid w:val="00DC5411"/>
    <w:rsid w:val="00DC5C0C"/>
    <w:rsid w:val="00DC5E94"/>
    <w:rsid w:val="00DC60B7"/>
    <w:rsid w:val="00DC655B"/>
    <w:rsid w:val="00DC6670"/>
    <w:rsid w:val="00DC6DBE"/>
    <w:rsid w:val="00DC6F7D"/>
    <w:rsid w:val="00DC70F2"/>
    <w:rsid w:val="00DD00B2"/>
    <w:rsid w:val="00DD040F"/>
    <w:rsid w:val="00DD071B"/>
    <w:rsid w:val="00DD0D64"/>
    <w:rsid w:val="00DD0DAE"/>
    <w:rsid w:val="00DD0E7F"/>
    <w:rsid w:val="00DD1127"/>
    <w:rsid w:val="00DD12B1"/>
    <w:rsid w:val="00DD1E89"/>
    <w:rsid w:val="00DD21CB"/>
    <w:rsid w:val="00DD26BB"/>
    <w:rsid w:val="00DD271A"/>
    <w:rsid w:val="00DD2BB9"/>
    <w:rsid w:val="00DD2CE7"/>
    <w:rsid w:val="00DD2F39"/>
    <w:rsid w:val="00DD318D"/>
    <w:rsid w:val="00DD31D5"/>
    <w:rsid w:val="00DD327A"/>
    <w:rsid w:val="00DD350B"/>
    <w:rsid w:val="00DD3DE9"/>
    <w:rsid w:val="00DD43E7"/>
    <w:rsid w:val="00DD49A7"/>
    <w:rsid w:val="00DD49B2"/>
    <w:rsid w:val="00DD4F7A"/>
    <w:rsid w:val="00DD5456"/>
    <w:rsid w:val="00DD5E2C"/>
    <w:rsid w:val="00DD6303"/>
    <w:rsid w:val="00DD659A"/>
    <w:rsid w:val="00DD67BA"/>
    <w:rsid w:val="00DD6B3D"/>
    <w:rsid w:val="00DD6B90"/>
    <w:rsid w:val="00DD6C35"/>
    <w:rsid w:val="00DD702C"/>
    <w:rsid w:val="00DD75A5"/>
    <w:rsid w:val="00DD76AB"/>
    <w:rsid w:val="00DD77E8"/>
    <w:rsid w:val="00DD7A34"/>
    <w:rsid w:val="00DD7A37"/>
    <w:rsid w:val="00DD7BA1"/>
    <w:rsid w:val="00DE0525"/>
    <w:rsid w:val="00DE08E4"/>
    <w:rsid w:val="00DE0C42"/>
    <w:rsid w:val="00DE0DD1"/>
    <w:rsid w:val="00DE0E34"/>
    <w:rsid w:val="00DE12E9"/>
    <w:rsid w:val="00DE1317"/>
    <w:rsid w:val="00DE149E"/>
    <w:rsid w:val="00DE1B98"/>
    <w:rsid w:val="00DE1BDE"/>
    <w:rsid w:val="00DE25D7"/>
    <w:rsid w:val="00DE26A3"/>
    <w:rsid w:val="00DE2B9F"/>
    <w:rsid w:val="00DE3746"/>
    <w:rsid w:val="00DE3A81"/>
    <w:rsid w:val="00DE4379"/>
    <w:rsid w:val="00DE439A"/>
    <w:rsid w:val="00DE44E7"/>
    <w:rsid w:val="00DE4824"/>
    <w:rsid w:val="00DE4BE9"/>
    <w:rsid w:val="00DE4C67"/>
    <w:rsid w:val="00DE4D0E"/>
    <w:rsid w:val="00DE4D15"/>
    <w:rsid w:val="00DE4F53"/>
    <w:rsid w:val="00DE4FAB"/>
    <w:rsid w:val="00DE57C2"/>
    <w:rsid w:val="00DE607E"/>
    <w:rsid w:val="00DE787D"/>
    <w:rsid w:val="00DE7A84"/>
    <w:rsid w:val="00DE7D24"/>
    <w:rsid w:val="00DF00EF"/>
    <w:rsid w:val="00DF0236"/>
    <w:rsid w:val="00DF02E5"/>
    <w:rsid w:val="00DF03F9"/>
    <w:rsid w:val="00DF0466"/>
    <w:rsid w:val="00DF0827"/>
    <w:rsid w:val="00DF0850"/>
    <w:rsid w:val="00DF1536"/>
    <w:rsid w:val="00DF1AC4"/>
    <w:rsid w:val="00DF1D44"/>
    <w:rsid w:val="00DF2037"/>
    <w:rsid w:val="00DF264B"/>
    <w:rsid w:val="00DF3256"/>
    <w:rsid w:val="00DF34E6"/>
    <w:rsid w:val="00DF3563"/>
    <w:rsid w:val="00DF3772"/>
    <w:rsid w:val="00DF3D90"/>
    <w:rsid w:val="00DF3E1B"/>
    <w:rsid w:val="00DF438D"/>
    <w:rsid w:val="00DF44FB"/>
    <w:rsid w:val="00DF479F"/>
    <w:rsid w:val="00DF515A"/>
    <w:rsid w:val="00DF5472"/>
    <w:rsid w:val="00DF58E6"/>
    <w:rsid w:val="00DF6336"/>
    <w:rsid w:val="00DF63ED"/>
    <w:rsid w:val="00DF6822"/>
    <w:rsid w:val="00DF6AA4"/>
    <w:rsid w:val="00DF7349"/>
    <w:rsid w:val="00DF73FE"/>
    <w:rsid w:val="00DF75B9"/>
    <w:rsid w:val="00E00191"/>
    <w:rsid w:val="00E00771"/>
    <w:rsid w:val="00E00922"/>
    <w:rsid w:val="00E00B59"/>
    <w:rsid w:val="00E00E4E"/>
    <w:rsid w:val="00E00EE2"/>
    <w:rsid w:val="00E01EFB"/>
    <w:rsid w:val="00E02448"/>
    <w:rsid w:val="00E02A0A"/>
    <w:rsid w:val="00E02BAC"/>
    <w:rsid w:val="00E02D5E"/>
    <w:rsid w:val="00E03703"/>
    <w:rsid w:val="00E03FA6"/>
    <w:rsid w:val="00E041B1"/>
    <w:rsid w:val="00E042FB"/>
    <w:rsid w:val="00E04AA1"/>
    <w:rsid w:val="00E04CBB"/>
    <w:rsid w:val="00E04DF9"/>
    <w:rsid w:val="00E05671"/>
    <w:rsid w:val="00E05755"/>
    <w:rsid w:val="00E06079"/>
    <w:rsid w:val="00E06224"/>
    <w:rsid w:val="00E06297"/>
    <w:rsid w:val="00E06AA7"/>
    <w:rsid w:val="00E06E34"/>
    <w:rsid w:val="00E0769D"/>
    <w:rsid w:val="00E10012"/>
    <w:rsid w:val="00E10AB2"/>
    <w:rsid w:val="00E10D8B"/>
    <w:rsid w:val="00E113AB"/>
    <w:rsid w:val="00E12062"/>
    <w:rsid w:val="00E124BE"/>
    <w:rsid w:val="00E125EC"/>
    <w:rsid w:val="00E12AC1"/>
    <w:rsid w:val="00E12E71"/>
    <w:rsid w:val="00E1366F"/>
    <w:rsid w:val="00E13EB6"/>
    <w:rsid w:val="00E14037"/>
    <w:rsid w:val="00E14545"/>
    <w:rsid w:val="00E1476D"/>
    <w:rsid w:val="00E14805"/>
    <w:rsid w:val="00E14CB9"/>
    <w:rsid w:val="00E15675"/>
    <w:rsid w:val="00E15CA5"/>
    <w:rsid w:val="00E15D82"/>
    <w:rsid w:val="00E160DC"/>
    <w:rsid w:val="00E1610C"/>
    <w:rsid w:val="00E169B6"/>
    <w:rsid w:val="00E16E24"/>
    <w:rsid w:val="00E17135"/>
    <w:rsid w:val="00E17288"/>
    <w:rsid w:val="00E174BE"/>
    <w:rsid w:val="00E177AD"/>
    <w:rsid w:val="00E204D1"/>
    <w:rsid w:val="00E2052B"/>
    <w:rsid w:val="00E2167A"/>
    <w:rsid w:val="00E21BD1"/>
    <w:rsid w:val="00E2208D"/>
    <w:rsid w:val="00E22B91"/>
    <w:rsid w:val="00E22E95"/>
    <w:rsid w:val="00E237A5"/>
    <w:rsid w:val="00E24021"/>
    <w:rsid w:val="00E24EC1"/>
    <w:rsid w:val="00E2588C"/>
    <w:rsid w:val="00E259D8"/>
    <w:rsid w:val="00E25BD9"/>
    <w:rsid w:val="00E260D0"/>
    <w:rsid w:val="00E2716B"/>
    <w:rsid w:val="00E27A9A"/>
    <w:rsid w:val="00E27BC8"/>
    <w:rsid w:val="00E27D59"/>
    <w:rsid w:val="00E27E52"/>
    <w:rsid w:val="00E305A4"/>
    <w:rsid w:val="00E3064D"/>
    <w:rsid w:val="00E30EB4"/>
    <w:rsid w:val="00E313D1"/>
    <w:rsid w:val="00E315B7"/>
    <w:rsid w:val="00E31A99"/>
    <w:rsid w:val="00E31D08"/>
    <w:rsid w:val="00E31EA7"/>
    <w:rsid w:val="00E31F7F"/>
    <w:rsid w:val="00E326CA"/>
    <w:rsid w:val="00E32C19"/>
    <w:rsid w:val="00E32F2C"/>
    <w:rsid w:val="00E32F53"/>
    <w:rsid w:val="00E33179"/>
    <w:rsid w:val="00E33219"/>
    <w:rsid w:val="00E3358E"/>
    <w:rsid w:val="00E3369F"/>
    <w:rsid w:val="00E336D0"/>
    <w:rsid w:val="00E336DA"/>
    <w:rsid w:val="00E33D10"/>
    <w:rsid w:val="00E33E17"/>
    <w:rsid w:val="00E33FA7"/>
    <w:rsid w:val="00E33FD3"/>
    <w:rsid w:val="00E33FE2"/>
    <w:rsid w:val="00E343B6"/>
    <w:rsid w:val="00E345E8"/>
    <w:rsid w:val="00E347A1"/>
    <w:rsid w:val="00E3482A"/>
    <w:rsid w:val="00E34AFF"/>
    <w:rsid w:val="00E34FA0"/>
    <w:rsid w:val="00E34FFA"/>
    <w:rsid w:val="00E350F9"/>
    <w:rsid w:val="00E35237"/>
    <w:rsid w:val="00E35D03"/>
    <w:rsid w:val="00E35E3F"/>
    <w:rsid w:val="00E36C4A"/>
    <w:rsid w:val="00E36C7C"/>
    <w:rsid w:val="00E37BEB"/>
    <w:rsid w:val="00E37C76"/>
    <w:rsid w:val="00E37E54"/>
    <w:rsid w:val="00E40290"/>
    <w:rsid w:val="00E4049E"/>
    <w:rsid w:val="00E409E5"/>
    <w:rsid w:val="00E40ABC"/>
    <w:rsid w:val="00E415D5"/>
    <w:rsid w:val="00E4160A"/>
    <w:rsid w:val="00E41790"/>
    <w:rsid w:val="00E41972"/>
    <w:rsid w:val="00E419AA"/>
    <w:rsid w:val="00E423C3"/>
    <w:rsid w:val="00E42863"/>
    <w:rsid w:val="00E42B35"/>
    <w:rsid w:val="00E42C9E"/>
    <w:rsid w:val="00E42F30"/>
    <w:rsid w:val="00E441B6"/>
    <w:rsid w:val="00E4437A"/>
    <w:rsid w:val="00E44691"/>
    <w:rsid w:val="00E44A22"/>
    <w:rsid w:val="00E44A90"/>
    <w:rsid w:val="00E44BC4"/>
    <w:rsid w:val="00E44C9D"/>
    <w:rsid w:val="00E44E2E"/>
    <w:rsid w:val="00E44E6C"/>
    <w:rsid w:val="00E452CB"/>
    <w:rsid w:val="00E453D9"/>
    <w:rsid w:val="00E45518"/>
    <w:rsid w:val="00E45E76"/>
    <w:rsid w:val="00E4620D"/>
    <w:rsid w:val="00E46521"/>
    <w:rsid w:val="00E4655C"/>
    <w:rsid w:val="00E465CF"/>
    <w:rsid w:val="00E46662"/>
    <w:rsid w:val="00E4678E"/>
    <w:rsid w:val="00E46CFD"/>
    <w:rsid w:val="00E47220"/>
    <w:rsid w:val="00E4769C"/>
    <w:rsid w:val="00E500D0"/>
    <w:rsid w:val="00E50265"/>
    <w:rsid w:val="00E504A8"/>
    <w:rsid w:val="00E50709"/>
    <w:rsid w:val="00E50712"/>
    <w:rsid w:val="00E5101A"/>
    <w:rsid w:val="00E5110D"/>
    <w:rsid w:val="00E516F1"/>
    <w:rsid w:val="00E52614"/>
    <w:rsid w:val="00E52B97"/>
    <w:rsid w:val="00E52D0C"/>
    <w:rsid w:val="00E52F5A"/>
    <w:rsid w:val="00E53644"/>
    <w:rsid w:val="00E536C1"/>
    <w:rsid w:val="00E53911"/>
    <w:rsid w:val="00E53E51"/>
    <w:rsid w:val="00E54A7A"/>
    <w:rsid w:val="00E54E85"/>
    <w:rsid w:val="00E55371"/>
    <w:rsid w:val="00E55CCF"/>
    <w:rsid w:val="00E55EB3"/>
    <w:rsid w:val="00E561A2"/>
    <w:rsid w:val="00E566A1"/>
    <w:rsid w:val="00E566DC"/>
    <w:rsid w:val="00E575D0"/>
    <w:rsid w:val="00E5769A"/>
    <w:rsid w:val="00E57916"/>
    <w:rsid w:val="00E57A18"/>
    <w:rsid w:val="00E57ABA"/>
    <w:rsid w:val="00E57D03"/>
    <w:rsid w:val="00E60216"/>
    <w:rsid w:val="00E606D1"/>
    <w:rsid w:val="00E60B3C"/>
    <w:rsid w:val="00E60D35"/>
    <w:rsid w:val="00E61386"/>
    <w:rsid w:val="00E6143A"/>
    <w:rsid w:val="00E61475"/>
    <w:rsid w:val="00E616B1"/>
    <w:rsid w:val="00E61CE7"/>
    <w:rsid w:val="00E61EBC"/>
    <w:rsid w:val="00E61FF9"/>
    <w:rsid w:val="00E623F4"/>
    <w:rsid w:val="00E62E30"/>
    <w:rsid w:val="00E62F91"/>
    <w:rsid w:val="00E630EC"/>
    <w:rsid w:val="00E635C0"/>
    <w:rsid w:val="00E64198"/>
    <w:rsid w:val="00E64387"/>
    <w:rsid w:val="00E6442B"/>
    <w:rsid w:val="00E64C53"/>
    <w:rsid w:val="00E6516B"/>
    <w:rsid w:val="00E655B7"/>
    <w:rsid w:val="00E659AB"/>
    <w:rsid w:val="00E66489"/>
    <w:rsid w:val="00E66A96"/>
    <w:rsid w:val="00E670A6"/>
    <w:rsid w:val="00E670FF"/>
    <w:rsid w:val="00E67592"/>
    <w:rsid w:val="00E7025D"/>
    <w:rsid w:val="00E70264"/>
    <w:rsid w:val="00E707E3"/>
    <w:rsid w:val="00E7095F"/>
    <w:rsid w:val="00E714D2"/>
    <w:rsid w:val="00E7174D"/>
    <w:rsid w:val="00E7195F"/>
    <w:rsid w:val="00E7197C"/>
    <w:rsid w:val="00E71CA2"/>
    <w:rsid w:val="00E71EA7"/>
    <w:rsid w:val="00E72153"/>
    <w:rsid w:val="00E7260A"/>
    <w:rsid w:val="00E72637"/>
    <w:rsid w:val="00E72860"/>
    <w:rsid w:val="00E734E6"/>
    <w:rsid w:val="00E73540"/>
    <w:rsid w:val="00E735ED"/>
    <w:rsid w:val="00E736EA"/>
    <w:rsid w:val="00E737D3"/>
    <w:rsid w:val="00E73888"/>
    <w:rsid w:val="00E73AF1"/>
    <w:rsid w:val="00E73D71"/>
    <w:rsid w:val="00E74CB0"/>
    <w:rsid w:val="00E74E82"/>
    <w:rsid w:val="00E752CB"/>
    <w:rsid w:val="00E752F4"/>
    <w:rsid w:val="00E7539D"/>
    <w:rsid w:val="00E7542E"/>
    <w:rsid w:val="00E7552E"/>
    <w:rsid w:val="00E75FAD"/>
    <w:rsid w:val="00E76051"/>
    <w:rsid w:val="00E76C57"/>
    <w:rsid w:val="00E76E77"/>
    <w:rsid w:val="00E7791C"/>
    <w:rsid w:val="00E77B41"/>
    <w:rsid w:val="00E77CCB"/>
    <w:rsid w:val="00E805CF"/>
    <w:rsid w:val="00E809FD"/>
    <w:rsid w:val="00E81161"/>
    <w:rsid w:val="00E81B32"/>
    <w:rsid w:val="00E81C05"/>
    <w:rsid w:val="00E82544"/>
    <w:rsid w:val="00E82901"/>
    <w:rsid w:val="00E82A6A"/>
    <w:rsid w:val="00E82DA8"/>
    <w:rsid w:val="00E82E83"/>
    <w:rsid w:val="00E82F32"/>
    <w:rsid w:val="00E83306"/>
    <w:rsid w:val="00E835C1"/>
    <w:rsid w:val="00E83AFD"/>
    <w:rsid w:val="00E83BC7"/>
    <w:rsid w:val="00E8413E"/>
    <w:rsid w:val="00E841AA"/>
    <w:rsid w:val="00E8434B"/>
    <w:rsid w:val="00E8482D"/>
    <w:rsid w:val="00E84BB8"/>
    <w:rsid w:val="00E85674"/>
    <w:rsid w:val="00E858B8"/>
    <w:rsid w:val="00E85902"/>
    <w:rsid w:val="00E86185"/>
    <w:rsid w:val="00E8650B"/>
    <w:rsid w:val="00E8691B"/>
    <w:rsid w:val="00E86C9C"/>
    <w:rsid w:val="00E872AA"/>
    <w:rsid w:val="00E87907"/>
    <w:rsid w:val="00E87919"/>
    <w:rsid w:val="00E9019D"/>
    <w:rsid w:val="00E9072F"/>
    <w:rsid w:val="00E90A86"/>
    <w:rsid w:val="00E9110C"/>
    <w:rsid w:val="00E91152"/>
    <w:rsid w:val="00E9155A"/>
    <w:rsid w:val="00E91907"/>
    <w:rsid w:val="00E91B4C"/>
    <w:rsid w:val="00E923F5"/>
    <w:rsid w:val="00E927E9"/>
    <w:rsid w:val="00E92832"/>
    <w:rsid w:val="00E92912"/>
    <w:rsid w:val="00E92B55"/>
    <w:rsid w:val="00E92E4A"/>
    <w:rsid w:val="00E92E90"/>
    <w:rsid w:val="00E92EAE"/>
    <w:rsid w:val="00E9330A"/>
    <w:rsid w:val="00E93ED0"/>
    <w:rsid w:val="00E9488B"/>
    <w:rsid w:val="00E94CA4"/>
    <w:rsid w:val="00E94CB5"/>
    <w:rsid w:val="00E9536E"/>
    <w:rsid w:val="00E9537B"/>
    <w:rsid w:val="00E9561C"/>
    <w:rsid w:val="00E95664"/>
    <w:rsid w:val="00E960A9"/>
    <w:rsid w:val="00E96C0D"/>
    <w:rsid w:val="00E9751E"/>
    <w:rsid w:val="00E976FF"/>
    <w:rsid w:val="00E97A3D"/>
    <w:rsid w:val="00E97A6B"/>
    <w:rsid w:val="00EA014A"/>
    <w:rsid w:val="00EA01C0"/>
    <w:rsid w:val="00EA04A1"/>
    <w:rsid w:val="00EA0F20"/>
    <w:rsid w:val="00EA0F8E"/>
    <w:rsid w:val="00EA13D9"/>
    <w:rsid w:val="00EA190A"/>
    <w:rsid w:val="00EA1958"/>
    <w:rsid w:val="00EA21AF"/>
    <w:rsid w:val="00EA2491"/>
    <w:rsid w:val="00EA2B1A"/>
    <w:rsid w:val="00EA2BAF"/>
    <w:rsid w:val="00EA3086"/>
    <w:rsid w:val="00EA34FA"/>
    <w:rsid w:val="00EA35FD"/>
    <w:rsid w:val="00EA372E"/>
    <w:rsid w:val="00EA3A3C"/>
    <w:rsid w:val="00EA3B15"/>
    <w:rsid w:val="00EA3E3A"/>
    <w:rsid w:val="00EA3EC5"/>
    <w:rsid w:val="00EA415D"/>
    <w:rsid w:val="00EA42B5"/>
    <w:rsid w:val="00EA56F0"/>
    <w:rsid w:val="00EA5B58"/>
    <w:rsid w:val="00EA5BCB"/>
    <w:rsid w:val="00EA624F"/>
    <w:rsid w:val="00EA688E"/>
    <w:rsid w:val="00EA79F1"/>
    <w:rsid w:val="00EA7AA5"/>
    <w:rsid w:val="00EA7F24"/>
    <w:rsid w:val="00EB0177"/>
    <w:rsid w:val="00EB0946"/>
    <w:rsid w:val="00EB0A30"/>
    <w:rsid w:val="00EB0B8F"/>
    <w:rsid w:val="00EB0B92"/>
    <w:rsid w:val="00EB0BA4"/>
    <w:rsid w:val="00EB0D34"/>
    <w:rsid w:val="00EB1368"/>
    <w:rsid w:val="00EB1CC0"/>
    <w:rsid w:val="00EB23C8"/>
    <w:rsid w:val="00EB24B1"/>
    <w:rsid w:val="00EB254D"/>
    <w:rsid w:val="00EB2992"/>
    <w:rsid w:val="00EB302E"/>
    <w:rsid w:val="00EB36C4"/>
    <w:rsid w:val="00EB3FDE"/>
    <w:rsid w:val="00EB44ED"/>
    <w:rsid w:val="00EB5183"/>
    <w:rsid w:val="00EB529B"/>
    <w:rsid w:val="00EB53C9"/>
    <w:rsid w:val="00EB57A9"/>
    <w:rsid w:val="00EB5AFD"/>
    <w:rsid w:val="00EB6401"/>
    <w:rsid w:val="00EB679D"/>
    <w:rsid w:val="00EB68B2"/>
    <w:rsid w:val="00EB6A6D"/>
    <w:rsid w:val="00EB6BC6"/>
    <w:rsid w:val="00EB6C3B"/>
    <w:rsid w:val="00EB6F04"/>
    <w:rsid w:val="00EB6FEB"/>
    <w:rsid w:val="00EB791A"/>
    <w:rsid w:val="00EC0FC1"/>
    <w:rsid w:val="00EC15BB"/>
    <w:rsid w:val="00EC1653"/>
    <w:rsid w:val="00EC2E4C"/>
    <w:rsid w:val="00EC305B"/>
    <w:rsid w:val="00EC3652"/>
    <w:rsid w:val="00EC399E"/>
    <w:rsid w:val="00EC3A01"/>
    <w:rsid w:val="00EC4025"/>
    <w:rsid w:val="00EC44CA"/>
    <w:rsid w:val="00EC4ADB"/>
    <w:rsid w:val="00EC4D9F"/>
    <w:rsid w:val="00EC4E2C"/>
    <w:rsid w:val="00EC554B"/>
    <w:rsid w:val="00EC5A24"/>
    <w:rsid w:val="00EC5A5C"/>
    <w:rsid w:val="00EC5A81"/>
    <w:rsid w:val="00EC5C57"/>
    <w:rsid w:val="00EC6892"/>
    <w:rsid w:val="00EC69B7"/>
    <w:rsid w:val="00EC77CE"/>
    <w:rsid w:val="00EC790F"/>
    <w:rsid w:val="00EC792B"/>
    <w:rsid w:val="00EC7B13"/>
    <w:rsid w:val="00ED0129"/>
    <w:rsid w:val="00ED018D"/>
    <w:rsid w:val="00ED01BE"/>
    <w:rsid w:val="00ED03B6"/>
    <w:rsid w:val="00ED0AE7"/>
    <w:rsid w:val="00ED0BDC"/>
    <w:rsid w:val="00ED0E05"/>
    <w:rsid w:val="00ED0E41"/>
    <w:rsid w:val="00ED0EFA"/>
    <w:rsid w:val="00ED0F8E"/>
    <w:rsid w:val="00ED12F6"/>
    <w:rsid w:val="00ED1304"/>
    <w:rsid w:val="00ED147A"/>
    <w:rsid w:val="00ED17C4"/>
    <w:rsid w:val="00ED1BAD"/>
    <w:rsid w:val="00ED23C1"/>
    <w:rsid w:val="00ED27DF"/>
    <w:rsid w:val="00ED2849"/>
    <w:rsid w:val="00ED2F54"/>
    <w:rsid w:val="00ED2F67"/>
    <w:rsid w:val="00ED3E2D"/>
    <w:rsid w:val="00ED4089"/>
    <w:rsid w:val="00ED4484"/>
    <w:rsid w:val="00ED45DB"/>
    <w:rsid w:val="00ED4738"/>
    <w:rsid w:val="00ED49EB"/>
    <w:rsid w:val="00ED4C31"/>
    <w:rsid w:val="00ED599B"/>
    <w:rsid w:val="00ED59A5"/>
    <w:rsid w:val="00ED5A19"/>
    <w:rsid w:val="00ED5AF8"/>
    <w:rsid w:val="00ED5C26"/>
    <w:rsid w:val="00ED73B4"/>
    <w:rsid w:val="00ED75AD"/>
    <w:rsid w:val="00ED79A8"/>
    <w:rsid w:val="00ED7A5E"/>
    <w:rsid w:val="00EE02EC"/>
    <w:rsid w:val="00EE02F9"/>
    <w:rsid w:val="00EE053B"/>
    <w:rsid w:val="00EE09DE"/>
    <w:rsid w:val="00EE1149"/>
    <w:rsid w:val="00EE1677"/>
    <w:rsid w:val="00EE171B"/>
    <w:rsid w:val="00EE1948"/>
    <w:rsid w:val="00EE1BBB"/>
    <w:rsid w:val="00EE21AB"/>
    <w:rsid w:val="00EE26C5"/>
    <w:rsid w:val="00EE2EF7"/>
    <w:rsid w:val="00EE376C"/>
    <w:rsid w:val="00EE37E0"/>
    <w:rsid w:val="00EE3971"/>
    <w:rsid w:val="00EE40D1"/>
    <w:rsid w:val="00EE499A"/>
    <w:rsid w:val="00EE4EED"/>
    <w:rsid w:val="00EE57AF"/>
    <w:rsid w:val="00EE595A"/>
    <w:rsid w:val="00EE5E13"/>
    <w:rsid w:val="00EE5E7F"/>
    <w:rsid w:val="00EE5EE8"/>
    <w:rsid w:val="00EE626D"/>
    <w:rsid w:val="00EE65D5"/>
    <w:rsid w:val="00EE6692"/>
    <w:rsid w:val="00EE7026"/>
    <w:rsid w:val="00EE71E8"/>
    <w:rsid w:val="00EE74A2"/>
    <w:rsid w:val="00EF04B9"/>
    <w:rsid w:val="00EF0C38"/>
    <w:rsid w:val="00EF1091"/>
    <w:rsid w:val="00EF10CB"/>
    <w:rsid w:val="00EF10E9"/>
    <w:rsid w:val="00EF1149"/>
    <w:rsid w:val="00EF138A"/>
    <w:rsid w:val="00EF1FCC"/>
    <w:rsid w:val="00EF2111"/>
    <w:rsid w:val="00EF2A27"/>
    <w:rsid w:val="00EF337E"/>
    <w:rsid w:val="00EF3AC2"/>
    <w:rsid w:val="00EF3BF5"/>
    <w:rsid w:val="00EF3C4C"/>
    <w:rsid w:val="00EF42B9"/>
    <w:rsid w:val="00EF444E"/>
    <w:rsid w:val="00EF4502"/>
    <w:rsid w:val="00EF4781"/>
    <w:rsid w:val="00EF4AB0"/>
    <w:rsid w:val="00EF4B32"/>
    <w:rsid w:val="00EF4BEA"/>
    <w:rsid w:val="00EF4CF1"/>
    <w:rsid w:val="00EF5070"/>
    <w:rsid w:val="00EF642B"/>
    <w:rsid w:val="00EF648A"/>
    <w:rsid w:val="00EF661E"/>
    <w:rsid w:val="00EF6DA4"/>
    <w:rsid w:val="00EF6E2B"/>
    <w:rsid w:val="00EF70CD"/>
    <w:rsid w:val="00EF71A5"/>
    <w:rsid w:val="00EF7A4E"/>
    <w:rsid w:val="00EF7B4C"/>
    <w:rsid w:val="00EF7D0C"/>
    <w:rsid w:val="00F009B6"/>
    <w:rsid w:val="00F00D91"/>
    <w:rsid w:val="00F00DAC"/>
    <w:rsid w:val="00F01515"/>
    <w:rsid w:val="00F0163D"/>
    <w:rsid w:val="00F018A6"/>
    <w:rsid w:val="00F0191E"/>
    <w:rsid w:val="00F01A09"/>
    <w:rsid w:val="00F01A12"/>
    <w:rsid w:val="00F01C8D"/>
    <w:rsid w:val="00F020AD"/>
    <w:rsid w:val="00F0243C"/>
    <w:rsid w:val="00F02477"/>
    <w:rsid w:val="00F02B2F"/>
    <w:rsid w:val="00F02DB0"/>
    <w:rsid w:val="00F030DF"/>
    <w:rsid w:val="00F0350C"/>
    <w:rsid w:val="00F03722"/>
    <w:rsid w:val="00F03969"/>
    <w:rsid w:val="00F03A0E"/>
    <w:rsid w:val="00F03E16"/>
    <w:rsid w:val="00F03E76"/>
    <w:rsid w:val="00F04B1C"/>
    <w:rsid w:val="00F04C61"/>
    <w:rsid w:val="00F04D9F"/>
    <w:rsid w:val="00F0525F"/>
    <w:rsid w:val="00F0530F"/>
    <w:rsid w:val="00F05806"/>
    <w:rsid w:val="00F05AA4"/>
    <w:rsid w:val="00F05E20"/>
    <w:rsid w:val="00F06DB1"/>
    <w:rsid w:val="00F0725F"/>
    <w:rsid w:val="00F0742C"/>
    <w:rsid w:val="00F07F11"/>
    <w:rsid w:val="00F108D7"/>
    <w:rsid w:val="00F10A36"/>
    <w:rsid w:val="00F10BA8"/>
    <w:rsid w:val="00F11D60"/>
    <w:rsid w:val="00F11E36"/>
    <w:rsid w:val="00F12149"/>
    <w:rsid w:val="00F12882"/>
    <w:rsid w:val="00F12B1A"/>
    <w:rsid w:val="00F1301B"/>
    <w:rsid w:val="00F130A3"/>
    <w:rsid w:val="00F13AB6"/>
    <w:rsid w:val="00F13D07"/>
    <w:rsid w:val="00F13D3B"/>
    <w:rsid w:val="00F13E55"/>
    <w:rsid w:val="00F1448B"/>
    <w:rsid w:val="00F14A12"/>
    <w:rsid w:val="00F14DC1"/>
    <w:rsid w:val="00F14EAD"/>
    <w:rsid w:val="00F14F90"/>
    <w:rsid w:val="00F15640"/>
    <w:rsid w:val="00F15AD8"/>
    <w:rsid w:val="00F15F8A"/>
    <w:rsid w:val="00F16670"/>
    <w:rsid w:val="00F167C7"/>
    <w:rsid w:val="00F171A5"/>
    <w:rsid w:val="00F206AD"/>
    <w:rsid w:val="00F20931"/>
    <w:rsid w:val="00F2113F"/>
    <w:rsid w:val="00F21609"/>
    <w:rsid w:val="00F21952"/>
    <w:rsid w:val="00F21D98"/>
    <w:rsid w:val="00F21ED8"/>
    <w:rsid w:val="00F22257"/>
    <w:rsid w:val="00F22C3A"/>
    <w:rsid w:val="00F23650"/>
    <w:rsid w:val="00F24046"/>
    <w:rsid w:val="00F2449D"/>
    <w:rsid w:val="00F24726"/>
    <w:rsid w:val="00F2497B"/>
    <w:rsid w:val="00F24A6F"/>
    <w:rsid w:val="00F24BE3"/>
    <w:rsid w:val="00F24E95"/>
    <w:rsid w:val="00F25426"/>
    <w:rsid w:val="00F25694"/>
    <w:rsid w:val="00F258E6"/>
    <w:rsid w:val="00F25CDE"/>
    <w:rsid w:val="00F25CF9"/>
    <w:rsid w:val="00F25F22"/>
    <w:rsid w:val="00F260FC"/>
    <w:rsid w:val="00F2643C"/>
    <w:rsid w:val="00F2649F"/>
    <w:rsid w:val="00F26611"/>
    <w:rsid w:val="00F26982"/>
    <w:rsid w:val="00F26994"/>
    <w:rsid w:val="00F26B4C"/>
    <w:rsid w:val="00F2760D"/>
    <w:rsid w:val="00F279F1"/>
    <w:rsid w:val="00F27A52"/>
    <w:rsid w:val="00F27F84"/>
    <w:rsid w:val="00F3000D"/>
    <w:rsid w:val="00F3027F"/>
    <w:rsid w:val="00F3067B"/>
    <w:rsid w:val="00F30BD1"/>
    <w:rsid w:val="00F30E7C"/>
    <w:rsid w:val="00F315B2"/>
    <w:rsid w:val="00F3169E"/>
    <w:rsid w:val="00F3175A"/>
    <w:rsid w:val="00F319B2"/>
    <w:rsid w:val="00F31A53"/>
    <w:rsid w:val="00F31CB5"/>
    <w:rsid w:val="00F31E09"/>
    <w:rsid w:val="00F32C90"/>
    <w:rsid w:val="00F32CB6"/>
    <w:rsid w:val="00F336B8"/>
    <w:rsid w:val="00F3371A"/>
    <w:rsid w:val="00F33ACC"/>
    <w:rsid w:val="00F33B4E"/>
    <w:rsid w:val="00F33BC3"/>
    <w:rsid w:val="00F3462E"/>
    <w:rsid w:val="00F34679"/>
    <w:rsid w:val="00F34FEF"/>
    <w:rsid w:val="00F35101"/>
    <w:rsid w:val="00F3531F"/>
    <w:rsid w:val="00F3599A"/>
    <w:rsid w:val="00F359E6"/>
    <w:rsid w:val="00F36223"/>
    <w:rsid w:val="00F36780"/>
    <w:rsid w:val="00F36CBF"/>
    <w:rsid w:val="00F37252"/>
    <w:rsid w:val="00F3735A"/>
    <w:rsid w:val="00F37463"/>
    <w:rsid w:val="00F3784F"/>
    <w:rsid w:val="00F37917"/>
    <w:rsid w:val="00F37BE5"/>
    <w:rsid w:val="00F37FB8"/>
    <w:rsid w:val="00F40164"/>
    <w:rsid w:val="00F40656"/>
    <w:rsid w:val="00F406C4"/>
    <w:rsid w:val="00F4075C"/>
    <w:rsid w:val="00F40FC1"/>
    <w:rsid w:val="00F41006"/>
    <w:rsid w:val="00F412F7"/>
    <w:rsid w:val="00F41331"/>
    <w:rsid w:val="00F41978"/>
    <w:rsid w:val="00F41F80"/>
    <w:rsid w:val="00F420A9"/>
    <w:rsid w:val="00F42DC2"/>
    <w:rsid w:val="00F43042"/>
    <w:rsid w:val="00F4305E"/>
    <w:rsid w:val="00F433BD"/>
    <w:rsid w:val="00F43628"/>
    <w:rsid w:val="00F4380F"/>
    <w:rsid w:val="00F43824"/>
    <w:rsid w:val="00F43B66"/>
    <w:rsid w:val="00F43EB0"/>
    <w:rsid w:val="00F4432F"/>
    <w:rsid w:val="00F44616"/>
    <w:rsid w:val="00F4464D"/>
    <w:rsid w:val="00F44CD2"/>
    <w:rsid w:val="00F4541E"/>
    <w:rsid w:val="00F454D1"/>
    <w:rsid w:val="00F45588"/>
    <w:rsid w:val="00F4562B"/>
    <w:rsid w:val="00F45937"/>
    <w:rsid w:val="00F45E6C"/>
    <w:rsid w:val="00F45F5B"/>
    <w:rsid w:val="00F46430"/>
    <w:rsid w:val="00F466FA"/>
    <w:rsid w:val="00F473B7"/>
    <w:rsid w:val="00F47D62"/>
    <w:rsid w:val="00F47D67"/>
    <w:rsid w:val="00F47D69"/>
    <w:rsid w:val="00F47EF6"/>
    <w:rsid w:val="00F47F0C"/>
    <w:rsid w:val="00F505FF"/>
    <w:rsid w:val="00F50D18"/>
    <w:rsid w:val="00F5100F"/>
    <w:rsid w:val="00F51268"/>
    <w:rsid w:val="00F515DB"/>
    <w:rsid w:val="00F51B97"/>
    <w:rsid w:val="00F524F4"/>
    <w:rsid w:val="00F5294E"/>
    <w:rsid w:val="00F52EC0"/>
    <w:rsid w:val="00F5365B"/>
    <w:rsid w:val="00F537B4"/>
    <w:rsid w:val="00F53B09"/>
    <w:rsid w:val="00F53DBE"/>
    <w:rsid w:val="00F54483"/>
    <w:rsid w:val="00F547D6"/>
    <w:rsid w:val="00F5490C"/>
    <w:rsid w:val="00F54A3F"/>
    <w:rsid w:val="00F54BDF"/>
    <w:rsid w:val="00F5501A"/>
    <w:rsid w:val="00F553E1"/>
    <w:rsid w:val="00F553E3"/>
    <w:rsid w:val="00F55960"/>
    <w:rsid w:val="00F567A6"/>
    <w:rsid w:val="00F56A78"/>
    <w:rsid w:val="00F56AC7"/>
    <w:rsid w:val="00F56D79"/>
    <w:rsid w:val="00F57052"/>
    <w:rsid w:val="00F57248"/>
    <w:rsid w:val="00F57460"/>
    <w:rsid w:val="00F57469"/>
    <w:rsid w:val="00F5746B"/>
    <w:rsid w:val="00F57BFD"/>
    <w:rsid w:val="00F57F3A"/>
    <w:rsid w:val="00F60078"/>
    <w:rsid w:val="00F605C0"/>
    <w:rsid w:val="00F60777"/>
    <w:rsid w:val="00F60872"/>
    <w:rsid w:val="00F61785"/>
    <w:rsid w:val="00F6182D"/>
    <w:rsid w:val="00F61D2F"/>
    <w:rsid w:val="00F625E3"/>
    <w:rsid w:val="00F6260E"/>
    <w:rsid w:val="00F631BF"/>
    <w:rsid w:val="00F63819"/>
    <w:rsid w:val="00F63923"/>
    <w:rsid w:val="00F64002"/>
    <w:rsid w:val="00F642EC"/>
    <w:rsid w:val="00F647CA"/>
    <w:rsid w:val="00F65492"/>
    <w:rsid w:val="00F6558D"/>
    <w:rsid w:val="00F658FC"/>
    <w:rsid w:val="00F6593C"/>
    <w:rsid w:val="00F65B0B"/>
    <w:rsid w:val="00F65DD0"/>
    <w:rsid w:val="00F65FBF"/>
    <w:rsid w:val="00F666DC"/>
    <w:rsid w:val="00F667AB"/>
    <w:rsid w:val="00F669BC"/>
    <w:rsid w:val="00F67A1A"/>
    <w:rsid w:val="00F67AE8"/>
    <w:rsid w:val="00F67B53"/>
    <w:rsid w:val="00F700EE"/>
    <w:rsid w:val="00F70192"/>
    <w:rsid w:val="00F70351"/>
    <w:rsid w:val="00F709F0"/>
    <w:rsid w:val="00F7119D"/>
    <w:rsid w:val="00F71307"/>
    <w:rsid w:val="00F71989"/>
    <w:rsid w:val="00F71B2B"/>
    <w:rsid w:val="00F729FA"/>
    <w:rsid w:val="00F72A5D"/>
    <w:rsid w:val="00F72D32"/>
    <w:rsid w:val="00F736B9"/>
    <w:rsid w:val="00F73CA9"/>
    <w:rsid w:val="00F73F60"/>
    <w:rsid w:val="00F741D6"/>
    <w:rsid w:val="00F743E1"/>
    <w:rsid w:val="00F74CD5"/>
    <w:rsid w:val="00F74DEB"/>
    <w:rsid w:val="00F75561"/>
    <w:rsid w:val="00F758FC"/>
    <w:rsid w:val="00F75B02"/>
    <w:rsid w:val="00F76051"/>
    <w:rsid w:val="00F764AB"/>
    <w:rsid w:val="00F764F7"/>
    <w:rsid w:val="00F7679E"/>
    <w:rsid w:val="00F76E78"/>
    <w:rsid w:val="00F800F1"/>
    <w:rsid w:val="00F801F4"/>
    <w:rsid w:val="00F805F7"/>
    <w:rsid w:val="00F80996"/>
    <w:rsid w:val="00F811D7"/>
    <w:rsid w:val="00F8178B"/>
    <w:rsid w:val="00F81B49"/>
    <w:rsid w:val="00F81D06"/>
    <w:rsid w:val="00F81D84"/>
    <w:rsid w:val="00F81DC9"/>
    <w:rsid w:val="00F82460"/>
    <w:rsid w:val="00F82B53"/>
    <w:rsid w:val="00F82C70"/>
    <w:rsid w:val="00F838F0"/>
    <w:rsid w:val="00F83BF2"/>
    <w:rsid w:val="00F83FDB"/>
    <w:rsid w:val="00F84270"/>
    <w:rsid w:val="00F8432F"/>
    <w:rsid w:val="00F8451A"/>
    <w:rsid w:val="00F848C7"/>
    <w:rsid w:val="00F848D4"/>
    <w:rsid w:val="00F84933"/>
    <w:rsid w:val="00F84FA2"/>
    <w:rsid w:val="00F850B4"/>
    <w:rsid w:val="00F852A3"/>
    <w:rsid w:val="00F856C6"/>
    <w:rsid w:val="00F8598D"/>
    <w:rsid w:val="00F85B6E"/>
    <w:rsid w:val="00F85E41"/>
    <w:rsid w:val="00F85FAC"/>
    <w:rsid w:val="00F86651"/>
    <w:rsid w:val="00F86AE2"/>
    <w:rsid w:val="00F87332"/>
    <w:rsid w:val="00F8733F"/>
    <w:rsid w:val="00F875F6"/>
    <w:rsid w:val="00F87634"/>
    <w:rsid w:val="00F87DE4"/>
    <w:rsid w:val="00F87F66"/>
    <w:rsid w:val="00F900DF"/>
    <w:rsid w:val="00F91A62"/>
    <w:rsid w:val="00F92172"/>
    <w:rsid w:val="00F923FE"/>
    <w:rsid w:val="00F92A21"/>
    <w:rsid w:val="00F92B58"/>
    <w:rsid w:val="00F92D46"/>
    <w:rsid w:val="00F93B3A"/>
    <w:rsid w:val="00F942AC"/>
    <w:rsid w:val="00F94F28"/>
    <w:rsid w:val="00F94FBA"/>
    <w:rsid w:val="00F95331"/>
    <w:rsid w:val="00F95627"/>
    <w:rsid w:val="00F95BDE"/>
    <w:rsid w:val="00F95C92"/>
    <w:rsid w:val="00F95E5E"/>
    <w:rsid w:val="00F9609A"/>
    <w:rsid w:val="00F960F8"/>
    <w:rsid w:val="00F96E8B"/>
    <w:rsid w:val="00F97109"/>
    <w:rsid w:val="00F9741D"/>
    <w:rsid w:val="00F9792B"/>
    <w:rsid w:val="00F97CA7"/>
    <w:rsid w:val="00FA0147"/>
    <w:rsid w:val="00FA0700"/>
    <w:rsid w:val="00FA09B6"/>
    <w:rsid w:val="00FA0C08"/>
    <w:rsid w:val="00FA0CB4"/>
    <w:rsid w:val="00FA1111"/>
    <w:rsid w:val="00FA13D6"/>
    <w:rsid w:val="00FA1A0B"/>
    <w:rsid w:val="00FA1D01"/>
    <w:rsid w:val="00FA1D34"/>
    <w:rsid w:val="00FA21A3"/>
    <w:rsid w:val="00FA3064"/>
    <w:rsid w:val="00FA3131"/>
    <w:rsid w:val="00FA3279"/>
    <w:rsid w:val="00FA37CB"/>
    <w:rsid w:val="00FA3900"/>
    <w:rsid w:val="00FA3A88"/>
    <w:rsid w:val="00FA3D7B"/>
    <w:rsid w:val="00FA4179"/>
    <w:rsid w:val="00FA43D3"/>
    <w:rsid w:val="00FA53F6"/>
    <w:rsid w:val="00FA5627"/>
    <w:rsid w:val="00FA5913"/>
    <w:rsid w:val="00FA5FD4"/>
    <w:rsid w:val="00FA63A8"/>
    <w:rsid w:val="00FA6AD3"/>
    <w:rsid w:val="00FA6DC8"/>
    <w:rsid w:val="00FA723D"/>
    <w:rsid w:val="00FA7442"/>
    <w:rsid w:val="00FA78D5"/>
    <w:rsid w:val="00FB06A3"/>
    <w:rsid w:val="00FB06AD"/>
    <w:rsid w:val="00FB0873"/>
    <w:rsid w:val="00FB09DF"/>
    <w:rsid w:val="00FB0C4F"/>
    <w:rsid w:val="00FB21CA"/>
    <w:rsid w:val="00FB24CA"/>
    <w:rsid w:val="00FB2818"/>
    <w:rsid w:val="00FB2E30"/>
    <w:rsid w:val="00FB4623"/>
    <w:rsid w:val="00FB488E"/>
    <w:rsid w:val="00FB49C6"/>
    <w:rsid w:val="00FB515E"/>
    <w:rsid w:val="00FB56AE"/>
    <w:rsid w:val="00FB571A"/>
    <w:rsid w:val="00FB58AD"/>
    <w:rsid w:val="00FB6FA9"/>
    <w:rsid w:val="00FB72F7"/>
    <w:rsid w:val="00FB7397"/>
    <w:rsid w:val="00FB740A"/>
    <w:rsid w:val="00FB7671"/>
    <w:rsid w:val="00FB7BE5"/>
    <w:rsid w:val="00FC0846"/>
    <w:rsid w:val="00FC0B25"/>
    <w:rsid w:val="00FC0CCE"/>
    <w:rsid w:val="00FC10AC"/>
    <w:rsid w:val="00FC11CB"/>
    <w:rsid w:val="00FC129D"/>
    <w:rsid w:val="00FC137E"/>
    <w:rsid w:val="00FC13F4"/>
    <w:rsid w:val="00FC1588"/>
    <w:rsid w:val="00FC165E"/>
    <w:rsid w:val="00FC20B9"/>
    <w:rsid w:val="00FC2359"/>
    <w:rsid w:val="00FC2398"/>
    <w:rsid w:val="00FC2624"/>
    <w:rsid w:val="00FC272E"/>
    <w:rsid w:val="00FC2909"/>
    <w:rsid w:val="00FC2A75"/>
    <w:rsid w:val="00FC2D7D"/>
    <w:rsid w:val="00FC2DB6"/>
    <w:rsid w:val="00FC3016"/>
    <w:rsid w:val="00FC3718"/>
    <w:rsid w:val="00FC37BE"/>
    <w:rsid w:val="00FC38B1"/>
    <w:rsid w:val="00FC3A57"/>
    <w:rsid w:val="00FC3E12"/>
    <w:rsid w:val="00FC3F5D"/>
    <w:rsid w:val="00FC4088"/>
    <w:rsid w:val="00FC4366"/>
    <w:rsid w:val="00FC44B0"/>
    <w:rsid w:val="00FC45F5"/>
    <w:rsid w:val="00FC47DA"/>
    <w:rsid w:val="00FC4A8D"/>
    <w:rsid w:val="00FC4D1B"/>
    <w:rsid w:val="00FC4F27"/>
    <w:rsid w:val="00FC5A91"/>
    <w:rsid w:val="00FC5F88"/>
    <w:rsid w:val="00FC6143"/>
    <w:rsid w:val="00FC6461"/>
    <w:rsid w:val="00FC728E"/>
    <w:rsid w:val="00FC7333"/>
    <w:rsid w:val="00FC742C"/>
    <w:rsid w:val="00FC77B0"/>
    <w:rsid w:val="00FC7BF7"/>
    <w:rsid w:val="00FC7D78"/>
    <w:rsid w:val="00FD019A"/>
    <w:rsid w:val="00FD045E"/>
    <w:rsid w:val="00FD0777"/>
    <w:rsid w:val="00FD0972"/>
    <w:rsid w:val="00FD10BD"/>
    <w:rsid w:val="00FD1673"/>
    <w:rsid w:val="00FD1DB8"/>
    <w:rsid w:val="00FD24B1"/>
    <w:rsid w:val="00FD284B"/>
    <w:rsid w:val="00FD2F1C"/>
    <w:rsid w:val="00FD32C6"/>
    <w:rsid w:val="00FD3702"/>
    <w:rsid w:val="00FD3C05"/>
    <w:rsid w:val="00FD3C6C"/>
    <w:rsid w:val="00FD46C2"/>
    <w:rsid w:val="00FD4AA5"/>
    <w:rsid w:val="00FD4F37"/>
    <w:rsid w:val="00FD504F"/>
    <w:rsid w:val="00FD5516"/>
    <w:rsid w:val="00FD5A38"/>
    <w:rsid w:val="00FD5B72"/>
    <w:rsid w:val="00FD5D25"/>
    <w:rsid w:val="00FD5F6F"/>
    <w:rsid w:val="00FD5FED"/>
    <w:rsid w:val="00FD62EE"/>
    <w:rsid w:val="00FD6428"/>
    <w:rsid w:val="00FD64DF"/>
    <w:rsid w:val="00FD6967"/>
    <w:rsid w:val="00FD69C0"/>
    <w:rsid w:val="00FD740D"/>
    <w:rsid w:val="00FD7504"/>
    <w:rsid w:val="00FD77C2"/>
    <w:rsid w:val="00FD7A02"/>
    <w:rsid w:val="00FD7D52"/>
    <w:rsid w:val="00FE017A"/>
    <w:rsid w:val="00FE0581"/>
    <w:rsid w:val="00FE0967"/>
    <w:rsid w:val="00FE0D2C"/>
    <w:rsid w:val="00FE0D7E"/>
    <w:rsid w:val="00FE135B"/>
    <w:rsid w:val="00FE1579"/>
    <w:rsid w:val="00FE1EA8"/>
    <w:rsid w:val="00FE25CD"/>
    <w:rsid w:val="00FE29A6"/>
    <w:rsid w:val="00FE2DCC"/>
    <w:rsid w:val="00FE313D"/>
    <w:rsid w:val="00FE3206"/>
    <w:rsid w:val="00FE3397"/>
    <w:rsid w:val="00FE33A6"/>
    <w:rsid w:val="00FE3860"/>
    <w:rsid w:val="00FE39F5"/>
    <w:rsid w:val="00FE3C05"/>
    <w:rsid w:val="00FE3EC7"/>
    <w:rsid w:val="00FE43B2"/>
    <w:rsid w:val="00FE4657"/>
    <w:rsid w:val="00FE4702"/>
    <w:rsid w:val="00FE484E"/>
    <w:rsid w:val="00FE4A19"/>
    <w:rsid w:val="00FE4E6E"/>
    <w:rsid w:val="00FE54C5"/>
    <w:rsid w:val="00FE5606"/>
    <w:rsid w:val="00FE5D4A"/>
    <w:rsid w:val="00FE6086"/>
    <w:rsid w:val="00FE69B4"/>
    <w:rsid w:val="00FE748E"/>
    <w:rsid w:val="00FE759F"/>
    <w:rsid w:val="00FE75C7"/>
    <w:rsid w:val="00FE7604"/>
    <w:rsid w:val="00FE7806"/>
    <w:rsid w:val="00FE78B5"/>
    <w:rsid w:val="00FE7F3C"/>
    <w:rsid w:val="00FF0034"/>
    <w:rsid w:val="00FF0130"/>
    <w:rsid w:val="00FF070B"/>
    <w:rsid w:val="00FF0BCB"/>
    <w:rsid w:val="00FF1085"/>
    <w:rsid w:val="00FF126D"/>
    <w:rsid w:val="00FF19AA"/>
    <w:rsid w:val="00FF1D9B"/>
    <w:rsid w:val="00FF219B"/>
    <w:rsid w:val="00FF2419"/>
    <w:rsid w:val="00FF260A"/>
    <w:rsid w:val="00FF2F1D"/>
    <w:rsid w:val="00FF3324"/>
    <w:rsid w:val="00FF39AB"/>
    <w:rsid w:val="00FF3A76"/>
    <w:rsid w:val="00FF3C66"/>
    <w:rsid w:val="00FF3F35"/>
    <w:rsid w:val="00FF4173"/>
    <w:rsid w:val="00FF4994"/>
    <w:rsid w:val="00FF4C9A"/>
    <w:rsid w:val="00FF4C9F"/>
    <w:rsid w:val="00FF4E59"/>
    <w:rsid w:val="00FF4F5B"/>
    <w:rsid w:val="00FF5686"/>
    <w:rsid w:val="00FF58B3"/>
    <w:rsid w:val="00FF60AC"/>
    <w:rsid w:val="00FF622F"/>
    <w:rsid w:val="00FF6765"/>
    <w:rsid w:val="00FF6D1F"/>
    <w:rsid w:val="00FF6D50"/>
    <w:rsid w:val="00FF75DB"/>
    <w:rsid w:val="00FF76CE"/>
    <w:rsid w:val="00FF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0EFD7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7E8F"/>
  </w:style>
  <w:style w:type="paragraph" w:styleId="Heading1">
    <w:name w:val="heading 1"/>
    <w:basedOn w:val="Normal"/>
    <w:next w:val="Normal"/>
    <w:qFormat/>
    <w:pPr>
      <w:keepNext/>
      <w:ind w:left="-567"/>
      <w:outlineLvl w:val="0"/>
    </w:pPr>
    <w:rPr>
      <w:b/>
      <w:sz w:val="18"/>
    </w:rPr>
  </w:style>
  <w:style w:type="paragraph" w:styleId="Heading2">
    <w:name w:val="heading 2"/>
    <w:basedOn w:val="Normal"/>
    <w:next w:val="Normal"/>
    <w:qFormat/>
    <w:pPr>
      <w:keepNext/>
      <w:outlineLvl w:val="1"/>
    </w:pPr>
    <w:rPr>
      <w:i/>
      <w:color w:val="FF0000"/>
      <w:sz w:val="18"/>
    </w:rPr>
  </w:style>
  <w:style w:type="paragraph" w:styleId="Heading3">
    <w:name w:val="heading 3"/>
    <w:basedOn w:val="Normal"/>
    <w:next w:val="Normal"/>
    <w:qFormat/>
    <w:pPr>
      <w:keepNext/>
      <w:ind w:hanging="567"/>
      <w:outlineLvl w:val="2"/>
    </w:pPr>
    <w:rPr>
      <w:b/>
      <w:sz w:val="18"/>
    </w:rPr>
  </w:style>
  <w:style w:type="paragraph" w:styleId="Heading4">
    <w:name w:val="heading 4"/>
    <w:basedOn w:val="Normal"/>
    <w:next w:val="Normal"/>
    <w:qFormat/>
    <w:pPr>
      <w:keepNext/>
      <w:numPr>
        <w:numId w:val="2"/>
      </w:numPr>
      <w:tabs>
        <w:tab w:val="left" w:pos="-6"/>
      </w:tabs>
      <w:ind w:left="-6" w:hanging="561"/>
      <w:outlineLvl w:val="3"/>
    </w:pPr>
    <w:rPr>
      <w:b/>
      <w:sz w:val="18"/>
    </w:rPr>
  </w:style>
  <w:style w:type="paragraph" w:styleId="Heading5">
    <w:name w:val="heading 5"/>
    <w:basedOn w:val="Normal"/>
    <w:next w:val="Normal"/>
    <w:qFormat/>
    <w:pPr>
      <w:keepNext/>
      <w:numPr>
        <w:numId w:val="3"/>
      </w:numPr>
      <w:outlineLvl w:val="4"/>
    </w:pPr>
    <w:rPr>
      <w:b/>
      <w:sz w:val="18"/>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ind w:left="-630"/>
      <w:outlineLvl w:val="6"/>
    </w:pPr>
    <w:rPr>
      <w:b/>
      <w:sz w:val="18"/>
    </w:rPr>
  </w:style>
  <w:style w:type="paragraph" w:styleId="Heading8">
    <w:name w:val="heading 8"/>
    <w:basedOn w:val="Normal"/>
    <w:next w:val="Normal"/>
    <w:qFormat/>
    <w:pPr>
      <w:keepNext/>
      <w:ind w:hanging="630"/>
      <w:outlineLvl w:val="7"/>
    </w:pPr>
    <w:rPr>
      <w:b/>
      <w:sz w:val="18"/>
    </w:rPr>
  </w:style>
  <w:style w:type="paragraph" w:styleId="Heading9">
    <w:name w:val="heading 9"/>
    <w:basedOn w:val="Normal"/>
    <w:next w:val="Normal"/>
    <w:qFormat/>
    <w:pPr>
      <w:keepNext/>
      <w:ind w:left="-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99"/>
    <w:rsid w:val="00832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Pr>
      <w:color w:val="FF0000"/>
      <w:sz w:val="18"/>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567"/>
    </w:pPr>
    <w:rPr>
      <w:sz w:val="18"/>
    </w:rPr>
  </w:style>
  <w:style w:type="paragraph" w:styleId="BodyTextIndent2">
    <w:name w:val="Body Text Indent 2"/>
    <w:basedOn w:val="Normal"/>
    <w:pPr>
      <w:ind w:left="3"/>
    </w:pPr>
    <w:rPr>
      <w:color w:val="000000"/>
      <w:sz w:val="18"/>
    </w:rPr>
  </w:style>
  <w:style w:type="paragraph" w:customStyle="1" w:styleId="TNR11Bold">
    <w:name w:val="TNR11Bold"/>
    <w:next w:val="Normal"/>
    <w:pPr>
      <w:spacing w:after="240" w:line="240" w:lineRule="atLeast"/>
    </w:pPr>
    <w:rPr>
      <w:b/>
      <w:sz w:val="22"/>
    </w:rPr>
  </w:style>
  <w:style w:type="paragraph" w:styleId="BodyTextIndent3">
    <w:name w:val="Body Text Indent 3"/>
    <w:basedOn w:val="Normal"/>
    <w:pPr>
      <w:ind w:left="-567" w:firstLine="567"/>
    </w:pPr>
    <w:rPr>
      <w:color w:val="000000"/>
      <w:sz w:val="18"/>
    </w:rPr>
  </w:style>
  <w:style w:type="paragraph" w:customStyle="1" w:styleId="Letter">
    <w:name w:val="Letter"/>
    <w:pPr>
      <w:spacing w:line="240" w:lineRule="atLeast"/>
    </w:pPr>
    <w:rPr>
      <w:sz w:val="24"/>
      <w:lang w:eastAsia="en-US"/>
    </w:rPr>
  </w:style>
  <w:style w:type="paragraph" w:styleId="NormalWeb">
    <w:name w:val="Normal (Web)"/>
    <w:basedOn w:val="Normal"/>
    <w:pPr>
      <w:spacing w:before="100" w:after="100"/>
    </w:pPr>
    <w:rPr>
      <w:rFonts w:ascii="Arial" w:eastAsia="Arial Unicode MS" w:hAnsi="Arial"/>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pPr>
      <w:jc w:val="both"/>
    </w:pPr>
    <w:rPr>
      <w:rFonts w:ascii="ZapfCalligr BT" w:hAnsi="ZapfCalligr BT"/>
    </w:rPr>
  </w:style>
  <w:style w:type="character" w:customStyle="1" w:styleId="resultshilight">
    <w:name w:val="results_hilight"/>
    <w:rPr>
      <w:shd w:val="clear" w:color="auto" w:fill="FFFF00"/>
    </w:rPr>
  </w:style>
  <w:style w:type="paragraph" w:customStyle="1" w:styleId="indent12">
    <w:name w:val="indent12"/>
    <w:basedOn w:val="Normal"/>
    <w:next w:val="Normal"/>
    <w:rsid w:val="004C4E8B"/>
    <w:pPr>
      <w:numPr>
        <w:numId w:val="5"/>
      </w:numPr>
      <w:jc w:val="both"/>
    </w:pPr>
    <w:rPr>
      <w:sz w:val="24"/>
    </w:rPr>
  </w:style>
  <w:style w:type="character" w:customStyle="1" w:styleId="kearnsa">
    <w:name w:val="kearnsa"/>
    <w:semiHidden/>
    <w:rsid w:val="004B6F13"/>
    <w:rPr>
      <w:rFonts w:ascii="Arial" w:hAnsi="Arial" w:cs="Arial"/>
      <w:b w:val="0"/>
      <w:bCs w:val="0"/>
      <w:i w:val="0"/>
      <w:iCs w:val="0"/>
      <w:strike w:val="0"/>
      <w:color w:val="auto"/>
      <w:sz w:val="18"/>
      <w:szCs w:val="18"/>
      <w:u w:val="none"/>
    </w:rPr>
  </w:style>
  <w:style w:type="character" w:customStyle="1" w:styleId="FooterChar">
    <w:name w:val="Footer Char"/>
    <w:link w:val="Footer"/>
    <w:uiPriority w:val="99"/>
    <w:rsid w:val="002565C4"/>
  </w:style>
  <w:style w:type="paragraph" w:styleId="CommentSubject">
    <w:name w:val="annotation subject"/>
    <w:basedOn w:val="CommentText"/>
    <w:next w:val="CommentText"/>
    <w:link w:val="CommentSubjectChar"/>
    <w:rsid w:val="00FC37BE"/>
    <w:pPr>
      <w:jc w:val="left"/>
    </w:pPr>
    <w:rPr>
      <w:rFonts w:ascii="Times New Roman" w:hAnsi="Times New Roman"/>
      <w:b/>
      <w:bCs/>
    </w:rPr>
  </w:style>
  <w:style w:type="character" w:customStyle="1" w:styleId="CommentTextChar">
    <w:name w:val="Comment Text Char"/>
    <w:link w:val="CommentText"/>
    <w:semiHidden/>
    <w:rsid w:val="00FC37BE"/>
    <w:rPr>
      <w:rFonts w:ascii="ZapfCalligr BT" w:hAnsi="ZapfCalligr BT"/>
    </w:rPr>
  </w:style>
  <w:style w:type="character" w:customStyle="1" w:styleId="CommentSubjectChar">
    <w:name w:val="Comment Subject Char"/>
    <w:link w:val="CommentSubject"/>
    <w:rsid w:val="00FC37BE"/>
    <w:rPr>
      <w:rFonts w:ascii="ZapfCalligr BT" w:hAnsi="ZapfCalligr BT"/>
      <w:b/>
      <w:bCs/>
    </w:rPr>
  </w:style>
  <w:style w:type="paragraph" w:customStyle="1" w:styleId="NormalAfterTables">
    <w:name w:val="Normal AfterTables"/>
    <w:basedOn w:val="Normal"/>
    <w:uiPriority w:val="99"/>
    <w:rsid w:val="00A72BB4"/>
    <w:pPr>
      <w:spacing w:before="120" w:after="105" w:line="210" w:lineRule="exact"/>
    </w:pPr>
    <w:rPr>
      <w:rFonts w:ascii="Trade Gothic LT Std Light" w:hAnsi="Trade Gothic LT Std Light"/>
      <w:spacing w:val="-3"/>
      <w:sz w:val="18"/>
      <w:szCs w:val="24"/>
    </w:rPr>
  </w:style>
  <w:style w:type="paragraph" w:styleId="ListParagraph">
    <w:name w:val="List Paragraph"/>
    <w:basedOn w:val="Normal"/>
    <w:uiPriority w:val="99"/>
    <w:qFormat/>
    <w:rsid w:val="00F2449D"/>
    <w:pPr>
      <w:ind w:left="720"/>
      <w:contextualSpacing/>
    </w:pPr>
  </w:style>
  <w:style w:type="paragraph" w:styleId="Revision">
    <w:name w:val="Revision"/>
    <w:hidden/>
    <w:uiPriority w:val="99"/>
    <w:semiHidden/>
    <w:rsid w:val="0075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8804">
      <w:bodyDiv w:val="1"/>
      <w:marLeft w:val="0"/>
      <w:marRight w:val="0"/>
      <w:marTop w:val="0"/>
      <w:marBottom w:val="0"/>
      <w:divBdr>
        <w:top w:val="none" w:sz="0" w:space="0" w:color="auto"/>
        <w:left w:val="none" w:sz="0" w:space="0" w:color="auto"/>
        <w:bottom w:val="none" w:sz="0" w:space="0" w:color="auto"/>
        <w:right w:val="none" w:sz="0" w:space="0" w:color="auto"/>
      </w:divBdr>
    </w:div>
    <w:div w:id="136067374">
      <w:bodyDiv w:val="1"/>
      <w:marLeft w:val="0"/>
      <w:marRight w:val="0"/>
      <w:marTop w:val="0"/>
      <w:marBottom w:val="0"/>
      <w:divBdr>
        <w:top w:val="none" w:sz="0" w:space="0" w:color="auto"/>
        <w:left w:val="none" w:sz="0" w:space="0" w:color="auto"/>
        <w:bottom w:val="none" w:sz="0" w:space="0" w:color="auto"/>
        <w:right w:val="none" w:sz="0" w:space="0" w:color="auto"/>
      </w:divBdr>
    </w:div>
    <w:div w:id="255402820">
      <w:bodyDiv w:val="1"/>
      <w:marLeft w:val="0"/>
      <w:marRight w:val="0"/>
      <w:marTop w:val="0"/>
      <w:marBottom w:val="0"/>
      <w:divBdr>
        <w:top w:val="none" w:sz="0" w:space="0" w:color="auto"/>
        <w:left w:val="none" w:sz="0" w:space="0" w:color="auto"/>
        <w:bottom w:val="none" w:sz="0" w:space="0" w:color="auto"/>
        <w:right w:val="none" w:sz="0" w:space="0" w:color="auto"/>
      </w:divBdr>
    </w:div>
    <w:div w:id="256596936">
      <w:bodyDiv w:val="1"/>
      <w:marLeft w:val="0"/>
      <w:marRight w:val="0"/>
      <w:marTop w:val="0"/>
      <w:marBottom w:val="0"/>
      <w:divBdr>
        <w:top w:val="none" w:sz="0" w:space="0" w:color="auto"/>
        <w:left w:val="none" w:sz="0" w:space="0" w:color="auto"/>
        <w:bottom w:val="none" w:sz="0" w:space="0" w:color="auto"/>
        <w:right w:val="none" w:sz="0" w:space="0" w:color="auto"/>
      </w:divBdr>
    </w:div>
    <w:div w:id="345254175">
      <w:bodyDiv w:val="1"/>
      <w:marLeft w:val="0"/>
      <w:marRight w:val="0"/>
      <w:marTop w:val="0"/>
      <w:marBottom w:val="0"/>
      <w:divBdr>
        <w:top w:val="none" w:sz="0" w:space="0" w:color="auto"/>
        <w:left w:val="none" w:sz="0" w:space="0" w:color="auto"/>
        <w:bottom w:val="none" w:sz="0" w:space="0" w:color="auto"/>
        <w:right w:val="none" w:sz="0" w:space="0" w:color="auto"/>
      </w:divBdr>
    </w:div>
    <w:div w:id="348801146">
      <w:bodyDiv w:val="1"/>
      <w:marLeft w:val="0"/>
      <w:marRight w:val="0"/>
      <w:marTop w:val="0"/>
      <w:marBottom w:val="0"/>
      <w:divBdr>
        <w:top w:val="none" w:sz="0" w:space="0" w:color="auto"/>
        <w:left w:val="none" w:sz="0" w:space="0" w:color="auto"/>
        <w:bottom w:val="none" w:sz="0" w:space="0" w:color="auto"/>
        <w:right w:val="none" w:sz="0" w:space="0" w:color="auto"/>
      </w:divBdr>
    </w:div>
    <w:div w:id="361322960">
      <w:bodyDiv w:val="1"/>
      <w:marLeft w:val="0"/>
      <w:marRight w:val="0"/>
      <w:marTop w:val="0"/>
      <w:marBottom w:val="0"/>
      <w:divBdr>
        <w:top w:val="none" w:sz="0" w:space="0" w:color="auto"/>
        <w:left w:val="none" w:sz="0" w:space="0" w:color="auto"/>
        <w:bottom w:val="none" w:sz="0" w:space="0" w:color="auto"/>
        <w:right w:val="none" w:sz="0" w:space="0" w:color="auto"/>
      </w:divBdr>
    </w:div>
    <w:div w:id="555360116">
      <w:bodyDiv w:val="1"/>
      <w:marLeft w:val="0"/>
      <w:marRight w:val="0"/>
      <w:marTop w:val="0"/>
      <w:marBottom w:val="0"/>
      <w:divBdr>
        <w:top w:val="none" w:sz="0" w:space="0" w:color="auto"/>
        <w:left w:val="none" w:sz="0" w:space="0" w:color="auto"/>
        <w:bottom w:val="none" w:sz="0" w:space="0" w:color="auto"/>
        <w:right w:val="none" w:sz="0" w:space="0" w:color="auto"/>
      </w:divBdr>
    </w:div>
    <w:div w:id="568809467">
      <w:bodyDiv w:val="1"/>
      <w:marLeft w:val="0"/>
      <w:marRight w:val="0"/>
      <w:marTop w:val="0"/>
      <w:marBottom w:val="0"/>
      <w:divBdr>
        <w:top w:val="none" w:sz="0" w:space="0" w:color="auto"/>
        <w:left w:val="none" w:sz="0" w:space="0" w:color="auto"/>
        <w:bottom w:val="none" w:sz="0" w:space="0" w:color="auto"/>
        <w:right w:val="none" w:sz="0" w:space="0" w:color="auto"/>
      </w:divBdr>
    </w:div>
    <w:div w:id="593897504">
      <w:bodyDiv w:val="1"/>
      <w:marLeft w:val="0"/>
      <w:marRight w:val="0"/>
      <w:marTop w:val="0"/>
      <w:marBottom w:val="0"/>
      <w:divBdr>
        <w:top w:val="none" w:sz="0" w:space="0" w:color="auto"/>
        <w:left w:val="none" w:sz="0" w:space="0" w:color="auto"/>
        <w:bottom w:val="none" w:sz="0" w:space="0" w:color="auto"/>
        <w:right w:val="none" w:sz="0" w:space="0" w:color="auto"/>
      </w:divBdr>
    </w:div>
    <w:div w:id="607350387">
      <w:bodyDiv w:val="1"/>
      <w:marLeft w:val="0"/>
      <w:marRight w:val="0"/>
      <w:marTop w:val="0"/>
      <w:marBottom w:val="0"/>
      <w:divBdr>
        <w:top w:val="none" w:sz="0" w:space="0" w:color="auto"/>
        <w:left w:val="none" w:sz="0" w:space="0" w:color="auto"/>
        <w:bottom w:val="none" w:sz="0" w:space="0" w:color="auto"/>
        <w:right w:val="none" w:sz="0" w:space="0" w:color="auto"/>
      </w:divBdr>
    </w:div>
    <w:div w:id="702902511">
      <w:bodyDiv w:val="1"/>
      <w:marLeft w:val="0"/>
      <w:marRight w:val="0"/>
      <w:marTop w:val="0"/>
      <w:marBottom w:val="0"/>
      <w:divBdr>
        <w:top w:val="none" w:sz="0" w:space="0" w:color="auto"/>
        <w:left w:val="none" w:sz="0" w:space="0" w:color="auto"/>
        <w:bottom w:val="none" w:sz="0" w:space="0" w:color="auto"/>
        <w:right w:val="none" w:sz="0" w:space="0" w:color="auto"/>
      </w:divBdr>
    </w:div>
    <w:div w:id="739714349">
      <w:bodyDiv w:val="1"/>
      <w:marLeft w:val="0"/>
      <w:marRight w:val="0"/>
      <w:marTop w:val="0"/>
      <w:marBottom w:val="0"/>
      <w:divBdr>
        <w:top w:val="none" w:sz="0" w:space="0" w:color="auto"/>
        <w:left w:val="none" w:sz="0" w:space="0" w:color="auto"/>
        <w:bottom w:val="none" w:sz="0" w:space="0" w:color="auto"/>
        <w:right w:val="none" w:sz="0" w:space="0" w:color="auto"/>
      </w:divBdr>
      <w:divsChild>
        <w:div w:id="257644735">
          <w:marLeft w:val="0"/>
          <w:marRight w:val="0"/>
          <w:marTop w:val="0"/>
          <w:marBottom w:val="0"/>
          <w:divBdr>
            <w:top w:val="none" w:sz="0" w:space="0" w:color="auto"/>
            <w:left w:val="none" w:sz="0" w:space="0" w:color="auto"/>
            <w:bottom w:val="none" w:sz="0" w:space="0" w:color="auto"/>
            <w:right w:val="none" w:sz="0" w:space="0" w:color="auto"/>
          </w:divBdr>
        </w:div>
      </w:divsChild>
    </w:div>
    <w:div w:id="745805658">
      <w:bodyDiv w:val="1"/>
      <w:marLeft w:val="0"/>
      <w:marRight w:val="0"/>
      <w:marTop w:val="0"/>
      <w:marBottom w:val="0"/>
      <w:divBdr>
        <w:top w:val="none" w:sz="0" w:space="0" w:color="auto"/>
        <w:left w:val="none" w:sz="0" w:space="0" w:color="auto"/>
        <w:bottom w:val="none" w:sz="0" w:space="0" w:color="auto"/>
        <w:right w:val="none" w:sz="0" w:space="0" w:color="auto"/>
      </w:divBdr>
    </w:div>
    <w:div w:id="810907849">
      <w:bodyDiv w:val="1"/>
      <w:marLeft w:val="0"/>
      <w:marRight w:val="0"/>
      <w:marTop w:val="0"/>
      <w:marBottom w:val="0"/>
      <w:divBdr>
        <w:top w:val="none" w:sz="0" w:space="0" w:color="auto"/>
        <w:left w:val="none" w:sz="0" w:space="0" w:color="auto"/>
        <w:bottom w:val="none" w:sz="0" w:space="0" w:color="auto"/>
        <w:right w:val="none" w:sz="0" w:space="0" w:color="auto"/>
      </w:divBdr>
    </w:div>
    <w:div w:id="907301721">
      <w:bodyDiv w:val="1"/>
      <w:marLeft w:val="0"/>
      <w:marRight w:val="0"/>
      <w:marTop w:val="0"/>
      <w:marBottom w:val="0"/>
      <w:divBdr>
        <w:top w:val="none" w:sz="0" w:space="0" w:color="auto"/>
        <w:left w:val="none" w:sz="0" w:space="0" w:color="auto"/>
        <w:bottom w:val="none" w:sz="0" w:space="0" w:color="auto"/>
        <w:right w:val="none" w:sz="0" w:space="0" w:color="auto"/>
      </w:divBdr>
    </w:div>
    <w:div w:id="920871597">
      <w:bodyDiv w:val="1"/>
      <w:marLeft w:val="0"/>
      <w:marRight w:val="0"/>
      <w:marTop w:val="0"/>
      <w:marBottom w:val="0"/>
      <w:divBdr>
        <w:top w:val="none" w:sz="0" w:space="0" w:color="auto"/>
        <w:left w:val="none" w:sz="0" w:space="0" w:color="auto"/>
        <w:bottom w:val="none" w:sz="0" w:space="0" w:color="auto"/>
        <w:right w:val="none" w:sz="0" w:space="0" w:color="auto"/>
      </w:divBdr>
    </w:div>
    <w:div w:id="954025763">
      <w:bodyDiv w:val="1"/>
      <w:marLeft w:val="0"/>
      <w:marRight w:val="0"/>
      <w:marTop w:val="0"/>
      <w:marBottom w:val="0"/>
      <w:divBdr>
        <w:top w:val="none" w:sz="0" w:space="0" w:color="auto"/>
        <w:left w:val="none" w:sz="0" w:space="0" w:color="auto"/>
        <w:bottom w:val="none" w:sz="0" w:space="0" w:color="auto"/>
        <w:right w:val="none" w:sz="0" w:space="0" w:color="auto"/>
      </w:divBdr>
    </w:div>
    <w:div w:id="964430298">
      <w:bodyDiv w:val="1"/>
      <w:marLeft w:val="0"/>
      <w:marRight w:val="0"/>
      <w:marTop w:val="0"/>
      <w:marBottom w:val="0"/>
      <w:divBdr>
        <w:top w:val="none" w:sz="0" w:space="0" w:color="auto"/>
        <w:left w:val="none" w:sz="0" w:space="0" w:color="auto"/>
        <w:bottom w:val="none" w:sz="0" w:space="0" w:color="auto"/>
        <w:right w:val="none" w:sz="0" w:space="0" w:color="auto"/>
      </w:divBdr>
    </w:div>
    <w:div w:id="1112169800">
      <w:bodyDiv w:val="1"/>
      <w:marLeft w:val="0"/>
      <w:marRight w:val="0"/>
      <w:marTop w:val="0"/>
      <w:marBottom w:val="0"/>
      <w:divBdr>
        <w:top w:val="none" w:sz="0" w:space="0" w:color="auto"/>
        <w:left w:val="none" w:sz="0" w:space="0" w:color="auto"/>
        <w:bottom w:val="none" w:sz="0" w:space="0" w:color="auto"/>
        <w:right w:val="none" w:sz="0" w:space="0" w:color="auto"/>
      </w:divBdr>
    </w:div>
    <w:div w:id="1118262776">
      <w:bodyDiv w:val="1"/>
      <w:marLeft w:val="0"/>
      <w:marRight w:val="0"/>
      <w:marTop w:val="0"/>
      <w:marBottom w:val="0"/>
      <w:divBdr>
        <w:top w:val="none" w:sz="0" w:space="0" w:color="auto"/>
        <w:left w:val="none" w:sz="0" w:space="0" w:color="auto"/>
        <w:bottom w:val="none" w:sz="0" w:space="0" w:color="auto"/>
        <w:right w:val="none" w:sz="0" w:space="0" w:color="auto"/>
      </w:divBdr>
    </w:div>
    <w:div w:id="1164275189">
      <w:bodyDiv w:val="1"/>
      <w:marLeft w:val="0"/>
      <w:marRight w:val="0"/>
      <w:marTop w:val="0"/>
      <w:marBottom w:val="0"/>
      <w:divBdr>
        <w:top w:val="none" w:sz="0" w:space="0" w:color="auto"/>
        <w:left w:val="none" w:sz="0" w:space="0" w:color="auto"/>
        <w:bottom w:val="none" w:sz="0" w:space="0" w:color="auto"/>
        <w:right w:val="none" w:sz="0" w:space="0" w:color="auto"/>
      </w:divBdr>
    </w:div>
    <w:div w:id="1298491135">
      <w:bodyDiv w:val="1"/>
      <w:marLeft w:val="0"/>
      <w:marRight w:val="0"/>
      <w:marTop w:val="0"/>
      <w:marBottom w:val="0"/>
      <w:divBdr>
        <w:top w:val="none" w:sz="0" w:space="0" w:color="auto"/>
        <w:left w:val="none" w:sz="0" w:space="0" w:color="auto"/>
        <w:bottom w:val="none" w:sz="0" w:space="0" w:color="auto"/>
        <w:right w:val="none" w:sz="0" w:space="0" w:color="auto"/>
      </w:divBdr>
    </w:div>
    <w:div w:id="1317340587">
      <w:bodyDiv w:val="1"/>
      <w:marLeft w:val="0"/>
      <w:marRight w:val="0"/>
      <w:marTop w:val="0"/>
      <w:marBottom w:val="0"/>
      <w:divBdr>
        <w:top w:val="none" w:sz="0" w:space="0" w:color="auto"/>
        <w:left w:val="none" w:sz="0" w:space="0" w:color="auto"/>
        <w:bottom w:val="none" w:sz="0" w:space="0" w:color="auto"/>
        <w:right w:val="none" w:sz="0" w:space="0" w:color="auto"/>
      </w:divBdr>
    </w:div>
    <w:div w:id="1331299913">
      <w:bodyDiv w:val="1"/>
      <w:marLeft w:val="0"/>
      <w:marRight w:val="0"/>
      <w:marTop w:val="0"/>
      <w:marBottom w:val="0"/>
      <w:divBdr>
        <w:top w:val="none" w:sz="0" w:space="0" w:color="auto"/>
        <w:left w:val="none" w:sz="0" w:space="0" w:color="auto"/>
        <w:bottom w:val="none" w:sz="0" w:space="0" w:color="auto"/>
        <w:right w:val="none" w:sz="0" w:space="0" w:color="auto"/>
      </w:divBdr>
    </w:div>
    <w:div w:id="1517496164">
      <w:bodyDiv w:val="1"/>
      <w:marLeft w:val="0"/>
      <w:marRight w:val="0"/>
      <w:marTop w:val="0"/>
      <w:marBottom w:val="0"/>
      <w:divBdr>
        <w:top w:val="none" w:sz="0" w:space="0" w:color="auto"/>
        <w:left w:val="none" w:sz="0" w:space="0" w:color="auto"/>
        <w:bottom w:val="none" w:sz="0" w:space="0" w:color="auto"/>
        <w:right w:val="none" w:sz="0" w:space="0" w:color="auto"/>
      </w:divBdr>
    </w:div>
    <w:div w:id="1850293047">
      <w:bodyDiv w:val="1"/>
      <w:marLeft w:val="0"/>
      <w:marRight w:val="0"/>
      <w:marTop w:val="0"/>
      <w:marBottom w:val="0"/>
      <w:divBdr>
        <w:top w:val="none" w:sz="0" w:space="0" w:color="auto"/>
        <w:left w:val="none" w:sz="0" w:space="0" w:color="auto"/>
        <w:bottom w:val="none" w:sz="0" w:space="0" w:color="auto"/>
        <w:right w:val="none" w:sz="0" w:space="0" w:color="auto"/>
      </w:divBdr>
    </w:div>
    <w:div w:id="1865829156">
      <w:bodyDiv w:val="1"/>
      <w:marLeft w:val="0"/>
      <w:marRight w:val="0"/>
      <w:marTop w:val="0"/>
      <w:marBottom w:val="0"/>
      <w:divBdr>
        <w:top w:val="none" w:sz="0" w:space="0" w:color="auto"/>
        <w:left w:val="none" w:sz="0" w:space="0" w:color="auto"/>
        <w:bottom w:val="none" w:sz="0" w:space="0" w:color="auto"/>
        <w:right w:val="none" w:sz="0" w:space="0" w:color="auto"/>
      </w:divBdr>
    </w:div>
    <w:div w:id="1918051425">
      <w:bodyDiv w:val="1"/>
      <w:marLeft w:val="0"/>
      <w:marRight w:val="0"/>
      <w:marTop w:val="0"/>
      <w:marBottom w:val="0"/>
      <w:divBdr>
        <w:top w:val="none" w:sz="0" w:space="0" w:color="auto"/>
        <w:left w:val="none" w:sz="0" w:space="0" w:color="auto"/>
        <w:bottom w:val="none" w:sz="0" w:space="0" w:color="auto"/>
        <w:right w:val="none" w:sz="0" w:space="0" w:color="auto"/>
      </w:divBdr>
    </w:div>
    <w:div w:id="1976175006">
      <w:bodyDiv w:val="1"/>
      <w:marLeft w:val="0"/>
      <w:marRight w:val="0"/>
      <w:marTop w:val="0"/>
      <w:marBottom w:val="0"/>
      <w:divBdr>
        <w:top w:val="none" w:sz="0" w:space="0" w:color="auto"/>
        <w:left w:val="none" w:sz="0" w:space="0" w:color="auto"/>
        <w:bottom w:val="none" w:sz="0" w:space="0" w:color="auto"/>
        <w:right w:val="none" w:sz="0" w:space="0" w:color="auto"/>
      </w:divBdr>
    </w:div>
    <w:div w:id="1981491418">
      <w:bodyDiv w:val="1"/>
      <w:marLeft w:val="0"/>
      <w:marRight w:val="0"/>
      <w:marTop w:val="0"/>
      <w:marBottom w:val="0"/>
      <w:divBdr>
        <w:top w:val="none" w:sz="0" w:space="0" w:color="auto"/>
        <w:left w:val="none" w:sz="0" w:space="0" w:color="auto"/>
        <w:bottom w:val="none" w:sz="0" w:space="0" w:color="auto"/>
        <w:right w:val="none" w:sz="0" w:space="0" w:color="auto"/>
      </w:divBdr>
    </w:div>
    <w:div w:id="1986545717">
      <w:bodyDiv w:val="1"/>
      <w:marLeft w:val="0"/>
      <w:marRight w:val="0"/>
      <w:marTop w:val="0"/>
      <w:marBottom w:val="0"/>
      <w:divBdr>
        <w:top w:val="none" w:sz="0" w:space="0" w:color="auto"/>
        <w:left w:val="none" w:sz="0" w:space="0" w:color="auto"/>
        <w:bottom w:val="none" w:sz="0" w:space="0" w:color="auto"/>
        <w:right w:val="none" w:sz="0" w:space="0" w:color="auto"/>
      </w:divBdr>
    </w:div>
    <w:div w:id="1989940662">
      <w:bodyDiv w:val="1"/>
      <w:marLeft w:val="0"/>
      <w:marRight w:val="0"/>
      <w:marTop w:val="0"/>
      <w:marBottom w:val="0"/>
      <w:divBdr>
        <w:top w:val="none" w:sz="0" w:space="0" w:color="auto"/>
        <w:left w:val="none" w:sz="0" w:space="0" w:color="auto"/>
        <w:bottom w:val="none" w:sz="0" w:space="0" w:color="auto"/>
        <w:right w:val="none" w:sz="0" w:space="0" w:color="auto"/>
      </w:divBdr>
    </w:div>
    <w:div w:id="2081710688">
      <w:bodyDiv w:val="1"/>
      <w:marLeft w:val="0"/>
      <w:marRight w:val="0"/>
      <w:marTop w:val="0"/>
      <w:marBottom w:val="0"/>
      <w:divBdr>
        <w:top w:val="none" w:sz="0" w:space="0" w:color="auto"/>
        <w:left w:val="none" w:sz="0" w:space="0" w:color="auto"/>
        <w:bottom w:val="none" w:sz="0" w:space="0" w:color="auto"/>
        <w:right w:val="none" w:sz="0" w:space="0" w:color="auto"/>
      </w:divBdr>
    </w:div>
    <w:div w:id="21079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8E31-7DFD-4C6B-BCCF-9EA038BF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5797</Words>
  <Characters>32782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2019-03-19T18:46:00Z</dcterms:created>
  <dcterms:modified xsi:type="dcterms:W3CDTF">2019-03-19T18:46:00Z</dcterms:modified>
</cp:coreProperties>
</file>