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64F2" w14:textId="77777777" w:rsidR="00516C0D" w:rsidRDefault="00516C0D" w:rsidP="00E63F60">
      <w:pPr>
        <w:jc w:val="center"/>
        <w:rPr>
          <w:rFonts w:ascii="Arial" w:hAnsi="Arial" w:cs="Arial"/>
          <w:b/>
        </w:rPr>
      </w:pPr>
    </w:p>
    <w:p w14:paraId="5AFF6D46" w14:textId="29C0552C" w:rsidR="00E63F60" w:rsidRDefault="00565E59" w:rsidP="00E63F60">
      <w:pPr>
        <w:jc w:val="center"/>
        <w:rPr>
          <w:rFonts w:ascii="Arial" w:hAnsi="Arial" w:cs="Arial"/>
          <w:b/>
        </w:rPr>
      </w:pPr>
      <w:r w:rsidRPr="00AC598B">
        <w:rPr>
          <w:rFonts w:ascii="Arial" w:hAnsi="Arial" w:cs="Arial"/>
          <w:b/>
        </w:rPr>
        <w:t xml:space="preserve">Half </w:t>
      </w:r>
      <w:r w:rsidR="008E6D54" w:rsidRPr="00AC598B">
        <w:rPr>
          <w:rFonts w:ascii="Arial" w:hAnsi="Arial" w:cs="Arial"/>
          <w:b/>
        </w:rPr>
        <w:t>y</w:t>
      </w:r>
      <w:r w:rsidRPr="00AC598B">
        <w:rPr>
          <w:rFonts w:ascii="Arial" w:hAnsi="Arial" w:cs="Arial"/>
          <w:b/>
        </w:rPr>
        <w:t xml:space="preserve">ear </w:t>
      </w:r>
      <w:r w:rsidR="009D7DE0" w:rsidRPr="00AC598B">
        <w:rPr>
          <w:rFonts w:ascii="Arial" w:hAnsi="Arial" w:cs="Arial"/>
          <w:b/>
        </w:rPr>
        <w:t>results</w:t>
      </w:r>
      <w:r w:rsidR="00E63F60">
        <w:rPr>
          <w:rFonts w:ascii="Arial" w:hAnsi="Arial" w:cs="Arial"/>
          <w:b/>
        </w:rPr>
        <w:t xml:space="preserve"> </w:t>
      </w:r>
      <w:r w:rsidR="00DF23DF" w:rsidRPr="00AC598B">
        <w:rPr>
          <w:rFonts w:ascii="Arial" w:hAnsi="Arial" w:cs="Arial"/>
          <w:b/>
        </w:rPr>
        <w:t>for</w:t>
      </w:r>
      <w:r w:rsidR="00A359EE" w:rsidRPr="00AC598B">
        <w:rPr>
          <w:rFonts w:ascii="Arial" w:hAnsi="Arial" w:cs="Arial"/>
          <w:b/>
        </w:rPr>
        <w:t xml:space="preserve"> the</w:t>
      </w:r>
      <w:r w:rsidR="00DF23DF" w:rsidRPr="00AC598B">
        <w:rPr>
          <w:rFonts w:ascii="Arial" w:hAnsi="Arial" w:cs="Arial"/>
          <w:b/>
        </w:rPr>
        <w:t xml:space="preserve"> 6 months </w:t>
      </w:r>
      <w:r w:rsidR="009D7DE0" w:rsidRPr="00AC598B">
        <w:rPr>
          <w:rFonts w:ascii="Arial" w:hAnsi="Arial" w:cs="Arial"/>
          <w:b/>
        </w:rPr>
        <w:t xml:space="preserve">ended </w:t>
      </w:r>
      <w:r w:rsidR="00686549" w:rsidRPr="00AC598B">
        <w:rPr>
          <w:rFonts w:ascii="Arial" w:hAnsi="Arial" w:cs="Arial"/>
          <w:b/>
        </w:rPr>
        <w:t xml:space="preserve">31 </w:t>
      </w:r>
      <w:r w:rsidR="00DF23DF" w:rsidRPr="00AC598B">
        <w:rPr>
          <w:rFonts w:ascii="Arial" w:hAnsi="Arial" w:cs="Arial"/>
          <w:b/>
        </w:rPr>
        <w:t xml:space="preserve">July </w:t>
      </w:r>
      <w:r w:rsidR="00686549" w:rsidRPr="00AC598B">
        <w:rPr>
          <w:rFonts w:ascii="Arial" w:hAnsi="Arial" w:cs="Arial"/>
          <w:b/>
        </w:rPr>
        <w:t>201</w:t>
      </w:r>
      <w:r w:rsidR="00D052F9">
        <w:rPr>
          <w:rFonts w:ascii="Arial" w:hAnsi="Arial" w:cs="Arial"/>
          <w:b/>
        </w:rPr>
        <w:t>8</w:t>
      </w:r>
      <w:r w:rsidR="001F4811">
        <w:rPr>
          <w:rFonts w:ascii="Arial" w:hAnsi="Arial" w:cs="Arial"/>
          <w:b/>
        </w:rPr>
        <w:t xml:space="preserve"> </w:t>
      </w:r>
      <w:r w:rsidR="001F4811" w:rsidRPr="00522D61">
        <w:rPr>
          <w:rFonts w:ascii="Arial" w:hAnsi="Arial" w:cs="Arial"/>
          <w:b/>
        </w:rPr>
        <w:t xml:space="preserve">(Year </w:t>
      </w:r>
      <w:r w:rsidR="001F4811">
        <w:rPr>
          <w:rFonts w:ascii="Arial" w:hAnsi="Arial" w:cs="Arial"/>
          <w:b/>
        </w:rPr>
        <w:t>3</w:t>
      </w:r>
      <w:r w:rsidR="001F4811" w:rsidRPr="00522D61">
        <w:rPr>
          <w:rFonts w:ascii="Arial" w:hAnsi="Arial" w:cs="Arial"/>
          <w:b/>
        </w:rPr>
        <w:t xml:space="preserve"> of our </w:t>
      </w:r>
      <w:proofErr w:type="gramStart"/>
      <w:r w:rsidR="001F4811" w:rsidRPr="00522D61">
        <w:rPr>
          <w:rFonts w:ascii="Arial" w:hAnsi="Arial" w:cs="Arial"/>
          <w:b/>
        </w:rPr>
        <w:t>5 year</w:t>
      </w:r>
      <w:proofErr w:type="gramEnd"/>
      <w:r w:rsidR="001F4811" w:rsidRPr="00522D61">
        <w:rPr>
          <w:rFonts w:ascii="Arial" w:hAnsi="Arial" w:cs="Arial"/>
          <w:b/>
        </w:rPr>
        <w:t xml:space="preserve"> transformation)</w:t>
      </w:r>
      <w:r w:rsidR="00E63F60">
        <w:rPr>
          <w:rFonts w:ascii="Arial" w:hAnsi="Arial" w:cs="Arial"/>
          <w:b/>
        </w:rPr>
        <w:t xml:space="preserve"> </w:t>
      </w:r>
    </w:p>
    <w:p w14:paraId="41AFDF46" w14:textId="77E375B0" w:rsidR="007769BE" w:rsidRDefault="007769BE" w:rsidP="00440B16">
      <w:pPr>
        <w:rPr>
          <w:rFonts w:ascii="Arial" w:hAnsi="Arial" w:cs="Arial"/>
          <w:b/>
          <w:bCs/>
          <w:u w:val="single"/>
        </w:rPr>
      </w:pPr>
    </w:p>
    <w:tbl>
      <w:tblPr>
        <w:tblStyle w:val="TableGrid"/>
        <w:tblW w:w="0" w:type="auto"/>
        <w:tblLook w:val="04A0" w:firstRow="1" w:lastRow="0" w:firstColumn="1" w:lastColumn="0" w:noHBand="0" w:noVBand="1"/>
      </w:tblPr>
      <w:tblGrid>
        <w:gridCol w:w="9631"/>
      </w:tblGrid>
      <w:tr w:rsidR="007769BE" w14:paraId="1C18106B" w14:textId="77777777" w:rsidTr="00456F9F">
        <w:tc>
          <w:tcPr>
            <w:tcW w:w="9631" w:type="dxa"/>
          </w:tcPr>
          <w:tbl>
            <w:tblPr>
              <w:tblStyle w:val="TableGrid"/>
              <w:tblW w:w="5000" w:type="pct"/>
              <w:tblLook w:val="04A0" w:firstRow="1" w:lastRow="0" w:firstColumn="1" w:lastColumn="0" w:noHBand="0" w:noVBand="1"/>
            </w:tblPr>
            <w:tblGrid>
              <w:gridCol w:w="3011"/>
              <w:gridCol w:w="1177"/>
              <w:gridCol w:w="1440"/>
              <w:gridCol w:w="1447"/>
              <w:gridCol w:w="1170"/>
              <w:gridCol w:w="1170"/>
            </w:tblGrid>
            <w:tr w:rsidR="00153759" w14:paraId="330E72FC" w14:textId="77777777" w:rsidTr="001064D3">
              <w:trPr>
                <w:trHeight w:val="679"/>
              </w:trPr>
              <w:tc>
                <w:tcPr>
                  <w:tcW w:w="5628" w:type="dxa"/>
                  <w:gridSpan w:val="3"/>
                  <w:tcBorders>
                    <w:top w:val="nil"/>
                    <w:left w:val="nil"/>
                    <w:bottom w:val="single" w:sz="4" w:space="0" w:color="auto"/>
                    <w:right w:val="nil"/>
                  </w:tcBorders>
                </w:tcPr>
                <w:p w14:paraId="3776B41B" w14:textId="77777777" w:rsidR="007769BE" w:rsidRPr="007510DF" w:rsidRDefault="007769BE" w:rsidP="00456F9F">
                  <w:pPr>
                    <w:rPr>
                      <w:rFonts w:ascii="Arial" w:hAnsi="Arial" w:cs="Arial"/>
                      <w:bCs/>
                      <w:szCs w:val="22"/>
                    </w:rPr>
                  </w:pPr>
                </w:p>
                <w:p w14:paraId="5FE84EBE" w14:textId="77777777" w:rsidR="007769BE" w:rsidRPr="007510DF" w:rsidRDefault="007769BE" w:rsidP="00456F9F">
                  <w:pPr>
                    <w:rPr>
                      <w:b/>
                      <w:sz w:val="22"/>
                      <w:szCs w:val="22"/>
                    </w:rPr>
                  </w:pPr>
                  <w:r w:rsidRPr="004854B4">
                    <w:rPr>
                      <w:rFonts w:ascii="Arial" w:hAnsi="Arial" w:cs="Arial"/>
                      <w:b/>
                      <w:bCs/>
                    </w:rPr>
                    <w:t>Financial highlights</w:t>
                  </w:r>
                </w:p>
              </w:tc>
              <w:tc>
                <w:tcPr>
                  <w:tcW w:w="1447" w:type="dxa"/>
                  <w:tcBorders>
                    <w:top w:val="nil"/>
                    <w:left w:val="nil"/>
                    <w:bottom w:val="single" w:sz="4" w:space="0" w:color="auto"/>
                    <w:right w:val="nil"/>
                  </w:tcBorders>
                </w:tcPr>
                <w:p w14:paraId="6E21AE2E" w14:textId="77777777" w:rsidR="007769BE" w:rsidRPr="007510DF" w:rsidRDefault="007769BE" w:rsidP="00456F9F">
                  <w:pPr>
                    <w:jc w:val="right"/>
                    <w:rPr>
                      <w:rFonts w:ascii="Arial" w:hAnsi="Arial" w:cs="Arial"/>
                      <w:b/>
                      <w:bCs/>
                      <w:szCs w:val="22"/>
                    </w:rPr>
                  </w:pPr>
                </w:p>
                <w:p w14:paraId="1D240EC7" w14:textId="77777777" w:rsidR="007769BE" w:rsidRPr="007510DF" w:rsidRDefault="007769BE" w:rsidP="00456F9F">
                  <w:pPr>
                    <w:jc w:val="right"/>
                    <w:rPr>
                      <w:rFonts w:ascii="Arial" w:hAnsi="Arial" w:cs="Arial"/>
                      <w:b/>
                      <w:bCs/>
                      <w:szCs w:val="22"/>
                    </w:rPr>
                  </w:pPr>
                  <w:r w:rsidRPr="007510DF">
                    <w:rPr>
                      <w:rFonts w:ascii="Arial" w:hAnsi="Arial" w:cs="Arial"/>
                      <w:b/>
                      <w:bCs/>
                    </w:rPr>
                    <w:t xml:space="preserve">% Total </w:t>
                  </w:r>
                </w:p>
                <w:p w14:paraId="0B57A9B5" w14:textId="77777777" w:rsidR="007769BE" w:rsidRPr="007510DF" w:rsidRDefault="007769BE" w:rsidP="00456F9F">
                  <w:pPr>
                    <w:jc w:val="right"/>
                    <w:rPr>
                      <w:b/>
                      <w:szCs w:val="22"/>
                    </w:rPr>
                  </w:pPr>
                  <w:r w:rsidRPr="007510DF">
                    <w:rPr>
                      <w:rFonts w:ascii="Arial" w:hAnsi="Arial" w:cs="Arial"/>
                      <w:b/>
                      <w:bCs/>
                    </w:rPr>
                    <w:t>Change</w:t>
                  </w:r>
                </w:p>
              </w:tc>
              <w:tc>
                <w:tcPr>
                  <w:tcW w:w="1170" w:type="dxa"/>
                  <w:tcBorders>
                    <w:top w:val="nil"/>
                    <w:left w:val="nil"/>
                    <w:bottom w:val="single" w:sz="4" w:space="0" w:color="auto"/>
                    <w:right w:val="nil"/>
                  </w:tcBorders>
                </w:tcPr>
                <w:p w14:paraId="3D164E2F" w14:textId="77777777" w:rsidR="007769BE" w:rsidRPr="007510DF" w:rsidRDefault="007769BE" w:rsidP="00456F9F">
                  <w:pPr>
                    <w:jc w:val="right"/>
                    <w:rPr>
                      <w:rFonts w:ascii="Arial" w:hAnsi="Arial" w:cs="Arial"/>
                      <w:b/>
                      <w:bCs/>
                      <w:szCs w:val="22"/>
                    </w:rPr>
                  </w:pPr>
                </w:p>
                <w:p w14:paraId="1BC23B37" w14:textId="77777777" w:rsidR="007769BE" w:rsidRPr="007510DF" w:rsidRDefault="007769BE" w:rsidP="00456F9F">
                  <w:pPr>
                    <w:jc w:val="right"/>
                    <w:rPr>
                      <w:b/>
                      <w:szCs w:val="22"/>
                    </w:rPr>
                  </w:pPr>
                  <w:r w:rsidRPr="007510DF">
                    <w:rPr>
                      <w:rFonts w:ascii="Arial" w:hAnsi="Arial" w:cs="Arial"/>
                      <w:b/>
                      <w:bCs/>
                    </w:rPr>
                    <w:t>% Total Change</w:t>
                  </w:r>
                </w:p>
              </w:tc>
              <w:tc>
                <w:tcPr>
                  <w:tcW w:w="1170" w:type="dxa"/>
                  <w:tcBorders>
                    <w:top w:val="nil"/>
                    <w:left w:val="nil"/>
                    <w:bottom w:val="single" w:sz="4" w:space="0" w:color="auto"/>
                    <w:right w:val="nil"/>
                  </w:tcBorders>
                </w:tcPr>
                <w:p w14:paraId="0566742B" w14:textId="77777777" w:rsidR="007769BE" w:rsidRPr="007510DF" w:rsidRDefault="007769BE" w:rsidP="00456F9F">
                  <w:pPr>
                    <w:ind w:right="33"/>
                    <w:jc w:val="right"/>
                    <w:rPr>
                      <w:rFonts w:ascii="Arial" w:hAnsi="Arial" w:cs="Arial"/>
                      <w:b/>
                      <w:bCs/>
                      <w:szCs w:val="22"/>
                    </w:rPr>
                  </w:pPr>
                </w:p>
                <w:p w14:paraId="4683382A" w14:textId="77777777" w:rsidR="007769BE" w:rsidRPr="007510DF" w:rsidRDefault="007769BE" w:rsidP="00456F9F">
                  <w:pPr>
                    <w:ind w:right="33"/>
                    <w:jc w:val="right"/>
                    <w:rPr>
                      <w:b/>
                      <w:szCs w:val="22"/>
                    </w:rPr>
                  </w:pPr>
                  <w:r w:rsidRPr="007510DF">
                    <w:rPr>
                      <w:rFonts w:ascii="Arial" w:hAnsi="Arial" w:cs="Arial"/>
                      <w:b/>
                      <w:bCs/>
                    </w:rPr>
                    <w:t>% LFL* Change</w:t>
                  </w:r>
                </w:p>
              </w:tc>
            </w:tr>
            <w:tr w:rsidR="008F7CE8" w14:paraId="6DF2216D" w14:textId="77777777" w:rsidTr="001064D3">
              <w:trPr>
                <w:trHeight w:val="539"/>
              </w:trPr>
              <w:tc>
                <w:tcPr>
                  <w:tcW w:w="3011" w:type="dxa"/>
                  <w:tcBorders>
                    <w:top w:val="single" w:sz="4" w:space="0" w:color="auto"/>
                    <w:left w:val="nil"/>
                    <w:bottom w:val="single" w:sz="4" w:space="0" w:color="auto"/>
                    <w:right w:val="nil"/>
                  </w:tcBorders>
                </w:tcPr>
                <w:p w14:paraId="4C5DEB36" w14:textId="77777777" w:rsidR="007769BE" w:rsidRPr="004854B4" w:rsidRDefault="007769BE" w:rsidP="00456F9F">
                  <w:pPr>
                    <w:rPr>
                      <w:sz w:val="22"/>
                      <w:szCs w:val="22"/>
                    </w:rPr>
                  </w:pPr>
                </w:p>
              </w:tc>
              <w:tc>
                <w:tcPr>
                  <w:tcW w:w="1177" w:type="dxa"/>
                  <w:tcBorders>
                    <w:top w:val="single" w:sz="4" w:space="0" w:color="auto"/>
                    <w:left w:val="nil"/>
                    <w:bottom w:val="single" w:sz="4" w:space="0" w:color="auto"/>
                    <w:right w:val="nil"/>
                  </w:tcBorders>
                </w:tcPr>
                <w:p w14:paraId="4A156343" w14:textId="0DCB7FA2" w:rsidR="007769BE" w:rsidRPr="007510DF" w:rsidRDefault="007769BE" w:rsidP="00456F9F">
                  <w:pPr>
                    <w:jc w:val="right"/>
                    <w:rPr>
                      <w:rFonts w:ascii="Arial" w:hAnsi="Arial" w:cs="Arial"/>
                      <w:b/>
                      <w:bCs/>
                      <w:szCs w:val="22"/>
                    </w:rPr>
                  </w:pPr>
                  <w:r w:rsidRPr="007510DF">
                    <w:rPr>
                      <w:rFonts w:ascii="Arial" w:hAnsi="Arial" w:cs="Arial"/>
                      <w:b/>
                      <w:bCs/>
                    </w:rPr>
                    <w:t>201</w:t>
                  </w:r>
                  <w:r w:rsidR="007122ED">
                    <w:rPr>
                      <w:rFonts w:ascii="Arial" w:hAnsi="Arial" w:cs="Arial"/>
                      <w:b/>
                      <w:bCs/>
                    </w:rPr>
                    <w:t>8</w:t>
                  </w:r>
                  <w:r w:rsidR="00132365" w:rsidRPr="007510DF">
                    <w:rPr>
                      <w:rFonts w:ascii="Arial" w:hAnsi="Arial" w:cs="Arial"/>
                      <w:b/>
                      <w:bCs/>
                    </w:rPr>
                    <w:t>/1</w:t>
                  </w:r>
                  <w:r w:rsidR="007122ED">
                    <w:rPr>
                      <w:rFonts w:ascii="Arial" w:hAnsi="Arial" w:cs="Arial"/>
                      <w:b/>
                      <w:bCs/>
                    </w:rPr>
                    <w:t>9</w:t>
                  </w:r>
                </w:p>
                <w:p w14:paraId="318DE9B7" w14:textId="77777777" w:rsidR="007769BE" w:rsidRPr="007510DF" w:rsidRDefault="007769BE" w:rsidP="00456F9F">
                  <w:pPr>
                    <w:jc w:val="right"/>
                    <w:rPr>
                      <w:b/>
                      <w:szCs w:val="22"/>
                    </w:rPr>
                  </w:pPr>
                </w:p>
              </w:tc>
              <w:tc>
                <w:tcPr>
                  <w:tcW w:w="1440" w:type="dxa"/>
                  <w:tcBorders>
                    <w:top w:val="single" w:sz="4" w:space="0" w:color="auto"/>
                    <w:left w:val="nil"/>
                    <w:bottom w:val="single" w:sz="4" w:space="0" w:color="auto"/>
                    <w:right w:val="nil"/>
                  </w:tcBorders>
                </w:tcPr>
                <w:p w14:paraId="2C4BEC4C" w14:textId="239CA19C" w:rsidR="007769BE" w:rsidRPr="007510DF" w:rsidRDefault="007769BE" w:rsidP="00456F9F">
                  <w:pPr>
                    <w:jc w:val="right"/>
                    <w:rPr>
                      <w:rFonts w:ascii="Arial" w:hAnsi="Arial" w:cs="Arial"/>
                      <w:b/>
                      <w:bCs/>
                      <w:szCs w:val="22"/>
                    </w:rPr>
                  </w:pPr>
                  <w:r w:rsidRPr="007510DF">
                    <w:rPr>
                      <w:rFonts w:ascii="Arial" w:hAnsi="Arial" w:cs="Arial"/>
                      <w:b/>
                      <w:bCs/>
                    </w:rPr>
                    <w:t>201</w:t>
                  </w:r>
                  <w:r w:rsidR="007122ED">
                    <w:rPr>
                      <w:rFonts w:ascii="Arial" w:hAnsi="Arial" w:cs="Arial"/>
                      <w:b/>
                      <w:bCs/>
                    </w:rPr>
                    <w:t>7</w:t>
                  </w:r>
                  <w:r w:rsidR="00132365" w:rsidRPr="007510DF">
                    <w:rPr>
                      <w:rFonts w:ascii="Arial" w:hAnsi="Arial" w:cs="Arial"/>
                      <w:b/>
                      <w:bCs/>
                    </w:rPr>
                    <w:t>/1</w:t>
                  </w:r>
                  <w:r w:rsidR="007122ED">
                    <w:rPr>
                      <w:rFonts w:ascii="Arial" w:hAnsi="Arial" w:cs="Arial"/>
                      <w:b/>
                      <w:bCs/>
                    </w:rPr>
                    <w:t>8</w:t>
                  </w:r>
                </w:p>
                <w:p w14:paraId="77B4D8C7" w14:textId="77777777" w:rsidR="007769BE" w:rsidRPr="007510DF" w:rsidRDefault="007769BE" w:rsidP="00456F9F">
                  <w:pPr>
                    <w:jc w:val="right"/>
                    <w:rPr>
                      <w:b/>
                      <w:szCs w:val="22"/>
                    </w:rPr>
                  </w:pPr>
                </w:p>
              </w:tc>
              <w:tc>
                <w:tcPr>
                  <w:tcW w:w="1447" w:type="dxa"/>
                  <w:tcBorders>
                    <w:top w:val="single" w:sz="4" w:space="0" w:color="auto"/>
                    <w:left w:val="nil"/>
                    <w:bottom w:val="single" w:sz="4" w:space="0" w:color="auto"/>
                    <w:right w:val="nil"/>
                  </w:tcBorders>
                </w:tcPr>
                <w:p w14:paraId="6FED3AD5" w14:textId="77777777" w:rsidR="007769BE" w:rsidRPr="007510DF" w:rsidRDefault="007769BE" w:rsidP="00456F9F">
                  <w:pPr>
                    <w:jc w:val="right"/>
                    <w:rPr>
                      <w:b/>
                      <w:szCs w:val="22"/>
                    </w:rPr>
                  </w:pPr>
                  <w:r w:rsidRPr="007510DF">
                    <w:rPr>
                      <w:rFonts w:ascii="Arial" w:hAnsi="Arial" w:cs="Arial"/>
                      <w:b/>
                      <w:bCs/>
                    </w:rPr>
                    <w:t>Reported</w:t>
                  </w:r>
                </w:p>
              </w:tc>
              <w:tc>
                <w:tcPr>
                  <w:tcW w:w="1170" w:type="dxa"/>
                  <w:tcBorders>
                    <w:top w:val="single" w:sz="4" w:space="0" w:color="auto"/>
                    <w:left w:val="nil"/>
                    <w:bottom w:val="single" w:sz="4" w:space="0" w:color="auto"/>
                    <w:right w:val="nil"/>
                  </w:tcBorders>
                </w:tcPr>
                <w:p w14:paraId="7AF6F6FC" w14:textId="6680D3C5" w:rsidR="007769BE" w:rsidRPr="007510DF" w:rsidRDefault="007769BE" w:rsidP="00456F9F">
                  <w:pPr>
                    <w:jc w:val="right"/>
                    <w:rPr>
                      <w:b/>
                      <w:szCs w:val="22"/>
                    </w:rPr>
                  </w:pPr>
                  <w:r w:rsidRPr="007510DF">
                    <w:rPr>
                      <w:rFonts w:ascii="Arial" w:hAnsi="Arial" w:cs="Arial"/>
                      <w:b/>
                      <w:bCs/>
                    </w:rPr>
                    <w:t>Constant currency</w:t>
                  </w:r>
                  <w:r w:rsidR="00936EA5">
                    <w:rPr>
                      <w:rFonts w:ascii="Arial" w:hAnsi="Arial" w:cs="Arial"/>
                      <w:b/>
                      <w:bCs/>
                    </w:rPr>
                    <w:t>*</w:t>
                  </w:r>
                </w:p>
              </w:tc>
              <w:tc>
                <w:tcPr>
                  <w:tcW w:w="1170" w:type="dxa"/>
                  <w:tcBorders>
                    <w:top w:val="single" w:sz="4" w:space="0" w:color="auto"/>
                    <w:left w:val="nil"/>
                    <w:bottom w:val="single" w:sz="4" w:space="0" w:color="auto"/>
                    <w:right w:val="nil"/>
                  </w:tcBorders>
                </w:tcPr>
                <w:p w14:paraId="6F6E1A41" w14:textId="77777777" w:rsidR="007769BE" w:rsidRPr="007510DF" w:rsidRDefault="007769BE" w:rsidP="00456F9F">
                  <w:pPr>
                    <w:jc w:val="right"/>
                    <w:rPr>
                      <w:b/>
                      <w:szCs w:val="22"/>
                    </w:rPr>
                  </w:pPr>
                  <w:r w:rsidRPr="007510DF">
                    <w:rPr>
                      <w:rFonts w:ascii="Arial" w:hAnsi="Arial" w:cs="Arial"/>
                      <w:b/>
                      <w:bCs/>
                    </w:rPr>
                    <w:t>Constant currency</w:t>
                  </w:r>
                </w:p>
              </w:tc>
            </w:tr>
            <w:tr w:rsidR="008F7CE8" w14:paraId="7B69C1BE" w14:textId="77777777" w:rsidTr="001064D3">
              <w:trPr>
                <w:trHeight w:val="269"/>
              </w:trPr>
              <w:tc>
                <w:tcPr>
                  <w:tcW w:w="3011" w:type="dxa"/>
                  <w:tcBorders>
                    <w:top w:val="single" w:sz="4" w:space="0" w:color="auto"/>
                    <w:left w:val="nil"/>
                    <w:bottom w:val="nil"/>
                    <w:right w:val="nil"/>
                  </w:tcBorders>
                </w:tcPr>
                <w:p w14:paraId="7CF94F80" w14:textId="289623CC" w:rsidR="007769BE" w:rsidRPr="00F55DB6" w:rsidRDefault="007769BE">
                  <w:pPr>
                    <w:jc w:val="left"/>
                    <w:rPr>
                      <w:rFonts w:ascii="Arial" w:hAnsi="Arial" w:cs="Arial"/>
                      <w:szCs w:val="22"/>
                    </w:rPr>
                  </w:pPr>
                  <w:r w:rsidRPr="004854B4">
                    <w:rPr>
                      <w:rFonts w:ascii="Arial" w:hAnsi="Arial" w:cs="Arial"/>
                    </w:rPr>
                    <w:t>Sales*</w:t>
                  </w:r>
                </w:p>
              </w:tc>
              <w:tc>
                <w:tcPr>
                  <w:tcW w:w="1177" w:type="dxa"/>
                  <w:tcBorders>
                    <w:top w:val="single" w:sz="4" w:space="0" w:color="auto"/>
                    <w:left w:val="nil"/>
                    <w:bottom w:val="nil"/>
                    <w:right w:val="nil"/>
                  </w:tcBorders>
                </w:tcPr>
                <w:p w14:paraId="036BD9EA" w14:textId="0771D051" w:rsidR="007769BE" w:rsidRPr="00976463" w:rsidRDefault="007769BE">
                  <w:pPr>
                    <w:jc w:val="right"/>
                    <w:rPr>
                      <w:rFonts w:ascii="Arial" w:hAnsi="Arial" w:cs="Arial"/>
                      <w:szCs w:val="22"/>
                    </w:rPr>
                  </w:pPr>
                  <w:r w:rsidRPr="00976463">
                    <w:rPr>
                      <w:rFonts w:ascii="Arial" w:hAnsi="Arial" w:cs="Arial"/>
                    </w:rPr>
                    <w:t>£</w:t>
                  </w:r>
                  <w:r w:rsidR="00A76AEA" w:rsidRPr="00F01C34">
                    <w:rPr>
                      <w:rFonts w:ascii="Arial" w:hAnsi="Arial" w:cs="Arial"/>
                    </w:rPr>
                    <w:t>6,080</w:t>
                  </w:r>
                  <w:r w:rsidRPr="00976463">
                    <w:rPr>
                      <w:rFonts w:ascii="Arial" w:hAnsi="Arial" w:cs="Arial"/>
                    </w:rPr>
                    <w:t>m</w:t>
                  </w:r>
                </w:p>
              </w:tc>
              <w:tc>
                <w:tcPr>
                  <w:tcW w:w="1440" w:type="dxa"/>
                  <w:tcBorders>
                    <w:top w:val="single" w:sz="4" w:space="0" w:color="auto"/>
                    <w:left w:val="nil"/>
                    <w:bottom w:val="nil"/>
                    <w:right w:val="nil"/>
                  </w:tcBorders>
                </w:tcPr>
                <w:p w14:paraId="5B939596" w14:textId="62AEEC3E" w:rsidR="007769BE" w:rsidRPr="00976463" w:rsidRDefault="007769BE">
                  <w:pPr>
                    <w:jc w:val="right"/>
                    <w:rPr>
                      <w:rFonts w:ascii="Arial" w:hAnsi="Arial" w:cs="Arial"/>
                      <w:szCs w:val="22"/>
                    </w:rPr>
                  </w:pPr>
                  <w:r w:rsidRPr="00976463">
                    <w:rPr>
                      <w:rFonts w:ascii="Arial" w:hAnsi="Arial" w:cs="Arial"/>
                    </w:rPr>
                    <w:t>£</w:t>
                  </w:r>
                  <w:r w:rsidR="00CA4063" w:rsidRPr="00976463">
                    <w:rPr>
                      <w:rFonts w:ascii="Arial" w:hAnsi="Arial" w:cs="Arial"/>
                    </w:rPr>
                    <w:t>6,008</w:t>
                  </w:r>
                  <w:r w:rsidRPr="00976463">
                    <w:rPr>
                      <w:rFonts w:ascii="Arial" w:hAnsi="Arial" w:cs="Arial"/>
                    </w:rPr>
                    <w:t>m</w:t>
                  </w:r>
                </w:p>
              </w:tc>
              <w:tc>
                <w:tcPr>
                  <w:tcW w:w="1447" w:type="dxa"/>
                  <w:tcBorders>
                    <w:top w:val="single" w:sz="4" w:space="0" w:color="auto"/>
                    <w:left w:val="nil"/>
                    <w:bottom w:val="nil"/>
                    <w:right w:val="nil"/>
                  </w:tcBorders>
                </w:tcPr>
                <w:p w14:paraId="47DE8272" w14:textId="34516BFF" w:rsidR="007769BE" w:rsidRPr="00976463" w:rsidRDefault="00A76AEA">
                  <w:pPr>
                    <w:jc w:val="right"/>
                    <w:rPr>
                      <w:rFonts w:ascii="Arial" w:hAnsi="Arial" w:cs="Arial"/>
                      <w:szCs w:val="22"/>
                    </w:rPr>
                  </w:pPr>
                  <w:r w:rsidRPr="00F01C34">
                    <w:rPr>
                      <w:rFonts w:ascii="Arial" w:hAnsi="Arial" w:cs="Arial"/>
                    </w:rPr>
                    <w:t>+1.2</w:t>
                  </w:r>
                  <w:r w:rsidR="007769BE" w:rsidRPr="00976463">
                    <w:rPr>
                      <w:rFonts w:ascii="Arial" w:hAnsi="Arial" w:cs="Arial"/>
                    </w:rPr>
                    <w:t>%</w:t>
                  </w:r>
                </w:p>
              </w:tc>
              <w:tc>
                <w:tcPr>
                  <w:tcW w:w="1170" w:type="dxa"/>
                  <w:tcBorders>
                    <w:top w:val="single" w:sz="4" w:space="0" w:color="auto"/>
                    <w:left w:val="nil"/>
                    <w:bottom w:val="nil"/>
                    <w:right w:val="nil"/>
                  </w:tcBorders>
                </w:tcPr>
                <w:p w14:paraId="3E3F18EB" w14:textId="32A8F4CC" w:rsidR="007769BE" w:rsidRPr="00976463" w:rsidRDefault="00A76AEA">
                  <w:pPr>
                    <w:jc w:val="right"/>
                    <w:rPr>
                      <w:rFonts w:ascii="Arial" w:hAnsi="Arial" w:cs="Arial"/>
                      <w:szCs w:val="22"/>
                    </w:rPr>
                  </w:pPr>
                  <w:r w:rsidRPr="00F01C34">
                    <w:rPr>
                      <w:rFonts w:ascii="Arial" w:hAnsi="Arial" w:cs="Arial"/>
                    </w:rPr>
                    <w:t>+0.6</w:t>
                  </w:r>
                  <w:r w:rsidR="007122ED" w:rsidRPr="00F01C34">
                    <w:rPr>
                      <w:rFonts w:ascii="Arial" w:hAnsi="Arial" w:cs="Arial"/>
                    </w:rPr>
                    <w:t>%</w:t>
                  </w:r>
                </w:p>
              </w:tc>
              <w:tc>
                <w:tcPr>
                  <w:tcW w:w="1170" w:type="dxa"/>
                  <w:tcBorders>
                    <w:top w:val="single" w:sz="4" w:space="0" w:color="auto"/>
                    <w:left w:val="nil"/>
                    <w:bottom w:val="nil"/>
                    <w:right w:val="nil"/>
                  </w:tcBorders>
                </w:tcPr>
                <w:p w14:paraId="15ABD07B" w14:textId="78D303E6" w:rsidR="007769BE" w:rsidRPr="00976463" w:rsidRDefault="007122ED">
                  <w:pPr>
                    <w:jc w:val="right"/>
                    <w:rPr>
                      <w:rFonts w:ascii="Arial" w:hAnsi="Arial" w:cs="Arial"/>
                      <w:szCs w:val="22"/>
                    </w:rPr>
                  </w:pPr>
                  <w:r w:rsidRPr="00F01C34">
                    <w:rPr>
                      <w:rFonts w:ascii="Arial" w:hAnsi="Arial" w:cs="Arial"/>
                    </w:rPr>
                    <w:t>(</w:t>
                  </w:r>
                  <w:proofErr w:type="gramStart"/>
                  <w:r w:rsidR="003C6F8F" w:rsidRPr="00F01C34">
                    <w:rPr>
                      <w:rFonts w:ascii="Arial" w:hAnsi="Arial" w:cs="Arial"/>
                    </w:rPr>
                    <w:t>1</w:t>
                  </w:r>
                  <w:r w:rsidR="00A76AEA" w:rsidRPr="00F01C34">
                    <w:rPr>
                      <w:rFonts w:ascii="Arial" w:hAnsi="Arial" w:cs="Arial"/>
                    </w:rPr>
                    <w:t>.1</w:t>
                  </w:r>
                  <w:r w:rsidRPr="00F01C34">
                    <w:rPr>
                      <w:rFonts w:ascii="Arial" w:hAnsi="Arial" w:cs="Arial"/>
                    </w:rPr>
                    <w:t>)%</w:t>
                  </w:r>
                  <w:proofErr w:type="gramEnd"/>
                </w:p>
              </w:tc>
            </w:tr>
            <w:tr w:rsidR="002972DC" w14:paraId="44857D62" w14:textId="77777777" w:rsidTr="001064D3">
              <w:trPr>
                <w:trHeight w:val="269"/>
              </w:trPr>
              <w:tc>
                <w:tcPr>
                  <w:tcW w:w="3011" w:type="dxa"/>
                  <w:tcBorders>
                    <w:top w:val="nil"/>
                    <w:left w:val="nil"/>
                    <w:bottom w:val="nil"/>
                    <w:right w:val="nil"/>
                  </w:tcBorders>
                </w:tcPr>
                <w:p w14:paraId="32EA4B90" w14:textId="49075679" w:rsidR="002972DC" w:rsidRPr="004854B4" w:rsidRDefault="002972DC">
                  <w:pPr>
                    <w:jc w:val="left"/>
                    <w:rPr>
                      <w:rFonts w:ascii="Arial" w:hAnsi="Arial" w:cs="Arial"/>
                    </w:rPr>
                  </w:pPr>
                  <w:r>
                    <w:rPr>
                      <w:rFonts w:ascii="Arial" w:hAnsi="Arial" w:cs="Arial"/>
                    </w:rPr>
                    <w:t>Gross margin*</w:t>
                  </w:r>
                </w:p>
              </w:tc>
              <w:tc>
                <w:tcPr>
                  <w:tcW w:w="1177" w:type="dxa"/>
                  <w:tcBorders>
                    <w:top w:val="nil"/>
                    <w:left w:val="nil"/>
                    <w:bottom w:val="nil"/>
                    <w:right w:val="nil"/>
                  </w:tcBorders>
                </w:tcPr>
                <w:p w14:paraId="61619CBE" w14:textId="0DD5FCE0" w:rsidR="002972DC" w:rsidRPr="00976463" w:rsidRDefault="001E05CB">
                  <w:pPr>
                    <w:jc w:val="right"/>
                    <w:rPr>
                      <w:rFonts w:ascii="Arial" w:hAnsi="Arial" w:cs="Arial"/>
                    </w:rPr>
                  </w:pPr>
                  <w:r w:rsidRPr="00F01C34">
                    <w:rPr>
                      <w:rFonts w:ascii="Arial" w:hAnsi="Arial" w:cs="Arial"/>
                    </w:rPr>
                    <w:t>36.4</w:t>
                  </w:r>
                  <w:r w:rsidR="002972DC" w:rsidRPr="00F01C34">
                    <w:rPr>
                      <w:rFonts w:ascii="Arial" w:hAnsi="Arial" w:cs="Arial"/>
                    </w:rPr>
                    <w:t>%</w:t>
                  </w:r>
                </w:p>
              </w:tc>
              <w:tc>
                <w:tcPr>
                  <w:tcW w:w="1440" w:type="dxa"/>
                  <w:tcBorders>
                    <w:top w:val="nil"/>
                    <w:left w:val="nil"/>
                    <w:bottom w:val="nil"/>
                    <w:right w:val="nil"/>
                  </w:tcBorders>
                </w:tcPr>
                <w:p w14:paraId="78C6FF29" w14:textId="7D26BD0E" w:rsidR="002972DC" w:rsidRPr="00F01C34" w:rsidRDefault="001E05CB">
                  <w:pPr>
                    <w:jc w:val="right"/>
                    <w:rPr>
                      <w:rFonts w:ascii="Arial" w:hAnsi="Arial" w:cs="Arial"/>
                      <w:b/>
                    </w:rPr>
                  </w:pPr>
                  <w:r w:rsidRPr="00F01C34">
                    <w:rPr>
                      <w:rFonts w:ascii="Arial" w:hAnsi="Arial" w:cs="Arial"/>
                    </w:rPr>
                    <w:t>36.8</w:t>
                  </w:r>
                  <w:r w:rsidR="002972DC" w:rsidRPr="00F01C34">
                    <w:rPr>
                      <w:rFonts w:ascii="Arial" w:hAnsi="Arial" w:cs="Arial"/>
                    </w:rPr>
                    <w:t>%</w:t>
                  </w:r>
                </w:p>
              </w:tc>
              <w:tc>
                <w:tcPr>
                  <w:tcW w:w="1447" w:type="dxa"/>
                  <w:tcBorders>
                    <w:top w:val="nil"/>
                    <w:left w:val="nil"/>
                    <w:bottom w:val="nil"/>
                    <w:right w:val="nil"/>
                  </w:tcBorders>
                </w:tcPr>
                <w:p w14:paraId="0537B572" w14:textId="7BF9CFB4" w:rsidR="002972DC" w:rsidRPr="00F01C34" w:rsidRDefault="001E05CB">
                  <w:pPr>
                    <w:jc w:val="right"/>
                    <w:rPr>
                      <w:rFonts w:ascii="Arial" w:hAnsi="Arial" w:cs="Arial"/>
                    </w:rPr>
                  </w:pPr>
                  <w:r w:rsidRPr="00F01C34">
                    <w:rPr>
                      <w:rFonts w:ascii="Arial" w:hAnsi="Arial" w:cs="Arial"/>
                    </w:rPr>
                    <w:t>(</w:t>
                  </w:r>
                  <w:proofErr w:type="gramStart"/>
                  <w:r w:rsidRPr="00F01C34">
                    <w:rPr>
                      <w:rFonts w:ascii="Arial" w:hAnsi="Arial" w:cs="Arial"/>
                    </w:rPr>
                    <w:t>40)bps</w:t>
                  </w:r>
                  <w:proofErr w:type="gramEnd"/>
                </w:p>
              </w:tc>
              <w:tc>
                <w:tcPr>
                  <w:tcW w:w="1170" w:type="dxa"/>
                  <w:tcBorders>
                    <w:top w:val="nil"/>
                    <w:left w:val="nil"/>
                    <w:bottom w:val="nil"/>
                    <w:right w:val="nil"/>
                  </w:tcBorders>
                </w:tcPr>
                <w:p w14:paraId="4538791B" w14:textId="13D4DB69" w:rsidR="002972DC" w:rsidRPr="00F01C34" w:rsidRDefault="001E05CB">
                  <w:pPr>
                    <w:jc w:val="right"/>
                    <w:rPr>
                      <w:rFonts w:ascii="Arial" w:hAnsi="Arial" w:cs="Arial"/>
                    </w:rPr>
                  </w:pPr>
                  <w:r w:rsidRPr="00F01C34">
                    <w:rPr>
                      <w:rFonts w:ascii="Arial" w:hAnsi="Arial" w:cs="Arial"/>
                    </w:rPr>
                    <w:t>(</w:t>
                  </w:r>
                  <w:proofErr w:type="gramStart"/>
                  <w:r w:rsidRPr="00F01C34">
                    <w:rPr>
                      <w:rFonts w:ascii="Arial" w:hAnsi="Arial" w:cs="Arial"/>
                    </w:rPr>
                    <w:t>40)bps</w:t>
                  </w:r>
                  <w:proofErr w:type="gramEnd"/>
                </w:p>
              </w:tc>
              <w:tc>
                <w:tcPr>
                  <w:tcW w:w="1170" w:type="dxa"/>
                  <w:tcBorders>
                    <w:top w:val="nil"/>
                    <w:left w:val="nil"/>
                    <w:bottom w:val="nil"/>
                    <w:right w:val="nil"/>
                  </w:tcBorders>
                </w:tcPr>
                <w:p w14:paraId="228ADE79" w14:textId="77777777" w:rsidR="002972DC" w:rsidRPr="00976463" w:rsidRDefault="002972DC">
                  <w:pPr>
                    <w:jc w:val="right"/>
                    <w:rPr>
                      <w:rFonts w:ascii="Arial" w:hAnsi="Arial" w:cs="Arial"/>
                    </w:rPr>
                  </w:pPr>
                </w:p>
              </w:tc>
            </w:tr>
            <w:tr w:rsidR="008F7CE8" w14:paraId="4A9F7796" w14:textId="77777777" w:rsidTr="001064D3">
              <w:trPr>
                <w:trHeight w:val="269"/>
              </w:trPr>
              <w:tc>
                <w:tcPr>
                  <w:tcW w:w="3011" w:type="dxa"/>
                  <w:tcBorders>
                    <w:top w:val="nil"/>
                    <w:left w:val="nil"/>
                    <w:bottom w:val="nil"/>
                    <w:right w:val="nil"/>
                  </w:tcBorders>
                </w:tcPr>
                <w:p w14:paraId="233A85AB" w14:textId="77777777" w:rsidR="007769BE" w:rsidRPr="00F55DB6" w:rsidRDefault="007769BE">
                  <w:pPr>
                    <w:jc w:val="left"/>
                    <w:rPr>
                      <w:rFonts w:ascii="Arial" w:hAnsi="Arial" w:cs="Arial"/>
                      <w:szCs w:val="22"/>
                    </w:rPr>
                  </w:pPr>
                  <w:r w:rsidRPr="004854B4">
                    <w:rPr>
                      <w:rFonts w:ascii="Arial" w:hAnsi="Arial" w:cs="Arial"/>
                    </w:rPr>
                    <w:t>Retail profit*</w:t>
                  </w:r>
                </w:p>
              </w:tc>
              <w:tc>
                <w:tcPr>
                  <w:tcW w:w="1177" w:type="dxa"/>
                  <w:tcBorders>
                    <w:top w:val="nil"/>
                    <w:left w:val="nil"/>
                    <w:bottom w:val="nil"/>
                    <w:right w:val="nil"/>
                  </w:tcBorders>
                </w:tcPr>
                <w:p w14:paraId="1726BD7A" w14:textId="56D00357" w:rsidR="007769BE" w:rsidRPr="00976463" w:rsidRDefault="007769BE">
                  <w:pPr>
                    <w:jc w:val="right"/>
                    <w:rPr>
                      <w:rFonts w:ascii="Arial" w:hAnsi="Arial" w:cs="Arial"/>
                      <w:szCs w:val="22"/>
                    </w:rPr>
                  </w:pPr>
                  <w:r w:rsidRPr="00976463">
                    <w:rPr>
                      <w:rFonts w:ascii="Arial" w:hAnsi="Arial" w:cs="Arial"/>
                    </w:rPr>
                    <w:t>£</w:t>
                  </w:r>
                  <w:r w:rsidR="001E05CB" w:rsidRPr="00F01C34">
                    <w:rPr>
                      <w:rFonts w:ascii="Arial" w:hAnsi="Arial" w:cs="Arial"/>
                    </w:rPr>
                    <w:t>404</w:t>
                  </w:r>
                  <w:r w:rsidRPr="00976463">
                    <w:rPr>
                      <w:rFonts w:ascii="Arial" w:hAnsi="Arial" w:cs="Arial"/>
                    </w:rPr>
                    <w:t>m</w:t>
                  </w:r>
                </w:p>
              </w:tc>
              <w:tc>
                <w:tcPr>
                  <w:tcW w:w="1440" w:type="dxa"/>
                  <w:tcBorders>
                    <w:top w:val="nil"/>
                    <w:left w:val="nil"/>
                    <w:bottom w:val="nil"/>
                    <w:right w:val="nil"/>
                  </w:tcBorders>
                </w:tcPr>
                <w:p w14:paraId="443FA851" w14:textId="24738EC9" w:rsidR="007769BE" w:rsidRPr="00976463" w:rsidRDefault="00CA4063">
                  <w:pPr>
                    <w:jc w:val="right"/>
                    <w:rPr>
                      <w:rFonts w:ascii="Arial" w:hAnsi="Arial" w:cs="Arial"/>
                      <w:szCs w:val="22"/>
                    </w:rPr>
                  </w:pPr>
                  <w:r w:rsidRPr="00976463">
                    <w:rPr>
                      <w:rFonts w:ascii="Arial" w:hAnsi="Arial" w:cs="Arial"/>
                    </w:rPr>
                    <w:t>£467</w:t>
                  </w:r>
                  <w:r w:rsidR="007769BE" w:rsidRPr="00976463">
                    <w:rPr>
                      <w:rFonts w:ascii="Arial" w:hAnsi="Arial" w:cs="Arial"/>
                    </w:rPr>
                    <w:t>m</w:t>
                  </w:r>
                </w:p>
              </w:tc>
              <w:tc>
                <w:tcPr>
                  <w:tcW w:w="1447" w:type="dxa"/>
                  <w:tcBorders>
                    <w:top w:val="nil"/>
                    <w:left w:val="nil"/>
                    <w:bottom w:val="nil"/>
                    <w:right w:val="nil"/>
                  </w:tcBorders>
                </w:tcPr>
                <w:p w14:paraId="592911B4" w14:textId="58AC415E" w:rsidR="007769BE" w:rsidRPr="00976463" w:rsidRDefault="001E05CB">
                  <w:pPr>
                    <w:jc w:val="right"/>
                    <w:rPr>
                      <w:rFonts w:ascii="Arial" w:hAnsi="Arial" w:cs="Arial"/>
                      <w:szCs w:val="22"/>
                    </w:rPr>
                  </w:pPr>
                  <w:r w:rsidRPr="00976463">
                    <w:rPr>
                      <w:rFonts w:ascii="Arial" w:hAnsi="Arial" w:cs="Arial"/>
                    </w:rPr>
                    <w:t>(</w:t>
                  </w:r>
                  <w:proofErr w:type="gramStart"/>
                  <w:r w:rsidRPr="00976463">
                    <w:rPr>
                      <w:rFonts w:ascii="Arial" w:hAnsi="Arial" w:cs="Arial"/>
                    </w:rPr>
                    <w:t>13.5)</w:t>
                  </w:r>
                  <w:r w:rsidR="007769BE" w:rsidRPr="00976463">
                    <w:rPr>
                      <w:rFonts w:ascii="Arial" w:hAnsi="Arial" w:cs="Arial"/>
                    </w:rPr>
                    <w:t>%</w:t>
                  </w:r>
                  <w:proofErr w:type="gramEnd"/>
                </w:p>
              </w:tc>
              <w:tc>
                <w:tcPr>
                  <w:tcW w:w="1170" w:type="dxa"/>
                  <w:tcBorders>
                    <w:top w:val="nil"/>
                    <w:left w:val="nil"/>
                    <w:bottom w:val="nil"/>
                    <w:right w:val="nil"/>
                  </w:tcBorders>
                </w:tcPr>
                <w:p w14:paraId="1798FDE9" w14:textId="52497761" w:rsidR="007769BE" w:rsidRPr="00976463" w:rsidRDefault="00976463">
                  <w:pPr>
                    <w:jc w:val="right"/>
                    <w:rPr>
                      <w:rFonts w:ascii="Arial" w:hAnsi="Arial" w:cs="Arial"/>
                      <w:szCs w:val="22"/>
                    </w:rPr>
                  </w:pPr>
                  <w:r>
                    <w:rPr>
                      <w:rFonts w:ascii="Arial" w:hAnsi="Arial" w:cs="Arial"/>
                    </w:rPr>
                    <w:t>(</w:t>
                  </w:r>
                  <w:proofErr w:type="gramStart"/>
                  <w:r>
                    <w:rPr>
                      <w:rFonts w:ascii="Arial" w:hAnsi="Arial" w:cs="Arial"/>
                    </w:rPr>
                    <w:t>14.3)</w:t>
                  </w:r>
                  <w:r w:rsidR="007122ED" w:rsidRPr="00F01C34">
                    <w:rPr>
                      <w:rFonts w:ascii="Arial" w:hAnsi="Arial" w:cs="Arial"/>
                    </w:rPr>
                    <w:t>%</w:t>
                  </w:r>
                  <w:proofErr w:type="gramEnd"/>
                </w:p>
              </w:tc>
              <w:tc>
                <w:tcPr>
                  <w:tcW w:w="1170" w:type="dxa"/>
                  <w:tcBorders>
                    <w:top w:val="nil"/>
                    <w:left w:val="nil"/>
                    <w:bottom w:val="nil"/>
                    <w:right w:val="nil"/>
                  </w:tcBorders>
                </w:tcPr>
                <w:p w14:paraId="63518D1D" w14:textId="77777777" w:rsidR="007769BE" w:rsidRPr="00976463" w:rsidRDefault="007769BE">
                  <w:pPr>
                    <w:jc w:val="right"/>
                    <w:rPr>
                      <w:rFonts w:ascii="Arial" w:hAnsi="Arial" w:cs="Arial"/>
                      <w:szCs w:val="22"/>
                    </w:rPr>
                  </w:pPr>
                </w:p>
              </w:tc>
            </w:tr>
            <w:tr w:rsidR="008F7CE8" w14:paraId="62AE8AAD" w14:textId="77777777" w:rsidTr="001064D3">
              <w:trPr>
                <w:trHeight w:val="269"/>
              </w:trPr>
              <w:tc>
                <w:tcPr>
                  <w:tcW w:w="3011" w:type="dxa"/>
                  <w:tcBorders>
                    <w:top w:val="nil"/>
                    <w:left w:val="nil"/>
                    <w:bottom w:val="nil"/>
                    <w:right w:val="nil"/>
                  </w:tcBorders>
                </w:tcPr>
                <w:p w14:paraId="62BB9E77" w14:textId="2AD94235" w:rsidR="007769BE" w:rsidRPr="00F55DB6" w:rsidRDefault="007769BE">
                  <w:pPr>
                    <w:jc w:val="left"/>
                    <w:rPr>
                      <w:rFonts w:ascii="Arial" w:hAnsi="Arial" w:cs="Arial"/>
                      <w:szCs w:val="22"/>
                    </w:rPr>
                  </w:pPr>
                  <w:r w:rsidRPr="004854B4">
                    <w:rPr>
                      <w:rFonts w:ascii="Arial" w:hAnsi="Arial" w:cs="Arial"/>
                    </w:rPr>
                    <w:t>Underlying pre-tax profit</w:t>
                  </w:r>
                  <w:r w:rsidR="00A554CB" w:rsidRPr="004854B4">
                    <w:rPr>
                      <w:rFonts w:ascii="Arial" w:hAnsi="Arial" w:cs="Arial"/>
                    </w:rPr>
                    <w:t>*</w:t>
                  </w:r>
                </w:p>
              </w:tc>
              <w:tc>
                <w:tcPr>
                  <w:tcW w:w="1177" w:type="dxa"/>
                  <w:tcBorders>
                    <w:top w:val="nil"/>
                    <w:left w:val="nil"/>
                    <w:bottom w:val="nil"/>
                    <w:right w:val="nil"/>
                  </w:tcBorders>
                </w:tcPr>
                <w:p w14:paraId="52BB276D" w14:textId="6775A292" w:rsidR="007769BE" w:rsidRPr="00976463" w:rsidRDefault="007769BE">
                  <w:pPr>
                    <w:jc w:val="right"/>
                    <w:rPr>
                      <w:rFonts w:ascii="Arial" w:hAnsi="Arial" w:cs="Arial"/>
                      <w:szCs w:val="22"/>
                    </w:rPr>
                  </w:pPr>
                  <w:r w:rsidRPr="00976463">
                    <w:rPr>
                      <w:rFonts w:ascii="Arial" w:hAnsi="Arial" w:cs="Arial"/>
                    </w:rPr>
                    <w:t>£</w:t>
                  </w:r>
                  <w:r w:rsidR="00A76AEA" w:rsidRPr="00F01C34">
                    <w:rPr>
                      <w:rFonts w:ascii="Arial" w:hAnsi="Arial" w:cs="Arial"/>
                    </w:rPr>
                    <w:t>375</w:t>
                  </w:r>
                  <w:r w:rsidRPr="00976463">
                    <w:rPr>
                      <w:rFonts w:ascii="Arial" w:hAnsi="Arial" w:cs="Arial"/>
                    </w:rPr>
                    <w:t>m</w:t>
                  </w:r>
                </w:p>
              </w:tc>
              <w:tc>
                <w:tcPr>
                  <w:tcW w:w="1440" w:type="dxa"/>
                  <w:tcBorders>
                    <w:top w:val="nil"/>
                    <w:left w:val="nil"/>
                    <w:bottom w:val="nil"/>
                    <w:right w:val="nil"/>
                  </w:tcBorders>
                </w:tcPr>
                <w:p w14:paraId="70E46586" w14:textId="02AE3E5E" w:rsidR="007769BE" w:rsidRPr="00976463" w:rsidRDefault="00CA4063">
                  <w:pPr>
                    <w:jc w:val="right"/>
                    <w:rPr>
                      <w:rFonts w:ascii="Arial" w:hAnsi="Arial" w:cs="Arial"/>
                      <w:szCs w:val="22"/>
                    </w:rPr>
                  </w:pPr>
                  <w:r w:rsidRPr="00976463">
                    <w:rPr>
                      <w:rFonts w:ascii="Arial" w:hAnsi="Arial" w:cs="Arial"/>
                    </w:rPr>
                    <w:t>£440</w:t>
                  </w:r>
                  <w:r w:rsidR="007769BE" w:rsidRPr="00976463">
                    <w:rPr>
                      <w:rFonts w:ascii="Arial" w:hAnsi="Arial" w:cs="Arial"/>
                    </w:rPr>
                    <w:t>m</w:t>
                  </w:r>
                </w:p>
              </w:tc>
              <w:tc>
                <w:tcPr>
                  <w:tcW w:w="1447" w:type="dxa"/>
                  <w:tcBorders>
                    <w:top w:val="nil"/>
                    <w:left w:val="nil"/>
                    <w:bottom w:val="nil"/>
                    <w:right w:val="nil"/>
                  </w:tcBorders>
                </w:tcPr>
                <w:p w14:paraId="0517B939" w14:textId="39D688F9" w:rsidR="007769BE" w:rsidRPr="00976463" w:rsidRDefault="00A76AEA">
                  <w:pPr>
                    <w:jc w:val="right"/>
                    <w:rPr>
                      <w:rFonts w:ascii="Arial" w:hAnsi="Arial" w:cs="Arial"/>
                      <w:szCs w:val="22"/>
                    </w:rPr>
                  </w:pPr>
                  <w:r w:rsidRPr="00F01C34">
                    <w:rPr>
                      <w:rFonts w:ascii="Arial" w:hAnsi="Arial" w:cs="Arial"/>
                    </w:rPr>
                    <w:t>(</w:t>
                  </w:r>
                  <w:proofErr w:type="gramStart"/>
                  <w:r w:rsidRPr="00F01C34">
                    <w:rPr>
                      <w:rFonts w:ascii="Arial" w:hAnsi="Arial" w:cs="Arial"/>
                    </w:rPr>
                    <w:t>14.8)</w:t>
                  </w:r>
                  <w:r w:rsidR="007769BE" w:rsidRPr="00976463">
                    <w:rPr>
                      <w:rFonts w:ascii="Arial" w:hAnsi="Arial" w:cs="Arial"/>
                    </w:rPr>
                    <w:t>%</w:t>
                  </w:r>
                  <w:proofErr w:type="gramEnd"/>
                </w:p>
              </w:tc>
              <w:tc>
                <w:tcPr>
                  <w:tcW w:w="1170" w:type="dxa"/>
                  <w:tcBorders>
                    <w:top w:val="nil"/>
                    <w:left w:val="nil"/>
                    <w:bottom w:val="nil"/>
                    <w:right w:val="nil"/>
                  </w:tcBorders>
                </w:tcPr>
                <w:p w14:paraId="7A2976C7" w14:textId="77777777" w:rsidR="007769BE" w:rsidRPr="00976463" w:rsidRDefault="007769BE" w:rsidP="001064D3">
                  <w:pPr>
                    <w:jc w:val="right"/>
                    <w:rPr>
                      <w:rFonts w:ascii="Arial" w:hAnsi="Arial" w:cs="Arial"/>
                      <w:szCs w:val="22"/>
                    </w:rPr>
                  </w:pPr>
                </w:p>
              </w:tc>
              <w:tc>
                <w:tcPr>
                  <w:tcW w:w="1170" w:type="dxa"/>
                  <w:tcBorders>
                    <w:top w:val="nil"/>
                    <w:left w:val="nil"/>
                    <w:bottom w:val="nil"/>
                    <w:right w:val="nil"/>
                  </w:tcBorders>
                </w:tcPr>
                <w:p w14:paraId="23BE9D8A" w14:textId="77777777" w:rsidR="007769BE" w:rsidRPr="00976463" w:rsidRDefault="007769BE" w:rsidP="001064D3">
                  <w:pPr>
                    <w:jc w:val="right"/>
                    <w:rPr>
                      <w:rFonts w:ascii="Arial" w:hAnsi="Arial" w:cs="Arial"/>
                      <w:szCs w:val="22"/>
                    </w:rPr>
                  </w:pPr>
                </w:p>
              </w:tc>
            </w:tr>
            <w:tr w:rsidR="008F7CE8" w14:paraId="0D5A2B5F" w14:textId="77777777" w:rsidTr="001064D3">
              <w:trPr>
                <w:trHeight w:val="269"/>
              </w:trPr>
              <w:tc>
                <w:tcPr>
                  <w:tcW w:w="3011" w:type="dxa"/>
                  <w:tcBorders>
                    <w:top w:val="nil"/>
                    <w:left w:val="nil"/>
                    <w:bottom w:val="nil"/>
                    <w:right w:val="nil"/>
                  </w:tcBorders>
                </w:tcPr>
                <w:p w14:paraId="5D0AFCFE" w14:textId="59E472C3" w:rsidR="007769BE" w:rsidRPr="00F55DB6" w:rsidRDefault="007769BE">
                  <w:pPr>
                    <w:jc w:val="left"/>
                    <w:rPr>
                      <w:rFonts w:ascii="Arial" w:hAnsi="Arial" w:cs="Arial"/>
                      <w:szCs w:val="22"/>
                    </w:rPr>
                  </w:pPr>
                  <w:r w:rsidRPr="004854B4">
                    <w:rPr>
                      <w:rFonts w:ascii="Arial" w:hAnsi="Arial" w:cs="Arial"/>
                    </w:rPr>
                    <w:t>Adjusted pre-tax profit</w:t>
                  </w:r>
                  <w:r w:rsidR="00936EA5" w:rsidRPr="004854B4">
                    <w:rPr>
                      <w:rFonts w:ascii="Arial" w:hAnsi="Arial" w:cs="Arial"/>
                    </w:rPr>
                    <w:t>*</w:t>
                  </w:r>
                </w:p>
              </w:tc>
              <w:tc>
                <w:tcPr>
                  <w:tcW w:w="1177" w:type="dxa"/>
                  <w:tcBorders>
                    <w:top w:val="nil"/>
                    <w:left w:val="nil"/>
                    <w:bottom w:val="nil"/>
                    <w:right w:val="nil"/>
                  </w:tcBorders>
                </w:tcPr>
                <w:p w14:paraId="09987691" w14:textId="144F4005" w:rsidR="007769BE" w:rsidRPr="00976463" w:rsidRDefault="007769BE">
                  <w:pPr>
                    <w:jc w:val="right"/>
                    <w:rPr>
                      <w:rFonts w:ascii="Arial" w:hAnsi="Arial" w:cs="Arial"/>
                      <w:szCs w:val="22"/>
                    </w:rPr>
                  </w:pPr>
                  <w:r w:rsidRPr="00976463">
                    <w:rPr>
                      <w:rFonts w:ascii="Arial" w:hAnsi="Arial" w:cs="Arial"/>
                    </w:rPr>
                    <w:t>£</w:t>
                  </w:r>
                  <w:r w:rsidR="00A76AEA" w:rsidRPr="00F01C34">
                    <w:rPr>
                      <w:rFonts w:ascii="Arial" w:hAnsi="Arial" w:cs="Arial"/>
                    </w:rPr>
                    <w:t>323</w:t>
                  </w:r>
                  <w:r w:rsidRPr="00976463">
                    <w:rPr>
                      <w:rFonts w:ascii="Arial" w:hAnsi="Arial" w:cs="Arial"/>
                    </w:rPr>
                    <w:t>m</w:t>
                  </w:r>
                </w:p>
              </w:tc>
              <w:tc>
                <w:tcPr>
                  <w:tcW w:w="1440" w:type="dxa"/>
                  <w:tcBorders>
                    <w:top w:val="nil"/>
                    <w:left w:val="nil"/>
                    <w:bottom w:val="nil"/>
                    <w:right w:val="nil"/>
                  </w:tcBorders>
                </w:tcPr>
                <w:p w14:paraId="3909476F" w14:textId="52F19A4F" w:rsidR="007769BE" w:rsidRPr="00976463" w:rsidRDefault="007769BE">
                  <w:pPr>
                    <w:jc w:val="right"/>
                    <w:rPr>
                      <w:rFonts w:ascii="Arial" w:hAnsi="Arial" w:cs="Arial"/>
                      <w:szCs w:val="22"/>
                    </w:rPr>
                  </w:pPr>
                  <w:r w:rsidRPr="00976463">
                    <w:rPr>
                      <w:rFonts w:ascii="Arial" w:hAnsi="Arial" w:cs="Arial"/>
                    </w:rPr>
                    <w:t>£</w:t>
                  </w:r>
                  <w:r w:rsidR="00CA4063" w:rsidRPr="00976463">
                    <w:rPr>
                      <w:rFonts w:ascii="Arial" w:hAnsi="Arial" w:cs="Arial"/>
                    </w:rPr>
                    <w:t>394</w:t>
                  </w:r>
                  <w:r w:rsidRPr="00976463">
                    <w:rPr>
                      <w:rFonts w:ascii="Arial" w:hAnsi="Arial" w:cs="Arial"/>
                    </w:rPr>
                    <w:t>m</w:t>
                  </w:r>
                </w:p>
              </w:tc>
              <w:tc>
                <w:tcPr>
                  <w:tcW w:w="1447" w:type="dxa"/>
                  <w:tcBorders>
                    <w:top w:val="nil"/>
                    <w:left w:val="nil"/>
                    <w:bottom w:val="nil"/>
                    <w:right w:val="nil"/>
                  </w:tcBorders>
                </w:tcPr>
                <w:p w14:paraId="34062DFD" w14:textId="2F979F9D" w:rsidR="007769BE" w:rsidRPr="00976463" w:rsidRDefault="00A76AEA">
                  <w:pPr>
                    <w:jc w:val="right"/>
                    <w:rPr>
                      <w:rFonts w:ascii="Arial" w:hAnsi="Arial" w:cs="Arial"/>
                      <w:szCs w:val="22"/>
                    </w:rPr>
                  </w:pPr>
                  <w:r w:rsidRPr="00F01C34">
                    <w:rPr>
                      <w:rFonts w:ascii="Arial" w:hAnsi="Arial" w:cs="Arial"/>
                    </w:rPr>
                    <w:t>(</w:t>
                  </w:r>
                  <w:proofErr w:type="gramStart"/>
                  <w:r w:rsidRPr="00F01C34">
                    <w:rPr>
                      <w:rFonts w:ascii="Arial" w:hAnsi="Arial" w:cs="Arial"/>
                    </w:rPr>
                    <w:t>18.0)</w:t>
                  </w:r>
                  <w:r w:rsidR="007769BE" w:rsidRPr="00976463">
                    <w:rPr>
                      <w:rFonts w:ascii="Arial" w:hAnsi="Arial" w:cs="Arial"/>
                    </w:rPr>
                    <w:t>%</w:t>
                  </w:r>
                  <w:proofErr w:type="gramEnd"/>
                </w:p>
              </w:tc>
              <w:tc>
                <w:tcPr>
                  <w:tcW w:w="1170" w:type="dxa"/>
                  <w:tcBorders>
                    <w:top w:val="nil"/>
                    <w:left w:val="nil"/>
                    <w:bottom w:val="nil"/>
                    <w:right w:val="nil"/>
                  </w:tcBorders>
                </w:tcPr>
                <w:p w14:paraId="6C1F1361" w14:textId="77777777" w:rsidR="007769BE" w:rsidRPr="00976463" w:rsidRDefault="007769BE" w:rsidP="001064D3">
                  <w:pPr>
                    <w:jc w:val="right"/>
                    <w:rPr>
                      <w:rFonts w:ascii="Arial" w:hAnsi="Arial" w:cs="Arial"/>
                      <w:szCs w:val="22"/>
                    </w:rPr>
                  </w:pPr>
                </w:p>
              </w:tc>
              <w:tc>
                <w:tcPr>
                  <w:tcW w:w="1170" w:type="dxa"/>
                  <w:tcBorders>
                    <w:top w:val="nil"/>
                    <w:left w:val="nil"/>
                    <w:bottom w:val="nil"/>
                    <w:right w:val="nil"/>
                  </w:tcBorders>
                </w:tcPr>
                <w:p w14:paraId="7F377396" w14:textId="77777777" w:rsidR="007769BE" w:rsidRPr="00976463" w:rsidRDefault="007769BE" w:rsidP="001064D3">
                  <w:pPr>
                    <w:jc w:val="right"/>
                    <w:rPr>
                      <w:rFonts w:ascii="Arial" w:hAnsi="Arial" w:cs="Arial"/>
                      <w:szCs w:val="22"/>
                    </w:rPr>
                  </w:pPr>
                </w:p>
              </w:tc>
            </w:tr>
            <w:tr w:rsidR="008F7CE8" w14:paraId="4272F414" w14:textId="77777777" w:rsidTr="001064D3">
              <w:trPr>
                <w:trHeight w:val="269"/>
              </w:trPr>
              <w:tc>
                <w:tcPr>
                  <w:tcW w:w="3011" w:type="dxa"/>
                  <w:tcBorders>
                    <w:top w:val="nil"/>
                    <w:left w:val="nil"/>
                    <w:bottom w:val="nil"/>
                    <w:right w:val="nil"/>
                  </w:tcBorders>
                </w:tcPr>
                <w:p w14:paraId="573E81F3" w14:textId="554FC0B1" w:rsidR="007769BE" w:rsidRPr="00F55DB6" w:rsidRDefault="007769BE">
                  <w:pPr>
                    <w:jc w:val="left"/>
                    <w:rPr>
                      <w:rFonts w:ascii="Arial" w:hAnsi="Arial" w:cs="Arial"/>
                      <w:szCs w:val="22"/>
                    </w:rPr>
                  </w:pPr>
                  <w:r w:rsidRPr="004854B4">
                    <w:rPr>
                      <w:rFonts w:ascii="Arial" w:hAnsi="Arial" w:cs="Arial"/>
                    </w:rPr>
                    <w:t>Underlying basic EPS</w:t>
                  </w:r>
                  <w:r w:rsidR="00596491">
                    <w:rPr>
                      <w:rFonts w:ascii="Arial" w:hAnsi="Arial" w:cs="Arial"/>
                    </w:rPr>
                    <w:t>*</w:t>
                  </w:r>
                </w:p>
              </w:tc>
              <w:tc>
                <w:tcPr>
                  <w:tcW w:w="1177" w:type="dxa"/>
                  <w:tcBorders>
                    <w:top w:val="nil"/>
                    <w:left w:val="nil"/>
                    <w:bottom w:val="nil"/>
                    <w:right w:val="nil"/>
                  </w:tcBorders>
                </w:tcPr>
                <w:p w14:paraId="140C2816" w14:textId="66D31DE1" w:rsidR="007769BE" w:rsidRPr="00976463" w:rsidRDefault="00000393">
                  <w:pPr>
                    <w:jc w:val="right"/>
                    <w:rPr>
                      <w:rFonts w:ascii="Arial" w:hAnsi="Arial" w:cs="Arial"/>
                      <w:szCs w:val="22"/>
                    </w:rPr>
                  </w:pPr>
                  <w:r>
                    <w:rPr>
                      <w:rFonts w:ascii="Arial" w:hAnsi="Arial" w:cs="Arial"/>
                    </w:rPr>
                    <w:t>12.8</w:t>
                  </w:r>
                  <w:r w:rsidR="007769BE" w:rsidRPr="00976463">
                    <w:rPr>
                      <w:rFonts w:ascii="Arial" w:hAnsi="Arial" w:cs="Arial"/>
                    </w:rPr>
                    <w:t>p</w:t>
                  </w:r>
                </w:p>
              </w:tc>
              <w:tc>
                <w:tcPr>
                  <w:tcW w:w="1440" w:type="dxa"/>
                  <w:tcBorders>
                    <w:top w:val="nil"/>
                    <w:left w:val="nil"/>
                    <w:bottom w:val="nil"/>
                    <w:right w:val="nil"/>
                  </w:tcBorders>
                </w:tcPr>
                <w:p w14:paraId="316AA18B" w14:textId="2C1379E8" w:rsidR="007769BE" w:rsidRPr="00976463" w:rsidRDefault="007769BE">
                  <w:pPr>
                    <w:jc w:val="right"/>
                    <w:rPr>
                      <w:rFonts w:ascii="Arial" w:hAnsi="Arial" w:cs="Arial"/>
                      <w:szCs w:val="22"/>
                    </w:rPr>
                  </w:pPr>
                  <w:r w:rsidRPr="00976463">
                    <w:rPr>
                      <w:rFonts w:ascii="Arial" w:hAnsi="Arial" w:cs="Arial"/>
                    </w:rPr>
                    <w:t>14.</w:t>
                  </w:r>
                  <w:r w:rsidR="00E44E46">
                    <w:rPr>
                      <w:rFonts w:ascii="Arial" w:hAnsi="Arial" w:cs="Arial"/>
                    </w:rPr>
                    <w:t>5</w:t>
                  </w:r>
                  <w:r w:rsidRPr="00976463">
                    <w:rPr>
                      <w:rFonts w:ascii="Arial" w:hAnsi="Arial" w:cs="Arial"/>
                    </w:rPr>
                    <w:t>p</w:t>
                  </w:r>
                </w:p>
              </w:tc>
              <w:tc>
                <w:tcPr>
                  <w:tcW w:w="1447" w:type="dxa"/>
                  <w:tcBorders>
                    <w:top w:val="nil"/>
                    <w:left w:val="nil"/>
                    <w:bottom w:val="nil"/>
                    <w:right w:val="nil"/>
                  </w:tcBorders>
                </w:tcPr>
                <w:p w14:paraId="62C42B42" w14:textId="4C2E2464" w:rsidR="007769BE" w:rsidRPr="00976463" w:rsidRDefault="00FC25B9">
                  <w:pPr>
                    <w:jc w:val="right"/>
                    <w:rPr>
                      <w:rFonts w:ascii="Arial" w:hAnsi="Arial" w:cs="Arial"/>
                      <w:szCs w:val="22"/>
                    </w:rPr>
                  </w:pPr>
                  <w:r>
                    <w:rPr>
                      <w:rFonts w:ascii="Arial" w:hAnsi="Arial" w:cs="Arial"/>
                    </w:rPr>
                    <w:t>(</w:t>
                  </w:r>
                  <w:proofErr w:type="gramStart"/>
                  <w:r w:rsidR="00000393">
                    <w:rPr>
                      <w:rFonts w:ascii="Arial" w:hAnsi="Arial" w:cs="Arial"/>
                    </w:rPr>
                    <w:t>11.7</w:t>
                  </w:r>
                  <w:r>
                    <w:rPr>
                      <w:rFonts w:ascii="Arial" w:hAnsi="Arial" w:cs="Arial"/>
                    </w:rPr>
                    <w:t>)</w:t>
                  </w:r>
                  <w:r w:rsidR="007122ED" w:rsidRPr="00F01C34">
                    <w:rPr>
                      <w:rFonts w:ascii="Arial" w:hAnsi="Arial" w:cs="Arial"/>
                    </w:rPr>
                    <w:t>%</w:t>
                  </w:r>
                  <w:proofErr w:type="gramEnd"/>
                </w:p>
              </w:tc>
              <w:tc>
                <w:tcPr>
                  <w:tcW w:w="1170" w:type="dxa"/>
                  <w:tcBorders>
                    <w:top w:val="nil"/>
                    <w:left w:val="nil"/>
                    <w:bottom w:val="nil"/>
                    <w:right w:val="nil"/>
                  </w:tcBorders>
                </w:tcPr>
                <w:p w14:paraId="1ABC740C" w14:textId="77777777" w:rsidR="007769BE" w:rsidRPr="00976463" w:rsidRDefault="007769BE" w:rsidP="001064D3">
                  <w:pPr>
                    <w:jc w:val="right"/>
                    <w:rPr>
                      <w:rFonts w:ascii="Arial" w:hAnsi="Arial" w:cs="Arial"/>
                      <w:szCs w:val="22"/>
                    </w:rPr>
                  </w:pPr>
                </w:p>
              </w:tc>
              <w:tc>
                <w:tcPr>
                  <w:tcW w:w="1170" w:type="dxa"/>
                  <w:tcBorders>
                    <w:top w:val="nil"/>
                    <w:left w:val="nil"/>
                    <w:bottom w:val="nil"/>
                    <w:right w:val="nil"/>
                  </w:tcBorders>
                </w:tcPr>
                <w:p w14:paraId="4ABCA782" w14:textId="77777777" w:rsidR="007769BE" w:rsidRPr="00976463" w:rsidRDefault="007769BE" w:rsidP="001064D3">
                  <w:pPr>
                    <w:jc w:val="right"/>
                    <w:rPr>
                      <w:rFonts w:ascii="Arial" w:hAnsi="Arial" w:cs="Arial"/>
                      <w:szCs w:val="22"/>
                    </w:rPr>
                  </w:pPr>
                </w:p>
              </w:tc>
            </w:tr>
            <w:tr w:rsidR="008F7CE8" w14:paraId="22185A2E" w14:textId="77777777" w:rsidTr="001064D3">
              <w:trPr>
                <w:trHeight w:val="269"/>
              </w:trPr>
              <w:tc>
                <w:tcPr>
                  <w:tcW w:w="3011" w:type="dxa"/>
                  <w:tcBorders>
                    <w:top w:val="nil"/>
                    <w:left w:val="nil"/>
                    <w:bottom w:val="nil"/>
                    <w:right w:val="nil"/>
                  </w:tcBorders>
                </w:tcPr>
                <w:p w14:paraId="4F0A728A" w14:textId="2C8ADE59" w:rsidR="007769BE" w:rsidRPr="00F55DB6" w:rsidRDefault="007769BE">
                  <w:pPr>
                    <w:jc w:val="left"/>
                    <w:rPr>
                      <w:rFonts w:ascii="Arial" w:hAnsi="Arial" w:cs="Arial"/>
                      <w:szCs w:val="22"/>
                    </w:rPr>
                  </w:pPr>
                  <w:r w:rsidRPr="004854B4">
                    <w:rPr>
                      <w:rFonts w:ascii="Arial" w:hAnsi="Arial" w:cs="Arial"/>
                    </w:rPr>
                    <w:t>Adjusted basic EPS</w:t>
                  </w:r>
                  <w:r w:rsidR="00936EA5" w:rsidRPr="004854B4">
                    <w:rPr>
                      <w:rFonts w:ascii="Arial" w:hAnsi="Arial" w:cs="Arial"/>
                    </w:rPr>
                    <w:t>*</w:t>
                  </w:r>
                </w:p>
              </w:tc>
              <w:tc>
                <w:tcPr>
                  <w:tcW w:w="1177" w:type="dxa"/>
                  <w:tcBorders>
                    <w:top w:val="nil"/>
                    <w:left w:val="nil"/>
                    <w:bottom w:val="nil"/>
                    <w:right w:val="nil"/>
                  </w:tcBorders>
                </w:tcPr>
                <w:p w14:paraId="5ED8F8B7" w14:textId="2137007F" w:rsidR="007769BE" w:rsidRPr="00976463" w:rsidRDefault="00000393">
                  <w:pPr>
                    <w:jc w:val="right"/>
                    <w:rPr>
                      <w:rFonts w:ascii="Arial" w:hAnsi="Arial" w:cs="Arial"/>
                      <w:szCs w:val="22"/>
                    </w:rPr>
                  </w:pPr>
                  <w:r>
                    <w:rPr>
                      <w:rFonts w:ascii="Arial" w:hAnsi="Arial" w:cs="Arial"/>
                    </w:rPr>
                    <w:t>11.0</w:t>
                  </w:r>
                  <w:r w:rsidR="007769BE" w:rsidRPr="00976463">
                    <w:rPr>
                      <w:rFonts w:ascii="Arial" w:hAnsi="Arial" w:cs="Arial"/>
                    </w:rPr>
                    <w:t>p</w:t>
                  </w:r>
                </w:p>
              </w:tc>
              <w:tc>
                <w:tcPr>
                  <w:tcW w:w="1440" w:type="dxa"/>
                  <w:tcBorders>
                    <w:top w:val="nil"/>
                    <w:left w:val="nil"/>
                    <w:bottom w:val="nil"/>
                    <w:right w:val="nil"/>
                  </w:tcBorders>
                </w:tcPr>
                <w:p w14:paraId="44CA637D" w14:textId="6F5E4709" w:rsidR="007769BE" w:rsidRPr="00976463" w:rsidRDefault="007769BE">
                  <w:pPr>
                    <w:jc w:val="right"/>
                    <w:rPr>
                      <w:rFonts w:ascii="Arial" w:hAnsi="Arial" w:cs="Arial"/>
                      <w:szCs w:val="22"/>
                    </w:rPr>
                  </w:pPr>
                  <w:r w:rsidRPr="00976463">
                    <w:rPr>
                      <w:rFonts w:ascii="Arial" w:hAnsi="Arial" w:cs="Arial"/>
                    </w:rPr>
                    <w:t>13.</w:t>
                  </w:r>
                  <w:r w:rsidR="00CA4063" w:rsidRPr="00976463">
                    <w:rPr>
                      <w:rFonts w:ascii="Arial" w:hAnsi="Arial" w:cs="Arial"/>
                    </w:rPr>
                    <w:t>0</w:t>
                  </w:r>
                  <w:r w:rsidRPr="00976463">
                    <w:rPr>
                      <w:rFonts w:ascii="Arial" w:hAnsi="Arial" w:cs="Arial"/>
                    </w:rPr>
                    <w:t>p</w:t>
                  </w:r>
                </w:p>
              </w:tc>
              <w:tc>
                <w:tcPr>
                  <w:tcW w:w="1447" w:type="dxa"/>
                  <w:tcBorders>
                    <w:top w:val="nil"/>
                    <w:left w:val="nil"/>
                    <w:bottom w:val="nil"/>
                    <w:right w:val="nil"/>
                  </w:tcBorders>
                </w:tcPr>
                <w:p w14:paraId="2357988A" w14:textId="561ADEC1" w:rsidR="007769BE" w:rsidRPr="00976463" w:rsidRDefault="00FC25B9">
                  <w:pPr>
                    <w:jc w:val="right"/>
                    <w:rPr>
                      <w:rFonts w:ascii="Arial" w:hAnsi="Arial" w:cs="Arial"/>
                      <w:szCs w:val="22"/>
                    </w:rPr>
                  </w:pPr>
                  <w:r>
                    <w:rPr>
                      <w:rFonts w:ascii="Arial" w:hAnsi="Arial" w:cs="Arial"/>
                    </w:rPr>
                    <w:t>(</w:t>
                  </w:r>
                  <w:proofErr w:type="gramStart"/>
                  <w:r w:rsidR="000863D8">
                    <w:rPr>
                      <w:rFonts w:ascii="Arial" w:hAnsi="Arial" w:cs="Arial"/>
                    </w:rPr>
                    <w:t>15.4</w:t>
                  </w:r>
                  <w:r>
                    <w:rPr>
                      <w:rFonts w:ascii="Arial" w:hAnsi="Arial" w:cs="Arial"/>
                    </w:rPr>
                    <w:t>)</w:t>
                  </w:r>
                  <w:r w:rsidR="007122ED" w:rsidRPr="00F01C34">
                    <w:rPr>
                      <w:rFonts w:ascii="Arial" w:hAnsi="Arial" w:cs="Arial"/>
                    </w:rPr>
                    <w:t>%</w:t>
                  </w:r>
                  <w:proofErr w:type="gramEnd"/>
                </w:p>
              </w:tc>
              <w:tc>
                <w:tcPr>
                  <w:tcW w:w="1170" w:type="dxa"/>
                  <w:tcBorders>
                    <w:top w:val="nil"/>
                    <w:left w:val="nil"/>
                    <w:bottom w:val="nil"/>
                    <w:right w:val="nil"/>
                  </w:tcBorders>
                </w:tcPr>
                <w:p w14:paraId="7283AFB6" w14:textId="77777777" w:rsidR="007769BE" w:rsidRPr="00976463" w:rsidRDefault="007769BE" w:rsidP="001064D3">
                  <w:pPr>
                    <w:jc w:val="right"/>
                    <w:rPr>
                      <w:rFonts w:ascii="Arial" w:hAnsi="Arial" w:cs="Arial"/>
                      <w:szCs w:val="22"/>
                    </w:rPr>
                  </w:pPr>
                </w:p>
              </w:tc>
              <w:tc>
                <w:tcPr>
                  <w:tcW w:w="1170" w:type="dxa"/>
                  <w:tcBorders>
                    <w:top w:val="nil"/>
                    <w:left w:val="nil"/>
                    <w:bottom w:val="nil"/>
                    <w:right w:val="nil"/>
                  </w:tcBorders>
                </w:tcPr>
                <w:p w14:paraId="40F8C131" w14:textId="77777777" w:rsidR="007769BE" w:rsidRPr="00976463" w:rsidRDefault="007769BE" w:rsidP="001064D3">
                  <w:pPr>
                    <w:jc w:val="right"/>
                    <w:rPr>
                      <w:rFonts w:ascii="Arial" w:hAnsi="Arial" w:cs="Arial"/>
                      <w:szCs w:val="22"/>
                    </w:rPr>
                  </w:pPr>
                </w:p>
              </w:tc>
            </w:tr>
            <w:tr w:rsidR="008F7CE8" w14:paraId="5EAC1F11" w14:textId="77777777" w:rsidTr="001064D3">
              <w:trPr>
                <w:trHeight w:val="269"/>
              </w:trPr>
              <w:tc>
                <w:tcPr>
                  <w:tcW w:w="3011" w:type="dxa"/>
                  <w:tcBorders>
                    <w:top w:val="nil"/>
                    <w:left w:val="nil"/>
                    <w:bottom w:val="nil"/>
                    <w:right w:val="nil"/>
                  </w:tcBorders>
                </w:tcPr>
                <w:p w14:paraId="3FE126A2" w14:textId="672A3EDF" w:rsidR="007769BE" w:rsidRPr="00F55DB6" w:rsidRDefault="007769BE">
                  <w:pPr>
                    <w:jc w:val="left"/>
                    <w:rPr>
                      <w:rFonts w:ascii="Arial" w:hAnsi="Arial" w:cs="Arial"/>
                      <w:szCs w:val="22"/>
                    </w:rPr>
                  </w:pPr>
                  <w:r w:rsidRPr="004854B4">
                    <w:rPr>
                      <w:rFonts w:ascii="Arial" w:hAnsi="Arial" w:cs="Arial"/>
                    </w:rPr>
                    <w:t>Half year dividend</w:t>
                  </w:r>
                </w:p>
              </w:tc>
              <w:tc>
                <w:tcPr>
                  <w:tcW w:w="1177" w:type="dxa"/>
                  <w:tcBorders>
                    <w:top w:val="nil"/>
                    <w:left w:val="nil"/>
                    <w:bottom w:val="nil"/>
                    <w:right w:val="nil"/>
                  </w:tcBorders>
                </w:tcPr>
                <w:p w14:paraId="3B93F356" w14:textId="22603FCA" w:rsidR="007769BE" w:rsidRPr="00976463" w:rsidRDefault="00A76AEA">
                  <w:pPr>
                    <w:jc w:val="right"/>
                    <w:rPr>
                      <w:rFonts w:ascii="Arial" w:hAnsi="Arial" w:cs="Arial"/>
                      <w:szCs w:val="22"/>
                    </w:rPr>
                  </w:pPr>
                  <w:r w:rsidRPr="00F01C34">
                    <w:rPr>
                      <w:rFonts w:ascii="Arial" w:hAnsi="Arial" w:cs="Arial"/>
                    </w:rPr>
                    <w:t>3.</w:t>
                  </w:r>
                  <w:r w:rsidR="00D30EAA">
                    <w:rPr>
                      <w:rFonts w:ascii="Arial" w:hAnsi="Arial" w:cs="Arial"/>
                    </w:rPr>
                    <w:t>33</w:t>
                  </w:r>
                  <w:r w:rsidR="007769BE" w:rsidRPr="00976463">
                    <w:rPr>
                      <w:rFonts w:ascii="Arial" w:hAnsi="Arial" w:cs="Arial"/>
                    </w:rPr>
                    <w:t>p</w:t>
                  </w:r>
                </w:p>
              </w:tc>
              <w:tc>
                <w:tcPr>
                  <w:tcW w:w="1440" w:type="dxa"/>
                  <w:tcBorders>
                    <w:top w:val="nil"/>
                    <w:left w:val="nil"/>
                    <w:bottom w:val="nil"/>
                    <w:right w:val="nil"/>
                  </w:tcBorders>
                </w:tcPr>
                <w:p w14:paraId="35EB05F5" w14:textId="54C18388" w:rsidR="007769BE" w:rsidRPr="00976463" w:rsidRDefault="007769BE">
                  <w:pPr>
                    <w:jc w:val="right"/>
                    <w:rPr>
                      <w:rFonts w:ascii="Arial" w:hAnsi="Arial" w:cs="Arial"/>
                      <w:szCs w:val="22"/>
                    </w:rPr>
                  </w:pPr>
                  <w:r w:rsidRPr="00976463">
                    <w:rPr>
                      <w:rFonts w:ascii="Arial" w:hAnsi="Arial" w:cs="Arial"/>
                    </w:rPr>
                    <w:t>3.</w:t>
                  </w:r>
                  <w:r w:rsidR="00CA4063" w:rsidRPr="00976463">
                    <w:rPr>
                      <w:rFonts w:ascii="Arial" w:hAnsi="Arial" w:cs="Arial"/>
                    </w:rPr>
                    <w:t>33</w:t>
                  </w:r>
                  <w:r w:rsidRPr="00976463">
                    <w:rPr>
                      <w:rFonts w:ascii="Arial" w:hAnsi="Arial" w:cs="Arial"/>
                    </w:rPr>
                    <w:t>p</w:t>
                  </w:r>
                </w:p>
              </w:tc>
              <w:tc>
                <w:tcPr>
                  <w:tcW w:w="1447" w:type="dxa"/>
                  <w:tcBorders>
                    <w:top w:val="nil"/>
                    <w:left w:val="nil"/>
                    <w:bottom w:val="nil"/>
                    <w:right w:val="nil"/>
                  </w:tcBorders>
                </w:tcPr>
                <w:p w14:paraId="14504812" w14:textId="3AE8111A" w:rsidR="007769BE" w:rsidRPr="00976463" w:rsidRDefault="00D30EAA">
                  <w:pPr>
                    <w:jc w:val="right"/>
                    <w:rPr>
                      <w:rFonts w:ascii="Arial" w:hAnsi="Arial" w:cs="Arial"/>
                      <w:szCs w:val="22"/>
                    </w:rPr>
                  </w:pPr>
                  <w:r>
                    <w:rPr>
                      <w:rFonts w:ascii="Arial" w:hAnsi="Arial" w:cs="Arial"/>
                    </w:rPr>
                    <w:t>-</w:t>
                  </w:r>
                </w:p>
              </w:tc>
              <w:tc>
                <w:tcPr>
                  <w:tcW w:w="1170" w:type="dxa"/>
                  <w:tcBorders>
                    <w:top w:val="nil"/>
                    <w:left w:val="nil"/>
                    <w:bottom w:val="nil"/>
                    <w:right w:val="nil"/>
                  </w:tcBorders>
                </w:tcPr>
                <w:p w14:paraId="66E999A0" w14:textId="77777777" w:rsidR="007769BE" w:rsidRPr="00976463" w:rsidRDefault="007769BE" w:rsidP="001064D3">
                  <w:pPr>
                    <w:jc w:val="right"/>
                    <w:rPr>
                      <w:rFonts w:ascii="Arial" w:hAnsi="Arial" w:cs="Arial"/>
                      <w:szCs w:val="22"/>
                    </w:rPr>
                  </w:pPr>
                </w:p>
              </w:tc>
              <w:tc>
                <w:tcPr>
                  <w:tcW w:w="1170" w:type="dxa"/>
                  <w:tcBorders>
                    <w:top w:val="nil"/>
                    <w:left w:val="nil"/>
                    <w:bottom w:val="nil"/>
                    <w:right w:val="nil"/>
                  </w:tcBorders>
                </w:tcPr>
                <w:p w14:paraId="2AB78D15" w14:textId="77777777" w:rsidR="007769BE" w:rsidRPr="00976463" w:rsidRDefault="007769BE" w:rsidP="001064D3">
                  <w:pPr>
                    <w:jc w:val="right"/>
                    <w:rPr>
                      <w:rFonts w:ascii="Arial" w:hAnsi="Arial" w:cs="Arial"/>
                      <w:szCs w:val="22"/>
                    </w:rPr>
                  </w:pPr>
                </w:p>
              </w:tc>
            </w:tr>
            <w:tr w:rsidR="008F7CE8" w14:paraId="51BEBA43" w14:textId="77777777" w:rsidTr="001064D3">
              <w:trPr>
                <w:trHeight w:val="269"/>
              </w:trPr>
              <w:tc>
                <w:tcPr>
                  <w:tcW w:w="3011" w:type="dxa"/>
                  <w:tcBorders>
                    <w:top w:val="nil"/>
                    <w:left w:val="nil"/>
                    <w:bottom w:val="single" w:sz="4" w:space="0" w:color="auto"/>
                    <w:right w:val="nil"/>
                  </w:tcBorders>
                </w:tcPr>
                <w:p w14:paraId="0C30B11C" w14:textId="77777777" w:rsidR="007769BE" w:rsidRPr="00F55DB6" w:rsidRDefault="007769BE">
                  <w:pPr>
                    <w:jc w:val="left"/>
                    <w:rPr>
                      <w:rFonts w:ascii="Arial" w:hAnsi="Arial" w:cs="Arial"/>
                      <w:szCs w:val="22"/>
                    </w:rPr>
                  </w:pPr>
                  <w:r w:rsidRPr="004854B4">
                    <w:rPr>
                      <w:rFonts w:ascii="Arial" w:hAnsi="Arial" w:cs="Arial"/>
                    </w:rPr>
                    <w:t>Net cash*</w:t>
                  </w:r>
                </w:p>
              </w:tc>
              <w:tc>
                <w:tcPr>
                  <w:tcW w:w="1177" w:type="dxa"/>
                  <w:tcBorders>
                    <w:top w:val="nil"/>
                    <w:left w:val="nil"/>
                    <w:bottom w:val="single" w:sz="4" w:space="0" w:color="auto"/>
                    <w:right w:val="nil"/>
                  </w:tcBorders>
                </w:tcPr>
                <w:p w14:paraId="43074228" w14:textId="3F77C2DD" w:rsidR="007769BE" w:rsidRPr="00976463" w:rsidRDefault="007769BE">
                  <w:pPr>
                    <w:jc w:val="right"/>
                    <w:rPr>
                      <w:rFonts w:ascii="Arial" w:hAnsi="Arial" w:cs="Arial"/>
                      <w:szCs w:val="22"/>
                    </w:rPr>
                  </w:pPr>
                  <w:r w:rsidRPr="00976463">
                    <w:rPr>
                      <w:rFonts w:ascii="Arial" w:hAnsi="Arial" w:cs="Arial"/>
                    </w:rPr>
                    <w:t>£</w:t>
                  </w:r>
                  <w:r w:rsidR="001E05CB" w:rsidRPr="00F01C34">
                    <w:rPr>
                      <w:rFonts w:ascii="Arial" w:hAnsi="Arial" w:cs="Arial"/>
                    </w:rPr>
                    <w:t>99</w:t>
                  </w:r>
                  <w:r w:rsidRPr="00976463">
                    <w:rPr>
                      <w:rFonts w:ascii="Arial" w:hAnsi="Arial" w:cs="Arial"/>
                    </w:rPr>
                    <w:t>m</w:t>
                  </w:r>
                </w:p>
              </w:tc>
              <w:tc>
                <w:tcPr>
                  <w:tcW w:w="1440" w:type="dxa"/>
                  <w:tcBorders>
                    <w:top w:val="nil"/>
                    <w:left w:val="nil"/>
                    <w:bottom w:val="single" w:sz="4" w:space="0" w:color="auto"/>
                    <w:right w:val="nil"/>
                  </w:tcBorders>
                </w:tcPr>
                <w:p w14:paraId="0881E136" w14:textId="6F0FF7CE" w:rsidR="007769BE" w:rsidRPr="00976463" w:rsidRDefault="007769BE">
                  <w:pPr>
                    <w:jc w:val="right"/>
                    <w:rPr>
                      <w:rFonts w:ascii="Arial" w:hAnsi="Arial" w:cs="Arial"/>
                      <w:szCs w:val="22"/>
                    </w:rPr>
                  </w:pPr>
                  <w:r w:rsidRPr="00976463">
                    <w:rPr>
                      <w:rFonts w:ascii="Arial" w:hAnsi="Arial" w:cs="Arial"/>
                    </w:rPr>
                    <w:t>£</w:t>
                  </w:r>
                  <w:r w:rsidR="00CA4063" w:rsidRPr="00976463">
                    <w:rPr>
                      <w:rFonts w:ascii="Arial" w:hAnsi="Arial" w:cs="Arial"/>
                    </w:rPr>
                    <w:t>650</w:t>
                  </w:r>
                  <w:r w:rsidRPr="00976463">
                    <w:rPr>
                      <w:rFonts w:ascii="Arial" w:hAnsi="Arial" w:cs="Arial"/>
                    </w:rPr>
                    <w:t>m</w:t>
                  </w:r>
                </w:p>
              </w:tc>
              <w:tc>
                <w:tcPr>
                  <w:tcW w:w="1447" w:type="dxa"/>
                  <w:tcBorders>
                    <w:top w:val="nil"/>
                    <w:left w:val="nil"/>
                    <w:bottom w:val="single" w:sz="4" w:space="0" w:color="auto"/>
                    <w:right w:val="nil"/>
                  </w:tcBorders>
                </w:tcPr>
                <w:p w14:paraId="79A97E93" w14:textId="0C8BE8BA" w:rsidR="007769BE" w:rsidRPr="00976463" w:rsidRDefault="007769BE">
                  <w:pPr>
                    <w:jc w:val="right"/>
                    <w:rPr>
                      <w:rFonts w:ascii="Arial" w:hAnsi="Arial" w:cs="Arial"/>
                      <w:szCs w:val="22"/>
                    </w:rPr>
                  </w:pPr>
                  <w:r w:rsidRPr="00976463">
                    <w:rPr>
                      <w:rFonts w:ascii="Arial" w:hAnsi="Arial" w:cs="Arial"/>
                    </w:rPr>
                    <w:t>n/a</w:t>
                  </w:r>
                </w:p>
              </w:tc>
              <w:tc>
                <w:tcPr>
                  <w:tcW w:w="1170" w:type="dxa"/>
                  <w:tcBorders>
                    <w:top w:val="nil"/>
                    <w:left w:val="nil"/>
                    <w:bottom w:val="single" w:sz="4" w:space="0" w:color="auto"/>
                    <w:right w:val="nil"/>
                  </w:tcBorders>
                </w:tcPr>
                <w:p w14:paraId="7669C2D0" w14:textId="77777777" w:rsidR="007769BE" w:rsidRPr="00976463" w:rsidRDefault="007769BE" w:rsidP="001064D3">
                  <w:pPr>
                    <w:jc w:val="right"/>
                    <w:rPr>
                      <w:rFonts w:ascii="Arial" w:hAnsi="Arial" w:cs="Arial"/>
                      <w:szCs w:val="22"/>
                    </w:rPr>
                  </w:pPr>
                </w:p>
              </w:tc>
              <w:tc>
                <w:tcPr>
                  <w:tcW w:w="1170" w:type="dxa"/>
                  <w:tcBorders>
                    <w:top w:val="nil"/>
                    <w:left w:val="nil"/>
                    <w:bottom w:val="single" w:sz="4" w:space="0" w:color="auto"/>
                    <w:right w:val="nil"/>
                  </w:tcBorders>
                </w:tcPr>
                <w:p w14:paraId="526397AD" w14:textId="77777777" w:rsidR="007769BE" w:rsidRPr="00976463" w:rsidRDefault="007769BE" w:rsidP="001064D3">
                  <w:pPr>
                    <w:jc w:val="right"/>
                    <w:rPr>
                      <w:rFonts w:ascii="Arial" w:hAnsi="Arial" w:cs="Arial"/>
                      <w:szCs w:val="22"/>
                    </w:rPr>
                  </w:pPr>
                </w:p>
              </w:tc>
            </w:tr>
            <w:tr w:rsidR="007769BE" w14:paraId="1E681C34" w14:textId="77777777" w:rsidTr="001064D3">
              <w:trPr>
                <w:trHeight w:val="81"/>
              </w:trPr>
              <w:tc>
                <w:tcPr>
                  <w:tcW w:w="9415" w:type="dxa"/>
                  <w:gridSpan w:val="6"/>
                  <w:tcBorders>
                    <w:top w:val="single" w:sz="4" w:space="0" w:color="auto"/>
                    <w:left w:val="nil"/>
                    <w:bottom w:val="nil"/>
                    <w:right w:val="nil"/>
                  </w:tcBorders>
                </w:tcPr>
                <w:p w14:paraId="1CFC8431" w14:textId="77777777" w:rsidR="007769BE" w:rsidRPr="00925EFB" w:rsidRDefault="007769BE" w:rsidP="00456F9F">
                  <w:pPr>
                    <w:jc w:val="left"/>
                    <w:rPr>
                      <w:rFonts w:ascii="Arial" w:hAnsi="Arial" w:cs="Arial"/>
                      <w:i/>
                      <w:sz w:val="18"/>
                      <w:szCs w:val="18"/>
                    </w:rPr>
                  </w:pPr>
                </w:p>
              </w:tc>
            </w:tr>
          </w:tbl>
          <w:p w14:paraId="1B0EA68C" w14:textId="77777777" w:rsidR="007769BE" w:rsidRPr="00D570CA" w:rsidRDefault="007769BE" w:rsidP="00456F9F">
            <w:pPr>
              <w:jc w:val="left"/>
              <w:rPr>
                <w:rFonts w:ascii="Arial" w:hAnsi="Arial" w:cs="Arial"/>
                <w:b/>
                <w:bCs/>
                <w:sz w:val="24"/>
                <w:szCs w:val="24"/>
                <w:u w:val="single"/>
              </w:rPr>
            </w:pPr>
          </w:p>
        </w:tc>
      </w:tr>
    </w:tbl>
    <w:p w14:paraId="183466E2" w14:textId="77777777" w:rsidR="00CC74EB" w:rsidRDefault="00CC74EB" w:rsidP="006E55D8">
      <w:pPr>
        <w:jc w:val="left"/>
        <w:rPr>
          <w:rFonts w:ascii="Arial" w:hAnsi="Arial" w:cs="Arial"/>
          <w:b/>
          <w:bCs/>
        </w:rPr>
      </w:pPr>
    </w:p>
    <w:p w14:paraId="204273BC" w14:textId="1458520B" w:rsidR="009D7691" w:rsidRPr="00AB52F3" w:rsidRDefault="00516EF7" w:rsidP="00AB52F3">
      <w:pPr>
        <w:jc w:val="left"/>
        <w:rPr>
          <w:rFonts w:ascii="Arial" w:hAnsi="Arial" w:cs="Arial"/>
          <w:b/>
          <w:bCs/>
          <w:u w:val="single"/>
        </w:rPr>
      </w:pPr>
      <w:bookmarkStart w:id="0" w:name="_Hlk524465105"/>
      <w:r>
        <w:rPr>
          <w:rFonts w:ascii="Arial" w:hAnsi="Arial" w:cs="Arial"/>
          <w:b/>
          <w:bCs/>
          <w:u w:val="single"/>
        </w:rPr>
        <w:t xml:space="preserve">At halfway point of </w:t>
      </w:r>
      <w:proofErr w:type="gramStart"/>
      <w:r>
        <w:rPr>
          <w:rFonts w:ascii="Arial" w:hAnsi="Arial" w:cs="Arial"/>
          <w:b/>
          <w:bCs/>
          <w:u w:val="single"/>
        </w:rPr>
        <w:t>5 year</w:t>
      </w:r>
      <w:proofErr w:type="gramEnd"/>
      <w:r>
        <w:rPr>
          <w:rFonts w:ascii="Arial" w:hAnsi="Arial" w:cs="Arial"/>
          <w:b/>
          <w:bCs/>
          <w:u w:val="single"/>
        </w:rPr>
        <w:t xml:space="preserve"> </w:t>
      </w:r>
      <w:r w:rsidR="00AB52F3">
        <w:rPr>
          <w:rFonts w:ascii="Arial" w:hAnsi="Arial" w:cs="Arial"/>
          <w:b/>
          <w:bCs/>
          <w:u w:val="single"/>
        </w:rPr>
        <w:t xml:space="preserve">transformation </w:t>
      </w:r>
      <w:r>
        <w:rPr>
          <w:rFonts w:ascii="Arial" w:hAnsi="Arial" w:cs="Arial"/>
          <w:b/>
          <w:bCs/>
          <w:u w:val="single"/>
        </w:rPr>
        <w:t>plan</w:t>
      </w:r>
      <w:r w:rsidRPr="009D7691" w:rsidDel="008C7A06">
        <w:rPr>
          <w:rFonts w:ascii="Arial" w:hAnsi="Arial" w:cs="Arial"/>
          <w:b/>
          <w:bCs/>
          <w:u w:val="single"/>
        </w:rPr>
        <w:t xml:space="preserve"> </w:t>
      </w:r>
      <w:r w:rsidR="004F69CC">
        <w:rPr>
          <w:rFonts w:ascii="Arial" w:hAnsi="Arial" w:cs="Arial"/>
          <w:b/>
          <w:bCs/>
          <w:u w:val="single"/>
        </w:rPr>
        <w:t>- c</w:t>
      </w:r>
      <w:r w:rsidR="009D7691" w:rsidRPr="00AB52F3">
        <w:rPr>
          <w:rFonts w:ascii="Arial" w:hAnsi="Arial" w:cs="Arial"/>
          <w:b/>
          <w:bCs/>
          <w:u w:val="single"/>
        </w:rPr>
        <w:t xml:space="preserve">ontinuing to deliver on </w:t>
      </w:r>
      <w:r w:rsidR="00AB52F3">
        <w:rPr>
          <w:rFonts w:ascii="Arial" w:hAnsi="Arial" w:cs="Arial"/>
          <w:b/>
          <w:bCs/>
          <w:u w:val="single"/>
        </w:rPr>
        <w:t xml:space="preserve">strategic </w:t>
      </w:r>
      <w:r w:rsidR="009D7691" w:rsidRPr="00AB52F3">
        <w:rPr>
          <w:rFonts w:ascii="Arial" w:hAnsi="Arial" w:cs="Arial"/>
          <w:b/>
          <w:bCs/>
          <w:u w:val="single"/>
        </w:rPr>
        <w:t xml:space="preserve">milestones </w:t>
      </w:r>
    </w:p>
    <w:bookmarkEnd w:id="0"/>
    <w:p w14:paraId="7C12743B" w14:textId="710A7287" w:rsidR="008876D4" w:rsidRPr="00AB52F3" w:rsidRDefault="008876D4" w:rsidP="00AB52F3">
      <w:pPr>
        <w:pStyle w:val="ListParagraph"/>
        <w:numPr>
          <w:ilvl w:val="0"/>
          <w:numId w:val="28"/>
        </w:numPr>
        <w:jc w:val="left"/>
        <w:rPr>
          <w:rFonts w:ascii="Arial" w:hAnsi="Arial" w:cs="Arial"/>
          <w:bCs/>
        </w:rPr>
      </w:pPr>
      <w:r w:rsidRPr="00AB52F3">
        <w:rPr>
          <w:rFonts w:ascii="Arial" w:hAnsi="Arial" w:cs="Arial"/>
          <w:b/>
          <w:bCs/>
        </w:rPr>
        <w:t>Unified &amp; unique offer</w:t>
      </w:r>
      <w:r w:rsidRPr="00AB52F3">
        <w:rPr>
          <w:rFonts w:ascii="Arial" w:hAnsi="Arial" w:cs="Arial"/>
          <w:bCs/>
        </w:rPr>
        <w:t xml:space="preserve">: </w:t>
      </w:r>
      <w:r w:rsidR="00B42735" w:rsidRPr="00AB52F3">
        <w:rPr>
          <w:rFonts w:ascii="Arial" w:hAnsi="Arial" w:cs="Arial"/>
          <w:bCs/>
        </w:rPr>
        <w:t>unified</w:t>
      </w:r>
      <w:r w:rsidRPr="00AB52F3">
        <w:rPr>
          <w:rFonts w:ascii="Arial" w:hAnsi="Arial" w:cs="Arial"/>
          <w:bCs/>
        </w:rPr>
        <w:t xml:space="preserve"> </w:t>
      </w:r>
      <w:r w:rsidR="00A76AEA" w:rsidRPr="004215EF">
        <w:rPr>
          <w:rFonts w:ascii="Arial" w:hAnsi="Arial" w:cs="Arial"/>
          <w:bCs/>
        </w:rPr>
        <w:t>4</w:t>
      </w:r>
      <w:r w:rsidR="002C57E8" w:rsidRPr="004215EF">
        <w:rPr>
          <w:rFonts w:ascii="Arial" w:hAnsi="Arial" w:cs="Arial"/>
          <w:bCs/>
        </w:rPr>
        <w:t>2</w:t>
      </w:r>
      <w:r w:rsidRPr="00FC25B9">
        <w:rPr>
          <w:rFonts w:ascii="Arial" w:hAnsi="Arial" w:cs="Arial"/>
          <w:bCs/>
        </w:rPr>
        <w:t>%</w:t>
      </w:r>
      <w:r w:rsidRPr="00AB52F3">
        <w:rPr>
          <w:rFonts w:ascii="Arial" w:hAnsi="Arial" w:cs="Arial"/>
          <w:bCs/>
        </w:rPr>
        <w:t xml:space="preserve"> </w:t>
      </w:r>
      <w:r w:rsidR="00B42735" w:rsidRPr="00AB52F3">
        <w:rPr>
          <w:rFonts w:ascii="Arial" w:hAnsi="Arial" w:cs="Arial"/>
          <w:bCs/>
        </w:rPr>
        <w:t>of product</w:t>
      </w:r>
      <w:r w:rsidRPr="00AB52F3">
        <w:rPr>
          <w:rFonts w:ascii="Arial" w:hAnsi="Arial" w:cs="Arial"/>
          <w:bCs/>
        </w:rPr>
        <w:t xml:space="preserve"> </w:t>
      </w:r>
      <w:r w:rsidR="00B42735" w:rsidRPr="00AB52F3">
        <w:rPr>
          <w:rFonts w:ascii="Arial" w:hAnsi="Arial" w:cs="Arial"/>
          <w:bCs/>
        </w:rPr>
        <w:t>(</w:t>
      </w:r>
      <w:r w:rsidRPr="00AB52F3">
        <w:rPr>
          <w:rFonts w:ascii="Arial" w:hAnsi="Arial" w:cs="Arial"/>
          <w:bCs/>
        </w:rPr>
        <w:t>cost of goods sold</w:t>
      </w:r>
      <w:r w:rsidR="00B42735" w:rsidRPr="00AB52F3">
        <w:rPr>
          <w:rFonts w:ascii="Arial" w:hAnsi="Arial" w:cs="Arial"/>
          <w:bCs/>
        </w:rPr>
        <w:t xml:space="preserve">). </w:t>
      </w:r>
      <w:r w:rsidR="00910D65">
        <w:rPr>
          <w:rFonts w:ascii="Arial" w:hAnsi="Arial" w:cs="Arial"/>
          <w:bCs/>
        </w:rPr>
        <w:t>H1 s</w:t>
      </w:r>
      <w:r w:rsidR="00A0671A" w:rsidRPr="00A0671A">
        <w:rPr>
          <w:rFonts w:ascii="Arial" w:hAnsi="Arial" w:cs="Arial"/>
          <w:bCs/>
        </w:rPr>
        <w:t xml:space="preserve">ales </w:t>
      </w:r>
      <w:r w:rsidR="00A0671A">
        <w:rPr>
          <w:rFonts w:ascii="Arial" w:hAnsi="Arial" w:cs="Arial"/>
          <w:bCs/>
        </w:rPr>
        <w:t xml:space="preserve">(+2.2%) </w:t>
      </w:r>
      <w:r w:rsidR="00A0671A" w:rsidRPr="00A0671A">
        <w:rPr>
          <w:rFonts w:ascii="Arial" w:hAnsi="Arial" w:cs="Arial"/>
          <w:bCs/>
        </w:rPr>
        <w:t>and gross margin continued to grow</w:t>
      </w:r>
      <w:r w:rsidR="00B42735" w:rsidRPr="00AB52F3">
        <w:rPr>
          <w:rFonts w:ascii="Arial" w:hAnsi="Arial" w:cs="Arial"/>
          <w:bCs/>
        </w:rPr>
        <w:t xml:space="preserve"> </w:t>
      </w:r>
    </w:p>
    <w:p w14:paraId="6B01E827" w14:textId="7FD63B97" w:rsidR="008876D4" w:rsidRPr="00AB52F3" w:rsidRDefault="008876D4" w:rsidP="00AB52F3">
      <w:pPr>
        <w:pStyle w:val="ListParagraph"/>
        <w:numPr>
          <w:ilvl w:val="0"/>
          <w:numId w:val="28"/>
        </w:numPr>
        <w:jc w:val="left"/>
        <w:rPr>
          <w:rFonts w:ascii="Arial" w:hAnsi="Arial" w:cs="Arial"/>
        </w:rPr>
      </w:pPr>
      <w:r w:rsidRPr="00AB52F3">
        <w:rPr>
          <w:rFonts w:ascii="Arial" w:hAnsi="Arial" w:cs="Arial"/>
          <w:b/>
        </w:rPr>
        <w:t>Digital</w:t>
      </w:r>
      <w:r w:rsidRPr="00AB52F3">
        <w:rPr>
          <w:rFonts w:ascii="Arial" w:hAnsi="Arial" w:cs="Arial"/>
        </w:rPr>
        <w:t xml:space="preserve">: </w:t>
      </w:r>
      <w:r w:rsidR="003A18A0">
        <w:rPr>
          <w:rFonts w:ascii="Arial" w:hAnsi="Arial" w:cs="Arial"/>
        </w:rPr>
        <w:t>R</w:t>
      </w:r>
      <w:r w:rsidR="00B42735" w:rsidRPr="00AB52F3">
        <w:rPr>
          <w:rFonts w:ascii="Arial" w:hAnsi="Arial" w:cs="Arial"/>
        </w:rPr>
        <w:t>ollout</w:t>
      </w:r>
      <w:r w:rsidR="003A18A0">
        <w:rPr>
          <w:rFonts w:ascii="Arial" w:hAnsi="Arial" w:cs="Arial"/>
        </w:rPr>
        <w:t xml:space="preserve"> of new unified IT platform</w:t>
      </w:r>
      <w:r w:rsidR="00B42735" w:rsidRPr="00AB52F3">
        <w:rPr>
          <w:rFonts w:ascii="Arial" w:hAnsi="Arial" w:cs="Arial"/>
        </w:rPr>
        <w:t xml:space="preserve"> now underway in all remaining op</w:t>
      </w:r>
      <w:r w:rsidR="00C30BF5">
        <w:rPr>
          <w:rFonts w:ascii="Arial" w:hAnsi="Arial" w:cs="Arial"/>
        </w:rPr>
        <w:t xml:space="preserve">erating </w:t>
      </w:r>
      <w:r w:rsidR="00B42735" w:rsidRPr="00AB52F3">
        <w:rPr>
          <w:rFonts w:ascii="Arial" w:hAnsi="Arial" w:cs="Arial"/>
        </w:rPr>
        <w:t>co</w:t>
      </w:r>
      <w:r w:rsidR="00C30BF5">
        <w:rPr>
          <w:rFonts w:ascii="Arial" w:hAnsi="Arial" w:cs="Arial"/>
        </w:rPr>
        <w:t>mpanies</w:t>
      </w:r>
      <w:r w:rsidR="00B42735" w:rsidRPr="00AB52F3">
        <w:rPr>
          <w:rFonts w:ascii="Arial" w:hAnsi="Arial" w:cs="Arial"/>
        </w:rPr>
        <w:t>, digital sales</w:t>
      </w:r>
      <w:r w:rsidR="00936EA5">
        <w:rPr>
          <w:rFonts w:ascii="Arial" w:hAnsi="Arial" w:cs="Arial"/>
        </w:rPr>
        <w:t>*</w:t>
      </w:r>
      <w:r w:rsidR="004E1203">
        <w:rPr>
          <w:rFonts w:ascii="Arial" w:hAnsi="Arial" w:cs="Arial"/>
        </w:rPr>
        <w:t xml:space="preserve"> now </w:t>
      </w:r>
      <w:r w:rsidR="00B42735" w:rsidRPr="00AB52F3">
        <w:rPr>
          <w:rFonts w:ascii="Arial" w:hAnsi="Arial" w:cs="Arial"/>
        </w:rPr>
        <w:t xml:space="preserve">6% </w:t>
      </w:r>
      <w:r w:rsidR="004E1203">
        <w:rPr>
          <w:rFonts w:ascii="Arial" w:hAnsi="Arial" w:cs="Arial"/>
        </w:rPr>
        <w:t xml:space="preserve">of Group </w:t>
      </w:r>
      <w:r w:rsidR="00B42735" w:rsidRPr="00AB52F3">
        <w:rPr>
          <w:rFonts w:ascii="Arial" w:hAnsi="Arial" w:cs="Arial"/>
        </w:rPr>
        <w:t>(</w:t>
      </w:r>
      <w:r w:rsidR="00976463" w:rsidRPr="00AB52F3">
        <w:rPr>
          <w:rFonts w:ascii="Arial" w:hAnsi="Arial" w:cs="Arial"/>
        </w:rPr>
        <w:t>5</w:t>
      </w:r>
      <w:r w:rsidR="00B42735" w:rsidRPr="00AB52F3">
        <w:rPr>
          <w:rFonts w:ascii="Arial" w:hAnsi="Arial" w:cs="Arial"/>
        </w:rPr>
        <w:t xml:space="preserve">% last year) </w:t>
      </w:r>
    </w:p>
    <w:p w14:paraId="43340F96" w14:textId="373966AD" w:rsidR="008876D4" w:rsidRPr="00AB52F3" w:rsidRDefault="008876D4" w:rsidP="00AB52F3">
      <w:pPr>
        <w:pStyle w:val="ListParagraph"/>
        <w:numPr>
          <w:ilvl w:val="0"/>
          <w:numId w:val="28"/>
        </w:numPr>
        <w:jc w:val="left"/>
        <w:rPr>
          <w:rFonts w:ascii="Arial" w:hAnsi="Arial" w:cs="Arial"/>
          <w:bCs/>
        </w:rPr>
      </w:pPr>
      <w:bookmarkStart w:id="1" w:name="_Hlk524465112"/>
      <w:r w:rsidRPr="00AB52F3">
        <w:rPr>
          <w:rFonts w:ascii="Arial" w:hAnsi="Arial" w:cs="Arial"/>
          <w:b/>
        </w:rPr>
        <w:t>Operational efficiency</w:t>
      </w:r>
      <w:r w:rsidRPr="00AB52F3">
        <w:rPr>
          <w:rFonts w:ascii="Arial" w:hAnsi="Arial" w:cs="Arial"/>
        </w:rPr>
        <w:t xml:space="preserve">: </w:t>
      </w:r>
      <w:r w:rsidR="00253209" w:rsidRPr="00632520">
        <w:rPr>
          <w:rFonts w:ascii="Arial" w:hAnsi="Arial" w:cs="Arial"/>
        </w:rPr>
        <w:t>£</w:t>
      </w:r>
      <w:r w:rsidR="00D30EAA">
        <w:rPr>
          <w:rFonts w:ascii="Arial" w:hAnsi="Arial" w:cs="Arial"/>
        </w:rPr>
        <w:t>14</w:t>
      </w:r>
      <w:r w:rsidR="00253209" w:rsidRPr="00632520">
        <w:rPr>
          <w:rFonts w:ascii="Arial" w:hAnsi="Arial" w:cs="Arial"/>
        </w:rPr>
        <w:t>m of benefits in H1, (£</w:t>
      </w:r>
      <w:r w:rsidR="00D30EAA">
        <w:rPr>
          <w:rFonts w:ascii="Arial" w:hAnsi="Arial" w:cs="Arial"/>
        </w:rPr>
        <w:t>72</w:t>
      </w:r>
      <w:r w:rsidR="00253209" w:rsidRPr="00632520">
        <w:rPr>
          <w:rFonts w:ascii="Arial" w:hAnsi="Arial" w:cs="Arial"/>
        </w:rPr>
        <w:t>m</w:t>
      </w:r>
      <w:r w:rsidR="00253209" w:rsidRPr="00AB52F3">
        <w:rPr>
          <w:rFonts w:ascii="Arial" w:hAnsi="Arial" w:cs="Arial"/>
        </w:rPr>
        <w:t xml:space="preserve"> to date)</w:t>
      </w:r>
      <w:r w:rsidR="0053471E">
        <w:rPr>
          <w:rFonts w:ascii="Arial" w:hAnsi="Arial" w:cs="Arial"/>
        </w:rPr>
        <w:t>, on track for £30m in FY18/19</w:t>
      </w:r>
      <w:r w:rsidR="00253209" w:rsidRPr="00AB52F3">
        <w:rPr>
          <w:rFonts w:ascii="Arial" w:hAnsi="Arial" w:cs="Arial"/>
        </w:rPr>
        <w:t xml:space="preserve"> </w:t>
      </w:r>
    </w:p>
    <w:p w14:paraId="525EBB4F" w14:textId="77777777" w:rsidR="0050604A" w:rsidRDefault="0050604A" w:rsidP="0050604A">
      <w:pPr>
        <w:jc w:val="left"/>
        <w:rPr>
          <w:rFonts w:ascii="Arial" w:hAnsi="Arial" w:cs="Arial"/>
          <w:bCs/>
          <w:color w:val="FF0000"/>
        </w:rPr>
      </w:pPr>
      <w:bookmarkStart w:id="2" w:name="_GoBack"/>
      <w:bookmarkEnd w:id="1"/>
      <w:bookmarkEnd w:id="2"/>
    </w:p>
    <w:p w14:paraId="6711E493" w14:textId="213ED139" w:rsidR="0003491C" w:rsidRPr="00AB52F3" w:rsidRDefault="002C1898" w:rsidP="0050604A">
      <w:pPr>
        <w:jc w:val="left"/>
        <w:rPr>
          <w:rFonts w:ascii="Arial" w:hAnsi="Arial" w:cs="Arial"/>
          <w:b/>
          <w:bCs/>
          <w:u w:val="single"/>
        </w:rPr>
      </w:pPr>
      <w:r w:rsidRPr="00AB52F3">
        <w:rPr>
          <w:rFonts w:ascii="Arial" w:hAnsi="Arial" w:cs="Arial"/>
          <w:b/>
          <w:bCs/>
          <w:u w:val="single"/>
        </w:rPr>
        <w:t xml:space="preserve">H1 </w:t>
      </w:r>
      <w:r w:rsidR="0050604A" w:rsidRPr="00AB52F3">
        <w:rPr>
          <w:rFonts w:ascii="Arial" w:hAnsi="Arial" w:cs="Arial"/>
          <w:b/>
          <w:bCs/>
          <w:u w:val="single"/>
        </w:rPr>
        <w:t>18/19 G</w:t>
      </w:r>
      <w:r w:rsidR="0003491C" w:rsidRPr="00AB52F3">
        <w:rPr>
          <w:rFonts w:ascii="Arial" w:hAnsi="Arial" w:cs="Arial"/>
          <w:b/>
          <w:bCs/>
          <w:u w:val="single"/>
        </w:rPr>
        <w:t xml:space="preserve">roup </w:t>
      </w:r>
      <w:r w:rsidR="0050604A" w:rsidRPr="00AB52F3">
        <w:rPr>
          <w:rFonts w:ascii="Arial" w:hAnsi="Arial" w:cs="Arial"/>
          <w:b/>
          <w:bCs/>
          <w:u w:val="single"/>
        </w:rPr>
        <w:t>results</w:t>
      </w:r>
      <w:r w:rsidR="008C7A06" w:rsidRPr="00AB52F3">
        <w:rPr>
          <w:rFonts w:ascii="Arial" w:hAnsi="Arial" w:cs="Arial"/>
          <w:b/>
          <w:bCs/>
          <w:u w:val="single"/>
        </w:rPr>
        <w:t>:</w:t>
      </w:r>
    </w:p>
    <w:p w14:paraId="3F391D81" w14:textId="4D21F4EB" w:rsidR="005729D2" w:rsidRPr="0041435D" w:rsidRDefault="005729D2" w:rsidP="005729D2">
      <w:pPr>
        <w:pStyle w:val="ListParagraph"/>
        <w:numPr>
          <w:ilvl w:val="0"/>
          <w:numId w:val="28"/>
        </w:numPr>
        <w:jc w:val="left"/>
        <w:rPr>
          <w:rFonts w:ascii="Arial" w:hAnsi="Arial" w:cs="Arial"/>
          <w:bCs/>
        </w:rPr>
      </w:pPr>
      <w:r w:rsidRPr="00A0671A">
        <w:rPr>
          <w:rFonts w:ascii="Arial" w:hAnsi="Arial" w:cs="Arial"/>
        </w:rPr>
        <w:t>Solid performance</w:t>
      </w:r>
      <w:r>
        <w:rPr>
          <w:rFonts w:ascii="Arial" w:hAnsi="Arial" w:cs="Arial"/>
        </w:rPr>
        <w:t>s</w:t>
      </w:r>
      <w:r w:rsidRPr="00A0671A">
        <w:rPr>
          <w:rFonts w:ascii="Arial" w:hAnsi="Arial" w:cs="Arial"/>
        </w:rPr>
        <w:t xml:space="preserve"> in the UK and Poland offset by </w:t>
      </w:r>
      <w:r>
        <w:rPr>
          <w:rFonts w:ascii="Arial" w:hAnsi="Arial" w:cs="Arial"/>
        </w:rPr>
        <w:t>significant</w:t>
      </w:r>
      <w:r w:rsidRPr="00A0671A">
        <w:rPr>
          <w:rFonts w:ascii="Arial" w:hAnsi="Arial" w:cs="Arial"/>
        </w:rPr>
        <w:t xml:space="preserve"> weakness in France</w:t>
      </w:r>
      <w:r w:rsidR="00936EA5">
        <w:rPr>
          <w:rFonts w:ascii="Arial" w:hAnsi="Arial" w:cs="Arial"/>
        </w:rPr>
        <w:t>*</w:t>
      </w:r>
    </w:p>
    <w:p w14:paraId="7787B050" w14:textId="0D4558F2" w:rsidR="00A0671A" w:rsidRPr="00A0671A" w:rsidRDefault="00A0671A" w:rsidP="00A0671A">
      <w:pPr>
        <w:pStyle w:val="ListParagraph"/>
        <w:numPr>
          <w:ilvl w:val="0"/>
          <w:numId w:val="28"/>
        </w:numPr>
        <w:jc w:val="left"/>
        <w:rPr>
          <w:rFonts w:ascii="Arial" w:hAnsi="Arial" w:cs="Arial"/>
          <w:bCs/>
        </w:rPr>
      </w:pPr>
      <w:r w:rsidRPr="009E6791">
        <w:rPr>
          <w:rFonts w:ascii="Arial" w:hAnsi="Arial" w:cs="Arial"/>
          <w:bCs/>
        </w:rPr>
        <w:t xml:space="preserve">H1 Group gross margin -40bps </w:t>
      </w:r>
      <w:r w:rsidR="00F25C8B" w:rsidRPr="009E6791">
        <w:rPr>
          <w:rFonts w:ascii="Arial" w:hAnsi="Arial"/>
        </w:rPr>
        <w:t xml:space="preserve">impacted by </w:t>
      </w:r>
      <w:r w:rsidR="00F25C8B" w:rsidRPr="005B07FA">
        <w:rPr>
          <w:rFonts w:ascii="Arial" w:hAnsi="Arial"/>
        </w:rPr>
        <w:t xml:space="preserve">logistics </w:t>
      </w:r>
      <w:r w:rsidR="00A739AF">
        <w:rPr>
          <w:rFonts w:ascii="Arial" w:hAnsi="Arial"/>
        </w:rPr>
        <w:t xml:space="preserve">&amp; stock </w:t>
      </w:r>
      <w:r w:rsidR="00F25C8B" w:rsidRPr="005B07FA">
        <w:rPr>
          <w:rFonts w:ascii="Arial" w:hAnsi="Arial"/>
        </w:rPr>
        <w:t>inefficiencies</w:t>
      </w:r>
      <w:r w:rsidR="000625E4" w:rsidRPr="005B07FA">
        <w:rPr>
          <w:rFonts w:ascii="Arial" w:hAnsi="Arial"/>
        </w:rPr>
        <w:t xml:space="preserve"> mainly in France;</w:t>
      </w:r>
      <w:r w:rsidRPr="00FC25B9">
        <w:rPr>
          <w:rFonts w:ascii="Arial" w:hAnsi="Arial"/>
        </w:rPr>
        <w:t xml:space="preserve"> Q2</w:t>
      </w:r>
      <w:r w:rsidR="00F6511F">
        <w:rPr>
          <w:rFonts w:ascii="Arial" w:hAnsi="Arial"/>
        </w:rPr>
        <w:t xml:space="preserve"> gross margin</w:t>
      </w:r>
      <w:r w:rsidRPr="00FC25B9">
        <w:rPr>
          <w:rFonts w:ascii="Arial" w:hAnsi="Arial"/>
        </w:rPr>
        <w:t xml:space="preserve"> ahead of Q1</w:t>
      </w:r>
      <w:r w:rsidRPr="00A0671A">
        <w:rPr>
          <w:rFonts w:ascii="Arial" w:hAnsi="Arial"/>
        </w:rPr>
        <w:t xml:space="preserve"> </w:t>
      </w:r>
    </w:p>
    <w:p w14:paraId="484DBEA4" w14:textId="12BF30A7" w:rsidR="008876D4" w:rsidRPr="00AB52F3" w:rsidRDefault="008876D4">
      <w:pPr>
        <w:pStyle w:val="ListParagraph"/>
        <w:numPr>
          <w:ilvl w:val="0"/>
          <w:numId w:val="28"/>
        </w:numPr>
        <w:jc w:val="left"/>
        <w:rPr>
          <w:rFonts w:ascii="Arial" w:hAnsi="Arial" w:cs="Arial"/>
          <w:bCs/>
        </w:rPr>
      </w:pPr>
      <w:bookmarkStart w:id="3" w:name="_Hlk524456632"/>
      <w:r w:rsidRPr="00AB52F3">
        <w:rPr>
          <w:rFonts w:ascii="Arial" w:hAnsi="Arial" w:cs="Arial"/>
          <w:bCs/>
        </w:rPr>
        <w:t>Balance sheet remains strong:</w:t>
      </w:r>
      <w:r w:rsidR="00253209" w:rsidRPr="00AB52F3">
        <w:rPr>
          <w:rFonts w:ascii="Arial" w:hAnsi="Arial" w:cs="Arial"/>
          <w:bCs/>
        </w:rPr>
        <w:t xml:space="preserve"> </w:t>
      </w:r>
    </w:p>
    <w:p w14:paraId="699768A0" w14:textId="3CD6BCC5" w:rsidR="008876D4" w:rsidRPr="00AB52F3" w:rsidRDefault="00A45F66" w:rsidP="00AB52F3">
      <w:pPr>
        <w:pStyle w:val="ListParagraph"/>
        <w:numPr>
          <w:ilvl w:val="1"/>
          <w:numId w:val="28"/>
        </w:numPr>
        <w:ind w:left="924" w:hanging="357"/>
        <w:jc w:val="left"/>
        <w:rPr>
          <w:rFonts w:ascii="Arial" w:hAnsi="Arial"/>
        </w:rPr>
      </w:pPr>
      <w:r>
        <w:rPr>
          <w:rFonts w:ascii="Arial" w:hAnsi="Arial"/>
        </w:rPr>
        <w:t>Working capital inflow of £</w:t>
      </w:r>
      <w:r w:rsidRPr="009E6791">
        <w:rPr>
          <w:rFonts w:ascii="Arial" w:hAnsi="Arial"/>
        </w:rPr>
        <w:t>7</w:t>
      </w:r>
      <w:r w:rsidR="006B1A1C">
        <w:rPr>
          <w:rFonts w:ascii="Arial" w:hAnsi="Arial"/>
        </w:rPr>
        <w:t>7</w:t>
      </w:r>
      <w:r w:rsidRPr="009E6791">
        <w:rPr>
          <w:rFonts w:ascii="Arial" w:hAnsi="Arial"/>
        </w:rPr>
        <w:t>m</w:t>
      </w:r>
      <w:r w:rsidR="00E17211" w:rsidRPr="009E6791">
        <w:rPr>
          <w:rFonts w:ascii="Arial" w:hAnsi="Arial"/>
        </w:rPr>
        <w:t xml:space="preserve"> </w:t>
      </w:r>
      <w:r w:rsidR="00253209" w:rsidRPr="009E6791">
        <w:rPr>
          <w:rFonts w:ascii="Arial" w:hAnsi="Arial"/>
        </w:rPr>
        <w:t xml:space="preserve">with </w:t>
      </w:r>
      <w:r w:rsidR="001E05CB" w:rsidRPr="005B07FA">
        <w:rPr>
          <w:rFonts w:ascii="Arial" w:hAnsi="Arial"/>
        </w:rPr>
        <w:t>mitigation</w:t>
      </w:r>
      <w:r w:rsidR="00253209" w:rsidRPr="005B07FA">
        <w:rPr>
          <w:rFonts w:ascii="Arial" w:hAnsi="Arial"/>
        </w:rPr>
        <w:t xml:space="preserve"> stock reducing</w:t>
      </w:r>
      <w:r w:rsidR="00E17211" w:rsidRPr="005B07FA">
        <w:rPr>
          <w:rFonts w:ascii="Arial" w:hAnsi="Arial"/>
        </w:rPr>
        <w:t xml:space="preserve"> by </w:t>
      </w:r>
      <w:r w:rsidR="009D375C">
        <w:rPr>
          <w:rFonts w:ascii="Arial" w:hAnsi="Arial"/>
        </w:rPr>
        <w:t>c.</w:t>
      </w:r>
      <w:r w:rsidR="00E17211" w:rsidRPr="00F74468">
        <w:rPr>
          <w:rFonts w:ascii="Arial" w:hAnsi="Arial"/>
        </w:rPr>
        <w:t>£</w:t>
      </w:r>
      <w:r w:rsidR="009D375C">
        <w:rPr>
          <w:rFonts w:ascii="Arial" w:hAnsi="Arial"/>
        </w:rPr>
        <w:t>90</w:t>
      </w:r>
      <w:r w:rsidR="00E17211" w:rsidRPr="00F74468">
        <w:rPr>
          <w:rFonts w:ascii="Arial" w:hAnsi="Arial"/>
        </w:rPr>
        <w:t>m</w:t>
      </w:r>
    </w:p>
    <w:p w14:paraId="00EDD8AA" w14:textId="64BF2DED" w:rsidR="008876D4" w:rsidRPr="00AB52F3" w:rsidRDefault="008876D4" w:rsidP="00AB52F3">
      <w:pPr>
        <w:pStyle w:val="ListParagraph"/>
        <w:numPr>
          <w:ilvl w:val="1"/>
          <w:numId w:val="28"/>
        </w:numPr>
        <w:ind w:left="924" w:hanging="357"/>
        <w:jc w:val="left"/>
        <w:rPr>
          <w:rFonts w:ascii="Arial" w:hAnsi="Arial" w:cs="Arial"/>
          <w:bCs/>
        </w:rPr>
      </w:pPr>
      <w:r w:rsidRPr="00AB52F3">
        <w:rPr>
          <w:rFonts w:ascii="Arial" w:hAnsi="Arial"/>
        </w:rPr>
        <w:t>Returned £</w:t>
      </w:r>
      <w:r w:rsidR="00E17211" w:rsidRPr="00AB52F3">
        <w:rPr>
          <w:rFonts w:ascii="Arial" w:hAnsi="Arial"/>
        </w:rPr>
        <w:t>2</w:t>
      </w:r>
      <w:r w:rsidR="00A67C26">
        <w:rPr>
          <w:rFonts w:ascii="Arial" w:hAnsi="Arial"/>
        </w:rPr>
        <w:t>50</w:t>
      </w:r>
      <w:r w:rsidRPr="00AB52F3">
        <w:rPr>
          <w:rFonts w:ascii="Arial" w:hAnsi="Arial"/>
        </w:rPr>
        <w:t xml:space="preserve">m of cash to shareholders </w:t>
      </w:r>
      <w:r w:rsidR="003F4016" w:rsidRPr="00AB52F3">
        <w:rPr>
          <w:rFonts w:ascii="Arial" w:hAnsi="Arial"/>
        </w:rPr>
        <w:t>(</w:t>
      </w:r>
      <w:r w:rsidRPr="00AB52F3">
        <w:rPr>
          <w:rFonts w:ascii="Arial" w:hAnsi="Arial"/>
        </w:rPr>
        <w:t>£</w:t>
      </w:r>
      <w:r w:rsidR="00E17211" w:rsidRPr="00AB52F3">
        <w:rPr>
          <w:rFonts w:ascii="Arial" w:hAnsi="Arial"/>
        </w:rPr>
        <w:t>1</w:t>
      </w:r>
      <w:r w:rsidR="00A67C26">
        <w:rPr>
          <w:rFonts w:ascii="Arial" w:hAnsi="Arial"/>
        </w:rPr>
        <w:t>60</w:t>
      </w:r>
      <w:r w:rsidR="00E17211" w:rsidRPr="00AB52F3">
        <w:rPr>
          <w:rFonts w:ascii="Arial" w:hAnsi="Arial"/>
        </w:rPr>
        <w:t xml:space="preserve">m </w:t>
      </w:r>
      <w:r w:rsidRPr="00AB52F3">
        <w:rPr>
          <w:rFonts w:ascii="Arial" w:hAnsi="Arial"/>
        </w:rPr>
        <w:t>via ordinary dividend; £</w:t>
      </w:r>
      <w:r w:rsidR="00E17211" w:rsidRPr="00AB52F3">
        <w:rPr>
          <w:rFonts w:ascii="Arial" w:hAnsi="Arial"/>
        </w:rPr>
        <w:t>90</w:t>
      </w:r>
      <w:r w:rsidRPr="00AB52F3">
        <w:rPr>
          <w:rFonts w:ascii="Arial" w:hAnsi="Arial"/>
        </w:rPr>
        <w:t>m via share buyback</w:t>
      </w:r>
      <w:r w:rsidR="003F4016" w:rsidRPr="00AB52F3">
        <w:rPr>
          <w:rFonts w:ascii="Arial" w:hAnsi="Arial" w:cs="Arial"/>
          <w:bCs/>
        </w:rPr>
        <w:t>)</w:t>
      </w:r>
    </w:p>
    <w:bookmarkEnd w:id="3"/>
    <w:p w14:paraId="2928E6F6" w14:textId="2AA6F930" w:rsidR="00363F7C" w:rsidRPr="008876D4" w:rsidRDefault="00363F7C" w:rsidP="00326F0A">
      <w:pPr>
        <w:rPr>
          <w:rFonts w:ascii="Arial" w:hAnsi="Arial" w:cs="Arial"/>
          <w:b/>
          <w:color w:val="FF0000"/>
        </w:rPr>
      </w:pPr>
    </w:p>
    <w:p w14:paraId="44D204AE" w14:textId="5B7D15D8" w:rsidR="00CC74EB" w:rsidRPr="00AB52F3" w:rsidRDefault="004F69CC" w:rsidP="00CC74EB">
      <w:pPr>
        <w:jc w:val="left"/>
        <w:rPr>
          <w:rFonts w:ascii="Arial" w:hAnsi="Arial" w:cs="Arial"/>
          <w:b/>
          <w:bCs/>
          <w:u w:val="single"/>
        </w:rPr>
      </w:pPr>
      <w:bookmarkStart w:id="4" w:name="_Hlk524455500"/>
      <w:r w:rsidRPr="00AB52F3">
        <w:rPr>
          <w:rFonts w:ascii="Arial" w:hAnsi="Arial" w:cs="Arial"/>
          <w:b/>
          <w:bCs/>
          <w:u w:val="single"/>
        </w:rPr>
        <w:t>FY 18/19 and beyond</w:t>
      </w:r>
      <w:r w:rsidR="00F6511F">
        <w:rPr>
          <w:rFonts w:ascii="Arial" w:hAnsi="Arial" w:cs="Arial"/>
          <w:b/>
          <w:bCs/>
          <w:u w:val="single"/>
        </w:rPr>
        <w:t>:</w:t>
      </w:r>
      <w:r w:rsidR="0050604A" w:rsidRPr="00AB52F3">
        <w:rPr>
          <w:rFonts w:ascii="Arial" w:hAnsi="Arial" w:cs="Arial"/>
          <w:b/>
          <w:bCs/>
          <w:u w:val="single"/>
        </w:rPr>
        <w:t xml:space="preserve"> </w:t>
      </w:r>
    </w:p>
    <w:p w14:paraId="183FDE6F" w14:textId="539D271E" w:rsidR="00A45F66" w:rsidRDefault="008876D4" w:rsidP="004F69CC">
      <w:pPr>
        <w:pStyle w:val="ListParagraph"/>
        <w:numPr>
          <w:ilvl w:val="0"/>
          <w:numId w:val="96"/>
        </w:numPr>
        <w:jc w:val="left"/>
        <w:rPr>
          <w:rFonts w:ascii="Arial" w:hAnsi="Arial" w:cs="Arial"/>
          <w:bCs/>
        </w:rPr>
      </w:pPr>
      <w:r w:rsidRPr="00AB52F3">
        <w:rPr>
          <w:rFonts w:ascii="Arial" w:hAnsi="Arial" w:cs="Arial"/>
          <w:bCs/>
        </w:rPr>
        <w:t>For the third year in a row, on track to deliver strategic milestones</w:t>
      </w:r>
    </w:p>
    <w:bookmarkEnd w:id="4"/>
    <w:p w14:paraId="535BDC6F" w14:textId="7F414C99" w:rsidR="00A45F66" w:rsidRDefault="00A45F66" w:rsidP="00A45F66">
      <w:pPr>
        <w:pStyle w:val="ListParagraph"/>
        <w:numPr>
          <w:ilvl w:val="0"/>
          <w:numId w:val="28"/>
        </w:numPr>
        <w:jc w:val="left"/>
        <w:rPr>
          <w:rFonts w:ascii="Arial" w:hAnsi="Arial" w:cs="Arial"/>
          <w:bCs/>
        </w:rPr>
      </w:pPr>
      <w:r w:rsidRPr="00824DAD">
        <w:rPr>
          <w:rFonts w:ascii="Arial" w:hAnsi="Arial" w:cs="Arial"/>
          <w:bCs/>
        </w:rPr>
        <w:t xml:space="preserve">Actions to support H2 </w:t>
      </w:r>
      <w:r>
        <w:rPr>
          <w:rFonts w:ascii="Arial" w:hAnsi="Arial" w:cs="Arial"/>
          <w:bCs/>
        </w:rPr>
        <w:t xml:space="preserve">performance </w:t>
      </w:r>
      <w:r w:rsidR="00AB52F3">
        <w:rPr>
          <w:rFonts w:ascii="Arial" w:hAnsi="Arial" w:cs="Arial"/>
          <w:bCs/>
        </w:rPr>
        <w:t>in France</w:t>
      </w:r>
      <w:r w:rsidR="00FC25B9">
        <w:rPr>
          <w:rFonts w:ascii="Arial" w:hAnsi="Arial" w:cs="Arial"/>
          <w:bCs/>
        </w:rPr>
        <w:t xml:space="preserve"> underway </w:t>
      </w:r>
    </w:p>
    <w:p w14:paraId="06246133" w14:textId="0724764F" w:rsidR="00A45F66" w:rsidRPr="00824DAD" w:rsidRDefault="009745FE" w:rsidP="00822C0C">
      <w:pPr>
        <w:pStyle w:val="ListParagraph"/>
        <w:numPr>
          <w:ilvl w:val="0"/>
          <w:numId w:val="28"/>
        </w:numPr>
        <w:jc w:val="left"/>
        <w:rPr>
          <w:rFonts w:ascii="Arial" w:hAnsi="Arial"/>
        </w:rPr>
      </w:pPr>
      <w:r>
        <w:rPr>
          <w:rFonts w:ascii="Arial" w:hAnsi="Arial"/>
        </w:rPr>
        <w:t>E</w:t>
      </w:r>
      <w:r w:rsidR="00A45F66" w:rsidRPr="00824DAD">
        <w:rPr>
          <w:rFonts w:ascii="Arial" w:hAnsi="Arial"/>
        </w:rPr>
        <w:t>xpect to grow Group gross margin after clearance in FY18/19</w:t>
      </w:r>
    </w:p>
    <w:p w14:paraId="50C84487" w14:textId="0F92C178" w:rsidR="004F69CC" w:rsidRPr="00F74468" w:rsidRDefault="00A0671A" w:rsidP="004F69CC">
      <w:pPr>
        <w:pStyle w:val="ListParagraph"/>
        <w:numPr>
          <w:ilvl w:val="0"/>
          <w:numId w:val="96"/>
        </w:numPr>
        <w:jc w:val="left"/>
        <w:rPr>
          <w:rFonts w:ascii="Arial" w:hAnsi="Arial" w:cs="Arial"/>
          <w:bCs/>
        </w:rPr>
      </w:pPr>
      <w:r w:rsidRPr="00F74468">
        <w:rPr>
          <w:rFonts w:ascii="Arial" w:hAnsi="Arial" w:cs="Arial"/>
        </w:rPr>
        <w:t xml:space="preserve">Remain </w:t>
      </w:r>
      <w:r w:rsidR="003D4DBB" w:rsidRPr="00F74468">
        <w:rPr>
          <w:rFonts w:ascii="Arial" w:hAnsi="Arial" w:cs="Arial"/>
        </w:rPr>
        <w:t>committed to</w:t>
      </w:r>
      <w:r w:rsidR="00AB52F3" w:rsidRPr="00F74468">
        <w:rPr>
          <w:rFonts w:ascii="Arial" w:hAnsi="Arial" w:cs="Arial"/>
        </w:rPr>
        <w:t xml:space="preserve"> deliver</w:t>
      </w:r>
      <w:r w:rsidR="003D4DBB" w:rsidRPr="00F74468">
        <w:rPr>
          <w:rFonts w:ascii="Arial" w:hAnsi="Arial" w:cs="Arial"/>
        </w:rPr>
        <w:t>ing</w:t>
      </w:r>
      <w:r w:rsidR="00AB52F3" w:rsidRPr="00F74468">
        <w:rPr>
          <w:rFonts w:ascii="Arial" w:hAnsi="Arial" w:cs="Arial"/>
        </w:rPr>
        <w:t xml:space="preserve"> </w:t>
      </w:r>
      <w:r w:rsidRPr="00F74468">
        <w:rPr>
          <w:rFonts w:ascii="Arial" w:hAnsi="Arial" w:cs="Arial"/>
        </w:rPr>
        <w:t>ONE Kingfisher</w:t>
      </w:r>
      <w:r w:rsidR="004F69CC" w:rsidRPr="00F74468">
        <w:rPr>
          <w:rFonts w:ascii="Arial" w:hAnsi="Arial" w:cs="Arial"/>
        </w:rPr>
        <w:t xml:space="preserve"> </w:t>
      </w:r>
      <w:r w:rsidR="00AB52F3" w:rsidRPr="00F74468">
        <w:rPr>
          <w:rFonts w:ascii="Arial" w:hAnsi="Arial" w:cs="Arial"/>
        </w:rPr>
        <w:t xml:space="preserve">transformation </w:t>
      </w:r>
      <w:r w:rsidR="00AB52F3" w:rsidRPr="00F74468">
        <w:rPr>
          <w:rFonts w:ascii="Arial" w:hAnsi="Arial" w:cs="Arial"/>
          <w:lang w:val="en-US"/>
        </w:rPr>
        <w:t>benefits</w:t>
      </w:r>
    </w:p>
    <w:p w14:paraId="7D2E56D1" w14:textId="77777777" w:rsidR="00695D4D" w:rsidRPr="00AC598B" w:rsidRDefault="00695D4D" w:rsidP="00AB52F3">
      <w:pPr>
        <w:pStyle w:val="ListParagraph"/>
        <w:ind w:left="360"/>
        <w:jc w:val="left"/>
        <w:rPr>
          <w:b/>
          <w:bCs/>
          <w:u w:val="single"/>
        </w:rPr>
      </w:pPr>
    </w:p>
    <w:tbl>
      <w:tblPr>
        <w:tblStyle w:val="TableGrid"/>
        <w:tblW w:w="0" w:type="auto"/>
        <w:tblLook w:val="04A0" w:firstRow="1" w:lastRow="0" w:firstColumn="1" w:lastColumn="0" w:noHBand="0" w:noVBand="1"/>
      </w:tblPr>
      <w:tblGrid>
        <w:gridCol w:w="9737"/>
      </w:tblGrid>
      <w:tr w:rsidR="00526D9D" w:rsidRPr="00526D9D" w14:paraId="0A923FD9" w14:textId="77777777" w:rsidTr="007B718C">
        <w:tc>
          <w:tcPr>
            <w:tcW w:w="9631" w:type="dxa"/>
          </w:tcPr>
          <w:tbl>
            <w:tblPr>
              <w:tblStyle w:val="TableGrid"/>
              <w:tblW w:w="9521" w:type="dxa"/>
              <w:tblLook w:val="04A0" w:firstRow="1" w:lastRow="0" w:firstColumn="1" w:lastColumn="0" w:noHBand="0" w:noVBand="1"/>
            </w:tblPr>
            <w:tblGrid>
              <w:gridCol w:w="2857"/>
              <w:gridCol w:w="1051"/>
              <w:gridCol w:w="520"/>
              <w:gridCol w:w="284"/>
              <w:gridCol w:w="1570"/>
              <w:gridCol w:w="1524"/>
              <w:gridCol w:w="1715"/>
            </w:tblGrid>
            <w:tr w:rsidR="00526D9D" w:rsidRPr="00526D9D" w14:paraId="4A8C364E" w14:textId="77777777" w:rsidTr="00A32B18">
              <w:trPr>
                <w:trHeight w:val="329"/>
              </w:trPr>
              <w:tc>
                <w:tcPr>
                  <w:tcW w:w="3908" w:type="dxa"/>
                  <w:gridSpan w:val="2"/>
                  <w:tcBorders>
                    <w:top w:val="nil"/>
                    <w:left w:val="nil"/>
                    <w:bottom w:val="nil"/>
                    <w:right w:val="nil"/>
                  </w:tcBorders>
                </w:tcPr>
                <w:p w14:paraId="308FDFE1" w14:textId="77777777" w:rsidR="00314E82" w:rsidRPr="00526D9D" w:rsidRDefault="00314E82" w:rsidP="007B718C">
                  <w:pPr>
                    <w:rPr>
                      <w:rFonts w:ascii="Arial" w:hAnsi="Arial" w:cs="Arial"/>
                      <w:b/>
                      <w:bCs/>
                      <w:sz w:val="14"/>
                      <w:szCs w:val="14"/>
                    </w:rPr>
                  </w:pPr>
                </w:p>
              </w:tc>
              <w:tc>
                <w:tcPr>
                  <w:tcW w:w="2374" w:type="dxa"/>
                  <w:gridSpan w:val="3"/>
                  <w:tcBorders>
                    <w:top w:val="nil"/>
                    <w:left w:val="nil"/>
                    <w:bottom w:val="nil"/>
                    <w:right w:val="nil"/>
                  </w:tcBorders>
                </w:tcPr>
                <w:p w14:paraId="1A8C8A2A" w14:textId="77777777" w:rsidR="00314E82" w:rsidRPr="00526D9D" w:rsidRDefault="00314E82">
                  <w:pPr>
                    <w:jc w:val="right"/>
                    <w:rPr>
                      <w:rFonts w:ascii="Arial" w:hAnsi="Arial" w:cs="Arial"/>
                      <w:b/>
                      <w:bCs/>
                      <w:sz w:val="14"/>
                      <w:szCs w:val="14"/>
                    </w:rPr>
                  </w:pPr>
                </w:p>
              </w:tc>
              <w:tc>
                <w:tcPr>
                  <w:tcW w:w="1524" w:type="dxa"/>
                  <w:tcBorders>
                    <w:top w:val="nil"/>
                    <w:left w:val="nil"/>
                    <w:bottom w:val="nil"/>
                    <w:right w:val="nil"/>
                  </w:tcBorders>
                </w:tcPr>
                <w:p w14:paraId="1C9D356B" w14:textId="77777777" w:rsidR="00314E82" w:rsidRPr="00526D9D" w:rsidRDefault="00314E82" w:rsidP="007B718C">
                  <w:pPr>
                    <w:jc w:val="right"/>
                    <w:rPr>
                      <w:rFonts w:ascii="Arial" w:hAnsi="Arial" w:cs="Arial"/>
                      <w:b/>
                      <w:bCs/>
                      <w:sz w:val="14"/>
                      <w:szCs w:val="14"/>
                    </w:rPr>
                  </w:pPr>
                </w:p>
              </w:tc>
              <w:tc>
                <w:tcPr>
                  <w:tcW w:w="1715" w:type="dxa"/>
                  <w:tcBorders>
                    <w:top w:val="nil"/>
                    <w:left w:val="nil"/>
                    <w:bottom w:val="nil"/>
                    <w:right w:val="nil"/>
                  </w:tcBorders>
                </w:tcPr>
                <w:p w14:paraId="5616FA46" w14:textId="77777777" w:rsidR="00314E82" w:rsidRPr="00526D9D" w:rsidRDefault="00314E82">
                  <w:pPr>
                    <w:ind w:right="33"/>
                    <w:jc w:val="right"/>
                    <w:rPr>
                      <w:rFonts w:ascii="Arial" w:hAnsi="Arial" w:cs="Arial"/>
                      <w:b/>
                      <w:bCs/>
                      <w:sz w:val="14"/>
                      <w:szCs w:val="14"/>
                    </w:rPr>
                  </w:pPr>
                </w:p>
              </w:tc>
            </w:tr>
            <w:tr w:rsidR="00526D9D" w:rsidRPr="00526D9D" w14:paraId="3FC17EF6" w14:textId="77777777" w:rsidTr="00AC598B">
              <w:trPr>
                <w:trHeight w:val="329"/>
              </w:trPr>
              <w:tc>
                <w:tcPr>
                  <w:tcW w:w="3908" w:type="dxa"/>
                  <w:gridSpan w:val="2"/>
                  <w:tcBorders>
                    <w:top w:val="nil"/>
                    <w:left w:val="nil"/>
                    <w:bottom w:val="single" w:sz="4" w:space="0" w:color="auto"/>
                    <w:right w:val="nil"/>
                  </w:tcBorders>
                </w:tcPr>
                <w:p w14:paraId="41D59F93" w14:textId="7114B03B" w:rsidR="004D7CC9" w:rsidRPr="00526D9D" w:rsidRDefault="004D7CC9" w:rsidP="004D7CC9">
                  <w:pPr>
                    <w:rPr>
                      <w:sz w:val="22"/>
                      <w:szCs w:val="22"/>
                    </w:rPr>
                  </w:pPr>
                  <w:r w:rsidRPr="00526D9D">
                    <w:rPr>
                      <w:rFonts w:ascii="Arial" w:hAnsi="Arial" w:cs="Arial"/>
                      <w:b/>
                      <w:bCs/>
                    </w:rPr>
                    <w:t>Statutory reporting</w:t>
                  </w:r>
                </w:p>
              </w:tc>
              <w:tc>
                <w:tcPr>
                  <w:tcW w:w="2374" w:type="dxa"/>
                  <w:gridSpan w:val="3"/>
                  <w:tcBorders>
                    <w:top w:val="nil"/>
                    <w:left w:val="nil"/>
                    <w:bottom w:val="single" w:sz="4" w:space="0" w:color="auto"/>
                    <w:right w:val="nil"/>
                  </w:tcBorders>
                </w:tcPr>
                <w:p w14:paraId="2FCF519F" w14:textId="77777777" w:rsidR="004D7CC9" w:rsidRPr="00526D9D" w:rsidRDefault="004D7CC9" w:rsidP="004D7CC9">
                  <w:pPr>
                    <w:jc w:val="right"/>
                    <w:rPr>
                      <w:rFonts w:ascii="Arial" w:hAnsi="Arial" w:cs="Arial"/>
                      <w:b/>
                      <w:bCs/>
                      <w:szCs w:val="22"/>
                    </w:rPr>
                  </w:pPr>
                  <w:r w:rsidRPr="00526D9D">
                    <w:rPr>
                      <w:rFonts w:ascii="Arial" w:hAnsi="Arial" w:cs="Arial"/>
                      <w:b/>
                      <w:bCs/>
                    </w:rPr>
                    <w:t>2018/19</w:t>
                  </w:r>
                </w:p>
                <w:p w14:paraId="296D70EB" w14:textId="41031F29" w:rsidR="004D7CC9" w:rsidRPr="00526D9D" w:rsidRDefault="004D7CC9" w:rsidP="004D7CC9">
                  <w:pPr>
                    <w:jc w:val="right"/>
                    <w:rPr>
                      <w:rFonts w:ascii="Arial" w:hAnsi="Arial" w:cs="Arial"/>
                      <w:b/>
                      <w:bCs/>
                      <w:sz w:val="22"/>
                      <w:szCs w:val="22"/>
                    </w:rPr>
                  </w:pPr>
                </w:p>
              </w:tc>
              <w:tc>
                <w:tcPr>
                  <w:tcW w:w="1524" w:type="dxa"/>
                  <w:tcBorders>
                    <w:top w:val="nil"/>
                    <w:left w:val="nil"/>
                    <w:bottom w:val="single" w:sz="4" w:space="0" w:color="auto"/>
                    <w:right w:val="nil"/>
                  </w:tcBorders>
                </w:tcPr>
                <w:p w14:paraId="6CAAA64D" w14:textId="77777777" w:rsidR="004D7CC9" w:rsidRPr="00526D9D" w:rsidRDefault="004D7CC9" w:rsidP="004D7CC9">
                  <w:pPr>
                    <w:jc w:val="right"/>
                    <w:rPr>
                      <w:rFonts w:ascii="Arial" w:hAnsi="Arial" w:cs="Arial"/>
                      <w:b/>
                      <w:bCs/>
                      <w:szCs w:val="22"/>
                    </w:rPr>
                  </w:pPr>
                  <w:r w:rsidRPr="00526D9D">
                    <w:rPr>
                      <w:rFonts w:ascii="Arial" w:hAnsi="Arial" w:cs="Arial"/>
                      <w:b/>
                      <w:bCs/>
                    </w:rPr>
                    <w:t>2017/18</w:t>
                  </w:r>
                </w:p>
                <w:p w14:paraId="6691A137" w14:textId="3F7AFF8D" w:rsidR="004D7CC9" w:rsidRPr="00526D9D" w:rsidRDefault="004D7CC9" w:rsidP="004D7CC9">
                  <w:pPr>
                    <w:jc w:val="right"/>
                    <w:rPr>
                      <w:sz w:val="22"/>
                      <w:szCs w:val="22"/>
                    </w:rPr>
                  </w:pPr>
                </w:p>
              </w:tc>
              <w:tc>
                <w:tcPr>
                  <w:tcW w:w="1715" w:type="dxa"/>
                  <w:tcBorders>
                    <w:top w:val="nil"/>
                    <w:left w:val="nil"/>
                    <w:bottom w:val="single" w:sz="4" w:space="0" w:color="auto"/>
                    <w:right w:val="nil"/>
                  </w:tcBorders>
                </w:tcPr>
                <w:p w14:paraId="7BE29D82" w14:textId="597506DE" w:rsidR="004D7CC9" w:rsidRPr="00526D9D" w:rsidRDefault="004D7CC9" w:rsidP="004D7CC9">
                  <w:pPr>
                    <w:ind w:right="33"/>
                    <w:jc w:val="right"/>
                    <w:rPr>
                      <w:sz w:val="22"/>
                      <w:szCs w:val="22"/>
                    </w:rPr>
                  </w:pPr>
                  <w:r w:rsidRPr="00526D9D">
                    <w:rPr>
                      <w:rFonts w:ascii="Arial" w:hAnsi="Arial" w:cs="Arial"/>
                      <w:b/>
                      <w:bCs/>
                    </w:rPr>
                    <w:t>% Change</w:t>
                  </w:r>
                </w:p>
              </w:tc>
            </w:tr>
            <w:tr w:rsidR="00526D9D" w:rsidRPr="00526D9D" w14:paraId="4D8F6419" w14:textId="77777777" w:rsidTr="006E55D8">
              <w:tc>
                <w:tcPr>
                  <w:tcW w:w="2857" w:type="dxa"/>
                  <w:tcBorders>
                    <w:top w:val="nil"/>
                    <w:left w:val="nil"/>
                    <w:bottom w:val="nil"/>
                    <w:right w:val="nil"/>
                  </w:tcBorders>
                </w:tcPr>
                <w:p w14:paraId="67FEFD16" w14:textId="2EBBB483" w:rsidR="00955973" w:rsidRPr="00526D9D" w:rsidRDefault="00955973" w:rsidP="00955973">
                  <w:pPr>
                    <w:jc w:val="left"/>
                    <w:rPr>
                      <w:rFonts w:ascii="Arial" w:hAnsi="Arial" w:cs="Arial"/>
                      <w:szCs w:val="22"/>
                    </w:rPr>
                  </w:pPr>
                  <w:r w:rsidRPr="00526D9D">
                    <w:rPr>
                      <w:rFonts w:ascii="Arial" w:hAnsi="Arial" w:cs="Arial"/>
                    </w:rPr>
                    <w:t>Statutory pre-tax profit</w:t>
                  </w:r>
                </w:p>
              </w:tc>
              <w:tc>
                <w:tcPr>
                  <w:tcW w:w="1571" w:type="dxa"/>
                  <w:gridSpan w:val="2"/>
                  <w:tcBorders>
                    <w:top w:val="nil"/>
                    <w:left w:val="nil"/>
                    <w:bottom w:val="nil"/>
                    <w:right w:val="nil"/>
                  </w:tcBorders>
                </w:tcPr>
                <w:p w14:paraId="3C402622" w14:textId="42E35234" w:rsidR="00955973" w:rsidRPr="00526D9D" w:rsidRDefault="00955973" w:rsidP="00955973">
                  <w:pPr>
                    <w:jc w:val="right"/>
                    <w:rPr>
                      <w:szCs w:val="22"/>
                    </w:rPr>
                  </w:pPr>
                </w:p>
              </w:tc>
              <w:tc>
                <w:tcPr>
                  <w:tcW w:w="284" w:type="dxa"/>
                  <w:tcBorders>
                    <w:top w:val="nil"/>
                    <w:left w:val="nil"/>
                    <w:bottom w:val="nil"/>
                    <w:right w:val="nil"/>
                  </w:tcBorders>
                </w:tcPr>
                <w:p w14:paraId="0403CAD6" w14:textId="2EA5E8A6" w:rsidR="00955973" w:rsidRPr="00526D9D" w:rsidRDefault="00955973" w:rsidP="00955973">
                  <w:pPr>
                    <w:jc w:val="right"/>
                    <w:rPr>
                      <w:szCs w:val="22"/>
                    </w:rPr>
                  </w:pPr>
                </w:p>
              </w:tc>
              <w:tc>
                <w:tcPr>
                  <w:tcW w:w="1570" w:type="dxa"/>
                  <w:tcBorders>
                    <w:top w:val="nil"/>
                    <w:left w:val="nil"/>
                    <w:bottom w:val="nil"/>
                    <w:right w:val="nil"/>
                  </w:tcBorders>
                </w:tcPr>
                <w:p w14:paraId="2089171C" w14:textId="4142F86D" w:rsidR="00955973" w:rsidRPr="00526D9D" w:rsidRDefault="00955973" w:rsidP="00955973">
                  <w:pPr>
                    <w:jc w:val="right"/>
                    <w:rPr>
                      <w:szCs w:val="22"/>
                    </w:rPr>
                  </w:pPr>
                  <w:r w:rsidRPr="00526D9D">
                    <w:rPr>
                      <w:rFonts w:ascii="Arial" w:hAnsi="Arial" w:cs="Arial"/>
                    </w:rPr>
                    <w:t>£</w:t>
                  </w:r>
                  <w:r w:rsidR="00E17211" w:rsidRPr="00F01C34">
                    <w:rPr>
                      <w:rFonts w:ascii="Arial" w:hAnsi="Arial" w:cs="Arial"/>
                    </w:rPr>
                    <w:t>281</w:t>
                  </w:r>
                  <w:r w:rsidRPr="00526D9D">
                    <w:rPr>
                      <w:rFonts w:ascii="Arial" w:hAnsi="Arial" w:cs="Arial"/>
                    </w:rPr>
                    <w:t>m</w:t>
                  </w:r>
                </w:p>
              </w:tc>
              <w:tc>
                <w:tcPr>
                  <w:tcW w:w="1524" w:type="dxa"/>
                  <w:tcBorders>
                    <w:top w:val="nil"/>
                    <w:left w:val="nil"/>
                    <w:bottom w:val="nil"/>
                    <w:right w:val="nil"/>
                  </w:tcBorders>
                </w:tcPr>
                <w:p w14:paraId="46485CD2" w14:textId="18B8523C" w:rsidR="00955973" w:rsidRPr="00526D9D" w:rsidRDefault="00955973" w:rsidP="00955973">
                  <w:pPr>
                    <w:jc w:val="right"/>
                    <w:rPr>
                      <w:szCs w:val="22"/>
                    </w:rPr>
                  </w:pPr>
                  <w:r w:rsidRPr="00526D9D">
                    <w:rPr>
                      <w:rFonts w:ascii="Arial" w:hAnsi="Arial" w:cs="Arial"/>
                    </w:rPr>
                    <w:t>£402m</w:t>
                  </w:r>
                </w:p>
              </w:tc>
              <w:tc>
                <w:tcPr>
                  <w:tcW w:w="1715" w:type="dxa"/>
                  <w:tcBorders>
                    <w:top w:val="nil"/>
                    <w:left w:val="nil"/>
                    <w:bottom w:val="nil"/>
                    <w:right w:val="nil"/>
                  </w:tcBorders>
                </w:tcPr>
                <w:p w14:paraId="611DC159" w14:textId="13D76C5F" w:rsidR="00955973" w:rsidRPr="00526D9D" w:rsidRDefault="00E17211" w:rsidP="00955973">
                  <w:pPr>
                    <w:jc w:val="right"/>
                    <w:rPr>
                      <w:rFonts w:ascii="Arial" w:hAnsi="Arial" w:cs="Arial"/>
                      <w:szCs w:val="22"/>
                    </w:rPr>
                  </w:pPr>
                  <w:r w:rsidRPr="00F01C34">
                    <w:rPr>
                      <w:rFonts w:ascii="Arial" w:hAnsi="Arial" w:cs="Arial"/>
                    </w:rPr>
                    <w:t>(</w:t>
                  </w:r>
                  <w:proofErr w:type="gramStart"/>
                  <w:r w:rsidRPr="00F01C34">
                    <w:rPr>
                      <w:rFonts w:ascii="Arial" w:hAnsi="Arial" w:cs="Arial"/>
                    </w:rPr>
                    <w:t>30</w:t>
                  </w:r>
                  <w:r w:rsidR="00955973" w:rsidRPr="00F01C34">
                    <w:rPr>
                      <w:rFonts w:ascii="Arial" w:hAnsi="Arial" w:cs="Arial"/>
                    </w:rPr>
                    <w:t>.</w:t>
                  </w:r>
                  <w:r w:rsidRPr="00F01C34">
                    <w:rPr>
                      <w:rFonts w:ascii="Arial" w:hAnsi="Arial" w:cs="Arial"/>
                    </w:rPr>
                    <w:t>1)</w:t>
                  </w:r>
                  <w:r w:rsidR="00955973" w:rsidRPr="00F01C34">
                    <w:rPr>
                      <w:rFonts w:ascii="Arial" w:hAnsi="Arial" w:cs="Arial"/>
                    </w:rPr>
                    <w:t>%</w:t>
                  </w:r>
                  <w:proofErr w:type="gramEnd"/>
                </w:p>
              </w:tc>
            </w:tr>
            <w:tr w:rsidR="00526D9D" w:rsidRPr="00526D9D" w14:paraId="4A3EC87C" w14:textId="77777777" w:rsidTr="006E55D8">
              <w:tc>
                <w:tcPr>
                  <w:tcW w:w="2857" w:type="dxa"/>
                  <w:tcBorders>
                    <w:top w:val="nil"/>
                    <w:left w:val="nil"/>
                    <w:bottom w:val="nil"/>
                    <w:right w:val="nil"/>
                  </w:tcBorders>
                </w:tcPr>
                <w:p w14:paraId="10FFFB16" w14:textId="45544C23" w:rsidR="00955973" w:rsidRPr="00526D9D" w:rsidRDefault="00955973" w:rsidP="00955973">
                  <w:pPr>
                    <w:jc w:val="left"/>
                    <w:rPr>
                      <w:rFonts w:ascii="Arial" w:hAnsi="Arial" w:cs="Arial"/>
                      <w:szCs w:val="22"/>
                    </w:rPr>
                  </w:pPr>
                  <w:r w:rsidRPr="00526D9D">
                    <w:rPr>
                      <w:rFonts w:ascii="Arial" w:hAnsi="Arial" w:cs="Arial"/>
                    </w:rPr>
                    <w:t>Statutory post-tax profit</w:t>
                  </w:r>
                </w:p>
              </w:tc>
              <w:tc>
                <w:tcPr>
                  <w:tcW w:w="1571" w:type="dxa"/>
                  <w:gridSpan w:val="2"/>
                  <w:tcBorders>
                    <w:top w:val="nil"/>
                    <w:left w:val="nil"/>
                    <w:bottom w:val="nil"/>
                    <w:right w:val="nil"/>
                  </w:tcBorders>
                </w:tcPr>
                <w:p w14:paraId="475032F7" w14:textId="5B637C66" w:rsidR="00955973" w:rsidRPr="00526D9D" w:rsidRDefault="00955973" w:rsidP="00955973">
                  <w:pPr>
                    <w:jc w:val="right"/>
                    <w:rPr>
                      <w:szCs w:val="22"/>
                    </w:rPr>
                  </w:pPr>
                </w:p>
              </w:tc>
              <w:tc>
                <w:tcPr>
                  <w:tcW w:w="284" w:type="dxa"/>
                  <w:tcBorders>
                    <w:top w:val="nil"/>
                    <w:left w:val="nil"/>
                    <w:bottom w:val="nil"/>
                    <w:right w:val="nil"/>
                  </w:tcBorders>
                </w:tcPr>
                <w:p w14:paraId="6ABFFB81" w14:textId="66E53226" w:rsidR="00955973" w:rsidRPr="00526D9D" w:rsidRDefault="00955973" w:rsidP="00955973">
                  <w:pPr>
                    <w:jc w:val="right"/>
                    <w:rPr>
                      <w:szCs w:val="22"/>
                    </w:rPr>
                  </w:pPr>
                </w:p>
              </w:tc>
              <w:tc>
                <w:tcPr>
                  <w:tcW w:w="1570" w:type="dxa"/>
                  <w:tcBorders>
                    <w:top w:val="nil"/>
                    <w:left w:val="nil"/>
                    <w:bottom w:val="nil"/>
                    <w:right w:val="nil"/>
                  </w:tcBorders>
                </w:tcPr>
                <w:p w14:paraId="62207288" w14:textId="4A652F49" w:rsidR="00955973" w:rsidRPr="00526D9D" w:rsidRDefault="00955973" w:rsidP="00955973">
                  <w:pPr>
                    <w:jc w:val="right"/>
                    <w:rPr>
                      <w:szCs w:val="22"/>
                    </w:rPr>
                  </w:pPr>
                  <w:r w:rsidRPr="00526D9D">
                    <w:rPr>
                      <w:rFonts w:ascii="Arial" w:hAnsi="Arial" w:cs="Arial"/>
                    </w:rPr>
                    <w:t>£</w:t>
                  </w:r>
                  <w:r w:rsidR="000863D8">
                    <w:rPr>
                      <w:rFonts w:ascii="Arial" w:hAnsi="Arial" w:cs="Arial"/>
                    </w:rPr>
                    <w:t>208</w:t>
                  </w:r>
                  <w:r w:rsidRPr="00526D9D">
                    <w:rPr>
                      <w:rFonts w:ascii="Arial" w:hAnsi="Arial" w:cs="Arial"/>
                    </w:rPr>
                    <w:t>m</w:t>
                  </w:r>
                </w:p>
              </w:tc>
              <w:tc>
                <w:tcPr>
                  <w:tcW w:w="1524" w:type="dxa"/>
                  <w:tcBorders>
                    <w:top w:val="nil"/>
                    <w:left w:val="nil"/>
                    <w:bottom w:val="nil"/>
                    <w:right w:val="nil"/>
                  </w:tcBorders>
                </w:tcPr>
                <w:p w14:paraId="11D6B01D" w14:textId="57BD045D" w:rsidR="00955973" w:rsidRPr="00526D9D" w:rsidRDefault="00955973" w:rsidP="00955973">
                  <w:pPr>
                    <w:jc w:val="right"/>
                    <w:rPr>
                      <w:rFonts w:ascii="Arial" w:hAnsi="Arial" w:cs="Arial"/>
                      <w:szCs w:val="22"/>
                    </w:rPr>
                  </w:pPr>
                  <w:r w:rsidRPr="00526D9D">
                    <w:rPr>
                      <w:rFonts w:ascii="Arial" w:hAnsi="Arial" w:cs="Arial"/>
                    </w:rPr>
                    <w:t>£295m</w:t>
                  </w:r>
                </w:p>
              </w:tc>
              <w:tc>
                <w:tcPr>
                  <w:tcW w:w="1715" w:type="dxa"/>
                  <w:tcBorders>
                    <w:top w:val="nil"/>
                    <w:left w:val="nil"/>
                    <w:bottom w:val="nil"/>
                    <w:right w:val="nil"/>
                  </w:tcBorders>
                </w:tcPr>
                <w:p w14:paraId="742F00CE" w14:textId="26D3D4E5" w:rsidR="00955973" w:rsidRPr="00526D9D" w:rsidRDefault="000863D8" w:rsidP="00955973">
                  <w:pPr>
                    <w:jc w:val="right"/>
                    <w:rPr>
                      <w:rFonts w:ascii="Arial" w:hAnsi="Arial" w:cs="Arial"/>
                      <w:szCs w:val="22"/>
                    </w:rPr>
                  </w:pPr>
                  <w:r>
                    <w:rPr>
                      <w:rFonts w:ascii="Arial" w:hAnsi="Arial" w:cs="Arial"/>
                    </w:rPr>
                    <w:t>(</w:t>
                  </w:r>
                  <w:proofErr w:type="gramStart"/>
                  <w:r>
                    <w:rPr>
                      <w:rFonts w:ascii="Arial" w:hAnsi="Arial" w:cs="Arial"/>
                    </w:rPr>
                    <w:t>29.5)</w:t>
                  </w:r>
                  <w:r w:rsidR="00955973" w:rsidRPr="00F01C34">
                    <w:rPr>
                      <w:rFonts w:ascii="Arial" w:hAnsi="Arial" w:cs="Arial"/>
                    </w:rPr>
                    <w:t>%</w:t>
                  </w:r>
                  <w:proofErr w:type="gramEnd"/>
                </w:p>
              </w:tc>
            </w:tr>
            <w:tr w:rsidR="00526D9D" w:rsidRPr="00526D9D" w14:paraId="2EF40DE3" w14:textId="77777777" w:rsidTr="007510DF">
              <w:trPr>
                <w:trHeight w:val="251"/>
              </w:trPr>
              <w:tc>
                <w:tcPr>
                  <w:tcW w:w="2857" w:type="dxa"/>
                  <w:tcBorders>
                    <w:top w:val="nil"/>
                    <w:left w:val="nil"/>
                    <w:bottom w:val="nil"/>
                    <w:right w:val="nil"/>
                  </w:tcBorders>
                </w:tcPr>
                <w:p w14:paraId="659E1B61" w14:textId="79A80EFC" w:rsidR="00955973" w:rsidRPr="00526D9D" w:rsidRDefault="00955973" w:rsidP="00955973">
                  <w:pPr>
                    <w:jc w:val="left"/>
                    <w:rPr>
                      <w:rFonts w:ascii="Arial" w:hAnsi="Arial" w:cs="Arial"/>
                      <w:szCs w:val="22"/>
                    </w:rPr>
                  </w:pPr>
                  <w:r w:rsidRPr="00526D9D">
                    <w:rPr>
                      <w:rFonts w:ascii="Arial" w:hAnsi="Arial" w:cs="Arial"/>
                    </w:rPr>
                    <w:t>Basic EPS</w:t>
                  </w:r>
                </w:p>
              </w:tc>
              <w:tc>
                <w:tcPr>
                  <w:tcW w:w="1571" w:type="dxa"/>
                  <w:gridSpan w:val="2"/>
                  <w:tcBorders>
                    <w:top w:val="nil"/>
                    <w:left w:val="nil"/>
                    <w:bottom w:val="nil"/>
                    <w:right w:val="nil"/>
                  </w:tcBorders>
                </w:tcPr>
                <w:p w14:paraId="7D8D4C60" w14:textId="08845277" w:rsidR="00955973" w:rsidRPr="00526D9D" w:rsidRDefault="00955973" w:rsidP="00955973">
                  <w:pPr>
                    <w:jc w:val="right"/>
                    <w:rPr>
                      <w:szCs w:val="22"/>
                    </w:rPr>
                  </w:pPr>
                </w:p>
              </w:tc>
              <w:tc>
                <w:tcPr>
                  <w:tcW w:w="284" w:type="dxa"/>
                  <w:tcBorders>
                    <w:top w:val="nil"/>
                    <w:left w:val="nil"/>
                    <w:bottom w:val="nil"/>
                    <w:right w:val="nil"/>
                  </w:tcBorders>
                </w:tcPr>
                <w:p w14:paraId="30B7ED8C" w14:textId="5A9D3E9B" w:rsidR="00955973" w:rsidRPr="00526D9D" w:rsidRDefault="00955973" w:rsidP="00955973">
                  <w:pPr>
                    <w:jc w:val="right"/>
                    <w:rPr>
                      <w:szCs w:val="22"/>
                    </w:rPr>
                  </w:pPr>
                </w:p>
              </w:tc>
              <w:tc>
                <w:tcPr>
                  <w:tcW w:w="1570" w:type="dxa"/>
                  <w:tcBorders>
                    <w:top w:val="nil"/>
                    <w:left w:val="nil"/>
                    <w:bottom w:val="nil"/>
                    <w:right w:val="nil"/>
                  </w:tcBorders>
                </w:tcPr>
                <w:p w14:paraId="1B20D247" w14:textId="279B12B6" w:rsidR="00955973" w:rsidRPr="00526D9D" w:rsidRDefault="000863D8" w:rsidP="00955973">
                  <w:pPr>
                    <w:jc w:val="right"/>
                    <w:rPr>
                      <w:szCs w:val="22"/>
                    </w:rPr>
                  </w:pPr>
                  <w:r>
                    <w:rPr>
                      <w:rFonts w:ascii="Arial" w:hAnsi="Arial" w:cs="Arial"/>
                    </w:rPr>
                    <w:t>9.7</w:t>
                  </w:r>
                  <w:r w:rsidR="00955973" w:rsidRPr="00526D9D">
                    <w:rPr>
                      <w:rFonts w:ascii="Arial" w:hAnsi="Arial" w:cs="Arial"/>
                    </w:rPr>
                    <w:t>p</w:t>
                  </w:r>
                </w:p>
              </w:tc>
              <w:tc>
                <w:tcPr>
                  <w:tcW w:w="1524" w:type="dxa"/>
                  <w:tcBorders>
                    <w:top w:val="nil"/>
                    <w:left w:val="nil"/>
                    <w:bottom w:val="nil"/>
                    <w:right w:val="nil"/>
                  </w:tcBorders>
                </w:tcPr>
                <w:p w14:paraId="552FAD08" w14:textId="5C988C30" w:rsidR="00955973" w:rsidRPr="00526D9D" w:rsidRDefault="00955973" w:rsidP="00955973">
                  <w:pPr>
                    <w:jc w:val="right"/>
                    <w:rPr>
                      <w:rFonts w:ascii="Arial" w:hAnsi="Arial" w:cs="Arial"/>
                      <w:szCs w:val="22"/>
                    </w:rPr>
                  </w:pPr>
                  <w:r w:rsidRPr="00526D9D">
                    <w:rPr>
                      <w:rFonts w:ascii="Arial" w:hAnsi="Arial" w:cs="Arial"/>
                    </w:rPr>
                    <w:t>13.3p</w:t>
                  </w:r>
                </w:p>
              </w:tc>
              <w:tc>
                <w:tcPr>
                  <w:tcW w:w="1715" w:type="dxa"/>
                  <w:tcBorders>
                    <w:top w:val="nil"/>
                    <w:left w:val="nil"/>
                    <w:bottom w:val="nil"/>
                    <w:right w:val="nil"/>
                  </w:tcBorders>
                </w:tcPr>
                <w:p w14:paraId="210DF170" w14:textId="03298878" w:rsidR="00955973" w:rsidRPr="00526D9D" w:rsidRDefault="000863D8" w:rsidP="00955973">
                  <w:pPr>
                    <w:jc w:val="right"/>
                    <w:rPr>
                      <w:rFonts w:ascii="Arial" w:hAnsi="Arial" w:cs="Arial"/>
                      <w:szCs w:val="14"/>
                    </w:rPr>
                  </w:pPr>
                  <w:r>
                    <w:rPr>
                      <w:rFonts w:ascii="Arial" w:hAnsi="Arial" w:cs="Arial"/>
                    </w:rPr>
                    <w:t>(</w:t>
                  </w:r>
                  <w:proofErr w:type="gramStart"/>
                  <w:r>
                    <w:rPr>
                      <w:rFonts w:ascii="Arial" w:hAnsi="Arial" w:cs="Arial"/>
                    </w:rPr>
                    <w:t>27.1)</w:t>
                  </w:r>
                  <w:r w:rsidR="00955973" w:rsidRPr="00F01C34">
                    <w:rPr>
                      <w:rFonts w:ascii="Arial" w:hAnsi="Arial" w:cs="Arial"/>
                    </w:rPr>
                    <w:t>%</w:t>
                  </w:r>
                  <w:proofErr w:type="gramEnd"/>
                </w:p>
              </w:tc>
            </w:tr>
          </w:tbl>
          <w:p w14:paraId="39158B6A" w14:textId="77777777" w:rsidR="007B718C" w:rsidRPr="00526D9D" w:rsidRDefault="007B718C" w:rsidP="00440B16">
            <w:pPr>
              <w:rPr>
                <w:rFonts w:ascii="Arial" w:hAnsi="Arial" w:cs="Arial"/>
                <w:b/>
                <w:bCs/>
                <w:sz w:val="22"/>
                <w:szCs w:val="22"/>
                <w:u w:val="single"/>
              </w:rPr>
            </w:pPr>
          </w:p>
        </w:tc>
      </w:tr>
    </w:tbl>
    <w:p w14:paraId="240648BB" w14:textId="70704C92" w:rsidR="0021080E" w:rsidRDefault="0021080E" w:rsidP="008172B0">
      <w:pPr>
        <w:jc w:val="left"/>
        <w:rPr>
          <w:rFonts w:ascii="Arial" w:hAnsi="Arial" w:cs="Arial"/>
          <w:i/>
          <w:iCs/>
          <w:sz w:val="18"/>
          <w:szCs w:val="18"/>
        </w:rPr>
      </w:pPr>
    </w:p>
    <w:p w14:paraId="2C74583B" w14:textId="1D60996B" w:rsidR="0021080E" w:rsidRDefault="00253209" w:rsidP="00FD4DC7">
      <w:pPr>
        <w:rPr>
          <w:rFonts w:ascii="Arial" w:hAnsi="Arial" w:cs="Arial"/>
          <w:i/>
          <w:iCs/>
          <w:sz w:val="18"/>
          <w:szCs w:val="18"/>
        </w:rPr>
      </w:pPr>
      <w:r w:rsidRPr="000C04E8">
        <w:rPr>
          <w:rFonts w:ascii="Arial" w:hAnsi="Arial" w:cs="Arial"/>
          <w:i/>
          <w:iCs/>
          <w:sz w:val="18"/>
          <w:szCs w:val="18"/>
        </w:rPr>
        <w:t>*Throughout this release ‘*’ indicates first instance of a term defined and explained in the Glossary (</w:t>
      </w:r>
      <w:r w:rsidR="004950FA">
        <w:rPr>
          <w:rFonts w:ascii="Arial" w:hAnsi="Arial" w:cs="Arial"/>
          <w:i/>
          <w:iCs/>
          <w:sz w:val="18"/>
          <w:szCs w:val="18"/>
        </w:rPr>
        <w:t>S</w:t>
      </w:r>
      <w:r w:rsidRPr="000C04E8">
        <w:rPr>
          <w:rFonts w:ascii="Arial" w:hAnsi="Arial" w:cs="Arial"/>
          <w:i/>
          <w:iCs/>
          <w:sz w:val="18"/>
          <w:szCs w:val="18"/>
        </w:rPr>
        <w:t xml:space="preserve">ection 5). Not </w:t>
      </w:r>
      <w:proofErr w:type="gramStart"/>
      <w:r w:rsidRPr="000C04E8">
        <w:rPr>
          <w:rFonts w:ascii="Arial" w:hAnsi="Arial" w:cs="Arial"/>
          <w:i/>
          <w:iCs/>
          <w:sz w:val="18"/>
          <w:szCs w:val="18"/>
        </w:rPr>
        <w:t>all of</w:t>
      </w:r>
      <w:proofErr w:type="gramEnd"/>
      <w:r w:rsidRPr="000C04E8">
        <w:rPr>
          <w:rFonts w:ascii="Arial" w:hAnsi="Arial" w:cs="Arial"/>
          <w:i/>
          <w:iCs/>
          <w:sz w:val="18"/>
          <w:szCs w:val="18"/>
        </w:rPr>
        <w:t xml:space="preserve"> the figures and ratios used are readily available from the unaudited </w:t>
      </w:r>
      <w:r w:rsidR="004950FA">
        <w:rPr>
          <w:rFonts w:ascii="Arial" w:hAnsi="Arial" w:cs="Arial"/>
          <w:i/>
          <w:iCs/>
          <w:sz w:val="18"/>
          <w:szCs w:val="18"/>
        </w:rPr>
        <w:t>half year</w:t>
      </w:r>
      <w:r w:rsidR="004950FA" w:rsidRPr="000C04E8">
        <w:rPr>
          <w:rFonts w:ascii="Arial" w:hAnsi="Arial" w:cs="Arial"/>
          <w:i/>
          <w:iCs/>
          <w:sz w:val="18"/>
          <w:szCs w:val="18"/>
        </w:rPr>
        <w:t xml:space="preserve"> </w:t>
      </w:r>
      <w:r w:rsidRPr="000C04E8">
        <w:rPr>
          <w:rFonts w:ascii="Arial" w:hAnsi="Arial" w:cs="Arial"/>
          <w:i/>
          <w:iCs/>
          <w:sz w:val="18"/>
          <w:szCs w:val="18"/>
        </w:rPr>
        <w:t xml:space="preserve">results included in </w:t>
      </w:r>
      <w:r>
        <w:rPr>
          <w:rFonts w:ascii="Arial" w:hAnsi="Arial" w:cs="Arial"/>
          <w:i/>
          <w:iCs/>
          <w:sz w:val="18"/>
          <w:szCs w:val="18"/>
        </w:rPr>
        <w:t>part 2 of the announcement</w:t>
      </w:r>
      <w:r w:rsidRPr="000C04E8">
        <w:rPr>
          <w:rFonts w:ascii="Arial" w:hAnsi="Arial" w:cs="Arial"/>
          <w:i/>
          <w:iCs/>
          <w:sz w:val="18"/>
          <w:szCs w:val="18"/>
        </w:rPr>
        <w:t>. These non-GAAP measures</w:t>
      </w:r>
      <w:r>
        <w:rPr>
          <w:rFonts w:ascii="Arial" w:hAnsi="Arial" w:cs="Arial"/>
          <w:i/>
          <w:iCs/>
          <w:sz w:val="18"/>
          <w:szCs w:val="18"/>
        </w:rPr>
        <w:t xml:space="preserve"> (also known as alternative performance measures)</w:t>
      </w:r>
      <w:r w:rsidRPr="000C04E8">
        <w:rPr>
          <w:rFonts w:ascii="Arial" w:hAnsi="Arial" w:cs="Arial"/>
          <w:i/>
          <w:iCs/>
          <w:sz w:val="18"/>
          <w:szCs w:val="18"/>
        </w:rPr>
        <w:t>, including constant currency and like-for-like</w:t>
      </w:r>
      <w:r>
        <w:rPr>
          <w:rFonts w:ascii="Arial" w:hAnsi="Arial" w:cs="Arial"/>
          <w:i/>
          <w:iCs/>
          <w:sz w:val="18"/>
          <w:szCs w:val="18"/>
        </w:rPr>
        <w:t xml:space="preserve"> sales</w:t>
      </w:r>
      <w:r w:rsidRPr="000C04E8">
        <w:rPr>
          <w:rFonts w:ascii="Arial" w:hAnsi="Arial" w:cs="Arial"/>
          <w:i/>
          <w:iCs/>
          <w:sz w:val="18"/>
          <w:szCs w:val="18"/>
        </w:rPr>
        <w:t xml:space="preserve"> growth, underlying and adjusted profit measures, management believes are both useful and necessary to better understand the Group’s results. Where required, a reconciliation to statutory amounts is set out in the Financial Review (Section 4).</w:t>
      </w:r>
    </w:p>
    <w:p w14:paraId="2A4492D7" w14:textId="77777777" w:rsidR="00253209" w:rsidRDefault="00253209" w:rsidP="00FD4DC7">
      <w:pPr>
        <w:rPr>
          <w:rFonts w:ascii="Arial" w:hAnsi="Arial" w:cs="Arial"/>
          <w:b/>
          <w:szCs w:val="24"/>
        </w:rPr>
      </w:pPr>
    </w:p>
    <w:p w14:paraId="78AFDB47" w14:textId="77777777" w:rsidR="003F4016" w:rsidRDefault="003F4016" w:rsidP="00FD4DC7">
      <w:pPr>
        <w:rPr>
          <w:rFonts w:ascii="Arial" w:hAnsi="Arial" w:cs="Arial"/>
          <w:b/>
          <w:szCs w:val="24"/>
        </w:rPr>
      </w:pPr>
    </w:p>
    <w:p w14:paraId="749E3504" w14:textId="77777777" w:rsidR="009745FE" w:rsidRDefault="009745FE" w:rsidP="00FD4DC7">
      <w:pPr>
        <w:rPr>
          <w:rFonts w:ascii="Arial" w:hAnsi="Arial" w:cs="Arial"/>
          <w:b/>
          <w:szCs w:val="24"/>
        </w:rPr>
      </w:pPr>
    </w:p>
    <w:p w14:paraId="2BB2B3FD" w14:textId="77777777" w:rsidR="009745FE" w:rsidRDefault="009745FE" w:rsidP="00FD4DC7">
      <w:pPr>
        <w:rPr>
          <w:rFonts w:ascii="Arial" w:hAnsi="Arial" w:cs="Arial"/>
          <w:b/>
          <w:szCs w:val="24"/>
        </w:rPr>
      </w:pPr>
    </w:p>
    <w:p w14:paraId="63717045" w14:textId="77777777" w:rsidR="009745FE" w:rsidRDefault="009745FE" w:rsidP="00FD4DC7">
      <w:pPr>
        <w:rPr>
          <w:rFonts w:ascii="Arial" w:hAnsi="Arial" w:cs="Arial"/>
          <w:b/>
          <w:szCs w:val="24"/>
        </w:rPr>
      </w:pPr>
    </w:p>
    <w:p w14:paraId="2B0C3BEF" w14:textId="6F13BE1E" w:rsidR="00FD4DC7" w:rsidRPr="00AC598B" w:rsidRDefault="00FD4DC7" w:rsidP="00FD4DC7">
      <w:pPr>
        <w:rPr>
          <w:rFonts w:ascii="Arial" w:hAnsi="Arial" w:cs="Arial"/>
          <w:b/>
          <w:bCs/>
          <w:szCs w:val="24"/>
        </w:rPr>
      </w:pPr>
      <w:proofErr w:type="spellStart"/>
      <w:r w:rsidRPr="00AC598B">
        <w:rPr>
          <w:rFonts w:ascii="Arial" w:hAnsi="Arial" w:cs="Arial"/>
          <w:b/>
          <w:szCs w:val="24"/>
        </w:rPr>
        <w:t>Véronique</w:t>
      </w:r>
      <w:proofErr w:type="spellEnd"/>
      <w:r w:rsidRPr="00AC598B">
        <w:rPr>
          <w:rFonts w:ascii="Arial" w:hAnsi="Arial" w:cs="Arial"/>
          <w:b/>
          <w:szCs w:val="24"/>
        </w:rPr>
        <w:t xml:space="preserve"> Laury, Chief Executive</w:t>
      </w:r>
      <w:r w:rsidR="007C47AE" w:rsidRPr="00AC598B">
        <w:rPr>
          <w:rFonts w:ascii="Arial" w:hAnsi="Arial" w:cs="Arial"/>
          <w:b/>
          <w:szCs w:val="24"/>
        </w:rPr>
        <w:t xml:space="preserve"> Officer</w:t>
      </w:r>
      <w:r w:rsidRPr="00AC598B">
        <w:rPr>
          <w:rFonts w:ascii="Arial" w:hAnsi="Arial" w:cs="Arial"/>
          <w:b/>
          <w:szCs w:val="24"/>
        </w:rPr>
        <w:t>, said</w:t>
      </w:r>
      <w:r w:rsidRPr="00AC598B">
        <w:rPr>
          <w:rFonts w:ascii="Arial" w:hAnsi="Arial" w:cs="Arial"/>
          <w:b/>
          <w:bCs/>
          <w:szCs w:val="24"/>
        </w:rPr>
        <w:t>:</w:t>
      </w:r>
    </w:p>
    <w:p w14:paraId="33495A26" w14:textId="1FC09E4C" w:rsidR="004F1839" w:rsidRPr="008C7A06" w:rsidRDefault="004F1839" w:rsidP="00926779">
      <w:pPr>
        <w:jc w:val="left"/>
        <w:rPr>
          <w:rFonts w:ascii="Arial" w:hAnsi="Arial" w:cs="Arial"/>
          <w:bCs/>
          <w:szCs w:val="24"/>
          <w:highlight w:val="yellow"/>
        </w:rPr>
      </w:pPr>
    </w:p>
    <w:p w14:paraId="48032E62" w14:textId="6B65077B" w:rsidR="008C7A06" w:rsidRPr="00AB52F3" w:rsidRDefault="00ED639D" w:rsidP="00AB52F3">
      <w:pPr>
        <w:jc w:val="left"/>
        <w:rPr>
          <w:rFonts w:ascii="Arial" w:hAnsi="Arial" w:cs="Arial"/>
          <w:bCs/>
          <w:szCs w:val="24"/>
        </w:rPr>
      </w:pPr>
      <w:bookmarkStart w:id="5" w:name="_Hlk491880840"/>
      <w:r w:rsidRPr="00AB52F3">
        <w:rPr>
          <w:rFonts w:ascii="Arial" w:hAnsi="Arial" w:cs="Arial"/>
          <w:bCs/>
          <w:szCs w:val="24"/>
        </w:rPr>
        <w:t>“</w:t>
      </w:r>
      <w:r w:rsidR="008C7A06" w:rsidRPr="00AB52F3">
        <w:rPr>
          <w:rFonts w:ascii="Arial" w:hAnsi="Arial" w:cs="Arial"/>
          <w:bCs/>
          <w:szCs w:val="24"/>
        </w:rPr>
        <w:t xml:space="preserve">The extent and pace of change in the retail sector </w:t>
      </w:r>
      <w:r w:rsidR="00F244B8">
        <w:rPr>
          <w:rFonts w:ascii="Arial" w:hAnsi="Arial" w:cs="Arial"/>
          <w:bCs/>
          <w:szCs w:val="24"/>
        </w:rPr>
        <w:t>is</w:t>
      </w:r>
      <w:r w:rsidR="008C7A06" w:rsidRPr="00AB52F3">
        <w:rPr>
          <w:rFonts w:ascii="Arial" w:hAnsi="Arial" w:cs="Arial"/>
          <w:bCs/>
          <w:szCs w:val="24"/>
        </w:rPr>
        <w:t xml:space="preserve"> profound</w:t>
      </w:r>
      <w:r w:rsidR="00253209" w:rsidRPr="00AB52F3">
        <w:rPr>
          <w:rFonts w:ascii="Arial" w:hAnsi="Arial" w:cs="Arial"/>
          <w:bCs/>
          <w:szCs w:val="24"/>
        </w:rPr>
        <w:t>.</w:t>
      </w:r>
      <w:r w:rsidR="004E1203">
        <w:rPr>
          <w:rFonts w:ascii="Arial" w:hAnsi="Arial" w:cs="Arial"/>
          <w:bCs/>
          <w:szCs w:val="24"/>
        </w:rPr>
        <w:t xml:space="preserve"> </w:t>
      </w:r>
      <w:r w:rsidR="008C7A06" w:rsidRPr="008C7A06">
        <w:rPr>
          <w:rFonts w:ascii="Arial" w:hAnsi="Arial" w:cs="Arial"/>
        </w:rPr>
        <w:t xml:space="preserve">We saw these changes and acted early. We’re now halfway through our ONE Kingfisher transformation </w:t>
      </w:r>
      <w:r w:rsidR="006A552A">
        <w:rPr>
          <w:rFonts w:ascii="Arial" w:hAnsi="Arial" w:cs="Arial"/>
        </w:rPr>
        <w:t>and we</w:t>
      </w:r>
      <w:r w:rsidR="005F699C" w:rsidRPr="00AB52F3">
        <w:rPr>
          <w:rFonts w:ascii="Arial" w:hAnsi="Arial" w:cs="Arial"/>
          <w:bCs/>
          <w:szCs w:val="24"/>
        </w:rPr>
        <w:t xml:space="preserve"> are </w:t>
      </w:r>
      <w:r w:rsidR="006A552A">
        <w:rPr>
          <w:rFonts w:ascii="Arial" w:hAnsi="Arial" w:cs="Arial"/>
          <w:bCs/>
          <w:szCs w:val="24"/>
        </w:rPr>
        <w:t xml:space="preserve">well </w:t>
      </w:r>
      <w:r w:rsidR="005F699C" w:rsidRPr="00AB52F3">
        <w:rPr>
          <w:rFonts w:ascii="Arial" w:hAnsi="Arial" w:cs="Arial"/>
          <w:bCs/>
          <w:szCs w:val="24"/>
        </w:rPr>
        <w:t xml:space="preserve">on our </w:t>
      </w:r>
      <w:r w:rsidR="008C7A06" w:rsidRPr="00AB52F3">
        <w:rPr>
          <w:rFonts w:ascii="Arial" w:hAnsi="Arial" w:cs="Arial"/>
          <w:bCs/>
          <w:szCs w:val="24"/>
        </w:rPr>
        <w:t xml:space="preserve">way </w:t>
      </w:r>
      <w:r w:rsidR="005F699C" w:rsidRPr="00AB52F3">
        <w:rPr>
          <w:rFonts w:ascii="Arial" w:hAnsi="Arial" w:cs="Arial"/>
          <w:bCs/>
          <w:szCs w:val="24"/>
        </w:rPr>
        <w:t>to becoming a truly customer led, digital</w:t>
      </w:r>
      <w:r w:rsidR="00A92B7B">
        <w:rPr>
          <w:rFonts w:ascii="Arial" w:hAnsi="Arial" w:cs="Arial"/>
          <w:bCs/>
          <w:szCs w:val="24"/>
        </w:rPr>
        <w:t>,</w:t>
      </w:r>
      <w:r w:rsidR="00214175">
        <w:rPr>
          <w:rFonts w:ascii="Arial" w:hAnsi="Arial" w:cs="Arial"/>
          <w:bCs/>
          <w:szCs w:val="24"/>
        </w:rPr>
        <w:t xml:space="preserve"> </w:t>
      </w:r>
      <w:r w:rsidR="00AB52F3">
        <w:rPr>
          <w:rFonts w:ascii="Arial" w:hAnsi="Arial" w:cs="Arial"/>
          <w:bCs/>
          <w:szCs w:val="24"/>
        </w:rPr>
        <w:t xml:space="preserve">and </w:t>
      </w:r>
      <w:r w:rsidR="005F699C" w:rsidRPr="00AB52F3">
        <w:rPr>
          <w:rFonts w:ascii="Arial" w:hAnsi="Arial" w:cs="Arial"/>
          <w:bCs/>
          <w:szCs w:val="24"/>
        </w:rPr>
        <w:t xml:space="preserve">efficient business. </w:t>
      </w:r>
    </w:p>
    <w:p w14:paraId="12B8C429" w14:textId="77777777" w:rsidR="008C7A06" w:rsidRDefault="008C7A06" w:rsidP="00AB52F3">
      <w:pPr>
        <w:jc w:val="left"/>
        <w:rPr>
          <w:rFonts w:ascii="Arial" w:hAnsi="Arial" w:cs="Arial"/>
          <w:bCs/>
          <w:color w:val="C00000"/>
          <w:szCs w:val="24"/>
        </w:rPr>
      </w:pPr>
    </w:p>
    <w:p w14:paraId="452AA62E" w14:textId="3B47E69C" w:rsidR="00214175" w:rsidRPr="00C927C4" w:rsidRDefault="002C6A27" w:rsidP="00AB52F3">
      <w:pPr>
        <w:jc w:val="left"/>
        <w:rPr>
          <w:rFonts w:ascii="Arial" w:hAnsi="Arial" w:cs="Arial"/>
        </w:rPr>
      </w:pPr>
      <w:r>
        <w:rPr>
          <w:rFonts w:ascii="Arial" w:hAnsi="Arial" w:cs="Arial"/>
        </w:rPr>
        <w:t>“</w:t>
      </w:r>
      <w:r w:rsidR="00EF7EF6">
        <w:rPr>
          <w:rFonts w:ascii="Arial" w:hAnsi="Arial" w:cs="Arial"/>
        </w:rPr>
        <w:t>Transformation on this scale is tough</w:t>
      </w:r>
      <w:r w:rsidR="00A45F66">
        <w:rPr>
          <w:rFonts w:ascii="Arial" w:hAnsi="Arial" w:cs="Arial"/>
        </w:rPr>
        <w:t>,</w:t>
      </w:r>
      <w:r w:rsidR="00EF7EF6">
        <w:rPr>
          <w:rFonts w:ascii="Arial" w:hAnsi="Arial" w:cs="Arial"/>
        </w:rPr>
        <w:t xml:space="preserve"> and </w:t>
      </w:r>
      <w:r w:rsidR="00EF7EF6" w:rsidRPr="00A345DE">
        <w:rPr>
          <w:rFonts w:ascii="Arial" w:hAnsi="Arial" w:cs="Arial"/>
        </w:rPr>
        <w:t>there are challenges that we’re working through.</w:t>
      </w:r>
      <w:r w:rsidR="006A552A" w:rsidRPr="00A345DE">
        <w:rPr>
          <w:rFonts w:ascii="Arial" w:hAnsi="Arial" w:cs="Arial"/>
        </w:rPr>
        <w:t xml:space="preserve"> </w:t>
      </w:r>
      <w:r w:rsidR="006A552A" w:rsidRPr="00822C0C">
        <w:rPr>
          <w:rFonts w:ascii="Arial" w:hAnsi="Arial" w:cs="Arial"/>
        </w:rPr>
        <w:t>There is still much to do</w:t>
      </w:r>
      <w:r w:rsidR="00C16798" w:rsidRPr="00822C0C">
        <w:rPr>
          <w:rFonts w:ascii="Arial" w:hAnsi="Arial" w:cs="Arial"/>
        </w:rPr>
        <w:t xml:space="preserve"> </w:t>
      </w:r>
      <w:r w:rsidR="00C61989" w:rsidRPr="00822C0C">
        <w:rPr>
          <w:rFonts w:ascii="Arial" w:hAnsi="Arial" w:cs="Arial"/>
        </w:rPr>
        <w:t xml:space="preserve">to </w:t>
      </w:r>
      <w:r w:rsidR="00C16798" w:rsidRPr="00822C0C">
        <w:rPr>
          <w:rFonts w:ascii="Arial" w:hAnsi="Arial" w:cs="Arial"/>
        </w:rPr>
        <w:t>improve our performance in France and to remove inefficiencies within the business as we continue to transform at pace.</w:t>
      </w:r>
      <w:r w:rsidR="00C16798" w:rsidRPr="00A345DE">
        <w:rPr>
          <w:rFonts w:ascii="Arial" w:hAnsi="Arial" w:cs="Arial"/>
        </w:rPr>
        <w:t xml:space="preserve"> </w:t>
      </w:r>
      <w:r w:rsidR="00214175" w:rsidRPr="00A345DE">
        <w:rPr>
          <w:rFonts w:ascii="Arial" w:hAnsi="Arial" w:cs="Arial"/>
        </w:rPr>
        <w:t>I am</w:t>
      </w:r>
      <w:r w:rsidR="00214175" w:rsidRPr="0041435D">
        <w:rPr>
          <w:rFonts w:ascii="Arial" w:hAnsi="Arial" w:cs="Arial"/>
        </w:rPr>
        <w:t xml:space="preserve"> confident that we have </w:t>
      </w:r>
      <w:r w:rsidR="00A45F66">
        <w:rPr>
          <w:rFonts w:ascii="Arial" w:hAnsi="Arial" w:cs="Arial"/>
        </w:rPr>
        <w:t xml:space="preserve">the </w:t>
      </w:r>
      <w:r w:rsidR="00214175" w:rsidRPr="0041435D">
        <w:rPr>
          <w:rFonts w:ascii="Arial" w:hAnsi="Arial" w:cs="Arial"/>
        </w:rPr>
        <w:t xml:space="preserve">right plan </w:t>
      </w:r>
      <w:r w:rsidR="00214175" w:rsidRPr="00AB52F3">
        <w:rPr>
          <w:rFonts w:ascii="Arial" w:hAnsi="Arial" w:cs="Arial"/>
        </w:rPr>
        <w:t xml:space="preserve">and the opportunity </w:t>
      </w:r>
      <w:r w:rsidR="00214175">
        <w:rPr>
          <w:rFonts w:ascii="Arial" w:hAnsi="Arial" w:cs="Arial"/>
        </w:rPr>
        <w:t>for Kingfisher is</w:t>
      </w:r>
      <w:r w:rsidR="00214175" w:rsidRPr="00AB52F3">
        <w:rPr>
          <w:rFonts w:ascii="Arial" w:hAnsi="Arial" w:cs="Arial"/>
        </w:rPr>
        <w:t xml:space="preserve"> </w:t>
      </w:r>
      <w:r>
        <w:rPr>
          <w:rFonts w:ascii="Arial" w:hAnsi="Arial" w:cs="Arial"/>
        </w:rPr>
        <w:t>significant</w:t>
      </w:r>
      <w:r w:rsidR="00214175" w:rsidRPr="00AB52F3">
        <w:rPr>
          <w:rFonts w:ascii="Arial" w:hAnsi="Arial" w:cs="Arial"/>
        </w:rPr>
        <w:t>.</w:t>
      </w:r>
      <w:r w:rsidR="00214175">
        <w:rPr>
          <w:rFonts w:ascii="Arial" w:hAnsi="Arial" w:cs="Arial"/>
          <w:bCs/>
          <w:color w:val="C00000"/>
          <w:szCs w:val="24"/>
        </w:rPr>
        <w:t xml:space="preserve"> </w:t>
      </w:r>
    </w:p>
    <w:p w14:paraId="50E83794" w14:textId="77777777" w:rsidR="002C6A27" w:rsidRDefault="002C6A27" w:rsidP="00AB52F3">
      <w:pPr>
        <w:jc w:val="left"/>
        <w:rPr>
          <w:rFonts w:ascii="Arial" w:hAnsi="Arial" w:cs="Arial"/>
          <w:bCs/>
          <w:szCs w:val="24"/>
        </w:rPr>
      </w:pPr>
    </w:p>
    <w:p w14:paraId="7862D841" w14:textId="38D88720" w:rsidR="002C6A27" w:rsidRDefault="002C6A27" w:rsidP="00AB52F3">
      <w:pPr>
        <w:jc w:val="left"/>
        <w:rPr>
          <w:rFonts w:ascii="Arial" w:hAnsi="Arial" w:cs="Arial"/>
          <w:lang w:val="en-US"/>
        </w:rPr>
      </w:pPr>
      <w:r>
        <w:rPr>
          <w:rFonts w:ascii="Arial" w:hAnsi="Arial" w:cs="Arial"/>
          <w:bCs/>
          <w:szCs w:val="24"/>
        </w:rPr>
        <w:t>“</w:t>
      </w:r>
      <w:r w:rsidRPr="009223DA">
        <w:rPr>
          <w:rFonts w:ascii="Arial" w:hAnsi="Arial" w:cs="Arial"/>
          <w:bCs/>
          <w:szCs w:val="24"/>
        </w:rPr>
        <w:t xml:space="preserve">Our H1 </w:t>
      </w:r>
      <w:r>
        <w:rPr>
          <w:rFonts w:ascii="Arial" w:hAnsi="Arial" w:cs="Arial"/>
          <w:bCs/>
          <w:szCs w:val="24"/>
        </w:rPr>
        <w:t>results</w:t>
      </w:r>
      <w:r w:rsidRPr="009223DA">
        <w:rPr>
          <w:rFonts w:ascii="Arial" w:hAnsi="Arial" w:cs="Arial"/>
          <w:bCs/>
          <w:szCs w:val="24"/>
        </w:rPr>
        <w:t xml:space="preserve"> </w:t>
      </w:r>
      <w:r>
        <w:rPr>
          <w:rFonts w:ascii="Arial" w:hAnsi="Arial" w:cs="Arial"/>
          <w:bCs/>
          <w:szCs w:val="24"/>
        </w:rPr>
        <w:t>reflect</w:t>
      </w:r>
      <w:r w:rsidRPr="009223DA">
        <w:rPr>
          <w:rFonts w:ascii="Arial" w:hAnsi="Arial" w:cs="Arial"/>
          <w:bCs/>
          <w:szCs w:val="24"/>
        </w:rPr>
        <w:t xml:space="preserve"> </w:t>
      </w:r>
      <w:r>
        <w:rPr>
          <w:rFonts w:ascii="Arial" w:hAnsi="Arial" w:cs="Arial"/>
          <w:bCs/>
          <w:szCs w:val="24"/>
        </w:rPr>
        <w:t>a solid performance in the</w:t>
      </w:r>
      <w:r w:rsidRPr="009223DA">
        <w:rPr>
          <w:rFonts w:ascii="Arial" w:hAnsi="Arial" w:cs="Arial"/>
          <w:bCs/>
          <w:szCs w:val="24"/>
        </w:rPr>
        <w:t xml:space="preserve"> UK and Poland </w:t>
      </w:r>
      <w:r>
        <w:rPr>
          <w:rFonts w:ascii="Arial" w:hAnsi="Arial" w:cs="Arial"/>
          <w:bCs/>
          <w:szCs w:val="24"/>
        </w:rPr>
        <w:t>whilst</w:t>
      </w:r>
      <w:r w:rsidRPr="009223DA">
        <w:rPr>
          <w:rFonts w:ascii="Arial" w:hAnsi="Arial" w:cs="Arial"/>
          <w:bCs/>
          <w:szCs w:val="24"/>
        </w:rPr>
        <w:t xml:space="preserve"> France</w:t>
      </w:r>
      <w:r>
        <w:rPr>
          <w:rFonts w:ascii="Arial" w:hAnsi="Arial" w:cs="Arial"/>
          <w:bCs/>
          <w:szCs w:val="24"/>
        </w:rPr>
        <w:t xml:space="preserve"> remains </w:t>
      </w:r>
      <w:r w:rsidR="005729D2">
        <w:rPr>
          <w:rFonts w:ascii="Arial" w:hAnsi="Arial" w:cs="Arial"/>
          <w:bCs/>
          <w:szCs w:val="24"/>
        </w:rPr>
        <w:t>difficult</w:t>
      </w:r>
      <w:r w:rsidRPr="009223DA">
        <w:rPr>
          <w:rFonts w:ascii="Arial" w:hAnsi="Arial" w:cs="Arial"/>
          <w:bCs/>
          <w:szCs w:val="24"/>
        </w:rPr>
        <w:t>.</w:t>
      </w:r>
      <w:r>
        <w:rPr>
          <w:rFonts w:ascii="Arial" w:hAnsi="Arial" w:cs="Arial"/>
          <w:bCs/>
          <w:szCs w:val="24"/>
        </w:rPr>
        <w:t xml:space="preserve"> </w:t>
      </w:r>
      <w:bookmarkStart w:id="6" w:name="_Hlk524455467"/>
      <w:r>
        <w:rPr>
          <w:rFonts w:ascii="Arial" w:hAnsi="Arial" w:cs="Arial"/>
          <w:lang w:val="en-US"/>
        </w:rPr>
        <w:t>Looking to the full year</w:t>
      </w:r>
      <w:r w:rsidRPr="002B0567">
        <w:rPr>
          <w:rFonts w:ascii="Arial" w:hAnsi="Arial" w:cs="Arial"/>
          <w:bCs/>
          <w:szCs w:val="24"/>
        </w:rPr>
        <w:t xml:space="preserve"> </w:t>
      </w:r>
      <w:r>
        <w:rPr>
          <w:rFonts w:ascii="Arial" w:hAnsi="Arial" w:cs="Arial"/>
          <w:bCs/>
          <w:szCs w:val="24"/>
        </w:rPr>
        <w:t xml:space="preserve">we remain </w:t>
      </w:r>
      <w:r w:rsidRPr="009223DA">
        <w:rPr>
          <w:rFonts w:ascii="Arial" w:hAnsi="Arial" w:cs="Arial"/>
          <w:lang w:val="en-US"/>
        </w:rPr>
        <w:t xml:space="preserve">on track to deliver our strategic milestones for the third year </w:t>
      </w:r>
      <w:r w:rsidR="00AB52F3">
        <w:rPr>
          <w:rFonts w:ascii="Arial" w:hAnsi="Arial" w:cs="Arial"/>
          <w:lang w:val="en-US"/>
        </w:rPr>
        <w:t>in a row</w:t>
      </w:r>
      <w:bookmarkEnd w:id="6"/>
      <w:r w:rsidR="00AB52F3">
        <w:rPr>
          <w:rFonts w:ascii="Arial" w:hAnsi="Arial" w:cs="Arial"/>
          <w:lang w:val="en-US"/>
        </w:rPr>
        <w:t xml:space="preserve"> </w:t>
      </w:r>
      <w:r>
        <w:rPr>
          <w:rFonts w:ascii="Arial" w:hAnsi="Arial" w:cs="Arial"/>
          <w:lang w:val="en-US"/>
        </w:rPr>
        <w:t>and have</w:t>
      </w:r>
      <w:r w:rsidRPr="002B0567">
        <w:rPr>
          <w:rFonts w:ascii="Arial" w:hAnsi="Arial" w:cs="Arial"/>
          <w:bCs/>
          <w:szCs w:val="24"/>
        </w:rPr>
        <w:t xml:space="preserve"> </w:t>
      </w:r>
      <w:r>
        <w:rPr>
          <w:rFonts w:ascii="Arial" w:hAnsi="Arial" w:cs="Arial"/>
          <w:bCs/>
          <w:szCs w:val="24"/>
        </w:rPr>
        <w:t xml:space="preserve">put </w:t>
      </w:r>
      <w:r w:rsidRPr="002B0567">
        <w:rPr>
          <w:rFonts w:ascii="Arial" w:hAnsi="Arial" w:cs="Arial"/>
          <w:bCs/>
          <w:szCs w:val="24"/>
        </w:rPr>
        <w:t xml:space="preserve">actions </w:t>
      </w:r>
      <w:r>
        <w:rPr>
          <w:rFonts w:ascii="Arial" w:hAnsi="Arial" w:cs="Arial"/>
          <w:bCs/>
          <w:szCs w:val="24"/>
        </w:rPr>
        <w:t>in place</w:t>
      </w:r>
      <w:r w:rsidRPr="002B0567">
        <w:rPr>
          <w:rFonts w:ascii="Arial" w:hAnsi="Arial" w:cs="Arial"/>
          <w:bCs/>
          <w:szCs w:val="24"/>
        </w:rPr>
        <w:t xml:space="preserve"> to support our performance</w:t>
      </w:r>
      <w:r w:rsidR="00214175">
        <w:rPr>
          <w:rFonts w:ascii="Arial" w:hAnsi="Arial" w:cs="Arial"/>
          <w:lang w:val="en-US"/>
        </w:rPr>
        <w:t xml:space="preserve">. </w:t>
      </w:r>
      <w:r w:rsidR="0067360F" w:rsidRPr="0067360F">
        <w:rPr>
          <w:rFonts w:ascii="Arial" w:hAnsi="Arial" w:cs="Arial"/>
          <w:lang w:val="en-US"/>
        </w:rPr>
        <w:t xml:space="preserve">The outlook for our main markets continues to be mixed. </w:t>
      </w:r>
    </w:p>
    <w:p w14:paraId="23EDE4A1" w14:textId="77777777" w:rsidR="002C6A27" w:rsidRDefault="002C6A27" w:rsidP="00AB52F3">
      <w:pPr>
        <w:jc w:val="left"/>
        <w:rPr>
          <w:rFonts w:ascii="Arial" w:hAnsi="Arial" w:cs="Arial"/>
          <w:lang w:val="en-US"/>
        </w:rPr>
      </w:pPr>
    </w:p>
    <w:p w14:paraId="0448CAA1" w14:textId="1B3ADDA5" w:rsidR="00F712E9" w:rsidRDefault="002C6A27">
      <w:pPr>
        <w:jc w:val="left"/>
        <w:rPr>
          <w:rFonts w:ascii="Arial" w:hAnsi="Arial" w:cs="Arial"/>
        </w:rPr>
      </w:pPr>
      <w:r>
        <w:rPr>
          <w:rFonts w:ascii="Arial" w:hAnsi="Arial" w:cs="Arial"/>
          <w:lang w:val="en-US"/>
        </w:rPr>
        <w:t>“</w:t>
      </w:r>
      <w:r w:rsidR="00AA4240">
        <w:rPr>
          <w:rFonts w:ascii="Arial" w:hAnsi="Arial" w:cs="Arial"/>
        </w:rPr>
        <w:t>We firmly believe in the transformation plan benefits and maintain our ambition. The environment is making our task more difficult than expected and we will always take the right decisions for the company in the long-term.</w:t>
      </w:r>
      <w:r w:rsidR="00F712E9">
        <w:rPr>
          <w:rFonts w:ascii="Arial" w:hAnsi="Arial" w:cs="Arial"/>
        </w:rPr>
        <w:t xml:space="preserve">”  </w:t>
      </w:r>
    </w:p>
    <w:p w14:paraId="12D9BAD5" w14:textId="40C62A27" w:rsidR="000F3EF1" w:rsidRDefault="00F712E9" w:rsidP="00DC3143">
      <w:pPr>
        <w:jc w:val="left"/>
        <w:rPr>
          <w:rFonts w:ascii="Arial" w:hAnsi="Arial" w:cs="Arial"/>
          <w:bCs/>
          <w:szCs w:val="24"/>
        </w:rPr>
      </w:pPr>
      <w:r w:rsidRPr="003C250B" w:rsidDel="00F712E9">
        <w:rPr>
          <w:rFonts w:ascii="Arial" w:hAnsi="Arial" w:cs="Arial"/>
          <w:bCs/>
          <w:color w:val="C00000"/>
          <w:szCs w:val="24"/>
          <w:highlight w:val="yellow"/>
        </w:rPr>
        <w:t xml:space="preserve"> </w:t>
      </w:r>
      <w:bookmarkEnd w:id="5"/>
    </w:p>
    <w:p w14:paraId="43F6515E" w14:textId="77777777" w:rsidR="00636790" w:rsidRDefault="00636790" w:rsidP="00AD5BF9">
      <w:pPr>
        <w:jc w:val="left"/>
        <w:rPr>
          <w:rFonts w:ascii="Arial" w:hAnsi="Arial" w:cs="Arial"/>
          <w:b/>
          <w:bCs/>
          <w:szCs w:val="24"/>
        </w:rPr>
      </w:pPr>
    </w:p>
    <w:p w14:paraId="12CE66F1" w14:textId="09D692DB" w:rsidR="00E2024A" w:rsidRPr="00AC598B" w:rsidRDefault="003C4FFB" w:rsidP="00AD5BF9">
      <w:pPr>
        <w:jc w:val="left"/>
        <w:rPr>
          <w:rFonts w:ascii="Arial" w:hAnsi="Arial" w:cs="Arial"/>
          <w:b/>
          <w:bCs/>
          <w:szCs w:val="24"/>
          <w:u w:val="single"/>
        </w:rPr>
      </w:pPr>
      <w:bookmarkStart w:id="7" w:name="_Hlk524455004"/>
      <w:r w:rsidRPr="00AC598B">
        <w:rPr>
          <w:rFonts w:ascii="Arial" w:hAnsi="Arial" w:cs="Arial"/>
          <w:b/>
          <w:bCs/>
          <w:szCs w:val="24"/>
        </w:rPr>
        <w:t>Contacts</w:t>
      </w:r>
    </w:p>
    <w:tbl>
      <w:tblPr>
        <w:tblW w:w="5055" w:type="pct"/>
        <w:tblInd w:w="-106" w:type="dxa"/>
        <w:tblLook w:val="01E0" w:firstRow="1" w:lastRow="1" w:firstColumn="1" w:lastColumn="1" w:noHBand="0" w:noVBand="0"/>
      </w:tblPr>
      <w:tblGrid>
        <w:gridCol w:w="2718"/>
        <w:gridCol w:w="3194"/>
        <w:gridCol w:w="4064"/>
      </w:tblGrid>
      <w:tr w:rsidR="00340EF0" w:rsidRPr="00667C8E" w14:paraId="6C93410F" w14:textId="2A2945D4" w:rsidTr="00AC598B">
        <w:tc>
          <w:tcPr>
            <w:tcW w:w="1362" w:type="pct"/>
            <w:hideMark/>
          </w:tcPr>
          <w:p w14:paraId="669147B8" w14:textId="77777777" w:rsidR="00340EF0" w:rsidRPr="00AC598B" w:rsidRDefault="00340EF0" w:rsidP="008F7BE3">
            <w:pPr>
              <w:jc w:val="left"/>
              <w:rPr>
                <w:rFonts w:ascii="Arial" w:hAnsi="Arial" w:cs="Arial"/>
                <w:szCs w:val="24"/>
              </w:rPr>
            </w:pPr>
          </w:p>
          <w:p w14:paraId="7B2E9592" w14:textId="77777777" w:rsidR="00340EF0" w:rsidRPr="00AC598B" w:rsidRDefault="00340EF0" w:rsidP="008F7BE3">
            <w:pPr>
              <w:jc w:val="left"/>
              <w:rPr>
                <w:rFonts w:ascii="Arial" w:hAnsi="Arial" w:cs="Arial"/>
                <w:szCs w:val="24"/>
              </w:rPr>
            </w:pPr>
            <w:r w:rsidRPr="00AC598B">
              <w:rPr>
                <w:rFonts w:ascii="Arial" w:hAnsi="Arial" w:cs="Arial"/>
                <w:szCs w:val="24"/>
              </w:rPr>
              <w:t>Investor Relations</w:t>
            </w:r>
          </w:p>
        </w:tc>
        <w:tc>
          <w:tcPr>
            <w:tcW w:w="1601" w:type="pct"/>
            <w:hideMark/>
          </w:tcPr>
          <w:p w14:paraId="6E7957D3" w14:textId="0BBCD376" w:rsidR="00340EF0" w:rsidRPr="00AC598B" w:rsidRDefault="00340EF0" w:rsidP="008F7BE3">
            <w:pPr>
              <w:jc w:val="right"/>
              <w:rPr>
                <w:rFonts w:ascii="Arial" w:hAnsi="Arial" w:cs="Arial"/>
                <w:szCs w:val="24"/>
              </w:rPr>
            </w:pPr>
            <w:r w:rsidRPr="00AC598B">
              <w:rPr>
                <w:rFonts w:ascii="Arial" w:hAnsi="Arial" w:cs="Arial"/>
                <w:szCs w:val="24"/>
              </w:rPr>
              <w:t>Tel:</w:t>
            </w:r>
          </w:p>
          <w:p w14:paraId="452D0E88" w14:textId="2BF4D6D9" w:rsidR="00340EF0" w:rsidRPr="00AC598B" w:rsidRDefault="00340EF0" w:rsidP="008F7BE3">
            <w:pPr>
              <w:jc w:val="right"/>
              <w:rPr>
                <w:rFonts w:ascii="Arial" w:hAnsi="Arial" w:cs="Arial"/>
                <w:szCs w:val="24"/>
              </w:rPr>
            </w:pPr>
            <w:r w:rsidRPr="00AC598B">
              <w:rPr>
                <w:rFonts w:ascii="Arial" w:hAnsi="Arial" w:cs="Arial"/>
                <w:szCs w:val="24"/>
              </w:rPr>
              <w:t>+44 (0) 20 7644 1082</w:t>
            </w:r>
          </w:p>
        </w:tc>
        <w:tc>
          <w:tcPr>
            <w:tcW w:w="2037" w:type="pct"/>
          </w:tcPr>
          <w:p w14:paraId="063C774F" w14:textId="29052F11" w:rsidR="002C1898" w:rsidRDefault="00462DA9" w:rsidP="008F7BE3">
            <w:pPr>
              <w:jc w:val="right"/>
              <w:rPr>
                <w:rFonts w:ascii="Arial" w:hAnsi="Arial" w:cs="Arial"/>
                <w:color w:val="000000" w:themeColor="text1"/>
                <w:szCs w:val="24"/>
              </w:rPr>
            </w:pPr>
            <w:r w:rsidRPr="00AC598B">
              <w:rPr>
                <w:rFonts w:ascii="Arial" w:hAnsi="Arial" w:cs="Arial"/>
                <w:color w:val="000000" w:themeColor="text1"/>
                <w:szCs w:val="24"/>
              </w:rPr>
              <w:t>Email:</w:t>
            </w:r>
          </w:p>
          <w:p w14:paraId="0C688DEA" w14:textId="344B1103" w:rsidR="00340EF0" w:rsidRPr="00367110" w:rsidRDefault="00982E49" w:rsidP="008F7BE3">
            <w:pPr>
              <w:jc w:val="right"/>
              <w:rPr>
                <w:rFonts w:ascii="Arial" w:hAnsi="Arial" w:cs="Arial"/>
                <w:color w:val="000000" w:themeColor="text1"/>
              </w:rPr>
            </w:pPr>
            <w:hyperlink r:id="rId8" w:history="1">
              <w:r w:rsidR="00340EF0" w:rsidRPr="007510DF">
                <w:rPr>
                  <w:rStyle w:val="Hyperlink"/>
                  <w:rFonts w:ascii="Arial" w:hAnsi="Arial" w:cs="Arial"/>
                  <w:color w:val="000000" w:themeColor="text1"/>
                  <w:u w:val="none"/>
                </w:rPr>
                <w:t>investorenquiries@kingfisher.com</w:t>
              </w:r>
            </w:hyperlink>
          </w:p>
        </w:tc>
      </w:tr>
      <w:tr w:rsidR="00340EF0" w:rsidRPr="00667C8E" w14:paraId="2F161DC7" w14:textId="221910D1" w:rsidTr="00AC598B">
        <w:tc>
          <w:tcPr>
            <w:tcW w:w="1362" w:type="pct"/>
            <w:hideMark/>
          </w:tcPr>
          <w:p w14:paraId="6833CB7E" w14:textId="7AEF69A9" w:rsidR="00340EF0" w:rsidRPr="00AC598B" w:rsidRDefault="00340EF0" w:rsidP="00340EF0">
            <w:pPr>
              <w:jc w:val="left"/>
              <w:rPr>
                <w:rFonts w:ascii="Arial" w:hAnsi="Arial" w:cs="Arial"/>
                <w:szCs w:val="24"/>
              </w:rPr>
            </w:pPr>
            <w:r w:rsidRPr="00AC598B">
              <w:rPr>
                <w:rFonts w:ascii="Arial" w:hAnsi="Arial" w:cs="Arial"/>
                <w:szCs w:val="24"/>
              </w:rPr>
              <w:t>Media Relations</w:t>
            </w:r>
          </w:p>
        </w:tc>
        <w:tc>
          <w:tcPr>
            <w:tcW w:w="1601" w:type="pct"/>
            <w:hideMark/>
          </w:tcPr>
          <w:p w14:paraId="2612821B" w14:textId="77777777" w:rsidR="00340EF0" w:rsidRPr="00AC598B" w:rsidRDefault="00340EF0" w:rsidP="00340EF0">
            <w:pPr>
              <w:jc w:val="right"/>
              <w:rPr>
                <w:rFonts w:ascii="Arial" w:hAnsi="Arial" w:cs="Arial"/>
                <w:szCs w:val="24"/>
              </w:rPr>
            </w:pPr>
            <w:r w:rsidRPr="00AC598B">
              <w:rPr>
                <w:rFonts w:ascii="Arial" w:hAnsi="Arial" w:cs="Arial"/>
                <w:szCs w:val="24"/>
              </w:rPr>
              <w:t>+44 (0) 20 7644 1030</w:t>
            </w:r>
          </w:p>
        </w:tc>
        <w:tc>
          <w:tcPr>
            <w:tcW w:w="2037" w:type="pct"/>
          </w:tcPr>
          <w:p w14:paraId="36A6EE5B" w14:textId="4051B39E" w:rsidR="00340EF0" w:rsidRPr="00367110" w:rsidRDefault="00340EF0" w:rsidP="00340EF0">
            <w:pPr>
              <w:jc w:val="right"/>
              <w:rPr>
                <w:rFonts w:ascii="Arial" w:hAnsi="Arial" w:cs="Arial"/>
              </w:rPr>
            </w:pPr>
            <w:r w:rsidRPr="007510DF">
              <w:rPr>
                <w:rFonts w:ascii="Arial" w:hAnsi="Arial" w:cs="Arial"/>
              </w:rPr>
              <w:t>corpcomms@kingfisher.com</w:t>
            </w:r>
          </w:p>
        </w:tc>
      </w:tr>
      <w:tr w:rsidR="00340EF0" w:rsidRPr="00667C8E" w14:paraId="15B3B4C7" w14:textId="3D12D706" w:rsidTr="00AC598B">
        <w:tc>
          <w:tcPr>
            <w:tcW w:w="1362" w:type="pct"/>
            <w:hideMark/>
          </w:tcPr>
          <w:p w14:paraId="7E811835" w14:textId="6E35CC62" w:rsidR="00340EF0" w:rsidRPr="00AC598B" w:rsidRDefault="00340EF0" w:rsidP="00340EF0">
            <w:pPr>
              <w:jc w:val="left"/>
              <w:rPr>
                <w:rFonts w:ascii="Arial" w:hAnsi="Arial" w:cs="Arial"/>
                <w:sz w:val="14"/>
                <w:szCs w:val="16"/>
              </w:rPr>
            </w:pPr>
            <w:proofErr w:type="spellStart"/>
            <w:r w:rsidRPr="00AC598B">
              <w:rPr>
                <w:rFonts w:ascii="Arial" w:hAnsi="Arial" w:cs="Arial"/>
                <w:szCs w:val="24"/>
              </w:rPr>
              <w:t>Teneo</w:t>
            </w:r>
            <w:proofErr w:type="spellEnd"/>
            <w:r w:rsidRPr="00AC598B">
              <w:rPr>
                <w:rFonts w:ascii="Arial" w:hAnsi="Arial" w:cs="Arial"/>
                <w:szCs w:val="24"/>
              </w:rPr>
              <w:t xml:space="preserve"> Blue Rubicon</w:t>
            </w:r>
          </w:p>
        </w:tc>
        <w:tc>
          <w:tcPr>
            <w:tcW w:w="1601" w:type="pct"/>
            <w:hideMark/>
          </w:tcPr>
          <w:p w14:paraId="4CA04A2D" w14:textId="4D63975C" w:rsidR="00340EF0" w:rsidRPr="00AC598B" w:rsidRDefault="00340EF0" w:rsidP="00340EF0">
            <w:pPr>
              <w:jc w:val="right"/>
              <w:rPr>
                <w:rFonts w:ascii="Arial" w:hAnsi="Arial" w:cs="Arial"/>
                <w:szCs w:val="24"/>
              </w:rPr>
            </w:pPr>
            <w:r w:rsidRPr="00AC598B">
              <w:rPr>
                <w:rFonts w:ascii="Arial" w:hAnsi="Arial" w:cs="Arial"/>
                <w:szCs w:val="24"/>
              </w:rPr>
              <w:t>+44 (0) 20 7260 2700</w:t>
            </w:r>
          </w:p>
          <w:p w14:paraId="398A9CF2" w14:textId="4B2ED2BB" w:rsidR="00340EF0" w:rsidRPr="00AC598B" w:rsidRDefault="00340EF0" w:rsidP="00340EF0">
            <w:pPr>
              <w:jc w:val="right"/>
              <w:rPr>
                <w:rFonts w:ascii="Arial" w:hAnsi="Arial" w:cs="Arial"/>
                <w:sz w:val="14"/>
                <w:szCs w:val="16"/>
              </w:rPr>
            </w:pPr>
          </w:p>
        </w:tc>
        <w:tc>
          <w:tcPr>
            <w:tcW w:w="2037" w:type="pct"/>
          </w:tcPr>
          <w:p w14:paraId="16CFE357" w14:textId="19648865" w:rsidR="00340EF0" w:rsidRPr="00367110" w:rsidRDefault="00340EF0" w:rsidP="00340EF0">
            <w:pPr>
              <w:jc w:val="right"/>
              <w:rPr>
                <w:rFonts w:ascii="Arial" w:hAnsi="Arial" w:cs="Arial"/>
              </w:rPr>
            </w:pPr>
            <w:r w:rsidRPr="007510DF">
              <w:rPr>
                <w:rFonts w:ascii="Arial" w:hAnsi="Arial" w:cs="Arial"/>
              </w:rPr>
              <w:t>Kfteam@teneobluerubicon.com</w:t>
            </w:r>
          </w:p>
        </w:tc>
      </w:tr>
    </w:tbl>
    <w:p w14:paraId="2FE9CACA" w14:textId="77777777" w:rsidR="00FB1B43" w:rsidRPr="00AC598B" w:rsidRDefault="00FB1B43" w:rsidP="00440B16">
      <w:pPr>
        <w:autoSpaceDE w:val="0"/>
        <w:autoSpaceDN w:val="0"/>
        <w:adjustRightInd w:val="0"/>
        <w:jc w:val="left"/>
        <w:rPr>
          <w:rFonts w:ascii="Arial" w:hAnsi="Arial" w:cs="Arial"/>
          <w:szCs w:val="24"/>
        </w:rPr>
      </w:pPr>
    </w:p>
    <w:p w14:paraId="693372E3" w14:textId="1642EA57" w:rsidR="00D2542C" w:rsidRDefault="00603AF1" w:rsidP="00440B16">
      <w:pPr>
        <w:autoSpaceDE w:val="0"/>
        <w:autoSpaceDN w:val="0"/>
        <w:adjustRightInd w:val="0"/>
        <w:jc w:val="left"/>
        <w:rPr>
          <w:rFonts w:ascii="Arial" w:hAnsi="Arial" w:cs="Arial"/>
          <w:szCs w:val="24"/>
        </w:rPr>
      </w:pPr>
      <w:r w:rsidRPr="00603AF1">
        <w:rPr>
          <w:rFonts w:ascii="Arial" w:hAnsi="Arial" w:cs="Arial"/>
          <w:szCs w:val="24"/>
        </w:rPr>
        <w:t>This announcement can be downloaded from www.kingfisher.com. We can be followed on Twitter @</w:t>
      </w:r>
      <w:proofErr w:type="spellStart"/>
      <w:r w:rsidRPr="00603AF1">
        <w:rPr>
          <w:rFonts w:ascii="Arial" w:hAnsi="Arial" w:cs="Arial"/>
          <w:szCs w:val="24"/>
        </w:rPr>
        <w:t>kingfisherplc</w:t>
      </w:r>
      <w:proofErr w:type="spellEnd"/>
      <w:r w:rsidRPr="00603AF1">
        <w:rPr>
          <w:rFonts w:ascii="Arial" w:hAnsi="Arial" w:cs="Arial"/>
          <w:szCs w:val="24"/>
        </w:rPr>
        <w:t xml:space="preserve"> with the </w:t>
      </w:r>
      <w:r w:rsidR="0070706A">
        <w:rPr>
          <w:rFonts w:ascii="Arial" w:hAnsi="Arial" w:cs="Arial"/>
          <w:szCs w:val="24"/>
        </w:rPr>
        <w:t>half</w:t>
      </w:r>
      <w:r w:rsidR="0070706A" w:rsidRPr="00603AF1">
        <w:rPr>
          <w:rFonts w:ascii="Arial" w:hAnsi="Arial" w:cs="Arial"/>
          <w:szCs w:val="24"/>
        </w:rPr>
        <w:t xml:space="preserve"> </w:t>
      </w:r>
      <w:r w:rsidRPr="00603AF1">
        <w:rPr>
          <w:rFonts w:ascii="Arial" w:hAnsi="Arial" w:cs="Arial"/>
          <w:szCs w:val="24"/>
        </w:rPr>
        <w:t>year results tag #</w:t>
      </w:r>
      <w:r w:rsidR="0070706A" w:rsidRPr="00603AF1">
        <w:rPr>
          <w:rFonts w:ascii="Arial" w:hAnsi="Arial" w:cs="Arial"/>
          <w:szCs w:val="24"/>
        </w:rPr>
        <w:t>KGF</w:t>
      </w:r>
      <w:r w:rsidR="0070706A">
        <w:rPr>
          <w:rFonts w:ascii="Arial" w:hAnsi="Arial" w:cs="Arial"/>
          <w:szCs w:val="24"/>
        </w:rPr>
        <w:t>H</w:t>
      </w:r>
      <w:r w:rsidR="0070706A" w:rsidRPr="00603AF1">
        <w:rPr>
          <w:rFonts w:ascii="Arial" w:hAnsi="Arial" w:cs="Arial"/>
          <w:szCs w:val="24"/>
        </w:rPr>
        <w:t>Y</w:t>
      </w:r>
      <w:r>
        <w:t>.</w:t>
      </w:r>
      <w:r w:rsidR="0070706A">
        <w:t xml:space="preserve"> </w:t>
      </w:r>
      <w:bookmarkStart w:id="8" w:name="_Hlk524454375"/>
      <w:bookmarkEnd w:id="7"/>
      <w:r w:rsidR="0010761C" w:rsidRPr="00F74468">
        <w:rPr>
          <w:rFonts w:ascii="Arial" w:hAnsi="Arial" w:cs="Arial"/>
          <w:szCs w:val="24"/>
        </w:rPr>
        <w:t xml:space="preserve">At 09:00 (UK time) on 19 September 2018, a webcast covering the FY 2018/19 half year results presentation and Q&amp;A will be available at http://www.kingfisher.com/halfyear18. </w:t>
      </w:r>
      <w:r w:rsidR="00D2542C" w:rsidRPr="00AC598B">
        <w:rPr>
          <w:rFonts w:ascii="Arial" w:hAnsi="Arial" w:cs="Arial"/>
          <w:szCs w:val="24"/>
        </w:rPr>
        <w:t>Our next announcement will be the Q3 trading update for the period ended 31 October 201</w:t>
      </w:r>
      <w:r w:rsidR="0082320F">
        <w:rPr>
          <w:rFonts w:ascii="Arial" w:hAnsi="Arial" w:cs="Arial"/>
          <w:szCs w:val="24"/>
        </w:rPr>
        <w:t>8</w:t>
      </w:r>
      <w:r w:rsidR="00D2542C" w:rsidRPr="00AC598B">
        <w:rPr>
          <w:rFonts w:ascii="Arial" w:hAnsi="Arial" w:cs="Arial"/>
          <w:szCs w:val="24"/>
        </w:rPr>
        <w:t xml:space="preserve"> on </w:t>
      </w:r>
      <w:r w:rsidR="0082320F" w:rsidRPr="0082320F">
        <w:rPr>
          <w:rFonts w:ascii="Arial" w:hAnsi="Arial" w:cs="Arial"/>
          <w:color w:val="000000" w:themeColor="text1"/>
          <w:szCs w:val="24"/>
        </w:rPr>
        <w:t>21</w:t>
      </w:r>
      <w:r w:rsidR="00D2542C" w:rsidRPr="00AC598B">
        <w:rPr>
          <w:rFonts w:ascii="Arial" w:hAnsi="Arial" w:cs="Arial"/>
          <w:szCs w:val="24"/>
        </w:rPr>
        <w:t xml:space="preserve"> November 201</w:t>
      </w:r>
      <w:r w:rsidR="0082320F">
        <w:rPr>
          <w:rFonts w:ascii="Arial" w:hAnsi="Arial" w:cs="Arial"/>
          <w:szCs w:val="24"/>
        </w:rPr>
        <w:t>8</w:t>
      </w:r>
      <w:r w:rsidR="00D2542C" w:rsidRPr="00AC598B">
        <w:rPr>
          <w:rFonts w:ascii="Arial" w:hAnsi="Arial" w:cs="Arial"/>
          <w:szCs w:val="24"/>
        </w:rPr>
        <w:t>.</w:t>
      </w:r>
    </w:p>
    <w:p w14:paraId="6CA452DA" w14:textId="77777777" w:rsidR="00D2542C" w:rsidRDefault="00D2542C" w:rsidP="00440B16">
      <w:pPr>
        <w:autoSpaceDE w:val="0"/>
        <w:autoSpaceDN w:val="0"/>
        <w:adjustRightInd w:val="0"/>
        <w:jc w:val="left"/>
        <w:rPr>
          <w:rFonts w:ascii="Arial" w:hAnsi="Arial" w:cs="Arial"/>
          <w:szCs w:val="24"/>
        </w:rPr>
      </w:pPr>
    </w:p>
    <w:p w14:paraId="05132043" w14:textId="0E077C76" w:rsidR="00D2542C" w:rsidRDefault="004F1839" w:rsidP="001064D3">
      <w:pPr>
        <w:autoSpaceDE w:val="0"/>
        <w:autoSpaceDN w:val="0"/>
        <w:adjustRightInd w:val="0"/>
        <w:jc w:val="left"/>
        <w:rPr>
          <w:rFonts w:ascii="Arial" w:hAnsi="Arial" w:cs="Arial"/>
          <w:szCs w:val="24"/>
        </w:rPr>
      </w:pPr>
      <w:r w:rsidRPr="00AC598B">
        <w:rPr>
          <w:rFonts w:ascii="Arial" w:hAnsi="Arial" w:cs="Arial"/>
          <w:szCs w:val="24"/>
        </w:rPr>
        <w:t>Kingfisher American Depository Receipts are traded in the US on the OTCQX platform: (OTCQX: KGFHY) http://www.otcmarkets.com/stock/KGFHY/quote</w:t>
      </w:r>
      <w:bookmarkEnd w:id="8"/>
    </w:p>
    <w:p w14:paraId="70D32239" w14:textId="77777777" w:rsidR="00D2542C" w:rsidRPr="00AC598B" w:rsidRDefault="00D2542C" w:rsidP="007C228C">
      <w:pPr>
        <w:jc w:val="left"/>
        <w:rPr>
          <w:rFonts w:ascii="Arial" w:hAnsi="Arial" w:cs="Arial"/>
          <w:szCs w:val="24"/>
        </w:rPr>
      </w:pPr>
    </w:p>
    <w:p w14:paraId="4B7983F1" w14:textId="51285C9E" w:rsidR="00CC45F6" w:rsidRPr="00AC598B" w:rsidRDefault="00181E03" w:rsidP="00EE1E29">
      <w:pPr>
        <w:jc w:val="left"/>
        <w:rPr>
          <w:rFonts w:ascii="Arial" w:hAnsi="Arial" w:cs="Arial"/>
          <w:szCs w:val="24"/>
        </w:rPr>
      </w:pPr>
      <w:r w:rsidRPr="00AC598B">
        <w:rPr>
          <w:rFonts w:ascii="Arial" w:hAnsi="Arial" w:cs="Arial"/>
          <w:szCs w:val="24"/>
        </w:rPr>
        <w:t xml:space="preserve">The remainder of this release </w:t>
      </w:r>
      <w:r w:rsidR="009B6367" w:rsidRPr="00AC598B">
        <w:rPr>
          <w:rFonts w:ascii="Arial" w:hAnsi="Arial" w:cs="Arial"/>
          <w:szCs w:val="24"/>
        </w:rPr>
        <w:t xml:space="preserve">is broken down into </w:t>
      </w:r>
      <w:r w:rsidR="004F4BB9" w:rsidRPr="00AC598B">
        <w:rPr>
          <w:rFonts w:ascii="Arial" w:hAnsi="Arial" w:cs="Arial"/>
          <w:szCs w:val="24"/>
        </w:rPr>
        <w:t xml:space="preserve">six </w:t>
      </w:r>
      <w:r w:rsidRPr="00AC598B">
        <w:rPr>
          <w:rFonts w:ascii="Arial" w:hAnsi="Arial" w:cs="Arial"/>
          <w:szCs w:val="24"/>
        </w:rPr>
        <w:t>main sections:</w:t>
      </w:r>
    </w:p>
    <w:p w14:paraId="061CAF1A" w14:textId="31F18289" w:rsidR="00C34F2D" w:rsidRPr="00AC598B" w:rsidRDefault="00317387" w:rsidP="004B173A">
      <w:pPr>
        <w:numPr>
          <w:ilvl w:val="0"/>
          <w:numId w:val="1"/>
        </w:numPr>
        <w:ind w:left="360"/>
        <w:jc w:val="left"/>
        <w:rPr>
          <w:rFonts w:ascii="Arial" w:hAnsi="Arial" w:cs="Arial"/>
          <w:szCs w:val="24"/>
        </w:rPr>
      </w:pPr>
      <w:r w:rsidRPr="00AC598B">
        <w:rPr>
          <w:rFonts w:ascii="Arial" w:hAnsi="Arial" w:cs="Arial"/>
          <w:szCs w:val="24"/>
        </w:rPr>
        <w:t>ONE Kingfisher</w:t>
      </w:r>
      <w:r w:rsidR="007D43ED" w:rsidRPr="00AC598B">
        <w:rPr>
          <w:rFonts w:ascii="Arial" w:hAnsi="Arial" w:cs="Arial"/>
          <w:szCs w:val="24"/>
        </w:rPr>
        <w:t xml:space="preserve"> update</w:t>
      </w:r>
      <w:r w:rsidR="004F1839" w:rsidRPr="00AC598B">
        <w:rPr>
          <w:rFonts w:ascii="Arial" w:hAnsi="Arial" w:cs="Arial"/>
          <w:szCs w:val="24"/>
        </w:rPr>
        <w:t xml:space="preserve"> </w:t>
      </w:r>
    </w:p>
    <w:p w14:paraId="157630B8" w14:textId="36D5A09A" w:rsidR="003E3617" w:rsidRPr="00AC598B" w:rsidRDefault="0058650E" w:rsidP="004B173A">
      <w:pPr>
        <w:numPr>
          <w:ilvl w:val="0"/>
          <w:numId w:val="1"/>
        </w:numPr>
        <w:ind w:left="360"/>
        <w:jc w:val="left"/>
        <w:rPr>
          <w:rFonts w:ascii="Arial" w:hAnsi="Arial" w:cs="Arial"/>
          <w:szCs w:val="24"/>
        </w:rPr>
      </w:pPr>
      <w:r w:rsidRPr="00AC598B">
        <w:rPr>
          <w:rFonts w:ascii="Arial" w:hAnsi="Arial" w:cs="Arial"/>
          <w:szCs w:val="24"/>
        </w:rPr>
        <w:t>Trading</w:t>
      </w:r>
      <w:r w:rsidR="007B306A" w:rsidRPr="00AC598B">
        <w:rPr>
          <w:rFonts w:ascii="Arial" w:hAnsi="Arial" w:cs="Arial"/>
          <w:szCs w:val="24"/>
        </w:rPr>
        <w:t xml:space="preserve"> rev</w:t>
      </w:r>
      <w:r w:rsidR="003E3617" w:rsidRPr="00AC598B">
        <w:rPr>
          <w:rFonts w:ascii="Arial" w:hAnsi="Arial" w:cs="Arial"/>
          <w:szCs w:val="24"/>
        </w:rPr>
        <w:t xml:space="preserve">iew by </w:t>
      </w:r>
      <w:r w:rsidR="00130A12" w:rsidRPr="00AC598B">
        <w:rPr>
          <w:rFonts w:ascii="Arial" w:hAnsi="Arial" w:cs="Arial"/>
          <w:szCs w:val="24"/>
        </w:rPr>
        <w:t>division</w:t>
      </w:r>
    </w:p>
    <w:p w14:paraId="12FDB545" w14:textId="3BD9F8A5" w:rsidR="0030578B" w:rsidRPr="00AC598B" w:rsidRDefault="0030578B" w:rsidP="0030578B">
      <w:pPr>
        <w:numPr>
          <w:ilvl w:val="0"/>
          <w:numId w:val="1"/>
        </w:numPr>
        <w:ind w:left="360"/>
        <w:jc w:val="left"/>
        <w:rPr>
          <w:rFonts w:ascii="Arial" w:hAnsi="Arial" w:cs="Arial"/>
          <w:szCs w:val="24"/>
        </w:rPr>
      </w:pPr>
      <w:r w:rsidRPr="00AC598B">
        <w:rPr>
          <w:rFonts w:ascii="Arial" w:hAnsi="Arial" w:cs="Arial"/>
          <w:szCs w:val="24"/>
        </w:rPr>
        <w:t>FY 201</w:t>
      </w:r>
      <w:r w:rsidR="0073779C">
        <w:rPr>
          <w:rFonts w:ascii="Arial" w:hAnsi="Arial" w:cs="Arial"/>
          <w:szCs w:val="24"/>
        </w:rPr>
        <w:t>8</w:t>
      </w:r>
      <w:r w:rsidRPr="00AC598B">
        <w:rPr>
          <w:rFonts w:ascii="Arial" w:hAnsi="Arial" w:cs="Arial"/>
          <w:szCs w:val="24"/>
        </w:rPr>
        <w:t>/1</w:t>
      </w:r>
      <w:r w:rsidR="0073779C">
        <w:rPr>
          <w:rFonts w:ascii="Arial" w:hAnsi="Arial" w:cs="Arial"/>
          <w:szCs w:val="24"/>
        </w:rPr>
        <w:t>9</w:t>
      </w:r>
      <w:r w:rsidRPr="00AC598B">
        <w:rPr>
          <w:rFonts w:ascii="Arial" w:hAnsi="Arial" w:cs="Arial"/>
          <w:szCs w:val="24"/>
        </w:rPr>
        <w:t xml:space="preserve"> Technical guidance</w:t>
      </w:r>
    </w:p>
    <w:p w14:paraId="7237C620" w14:textId="45D7D234" w:rsidR="003A35D2" w:rsidRPr="00AC598B" w:rsidRDefault="00931630" w:rsidP="004B173A">
      <w:pPr>
        <w:numPr>
          <w:ilvl w:val="0"/>
          <w:numId w:val="1"/>
        </w:numPr>
        <w:ind w:left="360"/>
        <w:jc w:val="left"/>
        <w:rPr>
          <w:rFonts w:ascii="Arial" w:hAnsi="Arial" w:cs="Arial"/>
          <w:b/>
          <w:bCs/>
          <w:sz w:val="26"/>
          <w:szCs w:val="28"/>
        </w:rPr>
      </w:pPr>
      <w:r w:rsidRPr="00AC598B">
        <w:rPr>
          <w:rFonts w:ascii="Arial" w:hAnsi="Arial" w:cs="Arial"/>
          <w:szCs w:val="24"/>
        </w:rPr>
        <w:t xml:space="preserve">HY </w:t>
      </w:r>
      <w:r w:rsidR="006B02CB" w:rsidRPr="00AC598B">
        <w:rPr>
          <w:rFonts w:ascii="Arial" w:hAnsi="Arial" w:cs="Arial"/>
          <w:szCs w:val="24"/>
        </w:rPr>
        <w:t>201</w:t>
      </w:r>
      <w:r w:rsidR="0073779C">
        <w:rPr>
          <w:rFonts w:ascii="Arial" w:hAnsi="Arial" w:cs="Arial"/>
          <w:szCs w:val="24"/>
        </w:rPr>
        <w:t>8/19</w:t>
      </w:r>
      <w:r w:rsidR="006B02CB" w:rsidRPr="00AC598B">
        <w:rPr>
          <w:rFonts w:ascii="Arial" w:hAnsi="Arial" w:cs="Arial"/>
          <w:szCs w:val="24"/>
        </w:rPr>
        <w:t xml:space="preserve"> </w:t>
      </w:r>
      <w:r w:rsidR="003A35D2" w:rsidRPr="00AC598B">
        <w:rPr>
          <w:rFonts w:ascii="Arial" w:hAnsi="Arial" w:cs="Arial"/>
          <w:szCs w:val="24"/>
        </w:rPr>
        <w:t xml:space="preserve">Financial </w:t>
      </w:r>
      <w:r w:rsidR="007341CC" w:rsidRPr="00AC598B">
        <w:rPr>
          <w:rFonts w:ascii="Arial" w:hAnsi="Arial" w:cs="Arial"/>
          <w:szCs w:val="24"/>
        </w:rPr>
        <w:t>r</w:t>
      </w:r>
      <w:r w:rsidR="003A35D2" w:rsidRPr="00AC598B">
        <w:rPr>
          <w:rFonts w:ascii="Arial" w:hAnsi="Arial" w:cs="Arial"/>
          <w:szCs w:val="24"/>
        </w:rPr>
        <w:t xml:space="preserve">eview and, in part 2 of this </w:t>
      </w:r>
      <w:r w:rsidR="0058650E" w:rsidRPr="00AC598B">
        <w:rPr>
          <w:rFonts w:ascii="Arial" w:hAnsi="Arial" w:cs="Arial"/>
          <w:szCs w:val="24"/>
        </w:rPr>
        <w:t>announcement</w:t>
      </w:r>
      <w:r w:rsidR="003A35D2" w:rsidRPr="00AC598B">
        <w:rPr>
          <w:rFonts w:ascii="Arial" w:hAnsi="Arial" w:cs="Arial"/>
          <w:szCs w:val="24"/>
        </w:rPr>
        <w:t>, the</w:t>
      </w:r>
      <w:r w:rsidR="007D43ED" w:rsidRPr="00AC598B">
        <w:rPr>
          <w:rFonts w:ascii="Arial" w:hAnsi="Arial" w:cs="Arial"/>
          <w:szCs w:val="24"/>
        </w:rPr>
        <w:t xml:space="preserve"> </w:t>
      </w:r>
      <w:r w:rsidR="00265815" w:rsidRPr="00AC598B">
        <w:rPr>
          <w:rFonts w:ascii="Arial" w:hAnsi="Arial" w:cs="Arial"/>
          <w:szCs w:val="24"/>
        </w:rPr>
        <w:t xml:space="preserve">half </w:t>
      </w:r>
      <w:r w:rsidR="007A5E76" w:rsidRPr="00AC598B">
        <w:rPr>
          <w:rFonts w:ascii="Arial" w:hAnsi="Arial" w:cs="Arial"/>
          <w:szCs w:val="24"/>
        </w:rPr>
        <w:t xml:space="preserve">year </w:t>
      </w:r>
      <w:r w:rsidR="00265815" w:rsidRPr="00AC598B">
        <w:rPr>
          <w:rFonts w:ascii="Arial" w:hAnsi="Arial" w:cs="Arial"/>
          <w:szCs w:val="24"/>
        </w:rPr>
        <w:t xml:space="preserve">condensed </w:t>
      </w:r>
      <w:r w:rsidR="003A35D2" w:rsidRPr="00AC598B">
        <w:rPr>
          <w:rFonts w:ascii="Arial" w:hAnsi="Arial" w:cs="Arial"/>
          <w:szCs w:val="24"/>
        </w:rPr>
        <w:t>Financial Statements</w:t>
      </w:r>
    </w:p>
    <w:p w14:paraId="37468DDD" w14:textId="28BD17A6" w:rsidR="008B440F" w:rsidRPr="00AC598B" w:rsidRDefault="008B440F" w:rsidP="0047127B">
      <w:pPr>
        <w:numPr>
          <w:ilvl w:val="0"/>
          <w:numId w:val="1"/>
        </w:numPr>
        <w:ind w:left="360"/>
        <w:jc w:val="left"/>
        <w:rPr>
          <w:rFonts w:ascii="Arial" w:hAnsi="Arial" w:cs="Arial"/>
          <w:szCs w:val="24"/>
        </w:rPr>
      </w:pPr>
      <w:r w:rsidRPr="00AC598B">
        <w:rPr>
          <w:rFonts w:ascii="Arial" w:hAnsi="Arial" w:cs="Arial"/>
          <w:szCs w:val="24"/>
        </w:rPr>
        <w:t>Glossary</w:t>
      </w:r>
    </w:p>
    <w:p w14:paraId="4003C319" w14:textId="27509AA0" w:rsidR="00BF424C" w:rsidRPr="00D2542C" w:rsidRDefault="00F865E8" w:rsidP="001064D3">
      <w:pPr>
        <w:numPr>
          <w:ilvl w:val="0"/>
          <w:numId w:val="1"/>
        </w:numPr>
        <w:ind w:left="360"/>
        <w:jc w:val="left"/>
        <w:rPr>
          <w:rFonts w:ascii="Arial" w:hAnsi="Arial" w:cs="Arial"/>
          <w:b/>
          <w:sz w:val="24"/>
          <w:szCs w:val="24"/>
        </w:rPr>
      </w:pPr>
      <w:r w:rsidRPr="00AC598B">
        <w:rPr>
          <w:rFonts w:ascii="Arial" w:hAnsi="Arial" w:cs="Arial"/>
          <w:szCs w:val="24"/>
        </w:rPr>
        <w:t>Forward-looking statements</w:t>
      </w:r>
    </w:p>
    <w:p w14:paraId="436D66A0" w14:textId="77777777" w:rsidR="005F1B8B" w:rsidRDefault="005F1B8B" w:rsidP="003E3617">
      <w:pPr>
        <w:jc w:val="left"/>
        <w:rPr>
          <w:rFonts w:ascii="Arial" w:hAnsi="Arial" w:cs="Arial"/>
          <w:b/>
          <w:sz w:val="24"/>
          <w:szCs w:val="24"/>
        </w:rPr>
      </w:pPr>
    </w:p>
    <w:p w14:paraId="2863D570" w14:textId="2D76D8F1" w:rsidR="003E3617" w:rsidRPr="00C25D15" w:rsidRDefault="00557FFB" w:rsidP="00516C0D">
      <w:pPr>
        <w:pageBreakBefore/>
        <w:jc w:val="left"/>
        <w:rPr>
          <w:rFonts w:ascii="Arial" w:hAnsi="Arial" w:cs="Arial"/>
          <w:b/>
        </w:rPr>
      </w:pPr>
      <w:r>
        <w:rPr>
          <w:rFonts w:ascii="Arial" w:hAnsi="Arial" w:cs="Arial"/>
          <w:b/>
          <w:sz w:val="24"/>
          <w:szCs w:val="24"/>
        </w:rPr>
        <w:lastRenderedPageBreak/>
        <w:t xml:space="preserve">Section 1: </w:t>
      </w:r>
      <w:r w:rsidR="00D7499F" w:rsidRPr="00C25D15">
        <w:rPr>
          <w:rFonts w:ascii="Arial" w:hAnsi="Arial" w:cs="Arial"/>
          <w:b/>
        </w:rPr>
        <w:t xml:space="preserve">ONE Kingfisher </w:t>
      </w:r>
      <w:r w:rsidR="007D43ED" w:rsidRPr="00C25D15">
        <w:rPr>
          <w:rFonts w:ascii="Arial" w:hAnsi="Arial" w:cs="Arial"/>
          <w:b/>
        </w:rPr>
        <w:t xml:space="preserve">update </w:t>
      </w:r>
    </w:p>
    <w:p w14:paraId="18FFEB1A" w14:textId="77777777" w:rsidR="00593A8E" w:rsidRPr="004C341E" w:rsidRDefault="00593A8E" w:rsidP="006C2C39">
      <w:pPr>
        <w:jc w:val="left"/>
      </w:pPr>
    </w:p>
    <w:p w14:paraId="41D8A946" w14:textId="055C9939" w:rsidR="009226A6" w:rsidRPr="004C341E" w:rsidRDefault="0039782F" w:rsidP="00925EFB">
      <w:pPr>
        <w:jc w:val="left"/>
        <w:rPr>
          <w:rFonts w:ascii="Arial" w:hAnsi="Arial" w:cs="Arial"/>
        </w:rPr>
      </w:pPr>
      <w:r w:rsidRPr="00E03EE7">
        <w:rPr>
          <w:rFonts w:ascii="Arial" w:hAnsi="Arial" w:cs="Arial"/>
        </w:rPr>
        <w:t xml:space="preserve">The ONE Kingfisher </w:t>
      </w:r>
      <w:proofErr w:type="gramStart"/>
      <w:r w:rsidR="00847F4B" w:rsidRPr="00E03EE7">
        <w:rPr>
          <w:rFonts w:ascii="Arial" w:hAnsi="Arial" w:cs="Arial"/>
        </w:rPr>
        <w:t>five year</w:t>
      </w:r>
      <w:proofErr w:type="gramEnd"/>
      <w:r w:rsidR="00847F4B" w:rsidRPr="00E03EE7">
        <w:rPr>
          <w:rFonts w:ascii="Arial" w:hAnsi="Arial" w:cs="Arial"/>
        </w:rPr>
        <w:t xml:space="preserve"> </w:t>
      </w:r>
      <w:r w:rsidRPr="00E03EE7">
        <w:rPr>
          <w:rFonts w:ascii="Arial" w:hAnsi="Arial" w:cs="Arial"/>
        </w:rPr>
        <w:t>plan</w:t>
      </w:r>
      <w:r w:rsidR="00847F4B" w:rsidRPr="00E03EE7">
        <w:rPr>
          <w:rFonts w:ascii="Arial" w:hAnsi="Arial" w:cs="Arial"/>
        </w:rPr>
        <w:t xml:space="preserve">, </w:t>
      </w:r>
      <w:r w:rsidR="002C1898" w:rsidRPr="00E03EE7">
        <w:rPr>
          <w:rFonts w:ascii="Arial" w:hAnsi="Arial" w:cs="Arial"/>
        </w:rPr>
        <w:t xml:space="preserve">which </w:t>
      </w:r>
      <w:r w:rsidR="00847F4B" w:rsidRPr="00E03EE7">
        <w:rPr>
          <w:rFonts w:ascii="Arial" w:hAnsi="Arial" w:cs="Arial"/>
        </w:rPr>
        <w:t>start</w:t>
      </w:r>
      <w:r w:rsidR="00A26556" w:rsidRPr="00E03EE7">
        <w:rPr>
          <w:rFonts w:ascii="Arial" w:hAnsi="Arial" w:cs="Arial"/>
        </w:rPr>
        <w:t xml:space="preserve">ed in </w:t>
      </w:r>
      <w:r w:rsidR="00847F4B" w:rsidRPr="00E03EE7">
        <w:rPr>
          <w:rFonts w:ascii="Arial" w:hAnsi="Arial" w:cs="Arial"/>
        </w:rPr>
        <w:t xml:space="preserve">FY </w:t>
      </w:r>
      <w:r w:rsidR="00C25D15" w:rsidRPr="00E03EE7">
        <w:rPr>
          <w:rFonts w:ascii="Arial" w:hAnsi="Arial" w:cs="Arial"/>
        </w:rPr>
        <w:t>16/</w:t>
      </w:r>
      <w:r w:rsidR="00847F4B" w:rsidRPr="00E03EE7">
        <w:rPr>
          <w:rFonts w:ascii="Arial" w:hAnsi="Arial" w:cs="Arial"/>
        </w:rPr>
        <w:t>1</w:t>
      </w:r>
      <w:r w:rsidR="00C25D15" w:rsidRPr="00E03EE7">
        <w:rPr>
          <w:rFonts w:ascii="Arial" w:hAnsi="Arial" w:cs="Arial"/>
        </w:rPr>
        <w:t>7</w:t>
      </w:r>
      <w:r w:rsidR="00A26556" w:rsidRPr="00E03EE7">
        <w:rPr>
          <w:rFonts w:ascii="Arial" w:hAnsi="Arial" w:cs="Arial"/>
        </w:rPr>
        <w:t>,</w:t>
      </w:r>
      <w:r w:rsidRPr="00E03EE7">
        <w:rPr>
          <w:rFonts w:ascii="Arial" w:hAnsi="Arial" w:cs="Arial"/>
        </w:rPr>
        <w:t xml:space="preserve"> </w:t>
      </w:r>
      <w:r w:rsidR="00462DA9">
        <w:rPr>
          <w:rFonts w:ascii="Arial" w:hAnsi="Arial" w:cs="Arial"/>
        </w:rPr>
        <w:t xml:space="preserve">is </w:t>
      </w:r>
      <w:r w:rsidR="00462DA9" w:rsidRPr="00AB52F3">
        <w:rPr>
          <w:rFonts w:ascii="Arial" w:hAnsi="Arial" w:cs="Arial"/>
        </w:rPr>
        <w:t>starting</w:t>
      </w:r>
      <w:r w:rsidR="00462DA9">
        <w:rPr>
          <w:rFonts w:ascii="Arial" w:hAnsi="Arial" w:cs="Arial"/>
        </w:rPr>
        <w:t xml:space="preserve"> to</w:t>
      </w:r>
      <w:r w:rsidR="00462DA9" w:rsidRPr="00E03EE7">
        <w:rPr>
          <w:rFonts w:ascii="Arial" w:hAnsi="Arial" w:cs="Arial"/>
        </w:rPr>
        <w:t xml:space="preserve"> </w:t>
      </w:r>
      <w:r w:rsidRPr="00E03EE7">
        <w:rPr>
          <w:rFonts w:ascii="Arial" w:hAnsi="Arial" w:cs="Arial"/>
        </w:rPr>
        <w:t xml:space="preserve">leverage the scale of the business by creating a unified company, where customer needs always come first. </w:t>
      </w:r>
    </w:p>
    <w:p w14:paraId="7D05E8ED" w14:textId="77777777" w:rsidR="00A77D26" w:rsidRPr="004C341E" w:rsidRDefault="00A77D26" w:rsidP="00566696">
      <w:pPr>
        <w:jc w:val="left"/>
        <w:rPr>
          <w:rFonts w:ascii="Arial" w:hAnsi="Arial" w:cs="Arial"/>
        </w:rPr>
      </w:pPr>
    </w:p>
    <w:p w14:paraId="6ED944F1" w14:textId="40511058" w:rsidR="00F60281" w:rsidRPr="00945E62" w:rsidRDefault="00F60281" w:rsidP="00F60281">
      <w:pPr>
        <w:jc w:val="left"/>
        <w:rPr>
          <w:rFonts w:ascii="Arial" w:hAnsi="Arial" w:cs="Arial"/>
        </w:rPr>
      </w:pPr>
      <w:r w:rsidRPr="00945E62">
        <w:rPr>
          <w:rFonts w:ascii="Arial" w:hAnsi="Arial" w:cs="Arial"/>
        </w:rPr>
        <w:t xml:space="preserve">Our intention is that this </w:t>
      </w:r>
      <w:proofErr w:type="gramStart"/>
      <w:r w:rsidRPr="00945E62">
        <w:rPr>
          <w:rFonts w:ascii="Arial" w:hAnsi="Arial" w:cs="Arial"/>
        </w:rPr>
        <w:t>five</w:t>
      </w:r>
      <w:r w:rsidR="00AB52F3">
        <w:rPr>
          <w:rFonts w:ascii="Arial" w:hAnsi="Arial" w:cs="Arial"/>
        </w:rPr>
        <w:t xml:space="preserve"> </w:t>
      </w:r>
      <w:r w:rsidRPr="00945E62">
        <w:rPr>
          <w:rFonts w:ascii="Arial" w:hAnsi="Arial" w:cs="Arial"/>
        </w:rPr>
        <w:t>year</w:t>
      </w:r>
      <w:proofErr w:type="gramEnd"/>
      <w:r w:rsidRPr="00945E62">
        <w:rPr>
          <w:rFonts w:ascii="Arial" w:hAnsi="Arial" w:cs="Arial"/>
        </w:rPr>
        <w:t xml:space="preserve"> transformation plan will deliver a £500m</w:t>
      </w:r>
      <w:r w:rsidRPr="00945E62">
        <w:rPr>
          <w:rFonts w:ascii="Arial" w:hAnsi="Arial" w:cs="Arial"/>
          <w:b/>
        </w:rPr>
        <w:t xml:space="preserve"> </w:t>
      </w:r>
      <w:r w:rsidRPr="00945E62">
        <w:rPr>
          <w:rFonts w:ascii="Arial" w:hAnsi="Arial" w:cs="Arial"/>
        </w:rPr>
        <w:t xml:space="preserve">sustainable annual profit uplift by the end of FY 20/21, </w:t>
      </w:r>
      <w:bookmarkStart w:id="9" w:name="_Hlk508028375"/>
      <w:r w:rsidRPr="00945E62">
        <w:rPr>
          <w:rFonts w:ascii="Arial" w:hAnsi="Arial" w:cs="Arial"/>
        </w:rPr>
        <w:t xml:space="preserve">over and above </w:t>
      </w:r>
      <w:r>
        <w:rPr>
          <w:rFonts w:ascii="Arial" w:hAnsi="Arial" w:cs="Arial"/>
        </w:rPr>
        <w:t>what the business would have delivered without the plan</w:t>
      </w:r>
      <w:bookmarkEnd w:id="9"/>
      <w:r>
        <w:rPr>
          <w:rFonts w:ascii="Arial" w:hAnsi="Arial" w:cs="Arial"/>
        </w:rPr>
        <w:t xml:space="preserve">. </w:t>
      </w:r>
      <w:r w:rsidRPr="00945E62">
        <w:rPr>
          <w:rFonts w:ascii="Arial" w:hAnsi="Arial" w:cs="Arial"/>
        </w:rPr>
        <w:t>Until we have unified our customer offer, we will have limited</w:t>
      </w:r>
      <w:r>
        <w:rPr>
          <w:rFonts w:ascii="Arial" w:hAnsi="Arial" w:cs="Arial"/>
        </w:rPr>
        <w:t xml:space="preserve"> store</w:t>
      </w:r>
      <w:r w:rsidRPr="00945E62">
        <w:rPr>
          <w:rFonts w:ascii="Arial" w:hAnsi="Arial" w:cs="Arial"/>
        </w:rPr>
        <w:t xml:space="preserve"> expansion, the focus of which will be Screwfix UK</w:t>
      </w:r>
      <w:r>
        <w:rPr>
          <w:rFonts w:ascii="Arial" w:hAnsi="Arial" w:cs="Arial"/>
        </w:rPr>
        <w:t xml:space="preserve"> </w:t>
      </w:r>
      <w:r w:rsidRPr="00945E62">
        <w:rPr>
          <w:rFonts w:ascii="Arial" w:hAnsi="Arial" w:cs="Arial"/>
        </w:rPr>
        <w:t xml:space="preserve">in the medium-term. The total expected cash cost of the transformation is £800m (P&amp;L, exceptional and capex). </w:t>
      </w:r>
    </w:p>
    <w:p w14:paraId="2036BB80" w14:textId="77777777" w:rsidR="00F60281" w:rsidRPr="00945E62" w:rsidRDefault="00F60281" w:rsidP="00F60281">
      <w:pPr>
        <w:jc w:val="left"/>
        <w:rPr>
          <w:rFonts w:ascii="Arial" w:hAnsi="Arial" w:cs="Arial"/>
          <w:highlight w:val="yellow"/>
        </w:rPr>
      </w:pPr>
    </w:p>
    <w:p w14:paraId="6EC3F158" w14:textId="77777777" w:rsidR="00F60281" w:rsidRPr="00945E62" w:rsidRDefault="00F60281" w:rsidP="00F60281">
      <w:pPr>
        <w:jc w:val="left"/>
        <w:rPr>
          <w:rFonts w:ascii="Arial" w:hAnsi="Arial" w:cs="Arial"/>
        </w:rPr>
      </w:pPr>
      <w:r w:rsidRPr="00945E62">
        <w:rPr>
          <w:rFonts w:ascii="Arial" w:hAnsi="Arial" w:cs="Arial"/>
        </w:rPr>
        <w:t xml:space="preserve">The focus of the transformation plan is on three key strategic pillars: </w:t>
      </w:r>
    </w:p>
    <w:p w14:paraId="6E0EA09F" w14:textId="77777777" w:rsidR="00F60281" w:rsidRPr="00945E62" w:rsidRDefault="00F60281" w:rsidP="00F60281">
      <w:pPr>
        <w:numPr>
          <w:ilvl w:val="0"/>
          <w:numId w:val="68"/>
        </w:numPr>
        <w:jc w:val="left"/>
        <w:rPr>
          <w:rFonts w:ascii="Arial" w:hAnsi="Arial" w:cs="Arial"/>
        </w:rPr>
      </w:pPr>
      <w:r w:rsidRPr="00945E62">
        <w:rPr>
          <w:rFonts w:ascii="Arial" w:hAnsi="Arial" w:cs="Arial"/>
        </w:rPr>
        <w:t xml:space="preserve">creating a unified, unique and leading home improvement offer; </w:t>
      </w:r>
    </w:p>
    <w:p w14:paraId="4234E414" w14:textId="77777777" w:rsidR="00F60281" w:rsidRPr="00945E62" w:rsidRDefault="00F60281" w:rsidP="00F60281">
      <w:pPr>
        <w:numPr>
          <w:ilvl w:val="0"/>
          <w:numId w:val="68"/>
        </w:numPr>
        <w:jc w:val="left"/>
        <w:rPr>
          <w:rFonts w:ascii="Arial" w:hAnsi="Arial" w:cs="Arial"/>
        </w:rPr>
      </w:pPr>
      <w:r w:rsidRPr="00945E62">
        <w:rPr>
          <w:rFonts w:ascii="Arial" w:hAnsi="Arial" w:cs="Arial"/>
        </w:rPr>
        <w:t xml:space="preserve">driving our digital capability; and </w:t>
      </w:r>
    </w:p>
    <w:p w14:paraId="021EB7E6" w14:textId="77777777" w:rsidR="00F60281" w:rsidRPr="00945E62" w:rsidRDefault="00F60281" w:rsidP="00F60281">
      <w:pPr>
        <w:numPr>
          <w:ilvl w:val="0"/>
          <w:numId w:val="68"/>
        </w:numPr>
        <w:jc w:val="left"/>
        <w:rPr>
          <w:rFonts w:ascii="Arial" w:hAnsi="Arial" w:cs="Arial"/>
        </w:rPr>
      </w:pPr>
      <w:r w:rsidRPr="00945E62">
        <w:rPr>
          <w:rFonts w:ascii="Arial" w:hAnsi="Arial" w:cs="Arial"/>
        </w:rPr>
        <w:t xml:space="preserve">optimising our operational efficiency. </w:t>
      </w:r>
    </w:p>
    <w:p w14:paraId="630508EC" w14:textId="750C8A44" w:rsidR="00BD5D04" w:rsidRDefault="00BD5D04" w:rsidP="0002565A">
      <w:pPr>
        <w:jc w:val="left"/>
        <w:rPr>
          <w:rFonts w:ascii="Arial" w:hAnsi="Arial" w:cs="Arial"/>
          <w:b/>
        </w:rPr>
      </w:pPr>
    </w:p>
    <w:p w14:paraId="26534B96" w14:textId="0D685968" w:rsidR="00BD5D04" w:rsidRDefault="00DA38C5">
      <w:pPr>
        <w:jc w:val="left"/>
        <w:rPr>
          <w:rFonts w:ascii="Arial" w:hAnsi="Arial" w:cs="Arial"/>
          <w:b/>
        </w:rPr>
      </w:pPr>
      <w:r>
        <w:rPr>
          <w:rFonts w:ascii="Arial" w:hAnsi="Arial" w:cs="Arial"/>
          <w:b/>
          <w:bCs/>
          <w:szCs w:val="24"/>
        </w:rPr>
        <w:t>P</w:t>
      </w:r>
      <w:r w:rsidR="003A394C" w:rsidRPr="006E55D8">
        <w:rPr>
          <w:rFonts w:ascii="Arial" w:hAnsi="Arial" w:cs="Arial"/>
          <w:b/>
          <w:bCs/>
          <w:szCs w:val="24"/>
        </w:rPr>
        <w:t xml:space="preserve">rogress against our three </w:t>
      </w:r>
      <w:r w:rsidRPr="006E55D8">
        <w:rPr>
          <w:rFonts w:ascii="Arial" w:hAnsi="Arial" w:cs="Arial"/>
          <w:b/>
          <w:bCs/>
          <w:szCs w:val="24"/>
        </w:rPr>
        <w:t xml:space="preserve">key </w:t>
      </w:r>
      <w:r w:rsidR="003A394C" w:rsidRPr="006E55D8">
        <w:rPr>
          <w:rFonts w:ascii="Arial" w:hAnsi="Arial" w:cs="Arial"/>
          <w:b/>
          <w:bCs/>
          <w:szCs w:val="24"/>
        </w:rPr>
        <w:t>strategic pillars</w:t>
      </w:r>
      <w:r w:rsidR="003A394C" w:rsidRPr="006E55D8">
        <w:rPr>
          <w:rFonts w:ascii="Arial" w:hAnsi="Arial" w:cs="Arial"/>
          <w:b/>
        </w:rPr>
        <w:t xml:space="preserve"> </w:t>
      </w:r>
    </w:p>
    <w:p w14:paraId="773AACF1" w14:textId="768C6CE0" w:rsidR="00F60281" w:rsidRDefault="00F60281">
      <w:pPr>
        <w:jc w:val="left"/>
        <w:rPr>
          <w:rFonts w:ascii="Arial" w:hAnsi="Arial" w:cs="Arial"/>
          <w:b/>
        </w:rPr>
      </w:pPr>
    </w:p>
    <w:p w14:paraId="006CD3FC" w14:textId="77777777" w:rsidR="00F60281" w:rsidRPr="001908E1" w:rsidRDefault="00F60281" w:rsidP="00F60281">
      <w:pPr>
        <w:pStyle w:val="ListParagraph"/>
        <w:numPr>
          <w:ilvl w:val="0"/>
          <w:numId w:val="97"/>
        </w:numPr>
        <w:jc w:val="left"/>
        <w:rPr>
          <w:rFonts w:ascii="Arial" w:hAnsi="Arial" w:cs="Arial"/>
          <w:b/>
          <w:u w:val="single"/>
        </w:rPr>
      </w:pPr>
      <w:bookmarkStart w:id="10" w:name="_Hlk508115591"/>
      <w:r w:rsidRPr="001908E1">
        <w:rPr>
          <w:rFonts w:ascii="Arial" w:hAnsi="Arial" w:cs="Arial"/>
          <w:b/>
          <w:u w:val="single"/>
        </w:rPr>
        <w:t>Unified &amp; unique offer</w:t>
      </w:r>
    </w:p>
    <w:p w14:paraId="6A0D2A02" w14:textId="77777777" w:rsidR="00F60281" w:rsidRDefault="00F60281" w:rsidP="00F60281">
      <w:pPr>
        <w:jc w:val="left"/>
        <w:rPr>
          <w:rFonts w:ascii="Arial" w:hAnsi="Arial" w:cs="Arial"/>
          <w:u w:val="single"/>
        </w:rPr>
      </w:pPr>
    </w:p>
    <w:p w14:paraId="6D76ABCF" w14:textId="500255C6" w:rsidR="00CB0352" w:rsidRDefault="00F60281" w:rsidP="00CB0352">
      <w:pPr>
        <w:jc w:val="left"/>
        <w:rPr>
          <w:rFonts w:ascii="Arial" w:hAnsi="Arial" w:cs="Arial"/>
        </w:rPr>
      </w:pPr>
      <w:r w:rsidRPr="00C66741">
        <w:rPr>
          <w:rFonts w:ascii="Arial" w:hAnsi="Arial" w:cs="Arial"/>
        </w:rPr>
        <w:t xml:space="preserve">We are unifying our offer, with the same </w:t>
      </w:r>
      <w:r w:rsidR="009745FE">
        <w:rPr>
          <w:rFonts w:ascii="Arial" w:hAnsi="Arial" w:cs="Arial"/>
        </w:rPr>
        <w:t xml:space="preserve">great </w:t>
      </w:r>
      <w:r w:rsidRPr="00C66741">
        <w:rPr>
          <w:rFonts w:ascii="Arial" w:hAnsi="Arial" w:cs="Arial"/>
        </w:rPr>
        <w:t xml:space="preserve">products </w:t>
      </w:r>
      <w:r>
        <w:rPr>
          <w:rFonts w:ascii="Arial" w:hAnsi="Arial" w:cs="Arial"/>
        </w:rPr>
        <w:t>available</w:t>
      </w:r>
      <w:r w:rsidRPr="00C66741">
        <w:rPr>
          <w:rFonts w:ascii="Arial" w:hAnsi="Arial" w:cs="Arial"/>
        </w:rPr>
        <w:t xml:space="preserve"> </w:t>
      </w:r>
      <w:r w:rsidR="009745FE">
        <w:rPr>
          <w:rFonts w:ascii="Arial" w:hAnsi="Arial" w:cs="Arial"/>
        </w:rPr>
        <w:t xml:space="preserve">to customers </w:t>
      </w:r>
      <w:r w:rsidRPr="00C66741">
        <w:rPr>
          <w:rFonts w:ascii="Arial" w:hAnsi="Arial" w:cs="Arial"/>
        </w:rPr>
        <w:t>everywhere. This will deliver significant customer benefits (newer products, higher quality, better sustainability, lower prices, simpler ranges, clearer merchandising and better packaging) alongside significant business benefits (higher sales, fewer SKUs*, fewer suppliers, cost price reduction (CPR</w:t>
      </w:r>
      <w:r w:rsidR="002D0435">
        <w:rPr>
          <w:rFonts w:ascii="Arial" w:hAnsi="Arial" w:cs="Arial"/>
        </w:rPr>
        <w:t>*</w:t>
      </w:r>
      <w:r w:rsidRPr="00C66741">
        <w:rPr>
          <w:rFonts w:ascii="Arial" w:hAnsi="Arial" w:cs="Arial"/>
        </w:rPr>
        <w:t>) and improved processes).</w:t>
      </w:r>
      <w:r w:rsidR="00CB0352">
        <w:rPr>
          <w:rFonts w:ascii="Arial" w:hAnsi="Arial" w:cs="Arial"/>
        </w:rPr>
        <w:t xml:space="preserve"> </w:t>
      </w:r>
    </w:p>
    <w:p w14:paraId="1611892A" w14:textId="3B095FE8" w:rsidR="00F60281" w:rsidRPr="00C66741" w:rsidRDefault="00F60281" w:rsidP="00F60281">
      <w:pPr>
        <w:jc w:val="left"/>
        <w:rPr>
          <w:rFonts w:ascii="Arial" w:hAnsi="Arial" w:cs="Arial"/>
        </w:rPr>
      </w:pPr>
    </w:p>
    <w:p w14:paraId="403F6E60" w14:textId="13EAE7EB" w:rsidR="00F60281" w:rsidRDefault="00F60281" w:rsidP="00F60281">
      <w:pPr>
        <w:jc w:val="left"/>
        <w:rPr>
          <w:rFonts w:ascii="Arial" w:hAnsi="Arial" w:cs="Arial"/>
          <w:b/>
        </w:rPr>
      </w:pPr>
      <w:r w:rsidRPr="00C53CB0">
        <w:rPr>
          <w:rFonts w:ascii="Arial" w:hAnsi="Arial" w:cs="Arial"/>
          <w:b/>
        </w:rPr>
        <w:t xml:space="preserve">Unifying </w:t>
      </w:r>
      <w:r w:rsidRPr="00D978CF">
        <w:rPr>
          <w:rFonts w:ascii="Arial" w:hAnsi="Arial" w:cs="Arial"/>
        </w:rPr>
        <w:t xml:space="preserve">ranges means rationalising the number of global SKUs and suppliers whilst improving the quality and functionality for our customers and leveraging our scale. This generates cost price reduction </w:t>
      </w:r>
      <w:r w:rsidR="009745FE">
        <w:rPr>
          <w:rFonts w:ascii="Arial" w:hAnsi="Arial" w:cs="Arial"/>
        </w:rPr>
        <w:t xml:space="preserve">which is partly invested in </w:t>
      </w:r>
      <w:r w:rsidRPr="00D978CF">
        <w:rPr>
          <w:rFonts w:ascii="Arial" w:hAnsi="Arial" w:cs="Arial"/>
        </w:rPr>
        <w:t>better prices for customers. Products are unified across the whole range</w:t>
      </w:r>
      <w:r>
        <w:rPr>
          <w:rFonts w:ascii="Arial" w:hAnsi="Arial" w:cs="Arial"/>
        </w:rPr>
        <w:t>;</w:t>
      </w:r>
      <w:r w:rsidRPr="00D978CF">
        <w:rPr>
          <w:rFonts w:ascii="Arial" w:hAnsi="Arial" w:cs="Arial"/>
        </w:rPr>
        <w:t xml:space="preserve"> from selling the same product in all our markets to having some customer driven market adaptions where needed. Unified extends to our own exclusive brands alongside international and national brands.</w:t>
      </w:r>
    </w:p>
    <w:p w14:paraId="5C7A1FE8" w14:textId="77777777" w:rsidR="00F60281" w:rsidRPr="00D978CF" w:rsidRDefault="00F60281" w:rsidP="00F60281">
      <w:pPr>
        <w:jc w:val="left"/>
        <w:rPr>
          <w:rFonts w:ascii="Arial" w:hAnsi="Arial" w:cs="Arial"/>
          <w:highlight w:val="yellow"/>
        </w:rPr>
      </w:pPr>
    </w:p>
    <w:p w14:paraId="5426E89D" w14:textId="753EDCA4" w:rsidR="00F60281" w:rsidRDefault="00F60281" w:rsidP="00F60281">
      <w:pPr>
        <w:jc w:val="left"/>
        <w:rPr>
          <w:rFonts w:ascii="Arial" w:hAnsi="Arial" w:cs="Arial"/>
        </w:rPr>
      </w:pPr>
      <w:r w:rsidRPr="00F750B6">
        <w:rPr>
          <w:rFonts w:ascii="Arial" w:hAnsi="Arial" w:cs="Arial"/>
          <w:b/>
        </w:rPr>
        <w:t xml:space="preserve">Unique </w:t>
      </w:r>
      <w:r w:rsidRPr="00D978CF">
        <w:rPr>
          <w:rFonts w:ascii="Arial" w:hAnsi="Arial" w:cs="Arial"/>
        </w:rPr>
        <w:t>ranges relate to the develop</w:t>
      </w:r>
      <w:r>
        <w:rPr>
          <w:rFonts w:ascii="Arial" w:hAnsi="Arial" w:cs="Arial"/>
        </w:rPr>
        <w:t>ment</w:t>
      </w:r>
      <w:r w:rsidRPr="00D978CF">
        <w:rPr>
          <w:rFonts w:ascii="Arial" w:hAnsi="Arial" w:cs="Arial"/>
        </w:rPr>
        <w:t xml:space="preserve"> of our own product ranges that excite customers. These </w:t>
      </w:r>
      <w:r w:rsidR="009745FE">
        <w:rPr>
          <w:rFonts w:ascii="Arial" w:hAnsi="Arial" w:cs="Arial"/>
        </w:rPr>
        <w:t xml:space="preserve">differentiated </w:t>
      </w:r>
      <w:r w:rsidRPr="00D978CF">
        <w:rPr>
          <w:rFonts w:ascii="Arial" w:hAnsi="Arial" w:cs="Arial"/>
        </w:rPr>
        <w:t>ranges are not available elsewhere and are always sold under our own exclusive brands. Instead of buying products off the shelf from suppliers, we are designing the ranges ourselves based on our deep customer insights.</w:t>
      </w:r>
      <w:r w:rsidR="009745FE">
        <w:rPr>
          <w:rFonts w:ascii="Arial" w:hAnsi="Arial" w:cs="Arial"/>
        </w:rPr>
        <w:t xml:space="preserve"> </w:t>
      </w:r>
    </w:p>
    <w:p w14:paraId="6E95973A" w14:textId="3EE6A625" w:rsidR="00F60281" w:rsidRDefault="00F60281" w:rsidP="00F60281">
      <w:pPr>
        <w:jc w:val="left"/>
        <w:rPr>
          <w:rFonts w:ascii="Arial" w:hAnsi="Arial" w:cs="Arial"/>
          <w:b/>
        </w:rPr>
      </w:pPr>
    </w:p>
    <w:p w14:paraId="6657D757" w14:textId="64282043" w:rsidR="00F60281" w:rsidRPr="00C66741" w:rsidRDefault="00F60281" w:rsidP="00F60281">
      <w:pPr>
        <w:jc w:val="left"/>
        <w:rPr>
          <w:rFonts w:ascii="Arial" w:hAnsi="Arial" w:cs="Arial"/>
        </w:rPr>
      </w:pPr>
      <w:r w:rsidRPr="00C66741">
        <w:rPr>
          <w:rFonts w:ascii="Arial" w:hAnsi="Arial" w:cs="Arial"/>
        </w:rPr>
        <w:t>FY 18</w:t>
      </w:r>
      <w:r>
        <w:rPr>
          <w:rFonts w:ascii="Arial" w:hAnsi="Arial" w:cs="Arial"/>
        </w:rPr>
        <w:t>/19</w:t>
      </w:r>
      <w:r w:rsidRPr="00C66741">
        <w:rPr>
          <w:rFonts w:ascii="Arial" w:hAnsi="Arial" w:cs="Arial"/>
        </w:rPr>
        <w:t xml:space="preserve"> strategic milestone</w:t>
      </w:r>
      <w:r w:rsidR="00FC4D21">
        <w:rPr>
          <w:rFonts w:ascii="Arial" w:hAnsi="Arial" w:cs="Arial"/>
        </w:rPr>
        <w:t>s</w:t>
      </w:r>
      <w:r w:rsidRPr="00C66741">
        <w:rPr>
          <w:rFonts w:ascii="Arial" w:hAnsi="Arial" w:cs="Arial"/>
        </w:rPr>
        <w:t>:</w:t>
      </w:r>
    </w:p>
    <w:p w14:paraId="1F4CCE57" w14:textId="77777777" w:rsidR="00FC4D21" w:rsidRPr="00FC4D21" w:rsidRDefault="00FC4D21" w:rsidP="00FC4D21">
      <w:pPr>
        <w:pStyle w:val="ListParagraph"/>
        <w:jc w:val="left"/>
        <w:rPr>
          <w:rFonts w:ascii="Arial" w:hAnsi="Arial" w:cs="Arial"/>
          <w:u w:val="single"/>
        </w:rPr>
      </w:pPr>
    </w:p>
    <w:p w14:paraId="53FB1099" w14:textId="006434DE" w:rsidR="00FC4D21" w:rsidRPr="001908E1" w:rsidRDefault="00FC4D21" w:rsidP="00FC4D21">
      <w:pPr>
        <w:pStyle w:val="ListParagraph"/>
        <w:numPr>
          <w:ilvl w:val="0"/>
          <w:numId w:val="69"/>
        </w:numPr>
        <w:ind w:left="720"/>
        <w:jc w:val="left"/>
        <w:rPr>
          <w:rFonts w:ascii="Arial" w:hAnsi="Arial" w:cs="Arial"/>
          <w:u w:val="single"/>
        </w:rPr>
      </w:pPr>
      <w:r>
        <w:rPr>
          <w:rFonts w:ascii="Arial" w:hAnsi="Arial" w:cs="Arial"/>
          <w:i/>
        </w:rPr>
        <w:t>Deliver growth in unified &amp; unique sales and gross margin</w:t>
      </w:r>
    </w:p>
    <w:p w14:paraId="61B8A9B4" w14:textId="77777777" w:rsidR="00FC4D21" w:rsidRPr="001908E1" w:rsidRDefault="00FC4D21" w:rsidP="00FC4D21">
      <w:pPr>
        <w:pStyle w:val="ListParagraph"/>
        <w:numPr>
          <w:ilvl w:val="0"/>
          <w:numId w:val="69"/>
        </w:numPr>
        <w:ind w:left="720"/>
        <w:jc w:val="left"/>
        <w:rPr>
          <w:rFonts w:ascii="Arial" w:hAnsi="Arial" w:cs="Arial"/>
          <w:u w:val="single"/>
        </w:rPr>
      </w:pPr>
      <w:r>
        <w:rPr>
          <w:rFonts w:ascii="Arial" w:hAnsi="Arial" w:cs="Arial"/>
          <w:i/>
        </w:rPr>
        <w:t xml:space="preserve">Unify 40% of product (COGS) </w:t>
      </w:r>
    </w:p>
    <w:bookmarkEnd w:id="10"/>
    <w:p w14:paraId="4E4B36EB" w14:textId="6519A86B" w:rsidR="00F34D26" w:rsidRDefault="00F34D26">
      <w:pPr>
        <w:jc w:val="left"/>
        <w:rPr>
          <w:rFonts w:ascii="Arial" w:hAnsi="Arial" w:cs="Arial"/>
          <w:b/>
        </w:rPr>
      </w:pPr>
    </w:p>
    <w:p w14:paraId="03E53943" w14:textId="0009A741" w:rsidR="00CB0352" w:rsidRDefault="009051EB" w:rsidP="00CB0352">
      <w:pPr>
        <w:jc w:val="left"/>
        <w:rPr>
          <w:rFonts w:ascii="Arial" w:hAnsi="Arial" w:cs="Arial"/>
        </w:rPr>
      </w:pPr>
      <w:r w:rsidRPr="004215EF">
        <w:rPr>
          <w:rFonts w:ascii="Arial" w:hAnsi="Arial" w:cs="Arial"/>
        </w:rPr>
        <w:t>4</w:t>
      </w:r>
      <w:r w:rsidR="002C57E8" w:rsidRPr="004215EF">
        <w:rPr>
          <w:rFonts w:ascii="Arial" w:hAnsi="Arial" w:cs="Arial"/>
        </w:rPr>
        <w:t>2</w:t>
      </w:r>
      <w:r w:rsidR="00F60281" w:rsidRPr="00FC25B9">
        <w:rPr>
          <w:rFonts w:ascii="Arial" w:hAnsi="Arial" w:cs="Arial"/>
        </w:rPr>
        <w:t>%</w:t>
      </w:r>
      <w:r w:rsidR="00F60281" w:rsidRPr="00AB52F3">
        <w:rPr>
          <w:rFonts w:ascii="Arial" w:hAnsi="Arial" w:cs="Arial"/>
        </w:rPr>
        <w:t xml:space="preserve"> of product</w:t>
      </w:r>
      <w:r w:rsidR="00BA3C2C">
        <w:rPr>
          <w:rFonts w:ascii="Arial" w:hAnsi="Arial" w:cs="Arial"/>
        </w:rPr>
        <w:t>s</w:t>
      </w:r>
      <w:r w:rsidR="00F60281" w:rsidRPr="00AB52F3">
        <w:rPr>
          <w:rFonts w:ascii="Arial" w:hAnsi="Arial" w:cs="Arial"/>
        </w:rPr>
        <w:t xml:space="preserve"> have now been unified (COGS)</w:t>
      </w:r>
      <w:r w:rsidR="009745FE">
        <w:rPr>
          <w:rFonts w:ascii="Arial" w:hAnsi="Arial" w:cs="Arial"/>
        </w:rPr>
        <w:t xml:space="preserve"> </w:t>
      </w:r>
      <w:r w:rsidR="009745FE" w:rsidRPr="00864730">
        <w:rPr>
          <w:rFonts w:ascii="Arial" w:hAnsi="Arial" w:cs="Arial"/>
        </w:rPr>
        <w:t>reflecting</w:t>
      </w:r>
      <w:r w:rsidR="008D3F40" w:rsidRPr="00864730">
        <w:rPr>
          <w:rFonts w:ascii="Arial" w:hAnsi="Arial" w:cs="Arial"/>
        </w:rPr>
        <w:t xml:space="preserve"> the</w:t>
      </w:r>
      <w:r w:rsidR="009745FE" w:rsidRPr="00864730">
        <w:rPr>
          <w:rFonts w:ascii="Arial" w:hAnsi="Arial" w:cs="Arial"/>
        </w:rPr>
        <w:t xml:space="preserve"> higher weighting</w:t>
      </w:r>
      <w:r w:rsidR="008D3F40" w:rsidRPr="00864730">
        <w:rPr>
          <w:rFonts w:ascii="Arial" w:hAnsi="Arial" w:cs="Arial"/>
        </w:rPr>
        <w:t xml:space="preserve"> of outdoor product</w:t>
      </w:r>
      <w:r w:rsidR="006838F2" w:rsidRPr="004215EF">
        <w:rPr>
          <w:rFonts w:ascii="Arial" w:hAnsi="Arial" w:cs="Arial"/>
        </w:rPr>
        <w:t>s</w:t>
      </w:r>
      <w:r w:rsidR="008D3F40" w:rsidRPr="00864730">
        <w:rPr>
          <w:rFonts w:ascii="Arial" w:hAnsi="Arial" w:cs="Arial"/>
        </w:rPr>
        <w:t xml:space="preserve"> that have been unified to date</w:t>
      </w:r>
      <w:r w:rsidR="00F60281" w:rsidRPr="00864730">
        <w:rPr>
          <w:rFonts w:ascii="Arial" w:hAnsi="Arial" w:cs="Arial"/>
        </w:rPr>
        <w:t>. We continue to si</w:t>
      </w:r>
      <w:r w:rsidR="00F60281" w:rsidRPr="00AB52F3">
        <w:rPr>
          <w:rFonts w:ascii="Arial" w:hAnsi="Arial" w:cs="Arial"/>
        </w:rPr>
        <w:t xml:space="preserve">gnificantly reduce the number of global suppliers and </w:t>
      </w:r>
      <w:r w:rsidR="00F60281" w:rsidRPr="00632520">
        <w:rPr>
          <w:rFonts w:ascii="Arial" w:hAnsi="Arial" w:cs="Arial"/>
        </w:rPr>
        <w:t xml:space="preserve">SKUs, by around 80% to date, </w:t>
      </w:r>
      <w:r w:rsidR="008D3F40" w:rsidRPr="00632520">
        <w:rPr>
          <w:rFonts w:ascii="Arial" w:hAnsi="Arial" w:cs="Arial"/>
        </w:rPr>
        <w:t>whilst</w:t>
      </w:r>
      <w:r w:rsidR="008D3F40" w:rsidRPr="00A43A57">
        <w:rPr>
          <w:rFonts w:ascii="Arial" w:hAnsi="Arial" w:cs="Arial"/>
        </w:rPr>
        <w:t xml:space="preserve"> </w:t>
      </w:r>
      <w:r w:rsidR="00F60281" w:rsidRPr="00A43A57">
        <w:rPr>
          <w:rFonts w:ascii="Arial" w:hAnsi="Arial" w:cs="Arial"/>
        </w:rPr>
        <w:t xml:space="preserve">ensuring that customer needs are covered. </w:t>
      </w:r>
      <w:bookmarkStart w:id="11" w:name="_Hlk523396750"/>
      <w:r w:rsidR="00A57395">
        <w:rPr>
          <w:rFonts w:ascii="Arial" w:hAnsi="Arial" w:cs="Arial"/>
        </w:rPr>
        <w:t>A</w:t>
      </w:r>
      <w:r w:rsidR="00CB0352" w:rsidRPr="00A43A57">
        <w:rPr>
          <w:rFonts w:ascii="Arial" w:hAnsi="Arial" w:cs="Arial"/>
        </w:rPr>
        <w:t xml:space="preserve">cross our unified ranges we have established a </w:t>
      </w:r>
      <w:r w:rsidR="00A57395">
        <w:rPr>
          <w:rFonts w:ascii="Arial" w:hAnsi="Arial" w:cs="Arial"/>
        </w:rPr>
        <w:t>leading price</w:t>
      </w:r>
      <w:r w:rsidR="00CB0352" w:rsidRPr="00A43A57">
        <w:rPr>
          <w:rFonts w:ascii="Arial" w:hAnsi="Arial" w:cs="Arial"/>
        </w:rPr>
        <w:t xml:space="preserve"> position.</w:t>
      </w:r>
      <w:r w:rsidR="00CB0352">
        <w:rPr>
          <w:rFonts w:ascii="Arial" w:hAnsi="Arial" w:cs="Arial"/>
        </w:rPr>
        <w:t xml:space="preserve">   </w:t>
      </w:r>
    </w:p>
    <w:p w14:paraId="7CDA5689" w14:textId="77777777" w:rsidR="009C139B" w:rsidRDefault="009C139B" w:rsidP="00F60281">
      <w:pPr>
        <w:jc w:val="left"/>
        <w:rPr>
          <w:rFonts w:ascii="Arial" w:hAnsi="Arial" w:cs="Arial"/>
        </w:rPr>
      </w:pPr>
    </w:p>
    <w:p w14:paraId="6707EBDA" w14:textId="378887E3" w:rsidR="00F60281" w:rsidRDefault="00425170" w:rsidP="00F60281">
      <w:pPr>
        <w:jc w:val="left"/>
        <w:rPr>
          <w:rFonts w:ascii="Arial" w:hAnsi="Arial" w:cs="Arial"/>
          <w:highlight w:val="yellow"/>
        </w:rPr>
      </w:pPr>
      <w:r w:rsidRPr="00AB52F3">
        <w:rPr>
          <w:rFonts w:ascii="Arial" w:hAnsi="Arial" w:cs="Arial"/>
        </w:rPr>
        <w:t>I</w:t>
      </w:r>
      <w:r w:rsidR="005E3B04" w:rsidRPr="00AB52F3">
        <w:rPr>
          <w:rFonts w:ascii="Arial" w:hAnsi="Arial" w:cs="Arial"/>
        </w:rPr>
        <w:t>n H1</w:t>
      </w:r>
      <w:r w:rsidR="0070706A">
        <w:rPr>
          <w:rFonts w:ascii="Arial" w:hAnsi="Arial" w:cs="Arial"/>
        </w:rPr>
        <w:t xml:space="preserve"> </w:t>
      </w:r>
      <w:r w:rsidR="005E3B04" w:rsidRPr="00AB52F3">
        <w:rPr>
          <w:rFonts w:ascii="Arial" w:hAnsi="Arial" w:cs="Arial"/>
        </w:rPr>
        <w:t xml:space="preserve">18/19 </w:t>
      </w:r>
      <w:r w:rsidRPr="00AB52F3">
        <w:rPr>
          <w:rFonts w:ascii="Arial" w:hAnsi="Arial" w:cs="Arial"/>
        </w:rPr>
        <w:t xml:space="preserve">we </w:t>
      </w:r>
      <w:r w:rsidR="005E3B04" w:rsidRPr="00AB52F3">
        <w:rPr>
          <w:rFonts w:ascii="Arial" w:hAnsi="Arial" w:cs="Arial"/>
        </w:rPr>
        <w:t>continued</w:t>
      </w:r>
      <w:r w:rsidRPr="00AB52F3">
        <w:rPr>
          <w:rFonts w:ascii="Arial" w:hAnsi="Arial" w:cs="Arial"/>
        </w:rPr>
        <w:t xml:space="preserve"> to implement new ranges including</w:t>
      </w:r>
      <w:r w:rsidR="005E3B04" w:rsidRPr="00AB52F3">
        <w:rPr>
          <w:rFonts w:ascii="Arial" w:hAnsi="Arial" w:cs="Arial"/>
        </w:rPr>
        <w:t xml:space="preserve"> </w:t>
      </w:r>
      <w:bookmarkStart w:id="12" w:name="_Hlk523396712"/>
      <w:r w:rsidRPr="00AB52F3">
        <w:rPr>
          <w:rFonts w:ascii="Arial" w:hAnsi="Arial" w:cs="Arial"/>
        </w:rPr>
        <w:t xml:space="preserve">additional </w:t>
      </w:r>
      <w:r w:rsidR="005E3B04" w:rsidRPr="004215EF">
        <w:rPr>
          <w:rFonts w:ascii="Arial" w:hAnsi="Arial" w:cs="Arial"/>
        </w:rPr>
        <w:t>outdoor ranges</w:t>
      </w:r>
      <w:r w:rsidR="00BA3C2C" w:rsidRPr="004215EF">
        <w:rPr>
          <w:rFonts w:ascii="Arial" w:hAnsi="Arial" w:cs="Arial"/>
        </w:rPr>
        <w:t>, doors</w:t>
      </w:r>
      <w:r w:rsidR="00864730" w:rsidRPr="004215EF">
        <w:rPr>
          <w:rFonts w:ascii="Arial" w:hAnsi="Arial" w:cs="Arial"/>
        </w:rPr>
        <w:t>, indoor and outdoor lights, nails</w:t>
      </w:r>
      <w:r w:rsidR="00A15519">
        <w:rPr>
          <w:rFonts w:ascii="Arial" w:hAnsi="Arial" w:cs="Arial"/>
        </w:rPr>
        <w:t>,</w:t>
      </w:r>
      <w:r w:rsidR="00864730" w:rsidRPr="004215EF">
        <w:rPr>
          <w:rFonts w:ascii="Arial" w:hAnsi="Arial" w:cs="Arial"/>
        </w:rPr>
        <w:t xml:space="preserve"> bolts and screws</w:t>
      </w:r>
      <w:r w:rsidR="00BA3C2C" w:rsidRPr="004215EF">
        <w:rPr>
          <w:rFonts w:ascii="Arial" w:hAnsi="Arial" w:cs="Arial"/>
        </w:rPr>
        <w:t xml:space="preserve"> and </w:t>
      </w:r>
      <w:r w:rsidR="00864730" w:rsidRPr="004215EF">
        <w:rPr>
          <w:rFonts w:ascii="Arial" w:hAnsi="Arial" w:cs="Arial"/>
        </w:rPr>
        <w:t>glues</w:t>
      </w:r>
      <w:r w:rsidRPr="004215EF">
        <w:rPr>
          <w:rFonts w:ascii="Arial" w:hAnsi="Arial" w:cs="Arial"/>
        </w:rPr>
        <w:t>.</w:t>
      </w:r>
      <w:r w:rsidR="005E3B04" w:rsidRPr="00BA3C2C">
        <w:rPr>
          <w:rFonts w:ascii="Arial" w:hAnsi="Arial" w:cs="Arial"/>
        </w:rPr>
        <w:t xml:space="preserve"> </w:t>
      </w:r>
      <w:bookmarkEnd w:id="12"/>
      <w:bookmarkEnd w:id="11"/>
      <w:r w:rsidR="00F60281" w:rsidRPr="00AB52F3">
        <w:rPr>
          <w:rFonts w:ascii="Arial" w:hAnsi="Arial" w:cs="Arial"/>
        </w:rPr>
        <w:t xml:space="preserve">Sales of our unified and unique ranges </w:t>
      </w:r>
      <w:r w:rsidR="005E3B04" w:rsidRPr="00AB52F3">
        <w:rPr>
          <w:rFonts w:ascii="Arial" w:hAnsi="Arial" w:cs="Arial"/>
        </w:rPr>
        <w:t>continue to</w:t>
      </w:r>
      <w:r w:rsidR="00F60281" w:rsidRPr="00AB52F3">
        <w:rPr>
          <w:rFonts w:ascii="Arial" w:hAnsi="Arial" w:cs="Arial"/>
        </w:rPr>
        <w:t xml:space="preserve"> outperform non-unified ranges</w:t>
      </w:r>
      <w:r w:rsidR="009905F5">
        <w:rPr>
          <w:rFonts w:ascii="Arial" w:hAnsi="Arial" w:cs="Arial"/>
        </w:rPr>
        <w:t>.</w:t>
      </w:r>
      <w:r w:rsidR="00F60281" w:rsidRPr="00AB52F3">
        <w:rPr>
          <w:rFonts w:ascii="Arial" w:hAnsi="Arial" w:cs="Arial"/>
        </w:rPr>
        <w:t xml:space="preserve"> Sales of unified and unique ranges </w:t>
      </w:r>
      <w:r w:rsidR="005E3B04" w:rsidRPr="00AB52F3">
        <w:rPr>
          <w:rFonts w:ascii="Arial" w:hAnsi="Arial" w:cs="Arial"/>
        </w:rPr>
        <w:t>including</w:t>
      </w:r>
      <w:r w:rsidR="00F60281" w:rsidRPr="00AB52F3">
        <w:rPr>
          <w:rFonts w:ascii="Arial" w:hAnsi="Arial" w:cs="Arial"/>
        </w:rPr>
        <w:t xml:space="preserve"> clearance, were up </w:t>
      </w:r>
      <w:r w:rsidR="005E3B04" w:rsidRPr="009E6791">
        <w:rPr>
          <w:rFonts w:ascii="Arial" w:hAnsi="Arial" w:cs="Arial"/>
        </w:rPr>
        <w:t>2</w:t>
      </w:r>
      <w:r w:rsidR="00FA7B13" w:rsidRPr="009E6791">
        <w:rPr>
          <w:rFonts w:ascii="Arial" w:hAnsi="Arial" w:cs="Arial"/>
        </w:rPr>
        <w:t>.2</w:t>
      </w:r>
      <w:r w:rsidR="00F60281" w:rsidRPr="009E6791">
        <w:rPr>
          <w:rFonts w:ascii="Arial" w:hAnsi="Arial" w:cs="Arial"/>
        </w:rPr>
        <w:t>%</w:t>
      </w:r>
      <w:r w:rsidR="00F60281" w:rsidRPr="00AB52F3">
        <w:rPr>
          <w:rFonts w:ascii="Arial" w:hAnsi="Arial" w:cs="Arial"/>
        </w:rPr>
        <w:t xml:space="preserve"> compared to last year</w:t>
      </w:r>
      <w:r w:rsidR="009905F5">
        <w:rPr>
          <w:rFonts w:ascii="Arial" w:hAnsi="Arial" w:cs="Arial"/>
        </w:rPr>
        <w:t xml:space="preserve"> and</w:t>
      </w:r>
      <w:r w:rsidR="00F60281" w:rsidRPr="00AB52F3">
        <w:rPr>
          <w:rFonts w:ascii="Arial" w:hAnsi="Arial" w:cs="Arial"/>
        </w:rPr>
        <w:t xml:space="preserve"> </w:t>
      </w:r>
      <w:r w:rsidR="009905F5">
        <w:rPr>
          <w:rFonts w:ascii="Arial" w:hAnsi="Arial" w:cs="Arial"/>
        </w:rPr>
        <w:t>s</w:t>
      </w:r>
      <w:r w:rsidR="005E3B04" w:rsidRPr="00AB52F3">
        <w:rPr>
          <w:rFonts w:ascii="Arial" w:hAnsi="Arial" w:cs="Arial"/>
        </w:rPr>
        <w:t xml:space="preserve">ales of non-unified ranges </w:t>
      </w:r>
      <w:r w:rsidR="005E3B04" w:rsidRPr="00A3443D">
        <w:rPr>
          <w:rFonts w:ascii="Arial" w:hAnsi="Arial" w:cs="Arial"/>
        </w:rPr>
        <w:t xml:space="preserve">were down </w:t>
      </w:r>
      <w:r w:rsidR="00FA7B13" w:rsidRPr="00F74468">
        <w:rPr>
          <w:rFonts w:ascii="Arial" w:hAnsi="Arial" w:cs="Arial"/>
        </w:rPr>
        <w:t>1.8</w:t>
      </w:r>
      <w:r w:rsidR="005E3B04" w:rsidRPr="00F74468">
        <w:rPr>
          <w:rFonts w:ascii="Arial" w:hAnsi="Arial" w:cs="Arial"/>
        </w:rPr>
        <w:t>%</w:t>
      </w:r>
      <w:r w:rsidR="00A3443D">
        <w:rPr>
          <w:rFonts w:ascii="Arial" w:hAnsi="Arial" w:cs="Arial"/>
        </w:rPr>
        <w:t xml:space="preserve"> (</w:t>
      </w:r>
      <w:r w:rsidR="00910D65">
        <w:rPr>
          <w:rFonts w:ascii="Arial" w:hAnsi="Arial" w:cs="Arial"/>
        </w:rPr>
        <w:t xml:space="preserve">in </w:t>
      </w:r>
      <w:r w:rsidR="00A3443D">
        <w:rPr>
          <w:rFonts w:ascii="Arial" w:hAnsi="Arial" w:cs="Arial"/>
        </w:rPr>
        <w:t>c</w:t>
      </w:r>
      <w:r w:rsidR="00A3443D" w:rsidRPr="00A3443D">
        <w:rPr>
          <w:rFonts w:ascii="Arial" w:hAnsi="Arial" w:cs="Arial"/>
        </w:rPr>
        <w:t>onstant currency including clearance</w:t>
      </w:r>
      <w:r w:rsidR="00C9435A">
        <w:rPr>
          <w:rFonts w:ascii="Arial" w:hAnsi="Arial" w:cs="Arial"/>
        </w:rPr>
        <w:t>,</w:t>
      </w:r>
      <w:r w:rsidR="00A3443D" w:rsidRPr="00A3443D">
        <w:rPr>
          <w:rFonts w:ascii="Arial" w:hAnsi="Arial" w:cs="Arial"/>
        </w:rPr>
        <w:t xml:space="preserve"> exclud</w:t>
      </w:r>
      <w:r w:rsidR="00C9435A">
        <w:rPr>
          <w:rFonts w:ascii="Arial" w:hAnsi="Arial" w:cs="Arial"/>
        </w:rPr>
        <w:t>ing</w:t>
      </w:r>
      <w:r w:rsidR="00A3443D" w:rsidRPr="00A3443D">
        <w:rPr>
          <w:rFonts w:ascii="Arial" w:hAnsi="Arial" w:cs="Arial"/>
        </w:rPr>
        <w:t xml:space="preserve"> </w:t>
      </w:r>
      <w:proofErr w:type="spellStart"/>
      <w:r w:rsidR="00A3443D" w:rsidRPr="00A3443D">
        <w:rPr>
          <w:rFonts w:ascii="Arial" w:hAnsi="Arial" w:cs="Arial"/>
        </w:rPr>
        <w:t>Praktiker</w:t>
      </w:r>
      <w:proofErr w:type="spellEnd"/>
      <w:r w:rsidR="00A3443D" w:rsidRPr="00A3443D">
        <w:rPr>
          <w:rFonts w:ascii="Arial" w:hAnsi="Arial" w:cs="Arial"/>
        </w:rPr>
        <w:t xml:space="preserve"> Romania, Screwfix Germany, Portugal and services</w:t>
      </w:r>
      <w:r w:rsidR="00C9435A">
        <w:rPr>
          <w:rFonts w:ascii="Arial" w:hAnsi="Arial" w:cs="Arial"/>
        </w:rPr>
        <w:t>)</w:t>
      </w:r>
      <w:r w:rsidR="005E3B04" w:rsidRPr="00F74468">
        <w:rPr>
          <w:rFonts w:ascii="Arial" w:hAnsi="Arial" w:cs="Arial"/>
        </w:rPr>
        <w:t>.</w:t>
      </w:r>
      <w:r w:rsidR="00BA3C2C" w:rsidRPr="00F74468">
        <w:rPr>
          <w:rFonts w:ascii="Arial" w:hAnsi="Arial" w:cs="Arial"/>
        </w:rPr>
        <w:t xml:space="preserve"> </w:t>
      </w:r>
    </w:p>
    <w:p w14:paraId="2B6C2123" w14:textId="77777777" w:rsidR="005E3B04" w:rsidRPr="00F60281" w:rsidRDefault="005E3B04" w:rsidP="005E3B04">
      <w:pPr>
        <w:jc w:val="left"/>
        <w:rPr>
          <w:rFonts w:ascii="Arial" w:hAnsi="Arial" w:cs="Arial"/>
          <w:highlight w:val="yellow"/>
        </w:rPr>
      </w:pPr>
    </w:p>
    <w:p w14:paraId="7DE41506" w14:textId="585E44D9" w:rsidR="00C127A8" w:rsidRDefault="001D03E1" w:rsidP="005E3B04">
      <w:pPr>
        <w:jc w:val="left"/>
        <w:rPr>
          <w:rFonts w:ascii="Arial" w:hAnsi="Arial" w:cs="Arial"/>
        </w:rPr>
      </w:pPr>
      <w:bookmarkStart w:id="13" w:name="_Hlk523599164"/>
      <w:bookmarkStart w:id="14" w:name="_Hlk524504579"/>
      <w:r>
        <w:rPr>
          <w:rFonts w:ascii="Arial" w:hAnsi="Arial" w:cs="Arial"/>
        </w:rPr>
        <w:t>A</w:t>
      </w:r>
      <w:r w:rsidRPr="001D03E1">
        <w:rPr>
          <w:rFonts w:ascii="Arial" w:hAnsi="Arial" w:cs="Arial"/>
        </w:rPr>
        <w:t>fter cost price inflation, price investment and the impact of logistics &amp; stock inefficiencies</w:t>
      </w:r>
      <w:r w:rsidR="00060B8A" w:rsidRPr="00060B8A">
        <w:rPr>
          <w:rFonts w:ascii="Arial" w:hAnsi="Arial" w:cs="Arial"/>
        </w:rPr>
        <w:t>, H1 gross margin for unified and unique ranges was up against last year. The uplift was 40bps on the 42% of COGS that have been unified and 20bps at total Group level. Clearance costs were flat year on year.</w:t>
      </w:r>
      <w:r w:rsidR="00F87930">
        <w:rPr>
          <w:rFonts w:ascii="Arial" w:hAnsi="Arial" w:cs="Arial"/>
        </w:rPr>
        <w:t xml:space="preserve"> </w:t>
      </w:r>
      <w:bookmarkEnd w:id="13"/>
    </w:p>
    <w:bookmarkEnd w:id="14"/>
    <w:p w14:paraId="5841F7B9" w14:textId="191C501F" w:rsidR="00EE44EF" w:rsidRDefault="00EE44EF" w:rsidP="005E3B04">
      <w:pPr>
        <w:jc w:val="left"/>
        <w:rPr>
          <w:rFonts w:ascii="Arial" w:hAnsi="Arial" w:cs="Arial"/>
        </w:rPr>
      </w:pPr>
    </w:p>
    <w:p w14:paraId="0B89EAAF" w14:textId="41E83649" w:rsidR="00FB73B5" w:rsidRPr="00AB52F3" w:rsidRDefault="00FB73B5" w:rsidP="00FB73B5">
      <w:pPr>
        <w:jc w:val="left"/>
        <w:rPr>
          <w:rFonts w:ascii="Arial" w:hAnsi="Arial" w:cs="Arial"/>
        </w:rPr>
      </w:pPr>
      <w:r w:rsidRPr="00FC25B9">
        <w:rPr>
          <w:rFonts w:ascii="Arial" w:hAnsi="Arial" w:cs="Arial"/>
        </w:rPr>
        <w:t xml:space="preserve">We </w:t>
      </w:r>
      <w:r w:rsidRPr="004215EF">
        <w:rPr>
          <w:rFonts w:ascii="Arial" w:hAnsi="Arial" w:cs="Arial"/>
        </w:rPr>
        <w:t>continue to make progress towards</w:t>
      </w:r>
      <w:r w:rsidRPr="00FC25B9">
        <w:rPr>
          <w:rFonts w:ascii="Arial" w:hAnsi="Arial" w:cs="Arial"/>
        </w:rPr>
        <w:t xml:space="preserve"> our target to deliver £3</w:t>
      </w:r>
      <w:r w:rsidRPr="00864730">
        <w:rPr>
          <w:rFonts w:ascii="Arial" w:hAnsi="Arial" w:cs="Arial"/>
        </w:rPr>
        <w:t>50m annual profit uplift by FY 20/21, which broadly equates to a 5% reduction in cost of goods sold</w:t>
      </w:r>
      <w:r w:rsidR="00864730" w:rsidRPr="00864730">
        <w:rPr>
          <w:rFonts w:ascii="Arial" w:hAnsi="Arial" w:cs="Arial"/>
        </w:rPr>
        <w:t>.</w:t>
      </w:r>
    </w:p>
    <w:p w14:paraId="09C346C3" w14:textId="6AEC9747" w:rsidR="00C127A8" w:rsidRDefault="00C127A8">
      <w:pPr>
        <w:jc w:val="left"/>
        <w:rPr>
          <w:rFonts w:ascii="Arial" w:hAnsi="Arial" w:cs="Arial"/>
          <w:b/>
        </w:rPr>
      </w:pPr>
    </w:p>
    <w:p w14:paraId="08041A20" w14:textId="77777777" w:rsidR="00C127A8" w:rsidRPr="001908E1" w:rsidRDefault="00C127A8" w:rsidP="00C127A8">
      <w:pPr>
        <w:pStyle w:val="ListParagraph"/>
        <w:numPr>
          <w:ilvl w:val="0"/>
          <w:numId w:val="97"/>
        </w:numPr>
        <w:jc w:val="left"/>
        <w:rPr>
          <w:rFonts w:ascii="Arial" w:hAnsi="Arial" w:cs="Arial"/>
          <w:b/>
        </w:rPr>
      </w:pPr>
      <w:bookmarkStart w:id="15" w:name="_Hlk524463979"/>
      <w:r w:rsidRPr="001908E1">
        <w:rPr>
          <w:rFonts w:ascii="Arial" w:hAnsi="Arial" w:cs="Arial"/>
          <w:b/>
          <w:u w:val="single"/>
        </w:rPr>
        <w:t xml:space="preserve">Digital </w:t>
      </w:r>
    </w:p>
    <w:bookmarkEnd w:id="15"/>
    <w:p w14:paraId="206AE94F" w14:textId="77777777" w:rsidR="00C127A8" w:rsidRDefault="00C127A8" w:rsidP="00C127A8">
      <w:pPr>
        <w:pStyle w:val="ListParagraph"/>
      </w:pPr>
    </w:p>
    <w:p w14:paraId="40855191" w14:textId="7AE80AC4" w:rsidR="00C127A8" w:rsidRPr="001908E1" w:rsidRDefault="00C127A8" w:rsidP="00C127A8">
      <w:pPr>
        <w:jc w:val="left"/>
        <w:rPr>
          <w:rFonts w:ascii="Arial" w:hAnsi="Arial" w:cs="Arial"/>
          <w:i/>
        </w:rPr>
      </w:pPr>
      <w:r w:rsidRPr="001908E1">
        <w:rPr>
          <w:rFonts w:ascii="Arial" w:hAnsi="Arial" w:cs="Arial"/>
        </w:rPr>
        <w:t>Implementation of a</w:t>
      </w:r>
      <w:r w:rsidR="00910D65">
        <w:rPr>
          <w:rFonts w:ascii="Arial" w:hAnsi="Arial" w:cs="Arial"/>
        </w:rPr>
        <w:t xml:space="preserve"> new</w:t>
      </w:r>
      <w:r w:rsidRPr="001908E1">
        <w:rPr>
          <w:rFonts w:ascii="Arial" w:hAnsi="Arial" w:cs="Arial"/>
        </w:rPr>
        <w:t xml:space="preserve"> unified IT system is a key enabler of our ONE Kingfisher plan. It </w:t>
      </w:r>
      <w:r w:rsidRPr="0029201B">
        <w:rPr>
          <w:rFonts w:ascii="Arial" w:hAnsi="Arial" w:cs="Arial"/>
        </w:rPr>
        <w:t>also provide</w:t>
      </w:r>
      <w:r w:rsidRPr="009366ED">
        <w:rPr>
          <w:rFonts w:ascii="Arial" w:hAnsi="Arial" w:cs="Arial"/>
        </w:rPr>
        <w:t>s a significant opportunity, with a seamless and stronger digital offer for our customers, to substantially increase sales and digital penetration. This is expected to generate £50m</w:t>
      </w:r>
      <w:r w:rsidRPr="001908E1">
        <w:rPr>
          <w:rFonts w:ascii="Arial" w:hAnsi="Arial" w:cs="Arial"/>
        </w:rPr>
        <w:t xml:space="preserve"> annual profit uplift by FY 20/21. </w:t>
      </w:r>
    </w:p>
    <w:p w14:paraId="559707A8" w14:textId="77777777" w:rsidR="00C127A8" w:rsidRPr="006B2843" w:rsidRDefault="00C127A8" w:rsidP="00C127A8">
      <w:pPr>
        <w:jc w:val="left"/>
        <w:rPr>
          <w:rFonts w:ascii="Arial" w:hAnsi="Arial" w:cs="Arial"/>
          <w:i/>
          <w:highlight w:val="yellow"/>
        </w:rPr>
      </w:pPr>
    </w:p>
    <w:p w14:paraId="1E0DAC06" w14:textId="770381C9" w:rsidR="00C127A8" w:rsidRPr="006B2843" w:rsidRDefault="00C127A8" w:rsidP="00C127A8">
      <w:pPr>
        <w:jc w:val="left"/>
        <w:rPr>
          <w:rFonts w:ascii="Arial" w:hAnsi="Arial" w:cs="Arial"/>
        </w:rPr>
      </w:pPr>
      <w:r w:rsidRPr="00C66741">
        <w:rPr>
          <w:rFonts w:ascii="Arial" w:hAnsi="Arial" w:cs="Arial"/>
        </w:rPr>
        <w:t>FY 18</w:t>
      </w:r>
      <w:r w:rsidR="00FC4D21">
        <w:rPr>
          <w:rFonts w:ascii="Arial" w:hAnsi="Arial" w:cs="Arial"/>
        </w:rPr>
        <w:t>/19</w:t>
      </w:r>
      <w:r w:rsidRPr="00C66741">
        <w:rPr>
          <w:rFonts w:ascii="Arial" w:hAnsi="Arial" w:cs="Arial"/>
        </w:rPr>
        <w:t xml:space="preserve"> strategic milestone</w:t>
      </w:r>
      <w:r w:rsidR="00FC4D21">
        <w:rPr>
          <w:rFonts w:ascii="Arial" w:hAnsi="Arial" w:cs="Arial"/>
        </w:rPr>
        <w:t>s</w:t>
      </w:r>
      <w:r w:rsidRPr="00C66741">
        <w:rPr>
          <w:rFonts w:ascii="Arial" w:hAnsi="Arial" w:cs="Arial"/>
        </w:rPr>
        <w:t>:</w:t>
      </w:r>
    </w:p>
    <w:p w14:paraId="0D8D1C8D" w14:textId="77777777" w:rsidR="00C127A8" w:rsidRPr="006B2843" w:rsidRDefault="00C127A8" w:rsidP="00C127A8">
      <w:pPr>
        <w:jc w:val="left"/>
        <w:rPr>
          <w:rFonts w:ascii="Arial" w:hAnsi="Arial" w:cs="Arial"/>
          <w:highlight w:val="yellow"/>
        </w:rPr>
      </w:pPr>
    </w:p>
    <w:p w14:paraId="412EB57E" w14:textId="77777777" w:rsidR="00FC4D21" w:rsidRPr="001908E1" w:rsidRDefault="00FC4D21" w:rsidP="00FC4D21">
      <w:pPr>
        <w:pStyle w:val="ListParagraph"/>
        <w:numPr>
          <w:ilvl w:val="0"/>
          <w:numId w:val="69"/>
        </w:numPr>
        <w:ind w:left="720"/>
        <w:jc w:val="left"/>
        <w:rPr>
          <w:rFonts w:ascii="Arial" w:hAnsi="Arial" w:cs="Arial"/>
          <w:i/>
        </w:rPr>
      </w:pPr>
      <w:r w:rsidRPr="001908E1">
        <w:rPr>
          <w:rFonts w:ascii="Arial" w:hAnsi="Arial" w:cs="Arial"/>
          <w:i/>
        </w:rPr>
        <w:t xml:space="preserve">Complete </w:t>
      </w:r>
      <w:r>
        <w:rPr>
          <w:rFonts w:ascii="Arial" w:hAnsi="Arial" w:cs="Arial"/>
          <w:i/>
        </w:rPr>
        <w:t xml:space="preserve">final year of </w:t>
      </w:r>
      <w:r w:rsidRPr="001908E1">
        <w:rPr>
          <w:rFonts w:ascii="Arial" w:hAnsi="Arial" w:cs="Arial"/>
          <w:i/>
        </w:rPr>
        <w:t>uni</w:t>
      </w:r>
      <w:r>
        <w:rPr>
          <w:rFonts w:ascii="Arial" w:hAnsi="Arial" w:cs="Arial"/>
          <w:i/>
        </w:rPr>
        <w:t xml:space="preserve">fied IT platform roll out to </w:t>
      </w:r>
      <w:proofErr w:type="spellStart"/>
      <w:r>
        <w:rPr>
          <w:rFonts w:ascii="Arial" w:hAnsi="Arial" w:cs="Arial"/>
          <w:i/>
        </w:rPr>
        <w:t>OpC</w:t>
      </w:r>
      <w:r w:rsidRPr="001908E1">
        <w:rPr>
          <w:rFonts w:ascii="Arial" w:hAnsi="Arial" w:cs="Arial"/>
          <w:i/>
        </w:rPr>
        <w:t>os</w:t>
      </w:r>
      <w:proofErr w:type="spellEnd"/>
    </w:p>
    <w:p w14:paraId="37F58767" w14:textId="77777777" w:rsidR="00FC4D21" w:rsidRPr="002146A2" w:rsidRDefault="00FC4D21" w:rsidP="00FC4D21">
      <w:pPr>
        <w:pStyle w:val="ListParagraph"/>
        <w:numPr>
          <w:ilvl w:val="0"/>
          <w:numId w:val="69"/>
        </w:numPr>
        <w:ind w:left="720"/>
        <w:jc w:val="left"/>
        <w:rPr>
          <w:rFonts w:ascii="Arial" w:hAnsi="Arial" w:cs="Arial"/>
          <w:i/>
        </w:rPr>
      </w:pPr>
      <w:r>
        <w:rPr>
          <w:rFonts w:ascii="Arial" w:hAnsi="Arial" w:cs="Arial"/>
          <w:i/>
        </w:rPr>
        <w:t xml:space="preserve">Complete ecommerce </w:t>
      </w:r>
      <w:proofErr w:type="gramStart"/>
      <w:r>
        <w:rPr>
          <w:rFonts w:ascii="Arial" w:hAnsi="Arial" w:cs="Arial"/>
          <w:i/>
        </w:rPr>
        <w:t>roll</w:t>
      </w:r>
      <w:proofErr w:type="gramEnd"/>
      <w:r>
        <w:rPr>
          <w:rFonts w:ascii="Arial" w:hAnsi="Arial" w:cs="Arial"/>
          <w:i/>
        </w:rPr>
        <w:t xml:space="preserve"> out in France &amp; Poland</w:t>
      </w:r>
    </w:p>
    <w:p w14:paraId="61585215" w14:textId="77777777" w:rsidR="00FC4D21" w:rsidRDefault="00FC4D21" w:rsidP="00FC4D21">
      <w:pPr>
        <w:pStyle w:val="ListParagraph"/>
        <w:numPr>
          <w:ilvl w:val="0"/>
          <w:numId w:val="69"/>
        </w:numPr>
        <w:ind w:left="720"/>
        <w:jc w:val="left"/>
        <w:rPr>
          <w:rFonts w:ascii="Arial" w:hAnsi="Arial" w:cs="Arial"/>
          <w:i/>
        </w:rPr>
      </w:pPr>
      <w:r>
        <w:rPr>
          <w:rFonts w:ascii="Arial" w:hAnsi="Arial" w:cs="Arial"/>
          <w:i/>
        </w:rPr>
        <w:t>Market launch of first home improvement services in UK &amp; France</w:t>
      </w:r>
    </w:p>
    <w:p w14:paraId="343DA3B9" w14:textId="77777777" w:rsidR="00C127A8" w:rsidRPr="006B2843" w:rsidRDefault="00C127A8" w:rsidP="00C127A8">
      <w:pPr>
        <w:pStyle w:val="ListParagraph"/>
        <w:jc w:val="left"/>
        <w:rPr>
          <w:rFonts w:ascii="Arial" w:hAnsi="Arial" w:cs="Arial"/>
          <w:i/>
        </w:rPr>
      </w:pPr>
    </w:p>
    <w:p w14:paraId="3BBEBA9D" w14:textId="77777777" w:rsidR="00C127A8" w:rsidRPr="006B2843" w:rsidRDefault="00C127A8" w:rsidP="00C127A8">
      <w:pPr>
        <w:spacing w:after="200"/>
        <w:contextualSpacing/>
        <w:jc w:val="left"/>
        <w:rPr>
          <w:rFonts w:ascii="Arial" w:hAnsi="Arial" w:cs="Arial"/>
        </w:rPr>
      </w:pPr>
      <w:r w:rsidRPr="00C66741">
        <w:rPr>
          <w:rFonts w:ascii="Arial" w:hAnsi="Arial" w:cs="Arial"/>
        </w:rPr>
        <w:t>This involves investing in our core ecommerce platforms, enabled by the new unified IT infrastructure, and leveraging our Screwfix best-in-class capability</w:t>
      </w:r>
      <w:r>
        <w:rPr>
          <w:rFonts w:ascii="Arial" w:hAnsi="Arial" w:cs="Arial"/>
        </w:rPr>
        <w:t xml:space="preserve">. This includes </w:t>
      </w:r>
      <w:r w:rsidRPr="00C66741">
        <w:rPr>
          <w:rFonts w:ascii="Arial" w:hAnsi="Arial" w:cs="Arial"/>
        </w:rPr>
        <w:t xml:space="preserve">upweighted digital marketing, improved site search, new checkout and launching new mobile sites. </w:t>
      </w:r>
    </w:p>
    <w:p w14:paraId="1F09DAAD" w14:textId="77777777" w:rsidR="00C127A8" w:rsidRPr="006B2843" w:rsidRDefault="00C127A8" w:rsidP="00C127A8">
      <w:pPr>
        <w:jc w:val="left"/>
        <w:rPr>
          <w:rFonts w:ascii="Arial" w:hAnsi="Arial" w:cs="Arial"/>
          <w:highlight w:val="yellow"/>
        </w:rPr>
      </w:pPr>
    </w:p>
    <w:p w14:paraId="5816D6D1" w14:textId="1E6CFE1D" w:rsidR="00C127A8" w:rsidRPr="00AB52F3" w:rsidRDefault="00AC6DA0">
      <w:pPr>
        <w:jc w:val="left"/>
        <w:rPr>
          <w:rFonts w:ascii="Arial" w:hAnsi="Arial" w:cs="Arial"/>
        </w:rPr>
      </w:pPr>
      <w:bookmarkStart w:id="16" w:name="_Hlk524531316"/>
      <w:r w:rsidRPr="00AB52F3">
        <w:rPr>
          <w:rFonts w:ascii="Arial" w:hAnsi="Arial" w:cs="Arial"/>
        </w:rPr>
        <w:t>Implementation of the new unified IT</w:t>
      </w:r>
      <w:r w:rsidR="00AB694C">
        <w:rPr>
          <w:rFonts w:ascii="Arial" w:hAnsi="Arial" w:cs="Arial"/>
        </w:rPr>
        <w:t xml:space="preserve"> platform</w:t>
      </w:r>
      <w:r w:rsidRPr="00AB52F3">
        <w:rPr>
          <w:rFonts w:ascii="Arial" w:hAnsi="Arial" w:cs="Arial"/>
        </w:rPr>
        <w:t xml:space="preserve"> remains on track with all remaining operating companies now underway. </w:t>
      </w:r>
      <w:r w:rsidR="00BF0239">
        <w:rPr>
          <w:rFonts w:ascii="Arial" w:hAnsi="Arial" w:cs="Arial"/>
        </w:rPr>
        <w:t>c.</w:t>
      </w:r>
      <w:r w:rsidR="003A18A0">
        <w:rPr>
          <w:rFonts w:ascii="Arial" w:hAnsi="Arial" w:cs="Arial"/>
        </w:rPr>
        <w:t>50</w:t>
      </w:r>
      <w:r w:rsidR="00C127A8" w:rsidRPr="00632520">
        <w:rPr>
          <w:rFonts w:ascii="Arial" w:hAnsi="Arial" w:cs="Arial"/>
        </w:rPr>
        <w:t>%</w:t>
      </w:r>
      <w:r w:rsidR="00C127A8" w:rsidRPr="00AB52F3">
        <w:rPr>
          <w:rFonts w:ascii="Arial" w:hAnsi="Arial" w:cs="Arial"/>
        </w:rPr>
        <w:t xml:space="preserve"> of Group sales</w:t>
      </w:r>
      <w:r w:rsidRPr="00AB52F3">
        <w:rPr>
          <w:rFonts w:ascii="Arial" w:hAnsi="Arial" w:cs="Arial"/>
        </w:rPr>
        <w:t xml:space="preserve"> including B&amp;Q, Castorama </w:t>
      </w:r>
      <w:r w:rsidR="00022DA1">
        <w:rPr>
          <w:rFonts w:ascii="Arial" w:hAnsi="Arial" w:cs="Arial"/>
        </w:rPr>
        <w:t xml:space="preserve">France </w:t>
      </w:r>
      <w:r w:rsidRPr="00AB52F3">
        <w:rPr>
          <w:rFonts w:ascii="Arial" w:hAnsi="Arial" w:cs="Arial"/>
        </w:rPr>
        <w:t xml:space="preserve">are </w:t>
      </w:r>
      <w:r w:rsidR="00C127A8" w:rsidRPr="00AB52F3">
        <w:rPr>
          <w:rFonts w:ascii="Arial" w:hAnsi="Arial" w:cs="Arial"/>
        </w:rPr>
        <w:t xml:space="preserve">operating on </w:t>
      </w:r>
      <w:r w:rsidR="00C127A8" w:rsidRPr="00AB3CCA">
        <w:rPr>
          <w:rFonts w:ascii="Arial" w:hAnsi="Arial" w:cs="Arial"/>
        </w:rPr>
        <w:t>the platform</w:t>
      </w:r>
      <w:r w:rsidR="003A18A0" w:rsidRPr="00AB3CCA">
        <w:rPr>
          <w:rFonts w:ascii="Arial" w:hAnsi="Arial" w:cs="Arial"/>
        </w:rPr>
        <w:t xml:space="preserve"> with the store rollout in Poland completed and </w:t>
      </w:r>
      <w:r w:rsidR="00AB3CCA" w:rsidRPr="00765CBD">
        <w:rPr>
          <w:rFonts w:ascii="Arial" w:hAnsi="Arial" w:cs="Arial"/>
        </w:rPr>
        <w:t xml:space="preserve">about </w:t>
      </w:r>
      <w:r w:rsidR="00AB3CCA">
        <w:rPr>
          <w:rFonts w:ascii="Arial" w:hAnsi="Arial" w:cs="Arial"/>
        </w:rPr>
        <w:t xml:space="preserve">to </w:t>
      </w:r>
      <w:r w:rsidR="00AB3CCA" w:rsidRPr="00765CBD">
        <w:rPr>
          <w:rFonts w:ascii="Arial" w:hAnsi="Arial" w:cs="Arial"/>
        </w:rPr>
        <w:t>commence in</w:t>
      </w:r>
      <w:r w:rsidR="00AB3CCA">
        <w:rPr>
          <w:rFonts w:ascii="Arial" w:hAnsi="Arial" w:cs="Arial"/>
        </w:rPr>
        <w:t xml:space="preserve"> </w:t>
      </w:r>
      <w:r w:rsidR="00AB3CCA" w:rsidRPr="00F962DB">
        <w:rPr>
          <w:rFonts w:ascii="Arial" w:hAnsi="Arial" w:cs="Arial"/>
        </w:rPr>
        <w:t xml:space="preserve">Brico </w:t>
      </w:r>
      <w:proofErr w:type="spellStart"/>
      <w:r w:rsidR="00AB3CCA" w:rsidRPr="00F962DB">
        <w:rPr>
          <w:rFonts w:ascii="Arial" w:hAnsi="Arial" w:cs="Arial"/>
          <w:bCs/>
        </w:rPr>
        <w:t>Dépôt</w:t>
      </w:r>
      <w:proofErr w:type="spellEnd"/>
      <w:r w:rsidR="00AB3CCA" w:rsidRPr="00F962DB">
        <w:rPr>
          <w:rFonts w:ascii="Arial" w:hAnsi="Arial" w:cs="Arial"/>
        </w:rPr>
        <w:t xml:space="preserve"> France</w:t>
      </w:r>
      <w:r w:rsidR="00C127A8" w:rsidRPr="00AB3CCA">
        <w:rPr>
          <w:rFonts w:ascii="Arial" w:hAnsi="Arial" w:cs="Arial"/>
        </w:rPr>
        <w:t>.</w:t>
      </w:r>
      <w:r w:rsidR="00C127A8" w:rsidRPr="00AB52F3">
        <w:rPr>
          <w:rFonts w:ascii="Arial" w:hAnsi="Arial" w:cs="Arial"/>
        </w:rPr>
        <w:t xml:space="preserve"> </w:t>
      </w:r>
    </w:p>
    <w:bookmarkEnd w:id="16"/>
    <w:p w14:paraId="7F3C0410" w14:textId="77777777" w:rsidR="00C127A8" w:rsidRPr="006B2843" w:rsidRDefault="00C127A8" w:rsidP="00C127A8">
      <w:pPr>
        <w:jc w:val="left"/>
        <w:rPr>
          <w:rFonts w:ascii="Arial" w:hAnsi="Arial" w:cs="Arial"/>
          <w:highlight w:val="yellow"/>
        </w:rPr>
      </w:pPr>
    </w:p>
    <w:p w14:paraId="3C74C87B" w14:textId="38CEA050" w:rsidR="00C127A8" w:rsidRPr="006B2843" w:rsidRDefault="00C127A8" w:rsidP="00C127A8">
      <w:pPr>
        <w:jc w:val="left"/>
        <w:rPr>
          <w:rFonts w:ascii="Arial" w:hAnsi="Arial" w:cs="Arial"/>
        </w:rPr>
      </w:pPr>
      <w:r w:rsidRPr="00AB52F3">
        <w:rPr>
          <w:rFonts w:ascii="Arial" w:hAnsi="Arial" w:cs="Arial"/>
        </w:rPr>
        <w:t xml:space="preserve">Our ecommerce initiatives </w:t>
      </w:r>
      <w:r w:rsidR="00022DA1" w:rsidRPr="00AB52F3">
        <w:rPr>
          <w:rFonts w:ascii="Arial" w:hAnsi="Arial" w:cs="Arial"/>
        </w:rPr>
        <w:t xml:space="preserve">continue </w:t>
      </w:r>
      <w:r w:rsidR="0097239B">
        <w:rPr>
          <w:rFonts w:ascii="Arial" w:hAnsi="Arial" w:cs="Arial"/>
        </w:rPr>
        <w:t xml:space="preserve">to </w:t>
      </w:r>
      <w:r w:rsidR="00022DA1" w:rsidRPr="00AB52F3">
        <w:rPr>
          <w:rFonts w:ascii="Arial" w:hAnsi="Arial" w:cs="Arial"/>
        </w:rPr>
        <w:t>make good progress</w:t>
      </w:r>
      <w:r w:rsidRPr="00AB52F3">
        <w:rPr>
          <w:rFonts w:ascii="Arial" w:hAnsi="Arial" w:cs="Arial"/>
        </w:rPr>
        <w:t xml:space="preserve">. </w:t>
      </w:r>
      <w:r w:rsidR="004E1203">
        <w:rPr>
          <w:rFonts w:ascii="Arial" w:hAnsi="Arial" w:cs="Arial"/>
        </w:rPr>
        <w:t>D</w:t>
      </w:r>
      <w:r w:rsidR="004221B6" w:rsidRPr="00032A99">
        <w:rPr>
          <w:rFonts w:ascii="Arial" w:hAnsi="Arial" w:cs="Arial"/>
        </w:rPr>
        <w:t xml:space="preserve">igital sales now </w:t>
      </w:r>
      <w:r w:rsidR="004E1203">
        <w:rPr>
          <w:rFonts w:ascii="Arial" w:hAnsi="Arial" w:cs="Arial"/>
        </w:rPr>
        <w:t xml:space="preserve">account for </w:t>
      </w:r>
      <w:r w:rsidR="004221B6" w:rsidRPr="00032A99">
        <w:rPr>
          <w:rFonts w:ascii="Arial" w:hAnsi="Arial" w:cs="Arial"/>
        </w:rPr>
        <w:t>6%</w:t>
      </w:r>
      <w:r w:rsidR="004E1203">
        <w:rPr>
          <w:rFonts w:ascii="Arial" w:hAnsi="Arial" w:cs="Arial"/>
        </w:rPr>
        <w:t xml:space="preserve"> of the Group</w:t>
      </w:r>
      <w:r w:rsidR="004221B6" w:rsidRPr="00032A99">
        <w:rPr>
          <w:rFonts w:ascii="Arial" w:hAnsi="Arial" w:cs="Arial"/>
        </w:rPr>
        <w:t xml:space="preserve">, up from 5% last year. </w:t>
      </w:r>
      <w:bookmarkStart w:id="17" w:name="_Hlk524463972"/>
      <w:r w:rsidR="004221B6" w:rsidRPr="00AB52F3">
        <w:rPr>
          <w:rFonts w:ascii="Arial" w:hAnsi="Arial" w:cs="Arial"/>
        </w:rPr>
        <w:t xml:space="preserve">Revenues from </w:t>
      </w:r>
      <w:r w:rsidR="00032A99">
        <w:rPr>
          <w:rFonts w:ascii="Arial" w:hAnsi="Arial" w:cs="Arial"/>
        </w:rPr>
        <w:t xml:space="preserve">the </w:t>
      </w:r>
      <w:r w:rsidRPr="00AB52F3">
        <w:rPr>
          <w:rFonts w:ascii="Arial" w:hAnsi="Arial" w:cs="Arial"/>
        </w:rPr>
        <w:t xml:space="preserve">click &amp; collect </w:t>
      </w:r>
      <w:r w:rsidR="00032A99">
        <w:rPr>
          <w:rFonts w:ascii="Arial" w:hAnsi="Arial" w:cs="Arial"/>
        </w:rPr>
        <w:t xml:space="preserve">service </w:t>
      </w:r>
      <w:r w:rsidR="004221B6" w:rsidRPr="00AB52F3">
        <w:rPr>
          <w:rFonts w:ascii="Arial" w:hAnsi="Arial" w:cs="Arial"/>
        </w:rPr>
        <w:t>at B&amp;Q</w:t>
      </w:r>
      <w:r w:rsidR="009905F5">
        <w:rPr>
          <w:rFonts w:ascii="Arial" w:hAnsi="Arial" w:cs="Arial"/>
        </w:rPr>
        <w:t xml:space="preserve">, </w:t>
      </w:r>
      <w:r w:rsidR="004221B6" w:rsidRPr="00AB52F3">
        <w:rPr>
          <w:rFonts w:ascii="Arial" w:hAnsi="Arial" w:cs="Arial"/>
        </w:rPr>
        <w:t>grew by 5</w:t>
      </w:r>
      <w:r w:rsidR="006C1D2F">
        <w:rPr>
          <w:rFonts w:ascii="Arial" w:hAnsi="Arial" w:cs="Arial"/>
        </w:rPr>
        <w:t>6</w:t>
      </w:r>
      <w:r w:rsidR="004221B6" w:rsidRPr="00AB52F3">
        <w:rPr>
          <w:rFonts w:ascii="Arial" w:hAnsi="Arial" w:cs="Arial"/>
        </w:rPr>
        <w:t>%</w:t>
      </w:r>
      <w:r w:rsidR="00AA4240">
        <w:rPr>
          <w:rFonts w:ascii="Arial" w:hAnsi="Arial" w:cs="Arial"/>
        </w:rPr>
        <w:t xml:space="preserve"> versus H1 last year</w:t>
      </w:r>
      <w:r w:rsidR="006F4260">
        <w:rPr>
          <w:rFonts w:ascii="Arial" w:hAnsi="Arial" w:cs="Arial"/>
        </w:rPr>
        <w:t>, mainly driven by the roll out of the one hour click &amp; collect service</w:t>
      </w:r>
      <w:r w:rsidR="002B4CED" w:rsidRPr="002B4CED">
        <w:rPr>
          <w:rFonts w:ascii="Arial" w:hAnsi="Arial" w:cs="Arial"/>
        </w:rPr>
        <w:t xml:space="preserve"> </w:t>
      </w:r>
      <w:r w:rsidR="002B4CED">
        <w:rPr>
          <w:rFonts w:ascii="Arial" w:hAnsi="Arial" w:cs="Arial"/>
        </w:rPr>
        <w:t>which went live in Q3 2017/18</w:t>
      </w:r>
      <w:r w:rsidR="009905F5">
        <w:rPr>
          <w:rFonts w:ascii="Arial" w:hAnsi="Arial" w:cs="Arial"/>
        </w:rPr>
        <w:t xml:space="preserve">. During H1 we </w:t>
      </w:r>
      <w:r w:rsidR="004221B6" w:rsidRPr="00032A99">
        <w:rPr>
          <w:rFonts w:ascii="Arial" w:hAnsi="Arial" w:cs="Arial"/>
        </w:rPr>
        <w:t xml:space="preserve">have focused on improving </w:t>
      </w:r>
      <w:r w:rsidR="00032A99" w:rsidRPr="00032A99">
        <w:rPr>
          <w:rFonts w:ascii="Arial" w:hAnsi="Arial" w:cs="Arial"/>
        </w:rPr>
        <w:t>in</w:t>
      </w:r>
      <w:r w:rsidR="00BF0239">
        <w:rPr>
          <w:rFonts w:ascii="Arial" w:hAnsi="Arial" w:cs="Arial"/>
        </w:rPr>
        <w:t>-</w:t>
      </w:r>
      <w:r w:rsidR="00032A99" w:rsidRPr="00032A99">
        <w:rPr>
          <w:rFonts w:ascii="Arial" w:hAnsi="Arial" w:cs="Arial"/>
        </w:rPr>
        <w:t xml:space="preserve">store fulfilment ensuring faster picks and </w:t>
      </w:r>
      <w:r w:rsidR="009905F5">
        <w:rPr>
          <w:rFonts w:ascii="Arial" w:hAnsi="Arial" w:cs="Arial"/>
        </w:rPr>
        <w:t xml:space="preserve">delivered </w:t>
      </w:r>
      <w:r w:rsidR="00C11809">
        <w:rPr>
          <w:rFonts w:ascii="Arial" w:hAnsi="Arial" w:cs="Arial"/>
        </w:rPr>
        <w:t>efficiencies</w:t>
      </w:r>
      <w:r w:rsidR="00032A99" w:rsidRPr="00032A99">
        <w:rPr>
          <w:rFonts w:ascii="Arial" w:hAnsi="Arial" w:cs="Arial"/>
        </w:rPr>
        <w:t>.</w:t>
      </w:r>
      <w:r w:rsidR="00681F79">
        <w:rPr>
          <w:rFonts w:ascii="Arial" w:hAnsi="Arial" w:cs="Arial"/>
        </w:rPr>
        <w:t xml:space="preserve"> </w:t>
      </w:r>
      <w:bookmarkStart w:id="18" w:name="_Hlk524531376"/>
      <w:bookmarkEnd w:id="17"/>
      <w:r w:rsidRPr="00AB52F3">
        <w:rPr>
          <w:rFonts w:ascii="Arial" w:hAnsi="Arial" w:cs="Arial"/>
        </w:rPr>
        <w:t>In France, we launched the new castorama.fr website in January</w:t>
      </w:r>
      <w:r w:rsidR="00681F79" w:rsidRPr="00AB52F3">
        <w:rPr>
          <w:rFonts w:ascii="Arial" w:hAnsi="Arial" w:cs="Arial"/>
        </w:rPr>
        <w:t xml:space="preserve">. </w:t>
      </w:r>
      <w:bookmarkStart w:id="19" w:name="_Hlk524463258"/>
      <w:r w:rsidR="00681F79" w:rsidRPr="00AB52F3">
        <w:rPr>
          <w:rFonts w:ascii="Arial" w:hAnsi="Arial" w:cs="Arial"/>
        </w:rPr>
        <w:t xml:space="preserve">We are encouraged by the increase in conversion </w:t>
      </w:r>
      <w:r w:rsidR="00EA7E70" w:rsidRPr="00AB52F3">
        <w:rPr>
          <w:rFonts w:ascii="Arial" w:hAnsi="Arial" w:cs="Arial"/>
        </w:rPr>
        <w:t xml:space="preserve">seen to date and are working on </w:t>
      </w:r>
      <w:r w:rsidR="00681F79" w:rsidRPr="00AB52F3">
        <w:rPr>
          <w:rFonts w:ascii="Arial" w:hAnsi="Arial" w:cs="Arial"/>
        </w:rPr>
        <w:t xml:space="preserve">further content development </w:t>
      </w:r>
      <w:r w:rsidR="00EA7E70" w:rsidRPr="00AB52F3">
        <w:rPr>
          <w:rFonts w:ascii="Arial" w:hAnsi="Arial" w:cs="Arial"/>
        </w:rPr>
        <w:t>to improve the overall customer proposition.</w:t>
      </w:r>
      <w:r w:rsidR="00EA7E70">
        <w:rPr>
          <w:rFonts w:ascii="Arial" w:hAnsi="Arial" w:cs="Arial"/>
          <w:highlight w:val="yellow"/>
        </w:rPr>
        <w:t xml:space="preserve"> </w:t>
      </w:r>
      <w:bookmarkEnd w:id="19"/>
      <w:bookmarkEnd w:id="18"/>
    </w:p>
    <w:p w14:paraId="673BFB76" w14:textId="77777777" w:rsidR="00C127A8" w:rsidRPr="006B2843" w:rsidRDefault="00C127A8" w:rsidP="00C127A8">
      <w:pPr>
        <w:jc w:val="left"/>
        <w:rPr>
          <w:rFonts w:ascii="Arial" w:hAnsi="Arial" w:cs="Arial"/>
        </w:rPr>
      </w:pPr>
    </w:p>
    <w:p w14:paraId="032AC379" w14:textId="300BC2FF" w:rsidR="00C127A8" w:rsidRPr="006B2843" w:rsidRDefault="00C127A8" w:rsidP="00C127A8">
      <w:pPr>
        <w:jc w:val="left"/>
        <w:rPr>
          <w:rFonts w:ascii="Arial" w:hAnsi="Arial" w:cs="Arial"/>
        </w:rPr>
      </w:pPr>
      <w:r w:rsidRPr="00AB52F3">
        <w:rPr>
          <w:rFonts w:ascii="Arial" w:hAnsi="Arial" w:cs="Arial"/>
        </w:rPr>
        <w:t>We</w:t>
      </w:r>
      <w:r w:rsidR="00EA7E70" w:rsidRPr="00AB52F3">
        <w:rPr>
          <w:rFonts w:ascii="Arial" w:hAnsi="Arial" w:cs="Arial"/>
        </w:rPr>
        <w:t xml:space="preserve"> also</w:t>
      </w:r>
      <w:r w:rsidRPr="00AB52F3">
        <w:rPr>
          <w:rFonts w:ascii="Arial" w:hAnsi="Arial" w:cs="Arial"/>
        </w:rPr>
        <w:t xml:space="preserve"> </w:t>
      </w:r>
      <w:r w:rsidR="00022DA1" w:rsidRPr="00AB52F3">
        <w:rPr>
          <w:rFonts w:ascii="Arial" w:hAnsi="Arial" w:cs="Arial"/>
        </w:rPr>
        <w:t>continue to develop our</w:t>
      </w:r>
      <w:r w:rsidRPr="00AB52F3">
        <w:rPr>
          <w:rFonts w:ascii="Arial" w:hAnsi="Arial" w:cs="Arial"/>
        </w:rPr>
        <w:t xml:space="preserve"> digital home improvement services tools including </w:t>
      </w:r>
      <w:r w:rsidR="00032A99" w:rsidRPr="00AB52F3">
        <w:rPr>
          <w:rFonts w:ascii="Arial" w:hAnsi="Arial" w:cs="Arial"/>
        </w:rPr>
        <w:t xml:space="preserve">the </w:t>
      </w:r>
      <w:r w:rsidRPr="00AB52F3">
        <w:rPr>
          <w:rFonts w:ascii="Arial" w:hAnsi="Arial" w:cs="Arial"/>
        </w:rPr>
        <w:t xml:space="preserve">bathroom planner tool, which </w:t>
      </w:r>
      <w:r w:rsidR="000617D7" w:rsidRPr="00AB52F3">
        <w:rPr>
          <w:rFonts w:ascii="Arial" w:hAnsi="Arial" w:cs="Arial"/>
        </w:rPr>
        <w:t xml:space="preserve">launched in </w:t>
      </w:r>
      <w:r w:rsidR="009905F5">
        <w:rPr>
          <w:rFonts w:ascii="Arial" w:hAnsi="Arial" w:cs="Arial"/>
        </w:rPr>
        <w:t>November</w:t>
      </w:r>
      <w:r w:rsidR="009905F5" w:rsidRPr="00AB52F3">
        <w:rPr>
          <w:rFonts w:ascii="Arial" w:hAnsi="Arial" w:cs="Arial"/>
        </w:rPr>
        <w:t xml:space="preserve"> </w:t>
      </w:r>
      <w:r w:rsidR="000617D7" w:rsidRPr="00AB52F3">
        <w:rPr>
          <w:rFonts w:ascii="Arial" w:hAnsi="Arial" w:cs="Arial"/>
        </w:rPr>
        <w:t xml:space="preserve">2017 and </w:t>
      </w:r>
      <w:r w:rsidRPr="00AB52F3">
        <w:rPr>
          <w:rFonts w:ascii="Arial" w:hAnsi="Arial" w:cs="Arial"/>
        </w:rPr>
        <w:t>is integrated into the B&amp;Q website</w:t>
      </w:r>
      <w:r w:rsidR="00032A99" w:rsidRPr="00AB52F3">
        <w:rPr>
          <w:rFonts w:ascii="Arial" w:hAnsi="Arial" w:cs="Arial"/>
        </w:rPr>
        <w:t>.</w:t>
      </w:r>
      <w:r w:rsidR="00EA7E70" w:rsidRPr="00AB52F3">
        <w:rPr>
          <w:rFonts w:ascii="Arial" w:hAnsi="Arial" w:cs="Arial"/>
        </w:rPr>
        <w:t xml:space="preserve"> </w:t>
      </w:r>
      <w:r w:rsidR="009905F5">
        <w:rPr>
          <w:rFonts w:ascii="Arial" w:hAnsi="Arial" w:cs="Arial"/>
        </w:rPr>
        <w:t xml:space="preserve">Since launch </w:t>
      </w:r>
      <w:r w:rsidR="004D1C10">
        <w:rPr>
          <w:rFonts w:ascii="Arial" w:hAnsi="Arial" w:cs="Arial"/>
        </w:rPr>
        <w:t xml:space="preserve">it has attracted </w:t>
      </w:r>
      <w:r w:rsidR="009905F5">
        <w:rPr>
          <w:rFonts w:ascii="Arial" w:hAnsi="Arial" w:cs="Arial"/>
        </w:rPr>
        <w:t>14</w:t>
      </w:r>
      <w:r w:rsidR="00453321">
        <w:rPr>
          <w:rFonts w:ascii="Arial" w:hAnsi="Arial" w:cs="Arial"/>
        </w:rPr>
        <w:t>8</w:t>
      </w:r>
      <w:r w:rsidR="009905F5">
        <w:rPr>
          <w:rFonts w:ascii="Arial" w:hAnsi="Arial" w:cs="Arial"/>
        </w:rPr>
        <w:t>,000 unique users and w</w:t>
      </w:r>
      <w:r w:rsidR="000617D7" w:rsidRPr="00AB52F3">
        <w:rPr>
          <w:rFonts w:ascii="Arial" w:hAnsi="Arial" w:cs="Arial"/>
        </w:rPr>
        <w:t>e continue to add</w:t>
      </w:r>
      <w:r w:rsidR="000617D7">
        <w:rPr>
          <w:rFonts w:ascii="Arial" w:hAnsi="Arial" w:cs="Arial"/>
        </w:rPr>
        <w:t xml:space="preserve"> new</w:t>
      </w:r>
      <w:r w:rsidR="000617D7" w:rsidRPr="00AB52F3">
        <w:rPr>
          <w:rFonts w:ascii="Arial" w:hAnsi="Arial" w:cs="Arial"/>
        </w:rPr>
        <w:t xml:space="preserve"> features resulting in increased engagement and registrations. </w:t>
      </w:r>
      <w:bookmarkStart w:id="20" w:name="_Hlk524531600"/>
      <w:r w:rsidR="00EA7E70" w:rsidRPr="00AB52F3">
        <w:rPr>
          <w:rFonts w:ascii="Arial" w:hAnsi="Arial" w:cs="Arial"/>
        </w:rPr>
        <w:t xml:space="preserve">We </w:t>
      </w:r>
      <w:r w:rsidR="009905F5">
        <w:rPr>
          <w:rFonts w:ascii="Arial" w:hAnsi="Arial" w:cs="Arial"/>
        </w:rPr>
        <w:t>are on track</w:t>
      </w:r>
      <w:r w:rsidR="009905F5" w:rsidRPr="00AB52F3">
        <w:rPr>
          <w:rFonts w:ascii="Arial" w:hAnsi="Arial" w:cs="Arial"/>
        </w:rPr>
        <w:t xml:space="preserve"> </w:t>
      </w:r>
      <w:r w:rsidR="00EA7E70" w:rsidRPr="00AB52F3">
        <w:rPr>
          <w:rFonts w:ascii="Arial" w:hAnsi="Arial" w:cs="Arial"/>
        </w:rPr>
        <w:t>to roll out the bathroom planner tool service to France later this year.</w:t>
      </w:r>
      <w:r w:rsidRPr="00C66741">
        <w:rPr>
          <w:rFonts w:ascii="Arial" w:hAnsi="Arial" w:cs="Arial"/>
        </w:rPr>
        <w:t xml:space="preserve"> </w:t>
      </w:r>
      <w:bookmarkEnd w:id="20"/>
    </w:p>
    <w:p w14:paraId="1A99B820" w14:textId="77777777" w:rsidR="00C127A8" w:rsidRDefault="00C127A8" w:rsidP="00C127A8"/>
    <w:p w14:paraId="16395BD4" w14:textId="77777777" w:rsidR="00C127A8" w:rsidRPr="001908E1" w:rsidRDefault="00C127A8" w:rsidP="00C127A8">
      <w:pPr>
        <w:pStyle w:val="ListParagraph"/>
        <w:numPr>
          <w:ilvl w:val="0"/>
          <w:numId w:val="97"/>
        </w:numPr>
        <w:jc w:val="left"/>
        <w:rPr>
          <w:rFonts w:ascii="Arial" w:hAnsi="Arial" w:cs="Arial"/>
          <w:b/>
          <w:u w:val="single"/>
        </w:rPr>
      </w:pPr>
      <w:bookmarkStart w:id="21" w:name="_Hlk524531625"/>
      <w:bookmarkStart w:id="22" w:name="_Hlk524464285"/>
      <w:r w:rsidRPr="001908E1">
        <w:rPr>
          <w:rFonts w:ascii="Arial" w:hAnsi="Arial" w:cs="Arial"/>
          <w:b/>
          <w:u w:val="single"/>
        </w:rPr>
        <w:t>Operational efficiency</w:t>
      </w:r>
    </w:p>
    <w:bookmarkEnd w:id="21"/>
    <w:p w14:paraId="318480F9" w14:textId="77777777" w:rsidR="00C127A8" w:rsidRDefault="00C127A8" w:rsidP="00C127A8">
      <w:pPr>
        <w:jc w:val="left"/>
        <w:rPr>
          <w:rFonts w:ascii="Arial" w:hAnsi="Arial" w:cs="Arial"/>
          <w:b/>
        </w:rPr>
      </w:pPr>
    </w:p>
    <w:p w14:paraId="4354A9B2" w14:textId="0715D0B4" w:rsidR="00C127A8" w:rsidRPr="006B2843" w:rsidRDefault="00C127A8" w:rsidP="00C127A8">
      <w:pPr>
        <w:autoSpaceDE w:val="0"/>
        <w:autoSpaceDN w:val="0"/>
        <w:adjustRightInd w:val="0"/>
        <w:jc w:val="left"/>
        <w:rPr>
          <w:rFonts w:ascii="Arial" w:hAnsi="Arial" w:cs="Arial"/>
        </w:rPr>
      </w:pPr>
      <w:r w:rsidRPr="00864730">
        <w:rPr>
          <w:rFonts w:ascii="Arial" w:hAnsi="Arial" w:cs="Arial"/>
          <w:color w:val="000000"/>
        </w:rPr>
        <w:t xml:space="preserve">The main driver </w:t>
      </w:r>
      <w:r w:rsidR="009C139B" w:rsidRPr="00864730">
        <w:rPr>
          <w:rFonts w:ascii="Arial" w:hAnsi="Arial" w:cs="Arial"/>
          <w:color w:val="000000"/>
        </w:rPr>
        <w:t xml:space="preserve">is </w:t>
      </w:r>
      <w:r w:rsidRPr="00864730">
        <w:rPr>
          <w:rFonts w:ascii="Arial" w:hAnsi="Arial" w:cs="Arial"/>
          <w:color w:val="000000"/>
        </w:rPr>
        <w:t>unifying the c.£1bn annual spend on GNFR</w:t>
      </w:r>
      <w:r w:rsidR="005E757F">
        <w:rPr>
          <w:rFonts w:ascii="Arial" w:hAnsi="Arial" w:cs="Arial"/>
          <w:color w:val="000000"/>
        </w:rPr>
        <w:t>*</w:t>
      </w:r>
      <w:r w:rsidRPr="00864730">
        <w:rPr>
          <w:rFonts w:ascii="Arial" w:hAnsi="Arial" w:cs="Arial"/>
          <w:color w:val="000000"/>
        </w:rPr>
        <w:t xml:space="preserve">. </w:t>
      </w:r>
      <w:r w:rsidRPr="00864730">
        <w:rPr>
          <w:rFonts w:ascii="Arial" w:hAnsi="Arial" w:cs="Arial"/>
        </w:rPr>
        <w:t>This programme is a combination of</w:t>
      </w:r>
      <w:r w:rsidRPr="00C66741">
        <w:rPr>
          <w:rFonts w:ascii="Arial" w:hAnsi="Arial" w:cs="Arial"/>
        </w:rPr>
        <w:t xml:space="preserve"> cost savings and more effective </w:t>
      </w:r>
      <w:r w:rsidR="009C139B">
        <w:rPr>
          <w:rFonts w:ascii="Arial" w:hAnsi="Arial" w:cs="Arial"/>
        </w:rPr>
        <w:t xml:space="preserve">and consistent </w:t>
      </w:r>
      <w:r w:rsidRPr="00C66741">
        <w:rPr>
          <w:rFonts w:ascii="Arial" w:hAnsi="Arial" w:cs="Arial"/>
        </w:rPr>
        <w:t>way</w:t>
      </w:r>
      <w:r w:rsidR="009C139B">
        <w:rPr>
          <w:rFonts w:ascii="Arial" w:hAnsi="Arial" w:cs="Arial"/>
        </w:rPr>
        <w:t>s of working</w:t>
      </w:r>
      <w:r w:rsidRPr="00C66741">
        <w:rPr>
          <w:rFonts w:ascii="Arial" w:hAnsi="Arial" w:cs="Arial"/>
        </w:rPr>
        <w:t xml:space="preserve"> across the business</w:t>
      </w:r>
      <w:r w:rsidR="009C139B">
        <w:rPr>
          <w:rFonts w:ascii="Arial" w:hAnsi="Arial" w:cs="Arial"/>
        </w:rPr>
        <w:t>. This pillar</w:t>
      </w:r>
      <w:r w:rsidRPr="00C66741">
        <w:rPr>
          <w:rFonts w:ascii="Arial" w:hAnsi="Arial" w:cs="Arial"/>
        </w:rPr>
        <w:t xml:space="preserve"> is expected to generate £100m annual profit uplift by FY</w:t>
      </w:r>
      <w:r>
        <w:rPr>
          <w:rFonts w:ascii="Arial" w:hAnsi="Arial" w:cs="Arial"/>
        </w:rPr>
        <w:t xml:space="preserve"> </w:t>
      </w:r>
      <w:r w:rsidRPr="00C66741">
        <w:rPr>
          <w:rFonts w:ascii="Arial" w:hAnsi="Arial" w:cs="Arial"/>
        </w:rPr>
        <w:t>20/21.</w:t>
      </w:r>
    </w:p>
    <w:p w14:paraId="21FEF851" w14:textId="77777777" w:rsidR="00C127A8" w:rsidRPr="006B2843" w:rsidRDefault="00C127A8" w:rsidP="00C127A8">
      <w:pPr>
        <w:autoSpaceDE w:val="0"/>
        <w:autoSpaceDN w:val="0"/>
        <w:adjustRightInd w:val="0"/>
        <w:jc w:val="left"/>
        <w:rPr>
          <w:rFonts w:ascii="Arial" w:hAnsi="Arial" w:cs="Arial"/>
          <w:highlight w:val="yellow"/>
        </w:rPr>
      </w:pPr>
    </w:p>
    <w:p w14:paraId="4D890F6B" w14:textId="7847A08D" w:rsidR="00C127A8" w:rsidRPr="006B2843" w:rsidRDefault="00C127A8" w:rsidP="00C127A8">
      <w:pPr>
        <w:jc w:val="left"/>
        <w:rPr>
          <w:rFonts w:ascii="Arial" w:hAnsi="Arial" w:cs="Arial"/>
        </w:rPr>
      </w:pPr>
      <w:bookmarkStart w:id="23" w:name="_Hlk524946685"/>
      <w:r w:rsidRPr="00C66741">
        <w:rPr>
          <w:rFonts w:ascii="Arial" w:hAnsi="Arial" w:cs="Arial"/>
        </w:rPr>
        <w:t>FY 18</w:t>
      </w:r>
      <w:r w:rsidR="00FF5542">
        <w:rPr>
          <w:rFonts w:ascii="Arial" w:hAnsi="Arial" w:cs="Arial"/>
        </w:rPr>
        <w:t>/19</w:t>
      </w:r>
      <w:r w:rsidRPr="00C66741">
        <w:rPr>
          <w:rFonts w:ascii="Arial" w:hAnsi="Arial" w:cs="Arial"/>
        </w:rPr>
        <w:t xml:space="preserve"> strategic milestone</w:t>
      </w:r>
      <w:r w:rsidR="00FF5542">
        <w:rPr>
          <w:rFonts w:ascii="Arial" w:hAnsi="Arial" w:cs="Arial"/>
        </w:rPr>
        <w:t>s</w:t>
      </w:r>
      <w:r w:rsidRPr="00C66741">
        <w:rPr>
          <w:rFonts w:ascii="Arial" w:hAnsi="Arial" w:cs="Arial"/>
        </w:rPr>
        <w:t>:</w:t>
      </w:r>
    </w:p>
    <w:p w14:paraId="1E216D77" w14:textId="77777777" w:rsidR="00C127A8" w:rsidRPr="006B2843" w:rsidRDefault="00C127A8" w:rsidP="00C127A8">
      <w:pPr>
        <w:jc w:val="left"/>
        <w:rPr>
          <w:rFonts w:ascii="Arial" w:hAnsi="Arial" w:cs="Arial"/>
          <w:b/>
          <w:u w:val="single"/>
        </w:rPr>
      </w:pPr>
    </w:p>
    <w:p w14:paraId="0F4F7A78" w14:textId="77777777" w:rsidR="00FC4D21" w:rsidRPr="002146A2" w:rsidRDefault="00FC4D21" w:rsidP="00FC4D21">
      <w:pPr>
        <w:pStyle w:val="ListParagraph"/>
        <w:numPr>
          <w:ilvl w:val="0"/>
          <w:numId w:val="98"/>
        </w:numPr>
        <w:jc w:val="left"/>
        <w:rPr>
          <w:rFonts w:ascii="Arial" w:hAnsi="Arial" w:cs="Arial"/>
        </w:rPr>
      </w:pPr>
      <w:r>
        <w:rPr>
          <w:rFonts w:ascii="Arial" w:hAnsi="Arial" w:cs="Arial"/>
          <w:i/>
        </w:rPr>
        <w:t xml:space="preserve">Implement finance shared services in at least two </w:t>
      </w:r>
      <w:proofErr w:type="spellStart"/>
      <w:r>
        <w:rPr>
          <w:rFonts w:ascii="Arial" w:hAnsi="Arial" w:cs="Arial"/>
          <w:i/>
        </w:rPr>
        <w:t>OpCos</w:t>
      </w:r>
      <w:proofErr w:type="spellEnd"/>
    </w:p>
    <w:p w14:paraId="771A02A4" w14:textId="77777777" w:rsidR="00FC4D21" w:rsidRPr="002146A2" w:rsidRDefault="00FC4D21" w:rsidP="00FC4D21">
      <w:pPr>
        <w:pStyle w:val="ListParagraph"/>
        <w:numPr>
          <w:ilvl w:val="0"/>
          <w:numId w:val="98"/>
        </w:numPr>
        <w:jc w:val="left"/>
        <w:rPr>
          <w:rFonts w:ascii="Arial" w:hAnsi="Arial" w:cs="Arial"/>
        </w:rPr>
      </w:pPr>
      <w:r>
        <w:rPr>
          <w:rFonts w:ascii="Arial" w:hAnsi="Arial" w:cs="Arial"/>
          <w:i/>
        </w:rPr>
        <w:t>Deliver £30m benefits (from unified GNFR programme and other efficiencies)</w:t>
      </w:r>
    </w:p>
    <w:bookmarkEnd w:id="23"/>
    <w:p w14:paraId="2843561D" w14:textId="77777777" w:rsidR="00C127A8" w:rsidRPr="006B2843" w:rsidRDefault="00C127A8" w:rsidP="00C127A8">
      <w:pPr>
        <w:pStyle w:val="ListParagraph"/>
        <w:jc w:val="left"/>
        <w:rPr>
          <w:rFonts w:ascii="Arial" w:hAnsi="Arial" w:cs="Arial"/>
          <w:i/>
        </w:rPr>
      </w:pPr>
    </w:p>
    <w:p w14:paraId="3A4B686F" w14:textId="159014E2" w:rsidR="00C127A8" w:rsidRPr="006B2843" w:rsidRDefault="00C127A8" w:rsidP="00C127A8">
      <w:pPr>
        <w:spacing w:after="200"/>
        <w:contextualSpacing/>
        <w:jc w:val="left"/>
        <w:rPr>
          <w:rFonts w:ascii="Arial" w:hAnsi="Arial" w:cs="Arial"/>
        </w:rPr>
      </w:pPr>
      <w:r w:rsidRPr="006B1A1C">
        <w:rPr>
          <w:rFonts w:ascii="Arial" w:hAnsi="Arial" w:cs="Arial"/>
        </w:rPr>
        <w:t xml:space="preserve">In </w:t>
      </w:r>
      <w:r w:rsidR="00D2257A" w:rsidRPr="006B1A1C">
        <w:rPr>
          <w:rFonts w:ascii="Arial" w:hAnsi="Arial" w:cs="Arial"/>
        </w:rPr>
        <w:t>H1</w:t>
      </w:r>
      <w:r w:rsidRPr="006B1A1C">
        <w:rPr>
          <w:rFonts w:ascii="Arial" w:hAnsi="Arial" w:cs="Arial"/>
        </w:rPr>
        <w:t xml:space="preserve"> we delivered a further £</w:t>
      </w:r>
      <w:r w:rsidR="00D30EAA" w:rsidRPr="006B1A1C">
        <w:rPr>
          <w:rFonts w:ascii="Arial" w:hAnsi="Arial" w:cs="Arial"/>
        </w:rPr>
        <w:t>14</w:t>
      </w:r>
      <w:r w:rsidR="00D2257A" w:rsidRPr="006B1A1C">
        <w:rPr>
          <w:rFonts w:ascii="Arial" w:hAnsi="Arial" w:cs="Arial"/>
        </w:rPr>
        <w:t xml:space="preserve">m </w:t>
      </w:r>
      <w:r w:rsidRPr="006B1A1C">
        <w:rPr>
          <w:rFonts w:ascii="Arial" w:hAnsi="Arial" w:cs="Arial"/>
        </w:rPr>
        <w:t xml:space="preserve">of </w:t>
      </w:r>
      <w:r w:rsidR="00D2257A" w:rsidRPr="006B1A1C">
        <w:rPr>
          <w:rFonts w:ascii="Arial" w:hAnsi="Arial" w:cs="Arial"/>
        </w:rPr>
        <w:t xml:space="preserve">operational efficiency </w:t>
      </w:r>
      <w:r w:rsidRPr="006B1A1C">
        <w:rPr>
          <w:rFonts w:ascii="Arial" w:hAnsi="Arial" w:cs="Arial"/>
        </w:rPr>
        <w:t xml:space="preserve">benefits </w:t>
      </w:r>
      <w:r w:rsidR="004D1C10" w:rsidRPr="006B1A1C">
        <w:rPr>
          <w:rFonts w:ascii="Arial" w:hAnsi="Arial" w:cs="Arial"/>
        </w:rPr>
        <w:t>(</w:t>
      </w:r>
      <w:r w:rsidRPr="006B1A1C">
        <w:rPr>
          <w:rFonts w:ascii="Arial" w:hAnsi="Arial" w:cs="Arial"/>
        </w:rPr>
        <w:t>taking the cumulative benefit to £</w:t>
      </w:r>
      <w:r w:rsidR="00D30EAA" w:rsidRPr="006B1A1C">
        <w:rPr>
          <w:rFonts w:ascii="Arial" w:hAnsi="Arial" w:cs="Arial"/>
        </w:rPr>
        <w:t>72</w:t>
      </w:r>
      <w:r w:rsidR="00D2257A" w:rsidRPr="006B1A1C">
        <w:rPr>
          <w:rFonts w:ascii="Arial" w:hAnsi="Arial" w:cs="Arial"/>
        </w:rPr>
        <w:t>m</w:t>
      </w:r>
      <w:r w:rsidR="004D1C10" w:rsidRPr="006B1A1C">
        <w:rPr>
          <w:rFonts w:ascii="Arial" w:hAnsi="Arial" w:cs="Arial"/>
        </w:rPr>
        <w:t>),</w:t>
      </w:r>
      <w:r w:rsidR="00D2257A" w:rsidRPr="006B1A1C">
        <w:rPr>
          <w:rFonts w:ascii="Arial" w:hAnsi="Arial" w:cs="Arial"/>
        </w:rPr>
        <w:t xml:space="preserve"> £</w:t>
      </w:r>
      <w:r w:rsidR="00C143E2" w:rsidRPr="006B1A1C">
        <w:rPr>
          <w:rFonts w:ascii="Arial" w:hAnsi="Arial" w:cs="Arial"/>
        </w:rPr>
        <w:t>8</w:t>
      </w:r>
      <w:r w:rsidR="00D2257A" w:rsidRPr="006B1A1C">
        <w:rPr>
          <w:rFonts w:ascii="Arial" w:hAnsi="Arial" w:cs="Arial"/>
        </w:rPr>
        <w:t xml:space="preserve">m of </w:t>
      </w:r>
      <w:r w:rsidR="00C143E2" w:rsidRPr="006B1A1C">
        <w:rPr>
          <w:rFonts w:ascii="Arial" w:hAnsi="Arial" w:cs="Arial"/>
        </w:rPr>
        <w:t>which</w:t>
      </w:r>
      <w:r w:rsidR="00D2257A" w:rsidRPr="006B1A1C">
        <w:rPr>
          <w:rFonts w:ascii="Arial" w:hAnsi="Arial" w:cs="Arial"/>
        </w:rPr>
        <w:t xml:space="preserve"> </w:t>
      </w:r>
      <w:r w:rsidR="00C143E2" w:rsidRPr="006B1A1C">
        <w:rPr>
          <w:rFonts w:ascii="Arial" w:hAnsi="Arial" w:cs="Arial"/>
        </w:rPr>
        <w:t>resulted</w:t>
      </w:r>
      <w:r w:rsidR="00D2257A" w:rsidRPr="006B1A1C">
        <w:rPr>
          <w:rFonts w:ascii="Arial" w:hAnsi="Arial" w:cs="Arial"/>
        </w:rPr>
        <w:t xml:space="preserve"> from our GNFR programme including</w:t>
      </w:r>
      <w:r w:rsidRPr="006B1A1C">
        <w:rPr>
          <w:rFonts w:ascii="Arial" w:hAnsi="Arial" w:cs="Arial"/>
        </w:rPr>
        <w:t xml:space="preserve"> categories such as </w:t>
      </w:r>
      <w:r w:rsidR="001100B3" w:rsidRPr="001100B3">
        <w:rPr>
          <w:rFonts w:ascii="Arial" w:hAnsi="Arial" w:cs="Arial"/>
        </w:rPr>
        <w:t xml:space="preserve">building services, professional services </w:t>
      </w:r>
      <w:r w:rsidR="005B0F7A" w:rsidRPr="006B1A1C">
        <w:rPr>
          <w:rFonts w:ascii="Arial" w:hAnsi="Arial" w:cs="Arial"/>
        </w:rPr>
        <w:t xml:space="preserve">and </w:t>
      </w:r>
      <w:r w:rsidR="00D2257A" w:rsidRPr="006B1A1C">
        <w:rPr>
          <w:rFonts w:ascii="Arial" w:hAnsi="Arial" w:cs="Arial"/>
        </w:rPr>
        <w:t xml:space="preserve">billboard savings. </w:t>
      </w:r>
      <w:bookmarkStart w:id="24" w:name="_Hlk524531643"/>
      <w:r w:rsidR="00D2257A" w:rsidRPr="006B1A1C">
        <w:rPr>
          <w:rFonts w:ascii="Arial" w:hAnsi="Arial" w:cs="Arial"/>
        </w:rPr>
        <w:t>The remaining £</w:t>
      </w:r>
      <w:r w:rsidR="00D30EAA" w:rsidRPr="006B1A1C">
        <w:rPr>
          <w:rFonts w:ascii="Arial" w:hAnsi="Arial" w:cs="Arial"/>
        </w:rPr>
        <w:t>6</w:t>
      </w:r>
      <w:r w:rsidR="00D2257A" w:rsidRPr="006B1A1C">
        <w:rPr>
          <w:rFonts w:ascii="Arial" w:hAnsi="Arial" w:cs="Arial"/>
        </w:rPr>
        <w:t xml:space="preserve">m of benefits in H1 </w:t>
      </w:r>
      <w:r w:rsidR="00CE3DA0" w:rsidRPr="006B1A1C">
        <w:rPr>
          <w:rFonts w:ascii="Arial" w:hAnsi="Arial" w:cs="Arial"/>
        </w:rPr>
        <w:t xml:space="preserve">relates to </w:t>
      </w:r>
      <w:r w:rsidR="00A43A57" w:rsidRPr="006B1A1C">
        <w:rPr>
          <w:rFonts w:ascii="Arial" w:hAnsi="Arial" w:cs="Arial"/>
        </w:rPr>
        <w:t>restructuring</w:t>
      </w:r>
      <w:r w:rsidR="00CE3DA0" w:rsidRPr="006B1A1C">
        <w:rPr>
          <w:rFonts w:ascii="Arial" w:hAnsi="Arial" w:cs="Arial"/>
        </w:rPr>
        <w:t xml:space="preserve"> activity at B&amp;Q</w:t>
      </w:r>
      <w:r w:rsidR="00A43A57" w:rsidRPr="006B1A1C">
        <w:rPr>
          <w:rFonts w:ascii="Arial" w:hAnsi="Arial" w:cs="Arial"/>
        </w:rPr>
        <w:t>.</w:t>
      </w:r>
      <w:bookmarkEnd w:id="24"/>
    </w:p>
    <w:p w14:paraId="79F23241" w14:textId="77777777" w:rsidR="00C127A8" w:rsidRDefault="00C127A8" w:rsidP="00C127A8">
      <w:pPr>
        <w:jc w:val="left"/>
        <w:rPr>
          <w:rFonts w:ascii="Arial" w:hAnsi="Arial" w:cs="Arial"/>
          <w:b/>
        </w:rPr>
      </w:pPr>
    </w:p>
    <w:p w14:paraId="1D821DA6" w14:textId="3861299B" w:rsidR="00C143E2" w:rsidRPr="00AB52F3" w:rsidRDefault="00C143E2" w:rsidP="00557FFB">
      <w:pPr>
        <w:jc w:val="left"/>
        <w:rPr>
          <w:rFonts w:ascii="Arial" w:hAnsi="Arial" w:cs="Arial"/>
        </w:rPr>
      </w:pPr>
      <w:r w:rsidRPr="00AB52F3">
        <w:rPr>
          <w:rFonts w:ascii="Arial" w:hAnsi="Arial" w:cs="Arial"/>
        </w:rPr>
        <w:t xml:space="preserve">We remain </w:t>
      </w:r>
      <w:r>
        <w:rPr>
          <w:rFonts w:ascii="Arial" w:hAnsi="Arial" w:cs="Arial"/>
        </w:rPr>
        <w:t>on</w:t>
      </w:r>
      <w:r w:rsidRPr="00AB52F3">
        <w:rPr>
          <w:rFonts w:ascii="Arial" w:hAnsi="Arial" w:cs="Arial"/>
        </w:rPr>
        <w:t xml:space="preserve"> track</w:t>
      </w:r>
      <w:r>
        <w:rPr>
          <w:rFonts w:ascii="Arial" w:hAnsi="Arial" w:cs="Arial"/>
        </w:rPr>
        <w:t xml:space="preserve"> to deliver total operational efficiency benefits of £30m in FY</w:t>
      </w:r>
      <w:r w:rsidR="0070706A">
        <w:rPr>
          <w:rFonts w:ascii="Arial" w:hAnsi="Arial" w:cs="Arial"/>
        </w:rPr>
        <w:t xml:space="preserve"> </w:t>
      </w:r>
      <w:r>
        <w:rPr>
          <w:rFonts w:ascii="Arial" w:hAnsi="Arial" w:cs="Arial"/>
        </w:rPr>
        <w:t>18/19.</w:t>
      </w:r>
    </w:p>
    <w:bookmarkEnd w:id="22"/>
    <w:p w14:paraId="56C56FB3" w14:textId="77777777" w:rsidR="00C143E2" w:rsidRDefault="00C143E2" w:rsidP="00557FFB">
      <w:pPr>
        <w:jc w:val="left"/>
        <w:rPr>
          <w:rFonts w:ascii="Arial" w:hAnsi="Arial" w:cs="Arial"/>
          <w:b/>
        </w:rPr>
      </w:pPr>
    </w:p>
    <w:p w14:paraId="7AFBB994" w14:textId="4185DFC5" w:rsidR="00612CB1" w:rsidRDefault="000A616F" w:rsidP="00134B83">
      <w:pPr>
        <w:spacing w:after="200"/>
        <w:contextualSpacing/>
        <w:jc w:val="left"/>
        <w:rPr>
          <w:rFonts w:ascii="Arial" w:hAnsi="Arial" w:cs="Arial"/>
          <w:b/>
        </w:rPr>
      </w:pPr>
      <w:bookmarkStart w:id="25" w:name="_Hlk524531687"/>
      <w:r>
        <w:rPr>
          <w:rFonts w:ascii="Arial" w:hAnsi="Arial" w:cs="Arial"/>
          <w:b/>
        </w:rPr>
        <w:t>Significant progress but challenges to address</w:t>
      </w:r>
    </w:p>
    <w:bookmarkEnd w:id="25"/>
    <w:p w14:paraId="6908CAA2" w14:textId="77777777" w:rsidR="00134B83" w:rsidRPr="00AB52F3" w:rsidRDefault="00134B83" w:rsidP="00134B83">
      <w:pPr>
        <w:spacing w:after="200"/>
        <w:contextualSpacing/>
        <w:jc w:val="left"/>
        <w:rPr>
          <w:rFonts w:ascii="Arial" w:hAnsi="Arial" w:cs="Arial"/>
          <w:highlight w:val="red"/>
        </w:rPr>
      </w:pPr>
    </w:p>
    <w:p w14:paraId="504D72B0" w14:textId="62413FAB" w:rsidR="00425170" w:rsidRDefault="00612CB1" w:rsidP="00FF5542">
      <w:pPr>
        <w:jc w:val="left"/>
        <w:rPr>
          <w:rFonts w:ascii="Arial" w:hAnsi="Arial" w:cs="Arial"/>
          <w:color w:val="FF0000"/>
        </w:rPr>
      </w:pPr>
      <w:bookmarkStart w:id="26" w:name="_Hlk524946998"/>
      <w:r>
        <w:rPr>
          <w:rFonts w:ascii="Arial" w:hAnsi="Arial" w:cs="Arial"/>
        </w:rPr>
        <w:t xml:space="preserve">At the midway </w:t>
      </w:r>
      <w:r w:rsidRPr="00AB52F3">
        <w:rPr>
          <w:rFonts w:ascii="Arial" w:hAnsi="Arial" w:cs="Arial"/>
        </w:rPr>
        <w:t xml:space="preserve">point of </w:t>
      </w:r>
      <w:r w:rsidR="001E0F9A">
        <w:rPr>
          <w:rFonts w:ascii="Arial" w:hAnsi="Arial" w:cs="Arial"/>
        </w:rPr>
        <w:t xml:space="preserve">our </w:t>
      </w:r>
      <w:proofErr w:type="gramStart"/>
      <w:r w:rsidRPr="00AB52F3">
        <w:rPr>
          <w:rFonts w:ascii="Arial" w:hAnsi="Arial" w:cs="Arial"/>
        </w:rPr>
        <w:t>five year</w:t>
      </w:r>
      <w:proofErr w:type="gramEnd"/>
      <w:r w:rsidRPr="00AB52F3">
        <w:rPr>
          <w:rFonts w:ascii="Arial" w:hAnsi="Arial" w:cs="Arial"/>
        </w:rPr>
        <w:t xml:space="preserve"> transformation</w:t>
      </w:r>
      <w:r w:rsidR="004D1C10">
        <w:rPr>
          <w:rFonts w:ascii="Arial" w:hAnsi="Arial" w:cs="Arial"/>
        </w:rPr>
        <w:t>,</w:t>
      </w:r>
      <w:r>
        <w:rPr>
          <w:rFonts w:ascii="Arial" w:hAnsi="Arial" w:cs="Arial"/>
        </w:rPr>
        <w:t xml:space="preserve"> </w:t>
      </w:r>
      <w:r w:rsidR="001E0F9A">
        <w:rPr>
          <w:rFonts w:ascii="Arial" w:hAnsi="Arial" w:cs="Arial"/>
        </w:rPr>
        <w:t xml:space="preserve">much has been achieved. </w:t>
      </w:r>
      <w:r>
        <w:rPr>
          <w:rFonts w:ascii="Arial" w:hAnsi="Arial" w:cs="Arial"/>
        </w:rPr>
        <w:t>We have unifi</w:t>
      </w:r>
      <w:r w:rsidRPr="001E0F9A">
        <w:rPr>
          <w:rFonts w:ascii="Arial" w:hAnsi="Arial" w:cs="Arial"/>
        </w:rPr>
        <w:t>ed 4</w:t>
      </w:r>
      <w:r w:rsidR="00F47679">
        <w:rPr>
          <w:rFonts w:ascii="Arial" w:hAnsi="Arial" w:cs="Arial"/>
        </w:rPr>
        <w:t>2</w:t>
      </w:r>
      <w:r w:rsidR="00190AA9" w:rsidRPr="00AB52F3">
        <w:rPr>
          <w:rFonts w:ascii="Arial" w:hAnsi="Arial" w:cs="Arial"/>
        </w:rPr>
        <w:t>%</w:t>
      </w:r>
      <w:r w:rsidRPr="00AB52F3">
        <w:rPr>
          <w:rFonts w:ascii="Arial" w:hAnsi="Arial" w:cs="Arial"/>
        </w:rPr>
        <w:t xml:space="preserve"> of</w:t>
      </w:r>
      <w:r w:rsidR="00190AA9" w:rsidRPr="00AB52F3">
        <w:rPr>
          <w:rFonts w:ascii="Arial" w:hAnsi="Arial" w:cs="Arial"/>
        </w:rPr>
        <w:t xml:space="preserve"> </w:t>
      </w:r>
      <w:r w:rsidR="001E0F9A">
        <w:rPr>
          <w:rFonts w:ascii="Arial" w:hAnsi="Arial" w:cs="Arial"/>
        </w:rPr>
        <w:t>our products (</w:t>
      </w:r>
      <w:r w:rsidR="00190AA9" w:rsidRPr="00AB52F3">
        <w:rPr>
          <w:rFonts w:ascii="Arial" w:hAnsi="Arial" w:cs="Arial"/>
        </w:rPr>
        <w:t>COGS</w:t>
      </w:r>
      <w:r w:rsidR="001E0F9A">
        <w:rPr>
          <w:rFonts w:ascii="Arial" w:hAnsi="Arial" w:cs="Arial"/>
        </w:rPr>
        <w:t>)</w:t>
      </w:r>
      <w:r w:rsidRPr="00AB52F3">
        <w:rPr>
          <w:rFonts w:ascii="Arial" w:hAnsi="Arial" w:cs="Arial"/>
        </w:rPr>
        <w:t xml:space="preserve"> </w:t>
      </w:r>
      <w:r w:rsidR="001E0F9A">
        <w:rPr>
          <w:rFonts w:ascii="Arial" w:hAnsi="Arial" w:cs="Arial"/>
        </w:rPr>
        <w:t>with</w:t>
      </w:r>
      <w:r w:rsidRPr="00AB52F3">
        <w:rPr>
          <w:rFonts w:ascii="Arial" w:hAnsi="Arial" w:cs="Arial"/>
        </w:rPr>
        <w:t xml:space="preserve"> </w:t>
      </w:r>
      <w:r w:rsidR="001E0F9A" w:rsidRPr="00B135CE">
        <w:rPr>
          <w:rFonts w:ascii="Arial" w:hAnsi="Arial" w:cs="Arial"/>
        </w:rPr>
        <w:t xml:space="preserve">unified and unique </w:t>
      </w:r>
      <w:r w:rsidRPr="00AB52F3">
        <w:rPr>
          <w:rFonts w:ascii="Arial" w:hAnsi="Arial" w:cs="Arial"/>
        </w:rPr>
        <w:t xml:space="preserve">sales and margin growing. </w:t>
      </w:r>
      <w:r w:rsidR="009905F5">
        <w:rPr>
          <w:rFonts w:ascii="Arial" w:hAnsi="Arial" w:cs="Arial"/>
        </w:rPr>
        <w:t xml:space="preserve">The </w:t>
      </w:r>
      <w:r w:rsidRPr="00AB52F3">
        <w:rPr>
          <w:rFonts w:ascii="Arial" w:hAnsi="Arial" w:cs="Arial"/>
        </w:rPr>
        <w:t>unified</w:t>
      </w:r>
      <w:r w:rsidR="001E0F9A" w:rsidRPr="00AB52F3">
        <w:rPr>
          <w:rFonts w:ascii="Arial" w:hAnsi="Arial" w:cs="Arial"/>
        </w:rPr>
        <w:t xml:space="preserve"> </w:t>
      </w:r>
      <w:r w:rsidRPr="00AB52F3">
        <w:rPr>
          <w:rFonts w:ascii="Arial" w:hAnsi="Arial" w:cs="Arial"/>
        </w:rPr>
        <w:t xml:space="preserve">IT platform </w:t>
      </w:r>
      <w:r w:rsidR="001E0F9A" w:rsidRPr="00AB52F3">
        <w:rPr>
          <w:rFonts w:ascii="Arial" w:hAnsi="Arial" w:cs="Arial"/>
        </w:rPr>
        <w:t xml:space="preserve">rollout is in </w:t>
      </w:r>
      <w:r w:rsidR="009905F5">
        <w:rPr>
          <w:rFonts w:ascii="Arial" w:hAnsi="Arial" w:cs="Arial"/>
        </w:rPr>
        <w:t>its</w:t>
      </w:r>
      <w:r w:rsidR="001E0F9A" w:rsidRPr="00AB52F3">
        <w:rPr>
          <w:rFonts w:ascii="Arial" w:hAnsi="Arial" w:cs="Arial"/>
        </w:rPr>
        <w:t xml:space="preserve"> final year</w:t>
      </w:r>
      <w:r w:rsidR="001E0F9A" w:rsidRPr="00632520">
        <w:rPr>
          <w:rFonts w:ascii="Arial" w:hAnsi="Arial" w:cs="Arial"/>
        </w:rPr>
        <w:t xml:space="preserve"> and </w:t>
      </w:r>
      <w:r w:rsidR="001E0F9A" w:rsidRPr="00EC4637">
        <w:rPr>
          <w:rFonts w:ascii="Arial" w:hAnsi="Arial" w:cs="Arial"/>
        </w:rPr>
        <w:t xml:space="preserve">implementation </w:t>
      </w:r>
      <w:r w:rsidR="004D1C10" w:rsidRPr="00EC4637">
        <w:rPr>
          <w:rFonts w:ascii="Arial" w:hAnsi="Arial" w:cs="Arial"/>
        </w:rPr>
        <w:t xml:space="preserve">is now underway </w:t>
      </w:r>
      <w:r w:rsidR="001E0F9A" w:rsidRPr="00EC4637">
        <w:rPr>
          <w:rFonts w:ascii="Arial" w:hAnsi="Arial" w:cs="Arial"/>
        </w:rPr>
        <w:t>at all remaining operating companies. Our digital sales continue to grow, now reaching 6% of the Group, and our o</w:t>
      </w:r>
      <w:r w:rsidR="00190AA9" w:rsidRPr="00EC4637">
        <w:rPr>
          <w:rFonts w:ascii="Arial" w:hAnsi="Arial" w:cs="Arial"/>
        </w:rPr>
        <w:t>p</w:t>
      </w:r>
      <w:r w:rsidR="001E0F9A" w:rsidRPr="00EC4637">
        <w:rPr>
          <w:rFonts w:ascii="Arial" w:hAnsi="Arial" w:cs="Arial"/>
        </w:rPr>
        <w:t>erational</w:t>
      </w:r>
      <w:r w:rsidR="00190AA9" w:rsidRPr="00EC4637">
        <w:rPr>
          <w:rFonts w:ascii="Arial" w:hAnsi="Arial" w:cs="Arial"/>
        </w:rPr>
        <w:t xml:space="preserve"> </w:t>
      </w:r>
      <w:r w:rsidR="001E0F9A" w:rsidRPr="00EC4637">
        <w:rPr>
          <w:rFonts w:ascii="Arial" w:hAnsi="Arial" w:cs="Arial"/>
        </w:rPr>
        <w:t>e</w:t>
      </w:r>
      <w:r w:rsidR="00190AA9" w:rsidRPr="00EC4637">
        <w:rPr>
          <w:rFonts w:ascii="Arial" w:hAnsi="Arial" w:cs="Arial"/>
        </w:rPr>
        <w:t xml:space="preserve">fficiency </w:t>
      </w:r>
      <w:r w:rsidR="001E0F9A" w:rsidRPr="00EC4637">
        <w:rPr>
          <w:rFonts w:ascii="Arial" w:hAnsi="Arial" w:cs="Arial"/>
        </w:rPr>
        <w:t>initiatives have delivered £</w:t>
      </w:r>
      <w:r w:rsidR="00D30EAA">
        <w:rPr>
          <w:rFonts w:ascii="Arial" w:hAnsi="Arial" w:cs="Arial"/>
        </w:rPr>
        <w:t>72</w:t>
      </w:r>
      <w:r w:rsidR="001E0F9A" w:rsidRPr="00632520">
        <w:rPr>
          <w:rFonts w:ascii="Arial" w:hAnsi="Arial" w:cs="Arial"/>
        </w:rPr>
        <w:t>m</w:t>
      </w:r>
      <w:r w:rsidR="001E0F9A" w:rsidRPr="00AB52F3">
        <w:rPr>
          <w:rFonts w:ascii="Arial" w:hAnsi="Arial" w:cs="Arial"/>
        </w:rPr>
        <w:t xml:space="preserve"> of savings to date.</w:t>
      </w:r>
      <w:r w:rsidR="001E0F9A">
        <w:rPr>
          <w:rFonts w:ascii="Arial" w:hAnsi="Arial" w:cs="Arial"/>
        </w:rPr>
        <w:t xml:space="preserve"> For the third year in a row we are on track to deliver our strategic milestones.</w:t>
      </w:r>
    </w:p>
    <w:bookmarkEnd w:id="26"/>
    <w:p w14:paraId="5FCBB1CE" w14:textId="77777777" w:rsidR="001E0F9A" w:rsidRDefault="001E0F9A" w:rsidP="00FF5542">
      <w:pPr>
        <w:jc w:val="left"/>
        <w:rPr>
          <w:rFonts w:ascii="Arial" w:hAnsi="Arial" w:cs="Arial"/>
          <w:color w:val="FF0000"/>
        </w:rPr>
      </w:pPr>
    </w:p>
    <w:p w14:paraId="18FE6CFC" w14:textId="3C05CF29" w:rsidR="00FF5542" w:rsidRPr="00AB52F3" w:rsidRDefault="00FF5542" w:rsidP="00190AA9">
      <w:pPr>
        <w:jc w:val="left"/>
        <w:rPr>
          <w:rFonts w:ascii="Arial" w:hAnsi="Arial" w:cs="Arial"/>
        </w:rPr>
      </w:pPr>
      <w:r w:rsidRPr="00AB52F3">
        <w:rPr>
          <w:rFonts w:ascii="Arial" w:hAnsi="Arial" w:cs="Arial"/>
        </w:rPr>
        <w:t xml:space="preserve">However, </w:t>
      </w:r>
      <w:r w:rsidR="00190AA9" w:rsidRPr="00AB52F3">
        <w:rPr>
          <w:rFonts w:ascii="Arial" w:hAnsi="Arial" w:cs="Arial"/>
        </w:rPr>
        <w:t>transformation on this scale is complex</w:t>
      </w:r>
      <w:r w:rsidR="006B3949" w:rsidRPr="00AB52F3">
        <w:rPr>
          <w:rFonts w:ascii="Arial" w:hAnsi="Arial" w:cs="Arial"/>
        </w:rPr>
        <w:t>. We have</w:t>
      </w:r>
      <w:r w:rsidR="0027498B">
        <w:rPr>
          <w:rFonts w:ascii="Arial" w:hAnsi="Arial" w:cs="Arial"/>
        </w:rPr>
        <w:t xml:space="preserve"> implemented</w:t>
      </w:r>
      <w:r w:rsidR="006B3949" w:rsidRPr="00AB52F3">
        <w:rPr>
          <w:rFonts w:ascii="Arial" w:hAnsi="Arial" w:cs="Arial"/>
        </w:rPr>
        <w:t xml:space="preserve"> </w:t>
      </w:r>
      <w:r w:rsidR="0027498B">
        <w:rPr>
          <w:rFonts w:ascii="Arial" w:hAnsi="Arial" w:cs="Arial"/>
        </w:rPr>
        <w:t>new</w:t>
      </w:r>
      <w:r w:rsidR="004D1C10">
        <w:rPr>
          <w:rFonts w:ascii="Arial" w:hAnsi="Arial" w:cs="Arial"/>
        </w:rPr>
        <w:t xml:space="preserve"> </w:t>
      </w:r>
      <w:r w:rsidR="006B3949" w:rsidRPr="00AB52F3">
        <w:rPr>
          <w:rFonts w:ascii="Arial" w:hAnsi="Arial" w:cs="Arial"/>
        </w:rPr>
        <w:t>ways of working and systems</w:t>
      </w:r>
      <w:r w:rsidR="008107FD" w:rsidRPr="00343BEE">
        <w:rPr>
          <w:rFonts w:ascii="Arial" w:hAnsi="Arial" w:cs="Arial"/>
        </w:rPr>
        <w:t xml:space="preserve"> and at present still operate partly under our new operating model and partly under the old. </w:t>
      </w:r>
      <w:r w:rsidR="0026334B" w:rsidRPr="00AB52F3">
        <w:rPr>
          <w:rFonts w:ascii="Arial" w:hAnsi="Arial" w:cs="Arial"/>
        </w:rPr>
        <w:t>T</w:t>
      </w:r>
      <w:r w:rsidR="006D653F" w:rsidRPr="00AB52F3">
        <w:rPr>
          <w:rFonts w:ascii="Arial" w:hAnsi="Arial" w:cs="Arial"/>
        </w:rPr>
        <w:t>he ongoing</w:t>
      </w:r>
      <w:r w:rsidR="00190AA9" w:rsidRPr="00AB52F3">
        <w:rPr>
          <w:rFonts w:ascii="Arial" w:hAnsi="Arial" w:cs="Arial"/>
        </w:rPr>
        <w:t xml:space="preserve"> </w:t>
      </w:r>
      <w:r w:rsidR="006B3949" w:rsidRPr="00AB52F3">
        <w:rPr>
          <w:rFonts w:ascii="Arial" w:hAnsi="Arial" w:cs="Arial"/>
        </w:rPr>
        <w:t xml:space="preserve">high of </w:t>
      </w:r>
      <w:r w:rsidR="00190AA9" w:rsidRPr="00AB52F3">
        <w:rPr>
          <w:rFonts w:ascii="Arial" w:hAnsi="Arial" w:cs="Arial"/>
        </w:rPr>
        <w:t>level</w:t>
      </w:r>
      <w:r w:rsidR="006D653F" w:rsidRPr="00AB52F3">
        <w:rPr>
          <w:rFonts w:ascii="Arial" w:hAnsi="Arial" w:cs="Arial"/>
        </w:rPr>
        <w:t>s</w:t>
      </w:r>
      <w:r w:rsidR="00190AA9" w:rsidRPr="00AB52F3">
        <w:rPr>
          <w:rFonts w:ascii="Arial" w:hAnsi="Arial" w:cs="Arial"/>
        </w:rPr>
        <w:t xml:space="preserve"> of transfo</w:t>
      </w:r>
      <w:r w:rsidR="00FA7B13" w:rsidRPr="00AB52F3">
        <w:rPr>
          <w:rFonts w:ascii="Arial" w:hAnsi="Arial" w:cs="Arial"/>
        </w:rPr>
        <w:t>r</w:t>
      </w:r>
      <w:r w:rsidR="00190AA9" w:rsidRPr="00AB52F3">
        <w:rPr>
          <w:rFonts w:ascii="Arial" w:hAnsi="Arial" w:cs="Arial"/>
        </w:rPr>
        <w:t>mation activity</w:t>
      </w:r>
      <w:r w:rsidR="008107FD" w:rsidRPr="00AB52F3">
        <w:rPr>
          <w:rFonts w:ascii="Arial" w:hAnsi="Arial" w:cs="Arial"/>
        </w:rPr>
        <w:t>,</w:t>
      </w:r>
      <w:r w:rsidR="00190AA9" w:rsidRPr="00AB52F3">
        <w:rPr>
          <w:rFonts w:ascii="Arial" w:hAnsi="Arial" w:cs="Arial"/>
        </w:rPr>
        <w:t xml:space="preserve"> </w:t>
      </w:r>
      <w:r w:rsidR="006B3949" w:rsidRPr="00AB52F3">
        <w:rPr>
          <w:rFonts w:ascii="Arial" w:hAnsi="Arial" w:cs="Arial"/>
        </w:rPr>
        <w:t>as expected</w:t>
      </w:r>
      <w:r w:rsidR="006D653F" w:rsidRPr="00AB52F3">
        <w:rPr>
          <w:rFonts w:ascii="Arial" w:hAnsi="Arial" w:cs="Arial"/>
        </w:rPr>
        <w:t>,</w:t>
      </w:r>
      <w:r w:rsidR="006B3949" w:rsidRPr="00AB52F3">
        <w:rPr>
          <w:rFonts w:ascii="Arial" w:hAnsi="Arial" w:cs="Arial"/>
        </w:rPr>
        <w:t xml:space="preserve"> </w:t>
      </w:r>
      <w:r w:rsidR="00190AA9" w:rsidRPr="00AB52F3">
        <w:rPr>
          <w:rFonts w:ascii="Arial" w:hAnsi="Arial" w:cs="Arial"/>
        </w:rPr>
        <w:t>continue to</w:t>
      </w:r>
      <w:r w:rsidR="0026334B" w:rsidRPr="00AB52F3">
        <w:rPr>
          <w:rFonts w:ascii="Arial" w:hAnsi="Arial" w:cs="Arial"/>
        </w:rPr>
        <w:t xml:space="preserve"> have an</w:t>
      </w:r>
      <w:r w:rsidRPr="00AB52F3">
        <w:rPr>
          <w:rFonts w:ascii="Arial" w:hAnsi="Arial" w:cs="Arial"/>
        </w:rPr>
        <w:t xml:space="preserve"> </w:t>
      </w:r>
      <w:r w:rsidR="0026334B" w:rsidRPr="00AB52F3">
        <w:rPr>
          <w:rFonts w:ascii="Arial" w:hAnsi="Arial" w:cs="Arial"/>
        </w:rPr>
        <w:t>impact on the business</w:t>
      </w:r>
      <w:r w:rsidRPr="00AB52F3">
        <w:rPr>
          <w:rFonts w:ascii="Arial" w:hAnsi="Arial" w:cs="Arial"/>
        </w:rPr>
        <w:t>.</w:t>
      </w:r>
      <w:r w:rsidR="0026334B" w:rsidRPr="00343BEE">
        <w:rPr>
          <w:rFonts w:ascii="Arial" w:hAnsi="Arial" w:cs="Arial"/>
        </w:rPr>
        <w:t xml:space="preserve"> </w:t>
      </w:r>
      <w:r w:rsidR="0026334B" w:rsidRPr="00AB52F3">
        <w:rPr>
          <w:rFonts w:ascii="Arial" w:hAnsi="Arial" w:cs="Arial"/>
        </w:rPr>
        <w:t xml:space="preserve"> </w:t>
      </w:r>
      <w:r w:rsidRPr="00AB52F3">
        <w:rPr>
          <w:rFonts w:ascii="Arial" w:hAnsi="Arial" w:cs="Arial"/>
        </w:rPr>
        <w:t xml:space="preserve"> </w:t>
      </w:r>
    </w:p>
    <w:p w14:paraId="4886BC04" w14:textId="77777777" w:rsidR="00190AA9" w:rsidRPr="00AB52F3" w:rsidRDefault="00190AA9" w:rsidP="00FF5542">
      <w:pPr>
        <w:jc w:val="left"/>
        <w:rPr>
          <w:rFonts w:ascii="Arial" w:hAnsi="Arial" w:cs="Arial"/>
        </w:rPr>
      </w:pPr>
    </w:p>
    <w:p w14:paraId="02A5C934" w14:textId="35B70C33" w:rsidR="00FF5542" w:rsidRPr="00AB52F3" w:rsidRDefault="0026334B" w:rsidP="00FF5542">
      <w:pPr>
        <w:jc w:val="left"/>
        <w:rPr>
          <w:rFonts w:ascii="Arial" w:hAnsi="Arial" w:cs="Arial"/>
        </w:rPr>
      </w:pPr>
      <w:bookmarkStart w:id="27" w:name="_Hlk524531704"/>
      <w:r w:rsidRPr="00AB52F3">
        <w:rPr>
          <w:rFonts w:ascii="Arial" w:hAnsi="Arial" w:cs="Arial"/>
        </w:rPr>
        <w:t xml:space="preserve">There are three </w:t>
      </w:r>
      <w:r w:rsidR="004D1C10">
        <w:rPr>
          <w:rFonts w:ascii="Arial" w:hAnsi="Arial" w:cs="Arial"/>
        </w:rPr>
        <w:t xml:space="preserve">key </w:t>
      </w:r>
      <w:r w:rsidRPr="00AB52F3">
        <w:rPr>
          <w:rFonts w:ascii="Arial" w:hAnsi="Arial" w:cs="Arial"/>
        </w:rPr>
        <w:t xml:space="preserve">areas where we </w:t>
      </w:r>
      <w:r w:rsidR="00302553" w:rsidRPr="00343BEE">
        <w:rPr>
          <w:rFonts w:ascii="Arial" w:hAnsi="Arial" w:cs="Arial"/>
        </w:rPr>
        <w:t>are addressing</w:t>
      </w:r>
      <w:r w:rsidRPr="00AB52F3">
        <w:rPr>
          <w:rFonts w:ascii="Arial" w:hAnsi="Arial" w:cs="Arial"/>
        </w:rPr>
        <w:t xml:space="preserve"> challenges</w:t>
      </w:r>
      <w:r w:rsidR="004D1C10">
        <w:rPr>
          <w:rFonts w:ascii="Arial" w:hAnsi="Arial" w:cs="Arial"/>
        </w:rPr>
        <w:t>:</w:t>
      </w:r>
    </w:p>
    <w:p w14:paraId="15EF43AF" w14:textId="357755DF" w:rsidR="00190AA9" w:rsidRPr="00343BEE" w:rsidRDefault="00190AA9" w:rsidP="00FF5542">
      <w:pPr>
        <w:jc w:val="left"/>
        <w:rPr>
          <w:rFonts w:ascii="Arial" w:hAnsi="Arial" w:cs="Arial"/>
          <w:color w:val="FF0000"/>
        </w:rPr>
      </w:pPr>
    </w:p>
    <w:p w14:paraId="0412E2B6" w14:textId="461EDBF1" w:rsidR="008107FD" w:rsidRPr="00BF23E5" w:rsidRDefault="000A616F" w:rsidP="00AB52F3">
      <w:pPr>
        <w:pStyle w:val="ListParagraph"/>
        <w:numPr>
          <w:ilvl w:val="0"/>
          <w:numId w:val="103"/>
        </w:numPr>
        <w:jc w:val="left"/>
        <w:rPr>
          <w:rFonts w:ascii="Arial" w:hAnsi="Arial" w:cs="Arial"/>
        </w:rPr>
      </w:pPr>
      <w:r w:rsidRPr="00AB52F3">
        <w:rPr>
          <w:rFonts w:ascii="Arial" w:hAnsi="Arial" w:cs="Arial"/>
          <w:b/>
        </w:rPr>
        <w:t>Castorama France:</w:t>
      </w:r>
      <w:r w:rsidRPr="00343BEE">
        <w:rPr>
          <w:rFonts w:ascii="Arial" w:hAnsi="Arial" w:cs="Arial"/>
        </w:rPr>
        <w:t xml:space="preserve"> In</w:t>
      </w:r>
      <w:r w:rsidR="0026334B" w:rsidRPr="00AB52F3">
        <w:rPr>
          <w:rFonts w:ascii="Arial" w:hAnsi="Arial" w:cs="Arial"/>
        </w:rPr>
        <w:t xml:space="preserve"> France</w:t>
      </w:r>
      <w:r w:rsidR="009905F5">
        <w:rPr>
          <w:rFonts w:ascii="Arial" w:hAnsi="Arial" w:cs="Arial"/>
        </w:rPr>
        <w:t>,</w:t>
      </w:r>
      <w:r w:rsidR="0026334B" w:rsidRPr="00AB52F3">
        <w:rPr>
          <w:rFonts w:ascii="Arial" w:hAnsi="Arial" w:cs="Arial"/>
        </w:rPr>
        <w:t xml:space="preserve"> </w:t>
      </w:r>
      <w:r w:rsidR="00C53AC9" w:rsidRPr="00AB52F3">
        <w:rPr>
          <w:rFonts w:ascii="Arial" w:hAnsi="Arial" w:cs="Arial"/>
        </w:rPr>
        <w:t xml:space="preserve">whilst </w:t>
      </w:r>
      <w:r w:rsidR="00C67B4D" w:rsidRPr="00343BEE">
        <w:rPr>
          <w:rFonts w:ascii="Arial" w:hAnsi="Arial" w:cs="Arial"/>
        </w:rPr>
        <w:t>our overall underperformance versus the market has narrowed</w:t>
      </w:r>
      <w:r w:rsidR="0097239B">
        <w:rPr>
          <w:rFonts w:ascii="Arial" w:hAnsi="Arial" w:cs="Arial"/>
        </w:rPr>
        <w:t xml:space="preserve"> in</w:t>
      </w:r>
      <w:r w:rsidR="009905F5">
        <w:rPr>
          <w:rFonts w:ascii="Arial" w:hAnsi="Arial" w:cs="Arial"/>
        </w:rPr>
        <w:t xml:space="preserve"> H1</w:t>
      </w:r>
      <w:r w:rsidR="00C67B4D" w:rsidRPr="00343BEE">
        <w:rPr>
          <w:rFonts w:ascii="Arial" w:hAnsi="Arial" w:cs="Arial"/>
        </w:rPr>
        <w:t>, as Brico</w:t>
      </w:r>
      <w:r w:rsidR="000E487C" w:rsidRPr="00343BEE">
        <w:rPr>
          <w:rFonts w:ascii="Arial" w:hAnsi="Arial" w:cs="Arial"/>
        </w:rPr>
        <w:t xml:space="preserve"> </w:t>
      </w:r>
      <w:proofErr w:type="spellStart"/>
      <w:r w:rsidR="00600397" w:rsidRPr="00343BEE">
        <w:rPr>
          <w:rFonts w:ascii="Arial" w:hAnsi="Arial" w:cs="Arial"/>
          <w:bCs/>
        </w:rPr>
        <w:t>Dépôt</w:t>
      </w:r>
      <w:r w:rsidR="00C67B4D" w:rsidRPr="00343BEE">
        <w:rPr>
          <w:rFonts w:ascii="Arial" w:hAnsi="Arial" w:cs="Arial"/>
        </w:rPr>
        <w:t>’s</w:t>
      </w:r>
      <w:proofErr w:type="spellEnd"/>
      <w:r w:rsidR="00C67B4D" w:rsidRPr="00343BEE">
        <w:rPr>
          <w:rFonts w:ascii="Arial" w:hAnsi="Arial" w:cs="Arial"/>
        </w:rPr>
        <w:t xml:space="preserve"> sales have improved</w:t>
      </w:r>
      <w:r w:rsidR="00C53AC9" w:rsidRPr="00AB52F3">
        <w:rPr>
          <w:rFonts w:ascii="Arial" w:hAnsi="Arial" w:cs="Arial"/>
        </w:rPr>
        <w:t>,</w:t>
      </w:r>
      <w:r w:rsidR="00C67B4D" w:rsidRPr="00343BEE">
        <w:rPr>
          <w:rFonts w:ascii="Arial" w:hAnsi="Arial" w:cs="Arial"/>
        </w:rPr>
        <w:t xml:space="preserve"> Castorama</w:t>
      </w:r>
      <w:r w:rsidR="00C53AC9" w:rsidRPr="00AB52F3">
        <w:rPr>
          <w:rFonts w:ascii="Arial" w:hAnsi="Arial" w:cs="Arial"/>
        </w:rPr>
        <w:t xml:space="preserve">’s </w:t>
      </w:r>
      <w:r w:rsidR="00600397" w:rsidRPr="00343BEE">
        <w:rPr>
          <w:rFonts w:ascii="Arial" w:hAnsi="Arial" w:cs="Arial"/>
        </w:rPr>
        <w:t xml:space="preserve">performance </w:t>
      </w:r>
      <w:r w:rsidR="00C53AC9" w:rsidRPr="00AB52F3">
        <w:rPr>
          <w:rFonts w:ascii="Arial" w:hAnsi="Arial" w:cs="Arial"/>
        </w:rPr>
        <w:t>r</w:t>
      </w:r>
      <w:r w:rsidR="00C67B4D" w:rsidRPr="00343BEE">
        <w:rPr>
          <w:rFonts w:ascii="Arial" w:hAnsi="Arial" w:cs="Arial"/>
        </w:rPr>
        <w:t>emain</w:t>
      </w:r>
      <w:r w:rsidR="00C53AC9" w:rsidRPr="00AB52F3">
        <w:rPr>
          <w:rFonts w:ascii="Arial" w:hAnsi="Arial" w:cs="Arial"/>
        </w:rPr>
        <w:t>s</w:t>
      </w:r>
      <w:r w:rsidR="00C67B4D" w:rsidRPr="00343BEE">
        <w:rPr>
          <w:rFonts w:ascii="Arial" w:hAnsi="Arial" w:cs="Arial"/>
        </w:rPr>
        <w:t xml:space="preserve"> weak. </w:t>
      </w:r>
      <w:r w:rsidR="00C67B4D" w:rsidRPr="00AB52F3">
        <w:rPr>
          <w:rFonts w:ascii="Arial" w:hAnsi="Arial" w:cs="Arial"/>
        </w:rPr>
        <w:t xml:space="preserve">Some of Castorama’s </w:t>
      </w:r>
      <w:r w:rsidR="009E6791">
        <w:rPr>
          <w:rFonts w:ascii="Arial" w:hAnsi="Arial" w:cs="Arial"/>
        </w:rPr>
        <w:t>weakness</w:t>
      </w:r>
      <w:r w:rsidR="009E6791" w:rsidRPr="00AB52F3">
        <w:rPr>
          <w:rFonts w:ascii="Arial" w:hAnsi="Arial" w:cs="Arial"/>
        </w:rPr>
        <w:t xml:space="preserve"> </w:t>
      </w:r>
      <w:r w:rsidR="00C67B4D" w:rsidRPr="00AB52F3">
        <w:rPr>
          <w:rFonts w:ascii="Arial" w:hAnsi="Arial" w:cs="Arial"/>
        </w:rPr>
        <w:t>relates to transformation activity</w:t>
      </w:r>
      <w:r w:rsidR="00A31EA7">
        <w:rPr>
          <w:rFonts w:ascii="Arial" w:hAnsi="Arial" w:cs="Arial"/>
        </w:rPr>
        <w:t xml:space="preserve"> </w:t>
      </w:r>
      <w:r w:rsidR="009E6791">
        <w:rPr>
          <w:rFonts w:ascii="Arial" w:hAnsi="Arial" w:cs="Arial"/>
        </w:rPr>
        <w:t xml:space="preserve">and </w:t>
      </w:r>
      <w:r w:rsidR="00C67B4D" w:rsidRPr="00AB52F3">
        <w:rPr>
          <w:rFonts w:ascii="Arial" w:hAnsi="Arial" w:cs="Arial"/>
        </w:rPr>
        <w:t xml:space="preserve">overall customer perception is not where it needs to be. </w:t>
      </w:r>
      <w:r w:rsidRPr="00AB52F3">
        <w:rPr>
          <w:rFonts w:ascii="Arial" w:hAnsi="Arial" w:cs="Arial"/>
        </w:rPr>
        <w:t xml:space="preserve">We remain convinced that the ONE Kingfisher plan is </w:t>
      </w:r>
      <w:r w:rsidRPr="00BF23E5">
        <w:rPr>
          <w:rFonts w:ascii="Arial" w:hAnsi="Arial" w:cs="Arial"/>
        </w:rPr>
        <w:t xml:space="preserve">tackling the root causes of our underperformance (price, proposition and digital) and will deliver a sustainably improved performance. In addition, we have put actions in place to support H2 performance </w:t>
      </w:r>
      <w:r w:rsidR="00C53AC9" w:rsidRPr="00BF23E5">
        <w:rPr>
          <w:rFonts w:ascii="Arial" w:hAnsi="Arial" w:cs="Arial"/>
        </w:rPr>
        <w:t>(</w:t>
      </w:r>
      <w:r w:rsidRPr="00BF23E5">
        <w:rPr>
          <w:rFonts w:ascii="Arial" w:hAnsi="Arial" w:cs="Arial"/>
        </w:rPr>
        <w:t>s</w:t>
      </w:r>
      <w:r w:rsidR="00C53AC9" w:rsidRPr="00BF23E5">
        <w:rPr>
          <w:rFonts w:ascii="Arial" w:hAnsi="Arial" w:cs="Arial"/>
        </w:rPr>
        <w:t xml:space="preserve">ee France Trading Review on page </w:t>
      </w:r>
      <w:r w:rsidR="002841D8">
        <w:rPr>
          <w:rFonts w:ascii="Arial" w:hAnsi="Arial" w:cs="Arial"/>
        </w:rPr>
        <w:t>8</w:t>
      </w:r>
      <w:r w:rsidR="00C53AC9" w:rsidRPr="00BF23E5">
        <w:rPr>
          <w:rFonts w:ascii="Arial" w:hAnsi="Arial" w:cs="Arial"/>
        </w:rPr>
        <w:t xml:space="preserve"> for more detail)</w:t>
      </w:r>
      <w:r w:rsidRPr="00BF23E5">
        <w:rPr>
          <w:rFonts w:ascii="Arial" w:hAnsi="Arial" w:cs="Arial"/>
        </w:rPr>
        <w:t>.</w:t>
      </w:r>
    </w:p>
    <w:p w14:paraId="16862D7F" w14:textId="77777777" w:rsidR="00C67B4D" w:rsidRPr="00BF23E5" w:rsidRDefault="00C67B4D" w:rsidP="00AB52F3">
      <w:pPr>
        <w:ind w:left="360"/>
        <w:jc w:val="left"/>
        <w:rPr>
          <w:rFonts w:ascii="Arial" w:hAnsi="Arial" w:cs="Arial"/>
          <w:color w:val="FF0000"/>
        </w:rPr>
      </w:pPr>
      <w:bookmarkStart w:id="28" w:name="_Hlk523297593"/>
      <w:bookmarkEnd w:id="27"/>
    </w:p>
    <w:p w14:paraId="47B96A66" w14:textId="11E700AD" w:rsidR="00E5737F" w:rsidRPr="004A2212" w:rsidRDefault="000A616F">
      <w:pPr>
        <w:pStyle w:val="ListParagraph"/>
        <w:numPr>
          <w:ilvl w:val="0"/>
          <w:numId w:val="103"/>
        </w:numPr>
        <w:jc w:val="left"/>
        <w:rPr>
          <w:rFonts w:ascii="Arial" w:hAnsi="Arial" w:cs="Arial"/>
        </w:rPr>
      </w:pPr>
      <w:bookmarkStart w:id="29" w:name="_Hlk524531728"/>
      <w:bookmarkStart w:id="30" w:name="_Hlk523258066"/>
      <w:r w:rsidRPr="004A2212">
        <w:rPr>
          <w:rFonts w:ascii="Arial" w:hAnsi="Arial" w:cs="Arial"/>
          <w:b/>
        </w:rPr>
        <w:t>M</w:t>
      </w:r>
      <w:bookmarkStart w:id="31" w:name="_Hlk524971341"/>
      <w:r w:rsidRPr="004A2212">
        <w:rPr>
          <w:rFonts w:ascii="Arial" w:hAnsi="Arial" w:cs="Arial"/>
          <w:b/>
        </w:rPr>
        <w:t>argin</w:t>
      </w:r>
      <w:r w:rsidR="00600397" w:rsidRPr="004A2212">
        <w:rPr>
          <w:rFonts w:ascii="Arial" w:hAnsi="Arial" w:cs="Arial"/>
          <w:b/>
        </w:rPr>
        <w:t>:</w:t>
      </w:r>
      <w:r w:rsidR="00600397" w:rsidRPr="004A2212">
        <w:rPr>
          <w:rFonts w:ascii="Arial" w:hAnsi="Arial" w:cs="Arial"/>
        </w:rPr>
        <w:t xml:space="preserve"> </w:t>
      </w:r>
      <w:r w:rsidR="00E5737F" w:rsidRPr="004A2212">
        <w:rPr>
          <w:rFonts w:ascii="Arial" w:hAnsi="Arial" w:cs="Arial"/>
        </w:rPr>
        <w:t xml:space="preserve"> </w:t>
      </w:r>
      <w:r w:rsidR="003D6348" w:rsidRPr="004A2212">
        <w:rPr>
          <w:rFonts w:ascii="Arial" w:hAnsi="Arial" w:cs="Arial"/>
        </w:rPr>
        <w:t>B</w:t>
      </w:r>
      <w:r w:rsidR="00E5737F" w:rsidRPr="004A2212">
        <w:rPr>
          <w:rFonts w:ascii="Arial" w:hAnsi="Arial" w:cs="Arial"/>
        </w:rPr>
        <w:t xml:space="preserve">uying as one </w:t>
      </w:r>
      <w:r w:rsidR="003D4DBB" w:rsidRPr="004A2212">
        <w:rPr>
          <w:rFonts w:ascii="Arial" w:hAnsi="Arial" w:cs="Arial"/>
        </w:rPr>
        <w:t xml:space="preserve">is delivering margin benefits </w:t>
      </w:r>
      <w:r w:rsidR="006B654A" w:rsidRPr="004A2212">
        <w:rPr>
          <w:rFonts w:ascii="Arial" w:hAnsi="Arial" w:cs="Arial"/>
        </w:rPr>
        <w:t xml:space="preserve">after cost inflation and </w:t>
      </w:r>
      <w:r w:rsidR="003D6348" w:rsidRPr="004A2212">
        <w:rPr>
          <w:rFonts w:ascii="Arial" w:hAnsi="Arial" w:cs="Arial"/>
        </w:rPr>
        <w:t>price investment.</w:t>
      </w:r>
      <w:r w:rsidR="00417215" w:rsidRPr="004A2212">
        <w:rPr>
          <w:rFonts w:ascii="Arial" w:hAnsi="Arial" w:cs="Arial"/>
        </w:rPr>
        <w:t xml:space="preserve"> </w:t>
      </w:r>
      <w:r w:rsidR="006B654A" w:rsidRPr="004A2212">
        <w:rPr>
          <w:rFonts w:ascii="Arial" w:hAnsi="Arial" w:cs="Arial"/>
        </w:rPr>
        <w:t>U</w:t>
      </w:r>
      <w:r w:rsidR="00E5737F" w:rsidRPr="004A2212">
        <w:rPr>
          <w:rFonts w:ascii="Arial" w:hAnsi="Arial" w:cs="Arial"/>
        </w:rPr>
        <w:t>nified and unique gross margin after clearance costs grew in H1</w:t>
      </w:r>
      <w:r w:rsidR="006B654A" w:rsidRPr="004A2212">
        <w:rPr>
          <w:rFonts w:ascii="Arial" w:hAnsi="Arial" w:cs="Arial"/>
        </w:rPr>
        <w:t>,</w:t>
      </w:r>
      <w:r w:rsidR="00E5737F" w:rsidRPr="004A2212">
        <w:rPr>
          <w:rFonts w:ascii="Arial" w:hAnsi="Arial" w:cs="Arial"/>
        </w:rPr>
        <w:t xml:space="preserve"> however the Group gross margin was down 40bps.</w:t>
      </w:r>
      <w:bookmarkStart w:id="32" w:name="_Hlk524971398"/>
      <w:r w:rsidR="00F91A51">
        <w:rPr>
          <w:rFonts w:ascii="Arial" w:hAnsi="Arial" w:cs="Arial"/>
        </w:rPr>
        <w:t xml:space="preserve"> </w:t>
      </w:r>
      <w:r w:rsidR="00F87930" w:rsidRPr="00F87930">
        <w:rPr>
          <w:rFonts w:ascii="Arial" w:hAnsi="Arial" w:cs="Arial"/>
        </w:rPr>
        <w:t>Despite good progress in reducing mitigation stock in H1,</w:t>
      </w:r>
      <w:r w:rsidR="00F91A51">
        <w:rPr>
          <w:rFonts w:ascii="Arial" w:hAnsi="Arial" w:cs="Arial"/>
        </w:rPr>
        <w:t xml:space="preserve"> elevated stock levels and </w:t>
      </w:r>
      <w:r w:rsidR="00F87930" w:rsidRPr="00F87930">
        <w:rPr>
          <w:rFonts w:ascii="Arial" w:hAnsi="Arial" w:cs="Arial"/>
        </w:rPr>
        <w:t>the weak start to the year</w:t>
      </w:r>
      <w:r w:rsidR="00F91A51">
        <w:rPr>
          <w:rFonts w:ascii="Arial" w:hAnsi="Arial" w:cs="Arial"/>
        </w:rPr>
        <w:t xml:space="preserve"> </w:t>
      </w:r>
      <w:r w:rsidR="00F87930" w:rsidRPr="00F87930">
        <w:rPr>
          <w:rFonts w:ascii="Arial" w:hAnsi="Arial" w:cs="Arial"/>
        </w:rPr>
        <w:t xml:space="preserve">created a need for additional distribution space (mainly France) </w:t>
      </w:r>
      <w:r w:rsidR="00A30E75">
        <w:rPr>
          <w:rFonts w:ascii="Arial" w:hAnsi="Arial" w:cs="Arial"/>
        </w:rPr>
        <w:t xml:space="preserve">resulting in </w:t>
      </w:r>
      <w:r w:rsidR="00F87930" w:rsidRPr="00F87930">
        <w:rPr>
          <w:rFonts w:ascii="Arial" w:hAnsi="Arial" w:cs="Arial"/>
        </w:rPr>
        <w:t>logistic</w:t>
      </w:r>
      <w:r w:rsidR="00F87930">
        <w:rPr>
          <w:rFonts w:ascii="Arial" w:hAnsi="Arial" w:cs="Arial"/>
        </w:rPr>
        <w:t>s &amp; stock</w:t>
      </w:r>
      <w:r w:rsidR="00F87930" w:rsidRPr="00F87930">
        <w:rPr>
          <w:rFonts w:ascii="Arial" w:hAnsi="Arial" w:cs="Arial"/>
        </w:rPr>
        <w:t xml:space="preserve"> inefficiencies which impacted Group </w:t>
      </w:r>
      <w:r w:rsidR="00F87930">
        <w:rPr>
          <w:rFonts w:ascii="Arial" w:hAnsi="Arial" w:cs="Arial"/>
        </w:rPr>
        <w:t xml:space="preserve">gross </w:t>
      </w:r>
      <w:r w:rsidR="00F87930" w:rsidRPr="00F87930">
        <w:rPr>
          <w:rFonts w:ascii="Arial" w:hAnsi="Arial" w:cs="Arial"/>
        </w:rPr>
        <w:t>margin. In addition</w:t>
      </w:r>
      <w:r w:rsidR="00CB1686">
        <w:rPr>
          <w:rFonts w:ascii="Arial" w:hAnsi="Arial" w:cs="Arial"/>
        </w:rPr>
        <w:t>,</w:t>
      </w:r>
      <w:r w:rsidR="00CB1686" w:rsidRPr="00CB1686">
        <w:t xml:space="preserve"> </w:t>
      </w:r>
      <w:r w:rsidR="00CB1686">
        <w:rPr>
          <w:rFonts w:ascii="Arial" w:hAnsi="Arial" w:cs="Arial"/>
        </w:rPr>
        <w:t>as</w:t>
      </w:r>
      <w:r w:rsidR="00CB1686" w:rsidRPr="00CB1686">
        <w:rPr>
          <w:rFonts w:ascii="Arial" w:hAnsi="Arial" w:cs="Arial"/>
        </w:rPr>
        <w:t xml:space="preserve"> new ranges were implemented some of the local pricing architecture required adjustment</w:t>
      </w:r>
      <w:r w:rsidR="00CB1686">
        <w:rPr>
          <w:rFonts w:ascii="Arial" w:hAnsi="Arial" w:cs="Arial"/>
        </w:rPr>
        <w:t xml:space="preserve">, which </w:t>
      </w:r>
      <w:r w:rsidR="00CB1686" w:rsidRPr="00CB1686">
        <w:rPr>
          <w:rFonts w:ascii="Arial" w:hAnsi="Arial" w:cs="Arial"/>
        </w:rPr>
        <w:t>is now being addressed</w:t>
      </w:r>
      <w:r w:rsidR="00F87930" w:rsidRPr="00F87930">
        <w:rPr>
          <w:rFonts w:ascii="Arial" w:hAnsi="Arial" w:cs="Arial"/>
        </w:rPr>
        <w:t>.</w:t>
      </w:r>
      <w:bookmarkEnd w:id="32"/>
      <w:r w:rsidR="00F87930" w:rsidRPr="00F87930">
        <w:rPr>
          <w:rFonts w:ascii="Arial" w:hAnsi="Arial" w:cs="Arial"/>
        </w:rPr>
        <w:t xml:space="preserve"> </w:t>
      </w:r>
      <w:r w:rsidR="00E5737F" w:rsidRPr="004A2212">
        <w:rPr>
          <w:rFonts w:ascii="Arial" w:hAnsi="Arial" w:cs="Arial"/>
        </w:rPr>
        <w:t xml:space="preserve">We have actions </w:t>
      </w:r>
      <w:r w:rsidR="0070706A" w:rsidRPr="004215EF">
        <w:rPr>
          <w:rFonts w:ascii="Arial" w:hAnsi="Arial" w:cs="Arial"/>
        </w:rPr>
        <w:t>underway</w:t>
      </w:r>
      <w:r w:rsidR="00E5737F" w:rsidRPr="004A2212">
        <w:rPr>
          <w:rFonts w:ascii="Arial" w:hAnsi="Arial" w:cs="Arial"/>
        </w:rPr>
        <w:t xml:space="preserve"> to support H2 margin performance including price </w:t>
      </w:r>
      <w:r w:rsidR="00565FCA" w:rsidRPr="004215EF">
        <w:rPr>
          <w:rFonts w:ascii="Arial" w:hAnsi="Arial" w:cs="Arial"/>
        </w:rPr>
        <w:t>optimisation</w:t>
      </w:r>
      <w:r w:rsidR="00E5737F" w:rsidRPr="004A2212">
        <w:rPr>
          <w:rFonts w:ascii="Arial" w:hAnsi="Arial" w:cs="Arial"/>
        </w:rPr>
        <w:t xml:space="preserve"> and </w:t>
      </w:r>
      <w:r w:rsidR="0097239B">
        <w:rPr>
          <w:rFonts w:ascii="Arial" w:hAnsi="Arial" w:cs="Arial"/>
        </w:rPr>
        <w:t>reducing</w:t>
      </w:r>
      <w:r w:rsidR="0097239B" w:rsidRPr="004A2212">
        <w:rPr>
          <w:rFonts w:ascii="Arial" w:hAnsi="Arial" w:cs="Arial"/>
        </w:rPr>
        <w:t xml:space="preserve"> </w:t>
      </w:r>
      <w:r w:rsidR="00E5737F" w:rsidRPr="004A2212">
        <w:rPr>
          <w:rFonts w:ascii="Arial" w:hAnsi="Arial" w:cs="Arial"/>
        </w:rPr>
        <w:t>logistics</w:t>
      </w:r>
      <w:r w:rsidR="00A739AF">
        <w:rPr>
          <w:rFonts w:ascii="Arial" w:hAnsi="Arial" w:cs="Arial"/>
        </w:rPr>
        <w:t xml:space="preserve"> &amp; stock</w:t>
      </w:r>
      <w:r w:rsidR="00E5737F" w:rsidRPr="004A2212">
        <w:rPr>
          <w:rFonts w:ascii="Arial" w:hAnsi="Arial" w:cs="Arial"/>
        </w:rPr>
        <w:t xml:space="preserve"> inefficiencies. </w:t>
      </w:r>
      <w:r w:rsidR="00C3002A" w:rsidRPr="004215EF">
        <w:rPr>
          <w:rFonts w:ascii="Arial" w:hAnsi="Arial" w:cs="Arial"/>
        </w:rPr>
        <w:t>Combined with unified &amp; unique cost price reduction benefits in H2 we</w:t>
      </w:r>
      <w:r w:rsidR="00E5737F" w:rsidRPr="004A2212">
        <w:rPr>
          <w:rFonts w:ascii="Arial" w:hAnsi="Arial" w:cs="Arial"/>
        </w:rPr>
        <w:t xml:space="preserve"> expect </w:t>
      </w:r>
      <w:r w:rsidR="00C3002A" w:rsidRPr="004215EF">
        <w:rPr>
          <w:rFonts w:ascii="Arial" w:hAnsi="Arial" w:cs="Arial"/>
        </w:rPr>
        <w:t xml:space="preserve">to grow </w:t>
      </w:r>
      <w:r w:rsidR="00E5737F" w:rsidRPr="004A2212">
        <w:rPr>
          <w:rFonts w:ascii="Arial" w:hAnsi="Arial" w:cs="Arial"/>
        </w:rPr>
        <w:t xml:space="preserve">Group gross margin after clearance in FY 18/19. </w:t>
      </w:r>
    </w:p>
    <w:bookmarkEnd w:id="29"/>
    <w:bookmarkEnd w:id="31"/>
    <w:p w14:paraId="2F3399CE" w14:textId="77777777" w:rsidR="00E5737F" w:rsidRPr="0068008E" w:rsidRDefault="00E5737F" w:rsidP="00E5737F"/>
    <w:bookmarkEnd w:id="30"/>
    <w:bookmarkEnd w:id="28"/>
    <w:p w14:paraId="437CDFAC" w14:textId="47A3B312" w:rsidR="00A345DE" w:rsidRPr="00822C0C" w:rsidRDefault="000A616F">
      <w:pPr>
        <w:pStyle w:val="ListParagraph"/>
        <w:numPr>
          <w:ilvl w:val="0"/>
          <w:numId w:val="103"/>
        </w:numPr>
        <w:jc w:val="left"/>
        <w:rPr>
          <w:rFonts w:ascii="Arial" w:hAnsi="Arial" w:cs="Arial"/>
          <w:b/>
        </w:rPr>
      </w:pPr>
      <w:r w:rsidRPr="00BF23E5">
        <w:rPr>
          <w:rFonts w:ascii="Arial" w:hAnsi="Arial" w:cs="Arial"/>
          <w:b/>
        </w:rPr>
        <w:t>Working capital:</w:t>
      </w:r>
      <w:r w:rsidR="00A345DE" w:rsidRPr="00BF23E5">
        <w:rPr>
          <w:rFonts w:ascii="Arial" w:hAnsi="Arial" w:cs="Arial"/>
          <w:b/>
        </w:rPr>
        <w:t xml:space="preserve"> </w:t>
      </w:r>
      <w:r w:rsidR="00A345DE" w:rsidRPr="00BF23E5">
        <w:rPr>
          <w:rFonts w:ascii="Arial" w:hAnsi="Arial" w:cs="Arial"/>
        </w:rPr>
        <w:t xml:space="preserve">In FY 17/18 </w:t>
      </w:r>
      <w:r w:rsidR="00B30022">
        <w:rPr>
          <w:rFonts w:ascii="Arial" w:hAnsi="Arial" w:cs="Arial"/>
        </w:rPr>
        <w:t xml:space="preserve">stock </w:t>
      </w:r>
      <w:r w:rsidR="00A345DE" w:rsidRPr="00BF23E5">
        <w:rPr>
          <w:rFonts w:ascii="Arial" w:hAnsi="Arial" w:cs="Arial"/>
        </w:rPr>
        <w:t xml:space="preserve">increased </w:t>
      </w:r>
      <w:r w:rsidR="00B30022">
        <w:rPr>
          <w:rFonts w:ascii="Arial" w:hAnsi="Arial" w:cs="Arial"/>
        </w:rPr>
        <w:t>significantly</w:t>
      </w:r>
      <w:r w:rsidR="0070706A">
        <w:rPr>
          <w:rFonts w:ascii="Arial" w:hAnsi="Arial" w:cs="Arial"/>
        </w:rPr>
        <w:t>,</w:t>
      </w:r>
      <w:r w:rsidR="00B30022">
        <w:rPr>
          <w:rFonts w:ascii="Arial" w:hAnsi="Arial" w:cs="Arial"/>
        </w:rPr>
        <w:t xml:space="preserve"> </w:t>
      </w:r>
      <w:r w:rsidR="00A345DE" w:rsidRPr="00BF23E5">
        <w:rPr>
          <w:rFonts w:ascii="Arial" w:hAnsi="Arial" w:cs="Arial"/>
        </w:rPr>
        <w:t xml:space="preserve">in part due to changes to our operating model as we start to control more of our end to end supply chain </w:t>
      </w:r>
      <w:r w:rsidR="00B30022">
        <w:rPr>
          <w:rFonts w:ascii="Arial" w:hAnsi="Arial" w:cs="Arial"/>
        </w:rPr>
        <w:t>and</w:t>
      </w:r>
      <w:r w:rsidR="00B30022" w:rsidRPr="00BF23E5">
        <w:rPr>
          <w:rFonts w:ascii="Arial" w:hAnsi="Arial" w:cs="Arial"/>
        </w:rPr>
        <w:t xml:space="preserve"> </w:t>
      </w:r>
      <w:r w:rsidR="00A345DE" w:rsidRPr="00BF23E5">
        <w:rPr>
          <w:rFonts w:ascii="Arial" w:hAnsi="Arial" w:cs="Arial"/>
        </w:rPr>
        <w:t xml:space="preserve">properly leverage our buying scale. </w:t>
      </w:r>
      <w:r w:rsidR="00B30022">
        <w:rPr>
          <w:rFonts w:ascii="Arial" w:hAnsi="Arial" w:cs="Arial"/>
        </w:rPr>
        <w:t>We also held on to more stock to protect the customer experience during a time of disruption</w:t>
      </w:r>
      <w:r w:rsidR="00A345DE" w:rsidRPr="00BF23E5">
        <w:rPr>
          <w:rFonts w:ascii="Arial" w:hAnsi="Arial" w:cs="Arial"/>
        </w:rPr>
        <w:t xml:space="preserve">. </w:t>
      </w:r>
      <w:r w:rsidR="00A345DE" w:rsidRPr="009E6791">
        <w:rPr>
          <w:rFonts w:ascii="Arial" w:hAnsi="Arial" w:cs="Arial"/>
        </w:rPr>
        <w:t xml:space="preserve">Stock reduction plans that were put in place have been effective </w:t>
      </w:r>
      <w:r w:rsidR="00A345DE" w:rsidRPr="006B1A1C">
        <w:rPr>
          <w:rFonts w:ascii="Arial" w:hAnsi="Arial" w:cs="Arial"/>
        </w:rPr>
        <w:t>and at H1 1</w:t>
      </w:r>
      <w:r w:rsidR="00910D65">
        <w:rPr>
          <w:rFonts w:ascii="Arial" w:hAnsi="Arial" w:cs="Arial"/>
        </w:rPr>
        <w:t>8</w:t>
      </w:r>
      <w:r w:rsidR="00A345DE" w:rsidRPr="006B1A1C">
        <w:rPr>
          <w:rFonts w:ascii="Arial" w:hAnsi="Arial" w:cs="Arial"/>
        </w:rPr>
        <w:t>/</w:t>
      </w:r>
      <w:r w:rsidR="00910D65" w:rsidRPr="006B1A1C">
        <w:rPr>
          <w:rFonts w:ascii="Arial" w:hAnsi="Arial" w:cs="Arial"/>
        </w:rPr>
        <w:t>1</w:t>
      </w:r>
      <w:r w:rsidR="00910D65">
        <w:rPr>
          <w:rFonts w:ascii="Arial" w:hAnsi="Arial" w:cs="Arial"/>
        </w:rPr>
        <w:t>9</w:t>
      </w:r>
      <w:r w:rsidR="00910D65" w:rsidRPr="006B1A1C">
        <w:rPr>
          <w:rFonts w:ascii="Arial" w:hAnsi="Arial" w:cs="Arial"/>
        </w:rPr>
        <w:t xml:space="preserve"> </w:t>
      </w:r>
      <w:r w:rsidR="00A345DE" w:rsidRPr="006B1A1C">
        <w:rPr>
          <w:rFonts w:ascii="Arial" w:hAnsi="Arial" w:cs="Arial"/>
        </w:rPr>
        <w:t xml:space="preserve">mitigation stock had reduced by </w:t>
      </w:r>
      <w:r w:rsidR="009D375C">
        <w:rPr>
          <w:rFonts w:ascii="Arial" w:hAnsi="Arial" w:cs="Arial"/>
        </w:rPr>
        <w:t>c.</w:t>
      </w:r>
      <w:r w:rsidR="00A345DE" w:rsidRPr="00F74468">
        <w:rPr>
          <w:rFonts w:ascii="Arial" w:hAnsi="Arial" w:cs="Arial"/>
        </w:rPr>
        <w:t>£</w:t>
      </w:r>
      <w:r w:rsidR="009D375C">
        <w:rPr>
          <w:rFonts w:ascii="Arial" w:hAnsi="Arial" w:cs="Arial"/>
        </w:rPr>
        <w:t>90</w:t>
      </w:r>
      <w:r w:rsidR="00A345DE" w:rsidRPr="00F74468">
        <w:rPr>
          <w:rFonts w:ascii="Arial" w:hAnsi="Arial" w:cs="Arial"/>
        </w:rPr>
        <w:t>m</w:t>
      </w:r>
      <w:r w:rsidR="00B30022" w:rsidRPr="006B1A1C">
        <w:rPr>
          <w:rFonts w:ascii="Arial" w:hAnsi="Arial" w:cs="Arial"/>
        </w:rPr>
        <w:t>.</w:t>
      </w:r>
      <w:r w:rsidR="00A345DE" w:rsidRPr="006B1A1C">
        <w:rPr>
          <w:rFonts w:ascii="Arial" w:hAnsi="Arial" w:cs="Arial"/>
        </w:rPr>
        <w:t xml:space="preserve"> </w:t>
      </w:r>
      <w:r w:rsidR="00B30022" w:rsidRPr="006B1A1C">
        <w:rPr>
          <w:rFonts w:ascii="Arial" w:hAnsi="Arial" w:cs="Arial"/>
        </w:rPr>
        <w:t>W</w:t>
      </w:r>
      <w:r w:rsidR="00A345DE" w:rsidRPr="006B1A1C">
        <w:rPr>
          <w:rFonts w:ascii="Arial" w:hAnsi="Arial" w:cs="Arial"/>
        </w:rPr>
        <w:t>e continue to work on further</w:t>
      </w:r>
      <w:r w:rsidR="00B30022">
        <w:rPr>
          <w:rFonts w:ascii="Arial" w:hAnsi="Arial" w:cs="Arial"/>
        </w:rPr>
        <w:t xml:space="preserve"> reductions</w:t>
      </w:r>
      <w:r w:rsidR="00A345DE" w:rsidRPr="00A345DE">
        <w:rPr>
          <w:rFonts w:ascii="Arial" w:hAnsi="Arial" w:cs="Arial"/>
        </w:rPr>
        <w:t xml:space="preserve">. </w:t>
      </w:r>
      <w:r w:rsidR="00190FA4" w:rsidRPr="00A345DE">
        <w:rPr>
          <w:rFonts w:ascii="Arial" w:hAnsi="Arial" w:cs="Arial"/>
        </w:rPr>
        <w:t xml:space="preserve"> </w:t>
      </w:r>
    </w:p>
    <w:p w14:paraId="49A74B0F" w14:textId="77777777" w:rsidR="00766C88" w:rsidRDefault="00766C88" w:rsidP="006937CF">
      <w:pPr>
        <w:jc w:val="left"/>
        <w:rPr>
          <w:rFonts w:ascii="Arial" w:hAnsi="Arial" w:cs="Arial"/>
          <w:b/>
        </w:rPr>
      </w:pPr>
      <w:bookmarkStart w:id="33" w:name="_Hlk524455557"/>
    </w:p>
    <w:p w14:paraId="2B292BF7" w14:textId="77777777" w:rsidR="00D54B64" w:rsidRDefault="00D54B64" w:rsidP="00D54B64">
      <w:pPr>
        <w:jc w:val="left"/>
        <w:rPr>
          <w:rFonts w:ascii="Arial" w:hAnsi="Arial" w:cs="Arial"/>
          <w:b/>
          <w:bCs/>
        </w:rPr>
      </w:pPr>
      <w:bookmarkStart w:id="34" w:name="_Hlk524516174"/>
      <w:r w:rsidRPr="00C12C72">
        <w:rPr>
          <w:rFonts w:ascii="Arial" w:hAnsi="Arial" w:cs="Arial"/>
          <w:b/>
          <w:bCs/>
        </w:rPr>
        <w:t>Making the right decisions for the business long-term</w:t>
      </w:r>
    </w:p>
    <w:p w14:paraId="658860D8" w14:textId="77777777" w:rsidR="00D54B64" w:rsidRDefault="00D54B64" w:rsidP="00D54B64">
      <w:pPr>
        <w:jc w:val="left"/>
        <w:rPr>
          <w:rFonts w:ascii="Arial" w:hAnsi="Arial" w:cs="Arial"/>
          <w:b/>
          <w:bCs/>
        </w:rPr>
      </w:pPr>
    </w:p>
    <w:p w14:paraId="3BF82E90" w14:textId="77777777" w:rsidR="00D54B64" w:rsidRDefault="00D54B64" w:rsidP="00D54B64">
      <w:pPr>
        <w:jc w:val="left"/>
        <w:rPr>
          <w:rFonts w:ascii="Arial" w:hAnsi="Arial" w:cs="Arial"/>
          <w:lang w:val="en-US"/>
        </w:rPr>
      </w:pPr>
      <w:r>
        <w:rPr>
          <w:rFonts w:ascii="Arial" w:hAnsi="Arial" w:cs="Arial"/>
        </w:rPr>
        <w:t xml:space="preserve">At the end of the half, for the third year in a row we are on track to achieve our strategic milestones. </w:t>
      </w:r>
      <w:r>
        <w:rPr>
          <w:rFonts w:ascii="Arial" w:eastAsia="Times New Roman" w:hAnsi="Arial" w:cs="Arial"/>
        </w:rPr>
        <w:t>We are operating in a challenging market backdrop and we are adapting as we progress. We have made m</w:t>
      </w:r>
      <w:r w:rsidRPr="00F74468">
        <w:rPr>
          <w:rFonts w:ascii="Arial" w:eastAsia="Times New Roman" w:hAnsi="Arial" w:cs="Arial"/>
        </w:rPr>
        <w:t>anagement changes</w:t>
      </w:r>
      <w:r>
        <w:rPr>
          <w:rFonts w:ascii="Arial" w:eastAsia="Times New Roman" w:hAnsi="Arial" w:cs="Arial"/>
        </w:rPr>
        <w:t>, we are committed to stopping the</w:t>
      </w:r>
      <w:r w:rsidRPr="00F74468">
        <w:rPr>
          <w:rFonts w:ascii="Arial" w:eastAsia="Times New Roman" w:hAnsi="Arial" w:cs="Arial"/>
        </w:rPr>
        <w:t xml:space="preserve"> losses within the business</w:t>
      </w:r>
      <w:r>
        <w:rPr>
          <w:rFonts w:ascii="Arial" w:eastAsia="Times New Roman" w:hAnsi="Arial" w:cs="Arial"/>
        </w:rPr>
        <w:t xml:space="preserve"> and m</w:t>
      </w:r>
      <w:r w:rsidRPr="00F74468">
        <w:rPr>
          <w:rFonts w:ascii="Arial" w:eastAsia="Times New Roman" w:hAnsi="Arial" w:cs="Arial"/>
        </w:rPr>
        <w:t>aking the business more efficient</w:t>
      </w:r>
      <w:r>
        <w:rPr>
          <w:rFonts w:ascii="Arial" w:eastAsia="Times New Roman" w:hAnsi="Arial" w:cs="Arial"/>
        </w:rPr>
        <w:t xml:space="preserve">. </w:t>
      </w:r>
      <w:r>
        <w:rPr>
          <w:rFonts w:ascii="Arial" w:hAnsi="Arial" w:cs="Arial"/>
          <w:lang w:val="en-US"/>
        </w:rPr>
        <w:t>More details on these initiatives will follow in March 2019.</w:t>
      </w:r>
    </w:p>
    <w:bookmarkEnd w:id="34"/>
    <w:p w14:paraId="00098263" w14:textId="3D5A1958" w:rsidR="000C395E" w:rsidRDefault="000C395E" w:rsidP="006937CF">
      <w:pPr>
        <w:jc w:val="left"/>
        <w:rPr>
          <w:rFonts w:ascii="Arial" w:hAnsi="Arial" w:cs="Arial"/>
          <w:b/>
        </w:rPr>
      </w:pPr>
    </w:p>
    <w:p w14:paraId="448B2939" w14:textId="29B94AE5" w:rsidR="002237C2" w:rsidRDefault="002237C2" w:rsidP="006937CF">
      <w:pPr>
        <w:jc w:val="left"/>
        <w:rPr>
          <w:rFonts w:ascii="Arial" w:hAnsi="Arial" w:cs="Arial"/>
          <w:b/>
        </w:rPr>
      </w:pPr>
    </w:p>
    <w:p w14:paraId="447B0F34" w14:textId="77777777" w:rsidR="002237C2" w:rsidRDefault="002237C2" w:rsidP="006937CF">
      <w:pPr>
        <w:jc w:val="left"/>
        <w:rPr>
          <w:rFonts w:ascii="Arial" w:hAnsi="Arial" w:cs="Arial"/>
          <w:b/>
        </w:rPr>
      </w:pPr>
    </w:p>
    <w:p w14:paraId="726970E9" w14:textId="77777777" w:rsidR="001346A9" w:rsidRDefault="001346A9" w:rsidP="006937CF">
      <w:pPr>
        <w:jc w:val="left"/>
        <w:rPr>
          <w:rFonts w:ascii="Arial" w:hAnsi="Arial" w:cs="Arial"/>
          <w:b/>
        </w:rPr>
      </w:pPr>
    </w:p>
    <w:p w14:paraId="69155E04" w14:textId="6AE576C0" w:rsidR="006937CF" w:rsidRDefault="006937CF" w:rsidP="006937CF">
      <w:pPr>
        <w:jc w:val="left"/>
        <w:rPr>
          <w:rFonts w:ascii="Arial" w:hAnsi="Arial" w:cs="Arial"/>
          <w:b/>
        </w:rPr>
      </w:pPr>
      <w:bookmarkStart w:id="35" w:name="_Hlk524948114"/>
      <w:r>
        <w:rPr>
          <w:rFonts w:ascii="Arial" w:hAnsi="Arial" w:cs="Arial"/>
          <w:b/>
        </w:rPr>
        <w:t>Summary &amp; outlook</w:t>
      </w:r>
    </w:p>
    <w:p w14:paraId="0DE6FC78" w14:textId="77777777" w:rsidR="006937CF" w:rsidRDefault="006937CF" w:rsidP="00605A7F">
      <w:pPr>
        <w:jc w:val="left"/>
        <w:rPr>
          <w:rFonts w:ascii="Arial" w:hAnsi="Arial" w:cs="Arial"/>
        </w:rPr>
      </w:pPr>
    </w:p>
    <w:bookmarkEnd w:id="33"/>
    <w:p w14:paraId="4F10CB7A" w14:textId="6088AD00" w:rsidR="00605A7F" w:rsidRDefault="00605A7F" w:rsidP="00605A7F">
      <w:pPr>
        <w:jc w:val="left"/>
        <w:rPr>
          <w:rFonts w:ascii="Arial" w:hAnsi="Arial" w:cs="Arial"/>
          <w:lang w:val="en-US"/>
        </w:rPr>
      </w:pPr>
      <w:r>
        <w:rPr>
          <w:rFonts w:ascii="Arial" w:hAnsi="Arial" w:cs="Arial"/>
        </w:rPr>
        <w:t xml:space="preserve">Our transformation is </w:t>
      </w:r>
      <w:r w:rsidRPr="00347A6F">
        <w:rPr>
          <w:rFonts w:ascii="Arial" w:hAnsi="Arial" w:cs="Arial"/>
        </w:rPr>
        <w:t>complex</w:t>
      </w:r>
      <w:r>
        <w:rPr>
          <w:rFonts w:ascii="Arial" w:hAnsi="Arial" w:cs="Arial"/>
        </w:rPr>
        <w:t xml:space="preserve"> but necessary</w:t>
      </w:r>
      <w:r w:rsidR="004D1C10">
        <w:rPr>
          <w:rFonts w:ascii="Arial" w:hAnsi="Arial" w:cs="Arial"/>
        </w:rPr>
        <w:t>,</w:t>
      </w:r>
      <w:r>
        <w:rPr>
          <w:rFonts w:ascii="Arial" w:hAnsi="Arial" w:cs="Arial"/>
        </w:rPr>
        <w:t xml:space="preserve"> and </w:t>
      </w:r>
      <w:r w:rsidR="004D1C10">
        <w:rPr>
          <w:rFonts w:ascii="Arial" w:hAnsi="Arial" w:cs="Arial"/>
        </w:rPr>
        <w:t>our</w:t>
      </w:r>
      <w:r>
        <w:rPr>
          <w:rFonts w:ascii="Arial" w:hAnsi="Arial" w:cs="Arial"/>
        </w:rPr>
        <w:t xml:space="preserve"> opportunity remains </w:t>
      </w:r>
      <w:r w:rsidR="00A345DE">
        <w:rPr>
          <w:rFonts w:ascii="Arial" w:hAnsi="Arial" w:cs="Arial"/>
        </w:rPr>
        <w:t>significant</w:t>
      </w:r>
      <w:r w:rsidR="006937CF">
        <w:rPr>
          <w:rFonts w:ascii="Arial" w:hAnsi="Arial" w:cs="Arial"/>
        </w:rPr>
        <w:t>.</w:t>
      </w:r>
      <w:r>
        <w:rPr>
          <w:rFonts w:ascii="Arial" w:hAnsi="Arial" w:cs="Arial"/>
        </w:rPr>
        <w:t xml:space="preserve"> We face challenges that we are confident </w:t>
      </w:r>
      <w:r w:rsidR="006937CF">
        <w:rPr>
          <w:rFonts w:ascii="Arial" w:hAnsi="Arial" w:cs="Arial"/>
        </w:rPr>
        <w:t xml:space="preserve">the </w:t>
      </w:r>
      <w:r>
        <w:rPr>
          <w:rFonts w:ascii="Arial" w:hAnsi="Arial" w:cs="Arial"/>
        </w:rPr>
        <w:t xml:space="preserve">plan is addressing. </w:t>
      </w:r>
      <w:r w:rsidR="006937CF" w:rsidRPr="009223DA">
        <w:rPr>
          <w:rFonts w:ascii="Arial" w:hAnsi="Arial" w:cs="Arial"/>
        </w:rPr>
        <w:t xml:space="preserve">We </w:t>
      </w:r>
      <w:r w:rsidR="006937CF">
        <w:rPr>
          <w:rFonts w:ascii="Arial" w:hAnsi="Arial" w:cs="Arial"/>
        </w:rPr>
        <w:t>continue to build</w:t>
      </w:r>
      <w:r w:rsidR="006937CF" w:rsidRPr="009223DA">
        <w:rPr>
          <w:rFonts w:ascii="Arial" w:hAnsi="Arial" w:cs="Arial"/>
        </w:rPr>
        <w:t xml:space="preserve"> the ONE Kingfisher ‘engine’ to </w:t>
      </w:r>
      <w:r w:rsidR="004D1C10">
        <w:rPr>
          <w:rFonts w:ascii="Arial" w:hAnsi="Arial" w:cs="Arial"/>
        </w:rPr>
        <w:t xml:space="preserve">create </w:t>
      </w:r>
      <w:r w:rsidR="00910D65">
        <w:rPr>
          <w:rFonts w:ascii="Arial" w:hAnsi="Arial" w:cs="Arial"/>
        </w:rPr>
        <w:t xml:space="preserve">a </w:t>
      </w:r>
      <w:r w:rsidR="004D1C10">
        <w:rPr>
          <w:rFonts w:ascii="Arial" w:hAnsi="Arial" w:cs="Arial"/>
        </w:rPr>
        <w:t>sustainable</w:t>
      </w:r>
      <w:r w:rsidR="004D1C10" w:rsidRPr="009223DA">
        <w:rPr>
          <w:rFonts w:ascii="Arial" w:hAnsi="Arial" w:cs="Arial"/>
        </w:rPr>
        <w:t xml:space="preserve"> </w:t>
      </w:r>
      <w:r w:rsidR="006937CF" w:rsidRPr="009223DA">
        <w:rPr>
          <w:rFonts w:ascii="Arial" w:hAnsi="Arial" w:cs="Arial"/>
        </w:rPr>
        <w:t xml:space="preserve">platform for growth. </w:t>
      </w:r>
      <w:r>
        <w:rPr>
          <w:rFonts w:ascii="Arial" w:hAnsi="Arial" w:cs="Arial"/>
          <w:lang w:val="en-US"/>
        </w:rPr>
        <w:t xml:space="preserve">In 2019/20, year 4 of our plan, more of our business </w:t>
      </w:r>
      <w:r w:rsidR="00D8336B">
        <w:rPr>
          <w:rFonts w:ascii="Arial" w:hAnsi="Arial" w:cs="Arial"/>
          <w:lang w:val="en-US"/>
        </w:rPr>
        <w:t xml:space="preserve">will </w:t>
      </w:r>
      <w:r>
        <w:rPr>
          <w:rFonts w:ascii="Arial" w:hAnsi="Arial" w:cs="Arial"/>
          <w:lang w:val="en-US"/>
        </w:rPr>
        <w:t xml:space="preserve">have transitioned to our new operating model than the old, we </w:t>
      </w:r>
      <w:r w:rsidR="00234F66">
        <w:rPr>
          <w:rFonts w:ascii="Arial" w:hAnsi="Arial" w:cs="Arial"/>
          <w:lang w:val="en-US"/>
        </w:rPr>
        <w:t xml:space="preserve">expect to </w:t>
      </w:r>
      <w:r>
        <w:rPr>
          <w:rFonts w:ascii="Arial" w:hAnsi="Arial" w:cs="Arial"/>
          <w:lang w:val="en-US"/>
        </w:rPr>
        <w:t xml:space="preserve">have unified </w:t>
      </w:r>
      <w:r w:rsidR="00171FC9">
        <w:rPr>
          <w:rFonts w:ascii="Arial" w:hAnsi="Arial" w:cs="Arial"/>
          <w:lang w:val="en-US"/>
        </w:rPr>
        <w:t>around</w:t>
      </w:r>
      <w:r w:rsidR="00171FC9" w:rsidRPr="00D30EAA">
        <w:rPr>
          <w:rFonts w:ascii="Arial" w:hAnsi="Arial" w:cs="Arial"/>
          <w:lang w:val="en-US"/>
        </w:rPr>
        <w:t xml:space="preserve"> </w:t>
      </w:r>
      <w:r w:rsidRPr="00D30EAA">
        <w:rPr>
          <w:rFonts w:ascii="Arial" w:hAnsi="Arial" w:cs="Arial"/>
          <w:lang w:val="en-US"/>
        </w:rPr>
        <w:t>half</w:t>
      </w:r>
      <w:r>
        <w:rPr>
          <w:rFonts w:ascii="Arial" w:hAnsi="Arial" w:cs="Arial"/>
          <w:lang w:val="en-US"/>
        </w:rPr>
        <w:t xml:space="preserve"> of our product (COGS) and our unified IT platform will have been completed. </w:t>
      </w:r>
    </w:p>
    <w:bookmarkEnd w:id="35"/>
    <w:p w14:paraId="50040073" w14:textId="0B8FBCC5" w:rsidR="00605A7F" w:rsidRDefault="00605A7F" w:rsidP="00612CB1">
      <w:pPr>
        <w:jc w:val="left"/>
        <w:rPr>
          <w:rFonts w:ascii="Arial" w:hAnsi="Arial" w:cs="Arial"/>
        </w:rPr>
      </w:pPr>
    </w:p>
    <w:p w14:paraId="5D42DE7F" w14:textId="6FEFACED" w:rsidR="0014117E" w:rsidRPr="00AB52F3" w:rsidRDefault="00FF5542">
      <w:pPr>
        <w:jc w:val="left"/>
        <w:rPr>
          <w:rFonts w:ascii="Arial" w:hAnsi="Arial" w:cs="Arial"/>
          <w:lang w:val="en-US"/>
        </w:rPr>
      </w:pPr>
      <w:r w:rsidRPr="003D4DBB">
        <w:rPr>
          <w:rFonts w:ascii="Arial" w:hAnsi="Arial" w:cs="Arial"/>
          <w:lang w:val="en-US"/>
        </w:rPr>
        <w:t>The outlook by country</w:t>
      </w:r>
      <w:r w:rsidR="00425170" w:rsidRPr="003D4DBB">
        <w:rPr>
          <w:rFonts w:ascii="Arial" w:hAnsi="Arial" w:cs="Arial"/>
          <w:lang w:val="en-US"/>
        </w:rPr>
        <w:t xml:space="preserve"> </w:t>
      </w:r>
      <w:r w:rsidR="0027498B" w:rsidRPr="004215EF">
        <w:rPr>
          <w:rFonts w:ascii="Arial" w:hAnsi="Arial" w:cs="Arial"/>
          <w:lang w:val="en-US"/>
        </w:rPr>
        <w:t>is mixed</w:t>
      </w:r>
      <w:r w:rsidRPr="003D4DBB">
        <w:rPr>
          <w:rFonts w:ascii="Arial" w:hAnsi="Arial" w:cs="Arial"/>
          <w:lang w:val="en-US"/>
        </w:rPr>
        <w:t xml:space="preserve">. </w:t>
      </w:r>
      <w:r w:rsidR="003864AD">
        <w:rPr>
          <w:rFonts w:ascii="Arial" w:hAnsi="Arial" w:cs="Arial"/>
        </w:rPr>
        <w:t>We firmly believe in the transformation plan benefits and maintain our ambition. The environment is making our task more difficult than expected and we will always take the right decisions for the company in the long-term.</w:t>
      </w:r>
      <w:r w:rsidR="0014117E" w:rsidRPr="00AB52F3">
        <w:rPr>
          <w:rFonts w:ascii="Arial" w:hAnsi="Arial" w:cs="Arial"/>
          <w:lang w:val="en-US"/>
        </w:rPr>
        <w:br w:type="page"/>
      </w:r>
    </w:p>
    <w:p w14:paraId="196F81F3" w14:textId="022B96BF" w:rsidR="00C62542" w:rsidRPr="00AC598B" w:rsidRDefault="00C62542" w:rsidP="00C62542">
      <w:pPr>
        <w:jc w:val="left"/>
        <w:rPr>
          <w:rFonts w:ascii="Arial" w:hAnsi="Arial" w:cs="Arial"/>
          <w:b/>
          <w:bCs/>
        </w:rPr>
      </w:pPr>
      <w:r w:rsidRPr="00AC598B">
        <w:rPr>
          <w:rFonts w:ascii="Arial" w:hAnsi="Arial" w:cs="Arial"/>
          <w:b/>
          <w:bCs/>
        </w:rPr>
        <w:t xml:space="preserve">Section 2: Trading review by </w:t>
      </w:r>
      <w:r w:rsidR="00130A12" w:rsidRPr="00AC598B">
        <w:rPr>
          <w:rFonts w:ascii="Arial" w:hAnsi="Arial" w:cs="Arial"/>
          <w:b/>
          <w:bCs/>
        </w:rPr>
        <w:t>division</w:t>
      </w:r>
      <w:r w:rsidRPr="00AC598B">
        <w:rPr>
          <w:rFonts w:ascii="Arial" w:hAnsi="Arial" w:cs="Arial"/>
          <w:b/>
          <w:bCs/>
        </w:rPr>
        <w:t xml:space="preserve">  </w:t>
      </w:r>
    </w:p>
    <w:p w14:paraId="4FF9B413" w14:textId="06A9ED73" w:rsidR="00DA4C33" w:rsidRPr="00AC598B" w:rsidRDefault="00DA4C33" w:rsidP="00C62542">
      <w:pPr>
        <w:jc w:val="left"/>
        <w:rPr>
          <w:rFonts w:ascii="Arial" w:hAnsi="Arial" w:cs="Arial"/>
          <w:b/>
          <w:bCs/>
        </w:rPr>
      </w:pPr>
    </w:p>
    <w:p w14:paraId="4006F752" w14:textId="0BE152BE" w:rsidR="00DA4C33" w:rsidRPr="00AC598B" w:rsidRDefault="00DA4C33" w:rsidP="00C62542">
      <w:pPr>
        <w:jc w:val="left"/>
        <w:rPr>
          <w:rFonts w:ascii="Arial" w:hAnsi="Arial" w:cs="Arial"/>
          <w:bCs/>
          <w:i/>
        </w:rPr>
      </w:pPr>
      <w:r w:rsidRPr="00AC598B">
        <w:rPr>
          <w:rFonts w:ascii="Arial" w:hAnsi="Arial" w:cs="Arial"/>
          <w:bCs/>
          <w:i/>
        </w:rPr>
        <w:t>Note: all commentary below is in constant currencies</w:t>
      </w:r>
    </w:p>
    <w:p w14:paraId="287E898C" w14:textId="77777777" w:rsidR="00C62542" w:rsidRPr="00AC598B" w:rsidRDefault="00C62542" w:rsidP="007D43ED">
      <w:pPr>
        <w:jc w:val="left"/>
        <w:rPr>
          <w:rFonts w:ascii="Arial" w:hAnsi="Arial" w:cs="Arial"/>
          <w:b/>
          <w:bCs/>
        </w:rPr>
      </w:pPr>
    </w:p>
    <w:p w14:paraId="5227C549" w14:textId="6AF432C0" w:rsidR="007D43ED" w:rsidRPr="00AC598B" w:rsidRDefault="007D43ED" w:rsidP="007D43ED">
      <w:pPr>
        <w:jc w:val="left"/>
        <w:rPr>
          <w:rFonts w:ascii="Arial" w:hAnsi="Arial" w:cs="Arial"/>
          <w:b/>
          <w:bCs/>
        </w:rPr>
      </w:pPr>
      <w:r w:rsidRPr="00AC598B">
        <w:rPr>
          <w:rFonts w:ascii="Arial" w:hAnsi="Arial" w:cs="Arial"/>
          <w:b/>
          <w:bCs/>
        </w:rPr>
        <w:t>UK &amp; IRELAND</w:t>
      </w:r>
      <w:r w:rsidR="005E757F">
        <w:rPr>
          <w:rFonts w:ascii="Arial" w:hAnsi="Arial" w:cs="Arial"/>
          <w:b/>
          <w:bCs/>
        </w:rPr>
        <w:t>*</w:t>
      </w:r>
    </w:p>
    <w:p w14:paraId="5AC85596" w14:textId="77777777" w:rsidR="007D43ED" w:rsidRPr="00AC598B" w:rsidRDefault="007D43ED" w:rsidP="007D43ED">
      <w:pPr>
        <w:jc w:val="left"/>
        <w:rPr>
          <w:rFonts w:ascii="Arial" w:hAnsi="Arial" w:cs="Arial"/>
          <w:b/>
          <w:bCs/>
        </w:rPr>
      </w:pPr>
    </w:p>
    <w:tbl>
      <w:tblPr>
        <w:tblW w:w="48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1310"/>
        <w:gridCol w:w="1306"/>
        <w:gridCol w:w="1596"/>
        <w:gridCol w:w="1741"/>
        <w:gridCol w:w="1161"/>
      </w:tblGrid>
      <w:tr w:rsidR="007D43ED" w:rsidRPr="00667C8E" w14:paraId="13623A01" w14:textId="77777777" w:rsidTr="00925EFB">
        <w:tc>
          <w:tcPr>
            <w:tcW w:w="1269" w:type="pct"/>
            <w:tcBorders>
              <w:bottom w:val="single" w:sz="4" w:space="0" w:color="auto"/>
            </w:tcBorders>
          </w:tcPr>
          <w:p w14:paraId="5288540D" w14:textId="77777777" w:rsidR="007D43ED" w:rsidRPr="00C64D89" w:rsidRDefault="007D43ED" w:rsidP="00C51098">
            <w:pPr>
              <w:rPr>
                <w:rFonts w:ascii="Arial" w:hAnsi="Arial" w:cs="Arial"/>
                <w:b/>
              </w:rPr>
            </w:pPr>
            <w:r w:rsidRPr="00C64D89">
              <w:rPr>
                <w:rFonts w:ascii="Arial" w:hAnsi="Arial" w:cs="Arial"/>
                <w:b/>
              </w:rPr>
              <w:t>£m</w:t>
            </w:r>
          </w:p>
        </w:tc>
        <w:tc>
          <w:tcPr>
            <w:tcW w:w="687" w:type="pct"/>
            <w:tcBorders>
              <w:bottom w:val="single" w:sz="4" w:space="0" w:color="auto"/>
            </w:tcBorders>
          </w:tcPr>
          <w:p w14:paraId="530D5A87" w14:textId="51282C29" w:rsidR="007D43ED" w:rsidRPr="00AB52F3" w:rsidRDefault="007D43ED">
            <w:pPr>
              <w:jc w:val="right"/>
              <w:rPr>
                <w:rFonts w:ascii="Arial" w:hAnsi="Arial" w:cs="Arial"/>
                <w:b/>
              </w:rPr>
            </w:pPr>
            <w:r w:rsidRPr="0089408C">
              <w:rPr>
                <w:rFonts w:ascii="Arial" w:hAnsi="Arial" w:cs="Arial"/>
                <w:b/>
                <w:bCs/>
              </w:rPr>
              <w:t>201</w:t>
            </w:r>
            <w:r w:rsidR="00FE08B5" w:rsidRPr="0089408C">
              <w:rPr>
                <w:rFonts w:ascii="Arial" w:hAnsi="Arial" w:cs="Arial"/>
                <w:b/>
                <w:bCs/>
              </w:rPr>
              <w:t>8</w:t>
            </w:r>
            <w:r w:rsidR="002F5458" w:rsidRPr="0089408C">
              <w:rPr>
                <w:rFonts w:ascii="Arial" w:hAnsi="Arial" w:cs="Arial"/>
                <w:b/>
                <w:bCs/>
              </w:rPr>
              <w:t>/1</w:t>
            </w:r>
            <w:r w:rsidR="00FE08B5" w:rsidRPr="0089408C">
              <w:rPr>
                <w:rFonts w:ascii="Arial" w:hAnsi="Arial" w:cs="Arial"/>
                <w:b/>
                <w:bCs/>
              </w:rPr>
              <w:t>9</w:t>
            </w:r>
          </w:p>
        </w:tc>
        <w:tc>
          <w:tcPr>
            <w:tcW w:w="685" w:type="pct"/>
            <w:tcBorders>
              <w:bottom w:val="single" w:sz="4" w:space="0" w:color="auto"/>
            </w:tcBorders>
          </w:tcPr>
          <w:p w14:paraId="4256C4C9" w14:textId="22FA3624" w:rsidR="007D43ED" w:rsidRPr="00AC598B" w:rsidRDefault="007D43ED">
            <w:pPr>
              <w:jc w:val="right"/>
              <w:rPr>
                <w:rFonts w:ascii="Arial" w:hAnsi="Arial" w:cs="Arial"/>
                <w:b/>
                <w:bCs/>
              </w:rPr>
            </w:pPr>
            <w:r w:rsidRPr="00AC598B">
              <w:rPr>
                <w:rFonts w:ascii="Arial" w:hAnsi="Arial" w:cs="Arial"/>
                <w:b/>
                <w:bCs/>
              </w:rPr>
              <w:t>201</w:t>
            </w:r>
            <w:r w:rsidR="00FE08B5">
              <w:rPr>
                <w:rFonts w:ascii="Arial" w:hAnsi="Arial" w:cs="Arial"/>
                <w:b/>
                <w:bCs/>
              </w:rPr>
              <w:t>7</w:t>
            </w:r>
            <w:r w:rsidR="002F5458" w:rsidRPr="00AC598B">
              <w:rPr>
                <w:rFonts w:ascii="Arial" w:hAnsi="Arial" w:cs="Arial"/>
                <w:b/>
                <w:bCs/>
              </w:rPr>
              <w:t>/1</w:t>
            </w:r>
            <w:r w:rsidR="00FE08B5">
              <w:rPr>
                <w:rFonts w:ascii="Arial" w:hAnsi="Arial" w:cs="Arial"/>
                <w:b/>
                <w:bCs/>
              </w:rPr>
              <w:t>8</w:t>
            </w:r>
          </w:p>
        </w:tc>
        <w:tc>
          <w:tcPr>
            <w:tcW w:w="837" w:type="pct"/>
            <w:tcBorders>
              <w:bottom w:val="single" w:sz="4" w:space="0" w:color="auto"/>
            </w:tcBorders>
          </w:tcPr>
          <w:p w14:paraId="15C82166" w14:textId="77777777" w:rsidR="007D43ED" w:rsidRPr="00AC598B" w:rsidRDefault="007D43ED" w:rsidP="00C51098">
            <w:pPr>
              <w:jc w:val="right"/>
              <w:rPr>
                <w:rFonts w:ascii="Arial" w:hAnsi="Arial" w:cs="Arial"/>
                <w:b/>
                <w:bCs/>
              </w:rPr>
            </w:pPr>
            <w:r w:rsidRPr="00AC598B">
              <w:rPr>
                <w:rFonts w:ascii="Arial" w:hAnsi="Arial" w:cs="Arial"/>
                <w:b/>
                <w:bCs/>
              </w:rPr>
              <w:t>% Reported</w:t>
            </w:r>
            <w:r w:rsidRPr="00AC598B" w:rsidDel="00197636">
              <w:rPr>
                <w:rFonts w:ascii="Arial" w:hAnsi="Arial" w:cs="Arial"/>
                <w:b/>
                <w:bCs/>
              </w:rPr>
              <w:t xml:space="preserve"> </w:t>
            </w:r>
            <w:r w:rsidRPr="00AC598B">
              <w:rPr>
                <w:rFonts w:ascii="Arial" w:hAnsi="Arial" w:cs="Arial"/>
                <w:b/>
                <w:bCs/>
              </w:rPr>
              <w:t>Change</w:t>
            </w:r>
          </w:p>
          <w:p w14:paraId="39B5F962" w14:textId="77777777" w:rsidR="007D43ED" w:rsidRPr="00AC598B" w:rsidRDefault="007D43ED" w:rsidP="00C51098">
            <w:pPr>
              <w:jc w:val="right"/>
              <w:rPr>
                <w:rFonts w:ascii="Arial" w:hAnsi="Arial" w:cs="Arial"/>
                <w:b/>
                <w:bCs/>
              </w:rPr>
            </w:pPr>
          </w:p>
        </w:tc>
        <w:tc>
          <w:tcPr>
            <w:tcW w:w="913" w:type="pct"/>
            <w:tcBorders>
              <w:bottom w:val="single" w:sz="4" w:space="0" w:color="auto"/>
            </w:tcBorders>
          </w:tcPr>
          <w:p w14:paraId="152CE857" w14:textId="77777777" w:rsidR="007D43ED" w:rsidRPr="00AC598B" w:rsidRDefault="007D43ED" w:rsidP="00C51098">
            <w:pPr>
              <w:jc w:val="right"/>
              <w:rPr>
                <w:rFonts w:ascii="Arial" w:hAnsi="Arial" w:cs="Arial"/>
                <w:b/>
                <w:bCs/>
              </w:rPr>
            </w:pPr>
            <w:r w:rsidRPr="00AC598B">
              <w:rPr>
                <w:rFonts w:ascii="Arial" w:hAnsi="Arial" w:cs="Arial"/>
                <w:b/>
                <w:bCs/>
              </w:rPr>
              <w:t>% Constant</w:t>
            </w:r>
          </w:p>
          <w:p w14:paraId="76DA0CDF" w14:textId="77777777" w:rsidR="007D43ED" w:rsidRPr="00AC598B" w:rsidRDefault="007D43ED" w:rsidP="00C51098">
            <w:pPr>
              <w:jc w:val="right"/>
              <w:rPr>
                <w:rFonts w:ascii="Arial" w:hAnsi="Arial" w:cs="Arial"/>
                <w:b/>
                <w:bCs/>
              </w:rPr>
            </w:pPr>
            <w:r w:rsidRPr="00AC598B">
              <w:rPr>
                <w:rFonts w:ascii="Arial" w:hAnsi="Arial" w:cs="Arial"/>
                <w:b/>
                <w:bCs/>
              </w:rPr>
              <w:t>Currency</w:t>
            </w:r>
          </w:p>
          <w:p w14:paraId="262CBADA" w14:textId="77777777" w:rsidR="007D43ED" w:rsidRPr="00AC598B" w:rsidRDefault="007D43ED" w:rsidP="00C51098">
            <w:pPr>
              <w:jc w:val="right"/>
              <w:rPr>
                <w:rFonts w:ascii="Arial" w:hAnsi="Arial" w:cs="Arial"/>
                <w:b/>
                <w:bCs/>
              </w:rPr>
            </w:pPr>
            <w:r w:rsidRPr="00AC598B">
              <w:rPr>
                <w:rFonts w:ascii="Arial" w:hAnsi="Arial" w:cs="Arial"/>
                <w:b/>
                <w:bCs/>
              </w:rPr>
              <w:t xml:space="preserve">Change  </w:t>
            </w:r>
          </w:p>
        </w:tc>
        <w:tc>
          <w:tcPr>
            <w:tcW w:w="609" w:type="pct"/>
            <w:tcBorders>
              <w:bottom w:val="single" w:sz="4" w:space="0" w:color="auto"/>
            </w:tcBorders>
          </w:tcPr>
          <w:p w14:paraId="1D091025" w14:textId="77777777" w:rsidR="007D43ED" w:rsidRPr="00AC598B" w:rsidRDefault="007D43ED" w:rsidP="00C51098">
            <w:pPr>
              <w:ind w:hanging="108"/>
              <w:jc w:val="right"/>
              <w:rPr>
                <w:rFonts w:ascii="Arial" w:hAnsi="Arial" w:cs="Arial"/>
                <w:b/>
                <w:bCs/>
              </w:rPr>
            </w:pPr>
            <w:r w:rsidRPr="00AC598B">
              <w:rPr>
                <w:rFonts w:ascii="Arial" w:hAnsi="Arial" w:cs="Arial"/>
                <w:b/>
                <w:bCs/>
              </w:rPr>
              <w:t>% LFL</w:t>
            </w:r>
          </w:p>
          <w:p w14:paraId="7FBD11D6" w14:textId="77777777" w:rsidR="007D43ED" w:rsidRPr="00AC598B" w:rsidRDefault="007D43ED" w:rsidP="00C51098">
            <w:pPr>
              <w:ind w:hanging="108"/>
              <w:jc w:val="right"/>
              <w:rPr>
                <w:rFonts w:ascii="Arial" w:hAnsi="Arial" w:cs="Arial"/>
                <w:b/>
                <w:bCs/>
              </w:rPr>
            </w:pPr>
            <w:r w:rsidRPr="00AC598B">
              <w:rPr>
                <w:rFonts w:ascii="Arial" w:hAnsi="Arial" w:cs="Arial"/>
                <w:b/>
                <w:bCs/>
              </w:rPr>
              <w:t>Change</w:t>
            </w:r>
          </w:p>
        </w:tc>
      </w:tr>
      <w:tr w:rsidR="007D43ED" w:rsidRPr="00976463" w14:paraId="1E76307D" w14:textId="77777777" w:rsidTr="00925EFB">
        <w:trPr>
          <w:trHeight w:val="147"/>
        </w:trPr>
        <w:tc>
          <w:tcPr>
            <w:tcW w:w="1269" w:type="pct"/>
            <w:tcBorders>
              <w:bottom w:val="single" w:sz="4" w:space="0" w:color="auto"/>
            </w:tcBorders>
          </w:tcPr>
          <w:p w14:paraId="3A57E432" w14:textId="77777777" w:rsidR="007D43ED" w:rsidRPr="00976463" w:rsidRDefault="007D43ED" w:rsidP="00C51098">
            <w:pPr>
              <w:rPr>
                <w:rFonts w:ascii="Arial" w:hAnsi="Arial" w:cs="Arial"/>
                <w:b/>
              </w:rPr>
            </w:pPr>
            <w:r w:rsidRPr="00976463">
              <w:rPr>
                <w:rFonts w:ascii="Arial" w:hAnsi="Arial" w:cs="Arial"/>
                <w:b/>
                <w:bCs/>
              </w:rPr>
              <w:t>Sales</w:t>
            </w:r>
          </w:p>
        </w:tc>
        <w:tc>
          <w:tcPr>
            <w:tcW w:w="687" w:type="pct"/>
            <w:tcBorders>
              <w:bottom w:val="single" w:sz="4" w:space="0" w:color="auto"/>
            </w:tcBorders>
          </w:tcPr>
          <w:p w14:paraId="58DA35F8" w14:textId="6F685400" w:rsidR="007D43ED" w:rsidRPr="0089408C" w:rsidRDefault="00C07D1E" w:rsidP="00C51098">
            <w:pPr>
              <w:jc w:val="right"/>
              <w:rPr>
                <w:rFonts w:ascii="Arial" w:hAnsi="Arial" w:cs="Arial"/>
              </w:rPr>
            </w:pPr>
            <w:r w:rsidRPr="0089408C">
              <w:rPr>
                <w:rFonts w:ascii="Arial" w:hAnsi="Arial" w:cs="Arial"/>
              </w:rPr>
              <w:t>2,635</w:t>
            </w:r>
          </w:p>
        </w:tc>
        <w:tc>
          <w:tcPr>
            <w:tcW w:w="685" w:type="pct"/>
            <w:tcBorders>
              <w:bottom w:val="single" w:sz="4" w:space="0" w:color="auto"/>
            </w:tcBorders>
          </w:tcPr>
          <w:p w14:paraId="465542D6" w14:textId="688E8D75" w:rsidR="007D43ED" w:rsidRPr="00976463" w:rsidRDefault="00CB655D" w:rsidP="00C51098">
            <w:pPr>
              <w:jc w:val="right"/>
              <w:rPr>
                <w:rFonts w:ascii="Arial" w:hAnsi="Arial" w:cs="Arial"/>
              </w:rPr>
            </w:pPr>
            <w:r w:rsidRPr="00976463">
              <w:rPr>
                <w:rFonts w:ascii="Arial" w:hAnsi="Arial" w:cs="Arial"/>
              </w:rPr>
              <w:t>2,</w:t>
            </w:r>
            <w:r w:rsidR="00E12CCC" w:rsidRPr="00976463">
              <w:rPr>
                <w:rFonts w:ascii="Arial" w:hAnsi="Arial" w:cs="Arial"/>
              </w:rPr>
              <w:t>60</w:t>
            </w:r>
            <w:r w:rsidR="00FE08B5" w:rsidRPr="00976463">
              <w:rPr>
                <w:rFonts w:ascii="Arial" w:hAnsi="Arial" w:cs="Arial"/>
              </w:rPr>
              <w:t>2</w:t>
            </w:r>
          </w:p>
        </w:tc>
        <w:tc>
          <w:tcPr>
            <w:tcW w:w="837" w:type="pct"/>
            <w:tcBorders>
              <w:bottom w:val="single" w:sz="4" w:space="0" w:color="auto"/>
            </w:tcBorders>
          </w:tcPr>
          <w:p w14:paraId="4FF1DA1E" w14:textId="106B7811" w:rsidR="007D43ED" w:rsidRPr="00976463" w:rsidRDefault="00BC7831" w:rsidP="00C51098">
            <w:pPr>
              <w:jc w:val="right"/>
              <w:rPr>
                <w:rFonts w:ascii="Arial" w:hAnsi="Arial" w:cs="Arial"/>
              </w:rPr>
            </w:pPr>
            <w:r w:rsidRPr="00F01C34">
              <w:rPr>
                <w:rFonts w:ascii="Arial" w:hAnsi="Arial" w:cs="Arial"/>
              </w:rPr>
              <w:t>+</w:t>
            </w:r>
            <w:r w:rsidR="00C07D1E" w:rsidRPr="00F01C34">
              <w:rPr>
                <w:rFonts w:ascii="Arial" w:hAnsi="Arial" w:cs="Arial"/>
              </w:rPr>
              <w:t>1.3</w:t>
            </w:r>
            <w:r w:rsidR="00FE08B5" w:rsidRPr="00F01C34">
              <w:rPr>
                <w:rFonts w:ascii="Arial" w:hAnsi="Arial" w:cs="Arial"/>
              </w:rPr>
              <w:t>%</w:t>
            </w:r>
          </w:p>
        </w:tc>
        <w:tc>
          <w:tcPr>
            <w:tcW w:w="913" w:type="pct"/>
            <w:tcBorders>
              <w:bottom w:val="single" w:sz="4" w:space="0" w:color="auto"/>
            </w:tcBorders>
          </w:tcPr>
          <w:p w14:paraId="0C498A97" w14:textId="05E9E598" w:rsidR="007D43ED" w:rsidRPr="00976463" w:rsidRDefault="00BC7831" w:rsidP="00C51098">
            <w:pPr>
              <w:jc w:val="right"/>
              <w:rPr>
                <w:rFonts w:ascii="Arial" w:hAnsi="Arial" w:cs="Arial"/>
              </w:rPr>
            </w:pPr>
            <w:r w:rsidRPr="00F01C34">
              <w:rPr>
                <w:rFonts w:ascii="Arial" w:hAnsi="Arial" w:cs="Arial"/>
              </w:rPr>
              <w:t>+</w:t>
            </w:r>
            <w:r w:rsidR="00C07D1E" w:rsidRPr="00F01C34">
              <w:rPr>
                <w:rFonts w:ascii="Arial" w:hAnsi="Arial" w:cs="Arial"/>
              </w:rPr>
              <w:t>1.3</w:t>
            </w:r>
            <w:r w:rsidR="002E5D72" w:rsidRPr="00976463">
              <w:rPr>
                <w:rFonts w:ascii="Arial" w:hAnsi="Arial" w:cs="Arial"/>
              </w:rPr>
              <w:t>%</w:t>
            </w:r>
          </w:p>
        </w:tc>
        <w:tc>
          <w:tcPr>
            <w:tcW w:w="609" w:type="pct"/>
            <w:tcBorders>
              <w:bottom w:val="single" w:sz="4" w:space="0" w:color="auto"/>
            </w:tcBorders>
          </w:tcPr>
          <w:p w14:paraId="7C568696" w14:textId="79199B48" w:rsidR="007D43ED" w:rsidRPr="00976463" w:rsidRDefault="00360AAC" w:rsidP="00C51098">
            <w:pPr>
              <w:jc w:val="right"/>
              <w:rPr>
                <w:rFonts w:ascii="Arial" w:hAnsi="Arial" w:cs="Arial"/>
              </w:rPr>
            </w:pPr>
            <w:r w:rsidRPr="00F01C34">
              <w:rPr>
                <w:rFonts w:ascii="Arial" w:hAnsi="Arial" w:cs="Arial"/>
              </w:rPr>
              <w:t>(</w:t>
            </w:r>
            <w:proofErr w:type="gramStart"/>
            <w:r w:rsidRPr="00F01C34">
              <w:rPr>
                <w:rFonts w:ascii="Arial" w:hAnsi="Arial" w:cs="Arial"/>
              </w:rPr>
              <w:t>0.</w:t>
            </w:r>
            <w:r w:rsidR="00C07D1E" w:rsidRPr="00F01C34">
              <w:rPr>
                <w:rFonts w:ascii="Arial" w:hAnsi="Arial" w:cs="Arial"/>
              </w:rPr>
              <w:t>5</w:t>
            </w:r>
            <w:r w:rsidRPr="00F01C34">
              <w:rPr>
                <w:rFonts w:ascii="Arial" w:hAnsi="Arial" w:cs="Arial"/>
              </w:rPr>
              <w:t>)</w:t>
            </w:r>
            <w:r w:rsidR="002E5D72" w:rsidRPr="00F01C34">
              <w:rPr>
                <w:rFonts w:ascii="Arial" w:hAnsi="Arial" w:cs="Arial"/>
              </w:rPr>
              <w:t>%</w:t>
            </w:r>
            <w:proofErr w:type="gramEnd"/>
          </w:p>
        </w:tc>
      </w:tr>
      <w:tr w:rsidR="007D43ED" w:rsidRPr="00976463" w14:paraId="6BBBF499" w14:textId="77777777" w:rsidTr="00925EFB">
        <w:trPr>
          <w:gridAfter w:val="1"/>
          <w:wAfter w:w="609" w:type="pct"/>
        </w:trPr>
        <w:tc>
          <w:tcPr>
            <w:tcW w:w="1269" w:type="pct"/>
            <w:tcBorders>
              <w:top w:val="nil"/>
              <w:left w:val="nil"/>
              <w:bottom w:val="single" w:sz="4" w:space="0" w:color="auto"/>
              <w:right w:val="nil"/>
            </w:tcBorders>
          </w:tcPr>
          <w:p w14:paraId="372EF8F6" w14:textId="77777777" w:rsidR="007D43ED" w:rsidRPr="00976463" w:rsidRDefault="007D43ED" w:rsidP="00C51098">
            <w:pPr>
              <w:rPr>
                <w:rFonts w:ascii="Arial" w:hAnsi="Arial" w:cs="Arial"/>
                <w:bCs/>
              </w:rPr>
            </w:pPr>
          </w:p>
        </w:tc>
        <w:tc>
          <w:tcPr>
            <w:tcW w:w="687" w:type="pct"/>
            <w:tcBorders>
              <w:top w:val="nil"/>
              <w:left w:val="nil"/>
              <w:bottom w:val="single" w:sz="4" w:space="0" w:color="auto"/>
              <w:right w:val="nil"/>
            </w:tcBorders>
          </w:tcPr>
          <w:p w14:paraId="2011CF22" w14:textId="77777777" w:rsidR="007D43ED" w:rsidRPr="0089408C" w:rsidRDefault="007D43ED" w:rsidP="00C51098">
            <w:pPr>
              <w:jc w:val="right"/>
              <w:rPr>
                <w:rFonts w:ascii="Arial" w:hAnsi="Arial" w:cs="Arial"/>
              </w:rPr>
            </w:pPr>
          </w:p>
        </w:tc>
        <w:tc>
          <w:tcPr>
            <w:tcW w:w="685" w:type="pct"/>
            <w:tcBorders>
              <w:top w:val="nil"/>
              <w:left w:val="nil"/>
              <w:bottom w:val="single" w:sz="4" w:space="0" w:color="auto"/>
              <w:right w:val="nil"/>
            </w:tcBorders>
          </w:tcPr>
          <w:p w14:paraId="6644160E" w14:textId="77777777" w:rsidR="007D43ED" w:rsidRPr="00976463" w:rsidRDefault="007D43ED" w:rsidP="00C51098">
            <w:pPr>
              <w:jc w:val="right"/>
              <w:rPr>
                <w:rFonts w:ascii="Arial" w:hAnsi="Arial" w:cs="Arial"/>
              </w:rPr>
            </w:pPr>
          </w:p>
        </w:tc>
        <w:tc>
          <w:tcPr>
            <w:tcW w:w="837" w:type="pct"/>
            <w:tcBorders>
              <w:top w:val="nil"/>
              <w:left w:val="nil"/>
              <w:bottom w:val="single" w:sz="4" w:space="0" w:color="auto"/>
              <w:right w:val="nil"/>
            </w:tcBorders>
          </w:tcPr>
          <w:p w14:paraId="5D0EF498" w14:textId="77777777" w:rsidR="007D43ED" w:rsidRPr="00976463" w:rsidRDefault="007D43ED" w:rsidP="00C51098">
            <w:pPr>
              <w:jc w:val="right"/>
              <w:rPr>
                <w:rFonts w:ascii="Arial" w:hAnsi="Arial" w:cs="Arial"/>
              </w:rPr>
            </w:pPr>
          </w:p>
        </w:tc>
        <w:tc>
          <w:tcPr>
            <w:tcW w:w="913" w:type="pct"/>
            <w:tcBorders>
              <w:top w:val="nil"/>
              <w:left w:val="nil"/>
              <w:bottom w:val="single" w:sz="4" w:space="0" w:color="auto"/>
              <w:right w:val="nil"/>
            </w:tcBorders>
          </w:tcPr>
          <w:p w14:paraId="21CA5F6F" w14:textId="77777777" w:rsidR="007D43ED" w:rsidRPr="00976463" w:rsidRDefault="007D43ED" w:rsidP="00C51098">
            <w:pPr>
              <w:jc w:val="right"/>
              <w:rPr>
                <w:rFonts w:ascii="Arial" w:hAnsi="Arial" w:cs="Arial"/>
              </w:rPr>
            </w:pPr>
          </w:p>
        </w:tc>
      </w:tr>
      <w:tr w:rsidR="007D43ED" w:rsidRPr="00976463" w14:paraId="358614F0" w14:textId="77777777" w:rsidTr="00925EFB">
        <w:trPr>
          <w:gridAfter w:val="1"/>
          <w:wAfter w:w="609" w:type="pct"/>
        </w:trPr>
        <w:tc>
          <w:tcPr>
            <w:tcW w:w="1269" w:type="pct"/>
            <w:tcBorders>
              <w:top w:val="single" w:sz="4" w:space="0" w:color="auto"/>
            </w:tcBorders>
          </w:tcPr>
          <w:p w14:paraId="24A3722B" w14:textId="77777777" w:rsidR="007D43ED" w:rsidRPr="00976463" w:rsidRDefault="007D43ED" w:rsidP="00C51098">
            <w:pPr>
              <w:rPr>
                <w:rFonts w:ascii="Arial" w:hAnsi="Arial" w:cs="Arial"/>
                <w:b/>
              </w:rPr>
            </w:pPr>
            <w:r w:rsidRPr="00976463">
              <w:rPr>
                <w:rFonts w:ascii="Arial" w:hAnsi="Arial" w:cs="Arial"/>
                <w:b/>
                <w:bCs/>
              </w:rPr>
              <w:t>Retail profit</w:t>
            </w:r>
          </w:p>
        </w:tc>
        <w:tc>
          <w:tcPr>
            <w:tcW w:w="687" w:type="pct"/>
            <w:tcBorders>
              <w:top w:val="single" w:sz="4" w:space="0" w:color="auto"/>
            </w:tcBorders>
          </w:tcPr>
          <w:p w14:paraId="2D5F9458" w14:textId="666719A8" w:rsidR="007D43ED" w:rsidRPr="0089408C" w:rsidRDefault="00BC7831">
            <w:pPr>
              <w:jc w:val="right"/>
              <w:rPr>
                <w:rFonts w:ascii="Arial" w:hAnsi="Arial" w:cs="Arial"/>
              </w:rPr>
            </w:pPr>
            <w:r w:rsidRPr="0089408C">
              <w:rPr>
                <w:rFonts w:ascii="Arial" w:hAnsi="Arial" w:cs="Arial"/>
              </w:rPr>
              <w:t>218</w:t>
            </w:r>
          </w:p>
        </w:tc>
        <w:tc>
          <w:tcPr>
            <w:tcW w:w="685" w:type="pct"/>
            <w:tcBorders>
              <w:top w:val="single" w:sz="4" w:space="0" w:color="auto"/>
            </w:tcBorders>
          </w:tcPr>
          <w:p w14:paraId="46CABAB3" w14:textId="29641C9B" w:rsidR="007D43ED" w:rsidRPr="00976463" w:rsidRDefault="00E12CCC" w:rsidP="00C51098">
            <w:pPr>
              <w:jc w:val="right"/>
              <w:rPr>
                <w:rFonts w:ascii="Arial" w:hAnsi="Arial" w:cs="Arial"/>
              </w:rPr>
            </w:pPr>
            <w:r w:rsidRPr="00976463">
              <w:rPr>
                <w:rFonts w:ascii="Arial" w:hAnsi="Arial" w:cs="Arial"/>
              </w:rPr>
              <w:t>2</w:t>
            </w:r>
            <w:r w:rsidR="00FE08B5" w:rsidRPr="00976463">
              <w:rPr>
                <w:rFonts w:ascii="Arial" w:hAnsi="Arial" w:cs="Arial"/>
              </w:rPr>
              <w:t>15</w:t>
            </w:r>
          </w:p>
        </w:tc>
        <w:tc>
          <w:tcPr>
            <w:tcW w:w="837" w:type="pct"/>
            <w:tcBorders>
              <w:top w:val="single" w:sz="4" w:space="0" w:color="auto"/>
            </w:tcBorders>
          </w:tcPr>
          <w:p w14:paraId="6A6950D9" w14:textId="4B40E98B" w:rsidR="007D43ED" w:rsidRPr="00976463" w:rsidRDefault="00FE08B5">
            <w:pPr>
              <w:jc w:val="right"/>
              <w:rPr>
                <w:rFonts w:ascii="Arial" w:hAnsi="Arial" w:cs="Arial"/>
              </w:rPr>
            </w:pPr>
            <w:r w:rsidRPr="00F01C34">
              <w:rPr>
                <w:rFonts w:ascii="Arial" w:hAnsi="Arial" w:cs="Arial"/>
              </w:rPr>
              <w:t>+</w:t>
            </w:r>
            <w:r w:rsidR="00BC7831" w:rsidRPr="00F01C34">
              <w:rPr>
                <w:rFonts w:ascii="Arial" w:hAnsi="Arial" w:cs="Arial"/>
              </w:rPr>
              <w:t>1.2%</w:t>
            </w:r>
          </w:p>
        </w:tc>
        <w:tc>
          <w:tcPr>
            <w:tcW w:w="913" w:type="pct"/>
            <w:tcBorders>
              <w:top w:val="single" w:sz="4" w:space="0" w:color="auto"/>
            </w:tcBorders>
          </w:tcPr>
          <w:p w14:paraId="654F7D48" w14:textId="144C451A" w:rsidR="007D43ED" w:rsidRPr="00976463" w:rsidRDefault="00FE08B5" w:rsidP="00DC3143">
            <w:pPr>
              <w:jc w:val="right"/>
              <w:rPr>
                <w:rFonts w:ascii="Arial" w:hAnsi="Arial" w:cs="Arial"/>
              </w:rPr>
            </w:pPr>
            <w:r w:rsidRPr="00F01C34">
              <w:rPr>
                <w:rFonts w:ascii="Arial" w:hAnsi="Arial" w:cs="Arial"/>
              </w:rPr>
              <w:t>+</w:t>
            </w:r>
            <w:r w:rsidR="00BC7831" w:rsidRPr="00F01C34">
              <w:rPr>
                <w:rFonts w:ascii="Arial" w:hAnsi="Arial" w:cs="Arial"/>
              </w:rPr>
              <w:t>1.2</w:t>
            </w:r>
            <w:r w:rsidRPr="00F01C34">
              <w:rPr>
                <w:rFonts w:ascii="Arial" w:hAnsi="Arial" w:cs="Arial"/>
              </w:rPr>
              <w:t>%</w:t>
            </w:r>
          </w:p>
        </w:tc>
      </w:tr>
    </w:tbl>
    <w:p w14:paraId="73DE1699" w14:textId="77777777" w:rsidR="007D43ED" w:rsidRPr="00976463" w:rsidRDefault="007D43ED" w:rsidP="007D43ED">
      <w:pPr>
        <w:jc w:val="left"/>
        <w:rPr>
          <w:rFonts w:ascii="Arial" w:hAnsi="Arial" w:cs="Arial"/>
        </w:rPr>
      </w:pPr>
    </w:p>
    <w:p w14:paraId="0AC1C40F" w14:textId="2FBA3182" w:rsidR="00E16A6C" w:rsidRPr="00AC598B" w:rsidRDefault="007D43ED" w:rsidP="007D43ED">
      <w:pPr>
        <w:jc w:val="left"/>
        <w:rPr>
          <w:rFonts w:ascii="Arial" w:hAnsi="Arial" w:cs="Arial"/>
          <w:highlight w:val="yellow"/>
        </w:rPr>
      </w:pPr>
      <w:r w:rsidRPr="00AC598B">
        <w:rPr>
          <w:rFonts w:ascii="Arial" w:hAnsi="Arial" w:cs="Arial"/>
        </w:rPr>
        <w:t xml:space="preserve">Kingfisher UK &amp; Ireland sales </w:t>
      </w:r>
      <w:r w:rsidR="00C07D1E">
        <w:rPr>
          <w:rFonts w:ascii="Arial" w:hAnsi="Arial" w:cs="Arial"/>
        </w:rPr>
        <w:t>increased</w:t>
      </w:r>
      <w:r w:rsidR="00C07D1E" w:rsidRPr="00AC598B">
        <w:rPr>
          <w:rFonts w:ascii="Arial" w:hAnsi="Arial" w:cs="Arial"/>
        </w:rPr>
        <w:t xml:space="preserve"> </w:t>
      </w:r>
      <w:r w:rsidR="00C07D1E">
        <w:rPr>
          <w:rFonts w:ascii="Arial" w:hAnsi="Arial" w:cs="Arial"/>
        </w:rPr>
        <w:t>1.3</w:t>
      </w:r>
      <w:r w:rsidRPr="00AC598B">
        <w:rPr>
          <w:rFonts w:ascii="Arial" w:hAnsi="Arial" w:cs="Arial"/>
        </w:rPr>
        <w:t>% (</w:t>
      </w:r>
      <w:r w:rsidR="00AF0459">
        <w:rPr>
          <w:rFonts w:ascii="Arial" w:hAnsi="Arial" w:cs="Arial"/>
        </w:rPr>
        <w:t>-0.</w:t>
      </w:r>
      <w:r w:rsidR="00C07D1E">
        <w:rPr>
          <w:rFonts w:ascii="Arial" w:hAnsi="Arial" w:cs="Arial"/>
        </w:rPr>
        <w:t>5</w:t>
      </w:r>
      <w:r w:rsidRPr="00AC598B">
        <w:rPr>
          <w:rFonts w:ascii="Arial" w:hAnsi="Arial" w:cs="Arial"/>
        </w:rPr>
        <w:t xml:space="preserve">% LFL) </w:t>
      </w:r>
      <w:r w:rsidR="00FF5542">
        <w:rPr>
          <w:rFonts w:ascii="Arial" w:hAnsi="Arial" w:cs="Arial"/>
        </w:rPr>
        <w:t>to £</w:t>
      </w:r>
      <w:r w:rsidR="00C07D1E">
        <w:rPr>
          <w:rFonts w:ascii="Arial" w:hAnsi="Arial" w:cs="Arial"/>
        </w:rPr>
        <w:t>2</w:t>
      </w:r>
      <w:r w:rsidR="00FF5542">
        <w:rPr>
          <w:rFonts w:ascii="Arial" w:hAnsi="Arial" w:cs="Arial"/>
        </w:rPr>
        <w:t>,</w:t>
      </w:r>
      <w:r w:rsidR="00C07D1E">
        <w:rPr>
          <w:rFonts w:ascii="Arial" w:hAnsi="Arial" w:cs="Arial"/>
        </w:rPr>
        <w:t>635</w:t>
      </w:r>
      <w:r w:rsidR="00BC7831">
        <w:rPr>
          <w:rFonts w:ascii="Arial" w:hAnsi="Arial" w:cs="Arial"/>
        </w:rPr>
        <w:t xml:space="preserve"> </w:t>
      </w:r>
      <w:r w:rsidR="00FF5542">
        <w:rPr>
          <w:rFonts w:ascii="Arial" w:hAnsi="Arial" w:cs="Arial"/>
        </w:rPr>
        <w:t>m</w:t>
      </w:r>
      <w:r w:rsidR="00BC7831">
        <w:rPr>
          <w:rFonts w:ascii="Arial" w:hAnsi="Arial" w:cs="Arial"/>
        </w:rPr>
        <w:t>illion</w:t>
      </w:r>
      <w:r w:rsidR="00FF5542">
        <w:rPr>
          <w:rFonts w:ascii="Arial" w:hAnsi="Arial" w:cs="Arial"/>
        </w:rPr>
        <w:t xml:space="preserve"> </w:t>
      </w:r>
      <w:r w:rsidR="00A345DE">
        <w:rPr>
          <w:rFonts w:ascii="Arial" w:hAnsi="Arial" w:cs="Arial"/>
        </w:rPr>
        <w:t>with</w:t>
      </w:r>
      <w:r w:rsidR="00573249">
        <w:rPr>
          <w:rFonts w:ascii="Arial" w:hAnsi="Arial" w:cs="Arial"/>
        </w:rPr>
        <w:t>in the context of a continuing weak consumer backdrop</w:t>
      </w:r>
      <w:r w:rsidR="00EF584B">
        <w:rPr>
          <w:rFonts w:ascii="Arial" w:hAnsi="Arial" w:cs="Arial"/>
        </w:rPr>
        <w:t xml:space="preserve">. </w:t>
      </w:r>
      <w:r w:rsidRPr="00AC598B">
        <w:rPr>
          <w:rFonts w:ascii="Arial" w:hAnsi="Arial" w:cs="Arial"/>
        </w:rPr>
        <w:t xml:space="preserve">Retail profit grew by </w:t>
      </w:r>
      <w:r w:rsidR="00BC7831">
        <w:rPr>
          <w:rFonts w:ascii="Arial" w:hAnsi="Arial" w:cs="Arial"/>
        </w:rPr>
        <w:t>1.2</w:t>
      </w:r>
      <w:r w:rsidRPr="00AC598B">
        <w:rPr>
          <w:rFonts w:ascii="Arial" w:hAnsi="Arial" w:cs="Arial"/>
        </w:rPr>
        <w:t xml:space="preserve">% to </w:t>
      </w:r>
      <w:r w:rsidRPr="003F4016">
        <w:rPr>
          <w:rFonts w:ascii="Arial" w:hAnsi="Arial" w:cs="Arial"/>
        </w:rPr>
        <w:t>£</w:t>
      </w:r>
      <w:r w:rsidR="00BC7831" w:rsidRPr="00F01C34">
        <w:rPr>
          <w:rFonts w:ascii="Arial" w:hAnsi="Arial" w:cs="Arial"/>
          <w:szCs w:val="24"/>
        </w:rPr>
        <w:t>218</w:t>
      </w:r>
      <w:r w:rsidR="002E5D72" w:rsidRPr="003F4016">
        <w:rPr>
          <w:rFonts w:ascii="Arial" w:hAnsi="Arial" w:cs="Arial"/>
        </w:rPr>
        <w:t xml:space="preserve"> </w:t>
      </w:r>
      <w:r w:rsidRPr="003F4016">
        <w:rPr>
          <w:rFonts w:ascii="Arial" w:hAnsi="Arial" w:cs="Arial"/>
        </w:rPr>
        <w:t>million</w:t>
      </w:r>
      <w:r w:rsidRPr="00AC598B">
        <w:rPr>
          <w:rFonts w:ascii="Arial" w:hAnsi="Arial" w:cs="Arial"/>
        </w:rPr>
        <w:t>. G</w:t>
      </w:r>
      <w:bookmarkStart w:id="36" w:name="_Hlk524514182"/>
      <w:r w:rsidRPr="00AC598B">
        <w:rPr>
          <w:rFonts w:ascii="Arial" w:hAnsi="Arial" w:cs="Arial"/>
        </w:rPr>
        <w:t xml:space="preserve">ross margin </w:t>
      </w:r>
      <w:r w:rsidR="00A345DE" w:rsidRPr="00AC598B">
        <w:rPr>
          <w:rFonts w:ascii="Arial" w:hAnsi="Arial" w:cs="Arial"/>
        </w:rPr>
        <w:t>w</w:t>
      </w:r>
      <w:r w:rsidR="00A345DE">
        <w:rPr>
          <w:rFonts w:ascii="Arial" w:hAnsi="Arial" w:cs="Arial"/>
        </w:rPr>
        <w:t>as</w:t>
      </w:r>
      <w:r w:rsidR="00A345DE" w:rsidRPr="00AC598B">
        <w:rPr>
          <w:rFonts w:ascii="Arial" w:hAnsi="Arial" w:cs="Arial"/>
        </w:rPr>
        <w:t xml:space="preserve"> </w:t>
      </w:r>
      <w:r w:rsidR="00FF5542" w:rsidRPr="003D4DBB">
        <w:rPr>
          <w:rFonts w:ascii="Arial" w:hAnsi="Arial" w:cs="Arial"/>
        </w:rPr>
        <w:t xml:space="preserve">down </w:t>
      </w:r>
      <w:r w:rsidR="00C07D1E" w:rsidRPr="003D4DBB">
        <w:rPr>
          <w:rFonts w:ascii="Arial" w:hAnsi="Arial" w:cs="Arial"/>
        </w:rPr>
        <w:t>3</w:t>
      </w:r>
      <w:r w:rsidR="00FF5542" w:rsidRPr="003D4DBB">
        <w:rPr>
          <w:rFonts w:ascii="Arial" w:hAnsi="Arial" w:cs="Arial"/>
        </w:rPr>
        <w:t>0 basis points</w:t>
      </w:r>
      <w:r w:rsidR="00AE0F23" w:rsidRPr="003D4DBB">
        <w:rPr>
          <w:rFonts w:ascii="Arial" w:hAnsi="Arial" w:cs="Arial"/>
        </w:rPr>
        <w:t xml:space="preserve"> </w:t>
      </w:r>
      <w:r w:rsidR="00094964">
        <w:rPr>
          <w:rFonts w:ascii="Arial" w:hAnsi="Arial" w:cs="Arial"/>
        </w:rPr>
        <w:t xml:space="preserve">mainly </w:t>
      </w:r>
      <w:r w:rsidR="00494EF5" w:rsidRPr="005209D5">
        <w:rPr>
          <w:rFonts w:ascii="Arial" w:hAnsi="Arial" w:cs="Arial"/>
        </w:rPr>
        <w:t xml:space="preserve">reflecting </w:t>
      </w:r>
      <w:r w:rsidR="008D7C50" w:rsidRPr="0007033F">
        <w:rPr>
          <w:rFonts w:ascii="Arial" w:hAnsi="Arial" w:cs="Arial"/>
        </w:rPr>
        <w:t>operating company mix</w:t>
      </w:r>
      <w:r w:rsidR="000625E4" w:rsidRPr="005209D5">
        <w:rPr>
          <w:rFonts w:ascii="Arial" w:hAnsi="Arial" w:cs="Arial"/>
        </w:rPr>
        <w:t xml:space="preserve"> </w:t>
      </w:r>
      <w:r w:rsidR="00F826A6" w:rsidRPr="00F74468">
        <w:rPr>
          <w:rFonts w:ascii="Arial" w:hAnsi="Arial" w:cs="Arial"/>
        </w:rPr>
        <w:t xml:space="preserve">and </w:t>
      </w:r>
      <w:r w:rsidR="00FF466D" w:rsidRPr="005209D5">
        <w:rPr>
          <w:rFonts w:ascii="Arial" w:hAnsi="Arial" w:cs="Arial"/>
        </w:rPr>
        <w:t>increased</w:t>
      </w:r>
      <w:r w:rsidR="008B30D8" w:rsidRPr="005209D5">
        <w:rPr>
          <w:rFonts w:ascii="Arial" w:hAnsi="Arial" w:cs="Arial"/>
        </w:rPr>
        <w:t xml:space="preserve"> logistics costs at Screwfix due to the opening of a new distribution centre</w:t>
      </w:r>
      <w:r w:rsidR="0027498B" w:rsidRPr="005209D5">
        <w:rPr>
          <w:rFonts w:ascii="Arial" w:hAnsi="Arial" w:cs="Arial"/>
        </w:rPr>
        <w:t>.</w:t>
      </w:r>
      <w:bookmarkEnd w:id="36"/>
      <w:r w:rsidR="00660C40" w:rsidRPr="005209D5">
        <w:rPr>
          <w:rFonts w:ascii="Arial" w:hAnsi="Arial" w:cs="Arial"/>
        </w:rPr>
        <w:t xml:space="preserve"> </w:t>
      </w:r>
      <w:r w:rsidR="00002818" w:rsidRPr="005209D5">
        <w:rPr>
          <w:rFonts w:ascii="Arial" w:hAnsi="Arial" w:cs="Arial"/>
        </w:rPr>
        <w:t>This</w:t>
      </w:r>
      <w:r w:rsidR="00002818">
        <w:rPr>
          <w:rFonts w:ascii="Arial" w:hAnsi="Arial" w:cs="Arial"/>
        </w:rPr>
        <w:t xml:space="preserve"> was </w:t>
      </w:r>
      <w:r w:rsidR="009E6791">
        <w:rPr>
          <w:rFonts w:ascii="Arial" w:hAnsi="Arial" w:cs="Arial"/>
        </w:rPr>
        <w:t>largely offset</w:t>
      </w:r>
      <w:r w:rsidR="0028616A">
        <w:rPr>
          <w:rFonts w:ascii="Arial" w:hAnsi="Arial" w:cs="Arial"/>
        </w:rPr>
        <w:t xml:space="preserve"> </w:t>
      </w:r>
      <w:r w:rsidR="00D8336B">
        <w:rPr>
          <w:rFonts w:ascii="Arial" w:hAnsi="Arial" w:cs="Arial"/>
        </w:rPr>
        <w:t>by</w:t>
      </w:r>
      <w:r w:rsidR="00002818">
        <w:rPr>
          <w:rFonts w:ascii="Arial" w:hAnsi="Arial" w:cs="Arial"/>
        </w:rPr>
        <w:t xml:space="preserve"> continued </w:t>
      </w:r>
      <w:r w:rsidR="000B34A0" w:rsidRPr="00AB52F3">
        <w:rPr>
          <w:rFonts w:ascii="Arial" w:hAnsi="Arial" w:cs="Arial"/>
        </w:rPr>
        <w:t>cost</w:t>
      </w:r>
      <w:r w:rsidR="00791A78" w:rsidRPr="00AB52F3">
        <w:rPr>
          <w:rFonts w:ascii="Arial" w:hAnsi="Arial" w:cs="Arial"/>
        </w:rPr>
        <w:t xml:space="preserve"> </w:t>
      </w:r>
      <w:r w:rsidRPr="00AB52F3">
        <w:rPr>
          <w:rFonts w:ascii="Arial" w:hAnsi="Arial" w:cs="Arial"/>
        </w:rPr>
        <w:t>control</w:t>
      </w:r>
      <w:r w:rsidRPr="00573249">
        <w:rPr>
          <w:rFonts w:ascii="Arial" w:hAnsi="Arial" w:cs="Arial"/>
        </w:rPr>
        <w:t>.</w:t>
      </w:r>
      <w:r w:rsidRPr="00AC598B">
        <w:rPr>
          <w:rFonts w:ascii="Arial" w:hAnsi="Arial" w:cs="Arial"/>
        </w:rPr>
        <w:t xml:space="preserve"> </w:t>
      </w:r>
    </w:p>
    <w:p w14:paraId="66917F0A" w14:textId="77777777" w:rsidR="00E16A6C" w:rsidRPr="00AC598B" w:rsidRDefault="00E16A6C" w:rsidP="007D43ED">
      <w:pPr>
        <w:jc w:val="left"/>
        <w:rPr>
          <w:rFonts w:ascii="Arial" w:hAnsi="Arial" w:cs="Arial"/>
          <w:highlight w:val="yellow"/>
        </w:rPr>
      </w:pPr>
    </w:p>
    <w:p w14:paraId="2F1A2E70" w14:textId="60CAD7B6" w:rsidR="00573249" w:rsidRPr="00AC598B" w:rsidRDefault="007D43ED" w:rsidP="00573249">
      <w:pPr>
        <w:jc w:val="left"/>
        <w:rPr>
          <w:rFonts w:ascii="Arial" w:hAnsi="Arial" w:cs="Arial"/>
        </w:rPr>
      </w:pPr>
      <w:bookmarkStart w:id="37" w:name="_Hlk524463824"/>
      <w:r w:rsidRPr="00AC598B">
        <w:rPr>
          <w:rFonts w:ascii="Arial" w:hAnsi="Arial" w:cs="Arial"/>
          <w:b/>
          <w:bCs/>
        </w:rPr>
        <w:t>B&amp;Q</w:t>
      </w:r>
      <w:r w:rsidRPr="00AC598B">
        <w:rPr>
          <w:rFonts w:ascii="Arial" w:hAnsi="Arial" w:cs="Arial"/>
        </w:rPr>
        <w:t xml:space="preserve"> total sales </w:t>
      </w:r>
      <w:r w:rsidR="002E5D72" w:rsidRPr="00AC598B">
        <w:rPr>
          <w:rFonts w:ascii="Arial" w:hAnsi="Arial" w:cs="Arial"/>
        </w:rPr>
        <w:t xml:space="preserve">declined by </w:t>
      </w:r>
      <w:r w:rsidR="00C07D1E">
        <w:rPr>
          <w:rFonts w:ascii="Arial" w:hAnsi="Arial" w:cs="Arial"/>
        </w:rPr>
        <w:t>2.3</w:t>
      </w:r>
      <w:r w:rsidRPr="00AC598B">
        <w:rPr>
          <w:rFonts w:ascii="Arial" w:hAnsi="Arial" w:cs="Arial"/>
        </w:rPr>
        <w:t>%</w:t>
      </w:r>
      <w:r w:rsidR="00562B32">
        <w:rPr>
          <w:rFonts w:ascii="Arial" w:hAnsi="Arial" w:cs="Arial"/>
        </w:rPr>
        <w:t xml:space="preserve"> to </w:t>
      </w:r>
      <w:r w:rsidR="006D6B5D">
        <w:rPr>
          <w:rFonts w:ascii="Arial" w:hAnsi="Arial" w:cs="Arial"/>
        </w:rPr>
        <w:t>£</w:t>
      </w:r>
      <w:r w:rsidR="00C07D1E" w:rsidRPr="00B80DB1">
        <w:rPr>
          <w:rFonts w:ascii="Arial" w:hAnsi="Arial" w:cs="Arial"/>
        </w:rPr>
        <w:t xml:space="preserve">1,833 </w:t>
      </w:r>
      <w:r w:rsidR="00562B32" w:rsidRPr="00B80DB1">
        <w:rPr>
          <w:rFonts w:ascii="Arial" w:hAnsi="Arial" w:cs="Arial"/>
        </w:rPr>
        <w:t>million</w:t>
      </w:r>
      <w:r w:rsidR="006743B1" w:rsidRPr="00B80DB1">
        <w:rPr>
          <w:rFonts w:ascii="Arial" w:hAnsi="Arial" w:cs="Arial"/>
        </w:rPr>
        <w:t>.</w:t>
      </w:r>
      <w:r w:rsidR="00562B32" w:rsidRPr="00B80DB1">
        <w:rPr>
          <w:rFonts w:ascii="Arial" w:hAnsi="Arial" w:cs="Arial"/>
        </w:rPr>
        <w:t xml:space="preserve"> LFL sales declined by </w:t>
      </w:r>
      <w:r w:rsidR="00AF0459" w:rsidRPr="00B80DB1">
        <w:rPr>
          <w:rFonts w:ascii="Arial" w:hAnsi="Arial" w:cs="Arial"/>
          <w:szCs w:val="24"/>
        </w:rPr>
        <w:t>2.</w:t>
      </w:r>
      <w:r w:rsidR="003C6F8F" w:rsidRPr="00B80DB1">
        <w:rPr>
          <w:rFonts w:ascii="Arial" w:hAnsi="Arial" w:cs="Arial"/>
          <w:szCs w:val="24"/>
        </w:rPr>
        <w:t>5</w:t>
      </w:r>
      <w:r w:rsidR="00562B32" w:rsidRPr="00B80DB1">
        <w:rPr>
          <w:rFonts w:ascii="Arial" w:hAnsi="Arial" w:cs="Arial"/>
        </w:rPr>
        <w:t>%</w:t>
      </w:r>
      <w:r w:rsidR="00B17961" w:rsidRPr="00B80DB1">
        <w:rPr>
          <w:rFonts w:ascii="Arial" w:hAnsi="Arial" w:cs="Arial"/>
          <w:color w:val="C00000"/>
        </w:rPr>
        <w:t>.</w:t>
      </w:r>
      <w:r w:rsidR="00FF5542" w:rsidRPr="00B80DB1">
        <w:rPr>
          <w:rFonts w:ascii="Arial" w:hAnsi="Arial" w:cs="Arial"/>
          <w:color w:val="C00000"/>
        </w:rPr>
        <w:t xml:space="preserve"> </w:t>
      </w:r>
      <w:r w:rsidR="00573249" w:rsidRPr="00B80DB1">
        <w:rPr>
          <w:rFonts w:ascii="Arial" w:hAnsi="Arial" w:cs="Arial"/>
        </w:rPr>
        <w:t xml:space="preserve">LFL sales of weather-related categories increased by </w:t>
      </w:r>
      <w:r w:rsidR="00B80DB1" w:rsidRPr="00AB52F3">
        <w:rPr>
          <w:rFonts w:ascii="Arial" w:hAnsi="Arial" w:cs="Arial"/>
        </w:rPr>
        <w:t>4.9</w:t>
      </w:r>
      <w:r w:rsidR="00573249" w:rsidRPr="00B80DB1">
        <w:rPr>
          <w:rFonts w:ascii="Arial" w:hAnsi="Arial" w:cs="Arial"/>
        </w:rPr>
        <w:t xml:space="preserve">% while sales of non-weather-related categories, including showroom, were down </w:t>
      </w:r>
      <w:r w:rsidR="00B80DB1" w:rsidRPr="00AB52F3">
        <w:rPr>
          <w:rFonts w:ascii="Arial" w:hAnsi="Arial" w:cs="Arial"/>
        </w:rPr>
        <w:t>5.</w:t>
      </w:r>
      <w:r w:rsidR="00760E29">
        <w:rPr>
          <w:rFonts w:ascii="Arial" w:hAnsi="Arial" w:cs="Arial"/>
        </w:rPr>
        <w:t>4</w:t>
      </w:r>
      <w:r w:rsidR="00573249" w:rsidRPr="00B80DB1">
        <w:rPr>
          <w:rFonts w:ascii="Arial" w:hAnsi="Arial" w:cs="Arial"/>
        </w:rPr>
        <w:t>%.</w:t>
      </w:r>
      <w:r w:rsidR="00573249" w:rsidRPr="00AC598B">
        <w:rPr>
          <w:rFonts w:ascii="Arial" w:hAnsi="Arial" w:cs="Arial"/>
        </w:rPr>
        <w:t xml:space="preserve"> </w:t>
      </w:r>
    </w:p>
    <w:p w14:paraId="51967FBC" w14:textId="77777777" w:rsidR="007D43ED" w:rsidRPr="00AC598B" w:rsidRDefault="007D43ED" w:rsidP="007D43ED">
      <w:pPr>
        <w:jc w:val="left"/>
        <w:rPr>
          <w:rFonts w:ascii="Arial" w:hAnsi="Arial" w:cs="Arial"/>
          <w:highlight w:val="yellow"/>
        </w:rPr>
      </w:pPr>
    </w:p>
    <w:p w14:paraId="15AF3414" w14:textId="0248952A" w:rsidR="007D43ED" w:rsidRPr="00AC598B" w:rsidRDefault="007D43ED" w:rsidP="007D43ED">
      <w:pPr>
        <w:jc w:val="left"/>
        <w:rPr>
          <w:rFonts w:ascii="Arial" w:hAnsi="Arial" w:cs="Arial"/>
          <w:highlight w:val="yellow"/>
        </w:rPr>
      </w:pPr>
      <w:bookmarkStart w:id="38" w:name="_Hlk491339533"/>
      <w:r w:rsidRPr="00AC598B">
        <w:rPr>
          <w:rFonts w:ascii="Arial" w:hAnsi="Arial" w:cs="Arial"/>
        </w:rPr>
        <w:t xml:space="preserve">B&amp;Q’s </w:t>
      </w:r>
      <w:r w:rsidR="00EF584B">
        <w:rPr>
          <w:rFonts w:ascii="Arial" w:hAnsi="Arial" w:cs="Arial"/>
        </w:rPr>
        <w:t>t</w:t>
      </w:r>
      <w:r w:rsidRPr="00AC598B">
        <w:rPr>
          <w:rFonts w:ascii="Arial" w:hAnsi="Arial" w:cs="Arial"/>
        </w:rPr>
        <w:t xml:space="preserve">otal online sales, continued to make good progress with sales growing by </w:t>
      </w:r>
      <w:r w:rsidR="006C1D2F">
        <w:rPr>
          <w:rFonts w:ascii="Arial" w:hAnsi="Arial" w:cs="Arial"/>
        </w:rPr>
        <w:t>8</w:t>
      </w:r>
      <w:r w:rsidRPr="00AC598B">
        <w:rPr>
          <w:rFonts w:ascii="Arial" w:hAnsi="Arial" w:cs="Arial"/>
        </w:rPr>
        <w:t>%</w:t>
      </w:r>
      <w:r w:rsidR="007769BE">
        <w:rPr>
          <w:rFonts w:ascii="Arial" w:hAnsi="Arial" w:cs="Arial"/>
        </w:rPr>
        <w:t xml:space="preserve"> </w:t>
      </w:r>
      <w:r w:rsidR="00EF584B">
        <w:rPr>
          <w:rFonts w:ascii="Arial" w:hAnsi="Arial" w:cs="Arial"/>
        </w:rPr>
        <w:t xml:space="preserve">(including growth in click &amp; collect sales of </w:t>
      </w:r>
      <w:r w:rsidR="00E04ADB">
        <w:rPr>
          <w:rFonts w:ascii="Arial" w:hAnsi="Arial" w:cs="Arial"/>
        </w:rPr>
        <w:t>5</w:t>
      </w:r>
      <w:r w:rsidR="006C1D2F">
        <w:rPr>
          <w:rFonts w:ascii="Arial" w:hAnsi="Arial" w:cs="Arial"/>
        </w:rPr>
        <w:t>6</w:t>
      </w:r>
      <w:r w:rsidR="00EF584B" w:rsidRPr="00F01C34">
        <w:rPr>
          <w:rFonts w:ascii="Arial" w:hAnsi="Arial" w:cs="Arial"/>
        </w:rPr>
        <w:t>%</w:t>
      </w:r>
      <w:r w:rsidR="00D165A7">
        <w:rPr>
          <w:rFonts w:ascii="Arial" w:hAnsi="Arial" w:cs="Arial"/>
        </w:rPr>
        <w:t xml:space="preserve"> and growth in mobile sales of 4</w:t>
      </w:r>
      <w:r w:rsidR="006C1D2F">
        <w:rPr>
          <w:rFonts w:ascii="Arial" w:hAnsi="Arial" w:cs="Arial"/>
        </w:rPr>
        <w:t>1</w:t>
      </w:r>
      <w:r w:rsidR="00D165A7">
        <w:rPr>
          <w:rFonts w:ascii="Arial" w:hAnsi="Arial" w:cs="Arial"/>
        </w:rPr>
        <w:t>%</w:t>
      </w:r>
      <w:r w:rsidR="00EF584B">
        <w:rPr>
          <w:rFonts w:ascii="Arial" w:hAnsi="Arial" w:cs="Arial"/>
        </w:rPr>
        <w:t xml:space="preserve">) </w:t>
      </w:r>
      <w:r w:rsidR="007769BE">
        <w:rPr>
          <w:rFonts w:ascii="Arial" w:hAnsi="Arial" w:cs="Arial"/>
        </w:rPr>
        <w:t xml:space="preserve">and represent </w:t>
      </w:r>
      <w:r w:rsidR="00BC7831">
        <w:rPr>
          <w:rFonts w:ascii="Arial" w:hAnsi="Arial" w:cs="Arial"/>
        </w:rPr>
        <w:t>4</w:t>
      </w:r>
      <w:r w:rsidR="007769BE">
        <w:rPr>
          <w:rFonts w:ascii="Arial" w:hAnsi="Arial" w:cs="Arial"/>
        </w:rPr>
        <w:t>% of</w:t>
      </w:r>
      <w:r w:rsidR="006D6B5D">
        <w:rPr>
          <w:rFonts w:ascii="Arial" w:hAnsi="Arial" w:cs="Arial"/>
        </w:rPr>
        <w:t xml:space="preserve"> total</w:t>
      </w:r>
      <w:r w:rsidR="007769BE">
        <w:rPr>
          <w:rFonts w:ascii="Arial" w:hAnsi="Arial" w:cs="Arial"/>
        </w:rPr>
        <w:t xml:space="preserve"> sales</w:t>
      </w:r>
      <w:r w:rsidRPr="00AC598B">
        <w:rPr>
          <w:rFonts w:ascii="Arial" w:hAnsi="Arial" w:cs="Arial"/>
        </w:rPr>
        <w:t>.</w:t>
      </w:r>
      <w:r w:rsidR="0014117E">
        <w:rPr>
          <w:rFonts w:ascii="Arial" w:hAnsi="Arial" w:cs="Arial"/>
        </w:rPr>
        <w:t xml:space="preserve"> </w:t>
      </w:r>
    </w:p>
    <w:bookmarkEnd w:id="38"/>
    <w:bookmarkEnd w:id="37"/>
    <w:p w14:paraId="7D6DA280" w14:textId="77777777" w:rsidR="007D43ED" w:rsidRPr="00AC598B" w:rsidRDefault="007D43ED" w:rsidP="007D43ED">
      <w:pPr>
        <w:jc w:val="left"/>
        <w:rPr>
          <w:rFonts w:ascii="Arial" w:hAnsi="Arial" w:cs="Arial"/>
          <w:highlight w:val="yellow"/>
        </w:rPr>
      </w:pPr>
    </w:p>
    <w:p w14:paraId="72001463" w14:textId="43F3D206" w:rsidR="007D43ED" w:rsidRPr="00AC598B" w:rsidRDefault="007D43ED" w:rsidP="007D43ED">
      <w:pPr>
        <w:pStyle w:val="PlainText"/>
        <w:rPr>
          <w:rFonts w:ascii="Arial" w:hAnsi="Arial" w:cs="Arial"/>
          <w:sz w:val="22"/>
          <w:szCs w:val="22"/>
        </w:rPr>
      </w:pPr>
      <w:bookmarkStart w:id="39" w:name="_Hlk491341520"/>
      <w:r w:rsidRPr="003D4DBB">
        <w:rPr>
          <w:rFonts w:ascii="Arial" w:hAnsi="Arial" w:cs="Arial"/>
          <w:b/>
          <w:sz w:val="22"/>
          <w:szCs w:val="22"/>
        </w:rPr>
        <w:t>Screwfix</w:t>
      </w:r>
      <w:r w:rsidRPr="003D4DBB">
        <w:rPr>
          <w:rFonts w:ascii="Arial" w:hAnsi="Arial" w:cs="Arial"/>
          <w:sz w:val="22"/>
          <w:szCs w:val="22"/>
        </w:rPr>
        <w:t xml:space="preserve"> grew total sales by </w:t>
      </w:r>
      <w:r w:rsidR="00273477" w:rsidRPr="003D4DBB">
        <w:rPr>
          <w:rFonts w:ascii="Arial" w:hAnsi="Arial" w:cs="Arial"/>
          <w:sz w:val="22"/>
          <w:szCs w:val="22"/>
        </w:rPr>
        <w:t>10.4</w:t>
      </w:r>
      <w:r w:rsidRPr="003D4DBB">
        <w:rPr>
          <w:rFonts w:ascii="Arial" w:hAnsi="Arial" w:cs="Arial"/>
          <w:sz w:val="22"/>
          <w:szCs w:val="22"/>
        </w:rPr>
        <w:t>% (+</w:t>
      </w:r>
      <w:r w:rsidR="003C6F8F" w:rsidRPr="003D4DBB">
        <w:rPr>
          <w:rFonts w:ascii="Arial" w:hAnsi="Arial" w:cs="Arial"/>
          <w:sz w:val="22"/>
          <w:szCs w:val="22"/>
        </w:rPr>
        <w:t>4</w:t>
      </w:r>
      <w:r w:rsidR="00AF0459" w:rsidRPr="003D4DBB">
        <w:rPr>
          <w:rFonts w:ascii="Arial" w:hAnsi="Arial" w:cs="Arial"/>
          <w:sz w:val="22"/>
          <w:szCs w:val="22"/>
        </w:rPr>
        <w:t>.</w:t>
      </w:r>
      <w:r w:rsidR="00273477" w:rsidRPr="003D4DBB">
        <w:rPr>
          <w:rFonts w:ascii="Arial" w:hAnsi="Arial" w:cs="Arial"/>
          <w:sz w:val="22"/>
          <w:szCs w:val="22"/>
        </w:rPr>
        <w:t>5</w:t>
      </w:r>
      <w:r w:rsidRPr="003D4DBB">
        <w:rPr>
          <w:rFonts w:ascii="Arial" w:hAnsi="Arial" w:cs="Arial"/>
          <w:sz w:val="22"/>
          <w:szCs w:val="22"/>
        </w:rPr>
        <w:t>% LFL) to £</w:t>
      </w:r>
      <w:r w:rsidR="00273477" w:rsidRPr="003D4DBB">
        <w:rPr>
          <w:rFonts w:ascii="Arial" w:hAnsi="Arial" w:cs="Arial"/>
          <w:sz w:val="22"/>
          <w:szCs w:val="22"/>
        </w:rPr>
        <w:t>802</w:t>
      </w:r>
      <w:r w:rsidRPr="003D4DBB">
        <w:rPr>
          <w:rFonts w:ascii="Arial" w:hAnsi="Arial" w:cs="Arial"/>
          <w:sz w:val="22"/>
          <w:szCs w:val="22"/>
        </w:rPr>
        <w:t xml:space="preserve"> million, driven by specialist trade desks exclusive to plumbers and electricians, strong digital growth</w:t>
      </w:r>
      <w:r w:rsidR="00273477" w:rsidRPr="003D4DBB">
        <w:rPr>
          <w:rFonts w:ascii="Arial" w:hAnsi="Arial" w:cs="Arial"/>
          <w:sz w:val="22"/>
          <w:szCs w:val="22"/>
        </w:rPr>
        <w:t xml:space="preserve"> of 18%</w:t>
      </w:r>
      <w:r w:rsidR="008669E9" w:rsidRPr="003D4DBB">
        <w:rPr>
          <w:rFonts w:ascii="Arial" w:hAnsi="Arial" w:cs="Arial"/>
          <w:sz w:val="22"/>
          <w:szCs w:val="22"/>
        </w:rPr>
        <w:t xml:space="preserve"> (e.g. mobile +</w:t>
      </w:r>
      <w:r w:rsidR="00D26335" w:rsidRPr="003D4DBB">
        <w:rPr>
          <w:rFonts w:ascii="Arial" w:hAnsi="Arial" w:cs="Arial"/>
          <w:b/>
          <w:color w:val="C00000"/>
          <w:sz w:val="22"/>
          <w:szCs w:val="22"/>
        </w:rPr>
        <w:t xml:space="preserve"> </w:t>
      </w:r>
      <w:r w:rsidR="00D165A7" w:rsidRPr="003D4DBB">
        <w:rPr>
          <w:rFonts w:ascii="Arial" w:hAnsi="Arial" w:cs="Arial"/>
          <w:sz w:val="22"/>
          <w:szCs w:val="22"/>
        </w:rPr>
        <w:t>43</w:t>
      </w:r>
      <w:r w:rsidR="008669E9" w:rsidRPr="003D4DBB">
        <w:rPr>
          <w:rFonts w:ascii="Arial" w:hAnsi="Arial" w:cs="Arial"/>
          <w:sz w:val="22"/>
          <w:szCs w:val="22"/>
        </w:rPr>
        <w:t xml:space="preserve">%; click &amp; collect </w:t>
      </w:r>
      <w:r w:rsidR="00273477" w:rsidRPr="003D4DBB">
        <w:rPr>
          <w:rFonts w:ascii="Arial" w:hAnsi="Arial" w:cs="Arial"/>
          <w:sz w:val="22"/>
          <w:szCs w:val="22"/>
        </w:rPr>
        <w:t>+2</w:t>
      </w:r>
      <w:r w:rsidR="00453321">
        <w:rPr>
          <w:rFonts w:ascii="Arial" w:hAnsi="Arial" w:cs="Arial"/>
          <w:sz w:val="22"/>
          <w:szCs w:val="22"/>
        </w:rPr>
        <w:t>1</w:t>
      </w:r>
      <w:r w:rsidR="005B40DF" w:rsidRPr="003D4DBB">
        <w:rPr>
          <w:rFonts w:ascii="Arial" w:hAnsi="Arial" w:cs="Arial"/>
          <w:sz w:val="22"/>
          <w:szCs w:val="22"/>
        </w:rPr>
        <w:t>%</w:t>
      </w:r>
      <w:r w:rsidR="008669E9" w:rsidRPr="003D4DBB">
        <w:rPr>
          <w:rFonts w:ascii="Arial" w:hAnsi="Arial" w:cs="Arial"/>
          <w:sz w:val="22"/>
          <w:szCs w:val="22"/>
        </w:rPr>
        <w:t>)</w:t>
      </w:r>
      <w:r w:rsidR="009A66A7" w:rsidRPr="003D4DBB">
        <w:rPr>
          <w:rFonts w:ascii="Arial" w:hAnsi="Arial" w:cs="Arial"/>
          <w:sz w:val="22"/>
          <w:szCs w:val="22"/>
        </w:rPr>
        <w:t>;</w:t>
      </w:r>
      <w:r w:rsidRPr="003D4DBB">
        <w:rPr>
          <w:rFonts w:ascii="Arial" w:hAnsi="Arial" w:cs="Arial"/>
          <w:sz w:val="22"/>
          <w:szCs w:val="22"/>
        </w:rPr>
        <w:t xml:space="preserve"> </w:t>
      </w:r>
      <w:r w:rsidR="009A66A7" w:rsidRPr="003D4DBB">
        <w:rPr>
          <w:rFonts w:ascii="Arial" w:hAnsi="Arial" w:cs="Arial"/>
          <w:sz w:val="22"/>
          <w:szCs w:val="22"/>
        </w:rPr>
        <w:t xml:space="preserve">and </w:t>
      </w:r>
      <w:r w:rsidRPr="003D4DBB">
        <w:rPr>
          <w:rFonts w:ascii="Arial" w:hAnsi="Arial" w:cs="Arial"/>
          <w:sz w:val="22"/>
          <w:szCs w:val="22"/>
        </w:rPr>
        <w:t>the continued roll out of new outlets</w:t>
      </w:r>
      <w:r w:rsidR="00172E5D" w:rsidRPr="003D4DBB">
        <w:rPr>
          <w:rFonts w:ascii="Arial" w:hAnsi="Arial" w:cs="Arial"/>
          <w:sz w:val="22"/>
          <w:szCs w:val="22"/>
        </w:rPr>
        <w:t xml:space="preserve">. </w:t>
      </w:r>
      <w:r w:rsidR="00EF584B" w:rsidRPr="004215EF">
        <w:rPr>
          <w:rFonts w:ascii="Arial" w:hAnsi="Arial" w:cs="Arial"/>
          <w:sz w:val="22"/>
          <w:szCs w:val="22"/>
        </w:rPr>
        <w:t>2</w:t>
      </w:r>
      <w:r w:rsidR="00EE4A15">
        <w:rPr>
          <w:rFonts w:ascii="Arial" w:hAnsi="Arial" w:cs="Arial"/>
          <w:sz w:val="22"/>
          <w:szCs w:val="22"/>
        </w:rPr>
        <w:t>1</w:t>
      </w:r>
      <w:r w:rsidR="004C341E" w:rsidRPr="003D4DBB">
        <w:rPr>
          <w:rFonts w:ascii="Arial" w:hAnsi="Arial" w:cs="Arial"/>
          <w:sz w:val="22"/>
          <w:szCs w:val="22"/>
        </w:rPr>
        <w:t xml:space="preserve"> </w:t>
      </w:r>
      <w:r w:rsidRPr="003D4DBB">
        <w:rPr>
          <w:rFonts w:ascii="Arial" w:hAnsi="Arial" w:cs="Arial"/>
          <w:sz w:val="22"/>
          <w:szCs w:val="22"/>
        </w:rPr>
        <w:t>new outlets were opened</w:t>
      </w:r>
      <w:r w:rsidR="006743B1" w:rsidRPr="003D4DBB">
        <w:rPr>
          <w:rFonts w:ascii="Arial" w:hAnsi="Arial" w:cs="Arial"/>
          <w:sz w:val="22"/>
          <w:szCs w:val="22"/>
        </w:rPr>
        <w:t xml:space="preserve"> in H1</w:t>
      </w:r>
      <w:r w:rsidRPr="003D4DBB">
        <w:rPr>
          <w:rFonts w:ascii="Arial" w:hAnsi="Arial" w:cs="Arial"/>
          <w:sz w:val="22"/>
          <w:szCs w:val="22"/>
        </w:rPr>
        <w:t xml:space="preserve">, taking the total to </w:t>
      </w:r>
      <w:r w:rsidR="00BC7831" w:rsidRPr="003D4DBB">
        <w:rPr>
          <w:rFonts w:ascii="Arial" w:hAnsi="Arial" w:cs="Arial"/>
          <w:sz w:val="22"/>
          <w:szCs w:val="22"/>
        </w:rPr>
        <w:t>59</w:t>
      </w:r>
      <w:r w:rsidR="00EE4A15">
        <w:rPr>
          <w:rFonts w:ascii="Arial" w:hAnsi="Arial" w:cs="Arial"/>
          <w:sz w:val="22"/>
          <w:szCs w:val="22"/>
        </w:rPr>
        <w:t>8</w:t>
      </w:r>
      <w:r w:rsidRPr="003D4DBB">
        <w:rPr>
          <w:rFonts w:ascii="Arial" w:hAnsi="Arial" w:cs="Arial"/>
          <w:sz w:val="22"/>
          <w:szCs w:val="22"/>
        </w:rPr>
        <w:t>.</w:t>
      </w:r>
      <w:r w:rsidR="00332A96" w:rsidRPr="003D4DBB">
        <w:rPr>
          <w:rFonts w:ascii="Arial" w:hAnsi="Arial" w:cs="Arial"/>
          <w:sz w:val="22"/>
          <w:szCs w:val="22"/>
        </w:rPr>
        <w:t xml:space="preserve"> </w:t>
      </w:r>
      <w:r w:rsidR="00B17961" w:rsidRPr="003D4DBB">
        <w:rPr>
          <w:rFonts w:ascii="Arial" w:hAnsi="Arial" w:cs="Arial"/>
          <w:sz w:val="22"/>
          <w:szCs w:val="22"/>
        </w:rPr>
        <w:t>Our overall target is to have around 700 outlets in the UK.</w:t>
      </w:r>
    </w:p>
    <w:bookmarkEnd w:id="39"/>
    <w:p w14:paraId="122E8424" w14:textId="77777777" w:rsidR="008C0CE4" w:rsidRDefault="008C0CE4">
      <w:pPr>
        <w:jc w:val="left"/>
        <w:rPr>
          <w:rFonts w:ascii="Arial" w:hAnsi="Arial" w:cs="Arial"/>
          <w:highlight w:val="yellow"/>
        </w:rPr>
      </w:pPr>
    </w:p>
    <w:p w14:paraId="081B1EF7" w14:textId="6AB75E5D" w:rsidR="002F5458" w:rsidRPr="00AC598B" w:rsidRDefault="002F5458">
      <w:pPr>
        <w:jc w:val="left"/>
        <w:rPr>
          <w:rFonts w:ascii="Arial" w:hAnsi="Arial" w:cs="Arial"/>
          <w:highlight w:val="yellow"/>
        </w:rPr>
      </w:pPr>
    </w:p>
    <w:p w14:paraId="6879FAAB" w14:textId="77777777" w:rsidR="000621F1" w:rsidRDefault="000621F1">
      <w:pPr>
        <w:jc w:val="left"/>
        <w:rPr>
          <w:rFonts w:ascii="Arial" w:hAnsi="Arial" w:cs="Arial"/>
          <w:b/>
          <w:bCs/>
        </w:rPr>
      </w:pPr>
      <w:r>
        <w:rPr>
          <w:rFonts w:ascii="Arial" w:hAnsi="Arial" w:cs="Arial"/>
          <w:b/>
          <w:bCs/>
        </w:rPr>
        <w:br w:type="page"/>
      </w:r>
    </w:p>
    <w:p w14:paraId="2142CC72" w14:textId="75D43173" w:rsidR="002F5458" w:rsidRPr="00AC598B" w:rsidRDefault="002F5458" w:rsidP="002F5458">
      <w:pPr>
        <w:jc w:val="left"/>
        <w:rPr>
          <w:rFonts w:ascii="Arial" w:hAnsi="Arial" w:cs="Arial"/>
        </w:rPr>
      </w:pPr>
      <w:bookmarkStart w:id="40" w:name="_Hlk524531865"/>
      <w:r w:rsidRPr="00AC598B">
        <w:rPr>
          <w:rFonts w:ascii="Arial" w:hAnsi="Arial" w:cs="Arial"/>
          <w:b/>
          <w:bCs/>
        </w:rPr>
        <w:t xml:space="preserve">FRANCE </w:t>
      </w:r>
    </w:p>
    <w:bookmarkEnd w:id="40"/>
    <w:p w14:paraId="1AAA01BD" w14:textId="77777777" w:rsidR="002F5458" w:rsidRPr="00AC598B" w:rsidRDefault="002F5458" w:rsidP="002F5458">
      <w:pPr>
        <w:rPr>
          <w:rFonts w:ascii="Arial" w:hAnsi="Arial" w:cs="Arial"/>
          <w:b/>
          <w:bCs/>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1311"/>
        <w:gridCol w:w="1160"/>
        <w:gridCol w:w="1596"/>
        <w:gridCol w:w="1741"/>
        <w:gridCol w:w="1160"/>
      </w:tblGrid>
      <w:tr w:rsidR="002F5458" w:rsidRPr="00667C8E" w14:paraId="7F771F73" w14:textId="77777777" w:rsidTr="009C6430">
        <w:tc>
          <w:tcPr>
            <w:tcW w:w="1289" w:type="pct"/>
            <w:tcBorders>
              <w:bottom w:val="single" w:sz="4" w:space="0" w:color="auto"/>
            </w:tcBorders>
          </w:tcPr>
          <w:p w14:paraId="07117EB7" w14:textId="77777777" w:rsidR="002F5458" w:rsidRPr="00C64D89" w:rsidRDefault="002F5458" w:rsidP="009C6430">
            <w:pPr>
              <w:rPr>
                <w:rFonts w:ascii="Arial" w:hAnsi="Arial" w:cs="Arial"/>
                <w:b/>
              </w:rPr>
            </w:pPr>
            <w:r w:rsidRPr="00C64D89">
              <w:rPr>
                <w:rFonts w:ascii="Arial" w:hAnsi="Arial" w:cs="Arial"/>
                <w:b/>
              </w:rPr>
              <w:t>£m</w:t>
            </w:r>
          </w:p>
        </w:tc>
        <w:tc>
          <w:tcPr>
            <w:tcW w:w="698" w:type="pct"/>
            <w:tcBorders>
              <w:bottom w:val="single" w:sz="4" w:space="0" w:color="auto"/>
            </w:tcBorders>
          </w:tcPr>
          <w:p w14:paraId="4536D7CB" w14:textId="6169095F" w:rsidR="002F5458" w:rsidRPr="00AC598B" w:rsidRDefault="002F5458" w:rsidP="009C6430">
            <w:pPr>
              <w:jc w:val="right"/>
              <w:rPr>
                <w:rFonts w:ascii="Arial" w:hAnsi="Arial" w:cs="Arial"/>
              </w:rPr>
            </w:pPr>
            <w:r w:rsidRPr="00AC598B">
              <w:rPr>
                <w:rFonts w:ascii="Arial" w:hAnsi="Arial" w:cs="Arial"/>
                <w:b/>
                <w:bCs/>
              </w:rPr>
              <w:t>201</w:t>
            </w:r>
            <w:r w:rsidR="00FE08B5">
              <w:rPr>
                <w:rFonts w:ascii="Arial" w:hAnsi="Arial" w:cs="Arial"/>
                <w:b/>
                <w:bCs/>
              </w:rPr>
              <w:t>8</w:t>
            </w:r>
            <w:r w:rsidRPr="00AC598B">
              <w:rPr>
                <w:rFonts w:ascii="Arial" w:hAnsi="Arial" w:cs="Arial"/>
                <w:b/>
                <w:bCs/>
              </w:rPr>
              <w:t>/1</w:t>
            </w:r>
            <w:r w:rsidR="00FE08B5">
              <w:rPr>
                <w:rFonts w:ascii="Arial" w:hAnsi="Arial" w:cs="Arial"/>
                <w:b/>
                <w:bCs/>
              </w:rPr>
              <w:t>9</w:t>
            </w:r>
          </w:p>
        </w:tc>
        <w:tc>
          <w:tcPr>
            <w:tcW w:w="618" w:type="pct"/>
            <w:tcBorders>
              <w:bottom w:val="single" w:sz="4" w:space="0" w:color="auto"/>
            </w:tcBorders>
          </w:tcPr>
          <w:p w14:paraId="6401721E" w14:textId="54A9D390" w:rsidR="002F5458" w:rsidRPr="00AC598B" w:rsidRDefault="002F5458" w:rsidP="009C6430">
            <w:pPr>
              <w:jc w:val="right"/>
              <w:rPr>
                <w:rFonts w:ascii="Arial" w:hAnsi="Arial" w:cs="Arial"/>
                <w:b/>
                <w:bCs/>
              </w:rPr>
            </w:pPr>
            <w:r w:rsidRPr="00AC598B">
              <w:rPr>
                <w:rFonts w:ascii="Arial" w:hAnsi="Arial" w:cs="Arial"/>
                <w:b/>
                <w:bCs/>
              </w:rPr>
              <w:t>201</w:t>
            </w:r>
            <w:r w:rsidR="00FE08B5">
              <w:rPr>
                <w:rFonts w:ascii="Arial" w:hAnsi="Arial" w:cs="Arial"/>
                <w:b/>
                <w:bCs/>
              </w:rPr>
              <w:t>7</w:t>
            </w:r>
            <w:r w:rsidRPr="00AC598B">
              <w:rPr>
                <w:rFonts w:ascii="Arial" w:hAnsi="Arial" w:cs="Arial"/>
                <w:b/>
                <w:bCs/>
              </w:rPr>
              <w:t>/1</w:t>
            </w:r>
            <w:r w:rsidR="00FE08B5">
              <w:rPr>
                <w:rFonts w:ascii="Arial" w:hAnsi="Arial" w:cs="Arial"/>
                <w:b/>
                <w:bCs/>
              </w:rPr>
              <w:t>8</w:t>
            </w:r>
          </w:p>
        </w:tc>
        <w:tc>
          <w:tcPr>
            <w:tcW w:w="850" w:type="pct"/>
            <w:tcBorders>
              <w:bottom w:val="single" w:sz="4" w:space="0" w:color="auto"/>
            </w:tcBorders>
          </w:tcPr>
          <w:p w14:paraId="2683CDE7" w14:textId="77777777" w:rsidR="002F5458" w:rsidRPr="00AC598B" w:rsidRDefault="002F5458" w:rsidP="009C6430">
            <w:pPr>
              <w:jc w:val="right"/>
              <w:rPr>
                <w:rFonts w:ascii="Arial" w:hAnsi="Arial" w:cs="Arial"/>
                <w:b/>
                <w:bCs/>
              </w:rPr>
            </w:pPr>
            <w:r w:rsidRPr="00AC598B">
              <w:rPr>
                <w:rFonts w:ascii="Arial" w:hAnsi="Arial" w:cs="Arial"/>
                <w:b/>
                <w:bCs/>
              </w:rPr>
              <w:t>% Reported</w:t>
            </w:r>
            <w:r w:rsidRPr="00AC598B" w:rsidDel="00197636">
              <w:rPr>
                <w:rFonts w:ascii="Arial" w:hAnsi="Arial" w:cs="Arial"/>
                <w:b/>
                <w:bCs/>
              </w:rPr>
              <w:t xml:space="preserve"> </w:t>
            </w:r>
            <w:r w:rsidRPr="00AC598B">
              <w:rPr>
                <w:rFonts w:ascii="Arial" w:hAnsi="Arial" w:cs="Arial"/>
                <w:b/>
                <w:bCs/>
              </w:rPr>
              <w:t>Change</w:t>
            </w:r>
          </w:p>
          <w:p w14:paraId="297EEB10" w14:textId="77777777" w:rsidR="002F5458" w:rsidRPr="00AC598B" w:rsidRDefault="002F5458" w:rsidP="009C6430">
            <w:pPr>
              <w:jc w:val="right"/>
              <w:rPr>
                <w:rFonts w:ascii="Arial" w:hAnsi="Arial" w:cs="Arial"/>
                <w:b/>
                <w:bCs/>
              </w:rPr>
            </w:pPr>
          </w:p>
        </w:tc>
        <w:tc>
          <w:tcPr>
            <w:tcW w:w="927" w:type="pct"/>
            <w:tcBorders>
              <w:bottom w:val="single" w:sz="4" w:space="0" w:color="auto"/>
            </w:tcBorders>
          </w:tcPr>
          <w:p w14:paraId="050C9DFB" w14:textId="77777777" w:rsidR="002F5458" w:rsidRPr="00AC598B" w:rsidRDefault="002F5458" w:rsidP="009C6430">
            <w:pPr>
              <w:jc w:val="right"/>
              <w:rPr>
                <w:rFonts w:ascii="Arial" w:hAnsi="Arial" w:cs="Arial"/>
                <w:b/>
                <w:bCs/>
              </w:rPr>
            </w:pPr>
            <w:r w:rsidRPr="00AC598B">
              <w:rPr>
                <w:rFonts w:ascii="Arial" w:hAnsi="Arial" w:cs="Arial"/>
                <w:b/>
                <w:bCs/>
              </w:rPr>
              <w:t>% Constant</w:t>
            </w:r>
          </w:p>
          <w:p w14:paraId="50155F81" w14:textId="77777777" w:rsidR="002F5458" w:rsidRPr="00AC598B" w:rsidRDefault="002F5458" w:rsidP="009C6430">
            <w:pPr>
              <w:jc w:val="right"/>
              <w:rPr>
                <w:rFonts w:ascii="Arial" w:hAnsi="Arial" w:cs="Arial"/>
                <w:b/>
                <w:bCs/>
              </w:rPr>
            </w:pPr>
            <w:r w:rsidRPr="00AC598B">
              <w:rPr>
                <w:rFonts w:ascii="Arial" w:hAnsi="Arial" w:cs="Arial"/>
                <w:b/>
                <w:bCs/>
              </w:rPr>
              <w:t>Currency</w:t>
            </w:r>
          </w:p>
          <w:p w14:paraId="5EFDAFFA" w14:textId="77777777" w:rsidR="002F5458" w:rsidRPr="00AC598B" w:rsidRDefault="002F5458" w:rsidP="009C6430">
            <w:pPr>
              <w:jc w:val="right"/>
              <w:rPr>
                <w:rFonts w:ascii="Arial" w:hAnsi="Arial" w:cs="Arial"/>
                <w:b/>
                <w:bCs/>
              </w:rPr>
            </w:pPr>
            <w:r w:rsidRPr="00AC598B">
              <w:rPr>
                <w:rFonts w:ascii="Arial" w:hAnsi="Arial" w:cs="Arial"/>
                <w:b/>
                <w:bCs/>
              </w:rPr>
              <w:t xml:space="preserve">Change  </w:t>
            </w:r>
          </w:p>
        </w:tc>
        <w:tc>
          <w:tcPr>
            <w:tcW w:w="618" w:type="pct"/>
            <w:tcBorders>
              <w:bottom w:val="single" w:sz="4" w:space="0" w:color="auto"/>
            </w:tcBorders>
          </w:tcPr>
          <w:p w14:paraId="4554FB09" w14:textId="77777777" w:rsidR="002F5458" w:rsidRPr="00AC598B" w:rsidRDefault="002F5458" w:rsidP="009C6430">
            <w:pPr>
              <w:ind w:hanging="108"/>
              <w:jc w:val="right"/>
              <w:rPr>
                <w:rFonts w:ascii="Arial" w:hAnsi="Arial" w:cs="Arial"/>
                <w:b/>
                <w:bCs/>
              </w:rPr>
            </w:pPr>
            <w:r w:rsidRPr="00AC598B">
              <w:rPr>
                <w:rFonts w:ascii="Arial" w:hAnsi="Arial" w:cs="Arial"/>
                <w:b/>
                <w:bCs/>
              </w:rPr>
              <w:t>% LFL</w:t>
            </w:r>
          </w:p>
          <w:p w14:paraId="682F73B7" w14:textId="77777777" w:rsidR="002F5458" w:rsidRPr="00AC598B" w:rsidRDefault="002F5458" w:rsidP="009C6430">
            <w:pPr>
              <w:ind w:hanging="108"/>
              <w:jc w:val="right"/>
              <w:rPr>
                <w:rFonts w:ascii="Arial" w:hAnsi="Arial" w:cs="Arial"/>
                <w:b/>
                <w:bCs/>
              </w:rPr>
            </w:pPr>
            <w:r w:rsidRPr="00AC598B">
              <w:rPr>
                <w:rFonts w:ascii="Arial" w:hAnsi="Arial" w:cs="Arial"/>
                <w:b/>
                <w:bCs/>
              </w:rPr>
              <w:t>Change</w:t>
            </w:r>
          </w:p>
        </w:tc>
      </w:tr>
      <w:tr w:rsidR="00166E91" w:rsidRPr="00230CDB" w14:paraId="4BA20A86" w14:textId="77777777" w:rsidTr="009C6430">
        <w:trPr>
          <w:trHeight w:val="147"/>
        </w:trPr>
        <w:tc>
          <w:tcPr>
            <w:tcW w:w="1289" w:type="pct"/>
            <w:tcBorders>
              <w:bottom w:val="single" w:sz="4" w:space="0" w:color="auto"/>
            </w:tcBorders>
          </w:tcPr>
          <w:p w14:paraId="17FE752B" w14:textId="77777777" w:rsidR="00166E91" w:rsidRPr="00AC598B" w:rsidRDefault="00166E91" w:rsidP="00166E91">
            <w:pPr>
              <w:rPr>
                <w:rFonts w:ascii="Arial" w:hAnsi="Arial" w:cs="Arial"/>
                <w:b/>
              </w:rPr>
            </w:pPr>
            <w:r w:rsidRPr="00AC598B">
              <w:rPr>
                <w:rFonts w:ascii="Arial" w:hAnsi="Arial" w:cs="Arial"/>
                <w:b/>
                <w:bCs/>
              </w:rPr>
              <w:t>Sales</w:t>
            </w:r>
          </w:p>
        </w:tc>
        <w:tc>
          <w:tcPr>
            <w:tcW w:w="698" w:type="pct"/>
            <w:tcBorders>
              <w:bottom w:val="single" w:sz="4" w:space="0" w:color="auto"/>
            </w:tcBorders>
          </w:tcPr>
          <w:p w14:paraId="17E1A5CD" w14:textId="06C11B20" w:rsidR="00166E91" w:rsidRPr="00230CDB" w:rsidRDefault="00BC7831" w:rsidP="00166E91">
            <w:pPr>
              <w:jc w:val="right"/>
              <w:rPr>
                <w:rFonts w:ascii="Arial" w:hAnsi="Arial" w:cs="Arial"/>
              </w:rPr>
            </w:pPr>
            <w:r w:rsidRPr="00F01C34">
              <w:rPr>
                <w:rFonts w:ascii="Arial" w:hAnsi="Arial" w:cs="Arial"/>
              </w:rPr>
              <w:t>2,267</w:t>
            </w:r>
          </w:p>
        </w:tc>
        <w:tc>
          <w:tcPr>
            <w:tcW w:w="618" w:type="pct"/>
            <w:tcBorders>
              <w:bottom w:val="single" w:sz="4" w:space="0" w:color="auto"/>
            </w:tcBorders>
          </w:tcPr>
          <w:p w14:paraId="46A25F45" w14:textId="29155165" w:rsidR="00166E91" w:rsidRPr="00230CDB" w:rsidRDefault="00166E91" w:rsidP="00166E91">
            <w:pPr>
              <w:jc w:val="right"/>
              <w:rPr>
                <w:rFonts w:ascii="Arial" w:hAnsi="Arial" w:cs="Arial"/>
              </w:rPr>
            </w:pPr>
            <w:r w:rsidRPr="00230CDB">
              <w:rPr>
                <w:rFonts w:ascii="Arial" w:hAnsi="Arial" w:cs="Arial"/>
              </w:rPr>
              <w:t>2,273</w:t>
            </w:r>
          </w:p>
        </w:tc>
        <w:tc>
          <w:tcPr>
            <w:tcW w:w="850" w:type="pct"/>
            <w:tcBorders>
              <w:bottom w:val="single" w:sz="4" w:space="0" w:color="auto"/>
            </w:tcBorders>
          </w:tcPr>
          <w:p w14:paraId="5E2DC3F0" w14:textId="0CECEBF5" w:rsidR="00166E91" w:rsidRPr="00230CDB" w:rsidRDefault="00BC7831" w:rsidP="00166E91">
            <w:pPr>
              <w:jc w:val="right"/>
              <w:rPr>
                <w:rFonts w:ascii="Arial" w:hAnsi="Arial" w:cs="Arial"/>
              </w:rPr>
            </w:pPr>
            <w:r w:rsidRPr="00F01C34">
              <w:rPr>
                <w:rFonts w:ascii="Arial" w:hAnsi="Arial" w:cs="Arial"/>
              </w:rPr>
              <w:t>(</w:t>
            </w:r>
            <w:proofErr w:type="gramStart"/>
            <w:r w:rsidRPr="00F01C34">
              <w:rPr>
                <w:rFonts w:ascii="Arial" w:hAnsi="Arial" w:cs="Arial"/>
              </w:rPr>
              <w:t>0.3)</w:t>
            </w:r>
            <w:r w:rsidR="00166E91" w:rsidRPr="00230CDB">
              <w:rPr>
                <w:rFonts w:ascii="Arial" w:hAnsi="Arial" w:cs="Arial"/>
              </w:rPr>
              <w:t>%</w:t>
            </w:r>
            <w:proofErr w:type="gramEnd"/>
          </w:p>
        </w:tc>
        <w:tc>
          <w:tcPr>
            <w:tcW w:w="927" w:type="pct"/>
            <w:tcBorders>
              <w:bottom w:val="single" w:sz="4" w:space="0" w:color="auto"/>
            </w:tcBorders>
          </w:tcPr>
          <w:p w14:paraId="1CC2C148" w14:textId="7824CA4D" w:rsidR="00166E91" w:rsidRPr="00230CDB" w:rsidRDefault="00BC7831" w:rsidP="00166E91">
            <w:pPr>
              <w:jc w:val="right"/>
              <w:rPr>
                <w:rFonts w:ascii="Arial" w:hAnsi="Arial" w:cs="Arial"/>
              </w:rPr>
            </w:pPr>
            <w:r w:rsidRPr="00F01C34">
              <w:rPr>
                <w:rFonts w:ascii="Arial" w:hAnsi="Arial" w:cs="Arial"/>
              </w:rPr>
              <w:t>(</w:t>
            </w:r>
            <w:proofErr w:type="gramStart"/>
            <w:r w:rsidRPr="00F01C34">
              <w:rPr>
                <w:rFonts w:ascii="Arial" w:hAnsi="Arial" w:cs="Arial"/>
              </w:rPr>
              <w:t>2.1)</w:t>
            </w:r>
            <w:r w:rsidR="00166E91" w:rsidRPr="00230CDB">
              <w:rPr>
                <w:rFonts w:ascii="Arial" w:hAnsi="Arial" w:cs="Arial"/>
              </w:rPr>
              <w:t>%</w:t>
            </w:r>
            <w:proofErr w:type="gramEnd"/>
          </w:p>
        </w:tc>
        <w:tc>
          <w:tcPr>
            <w:tcW w:w="618" w:type="pct"/>
            <w:tcBorders>
              <w:bottom w:val="single" w:sz="4" w:space="0" w:color="auto"/>
            </w:tcBorders>
          </w:tcPr>
          <w:p w14:paraId="767D9AA1" w14:textId="64F8951A" w:rsidR="00166E91" w:rsidRPr="00230CDB" w:rsidRDefault="002F54E4" w:rsidP="00166E91">
            <w:pPr>
              <w:jc w:val="right"/>
              <w:rPr>
                <w:rFonts w:ascii="Arial" w:hAnsi="Arial" w:cs="Arial"/>
              </w:rPr>
            </w:pPr>
            <w:r w:rsidRPr="00F01C34">
              <w:rPr>
                <w:rFonts w:ascii="Arial" w:hAnsi="Arial" w:cs="Arial"/>
              </w:rPr>
              <w:t>(</w:t>
            </w:r>
            <w:proofErr w:type="gramStart"/>
            <w:r w:rsidR="003C6F8F" w:rsidRPr="00F01C34">
              <w:rPr>
                <w:rFonts w:ascii="Arial" w:hAnsi="Arial" w:cs="Arial"/>
              </w:rPr>
              <w:t>2.</w:t>
            </w:r>
            <w:r w:rsidR="00FF1D13" w:rsidRPr="00F01C34">
              <w:rPr>
                <w:rFonts w:ascii="Arial" w:hAnsi="Arial" w:cs="Arial"/>
              </w:rPr>
              <w:t>4</w:t>
            </w:r>
            <w:r w:rsidRPr="00F01C34">
              <w:rPr>
                <w:rFonts w:ascii="Arial" w:hAnsi="Arial" w:cs="Arial"/>
              </w:rPr>
              <w:t>)</w:t>
            </w:r>
            <w:r w:rsidR="006E1B74" w:rsidRPr="00F01C34">
              <w:rPr>
                <w:rFonts w:ascii="Arial" w:hAnsi="Arial" w:cs="Arial"/>
              </w:rPr>
              <w:t>%</w:t>
            </w:r>
            <w:proofErr w:type="gramEnd"/>
          </w:p>
        </w:tc>
      </w:tr>
      <w:tr w:rsidR="00166E91" w:rsidRPr="00230CDB" w14:paraId="28C26082" w14:textId="77777777" w:rsidTr="00925EFB">
        <w:trPr>
          <w:gridAfter w:val="1"/>
          <w:wAfter w:w="618" w:type="pct"/>
        </w:trPr>
        <w:tc>
          <w:tcPr>
            <w:tcW w:w="1289" w:type="pct"/>
            <w:tcBorders>
              <w:top w:val="nil"/>
              <w:left w:val="nil"/>
              <w:bottom w:val="single" w:sz="4" w:space="0" w:color="auto"/>
              <w:right w:val="nil"/>
            </w:tcBorders>
          </w:tcPr>
          <w:p w14:paraId="227A9039" w14:textId="77777777" w:rsidR="00166E91" w:rsidRPr="00AC598B" w:rsidRDefault="00166E91" w:rsidP="00166E91">
            <w:pPr>
              <w:rPr>
                <w:rFonts w:ascii="Arial" w:hAnsi="Arial" w:cs="Arial"/>
                <w:bCs/>
              </w:rPr>
            </w:pPr>
          </w:p>
        </w:tc>
        <w:tc>
          <w:tcPr>
            <w:tcW w:w="698" w:type="pct"/>
            <w:tcBorders>
              <w:top w:val="nil"/>
              <w:left w:val="nil"/>
              <w:bottom w:val="single" w:sz="4" w:space="0" w:color="auto"/>
              <w:right w:val="nil"/>
            </w:tcBorders>
          </w:tcPr>
          <w:p w14:paraId="52FB9081" w14:textId="77777777" w:rsidR="00166E91" w:rsidRPr="00230CDB" w:rsidRDefault="00166E91" w:rsidP="00166E91">
            <w:pPr>
              <w:jc w:val="right"/>
              <w:rPr>
                <w:rFonts w:ascii="Arial" w:hAnsi="Arial" w:cs="Arial"/>
              </w:rPr>
            </w:pPr>
          </w:p>
        </w:tc>
        <w:tc>
          <w:tcPr>
            <w:tcW w:w="618" w:type="pct"/>
            <w:tcBorders>
              <w:top w:val="nil"/>
              <w:left w:val="nil"/>
              <w:bottom w:val="single" w:sz="4" w:space="0" w:color="auto"/>
              <w:right w:val="nil"/>
            </w:tcBorders>
          </w:tcPr>
          <w:p w14:paraId="17E38EBD" w14:textId="77777777" w:rsidR="00166E91" w:rsidRPr="00230CDB" w:rsidRDefault="00166E91" w:rsidP="00166E91">
            <w:pPr>
              <w:jc w:val="right"/>
              <w:rPr>
                <w:rFonts w:ascii="Arial" w:hAnsi="Arial" w:cs="Arial"/>
              </w:rPr>
            </w:pPr>
          </w:p>
        </w:tc>
        <w:tc>
          <w:tcPr>
            <w:tcW w:w="850" w:type="pct"/>
            <w:tcBorders>
              <w:top w:val="nil"/>
              <w:left w:val="nil"/>
              <w:bottom w:val="single" w:sz="4" w:space="0" w:color="auto"/>
              <w:right w:val="nil"/>
            </w:tcBorders>
          </w:tcPr>
          <w:p w14:paraId="0FE7B564" w14:textId="77777777" w:rsidR="00166E91" w:rsidRPr="00230CDB" w:rsidRDefault="00166E91" w:rsidP="00166E91">
            <w:pPr>
              <w:jc w:val="right"/>
              <w:rPr>
                <w:rFonts w:ascii="Arial" w:hAnsi="Arial" w:cs="Arial"/>
              </w:rPr>
            </w:pPr>
          </w:p>
        </w:tc>
        <w:tc>
          <w:tcPr>
            <w:tcW w:w="927" w:type="pct"/>
            <w:tcBorders>
              <w:top w:val="nil"/>
              <w:left w:val="nil"/>
              <w:bottom w:val="single" w:sz="4" w:space="0" w:color="auto"/>
              <w:right w:val="nil"/>
            </w:tcBorders>
          </w:tcPr>
          <w:p w14:paraId="472670CE" w14:textId="77777777" w:rsidR="00166E91" w:rsidRPr="00230CDB" w:rsidRDefault="00166E91" w:rsidP="00166E91">
            <w:pPr>
              <w:jc w:val="right"/>
              <w:rPr>
                <w:rFonts w:ascii="Arial" w:hAnsi="Arial" w:cs="Arial"/>
              </w:rPr>
            </w:pPr>
          </w:p>
        </w:tc>
      </w:tr>
      <w:tr w:rsidR="00166E91" w:rsidRPr="00230CDB" w14:paraId="71ECC01E" w14:textId="77777777" w:rsidTr="00925EFB">
        <w:trPr>
          <w:gridAfter w:val="1"/>
          <w:wAfter w:w="618" w:type="pct"/>
        </w:trPr>
        <w:tc>
          <w:tcPr>
            <w:tcW w:w="1289" w:type="pct"/>
            <w:tcBorders>
              <w:top w:val="single" w:sz="4" w:space="0" w:color="auto"/>
              <w:bottom w:val="single" w:sz="4" w:space="0" w:color="auto"/>
            </w:tcBorders>
          </w:tcPr>
          <w:p w14:paraId="43FD349E" w14:textId="77777777" w:rsidR="00166E91" w:rsidRPr="00AC598B" w:rsidRDefault="00166E91" w:rsidP="00166E91">
            <w:pPr>
              <w:rPr>
                <w:rFonts w:ascii="Arial" w:hAnsi="Arial" w:cs="Arial"/>
                <w:b/>
              </w:rPr>
            </w:pPr>
            <w:r w:rsidRPr="00AC598B">
              <w:rPr>
                <w:rFonts w:ascii="Arial" w:hAnsi="Arial" w:cs="Arial"/>
                <w:b/>
                <w:bCs/>
              </w:rPr>
              <w:t>Retail profit</w:t>
            </w:r>
          </w:p>
        </w:tc>
        <w:tc>
          <w:tcPr>
            <w:tcW w:w="698" w:type="pct"/>
            <w:tcBorders>
              <w:top w:val="single" w:sz="4" w:space="0" w:color="auto"/>
              <w:bottom w:val="single" w:sz="4" w:space="0" w:color="auto"/>
            </w:tcBorders>
          </w:tcPr>
          <w:p w14:paraId="63D85F9F" w14:textId="2F7CF411" w:rsidR="00166E91" w:rsidRPr="00230CDB" w:rsidRDefault="00FF1D13" w:rsidP="00166E91">
            <w:pPr>
              <w:jc w:val="right"/>
              <w:rPr>
                <w:rFonts w:ascii="Arial" w:hAnsi="Arial" w:cs="Arial"/>
              </w:rPr>
            </w:pPr>
            <w:r w:rsidRPr="00F01C34">
              <w:rPr>
                <w:rFonts w:ascii="Arial" w:hAnsi="Arial" w:cs="Arial"/>
              </w:rPr>
              <w:t>122</w:t>
            </w:r>
          </w:p>
        </w:tc>
        <w:tc>
          <w:tcPr>
            <w:tcW w:w="618" w:type="pct"/>
            <w:tcBorders>
              <w:top w:val="single" w:sz="4" w:space="0" w:color="auto"/>
              <w:bottom w:val="single" w:sz="4" w:space="0" w:color="auto"/>
            </w:tcBorders>
          </w:tcPr>
          <w:p w14:paraId="7ED948E0" w14:textId="08490313" w:rsidR="00166E91" w:rsidRPr="00230CDB" w:rsidRDefault="00166E91" w:rsidP="00166E91">
            <w:pPr>
              <w:jc w:val="right"/>
              <w:rPr>
                <w:rFonts w:ascii="Arial" w:hAnsi="Arial" w:cs="Arial"/>
              </w:rPr>
            </w:pPr>
            <w:r w:rsidRPr="00230CDB">
              <w:rPr>
                <w:rFonts w:ascii="Arial" w:hAnsi="Arial" w:cs="Arial"/>
              </w:rPr>
              <w:t>174</w:t>
            </w:r>
          </w:p>
        </w:tc>
        <w:tc>
          <w:tcPr>
            <w:tcW w:w="850" w:type="pct"/>
            <w:tcBorders>
              <w:top w:val="single" w:sz="4" w:space="0" w:color="auto"/>
              <w:bottom w:val="single" w:sz="4" w:space="0" w:color="auto"/>
            </w:tcBorders>
          </w:tcPr>
          <w:p w14:paraId="70CDABB7" w14:textId="67AC000C" w:rsidR="00166E91" w:rsidRPr="00230CDB" w:rsidRDefault="00FF1D13" w:rsidP="00166E91">
            <w:pPr>
              <w:jc w:val="right"/>
              <w:rPr>
                <w:rFonts w:ascii="Arial" w:hAnsi="Arial" w:cs="Arial"/>
              </w:rPr>
            </w:pPr>
            <w:r w:rsidRPr="00F01C34">
              <w:rPr>
                <w:rFonts w:ascii="Arial" w:hAnsi="Arial" w:cs="Arial"/>
              </w:rPr>
              <w:t>(</w:t>
            </w:r>
            <w:proofErr w:type="gramStart"/>
            <w:r w:rsidRPr="00F01C34">
              <w:rPr>
                <w:rFonts w:ascii="Arial" w:hAnsi="Arial" w:cs="Arial"/>
              </w:rPr>
              <w:t>29.8)</w:t>
            </w:r>
            <w:r w:rsidR="00166E91" w:rsidRPr="00230CDB">
              <w:rPr>
                <w:rFonts w:ascii="Arial" w:hAnsi="Arial" w:cs="Arial"/>
              </w:rPr>
              <w:t>%</w:t>
            </w:r>
            <w:proofErr w:type="gramEnd"/>
          </w:p>
        </w:tc>
        <w:tc>
          <w:tcPr>
            <w:tcW w:w="927" w:type="pct"/>
            <w:tcBorders>
              <w:top w:val="single" w:sz="4" w:space="0" w:color="auto"/>
              <w:bottom w:val="single" w:sz="4" w:space="0" w:color="auto"/>
            </w:tcBorders>
          </w:tcPr>
          <w:p w14:paraId="1D416C84" w14:textId="4C8ABE53" w:rsidR="00166E91" w:rsidRPr="00230CDB" w:rsidRDefault="00FF1D13" w:rsidP="00166E91">
            <w:pPr>
              <w:jc w:val="right"/>
              <w:rPr>
                <w:rFonts w:ascii="Arial" w:hAnsi="Arial" w:cs="Arial"/>
              </w:rPr>
            </w:pPr>
            <w:r w:rsidRPr="00F01C34">
              <w:rPr>
                <w:rFonts w:ascii="Arial" w:hAnsi="Arial" w:cs="Arial"/>
              </w:rPr>
              <w:t>(</w:t>
            </w:r>
            <w:proofErr w:type="gramStart"/>
            <w:r w:rsidRPr="00F01C34">
              <w:rPr>
                <w:rFonts w:ascii="Arial" w:hAnsi="Arial" w:cs="Arial"/>
              </w:rPr>
              <w:t>31.1)</w:t>
            </w:r>
            <w:r w:rsidR="00166E91" w:rsidRPr="00230CDB">
              <w:rPr>
                <w:rFonts w:ascii="Arial" w:hAnsi="Arial" w:cs="Arial"/>
              </w:rPr>
              <w:t>%</w:t>
            </w:r>
            <w:proofErr w:type="gramEnd"/>
          </w:p>
        </w:tc>
      </w:tr>
    </w:tbl>
    <w:p w14:paraId="229339A2" w14:textId="77777777" w:rsidR="002F5458" w:rsidRPr="00AC598B" w:rsidRDefault="002F5458" w:rsidP="002F5458">
      <w:pPr>
        <w:jc w:val="left"/>
        <w:rPr>
          <w:rFonts w:ascii="Arial" w:hAnsi="Arial" w:cs="Arial"/>
          <w:b/>
          <w:bCs/>
        </w:rPr>
      </w:pPr>
    </w:p>
    <w:p w14:paraId="0516C3B6" w14:textId="77777777" w:rsidR="002F5458" w:rsidRPr="00AC598B" w:rsidRDefault="002F5458" w:rsidP="002F5458">
      <w:pPr>
        <w:jc w:val="left"/>
        <w:rPr>
          <w:rFonts w:ascii="Arial" w:hAnsi="Arial" w:cs="Arial"/>
          <w:b/>
          <w:bCs/>
        </w:rPr>
      </w:pPr>
    </w:p>
    <w:p w14:paraId="3291BC17" w14:textId="150A0A77" w:rsidR="002F5458" w:rsidRPr="00230CDB" w:rsidRDefault="002F5458" w:rsidP="002F5458">
      <w:pPr>
        <w:jc w:val="left"/>
        <w:rPr>
          <w:rFonts w:ascii="Arial" w:hAnsi="Arial" w:cs="Arial"/>
          <w:bCs/>
          <w:highlight w:val="yellow"/>
        </w:rPr>
      </w:pPr>
      <w:bookmarkStart w:id="41" w:name="_Hlk524531876"/>
      <w:r w:rsidRPr="00230CDB">
        <w:rPr>
          <w:rFonts w:ascii="Arial" w:hAnsi="Arial" w:cs="Arial"/>
          <w:bCs/>
        </w:rPr>
        <w:t xml:space="preserve">Kingfisher France sales </w:t>
      </w:r>
      <w:r w:rsidR="00B43B2F" w:rsidRPr="00230CDB">
        <w:rPr>
          <w:rFonts w:ascii="Arial" w:hAnsi="Arial" w:cs="Arial"/>
          <w:bCs/>
        </w:rPr>
        <w:t>decreased</w:t>
      </w:r>
      <w:r w:rsidR="00921FFC" w:rsidRPr="00230CDB">
        <w:rPr>
          <w:rFonts w:ascii="Arial" w:hAnsi="Arial" w:cs="Arial"/>
          <w:bCs/>
        </w:rPr>
        <w:t xml:space="preserve"> </w:t>
      </w:r>
      <w:r w:rsidRPr="00230CDB">
        <w:rPr>
          <w:rFonts w:ascii="Arial" w:hAnsi="Arial" w:cs="Arial"/>
          <w:bCs/>
        </w:rPr>
        <w:t xml:space="preserve">by </w:t>
      </w:r>
      <w:r w:rsidR="002D427A" w:rsidRPr="00230CDB">
        <w:rPr>
          <w:rFonts w:ascii="Arial" w:hAnsi="Arial" w:cs="Arial"/>
          <w:bCs/>
        </w:rPr>
        <w:t>2</w:t>
      </w:r>
      <w:r w:rsidR="00FF1D13" w:rsidRPr="00230CDB">
        <w:rPr>
          <w:rFonts w:ascii="Arial" w:hAnsi="Arial" w:cs="Arial"/>
          <w:bCs/>
        </w:rPr>
        <w:t>.1</w:t>
      </w:r>
      <w:r w:rsidRPr="00230CDB">
        <w:rPr>
          <w:rFonts w:ascii="Arial" w:hAnsi="Arial" w:cs="Arial"/>
          <w:bCs/>
        </w:rPr>
        <w:t>% (</w:t>
      </w:r>
      <w:r w:rsidR="002F54E4" w:rsidRPr="00F01C34">
        <w:rPr>
          <w:rFonts w:ascii="Arial" w:hAnsi="Arial" w:cs="Arial"/>
          <w:szCs w:val="24"/>
        </w:rPr>
        <w:t>-2.</w:t>
      </w:r>
      <w:r w:rsidR="00FF1D13" w:rsidRPr="00F01C34">
        <w:rPr>
          <w:rFonts w:ascii="Arial" w:hAnsi="Arial" w:cs="Arial"/>
          <w:szCs w:val="24"/>
        </w:rPr>
        <w:t>4</w:t>
      </w:r>
      <w:r w:rsidRPr="00230CDB">
        <w:rPr>
          <w:rFonts w:ascii="Arial" w:hAnsi="Arial" w:cs="Arial"/>
          <w:bCs/>
        </w:rPr>
        <w:t>% LFL) to £</w:t>
      </w:r>
      <w:r w:rsidR="00FF1D13" w:rsidRPr="00F01C34">
        <w:rPr>
          <w:rFonts w:ascii="Arial" w:hAnsi="Arial" w:cs="Arial"/>
          <w:szCs w:val="24"/>
        </w:rPr>
        <w:t>2,267</w:t>
      </w:r>
      <w:r w:rsidRPr="00230CDB">
        <w:rPr>
          <w:rFonts w:ascii="Arial" w:hAnsi="Arial" w:cs="Arial"/>
          <w:bCs/>
        </w:rPr>
        <w:t xml:space="preserve"> million</w:t>
      </w:r>
      <w:r w:rsidR="00633BE2" w:rsidRPr="00230CDB">
        <w:rPr>
          <w:rFonts w:ascii="Arial" w:hAnsi="Arial" w:cs="Arial"/>
          <w:bCs/>
        </w:rPr>
        <w:t xml:space="preserve"> reflecting continuing weaker performance </w:t>
      </w:r>
      <w:r w:rsidR="002F54E4" w:rsidRPr="00230CDB">
        <w:rPr>
          <w:rFonts w:ascii="Arial" w:hAnsi="Arial" w:cs="Arial"/>
          <w:bCs/>
        </w:rPr>
        <w:t xml:space="preserve">of Castorama </w:t>
      </w:r>
      <w:r w:rsidR="005F0570">
        <w:rPr>
          <w:rFonts w:ascii="Arial" w:hAnsi="Arial" w:cs="Arial"/>
          <w:bCs/>
        </w:rPr>
        <w:t xml:space="preserve">partly offset by an </w:t>
      </w:r>
      <w:r w:rsidR="005F0570" w:rsidRPr="00230CDB">
        <w:rPr>
          <w:rFonts w:ascii="Arial" w:hAnsi="Arial" w:cs="Arial"/>
          <w:bCs/>
        </w:rPr>
        <w:t xml:space="preserve">improving sales performance at </w:t>
      </w:r>
      <w:r w:rsidR="005F0570" w:rsidRPr="00F01C34">
        <w:rPr>
          <w:rFonts w:ascii="Arial" w:hAnsi="Arial" w:cs="Arial"/>
          <w:bCs/>
        </w:rPr>
        <w:t xml:space="preserve">Brico </w:t>
      </w:r>
      <w:proofErr w:type="spellStart"/>
      <w:r w:rsidR="005F0570" w:rsidRPr="00F01C34">
        <w:rPr>
          <w:rFonts w:ascii="Arial" w:hAnsi="Arial" w:cs="Arial"/>
          <w:bCs/>
        </w:rPr>
        <w:t>Dépôt</w:t>
      </w:r>
      <w:proofErr w:type="spellEnd"/>
      <w:r w:rsidR="005F0570">
        <w:rPr>
          <w:rFonts w:ascii="Arial" w:hAnsi="Arial" w:cs="Arial"/>
        </w:rPr>
        <w:t>.</w:t>
      </w:r>
      <w:r w:rsidR="00E16A6C" w:rsidRPr="00230CDB">
        <w:rPr>
          <w:rFonts w:ascii="Arial" w:hAnsi="Arial" w:cs="Arial"/>
          <w:bCs/>
        </w:rPr>
        <w:t xml:space="preserve"> </w:t>
      </w:r>
      <w:r w:rsidR="006D7C59" w:rsidRPr="00230CDB">
        <w:rPr>
          <w:rFonts w:ascii="Arial" w:hAnsi="Arial" w:cs="Arial"/>
        </w:rPr>
        <w:t>According to Banque de France</w:t>
      </w:r>
      <w:r w:rsidR="002D0435">
        <w:rPr>
          <w:rFonts w:ascii="Arial" w:hAnsi="Arial" w:cs="Arial"/>
        </w:rPr>
        <w:t>*</w:t>
      </w:r>
      <w:r w:rsidR="006D7C59" w:rsidRPr="00230CDB">
        <w:rPr>
          <w:rFonts w:ascii="Arial" w:hAnsi="Arial" w:cs="Arial"/>
        </w:rPr>
        <w:t xml:space="preserve"> data,</w:t>
      </w:r>
      <w:r w:rsidR="00A359EE" w:rsidRPr="00230CDB">
        <w:rPr>
          <w:rFonts w:ascii="Arial" w:hAnsi="Arial" w:cs="Arial"/>
        </w:rPr>
        <w:t xml:space="preserve"> </w:t>
      </w:r>
      <w:r w:rsidR="006D7C59" w:rsidRPr="00230CDB">
        <w:rPr>
          <w:rFonts w:ascii="Arial" w:hAnsi="Arial" w:cs="Arial"/>
        </w:rPr>
        <w:t>sales for the home improvement market were</w:t>
      </w:r>
      <w:r w:rsidR="00C70B05" w:rsidRPr="00F01C34">
        <w:rPr>
          <w:rFonts w:ascii="Arial" w:hAnsi="Arial" w:cs="Arial"/>
          <w:b/>
          <w:szCs w:val="24"/>
        </w:rPr>
        <w:t xml:space="preserve"> </w:t>
      </w:r>
      <w:r w:rsidR="00FF1D13" w:rsidRPr="00F01C34">
        <w:rPr>
          <w:rFonts w:ascii="Arial" w:hAnsi="Arial" w:cs="Arial"/>
          <w:szCs w:val="24"/>
        </w:rPr>
        <w:t>flat</w:t>
      </w:r>
      <w:r w:rsidR="002F54E4" w:rsidRPr="00230CDB">
        <w:rPr>
          <w:rFonts w:ascii="Arial" w:hAnsi="Arial" w:cs="Arial"/>
        </w:rPr>
        <w:t xml:space="preserve"> </w:t>
      </w:r>
      <w:r w:rsidR="00FF1D13" w:rsidRPr="00230CDB">
        <w:rPr>
          <w:rFonts w:ascii="Arial" w:hAnsi="Arial" w:cs="Arial"/>
        </w:rPr>
        <w:t xml:space="preserve">and </w:t>
      </w:r>
      <w:r w:rsidR="002F54E4" w:rsidRPr="00230CDB">
        <w:rPr>
          <w:rFonts w:ascii="Arial" w:hAnsi="Arial" w:cs="Arial"/>
        </w:rPr>
        <w:t>continue to be volatile from month to month.</w:t>
      </w:r>
      <w:r w:rsidR="006D7C59" w:rsidRPr="00230CDB">
        <w:rPr>
          <w:rFonts w:ascii="Arial" w:hAnsi="Arial" w:cs="Arial"/>
        </w:rPr>
        <w:t xml:space="preserve"> </w:t>
      </w:r>
    </w:p>
    <w:p w14:paraId="67C912A4" w14:textId="77777777" w:rsidR="002F5458" w:rsidRPr="00230CDB" w:rsidRDefault="002F5458" w:rsidP="002F5458">
      <w:pPr>
        <w:jc w:val="left"/>
        <w:rPr>
          <w:rFonts w:ascii="Arial" w:hAnsi="Arial" w:cs="Arial"/>
          <w:bCs/>
          <w:highlight w:val="yellow"/>
        </w:rPr>
      </w:pPr>
    </w:p>
    <w:p w14:paraId="7701B702" w14:textId="6C1F91AF" w:rsidR="00D00E64" w:rsidRPr="00AC598B" w:rsidRDefault="002F5458" w:rsidP="00D00E64">
      <w:pPr>
        <w:jc w:val="left"/>
        <w:rPr>
          <w:rFonts w:ascii="Arial" w:hAnsi="Arial" w:cs="Arial"/>
        </w:rPr>
      </w:pPr>
      <w:r w:rsidRPr="00230CDB">
        <w:rPr>
          <w:rFonts w:ascii="Arial" w:hAnsi="Arial" w:cs="Arial"/>
          <w:b/>
          <w:bCs/>
        </w:rPr>
        <w:t>Castorama</w:t>
      </w:r>
      <w:r w:rsidRPr="00230CDB">
        <w:rPr>
          <w:rFonts w:ascii="Arial" w:hAnsi="Arial" w:cs="Arial"/>
        </w:rPr>
        <w:t xml:space="preserve"> total sales </w:t>
      </w:r>
      <w:r w:rsidR="009C6430" w:rsidRPr="00230CDB">
        <w:rPr>
          <w:rFonts w:ascii="Arial" w:hAnsi="Arial" w:cs="Arial"/>
        </w:rPr>
        <w:t>declined</w:t>
      </w:r>
      <w:r w:rsidRPr="00230CDB">
        <w:rPr>
          <w:rFonts w:ascii="Arial" w:hAnsi="Arial" w:cs="Arial"/>
        </w:rPr>
        <w:t xml:space="preserve"> by </w:t>
      </w:r>
      <w:r w:rsidR="00FF1D13" w:rsidRPr="00230CDB">
        <w:rPr>
          <w:rFonts w:ascii="Arial" w:hAnsi="Arial" w:cs="Arial"/>
        </w:rPr>
        <w:t>6.0</w:t>
      </w:r>
      <w:r w:rsidRPr="00230CDB">
        <w:rPr>
          <w:rFonts w:ascii="Arial" w:hAnsi="Arial" w:cs="Arial"/>
        </w:rPr>
        <w:t>% (</w:t>
      </w:r>
      <w:r w:rsidR="006E1B74" w:rsidRPr="00F01C34">
        <w:rPr>
          <w:rFonts w:ascii="Arial" w:hAnsi="Arial" w:cs="Arial"/>
        </w:rPr>
        <w:t>-</w:t>
      </w:r>
      <w:r w:rsidR="00BB544C" w:rsidRPr="00F01C34">
        <w:rPr>
          <w:rFonts w:ascii="Arial" w:hAnsi="Arial" w:cs="Arial"/>
        </w:rPr>
        <w:t>5</w:t>
      </w:r>
      <w:r w:rsidR="003C6F8F" w:rsidRPr="00F01C34">
        <w:rPr>
          <w:rFonts w:ascii="Arial" w:hAnsi="Arial" w:cs="Arial"/>
        </w:rPr>
        <w:t>.</w:t>
      </w:r>
      <w:r w:rsidR="00BB544C" w:rsidRPr="00F01C34">
        <w:rPr>
          <w:rFonts w:ascii="Arial" w:hAnsi="Arial" w:cs="Arial"/>
        </w:rPr>
        <w:t>8</w:t>
      </w:r>
      <w:r w:rsidR="0092012D" w:rsidRPr="00F01C34">
        <w:rPr>
          <w:rFonts w:ascii="Arial" w:hAnsi="Arial" w:cs="Arial"/>
        </w:rPr>
        <w:t>%</w:t>
      </w:r>
      <w:r w:rsidRPr="00230CDB">
        <w:rPr>
          <w:rFonts w:ascii="Arial" w:hAnsi="Arial" w:cs="Arial"/>
        </w:rPr>
        <w:t xml:space="preserve"> LFL) to £</w:t>
      </w:r>
      <w:r w:rsidR="00BB544C" w:rsidRPr="00230CDB">
        <w:rPr>
          <w:rFonts w:ascii="Arial" w:hAnsi="Arial" w:cs="Arial"/>
        </w:rPr>
        <w:t>1,202</w:t>
      </w:r>
      <w:r w:rsidR="00C70B05" w:rsidRPr="00F01C34">
        <w:rPr>
          <w:rFonts w:ascii="Arial" w:hAnsi="Arial" w:cs="Arial"/>
          <w:b/>
          <w:szCs w:val="24"/>
        </w:rPr>
        <w:t xml:space="preserve"> </w:t>
      </w:r>
      <w:r w:rsidRPr="00230CDB">
        <w:rPr>
          <w:rFonts w:ascii="Arial" w:hAnsi="Arial" w:cs="Arial"/>
        </w:rPr>
        <w:t>million</w:t>
      </w:r>
      <w:r w:rsidR="001A0E63" w:rsidRPr="00230CDB">
        <w:rPr>
          <w:rFonts w:ascii="Arial" w:hAnsi="Arial" w:cs="Arial"/>
        </w:rPr>
        <w:t xml:space="preserve"> </w:t>
      </w:r>
      <w:r w:rsidR="00BB544C" w:rsidRPr="00230CDB">
        <w:rPr>
          <w:rFonts w:ascii="Arial" w:hAnsi="Arial" w:cs="Arial"/>
        </w:rPr>
        <w:t xml:space="preserve">reflecting </w:t>
      </w:r>
      <w:r w:rsidR="001A0E63" w:rsidRPr="00230CDB">
        <w:rPr>
          <w:rFonts w:ascii="Arial" w:hAnsi="Arial" w:cs="Arial"/>
        </w:rPr>
        <w:t xml:space="preserve">weaker footfall </w:t>
      </w:r>
      <w:r w:rsidR="00D8336B">
        <w:rPr>
          <w:rFonts w:ascii="Arial" w:hAnsi="Arial" w:cs="Arial"/>
        </w:rPr>
        <w:t xml:space="preserve">and </w:t>
      </w:r>
      <w:r w:rsidR="00500A74" w:rsidRPr="00230CDB">
        <w:rPr>
          <w:rFonts w:ascii="Arial" w:hAnsi="Arial" w:cs="Arial"/>
        </w:rPr>
        <w:t>the impact of transformation</w:t>
      </w:r>
      <w:r w:rsidR="00BB544C" w:rsidRPr="00230CDB">
        <w:rPr>
          <w:rFonts w:ascii="Arial" w:hAnsi="Arial" w:cs="Arial"/>
        </w:rPr>
        <w:t>-related</w:t>
      </w:r>
      <w:r w:rsidR="00500A74" w:rsidRPr="00230CDB">
        <w:rPr>
          <w:rFonts w:ascii="Arial" w:hAnsi="Arial" w:cs="Arial"/>
        </w:rPr>
        <w:t xml:space="preserve"> </w:t>
      </w:r>
      <w:r w:rsidR="00500A74" w:rsidRPr="00760E29">
        <w:rPr>
          <w:rFonts w:ascii="Arial" w:hAnsi="Arial" w:cs="Arial"/>
        </w:rPr>
        <w:t>activity</w:t>
      </w:r>
      <w:r w:rsidR="006D7C59" w:rsidRPr="00760E29">
        <w:rPr>
          <w:rFonts w:ascii="Arial" w:hAnsi="Arial" w:cs="Arial"/>
        </w:rPr>
        <w:t>.</w:t>
      </w:r>
      <w:r w:rsidRPr="00760E29">
        <w:rPr>
          <w:rFonts w:ascii="Arial" w:hAnsi="Arial" w:cs="Arial"/>
        </w:rPr>
        <w:t xml:space="preserve"> </w:t>
      </w:r>
      <w:r w:rsidR="00D00E64" w:rsidRPr="00760E29">
        <w:rPr>
          <w:rFonts w:ascii="Arial" w:hAnsi="Arial" w:cs="Arial"/>
        </w:rPr>
        <w:t xml:space="preserve">LFL sales of weather-related categories were down </w:t>
      </w:r>
      <w:r w:rsidR="00760E29" w:rsidRPr="00AB52F3">
        <w:rPr>
          <w:rFonts w:ascii="Arial" w:hAnsi="Arial" w:cs="Arial"/>
        </w:rPr>
        <w:t>6.9</w:t>
      </w:r>
      <w:r w:rsidR="00D00E64" w:rsidRPr="00AB52F3">
        <w:rPr>
          <w:rFonts w:ascii="Arial" w:hAnsi="Arial" w:cs="Arial"/>
        </w:rPr>
        <w:t>%</w:t>
      </w:r>
      <w:r w:rsidR="00D00E64" w:rsidRPr="00760E29">
        <w:rPr>
          <w:rFonts w:ascii="Arial" w:hAnsi="Arial" w:cs="Arial"/>
        </w:rPr>
        <w:t xml:space="preserve"> while sales of non-weather-related categories, including showroom, were down </w:t>
      </w:r>
      <w:r w:rsidR="00760E29" w:rsidRPr="00AB52F3">
        <w:rPr>
          <w:rFonts w:ascii="Arial" w:hAnsi="Arial" w:cs="Arial"/>
        </w:rPr>
        <w:t>5.</w:t>
      </w:r>
      <w:r w:rsidR="0065794F">
        <w:rPr>
          <w:rFonts w:ascii="Arial" w:hAnsi="Arial" w:cs="Arial"/>
        </w:rPr>
        <w:t>6</w:t>
      </w:r>
      <w:r w:rsidR="00D00E64" w:rsidRPr="00AB52F3">
        <w:rPr>
          <w:rFonts w:ascii="Arial" w:hAnsi="Arial" w:cs="Arial"/>
        </w:rPr>
        <w:t>%.</w:t>
      </w:r>
      <w:r w:rsidR="00D00E64" w:rsidRPr="00AC598B">
        <w:rPr>
          <w:rFonts w:ascii="Arial" w:hAnsi="Arial" w:cs="Arial"/>
        </w:rPr>
        <w:t xml:space="preserve"> </w:t>
      </w:r>
    </w:p>
    <w:p w14:paraId="79221EF2" w14:textId="77777777" w:rsidR="002F54E4" w:rsidRPr="00230CDB" w:rsidRDefault="002F54E4" w:rsidP="00AE0F23">
      <w:pPr>
        <w:jc w:val="left"/>
        <w:rPr>
          <w:rFonts w:ascii="Arial" w:hAnsi="Arial" w:cs="Arial"/>
          <w:b/>
          <w:bCs/>
        </w:rPr>
      </w:pPr>
    </w:p>
    <w:p w14:paraId="3C339686" w14:textId="77777777" w:rsidR="00D00E64" w:rsidRDefault="002F5458" w:rsidP="00AE0F23">
      <w:pPr>
        <w:jc w:val="left"/>
        <w:rPr>
          <w:rFonts w:ascii="Arial" w:hAnsi="Arial" w:cs="Arial"/>
          <w:bCs/>
        </w:rPr>
      </w:pPr>
      <w:r w:rsidRPr="00230CDB">
        <w:rPr>
          <w:rFonts w:ascii="Arial" w:hAnsi="Arial" w:cs="Arial"/>
          <w:b/>
          <w:bCs/>
        </w:rPr>
        <w:t xml:space="preserve">Brico </w:t>
      </w:r>
      <w:proofErr w:type="spellStart"/>
      <w:r w:rsidRPr="00230CDB">
        <w:rPr>
          <w:rFonts w:ascii="Arial" w:hAnsi="Arial" w:cs="Arial"/>
          <w:b/>
          <w:bCs/>
        </w:rPr>
        <w:t>Dépôt</w:t>
      </w:r>
      <w:proofErr w:type="spellEnd"/>
      <w:r w:rsidRPr="00230CDB">
        <w:rPr>
          <w:rFonts w:ascii="Arial" w:hAnsi="Arial" w:cs="Arial"/>
          <w:bCs/>
        </w:rPr>
        <w:t xml:space="preserve"> total sales </w:t>
      </w:r>
      <w:r w:rsidR="00C70B05" w:rsidRPr="00230CDB">
        <w:rPr>
          <w:rFonts w:ascii="Arial" w:hAnsi="Arial" w:cs="Arial"/>
          <w:bCs/>
        </w:rPr>
        <w:t xml:space="preserve">grew </w:t>
      </w:r>
      <w:r w:rsidRPr="00230CDB">
        <w:rPr>
          <w:rFonts w:ascii="Arial" w:hAnsi="Arial" w:cs="Arial"/>
          <w:bCs/>
        </w:rPr>
        <w:t xml:space="preserve">by </w:t>
      </w:r>
      <w:r w:rsidR="00BB544C" w:rsidRPr="00230CDB">
        <w:rPr>
          <w:rFonts w:ascii="Arial" w:hAnsi="Arial" w:cs="Arial"/>
          <w:bCs/>
        </w:rPr>
        <w:t>2.7</w:t>
      </w:r>
      <w:r w:rsidRPr="00230CDB">
        <w:rPr>
          <w:rFonts w:ascii="Arial" w:hAnsi="Arial" w:cs="Arial"/>
          <w:bCs/>
        </w:rPr>
        <w:t>% (</w:t>
      </w:r>
      <w:r w:rsidR="0092012D" w:rsidRPr="00F01C34">
        <w:rPr>
          <w:rFonts w:ascii="Arial" w:hAnsi="Arial" w:cs="Arial"/>
          <w:szCs w:val="24"/>
        </w:rPr>
        <w:t>+</w:t>
      </w:r>
      <w:r w:rsidR="003C6F8F" w:rsidRPr="00F01C34">
        <w:rPr>
          <w:rFonts w:ascii="Arial" w:hAnsi="Arial" w:cs="Arial"/>
          <w:szCs w:val="24"/>
        </w:rPr>
        <w:t>1.</w:t>
      </w:r>
      <w:r w:rsidR="00BB544C" w:rsidRPr="00F01C34">
        <w:rPr>
          <w:rFonts w:ascii="Arial" w:hAnsi="Arial" w:cs="Arial"/>
          <w:szCs w:val="24"/>
        </w:rPr>
        <w:t>7</w:t>
      </w:r>
      <w:r w:rsidR="0092012D" w:rsidRPr="00F01C34">
        <w:rPr>
          <w:rFonts w:ascii="Arial" w:hAnsi="Arial" w:cs="Arial"/>
          <w:szCs w:val="24"/>
        </w:rPr>
        <w:t>%</w:t>
      </w:r>
      <w:r w:rsidRPr="00230CDB">
        <w:rPr>
          <w:rFonts w:ascii="Arial" w:hAnsi="Arial" w:cs="Arial"/>
          <w:bCs/>
        </w:rPr>
        <w:t xml:space="preserve"> LFL) </w:t>
      </w:r>
      <w:r w:rsidRPr="00AC598B">
        <w:rPr>
          <w:rFonts w:ascii="Arial" w:hAnsi="Arial" w:cs="Arial"/>
          <w:bCs/>
        </w:rPr>
        <w:t>to £</w:t>
      </w:r>
      <w:r w:rsidR="00BB544C">
        <w:rPr>
          <w:rFonts w:ascii="Arial" w:hAnsi="Arial" w:cs="Arial"/>
          <w:bCs/>
        </w:rPr>
        <w:t>1,065</w:t>
      </w:r>
      <w:r w:rsidR="00C70B05" w:rsidRPr="00C70B05">
        <w:rPr>
          <w:rFonts w:ascii="Arial" w:hAnsi="Arial" w:cs="Arial"/>
          <w:b/>
          <w:color w:val="C00000"/>
          <w:szCs w:val="24"/>
        </w:rPr>
        <w:t xml:space="preserve"> </w:t>
      </w:r>
      <w:r w:rsidRPr="00AC598B">
        <w:rPr>
          <w:rFonts w:ascii="Arial" w:hAnsi="Arial" w:cs="Arial"/>
          <w:bCs/>
        </w:rPr>
        <w:t>million</w:t>
      </w:r>
      <w:r w:rsidR="001A0E63">
        <w:rPr>
          <w:rFonts w:ascii="Arial" w:hAnsi="Arial" w:cs="Arial"/>
          <w:bCs/>
        </w:rPr>
        <w:t xml:space="preserve"> reflecting a good performance of the new unified ranges and supported by investment in marketing</w:t>
      </w:r>
      <w:r w:rsidR="00921FFC" w:rsidRPr="00AC598B">
        <w:rPr>
          <w:rFonts w:ascii="Arial" w:hAnsi="Arial" w:cs="Arial"/>
          <w:bCs/>
        </w:rPr>
        <w:t>.</w:t>
      </w:r>
      <w:r w:rsidR="00AE0F23" w:rsidRPr="00AE0F23">
        <w:rPr>
          <w:rFonts w:ascii="Arial" w:hAnsi="Arial" w:cs="Arial"/>
          <w:bCs/>
        </w:rPr>
        <w:t xml:space="preserve"> </w:t>
      </w:r>
    </w:p>
    <w:p w14:paraId="21084DB0" w14:textId="77777777" w:rsidR="00D00E64" w:rsidRDefault="00D00E64" w:rsidP="00AE0F23">
      <w:pPr>
        <w:jc w:val="left"/>
        <w:rPr>
          <w:rFonts w:ascii="Arial" w:hAnsi="Arial" w:cs="Arial"/>
          <w:bCs/>
        </w:rPr>
      </w:pPr>
    </w:p>
    <w:p w14:paraId="096A145B" w14:textId="7799552F" w:rsidR="00AE0F23" w:rsidRDefault="00AE0F23" w:rsidP="00AE0F23">
      <w:pPr>
        <w:jc w:val="left"/>
        <w:rPr>
          <w:rFonts w:ascii="Arial" w:hAnsi="Arial" w:cs="Arial"/>
          <w:bCs/>
        </w:rPr>
      </w:pPr>
      <w:r w:rsidRPr="0028616A">
        <w:rPr>
          <w:rFonts w:ascii="Arial" w:hAnsi="Arial" w:cs="Arial"/>
          <w:bCs/>
        </w:rPr>
        <w:t>Across the two businesses</w:t>
      </w:r>
      <w:r w:rsidR="00D00E64" w:rsidRPr="0028616A">
        <w:rPr>
          <w:rFonts w:ascii="Arial" w:hAnsi="Arial" w:cs="Arial"/>
          <w:bCs/>
        </w:rPr>
        <w:t xml:space="preserve"> space </w:t>
      </w:r>
      <w:r w:rsidR="0028616A">
        <w:rPr>
          <w:rFonts w:ascii="Arial" w:hAnsi="Arial" w:cs="Arial"/>
          <w:bCs/>
        </w:rPr>
        <w:t>remained</w:t>
      </w:r>
      <w:r w:rsidR="0028616A" w:rsidRPr="0028616A">
        <w:rPr>
          <w:rFonts w:ascii="Arial" w:hAnsi="Arial" w:cs="Arial"/>
          <w:bCs/>
        </w:rPr>
        <w:t xml:space="preserve"> </w:t>
      </w:r>
      <w:r w:rsidR="00D00E64" w:rsidRPr="004215EF">
        <w:rPr>
          <w:rFonts w:ascii="Arial" w:hAnsi="Arial" w:cs="Arial"/>
          <w:bCs/>
        </w:rPr>
        <w:t>broadly flat</w:t>
      </w:r>
      <w:r w:rsidRPr="0028616A">
        <w:rPr>
          <w:rFonts w:ascii="Arial" w:hAnsi="Arial" w:cs="Arial"/>
          <w:bCs/>
        </w:rPr>
        <w:t>.</w:t>
      </w:r>
      <w:r w:rsidRPr="00AC598B">
        <w:rPr>
          <w:rFonts w:ascii="Arial" w:hAnsi="Arial" w:cs="Arial"/>
          <w:bCs/>
        </w:rPr>
        <w:t xml:space="preserve"> </w:t>
      </w:r>
    </w:p>
    <w:p w14:paraId="1EB66672" w14:textId="48F4BCCD" w:rsidR="000621F1" w:rsidRDefault="000621F1" w:rsidP="00AE0F23">
      <w:pPr>
        <w:jc w:val="left"/>
        <w:rPr>
          <w:rFonts w:ascii="Arial" w:hAnsi="Arial" w:cs="Arial"/>
          <w:bCs/>
        </w:rPr>
      </w:pPr>
    </w:p>
    <w:p w14:paraId="587CD5AA" w14:textId="3F81BD66" w:rsidR="000621F1" w:rsidRPr="00AC598B" w:rsidRDefault="000621F1" w:rsidP="000621F1">
      <w:pPr>
        <w:jc w:val="left"/>
        <w:rPr>
          <w:rFonts w:ascii="Arial" w:hAnsi="Arial" w:cs="Arial"/>
          <w:bCs/>
        </w:rPr>
      </w:pPr>
      <w:bookmarkStart w:id="42" w:name="_Hlk524977385"/>
      <w:r w:rsidRPr="00230CDB">
        <w:rPr>
          <w:rFonts w:ascii="Arial" w:hAnsi="Arial" w:cs="Arial"/>
          <w:bCs/>
        </w:rPr>
        <w:t xml:space="preserve">Retail profit decreased by </w:t>
      </w:r>
      <w:r w:rsidR="002D427A" w:rsidRPr="00230CDB">
        <w:rPr>
          <w:rFonts w:ascii="Arial" w:hAnsi="Arial" w:cs="Arial"/>
          <w:bCs/>
        </w:rPr>
        <w:t>31.1</w:t>
      </w:r>
      <w:r w:rsidRPr="00230CDB">
        <w:rPr>
          <w:rFonts w:ascii="Arial" w:hAnsi="Arial" w:cs="Arial"/>
          <w:bCs/>
        </w:rPr>
        <w:t>% to £</w:t>
      </w:r>
      <w:r w:rsidR="002D427A" w:rsidRPr="00230CDB">
        <w:rPr>
          <w:rFonts w:ascii="Arial" w:hAnsi="Arial" w:cs="Arial"/>
          <w:bCs/>
        </w:rPr>
        <w:t>122</w:t>
      </w:r>
      <w:r w:rsidR="00347808" w:rsidRPr="00F01C34">
        <w:rPr>
          <w:rFonts w:ascii="Arial" w:hAnsi="Arial" w:cs="Arial"/>
          <w:b/>
          <w:szCs w:val="24"/>
        </w:rPr>
        <w:t xml:space="preserve"> </w:t>
      </w:r>
      <w:r w:rsidRPr="00230CDB">
        <w:rPr>
          <w:rFonts w:ascii="Arial" w:hAnsi="Arial" w:cs="Arial"/>
          <w:bCs/>
        </w:rPr>
        <w:t>million</w:t>
      </w:r>
      <w:r w:rsidR="00463C88">
        <w:rPr>
          <w:rFonts w:ascii="Arial" w:hAnsi="Arial" w:cs="Arial"/>
          <w:bCs/>
        </w:rPr>
        <w:t>. This</w:t>
      </w:r>
      <w:r w:rsidRPr="00230CDB">
        <w:rPr>
          <w:rFonts w:ascii="Arial" w:hAnsi="Arial" w:cs="Arial"/>
          <w:bCs/>
        </w:rPr>
        <w:t xml:space="preserve"> reflect</w:t>
      </w:r>
      <w:r w:rsidR="00463C88">
        <w:rPr>
          <w:rFonts w:ascii="Arial" w:hAnsi="Arial" w:cs="Arial"/>
          <w:bCs/>
        </w:rPr>
        <w:t>ed</w:t>
      </w:r>
      <w:r w:rsidRPr="00230CDB">
        <w:rPr>
          <w:rFonts w:ascii="Arial" w:hAnsi="Arial" w:cs="Arial"/>
          <w:bCs/>
        </w:rPr>
        <w:t xml:space="preserve"> weaker sales, </w:t>
      </w:r>
      <w:r w:rsidR="002F54E4" w:rsidRPr="00230CDB">
        <w:rPr>
          <w:rFonts w:ascii="Arial" w:hAnsi="Arial" w:cs="Arial"/>
          <w:bCs/>
        </w:rPr>
        <w:t>a dec</w:t>
      </w:r>
      <w:r w:rsidR="0039724B" w:rsidRPr="00230CDB">
        <w:rPr>
          <w:rFonts w:ascii="Arial" w:hAnsi="Arial" w:cs="Arial"/>
          <w:bCs/>
        </w:rPr>
        <w:t>r</w:t>
      </w:r>
      <w:r w:rsidR="002F54E4" w:rsidRPr="00230CDB">
        <w:rPr>
          <w:rFonts w:ascii="Arial" w:hAnsi="Arial" w:cs="Arial"/>
          <w:bCs/>
        </w:rPr>
        <w:t xml:space="preserve">ease in </w:t>
      </w:r>
      <w:r w:rsidRPr="00230CDB">
        <w:rPr>
          <w:rFonts w:ascii="Arial" w:hAnsi="Arial" w:cs="Arial"/>
          <w:bCs/>
        </w:rPr>
        <w:t xml:space="preserve">gross </w:t>
      </w:r>
      <w:r w:rsidRPr="003D4DBB">
        <w:rPr>
          <w:rFonts w:ascii="Arial" w:hAnsi="Arial" w:cs="Arial"/>
          <w:bCs/>
        </w:rPr>
        <w:t xml:space="preserve">margin </w:t>
      </w:r>
      <w:r w:rsidR="00463C88" w:rsidRPr="003D4DBB">
        <w:rPr>
          <w:rFonts w:ascii="Arial" w:hAnsi="Arial" w:cs="Arial"/>
          <w:bCs/>
        </w:rPr>
        <w:t xml:space="preserve">and </w:t>
      </w:r>
      <w:r w:rsidR="00463C88" w:rsidRPr="00F74468">
        <w:rPr>
          <w:rFonts w:ascii="Arial" w:hAnsi="Arial" w:cs="Arial"/>
          <w:bCs/>
        </w:rPr>
        <w:t>higher costs</w:t>
      </w:r>
      <w:r w:rsidR="005E436E">
        <w:rPr>
          <w:rFonts w:ascii="Arial" w:hAnsi="Arial" w:cs="Arial"/>
          <w:bCs/>
        </w:rPr>
        <w:t>,</w:t>
      </w:r>
      <w:r w:rsidR="00463C88" w:rsidRPr="006B1A1C">
        <w:rPr>
          <w:rFonts w:ascii="Arial" w:hAnsi="Arial" w:cs="Arial"/>
          <w:bCs/>
        </w:rPr>
        <w:t xml:space="preserve"> including</w:t>
      </w:r>
      <w:r w:rsidR="00463C88" w:rsidRPr="003D4DBB">
        <w:rPr>
          <w:rFonts w:ascii="Arial" w:hAnsi="Arial" w:cs="Arial"/>
          <w:bCs/>
        </w:rPr>
        <w:t xml:space="preserve"> phasing of marketing investment at Brico </w:t>
      </w:r>
      <w:proofErr w:type="spellStart"/>
      <w:r w:rsidR="00463C88" w:rsidRPr="003D4DBB">
        <w:rPr>
          <w:rFonts w:ascii="Arial" w:hAnsi="Arial" w:cs="Arial"/>
          <w:bCs/>
        </w:rPr>
        <w:t>Dépôt</w:t>
      </w:r>
      <w:proofErr w:type="spellEnd"/>
      <w:r w:rsidR="005E436E">
        <w:rPr>
          <w:rFonts w:ascii="Arial" w:hAnsi="Arial" w:cs="Arial"/>
          <w:bCs/>
        </w:rPr>
        <w:t>. Gross margin declined by</w:t>
      </w:r>
      <w:r w:rsidR="005E436E" w:rsidRPr="003D4DBB">
        <w:rPr>
          <w:rFonts w:ascii="Arial" w:hAnsi="Arial" w:cs="Arial"/>
          <w:bCs/>
        </w:rPr>
        <w:t xml:space="preserve"> </w:t>
      </w:r>
      <w:r w:rsidR="005E436E" w:rsidRPr="003D4DBB">
        <w:rPr>
          <w:rFonts w:ascii="Arial" w:hAnsi="Arial" w:cs="Arial"/>
          <w:szCs w:val="24"/>
        </w:rPr>
        <w:t>60</w:t>
      </w:r>
      <w:r w:rsidR="005E436E" w:rsidRPr="003D4DBB">
        <w:rPr>
          <w:rFonts w:ascii="Arial" w:hAnsi="Arial" w:cs="Arial"/>
          <w:bCs/>
        </w:rPr>
        <w:t xml:space="preserve"> basis points</w:t>
      </w:r>
      <w:r w:rsidR="00463C88" w:rsidRPr="003D4DBB">
        <w:rPr>
          <w:rFonts w:ascii="Arial" w:hAnsi="Arial" w:cs="Arial"/>
          <w:bCs/>
        </w:rPr>
        <w:t xml:space="preserve"> </w:t>
      </w:r>
      <w:r w:rsidR="000625E4" w:rsidRPr="003D4DBB">
        <w:rPr>
          <w:rFonts w:ascii="Arial" w:hAnsi="Arial" w:cs="Arial"/>
          <w:bCs/>
        </w:rPr>
        <w:t xml:space="preserve">reflecting </w:t>
      </w:r>
      <w:r w:rsidR="000625E4" w:rsidRPr="004215EF">
        <w:rPr>
          <w:rFonts w:ascii="Arial" w:hAnsi="Arial" w:cs="Arial"/>
          <w:bCs/>
        </w:rPr>
        <w:t>a weak performance at Castorama France</w:t>
      </w:r>
      <w:r w:rsidR="005E436E">
        <w:rPr>
          <w:rFonts w:ascii="Arial" w:hAnsi="Arial" w:cs="Arial"/>
          <w:bCs/>
        </w:rPr>
        <w:t>,</w:t>
      </w:r>
      <w:r w:rsidR="000625E4" w:rsidRPr="004215EF">
        <w:rPr>
          <w:rFonts w:ascii="Arial" w:hAnsi="Arial" w:cs="Arial"/>
          <w:bCs/>
        </w:rPr>
        <w:t xml:space="preserve"> including </w:t>
      </w:r>
      <w:r w:rsidR="00D662FF" w:rsidRPr="004215EF">
        <w:rPr>
          <w:rFonts w:ascii="Arial" w:hAnsi="Arial" w:cs="Arial"/>
          <w:bCs/>
        </w:rPr>
        <w:t xml:space="preserve">logistics </w:t>
      </w:r>
      <w:r w:rsidR="00A739AF">
        <w:rPr>
          <w:rFonts w:ascii="Arial" w:hAnsi="Arial" w:cs="Arial"/>
          <w:bCs/>
        </w:rPr>
        <w:t xml:space="preserve">&amp; stock </w:t>
      </w:r>
      <w:r w:rsidR="00D662FF" w:rsidRPr="004215EF">
        <w:rPr>
          <w:rFonts w:ascii="Arial" w:hAnsi="Arial" w:cs="Arial"/>
          <w:bCs/>
        </w:rPr>
        <w:t>inefficiencies</w:t>
      </w:r>
      <w:r w:rsidRPr="003D4DBB">
        <w:rPr>
          <w:rFonts w:ascii="Arial" w:hAnsi="Arial" w:cs="Arial"/>
          <w:bCs/>
        </w:rPr>
        <w:t>.</w:t>
      </w:r>
      <w:r w:rsidRPr="00AC598B">
        <w:rPr>
          <w:rFonts w:ascii="Arial" w:hAnsi="Arial" w:cs="Arial"/>
          <w:bCs/>
        </w:rPr>
        <w:t xml:space="preserve"> </w:t>
      </w:r>
    </w:p>
    <w:bookmarkEnd w:id="42"/>
    <w:p w14:paraId="0477A05A" w14:textId="77777777" w:rsidR="000D723D" w:rsidRDefault="000D723D" w:rsidP="001A0E63">
      <w:pPr>
        <w:jc w:val="left"/>
        <w:rPr>
          <w:rFonts w:ascii="Arial" w:hAnsi="Arial" w:cs="Arial"/>
          <w:bCs/>
        </w:rPr>
      </w:pPr>
    </w:p>
    <w:p w14:paraId="237F421D" w14:textId="1224D6BF" w:rsidR="00E0625D" w:rsidRDefault="00E0625D" w:rsidP="001A0E63">
      <w:pPr>
        <w:jc w:val="left"/>
        <w:rPr>
          <w:rFonts w:ascii="Arial" w:hAnsi="Arial" w:cs="Arial"/>
          <w:bCs/>
        </w:rPr>
      </w:pPr>
      <w:r>
        <w:rPr>
          <w:rFonts w:ascii="Arial" w:hAnsi="Arial" w:cs="Arial"/>
          <w:bCs/>
        </w:rPr>
        <w:t xml:space="preserve">In March 2017 we </w:t>
      </w:r>
      <w:r w:rsidR="00A739AF">
        <w:rPr>
          <w:rFonts w:ascii="Arial" w:hAnsi="Arial" w:cs="Arial"/>
          <w:bCs/>
        </w:rPr>
        <w:t xml:space="preserve">outlined </w:t>
      </w:r>
      <w:r>
        <w:rPr>
          <w:rFonts w:ascii="Arial" w:hAnsi="Arial" w:cs="Arial"/>
          <w:bCs/>
        </w:rPr>
        <w:t xml:space="preserve">the key areas of focus to address our underperformance in France, namely pricing, proposition and digital. </w:t>
      </w:r>
      <w:r w:rsidR="00500A74" w:rsidRPr="00AB52F3">
        <w:rPr>
          <w:rFonts w:ascii="Arial" w:hAnsi="Arial" w:cs="Arial"/>
          <w:bCs/>
        </w:rPr>
        <w:t>Whilst</w:t>
      </w:r>
      <w:r>
        <w:rPr>
          <w:rFonts w:ascii="Arial" w:hAnsi="Arial" w:cs="Arial"/>
          <w:bCs/>
        </w:rPr>
        <w:t xml:space="preserve"> we have</w:t>
      </w:r>
      <w:r w:rsidR="00500A74" w:rsidRPr="00AB52F3">
        <w:rPr>
          <w:rFonts w:ascii="Arial" w:hAnsi="Arial" w:cs="Arial"/>
          <w:bCs/>
        </w:rPr>
        <w:t xml:space="preserve"> </w:t>
      </w:r>
      <w:r>
        <w:rPr>
          <w:rFonts w:ascii="Arial" w:hAnsi="Arial" w:cs="Arial"/>
          <w:bCs/>
        </w:rPr>
        <w:t xml:space="preserve">made </w:t>
      </w:r>
      <w:r w:rsidR="00500A74" w:rsidRPr="00AB52F3">
        <w:rPr>
          <w:rFonts w:ascii="Arial" w:hAnsi="Arial" w:cs="Arial"/>
          <w:bCs/>
        </w:rPr>
        <w:t>pr</w:t>
      </w:r>
      <w:r w:rsidR="00961F25" w:rsidRPr="00AB52F3">
        <w:rPr>
          <w:rFonts w:ascii="Arial" w:hAnsi="Arial" w:cs="Arial"/>
          <w:bCs/>
        </w:rPr>
        <w:t>o</w:t>
      </w:r>
      <w:r w:rsidR="00500A74" w:rsidRPr="00AB52F3">
        <w:rPr>
          <w:rFonts w:ascii="Arial" w:hAnsi="Arial" w:cs="Arial"/>
          <w:bCs/>
        </w:rPr>
        <w:t>gress</w:t>
      </w:r>
      <w:r>
        <w:rPr>
          <w:rFonts w:ascii="Arial" w:hAnsi="Arial" w:cs="Arial"/>
          <w:bCs/>
        </w:rPr>
        <w:t xml:space="preserve"> against each of these</w:t>
      </w:r>
      <w:r w:rsidR="00275949" w:rsidRPr="00AB52F3">
        <w:rPr>
          <w:rFonts w:ascii="Arial" w:hAnsi="Arial" w:cs="Arial"/>
          <w:bCs/>
        </w:rPr>
        <w:t xml:space="preserve"> </w:t>
      </w:r>
      <w:r w:rsidR="00F9738E" w:rsidRPr="00AB52F3">
        <w:rPr>
          <w:rFonts w:ascii="Arial" w:hAnsi="Arial" w:cs="Arial"/>
          <w:bCs/>
        </w:rPr>
        <w:t xml:space="preserve">there is </w:t>
      </w:r>
      <w:r w:rsidR="00275949" w:rsidRPr="00AB52F3">
        <w:rPr>
          <w:rFonts w:ascii="Arial" w:hAnsi="Arial" w:cs="Arial"/>
          <w:bCs/>
        </w:rPr>
        <w:t xml:space="preserve">still more </w:t>
      </w:r>
      <w:r w:rsidR="00DE65A7" w:rsidRPr="00AB52F3">
        <w:rPr>
          <w:rFonts w:ascii="Arial" w:hAnsi="Arial" w:cs="Arial"/>
          <w:bCs/>
        </w:rPr>
        <w:t>work ahead</w:t>
      </w:r>
      <w:r w:rsidR="000D723D">
        <w:rPr>
          <w:rFonts w:ascii="Arial" w:hAnsi="Arial" w:cs="Arial"/>
          <w:bCs/>
        </w:rPr>
        <w:t xml:space="preserve"> </w:t>
      </w:r>
      <w:r w:rsidR="00DE65A7" w:rsidRPr="00AB52F3">
        <w:rPr>
          <w:rFonts w:ascii="Arial" w:hAnsi="Arial" w:cs="Arial"/>
          <w:bCs/>
        </w:rPr>
        <w:t xml:space="preserve">to </w:t>
      </w:r>
      <w:r>
        <w:rPr>
          <w:rFonts w:ascii="Arial" w:hAnsi="Arial" w:cs="Arial"/>
          <w:bCs/>
        </w:rPr>
        <w:t>improve</w:t>
      </w:r>
      <w:r w:rsidR="005F0570">
        <w:rPr>
          <w:rFonts w:ascii="Arial" w:hAnsi="Arial" w:cs="Arial"/>
          <w:bCs/>
        </w:rPr>
        <w:t xml:space="preserve"> the </w:t>
      </w:r>
      <w:r>
        <w:rPr>
          <w:rFonts w:ascii="Arial" w:hAnsi="Arial" w:cs="Arial"/>
          <w:bCs/>
        </w:rPr>
        <w:t>overall performance</w:t>
      </w:r>
      <w:r w:rsidR="00961F25" w:rsidRPr="00AB52F3">
        <w:rPr>
          <w:rFonts w:ascii="Arial" w:hAnsi="Arial" w:cs="Arial"/>
          <w:bCs/>
        </w:rPr>
        <w:t>.</w:t>
      </w:r>
      <w:r w:rsidR="000D723D">
        <w:rPr>
          <w:rFonts w:ascii="Arial" w:hAnsi="Arial" w:cs="Arial"/>
          <w:bCs/>
        </w:rPr>
        <w:t xml:space="preserve"> </w:t>
      </w:r>
    </w:p>
    <w:p w14:paraId="19FB9901" w14:textId="77777777" w:rsidR="00E0625D" w:rsidRDefault="00E0625D" w:rsidP="001A0E63">
      <w:pPr>
        <w:jc w:val="left"/>
        <w:rPr>
          <w:rFonts w:ascii="Arial" w:hAnsi="Arial" w:cs="Arial"/>
          <w:bCs/>
        </w:rPr>
      </w:pPr>
    </w:p>
    <w:p w14:paraId="2A7C7536" w14:textId="3BB193FC" w:rsidR="00E0625D" w:rsidRDefault="000D723D" w:rsidP="001A0E63">
      <w:pPr>
        <w:jc w:val="left"/>
        <w:rPr>
          <w:rFonts w:ascii="Arial" w:hAnsi="Arial" w:cs="Arial"/>
          <w:bCs/>
        </w:rPr>
      </w:pPr>
      <w:r w:rsidRPr="00FD0F6E">
        <w:rPr>
          <w:rFonts w:ascii="Arial" w:hAnsi="Arial" w:cs="Arial"/>
          <w:bCs/>
        </w:rPr>
        <w:t>At Castorama</w:t>
      </w:r>
      <w:r w:rsidR="00EE44EF">
        <w:rPr>
          <w:rFonts w:ascii="Arial" w:hAnsi="Arial" w:cs="Arial"/>
          <w:bCs/>
        </w:rPr>
        <w:t>,</w:t>
      </w:r>
      <w:r w:rsidRPr="00FD0F6E">
        <w:rPr>
          <w:rFonts w:ascii="Arial" w:hAnsi="Arial" w:cs="Arial"/>
          <w:bCs/>
        </w:rPr>
        <w:t xml:space="preserve"> price positioning continues to improve as we invest </w:t>
      </w:r>
      <w:r w:rsidR="0005091E">
        <w:rPr>
          <w:rFonts w:ascii="Arial" w:hAnsi="Arial" w:cs="Arial"/>
          <w:bCs/>
        </w:rPr>
        <w:t>in</w:t>
      </w:r>
      <w:r w:rsidR="0005091E" w:rsidRPr="00FD0F6E">
        <w:rPr>
          <w:rFonts w:ascii="Arial" w:hAnsi="Arial" w:cs="Arial"/>
          <w:bCs/>
        </w:rPr>
        <w:t xml:space="preserve"> </w:t>
      </w:r>
      <w:r w:rsidRPr="00FD0F6E">
        <w:rPr>
          <w:rFonts w:ascii="Arial" w:hAnsi="Arial" w:cs="Arial"/>
          <w:bCs/>
        </w:rPr>
        <w:t>unified offer</w:t>
      </w:r>
      <w:r>
        <w:rPr>
          <w:rFonts w:ascii="Arial" w:hAnsi="Arial" w:cs="Arial"/>
          <w:bCs/>
        </w:rPr>
        <w:t xml:space="preserve"> but remains slightly higher than the market</w:t>
      </w:r>
      <w:r w:rsidRPr="00FD0F6E">
        <w:rPr>
          <w:rFonts w:ascii="Arial" w:hAnsi="Arial" w:cs="Arial"/>
          <w:bCs/>
        </w:rPr>
        <w:t>.</w:t>
      </w:r>
      <w:r>
        <w:rPr>
          <w:rFonts w:ascii="Arial" w:hAnsi="Arial" w:cs="Arial"/>
          <w:bCs/>
        </w:rPr>
        <w:t xml:space="preserve"> </w:t>
      </w:r>
      <w:r w:rsidR="00972911" w:rsidRPr="00D00E64">
        <w:rPr>
          <w:rFonts w:ascii="Arial" w:hAnsi="Arial" w:cs="Arial"/>
        </w:rPr>
        <w:t xml:space="preserve">The unified offer has </w:t>
      </w:r>
      <w:r>
        <w:rPr>
          <w:rFonts w:ascii="Arial" w:hAnsi="Arial" w:cs="Arial"/>
        </w:rPr>
        <w:t>been well received in categories such as</w:t>
      </w:r>
      <w:r w:rsidR="006B1A1C">
        <w:rPr>
          <w:rFonts w:ascii="Arial" w:hAnsi="Arial" w:cs="Arial"/>
        </w:rPr>
        <w:t xml:space="preserve"> </w:t>
      </w:r>
      <w:r w:rsidR="00002818" w:rsidRPr="00AB52F3">
        <w:rPr>
          <w:rFonts w:ascii="Arial" w:hAnsi="Arial" w:cs="Arial"/>
          <w:bCs/>
        </w:rPr>
        <w:t>bathroom and storage</w:t>
      </w:r>
      <w:r w:rsidR="00DB01BA">
        <w:rPr>
          <w:rFonts w:ascii="Arial" w:hAnsi="Arial" w:cs="Arial"/>
          <w:bCs/>
        </w:rPr>
        <w:t>,</w:t>
      </w:r>
      <w:r w:rsidR="00002818" w:rsidRPr="00AB52F3">
        <w:rPr>
          <w:rFonts w:ascii="Arial" w:hAnsi="Arial" w:cs="Arial"/>
          <w:bCs/>
        </w:rPr>
        <w:t xml:space="preserve"> </w:t>
      </w:r>
      <w:r w:rsidRPr="00AB52F3">
        <w:rPr>
          <w:rFonts w:ascii="Arial" w:hAnsi="Arial" w:cs="Arial"/>
          <w:bCs/>
        </w:rPr>
        <w:t xml:space="preserve">and has </w:t>
      </w:r>
      <w:r w:rsidR="00972911" w:rsidRPr="00DB01BA">
        <w:rPr>
          <w:rFonts w:ascii="Arial" w:hAnsi="Arial" w:cs="Arial"/>
        </w:rPr>
        <w:t>started to re</w:t>
      </w:r>
      <w:r w:rsidR="005F0570">
        <w:rPr>
          <w:rFonts w:ascii="Arial" w:hAnsi="Arial" w:cs="Arial"/>
        </w:rPr>
        <w:t>-</w:t>
      </w:r>
      <w:r w:rsidR="00972911" w:rsidRPr="00DB01BA">
        <w:rPr>
          <w:rFonts w:ascii="Arial" w:hAnsi="Arial" w:cs="Arial"/>
        </w:rPr>
        <w:t xml:space="preserve">energise Brico </w:t>
      </w:r>
      <w:proofErr w:type="spellStart"/>
      <w:r w:rsidR="00972911" w:rsidRPr="00DB01BA">
        <w:rPr>
          <w:rFonts w:ascii="Arial" w:hAnsi="Arial" w:cs="Arial"/>
          <w:bCs/>
        </w:rPr>
        <w:t>Dépôt</w:t>
      </w:r>
      <w:r w:rsidRPr="00DB01BA">
        <w:rPr>
          <w:rFonts w:ascii="Arial" w:hAnsi="Arial" w:cs="Arial"/>
          <w:bCs/>
        </w:rPr>
        <w:t>’s</w:t>
      </w:r>
      <w:proofErr w:type="spellEnd"/>
      <w:r w:rsidRPr="00DB01BA">
        <w:rPr>
          <w:rFonts w:ascii="Arial" w:hAnsi="Arial" w:cs="Arial"/>
          <w:bCs/>
        </w:rPr>
        <w:t xml:space="preserve"> sales</w:t>
      </w:r>
      <w:r w:rsidR="00972911" w:rsidRPr="00DB01BA">
        <w:rPr>
          <w:rFonts w:ascii="Arial" w:hAnsi="Arial" w:cs="Arial"/>
          <w:bCs/>
        </w:rPr>
        <w:t xml:space="preserve"> supported by</w:t>
      </w:r>
      <w:r w:rsidR="00D00E64" w:rsidRPr="00DB01BA">
        <w:rPr>
          <w:rFonts w:ascii="Arial" w:hAnsi="Arial" w:cs="Arial"/>
          <w:bCs/>
        </w:rPr>
        <w:t xml:space="preserve"> </w:t>
      </w:r>
      <w:r w:rsidR="00D00E64">
        <w:rPr>
          <w:rFonts w:ascii="Arial" w:hAnsi="Arial" w:cs="Arial"/>
          <w:bCs/>
        </w:rPr>
        <w:t>marketing</w:t>
      </w:r>
      <w:r w:rsidR="00972911">
        <w:rPr>
          <w:rFonts w:ascii="Arial" w:hAnsi="Arial" w:cs="Arial"/>
          <w:bCs/>
        </w:rPr>
        <w:t xml:space="preserve"> </w:t>
      </w:r>
      <w:r w:rsidR="00D00E64">
        <w:rPr>
          <w:rFonts w:ascii="Arial" w:hAnsi="Arial" w:cs="Arial"/>
          <w:bCs/>
        </w:rPr>
        <w:t>investment</w:t>
      </w:r>
      <w:r w:rsidR="00972911">
        <w:rPr>
          <w:rFonts w:ascii="Arial" w:hAnsi="Arial" w:cs="Arial"/>
          <w:bCs/>
        </w:rPr>
        <w:t xml:space="preserve">. </w:t>
      </w:r>
      <w:r w:rsidR="00E0625D">
        <w:rPr>
          <w:rFonts w:ascii="Arial" w:hAnsi="Arial" w:cs="Arial"/>
          <w:bCs/>
        </w:rPr>
        <w:t xml:space="preserve">There is however scope to improve implementation of the new ranges and to communicate with customers more effectively. </w:t>
      </w:r>
    </w:p>
    <w:p w14:paraId="5320209F" w14:textId="77777777" w:rsidR="00E0625D" w:rsidRDefault="00E0625D" w:rsidP="001A0E63">
      <w:pPr>
        <w:jc w:val="left"/>
        <w:rPr>
          <w:rFonts w:ascii="Arial" w:hAnsi="Arial" w:cs="Arial"/>
          <w:bCs/>
        </w:rPr>
      </w:pPr>
    </w:p>
    <w:p w14:paraId="289DEAAC" w14:textId="60ADFC87" w:rsidR="00DE65A7" w:rsidRDefault="00961F25" w:rsidP="001A0E63">
      <w:pPr>
        <w:jc w:val="left"/>
        <w:rPr>
          <w:rFonts w:ascii="Arial" w:hAnsi="Arial" w:cs="Arial"/>
        </w:rPr>
      </w:pPr>
      <w:bookmarkStart w:id="43" w:name="_Hlk524463297"/>
      <w:r w:rsidRPr="00AB52F3">
        <w:rPr>
          <w:rFonts w:ascii="Arial" w:hAnsi="Arial" w:cs="Arial"/>
          <w:bCs/>
        </w:rPr>
        <w:t xml:space="preserve">The </w:t>
      </w:r>
      <w:r w:rsidR="00E0625D">
        <w:rPr>
          <w:rFonts w:ascii="Arial" w:hAnsi="Arial" w:cs="Arial"/>
          <w:bCs/>
        </w:rPr>
        <w:t>new Castorama</w:t>
      </w:r>
      <w:r w:rsidRPr="00AB52F3">
        <w:rPr>
          <w:rFonts w:ascii="Arial" w:hAnsi="Arial" w:cs="Arial"/>
          <w:bCs/>
        </w:rPr>
        <w:t xml:space="preserve"> website was</w:t>
      </w:r>
      <w:r>
        <w:rPr>
          <w:rFonts w:ascii="Arial" w:hAnsi="Arial" w:cs="Arial"/>
          <w:bCs/>
          <w:color w:val="C00000"/>
        </w:rPr>
        <w:t xml:space="preserve"> </w:t>
      </w:r>
      <w:r w:rsidR="00F9738E" w:rsidRPr="00500A74">
        <w:rPr>
          <w:rFonts w:ascii="Arial" w:hAnsi="Arial" w:cs="Arial"/>
        </w:rPr>
        <w:t>launched at the end of January</w:t>
      </w:r>
      <w:r w:rsidR="00F9738E">
        <w:rPr>
          <w:rFonts w:ascii="Arial" w:hAnsi="Arial" w:cs="Arial"/>
        </w:rPr>
        <w:t xml:space="preserve"> 2018</w:t>
      </w:r>
      <w:r w:rsidR="00275949">
        <w:rPr>
          <w:rFonts w:ascii="Arial" w:hAnsi="Arial" w:cs="Arial"/>
        </w:rPr>
        <w:t xml:space="preserve"> and is starting to show some encouraging conversion</w:t>
      </w:r>
      <w:r w:rsidR="00DE65A7">
        <w:rPr>
          <w:rFonts w:ascii="Arial" w:hAnsi="Arial" w:cs="Arial"/>
        </w:rPr>
        <w:t xml:space="preserve"> results</w:t>
      </w:r>
      <w:r w:rsidR="00D8336B">
        <w:rPr>
          <w:rFonts w:ascii="Arial" w:hAnsi="Arial" w:cs="Arial"/>
        </w:rPr>
        <w:t>.</w:t>
      </w:r>
      <w:r w:rsidR="00275949">
        <w:rPr>
          <w:rFonts w:ascii="Arial" w:hAnsi="Arial" w:cs="Arial"/>
        </w:rPr>
        <w:t xml:space="preserve"> </w:t>
      </w:r>
      <w:r w:rsidR="0028616A">
        <w:rPr>
          <w:rFonts w:ascii="Arial" w:hAnsi="Arial" w:cs="Arial"/>
        </w:rPr>
        <w:t>However,</w:t>
      </w:r>
      <w:r w:rsidR="00275949">
        <w:rPr>
          <w:rFonts w:ascii="Arial" w:hAnsi="Arial" w:cs="Arial"/>
        </w:rPr>
        <w:t xml:space="preserve"> </w:t>
      </w:r>
      <w:r w:rsidR="0028616A">
        <w:rPr>
          <w:rFonts w:ascii="Arial" w:hAnsi="Arial" w:cs="Arial"/>
        </w:rPr>
        <w:t xml:space="preserve">the </w:t>
      </w:r>
      <w:r w:rsidR="00D00E64">
        <w:rPr>
          <w:rFonts w:ascii="Arial" w:hAnsi="Arial" w:cs="Arial"/>
        </w:rPr>
        <w:t>digital</w:t>
      </w:r>
      <w:r w:rsidR="0028616A">
        <w:rPr>
          <w:rFonts w:ascii="Arial" w:hAnsi="Arial" w:cs="Arial"/>
        </w:rPr>
        <w:t xml:space="preserve"> customer experience</w:t>
      </w:r>
      <w:r w:rsidR="00D00E64">
        <w:rPr>
          <w:rFonts w:ascii="Arial" w:hAnsi="Arial" w:cs="Arial"/>
        </w:rPr>
        <w:t xml:space="preserve"> needs </w:t>
      </w:r>
      <w:r w:rsidR="0089408C">
        <w:rPr>
          <w:rFonts w:ascii="Arial" w:hAnsi="Arial" w:cs="Arial"/>
        </w:rPr>
        <w:t>further development</w:t>
      </w:r>
      <w:r w:rsidR="00D00E64">
        <w:rPr>
          <w:rFonts w:ascii="Arial" w:hAnsi="Arial" w:cs="Arial"/>
        </w:rPr>
        <w:t xml:space="preserve"> </w:t>
      </w:r>
      <w:r w:rsidR="0089408C">
        <w:rPr>
          <w:rFonts w:ascii="Arial" w:hAnsi="Arial" w:cs="Arial"/>
        </w:rPr>
        <w:t xml:space="preserve">and </w:t>
      </w:r>
      <w:r w:rsidR="00275949">
        <w:rPr>
          <w:rFonts w:ascii="Arial" w:hAnsi="Arial" w:cs="Arial"/>
        </w:rPr>
        <w:t>overall digital sales penetration remains low</w:t>
      </w:r>
      <w:bookmarkEnd w:id="43"/>
      <w:r w:rsidR="00275949">
        <w:rPr>
          <w:rFonts w:ascii="Arial" w:hAnsi="Arial" w:cs="Arial"/>
        </w:rPr>
        <w:t>.</w:t>
      </w:r>
      <w:r w:rsidR="00DE65A7">
        <w:rPr>
          <w:rFonts w:ascii="Arial" w:hAnsi="Arial" w:cs="Arial"/>
        </w:rPr>
        <w:t xml:space="preserve"> </w:t>
      </w:r>
      <w:bookmarkStart w:id="44" w:name="_Hlk524948287"/>
      <w:r w:rsidR="00DE65A7">
        <w:rPr>
          <w:rFonts w:ascii="Arial" w:hAnsi="Arial" w:cs="Arial"/>
        </w:rPr>
        <w:t>The rollout of our unified IT platform continues at pace</w:t>
      </w:r>
      <w:r w:rsidR="00B65CEE">
        <w:rPr>
          <w:rFonts w:ascii="Arial" w:hAnsi="Arial" w:cs="Arial"/>
        </w:rPr>
        <w:t xml:space="preserve"> </w:t>
      </w:r>
      <w:bookmarkStart w:id="45" w:name="_Hlk524948015"/>
      <w:r w:rsidR="00B65CEE">
        <w:rPr>
          <w:rFonts w:ascii="Arial" w:hAnsi="Arial" w:cs="Arial"/>
        </w:rPr>
        <w:t xml:space="preserve">with </w:t>
      </w:r>
      <w:r w:rsidR="00B65CEE" w:rsidRPr="00B65CEE">
        <w:rPr>
          <w:rFonts w:ascii="Arial" w:hAnsi="Arial" w:cs="Arial"/>
        </w:rPr>
        <w:t xml:space="preserve">Castorama </w:t>
      </w:r>
      <w:r w:rsidR="00B65CEE">
        <w:rPr>
          <w:rFonts w:ascii="Arial" w:hAnsi="Arial" w:cs="Arial"/>
        </w:rPr>
        <w:t xml:space="preserve">nearing completion and </w:t>
      </w:r>
      <w:r w:rsidR="00B65CEE" w:rsidRPr="00B65CEE">
        <w:rPr>
          <w:rFonts w:ascii="Arial" w:hAnsi="Arial" w:cs="Arial"/>
        </w:rPr>
        <w:t xml:space="preserve">the store rollout about to commence in Brico </w:t>
      </w:r>
      <w:proofErr w:type="spellStart"/>
      <w:r w:rsidR="00B65CEE" w:rsidRPr="00B65CEE">
        <w:rPr>
          <w:rFonts w:ascii="Arial" w:hAnsi="Arial" w:cs="Arial"/>
        </w:rPr>
        <w:t>Dépôt</w:t>
      </w:r>
      <w:bookmarkEnd w:id="45"/>
      <w:proofErr w:type="spellEnd"/>
      <w:r w:rsidR="00DE65A7">
        <w:rPr>
          <w:rFonts w:ascii="Arial" w:hAnsi="Arial" w:cs="Arial"/>
        </w:rPr>
        <w:t xml:space="preserve">. </w:t>
      </w:r>
      <w:bookmarkEnd w:id="44"/>
    </w:p>
    <w:p w14:paraId="2F64FB09" w14:textId="3E36693C" w:rsidR="00002818" w:rsidRDefault="00002818" w:rsidP="001A0E63">
      <w:pPr>
        <w:jc w:val="left"/>
        <w:rPr>
          <w:rFonts w:ascii="Arial" w:hAnsi="Arial" w:cs="Arial"/>
        </w:rPr>
      </w:pPr>
    </w:p>
    <w:p w14:paraId="0BEA73B9" w14:textId="0F464BFF" w:rsidR="0089408C" w:rsidRDefault="00DB01BA" w:rsidP="001A0E63">
      <w:pPr>
        <w:jc w:val="left"/>
        <w:rPr>
          <w:rFonts w:ascii="Arial" w:hAnsi="Arial" w:cs="Arial"/>
        </w:rPr>
      </w:pPr>
      <w:r w:rsidRPr="00AB52F3">
        <w:rPr>
          <w:rFonts w:ascii="Arial" w:hAnsi="Arial" w:cs="Arial"/>
        </w:rPr>
        <w:t>We remain convinced that the ONE Kingfisher plan is tackling the root causes of our underperformance in France and will deliver a sustainably improved performance. In addition</w:t>
      </w:r>
      <w:r w:rsidR="00B80DB1">
        <w:rPr>
          <w:rFonts w:ascii="Arial" w:hAnsi="Arial" w:cs="Arial"/>
        </w:rPr>
        <w:t xml:space="preserve">, </w:t>
      </w:r>
      <w:r w:rsidRPr="00AB52F3">
        <w:rPr>
          <w:rFonts w:ascii="Arial" w:hAnsi="Arial" w:cs="Arial"/>
        </w:rPr>
        <w:t>we have put a</w:t>
      </w:r>
      <w:r w:rsidR="0089408C" w:rsidRPr="00B80DB1">
        <w:rPr>
          <w:rFonts w:ascii="Arial" w:hAnsi="Arial" w:cs="Arial"/>
        </w:rPr>
        <w:t>ctions in place</w:t>
      </w:r>
      <w:r w:rsidR="000D723D" w:rsidRPr="00B80DB1">
        <w:rPr>
          <w:rFonts w:ascii="Arial" w:hAnsi="Arial" w:cs="Arial"/>
        </w:rPr>
        <w:t xml:space="preserve"> to </w:t>
      </w:r>
      <w:r w:rsidR="00B80DB1">
        <w:rPr>
          <w:rFonts w:ascii="Arial" w:hAnsi="Arial" w:cs="Arial"/>
        </w:rPr>
        <w:t>support</w:t>
      </w:r>
      <w:r w:rsidR="000D723D" w:rsidRPr="00B80DB1">
        <w:rPr>
          <w:rFonts w:ascii="Arial" w:hAnsi="Arial" w:cs="Arial"/>
        </w:rPr>
        <w:t xml:space="preserve"> </w:t>
      </w:r>
      <w:r w:rsidRPr="00AB52F3">
        <w:rPr>
          <w:rFonts w:ascii="Arial" w:hAnsi="Arial" w:cs="Arial"/>
        </w:rPr>
        <w:t xml:space="preserve">H2 </w:t>
      </w:r>
      <w:r w:rsidR="000D723D" w:rsidRPr="00B80DB1">
        <w:rPr>
          <w:rFonts w:ascii="Arial" w:hAnsi="Arial" w:cs="Arial"/>
        </w:rPr>
        <w:t>performance</w:t>
      </w:r>
      <w:r w:rsidRPr="00B80DB1">
        <w:rPr>
          <w:rFonts w:ascii="Arial" w:hAnsi="Arial" w:cs="Arial"/>
        </w:rPr>
        <w:t xml:space="preserve">. These include </w:t>
      </w:r>
      <w:r w:rsidR="00B30022" w:rsidRPr="00B80DB1">
        <w:rPr>
          <w:rFonts w:ascii="Arial" w:hAnsi="Arial" w:cs="Arial"/>
        </w:rPr>
        <w:t>accelerat</w:t>
      </w:r>
      <w:r w:rsidR="00B30022">
        <w:rPr>
          <w:rFonts w:ascii="Arial" w:hAnsi="Arial" w:cs="Arial"/>
        </w:rPr>
        <w:t>ing the</w:t>
      </w:r>
      <w:r w:rsidR="00B30022" w:rsidRPr="00B80DB1">
        <w:rPr>
          <w:rFonts w:ascii="Arial" w:hAnsi="Arial" w:cs="Arial"/>
        </w:rPr>
        <w:t xml:space="preserve"> </w:t>
      </w:r>
      <w:r w:rsidRPr="00B80DB1">
        <w:rPr>
          <w:rFonts w:ascii="Arial" w:hAnsi="Arial" w:cs="Arial"/>
        </w:rPr>
        <w:t xml:space="preserve">move towards </w:t>
      </w:r>
      <w:r w:rsidRPr="00BD0710">
        <w:rPr>
          <w:rFonts w:ascii="Arial" w:hAnsi="Arial" w:cs="Arial"/>
        </w:rPr>
        <w:t>EDLP</w:t>
      </w:r>
      <w:r w:rsidR="0005091E">
        <w:rPr>
          <w:rFonts w:ascii="Arial" w:hAnsi="Arial" w:cs="Arial"/>
        </w:rPr>
        <w:t>*</w:t>
      </w:r>
      <w:r w:rsidRPr="00BD0710">
        <w:rPr>
          <w:rFonts w:ascii="Arial" w:hAnsi="Arial" w:cs="Arial"/>
        </w:rPr>
        <w:t xml:space="preserve"> pricing, </w:t>
      </w:r>
      <w:r w:rsidR="00BD0710" w:rsidRPr="00BD0710">
        <w:rPr>
          <w:rFonts w:ascii="Arial" w:hAnsi="Arial" w:cs="Arial"/>
        </w:rPr>
        <w:t xml:space="preserve">improving price architecture on new ranges, more effective </w:t>
      </w:r>
      <w:r w:rsidR="00983574" w:rsidRPr="00BD0710">
        <w:rPr>
          <w:rFonts w:ascii="Arial" w:hAnsi="Arial" w:cs="Arial"/>
        </w:rPr>
        <w:t xml:space="preserve">customer communication, </w:t>
      </w:r>
      <w:r w:rsidR="006B1A1C">
        <w:rPr>
          <w:rFonts w:ascii="Arial" w:hAnsi="Arial" w:cs="Arial"/>
        </w:rPr>
        <w:t>reduction</w:t>
      </w:r>
      <w:r w:rsidR="006B1A1C" w:rsidRPr="004215EF">
        <w:rPr>
          <w:rFonts w:ascii="Arial" w:hAnsi="Arial" w:cs="Arial"/>
        </w:rPr>
        <w:t xml:space="preserve"> </w:t>
      </w:r>
      <w:r w:rsidR="00BD0710" w:rsidRPr="004215EF">
        <w:rPr>
          <w:rFonts w:ascii="Arial" w:hAnsi="Arial" w:cs="Arial"/>
        </w:rPr>
        <w:t xml:space="preserve">of </w:t>
      </w:r>
      <w:r w:rsidR="00B80DB1" w:rsidRPr="00BD0710">
        <w:rPr>
          <w:rFonts w:ascii="Arial" w:hAnsi="Arial" w:cs="Arial"/>
        </w:rPr>
        <w:t xml:space="preserve">logistics </w:t>
      </w:r>
      <w:r w:rsidR="00A739AF">
        <w:rPr>
          <w:rFonts w:ascii="Arial" w:hAnsi="Arial" w:cs="Arial"/>
        </w:rPr>
        <w:t xml:space="preserve">&amp; stock </w:t>
      </w:r>
      <w:r w:rsidR="00B80DB1" w:rsidRPr="00BD0710">
        <w:rPr>
          <w:rFonts w:ascii="Arial" w:hAnsi="Arial" w:cs="Arial"/>
        </w:rPr>
        <w:t xml:space="preserve">inefficiencies </w:t>
      </w:r>
      <w:r w:rsidR="006B1A1C">
        <w:rPr>
          <w:rFonts w:ascii="Arial" w:hAnsi="Arial" w:cs="Arial"/>
        </w:rPr>
        <w:t>and</w:t>
      </w:r>
      <w:r w:rsidR="00BD0710" w:rsidRPr="004215EF">
        <w:rPr>
          <w:rFonts w:ascii="Arial" w:hAnsi="Arial" w:cs="Arial"/>
        </w:rPr>
        <w:t xml:space="preserve"> </w:t>
      </w:r>
      <w:r w:rsidR="008D7C50">
        <w:rPr>
          <w:rFonts w:ascii="Arial" w:hAnsi="Arial" w:cs="Arial"/>
        </w:rPr>
        <w:t xml:space="preserve">reduction in </w:t>
      </w:r>
      <w:r w:rsidR="00983574" w:rsidRPr="00BD0710">
        <w:rPr>
          <w:rFonts w:ascii="Arial" w:hAnsi="Arial" w:cs="Arial"/>
        </w:rPr>
        <w:t>variable costs.</w:t>
      </w:r>
      <w:r w:rsidR="00983574">
        <w:rPr>
          <w:rFonts w:ascii="Arial" w:hAnsi="Arial" w:cs="Arial"/>
        </w:rPr>
        <w:t xml:space="preserve"> </w:t>
      </w:r>
      <w:r>
        <w:rPr>
          <w:rFonts w:ascii="Arial" w:hAnsi="Arial" w:cs="Arial"/>
        </w:rPr>
        <w:t xml:space="preserve"> </w:t>
      </w:r>
    </w:p>
    <w:p w14:paraId="494883CB" w14:textId="77777777" w:rsidR="000D723D" w:rsidRDefault="000D723D" w:rsidP="001A0E63">
      <w:pPr>
        <w:jc w:val="left"/>
        <w:rPr>
          <w:rFonts w:ascii="Arial" w:hAnsi="Arial" w:cs="Arial"/>
        </w:rPr>
      </w:pPr>
    </w:p>
    <w:bookmarkEnd w:id="41"/>
    <w:p w14:paraId="570E988F" w14:textId="77777777" w:rsidR="001A0E63" w:rsidRPr="00D40749" w:rsidRDefault="001A0E63" w:rsidP="00AE0F23">
      <w:pPr>
        <w:jc w:val="left"/>
        <w:rPr>
          <w:rFonts w:ascii="Arial" w:hAnsi="Arial" w:cs="Arial"/>
          <w:bCs/>
        </w:rPr>
      </w:pPr>
    </w:p>
    <w:p w14:paraId="6328AB43" w14:textId="77777777" w:rsidR="00AE0F23" w:rsidRDefault="00AE0F23">
      <w:pPr>
        <w:jc w:val="left"/>
        <w:rPr>
          <w:rFonts w:ascii="Arial" w:hAnsi="Arial" w:cs="Arial"/>
          <w:bCs/>
        </w:rPr>
      </w:pPr>
    </w:p>
    <w:p w14:paraId="4D6666C2" w14:textId="77777777" w:rsidR="00AE0F23" w:rsidRDefault="00AE0F23">
      <w:pPr>
        <w:jc w:val="left"/>
        <w:rPr>
          <w:rFonts w:ascii="Arial" w:hAnsi="Arial" w:cs="Arial"/>
          <w:bCs/>
        </w:rPr>
      </w:pPr>
    </w:p>
    <w:p w14:paraId="24203083" w14:textId="354BD3C8" w:rsidR="007D43ED" w:rsidRPr="00AC598B" w:rsidRDefault="007D43ED" w:rsidP="007D43ED">
      <w:pPr>
        <w:rPr>
          <w:rFonts w:ascii="Arial" w:hAnsi="Arial" w:cs="Arial"/>
          <w:b/>
          <w:bCs/>
        </w:rPr>
      </w:pPr>
      <w:r w:rsidRPr="00AC598B">
        <w:rPr>
          <w:rFonts w:ascii="Arial" w:hAnsi="Arial" w:cs="Arial"/>
          <w:b/>
          <w:bCs/>
        </w:rPr>
        <w:br w:type="page"/>
        <w:t>OTHER INTERNATIONAL</w:t>
      </w:r>
      <w:r w:rsidR="005E757F">
        <w:rPr>
          <w:rFonts w:ascii="Arial" w:hAnsi="Arial" w:cs="Arial"/>
          <w:b/>
          <w:bCs/>
        </w:rPr>
        <w:t>*</w:t>
      </w:r>
      <w:r w:rsidR="00013088" w:rsidRPr="00AC598B">
        <w:rPr>
          <w:rFonts w:ascii="Arial" w:hAnsi="Arial" w:cs="Arial"/>
          <w:b/>
          <w:bCs/>
        </w:rPr>
        <w:t xml:space="preserve"> </w:t>
      </w:r>
    </w:p>
    <w:p w14:paraId="01F1CD50" w14:textId="77777777" w:rsidR="007D43ED" w:rsidRPr="00AC598B" w:rsidRDefault="007D43ED" w:rsidP="007D43ED">
      <w:pPr>
        <w:rPr>
          <w:rFonts w:ascii="Arial" w:hAnsi="Arial" w:cs="Arial"/>
          <w:b/>
          <w:bCs/>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1311"/>
        <w:gridCol w:w="1162"/>
        <w:gridCol w:w="1596"/>
        <w:gridCol w:w="1598"/>
        <w:gridCol w:w="1305"/>
      </w:tblGrid>
      <w:tr w:rsidR="006B02CB" w:rsidRPr="00667C8E" w14:paraId="07299DA6" w14:textId="77777777" w:rsidTr="00931630">
        <w:tc>
          <w:tcPr>
            <w:tcW w:w="1287" w:type="pct"/>
            <w:tcBorders>
              <w:bottom w:val="single" w:sz="4" w:space="0" w:color="auto"/>
            </w:tcBorders>
          </w:tcPr>
          <w:p w14:paraId="345E209F" w14:textId="77777777" w:rsidR="007D43ED" w:rsidRPr="00AC598B" w:rsidRDefault="007D43ED" w:rsidP="00C51098">
            <w:pPr>
              <w:rPr>
                <w:rFonts w:ascii="Arial" w:hAnsi="Arial" w:cs="Arial"/>
                <w:b/>
              </w:rPr>
            </w:pPr>
            <w:r w:rsidRPr="00AC598B">
              <w:rPr>
                <w:rFonts w:ascii="Arial" w:hAnsi="Arial" w:cs="Arial"/>
                <w:b/>
              </w:rPr>
              <w:t>£m</w:t>
            </w:r>
          </w:p>
        </w:tc>
        <w:tc>
          <w:tcPr>
            <w:tcW w:w="698" w:type="pct"/>
            <w:tcBorders>
              <w:bottom w:val="single" w:sz="4" w:space="0" w:color="auto"/>
            </w:tcBorders>
          </w:tcPr>
          <w:p w14:paraId="1A165433" w14:textId="12AE3DF1" w:rsidR="007D43ED" w:rsidRPr="00AB52F3" w:rsidRDefault="007D43ED">
            <w:pPr>
              <w:jc w:val="right"/>
              <w:rPr>
                <w:rFonts w:ascii="Arial" w:hAnsi="Arial" w:cs="Arial"/>
                <w:b/>
              </w:rPr>
            </w:pPr>
            <w:r w:rsidRPr="0089408C">
              <w:rPr>
                <w:rFonts w:ascii="Arial" w:hAnsi="Arial" w:cs="Arial"/>
                <w:b/>
                <w:bCs/>
              </w:rPr>
              <w:t>201</w:t>
            </w:r>
            <w:r w:rsidR="00FE08B5" w:rsidRPr="0089408C">
              <w:rPr>
                <w:rFonts w:ascii="Arial" w:hAnsi="Arial" w:cs="Arial"/>
                <w:b/>
                <w:bCs/>
              </w:rPr>
              <w:t>8</w:t>
            </w:r>
            <w:r w:rsidR="00931630" w:rsidRPr="0089408C">
              <w:rPr>
                <w:rFonts w:ascii="Arial" w:hAnsi="Arial" w:cs="Arial"/>
                <w:b/>
                <w:bCs/>
              </w:rPr>
              <w:t>/1</w:t>
            </w:r>
            <w:r w:rsidR="00FE08B5" w:rsidRPr="0089408C">
              <w:rPr>
                <w:rFonts w:ascii="Arial" w:hAnsi="Arial" w:cs="Arial"/>
                <w:b/>
                <w:bCs/>
              </w:rPr>
              <w:t>9</w:t>
            </w:r>
          </w:p>
        </w:tc>
        <w:tc>
          <w:tcPr>
            <w:tcW w:w="619" w:type="pct"/>
            <w:tcBorders>
              <w:bottom w:val="single" w:sz="4" w:space="0" w:color="auto"/>
            </w:tcBorders>
          </w:tcPr>
          <w:p w14:paraId="65A8EA3D" w14:textId="13CB3DC3" w:rsidR="007D43ED" w:rsidRPr="00AC598B" w:rsidRDefault="007D43ED">
            <w:pPr>
              <w:jc w:val="right"/>
              <w:rPr>
                <w:rFonts w:ascii="Arial" w:hAnsi="Arial" w:cs="Arial"/>
                <w:b/>
                <w:bCs/>
              </w:rPr>
            </w:pPr>
            <w:r w:rsidRPr="00AC598B">
              <w:rPr>
                <w:rFonts w:ascii="Arial" w:hAnsi="Arial" w:cs="Arial"/>
                <w:b/>
                <w:bCs/>
              </w:rPr>
              <w:t>201</w:t>
            </w:r>
            <w:r w:rsidR="00FE08B5">
              <w:rPr>
                <w:rFonts w:ascii="Arial" w:hAnsi="Arial" w:cs="Arial"/>
                <w:b/>
                <w:bCs/>
              </w:rPr>
              <w:t>7</w:t>
            </w:r>
            <w:r w:rsidR="00931630" w:rsidRPr="00AC598B">
              <w:rPr>
                <w:rFonts w:ascii="Arial" w:hAnsi="Arial" w:cs="Arial"/>
                <w:b/>
                <w:bCs/>
              </w:rPr>
              <w:t>/1</w:t>
            </w:r>
            <w:r w:rsidR="00FE08B5">
              <w:rPr>
                <w:rFonts w:ascii="Arial" w:hAnsi="Arial" w:cs="Arial"/>
                <w:b/>
                <w:bCs/>
              </w:rPr>
              <w:t>8</w:t>
            </w:r>
          </w:p>
        </w:tc>
        <w:tc>
          <w:tcPr>
            <w:tcW w:w="850" w:type="pct"/>
            <w:tcBorders>
              <w:bottom w:val="single" w:sz="4" w:space="0" w:color="auto"/>
            </w:tcBorders>
          </w:tcPr>
          <w:p w14:paraId="1C2F0B77" w14:textId="77777777" w:rsidR="007D43ED" w:rsidRPr="00AC598B" w:rsidRDefault="007D43ED" w:rsidP="00C51098">
            <w:pPr>
              <w:jc w:val="right"/>
              <w:rPr>
                <w:rFonts w:ascii="Arial" w:hAnsi="Arial" w:cs="Arial"/>
                <w:b/>
                <w:bCs/>
              </w:rPr>
            </w:pPr>
            <w:r w:rsidRPr="00AC598B">
              <w:rPr>
                <w:rFonts w:ascii="Arial" w:hAnsi="Arial" w:cs="Arial"/>
                <w:b/>
                <w:bCs/>
              </w:rPr>
              <w:t>% Reported</w:t>
            </w:r>
            <w:r w:rsidRPr="00AC598B" w:rsidDel="00197636">
              <w:rPr>
                <w:rFonts w:ascii="Arial" w:hAnsi="Arial" w:cs="Arial"/>
                <w:b/>
                <w:bCs/>
              </w:rPr>
              <w:t xml:space="preserve"> </w:t>
            </w:r>
            <w:r w:rsidRPr="00AC598B">
              <w:rPr>
                <w:rFonts w:ascii="Arial" w:hAnsi="Arial" w:cs="Arial"/>
                <w:b/>
                <w:bCs/>
              </w:rPr>
              <w:t>Change</w:t>
            </w:r>
          </w:p>
          <w:p w14:paraId="53D79DE2" w14:textId="77777777" w:rsidR="007D43ED" w:rsidRPr="00AC598B" w:rsidRDefault="007D43ED" w:rsidP="00C51098">
            <w:pPr>
              <w:jc w:val="right"/>
              <w:rPr>
                <w:rFonts w:ascii="Arial" w:hAnsi="Arial" w:cs="Arial"/>
                <w:b/>
                <w:bCs/>
              </w:rPr>
            </w:pPr>
          </w:p>
        </w:tc>
        <w:tc>
          <w:tcPr>
            <w:tcW w:w="851" w:type="pct"/>
            <w:tcBorders>
              <w:bottom w:val="single" w:sz="4" w:space="0" w:color="auto"/>
            </w:tcBorders>
          </w:tcPr>
          <w:p w14:paraId="11D0D626" w14:textId="77777777" w:rsidR="007D43ED" w:rsidRPr="00AC598B" w:rsidRDefault="007D43ED" w:rsidP="00C51098">
            <w:pPr>
              <w:jc w:val="right"/>
              <w:rPr>
                <w:rFonts w:ascii="Arial" w:hAnsi="Arial" w:cs="Arial"/>
                <w:b/>
                <w:bCs/>
              </w:rPr>
            </w:pPr>
            <w:r w:rsidRPr="00AC598B">
              <w:rPr>
                <w:rFonts w:ascii="Arial" w:hAnsi="Arial" w:cs="Arial"/>
                <w:b/>
                <w:bCs/>
              </w:rPr>
              <w:t>% Constant</w:t>
            </w:r>
          </w:p>
          <w:p w14:paraId="13B42AA0" w14:textId="77777777" w:rsidR="007D43ED" w:rsidRPr="00AC598B" w:rsidRDefault="007D43ED" w:rsidP="00C51098">
            <w:pPr>
              <w:jc w:val="right"/>
              <w:rPr>
                <w:rFonts w:ascii="Arial" w:hAnsi="Arial" w:cs="Arial"/>
                <w:b/>
                <w:bCs/>
              </w:rPr>
            </w:pPr>
            <w:r w:rsidRPr="00AC598B">
              <w:rPr>
                <w:rFonts w:ascii="Arial" w:hAnsi="Arial" w:cs="Arial"/>
                <w:b/>
                <w:bCs/>
              </w:rPr>
              <w:t>Currency</w:t>
            </w:r>
          </w:p>
          <w:p w14:paraId="01D40629" w14:textId="77777777" w:rsidR="007D43ED" w:rsidRPr="00AC598B" w:rsidRDefault="007D43ED" w:rsidP="00C51098">
            <w:pPr>
              <w:jc w:val="right"/>
              <w:rPr>
                <w:rFonts w:ascii="Arial" w:hAnsi="Arial" w:cs="Arial"/>
                <w:b/>
                <w:bCs/>
              </w:rPr>
            </w:pPr>
            <w:r w:rsidRPr="00AC598B">
              <w:rPr>
                <w:rFonts w:ascii="Arial" w:hAnsi="Arial" w:cs="Arial"/>
                <w:b/>
                <w:bCs/>
              </w:rPr>
              <w:t xml:space="preserve">Change  </w:t>
            </w:r>
          </w:p>
        </w:tc>
        <w:tc>
          <w:tcPr>
            <w:tcW w:w="695" w:type="pct"/>
            <w:tcBorders>
              <w:bottom w:val="single" w:sz="4" w:space="0" w:color="auto"/>
            </w:tcBorders>
          </w:tcPr>
          <w:p w14:paraId="3DFCF1B1" w14:textId="77777777" w:rsidR="007D43ED" w:rsidRPr="00AC598B" w:rsidRDefault="007D43ED" w:rsidP="00C51098">
            <w:pPr>
              <w:ind w:hanging="108"/>
              <w:jc w:val="right"/>
              <w:rPr>
                <w:rFonts w:ascii="Arial" w:hAnsi="Arial" w:cs="Arial"/>
                <w:b/>
                <w:bCs/>
              </w:rPr>
            </w:pPr>
            <w:r w:rsidRPr="00AC598B">
              <w:rPr>
                <w:rFonts w:ascii="Arial" w:hAnsi="Arial" w:cs="Arial"/>
                <w:b/>
                <w:bCs/>
              </w:rPr>
              <w:t>% LFL</w:t>
            </w:r>
          </w:p>
          <w:p w14:paraId="2BD0DFE2" w14:textId="77777777" w:rsidR="007D43ED" w:rsidRPr="00AC598B" w:rsidRDefault="007D43ED" w:rsidP="00C51098">
            <w:pPr>
              <w:ind w:hanging="108"/>
              <w:jc w:val="right"/>
              <w:rPr>
                <w:rFonts w:ascii="Arial" w:hAnsi="Arial" w:cs="Arial"/>
                <w:b/>
                <w:bCs/>
              </w:rPr>
            </w:pPr>
            <w:r w:rsidRPr="00AC598B">
              <w:rPr>
                <w:rFonts w:ascii="Arial" w:hAnsi="Arial" w:cs="Arial"/>
                <w:b/>
                <w:bCs/>
              </w:rPr>
              <w:t>Change</w:t>
            </w:r>
          </w:p>
        </w:tc>
      </w:tr>
      <w:tr w:rsidR="00E4052A" w:rsidRPr="00667C8E" w14:paraId="3D9BC53E" w14:textId="77777777" w:rsidTr="00931630">
        <w:trPr>
          <w:trHeight w:val="147"/>
        </w:trPr>
        <w:tc>
          <w:tcPr>
            <w:tcW w:w="1287" w:type="pct"/>
            <w:tcBorders>
              <w:bottom w:val="single" w:sz="4" w:space="0" w:color="auto"/>
            </w:tcBorders>
            <w:shd w:val="clear" w:color="auto" w:fill="auto"/>
          </w:tcPr>
          <w:p w14:paraId="629193CA" w14:textId="77777777" w:rsidR="00E4052A" w:rsidRPr="00AC598B" w:rsidRDefault="00E4052A" w:rsidP="00E4052A">
            <w:pPr>
              <w:rPr>
                <w:rFonts w:ascii="Arial" w:hAnsi="Arial" w:cs="Arial"/>
                <w:b/>
              </w:rPr>
            </w:pPr>
            <w:r w:rsidRPr="00AC598B">
              <w:rPr>
                <w:rFonts w:ascii="Arial" w:hAnsi="Arial" w:cs="Arial"/>
                <w:b/>
                <w:bCs/>
              </w:rPr>
              <w:t>Sales</w:t>
            </w:r>
          </w:p>
        </w:tc>
        <w:tc>
          <w:tcPr>
            <w:tcW w:w="698" w:type="pct"/>
            <w:tcBorders>
              <w:bottom w:val="single" w:sz="4" w:space="0" w:color="auto"/>
            </w:tcBorders>
            <w:shd w:val="clear" w:color="auto" w:fill="auto"/>
          </w:tcPr>
          <w:p w14:paraId="05DF85DA" w14:textId="4236F9D4" w:rsidR="00E4052A" w:rsidRPr="0089408C" w:rsidRDefault="002D427A" w:rsidP="00E4052A">
            <w:pPr>
              <w:jc w:val="right"/>
              <w:rPr>
                <w:rFonts w:ascii="Arial" w:hAnsi="Arial" w:cs="Arial"/>
              </w:rPr>
            </w:pPr>
            <w:r w:rsidRPr="0089408C">
              <w:rPr>
                <w:rFonts w:ascii="Arial" w:hAnsi="Arial" w:cs="Arial"/>
              </w:rPr>
              <w:t>1,178</w:t>
            </w:r>
          </w:p>
        </w:tc>
        <w:tc>
          <w:tcPr>
            <w:tcW w:w="619" w:type="pct"/>
            <w:tcBorders>
              <w:bottom w:val="single" w:sz="4" w:space="0" w:color="auto"/>
            </w:tcBorders>
            <w:shd w:val="clear" w:color="auto" w:fill="auto"/>
          </w:tcPr>
          <w:p w14:paraId="6B1EAB06" w14:textId="1889FECA" w:rsidR="00E4052A" w:rsidRPr="00230CDB" w:rsidRDefault="00E4052A" w:rsidP="00E4052A">
            <w:pPr>
              <w:jc w:val="right"/>
              <w:rPr>
                <w:rFonts w:ascii="Arial" w:hAnsi="Arial" w:cs="Arial"/>
              </w:rPr>
            </w:pPr>
            <w:r w:rsidRPr="00230CDB">
              <w:rPr>
                <w:rFonts w:ascii="Arial" w:hAnsi="Arial" w:cs="Arial"/>
              </w:rPr>
              <w:t>1,133</w:t>
            </w:r>
          </w:p>
        </w:tc>
        <w:tc>
          <w:tcPr>
            <w:tcW w:w="850" w:type="pct"/>
            <w:tcBorders>
              <w:bottom w:val="single" w:sz="4" w:space="0" w:color="auto"/>
            </w:tcBorders>
            <w:shd w:val="clear" w:color="auto" w:fill="auto"/>
          </w:tcPr>
          <w:p w14:paraId="1293F32D" w14:textId="3A676A0D" w:rsidR="00E4052A" w:rsidRPr="00AC598B" w:rsidRDefault="00E4052A" w:rsidP="00E4052A">
            <w:pPr>
              <w:jc w:val="right"/>
              <w:rPr>
                <w:rFonts w:ascii="Arial" w:hAnsi="Arial" w:cs="Arial"/>
              </w:rPr>
            </w:pPr>
            <w:r w:rsidRPr="00AC598B">
              <w:rPr>
                <w:rFonts w:ascii="Arial" w:hAnsi="Arial" w:cs="Arial"/>
              </w:rPr>
              <w:t>+</w:t>
            </w:r>
            <w:r w:rsidR="002D427A">
              <w:rPr>
                <w:rFonts w:ascii="Arial" w:hAnsi="Arial" w:cs="Arial"/>
              </w:rPr>
              <w:t>4.0</w:t>
            </w:r>
            <w:r w:rsidRPr="00AC598B">
              <w:rPr>
                <w:rFonts w:ascii="Arial" w:hAnsi="Arial" w:cs="Arial"/>
              </w:rPr>
              <w:t>%</w:t>
            </w:r>
          </w:p>
        </w:tc>
        <w:tc>
          <w:tcPr>
            <w:tcW w:w="851" w:type="pct"/>
            <w:tcBorders>
              <w:bottom w:val="single" w:sz="4" w:space="0" w:color="auto"/>
            </w:tcBorders>
            <w:shd w:val="clear" w:color="auto" w:fill="auto"/>
          </w:tcPr>
          <w:p w14:paraId="50E4D1B3" w14:textId="07083CDE" w:rsidR="00E4052A" w:rsidRPr="00AC598B" w:rsidRDefault="00E4052A" w:rsidP="00E4052A">
            <w:pPr>
              <w:jc w:val="right"/>
              <w:rPr>
                <w:rFonts w:ascii="Arial" w:hAnsi="Arial" w:cs="Arial"/>
              </w:rPr>
            </w:pPr>
            <w:r w:rsidRPr="00AC598B">
              <w:rPr>
                <w:rFonts w:ascii="Arial" w:hAnsi="Arial" w:cs="Arial"/>
              </w:rPr>
              <w:t>+</w:t>
            </w:r>
            <w:r w:rsidR="002D427A">
              <w:rPr>
                <w:rFonts w:ascii="Arial" w:hAnsi="Arial" w:cs="Arial"/>
              </w:rPr>
              <w:t>4.5</w:t>
            </w:r>
            <w:r w:rsidRPr="00AC598B">
              <w:rPr>
                <w:rFonts w:ascii="Arial" w:hAnsi="Arial" w:cs="Arial"/>
              </w:rPr>
              <w:t>%</w:t>
            </w:r>
          </w:p>
        </w:tc>
        <w:tc>
          <w:tcPr>
            <w:tcW w:w="695" w:type="pct"/>
            <w:tcBorders>
              <w:bottom w:val="single" w:sz="4" w:space="0" w:color="auto"/>
            </w:tcBorders>
            <w:shd w:val="clear" w:color="auto" w:fill="auto"/>
          </w:tcPr>
          <w:p w14:paraId="754D9D63" w14:textId="6213D62E" w:rsidR="00E4052A" w:rsidRPr="003C6F8F" w:rsidRDefault="003C6F8F" w:rsidP="00E4052A">
            <w:pPr>
              <w:jc w:val="right"/>
              <w:rPr>
                <w:rFonts w:ascii="Arial" w:hAnsi="Arial" w:cs="Arial"/>
                <w:b/>
              </w:rPr>
            </w:pPr>
            <w:r w:rsidRPr="00F01C34">
              <w:rPr>
                <w:rFonts w:ascii="Arial" w:hAnsi="Arial" w:cs="Arial"/>
              </w:rPr>
              <w:t>+</w:t>
            </w:r>
            <w:r w:rsidR="002D427A" w:rsidRPr="00F01C34">
              <w:rPr>
                <w:rFonts w:ascii="Arial" w:hAnsi="Arial" w:cs="Arial"/>
              </w:rPr>
              <w:t>0.5</w:t>
            </w:r>
            <w:r w:rsidR="00E4052A" w:rsidRPr="00F01C34">
              <w:rPr>
                <w:rFonts w:ascii="Arial" w:hAnsi="Arial" w:cs="Arial"/>
                <w:b/>
              </w:rPr>
              <w:t>%</w:t>
            </w:r>
          </w:p>
        </w:tc>
      </w:tr>
      <w:tr w:rsidR="00E4052A" w:rsidRPr="00667C8E" w14:paraId="46D96C64" w14:textId="77777777" w:rsidTr="00931630">
        <w:trPr>
          <w:trHeight w:val="147"/>
        </w:trPr>
        <w:tc>
          <w:tcPr>
            <w:tcW w:w="1287" w:type="pct"/>
            <w:tcBorders>
              <w:bottom w:val="single" w:sz="4" w:space="0" w:color="auto"/>
            </w:tcBorders>
            <w:shd w:val="clear" w:color="auto" w:fill="auto"/>
          </w:tcPr>
          <w:p w14:paraId="1E5129C3" w14:textId="49A37288" w:rsidR="00E4052A" w:rsidRPr="00AC598B" w:rsidRDefault="00E4052A" w:rsidP="00E4052A">
            <w:pPr>
              <w:rPr>
                <w:rFonts w:ascii="Arial" w:hAnsi="Arial" w:cs="Arial"/>
                <w:b/>
                <w:bCs/>
              </w:rPr>
            </w:pPr>
            <w:r>
              <w:rPr>
                <w:rFonts w:ascii="Arial" w:hAnsi="Arial" w:cs="Arial"/>
              </w:rPr>
              <w:t>Poland</w:t>
            </w:r>
          </w:p>
        </w:tc>
        <w:tc>
          <w:tcPr>
            <w:tcW w:w="698" w:type="pct"/>
            <w:tcBorders>
              <w:bottom w:val="single" w:sz="4" w:space="0" w:color="auto"/>
            </w:tcBorders>
            <w:shd w:val="clear" w:color="auto" w:fill="auto"/>
          </w:tcPr>
          <w:p w14:paraId="2ABBE8EB" w14:textId="2E0C9221" w:rsidR="00E4052A" w:rsidRPr="0089408C" w:rsidRDefault="002D427A" w:rsidP="00E4052A">
            <w:pPr>
              <w:jc w:val="right"/>
              <w:rPr>
                <w:rFonts w:ascii="Arial" w:hAnsi="Arial" w:cs="Arial"/>
              </w:rPr>
            </w:pPr>
            <w:r w:rsidRPr="0089408C">
              <w:rPr>
                <w:rFonts w:ascii="Arial" w:hAnsi="Arial" w:cs="Arial"/>
              </w:rPr>
              <w:t>726</w:t>
            </w:r>
          </w:p>
        </w:tc>
        <w:tc>
          <w:tcPr>
            <w:tcW w:w="619" w:type="pct"/>
            <w:tcBorders>
              <w:bottom w:val="single" w:sz="4" w:space="0" w:color="auto"/>
            </w:tcBorders>
            <w:shd w:val="clear" w:color="auto" w:fill="auto"/>
          </w:tcPr>
          <w:p w14:paraId="05E3595D" w14:textId="51EF7A12" w:rsidR="00E4052A" w:rsidRPr="00230CDB" w:rsidRDefault="00E4052A" w:rsidP="00E4052A">
            <w:pPr>
              <w:jc w:val="right"/>
              <w:rPr>
                <w:rFonts w:ascii="Arial" w:hAnsi="Arial" w:cs="Arial"/>
              </w:rPr>
            </w:pPr>
            <w:r w:rsidRPr="00230CDB">
              <w:rPr>
                <w:rFonts w:ascii="Arial" w:hAnsi="Arial" w:cs="Arial"/>
              </w:rPr>
              <w:t>694</w:t>
            </w:r>
          </w:p>
        </w:tc>
        <w:tc>
          <w:tcPr>
            <w:tcW w:w="850" w:type="pct"/>
            <w:tcBorders>
              <w:bottom w:val="single" w:sz="4" w:space="0" w:color="auto"/>
            </w:tcBorders>
            <w:shd w:val="clear" w:color="auto" w:fill="auto"/>
          </w:tcPr>
          <w:p w14:paraId="7DE7FE07" w14:textId="77CB0CBF" w:rsidR="00E4052A" w:rsidRPr="00AC598B" w:rsidRDefault="00E4052A" w:rsidP="00E4052A">
            <w:pPr>
              <w:jc w:val="right"/>
              <w:rPr>
                <w:rFonts w:ascii="Arial" w:hAnsi="Arial" w:cs="Arial"/>
              </w:rPr>
            </w:pPr>
            <w:r w:rsidRPr="00AC598B">
              <w:rPr>
                <w:rFonts w:ascii="Arial" w:hAnsi="Arial" w:cs="Arial"/>
              </w:rPr>
              <w:t>+</w:t>
            </w:r>
            <w:r w:rsidR="002D427A">
              <w:rPr>
                <w:rFonts w:ascii="Arial" w:hAnsi="Arial" w:cs="Arial"/>
              </w:rPr>
              <w:t>4.6</w:t>
            </w:r>
            <w:r w:rsidRPr="00AC598B">
              <w:rPr>
                <w:rFonts w:ascii="Arial" w:hAnsi="Arial" w:cs="Arial"/>
              </w:rPr>
              <w:t>%</w:t>
            </w:r>
          </w:p>
        </w:tc>
        <w:tc>
          <w:tcPr>
            <w:tcW w:w="851" w:type="pct"/>
            <w:tcBorders>
              <w:bottom w:val="single" w:sz="4" w:space="0" w:color="auto"/>
            </w:tcBorders>
            <w:shd w:val="clear" w:color="auto" w:fill="auto"/>
          </w:tcPr>
          <w:p w14:paraId="48094A0E" w14:textId="124414AC" w:rsidR="00E4052A" w:rsidRPr="00230CDB" w:rsidRDefault="00E4052A" w:rsidP="00E4052A">
            <w:pPr>
              <w:jc w:val="right"/>
              <w:rPr>
                <w:rFonts w:ascii="Arial" w:hAnsi="Arial" w:cs="Arial"/>
              </w:rPr>
            </w:pPr>
            <w:r w:rsidRPr="00230CDB">
              <w:rPr>
                <w:rFonts w:ascii="Arial" w:hAnsi="Arial" w:cs="Arial"/>
              </w:rPr>
              <w:t>+</w:t>
            </w:r>
            <w:r w:rsidR="002D427A" w:rsidRPr="00230CDB">
              <w:rPr>
                <w:rFonts w:ascii="Arial" w:hAnsi="Arial" w:cs="Arial"/>
              </w:rPr>
              <w:t>2.</w:t>
            </w:r>
            <w:r w:rsidR="002D427A" w:rsidRPr="00F01C34">
              <w:rPr>
                <w:rFonts w:ascii="Arial" w:hAnsi="Arial" w:cs="Arial"/>
              </w:rPr>
              <w:t>8</w:t>
            </w:r>
            <w:r w:rsidRPr="00230CDB">
              <w:rPr>
                <w:rFonts w:ascii="Arial" w:hAnsi="Arial" w:cs="Arial"/>
              </w:rPr>
              <w:t>%</w:t>
            </w:r>
          </w:p>
        </w:tc>
        <w:tc>
          <w:tcPr>
            <w:tcW w:w="695" w:type="pct"/>
            <w:tcBorders>
              <w:bottom w:val="single" w:sz="4" w:space="0" w:color="auto"/>
            </w:tcBorders>
            <w:shd w:val="clear" w:color="auto" w:fill="auto"/>
          </w:tcPr>
          <w:p w14:paraId="276ACA23" w14:textId="36CEDBB8" w:rsidR="00E4052A" w:rsidRPr="00230CDB" w:rsidRDefault="00E4052A" w:rsidP="00E4052A">
            <w:pPr>
              <w:jc w:val="right"/>
              <w:rPr>
                <w:rFonts w:ascii="Arial" w:hAnsi="Arial" w:cs="Arial"/>
              </w:rPr>
            </w:pPr>
            <w:r w:rsidRPr="00230CDB">
              <w:rPr>
                <w:rFonts w:ascii="Arial" w:hAnsi="Arial" w:cs="Arial"/>
              </w:rPr>
              <w:t>+</w:t>
            </w:r>
            <w:r w:rsidR="003C6F8F" w:rsidRPr="00F01C34">
              <w:rPr>
                <w:rFonts w:ascii="Arial" w:hAnsi="Arial" w:cs="Arial"/>
              </w:rPr>
              <w:t>1.5</w:t>
            </w:r>
            <w:r w:rsidRPr="00230CDB">
              <w:rPr>
                <w:rFonts w:ascii="Arial" w:hAnsi="Arial" w:cs="Arial"/>
              </w:rPr>
              <w:t>%</w:t>
            </w:r>
          </w:p>
        </w:tc>
      </w:tr>
      <w:tr w:rsidR="00E4052A" w:rsidRPr="0089408C" w14:paraId="594590A6" w14:textId="77777777" w:rsidTr="00931630">
        <w:trPr>
          <w:trHeight w:val="147"/>
        </w:trPr>
        <w:tc>
          <w:tcPr>
            <w:tcW w:w="1287" w:type="pct"/>
            <w:tcBorders>
              <w:bottom w:val="single" w:sz="4" w:space="0" w:color="auto"/>
            </w:tcBorders>
            <w:shd w:val="clear" w:color="auto" w:fill="auto"/>
          </w:tcPr>
          <w:p w14:paraId="6053DC4A" w14:textId="10ADD82E" w:rsidR="00E4052A" w:rsidRPr="00AB52F3" w:rsidRDefault="00E4052A" w:rsidP="00E4052A">
            <w:pPr>
              <w:rPr>
                <w:rFonts w:ascii="Arial" w:hAnsi="Arial" w:cs="Arial"/>
                <w:bCs/>
              </w:rPr>
            </w:pPr>
            <w:r w:rsidRPr="0089408C">
              <w:rPr>
                <w:rFonts w:ascii="Arial" w:hAnsi="Arial" w:cs="Arial"/>
              </w:rPr>
              <w:t>Other</w:t>
            </w:r>
          </w:p>
        </w:tc>
        <w:tc>
          <w:tcPr>
            <w:tcW w:w="698" w:type="pct"/>
            <w:tcBorders>
              <w:bottom w:val="single" w:sz="4" w:space="0" w:color="auto"/>
            </w:tcBorders>
            <w:shd w:val="clear" w:color="auto" w:fill="auto"/>
          </w:tcPr>
          <w:p w14:paraId="0C36F800" w14:textId="38CFE714" w:rsidR="00E4052A" w:rsidRPr="00AB52F3" w:rsidRDefault="002D427A" w:rsidP="00E4052A">
            <w:pPr>
              <w:jc w:val="right"/>
              <w:rPr>
                <w:rFonts w:ascii="Arial" w:hAnsi="Arial" w:cs="Arial"/>
              </w:rPr>
            </w:pPr>
            <w:r w:rsidRPr="0089408C">
              <w:rPr>
                <w:rFonts w:ascii="Arial" w:hAnsi="Arial" w:cs="Arial"/>
              </w:rPr>
              <w:t>452</w:t>
            </w:r>
          </w:p>
        </w:tc>
        <w:tc>
          <w:tcPr>
            <w:tcW w:w="619" w:type="pct"/>
            <w:tcBorders>
              <w:bottom w:val="single" w:sz="4" w:space="0" w:color="auto"/>
            </w:tcBorders>
            <w:shd w:val="clear" w:color="auto" w:fill="auto"/>
          </w:tcPr>
          <w:p w14:paraId="33D4DECF" w14:textId="34A61E22" w:rsidR="00E4052A" w:rsidRPr="0089408C" w:rsidRDefault="00E4052A" w:rsidP="00E4052A">
            <w:pPr>
              <w:jc w:val="right"/>
              <w:rPr>
                <w:rFonts w:ascii="Arial" w:hAnsi="Arial" w:cs="Arial"/>
              </w:rPr>
            </w:pPr>
            <w:r w:rsidRPr="0089408C">
              <w:rPr>
                <w:rFonts w:ascii="Arial" w:hAnsi="Arial" w:cs="Arial"/>
              </w:rPr>
              <w:t>439</w:t>
            </w:r>
          </w:p>
        </w:tc>
        <w:tc>
          <w:tcPr>
            <w:tcW w:w="850" w:type="pct"/>
            <w:tcBorders>
              <w:bottom w:val="single" w:sz="4" w:space="0" w:color="auto"/>
            </w:tcBorders>
            <w:shd w:val="clear" w:color="auto" w:fill="auto"/>
          </w:tcPr>
          <w:p w14:paraId="087477A1" w14:textId="0ACDF4C1" w:rsidR="00E4052A" w:rsidRPr="0089408C" w:rsidRDefault="00E4052A" w:rsidP="00E4052A">
            <w:pPr>
              <w:jc w:val="right"/>
              <w:rPr>
                <w:rFonts w:ascii="Arial" w:hAnsi="Arial" w:cs="Arial"/>
              </w:rPr>
            </w:pPr>
            <w:r w:rsidRPr="0089408C">
              <w:rPr>
                <w:rFonts w:ascii="Arial" w:hAnsi="Arial" w:cs="Arial"/>
              </w:rPr>
              <w:t>+</w:t>
            </w:r>
            <w:r w:rsidR="000863D8">
              <w:rPr>
                <w:rFonts w:ascii="Arial" w:hAnsi="Arial" w:cs="Arial"/>
              </w:rPr>
              <w:t>2.9</w:t>
            </w:r>
            <w:r w:rsidRPr="0089408C">
              <w:rPr>
                <w:rFonts w:ascii="Arial" w:hAnsi="Arial" w:cs="Arial"/>
              </w:rPr>
              <w:t>%</w:t>
            </w:r>
          </w:p>
        </w:tc>
        <w:tc>
          <w:tcPr>
            <w:tcW w:w="851" w:type="pct"/>
            <w:tcBorders>
              <w:bottom w:val="single" w:sz="4" w:space="0" w:color="auto"/>
            </w:tcBorders>
            <w:shd w:val="clear" w:color="auto" w:fill="auto"/>
          </w:tcPr>
          <w:p w14:paraId="771E1973" w14:textId="1A3339ED" w:rsidR="00E4052A" w:rsidRPr="0089408C" w:rsidRDefault="00E4052A" w:rsidP="00E4052A">
            <w:pPr>
              <w:jc w:val="right"/>
              <w:rPr>
                <w:rFonts w:ascii="Arial" w:hAnsi="Arial" w:cs="Arial"/>
              </w:rPr>
            </w:pPr>
            <w:r w:rsidRPr="004215EF">
              <w:rPr>
                <w:rFonts w:ascii="Arial" w:hAnsi="Arial" w:cs="Arial"/>
              </w:rPr>
              <w:t>+</w:t>
            </w:r>
            <w:r w:rsidR="000863D8" w:rsidRPr="004215EF">
              <w:rPr>
                <w:rFonts w:ascii="Arial" w:hAnsi="Arial" w:cs="Arial"/>
              </w:rPr>
              <w:t>7.3</w:t>
            </w:r>
            <w:r w:rsidRPr="004215EF">
              <w:rPr>
                <w:rFonts w:ascii="Arial" w:hAnsi="Arial" w:cs="Arial"/>
              </w:rPr>
              <w:t>%</w:t>
            </w:r>
          </w:p>
        </w:tc>
        <w:tc>
          <w:tcPr>
            <w:tcW w:w="695" w:type="pct"/>
            <w:tcBorders>
              <w:bottom w:val="single" w:sz="4" w:space="0" w:color="auto"/>
            </w:tcBorders>
            <w:shd w:val="clear" w:color="auto" w:fill="auto"/>
          </w:tcPr>
          <w:p w14:paraId="58C3594C" w14:textId="1028BD8A" w:rsidR="00E4052A" w:rsidRPr="0089408C" w:rsidRDefault="00F25C8B" w:rsidP="00E4052A">
            <w:pPr>
              <w:jc w:val="right"/>
              <w:rPr>
                <w:rFonts w:ascii="Arial" w:hAnsi="Arial" w:cs="Arial"/>
              </w:rPr>
            </w:pPr>
            <w:r w:rsidRPr="004215EF">
              <w:rPr>
                <w:rFonts w:ascii="Arial" w:hAnsi="Arial" w:cs="Arial"/>
              </w:rPr>
              <w:t>(</w:t>
            </w:r>
            <w:proofErr w:type="gramStart"/>
            <w:r w:rsidRPr="004215EF">
              <w:rPr>
                <w:rFonts w:ascii="Arial" w:hAnsi="Arial" w:cs="Arial"/>
              </w:rPr>
              <w:t>1.2)</w:t>
            </w:r>
            <w:r w:rsidR="0089408C" w:rsidRPr="004215EF">
              <w:rPr>
                <w:rFonts w:ascii="Arial" w:hAnsi="Arial" w:cs="Arial"/>
              </w:rPr>
              <w:t>%</w:t>
            </w:r>
            <w:proofErr w:type="gramEnd"/>
          </w:p>
        </w:tc>
      </w:tr>
      <w:tr w:rsidR="00D27C09" w:rsidRPr="00667C8E" w14:paraId="791050E8" w14:textId="77777777" w:rsidTr="00A605C0">
        <w:trPr>
          <w:gridAfter w:val="1"/>
          <w:wAfter w:w="695" w:type="pct"/>
        </w:trPr>
        <w:tc>
          <w:tcPr>
            <w:tcW w:w="1287" w:type="pct"/>
            <w:tcBorders>
              <w:top w:val="nil"/>
              <w:left w:val="nil"/>
              <w:bottom w:val="single" w:sz="4" w:space="0" w:color="auto"/>
              <w:right w:val="nil"/>
            </w:tcBorders>
          </w:tcPr>
          <w:p w14:paraId="1BEAB31E" w14:textId="77777777" w:rsidR="00D27C09" w:rsidRPr="00AC598B" w:rsidRDefault="00D27C09" w:rsidP="00D27C09">
            <w:pPr>
              <w:rPr>
                <w:rFonts w:ascii="Arial" w:hAnsi="Arial" w:cs="Arial"/>
                <w:bCs/>
              </w:rPr>
            </w:pPr>
          </w:p>
        </w:tc>
        <w:tc>
          <w:tcPr>
            <w:tcW w:w="698" w:type="pct"/>
            <w:tcBorders>
              <w:top w:val="nil"/>
              <w:left w:val="nil"/>
              <w:bottom w:val="single" w:sz="4" w:space="0" w:color="auto"/>
              <w:right w:val="nil"/>
            </w:tcBorders>
          </w:tcPr>
          <w:p w14:paraId="15E64657" w14:textId="77777777" w:rsidR="00D27C09" w:rsidRPr="0089408C" w:rsidRDefault="00D27C09" w:rsidP="00D27C09">
            <w:pPr>
              <w:jc w:val="right"/>
              <w:rPr>
                <w:rFonts w:ascii="Arial" w:hAnsi="Arial" w:cs="Arial"/>
              </w:rPr>
            </w:pPr>
          </w:p>
        </w:tc>
        <w:tc>
          <w:tcPr>
            <w:tcW w:w="619" w:type="pct"/>
            <w:tcBorders>
              <w:top w:val="nil"/>
              <w:left w:val="nil"/>
              <w:bottom w:val="single" w:sz="4" w:space="0" w:color="auto"/>
              <w:right w:val="nil"/>
            </w:tcBorders>
          </w:tcPr>
          <w:p w14:paraId="3E25332D" w14:textId="77777777" w:rsidR="00D27C09" w:rsidRPr="00230CDB" w:rsidRDefault="00D27C09" w:rsidP="00D27C09">
            <w:pPr>
              <w:jc w:val="right"/>
              <w:rPr>
                <w:rFonts w:ascii="Arial" w:hAnsi="Arial" w:cs="Arial"/>
              </w:rPr>
            </w:pPr>
          </w:p>
        </w:tc>
        <w:tc>
          <w:tcPr>
            <w:tcW w:w="850" w:type="pct"/>
            <w:tcBorders>
              <w:top w:val="nil"/>
              <w:left w:val="nil"/>
              <w:bottom w:val="single" w:sz="4" w:space="0" w:color="auto"/>
              <w:right w:val="nil"/>
            </w:tcBorders>
          </w:tcPr>
          <w:p w14:paraId="34290856" w14:textId="77777777" w:rsidR="00D27C09" w:rsidRPr="00AC598B" w:rsidRDefault="00D27C09" w:rsidP="00D27C09">
            <w:pPr>
              <w:jc w:val="right"/>
              <w:rPr>
                <w:rFonts w:ascii="Arial" w:hAnsi="Arial" w:cs="Arial"/>
              </w:rPr>
            </w:pPr>
          </w:p>
        </w:tc>
        <w:tc>
          <w:tcPr>
            <w:tcW w:w="851" w:type="pct"/>
            <w:tcBorders>
              <w:top w:val="nil"/>
              <w:left w:val="nil"/>
              <w:bottom w:val="single" w:sz="4" w:space="0" w:color="auto"/>
              <w:right w:val="nil"/>
            </w:tcBorders>
          </w:tcPr>
          <w:p w14:paraId="25318D8E" w14:textId="77777777" w:rsidR="00D27C09" w:rsidRPr="00AC598B" w:rsidRDefault="00D27C09" w:rsidP="00D27C09">
            <w:pPr>
              <w:jc w:val="right"/>
              <w:rPr>
                <w:rFonts w:ascii="Arial" w:hAnsi="Arial" w:cs="Arial"/>
              </w:rPr>
            </w:pPr>
          </w:p>
        </w:tc>
      </w:tr>
      <w:tr w:rsidR="00D27C09" w:rsidRPr="00667C8E" w14:paraId="544BED27" w14:textId="77777777" w:rsidTr="00A605C0">
        <w:trPr>
          <w:gridAfter w:val="1"/>
          <w:wAfter w:w="695" w:type="pct"/>
        </w:trPr>
        <w:tc>
          <w:tcPr>
            <w:tcW w:w="1287" w:type="pct"/>
            <w:tcBorders>
              <w:top w:val="single" w:sz="4" w:space="0" w:color="auto"/>
              <w:bottom w:val="single" w:sz="4" w:space="0" w:color="auto"/>
            </w:tcBorders>
          </w:tcPr>
          <w:p w14:paraId="01FCC9B3" w14:textId="77777777" w:rsidR="00D27C09" w:rsidRPr="00AC598B" w:rsidRDefault="00D27C09" w:rsidP="00D27C09">
            <w:pPr>
              <w:rPr>
                <w:rFonts w:ascii="Arial" w:hAnsi="Arial" w:cs="Arial"/>
                <w:b/>
              </w:rPr>
            </w:pPr>
            <w:r w:rsidRPr="00AC598B">
              <w:rPr>
                <w:rFonts w:ascii="Arial" w:hAnsi="Arial" w:cs="Arial"/>
                <w:b/>
                <w:bCs/>
              </w:rPr>
              <w:t>Retail profit</w:t>
            </w:r>
          </w:p>
        </w:tc>
        <w:tc>
          <w:tcPr>
            <w:tcW w:w="698" w:type="pct"/>
            <w:tcBorders>
              <w:top w:val="single" w:sz="4" w:space="0" w:color="auto"/>
              <w:bottom w:val="single" w:sz="4" w:space="0" w:color="auto"/>
            </w:tcBorders>
          </w:tcPr>
          <w:p w14:paraId="59D27D6A" w14:textId="6D4CF168" w:rsidR="00D27C09" w:rsidRPr="0089408C" w:rsidRDefault="002D427A" w:rsidP="00D27C09">
            <w:pPr>
              <w:jc w:val="right"/>
              <w:rPr>
                <w:rFonts w:ascii="Arial" w:hAnsi="Arial" w:cs="Arial"/>
              </w:rPr>
            </w:pPr>
            <w:r w:rsidRPr="0089408C">
              <w:rPr>
                <w:rFonts w:ascii="Arial" w:hAnsi="Arial" w:cs="Arial"/>
              </w:rPr>
              <w:t>64</w:t>
            </w:r>
          </w:p>
        </w:tc>
        <w:tc>
          <w:tcPr>
            <w:tcW w:w="619" w:type="pct"/>
            <w:tcBorders>
              <w:top w:val="single" w:sz="4" w:space="0" w:color="auto"/>
              <w:bottom w:val="single" w:sz="4" w:space="0" w:color="auto"/>
            </w:tcBorders>
          </w:tcPr>
          <w:p w14:paraId="7B223DD9" w14:textId="311C434B" w:rsidR="00D27C09" w:rsidRPr="00230CDB" w:rsidRDefault="002D427A" w:rsidP="00D27C09">
            <w:pPr>
              <w:jc w:val="right"/>
              <w:rPr>
                <w:rFonts w:ascii="Arial" w:hAnsi="Arial" w:cs="Arial"/>
              </w:rPr>
            </w:pPr>
            <w:r w:rsidRPr="00230CDB">
              <w:rPr>
                <w:rFonts w:ascii="Arial" w:hAnsi="Arial" w:cs="Arial"/>
              </w:rPr>
              <w:t>78</w:t>
            </w:r>
          </w:p>
        </w:tc>
        <w:tc>
          <w:tcPr>
            <w:tcW w:w="850" w:type="pct"/>
            <w:tcBorders>
              <w:top w:val="single" w:sz="4" w:space="0" w:color="auto"/>
              <w:bottom w:val="single" w:sz="4" w:space="0" w:color="auto"/>
            </w:tcBorders>
          </w:tcPr>
          <w:p w14:paraId="6BABA5B7" w14:textId="44D65DAB" w:rsidR="00D27C09" w:rsidRPr="00AC598B" w:rsidRDefault="002D427A" w:rsidP="00D27C09">
            <w:pPr>
              <w:jc w:val="right"/>
              <w:rPr>
                <w:rFonts w:ascii="Arial" w:hAnsi="Arial" w:cs="Arial"/>
              </w:rPr>
            </w:pPr>
            <w:r>
              <w:rPr>
                <w:rFonts w:ascii="Arial" w:hAnsi="Arial" w:cs="Arial"/>
              </w:rPr>
              <w:t>(</w:t>
            </w:r>
            <w:proofErr w:type="gramStart"/>
            <w:r>
              <w:rPr>
                <w:rFonts w:ascii="Arial" w:hAnsi="Arial" w:cs="Arial"/>
              </w:rPr>
              <w:t>17.8)%</w:t>
            </w:r>
            <w:proofErr w:type="gramEnd"/>
          </w:p>
        </w:tc>
        <w:tc>
          <w:tcPr>
            <w:tcW w:w="851" w:type="pct"/>
            <w:tcBorders>
              <w:top w:val="single" w:sz="4" w:space="0" w:color="auto"/>
              <w:bottom w:val="single" w:sz="4" w:space="0" w:color="auto"/>
            </w:tcBorders>
          </w:tcPr>
          <w:p w14:paraId="33014F4C" w14:textId="147FCBA8" w:rsidR="00D27C09" w:rsidRPr="00AC598B" w:rsidRDefault="002D427A" w:rsidP="00D27C09">
            <w:pPr>
              <w:jc w:val="right"/>
              <w:rPr>
                <w:rFonts w:ascii="Arial" w:hAnsi="Arial" w:cs="Arial"/>
              </w:rPr>
            </w:pPr>
            <w:r>
              <w:rPr>
                <w:rFonts w:ascii="Arial" w:hAnsi="Arial" w:cs="Arial"/>
              </w:rPr>
              <w:t>(</w:t>
            </w:r>
            <w:proofErr w:type="gramStart"/>
            <w:r>
              <w:rPr>
                <w:rFonts w:ascii="Arial" w:hAnsi="Arial" w:cs="Arial"/>
              </w:rPr>
              <w:t>19.0)%</w:t>
            </w:r>
            <w:proofErr w:type="gramEnd"/>
          </w:p>
        </w:tc>
      </w:tr>
      <w:tr w:rsidR="00D27C09" w:rsidRPr="00667C8E" w14:paraId="7ED8A78B" w14:textId="77777777" w:rsidTr="00A605C0">
        <w:trPr>
          <w:gridAfter w:val="1"/>
          <w:wAfter w:w="695" w:type="pct"/>
        </w:trPr>
        <w:tc>
          <w:tcPr>
            <w:tcW w:w="1287" w:type="pct"/>
            <w:tcBorders>
              <w:top w:val="single" w:sz="4" w:space="0" w:color="auto"/>
            </w:tcBorders>
          </w:tcPr>
          <w:p w14:paraId="2FB5086C" w14:textId="4B460FFB" w:rsidR="00D27C09" w:rsidRPr="00E03EE7" w:rsidRDefault="00D27C09" w:rsidP="00D27C09">
            <w:pPr>
              <w:jc w:val="left"/>
              <w:rPr>
                <w:rFonts w:ascii="Arial" w:hAnsi="Arial" w:cs="Arial"/>
              </w:rPr>
            </w:pPr>
            <w:r>
              <w:rPr>
                <w:rFonts w:ascii="Arial" w:hAnsi="Arial" w:cs="Arial"/>
              </w:rPr>
              <w:t>Poland</w:t>
            </w:r>
          </w:p>
        </w:tc>
        <w:tc>
          <w:tcPr>
            <w:tcW w:w="698" w:type="pct"/>
            <w:tcBorders>
              <w:top w:val="single" w:sz="4" w:space="0" w:color="auto"/>
            </w:tcBorders>
          </w:tcPr>
          <w:p w14:paraId="4F10ECE0" w14:textId="46FCD718" w:rsidR="00D27C09" w:rsidRPr="00AB52F3" w:rsidRDefault="002D427A" w:rsidP="00D27C09">
            <w:pPr>
              <w:jc w:val="right"/>
              <w:rPr>
                <w:rFonts w:ascii="Arial" w:hAnsi="Arial" w:cs="Arial"/>
              </w:rPr>
            </w:pPr>
            <w:r w:rsidRPr="0089408C">
              <w:rPr>
                <w:rFonts w:ascii="Arial" w:hAnsi="Arial" w:cs="Arial"/>
              </w:rPr>
              <w:t>88</w:t>
            </w:r>
          </w:p>
        </w:tc>
        <w:tc>
          <w:tcPr>
            <w:tcW w:w="619" w:type="pct"/>
            <w:tcBorders>
              <w:top w:val="single" w:sz="4" w:space="0" w:color="auto"/>
            </w:tcBorders>
          </w:tcPr>
          <w:p w14:paraId="575C3ED1" w14:textId="6CD49ABE" w:rsidR="00D27C09" w:rsidRPr="00F01C34" w:rsidRDefault="002D427A" w:rsidP="00D27C09">
            <w:pPr>
              <w:jc w:val="right"/>
              <w:rPr>
                <w:rFonts w:ascii="Arial" w:hAnsi="Arial" w:cs="Arial"/>
                <w:b/>
              </w:rPr>
            </w:pPr>
            <w:r w:rsidRPr="00F01C34">
              <w:rPr>
                <w:rFonts w:ascii="Arial" w:hAnsi="Arial" w:cs="Arial"/>
              </w:rPr>
              <w:t>84</w:t>
            </w:r>
          </w:p>
        </w:tc>
        <w:tc>
          <w:tcPr>
            <w:tcW w:w="850" w:type="pct"/>
            <w:tcBorders>
              <w:top w:val="single" w:sz="4" w:space="0" w:color="auto"/>
            </w:tcBorders>
          </w:tcPr>
          <w:p w14:paraId="08E2B1EB" w14:textId="2A459AD3" w:rsidR="00D27C09" w:rsidRPr="00E03EE7" w:rsidRDefault="00D27C09" w:rsidP="00D27C09">
            <w:pPr>
              <w:jc w:val="right"/>
              <w:rPr>
                <w:rFonts w:ascii="Arial" w:hAnsi="Arial" w:cs="Arial"/>
              </w:rPr>
            </w:pPr>
            <w:r w:rsidRPr="00E03EE7">
              <w:rPr>
                <w:rFonts w:ascii="Arial" w:hAnsi="Arial" w:cs="Arial"/>
              </w:rPr>
              <w:t>+</w:t>
            </w:r>
            <w:r w:rsidR="002D427A">
              <w:rPr>
                <w:rFonts w:ascii="Arial" w:hAnsi="Arial" w:cs="Arial"/>
              </w:rPr>
              <w:t>3.7</w:t>
            </w:r>
            <w:r w:rsidRPr="00E03EE7">
              <w:rPr>
                <w:rFonts w:ascii="Arial" w:hAnsi="Arial" w:cs="Arial"/>
              </w:rPr>
              <w:t>%</w:t>
            </w:r>
          </w:p>
        </w:tc>
        <w:tc>
          <w:tcPr>
            <w:tcW w:w="851" w:type="pct"/>
            <w:tcBorders>
              <w:top w:val="single" w:sz="4" w:space="0" w:color="auto"/>
            </w:tcBorders>
          </w:tcPr>
          <w:p w14:paraId="7BD03D9D" w14:textId="06F6A8EB" w:rsidR="00D27C09" w:rsidRPr="00E03EE7" w:rsidRDefault="00D27C09" w:rsidP="00D27C09">
            <w:pPr>
              <w:jc w:val="right"/>
              <w:rPr>
                <w:rFonts w:ascii="Arial" w:hAnsi="Arial" w:cs="Arial"/>
              </w:rPr>
            </w:pPr>
            <w:r w:rsidRPr="00E03EE7">
              <w:rPr>
                <w:rFonts w:ascii="Arial" w:hAnsi="Arial" w:cs="Arial"/>
              </w:rPr>
              <w:t>+</w:t>
            </w:r>
            <w:r w:rsidR="002D427A">
              <w:rPr>
                <w:rFonts w:ascii="Arial" w:hAnsi="Arial" w:cs="Arial"/>
              </w:rPr>
              <w:t>1.9</w:t>
            </w:r>
            <w:r w:rsidRPr="00E03EE7">
              <w:rPr>
                <w:rFonts w:ascii="Arial" w:hAnsi="Arial" w:cs="Arial"/>
              </w:rPr>
              <w:t>%</w:t>
            </w:r>
          </w:p>
        </w:tc>
      </w:tr>
      <w:tr w:rsidR="00D27C09" w:rsidRPr="00667C8E" w14:paraId="06153CF6" w14:textId="77777777" w:rsidTr="00A605C0">
        <w:trPr>
          <w:gridAfter w:val="1"/>
          <w:wAfter w:w="695" w:type="pct"/>
        </w:trPr>
        <w:tc>
          <w:tcPr>
            <w:tcW w:w="1287" w:type="pct"/>
            <w:tcBorders>
              <w:top w:val="single" w:sz="4" w:space="0" w:color="auto"/>
            </w:tcBorders>
          </w:tcPr>
          <w:p w14:paraId="7FD5C323" w14:textId="753272A8" w:rsidR="00D27C09" w:rsidRPr="00E03EE7" w:rsidRDefault="00D27C09" w:rsidP="00D27C09">
            <w:pPr>
              <w:jc w:val="left"/>
              <w:rPr>
                <w:rFonts w:ascii="Arial" w:hAnsi="Arial" w:cs="Arial"/>
                <w:bCs/>
              </w:rPr>
            </w:pPr>
            <w:r w:rsidRPr="00E03EE7">
              <w:rPr>
                <w:rFonts w:ascii="Arial" w:hAnsi="Arial" w:cs="Arial"/>
              </w:rPr>
              <w:t>Other</w:t>
            </w:r>
          </w:p>
        </w:tc>
        <w:tc>
          <w:tcPr>
            <w:tcW w:w="698" w:type="pct"/>
            <w:tcBorders>
              <w:top w:val="single" w:sz="4" w:space="0" w:color="auto"/>
            </w:tcBorders>
          </w:tcPr>
          <w:p w14:paraId="46AC0AFA" w14:textId="3FBAF3D2" w:rsidR="00D27C09" w:rsidRPr="0089408C" w:rsidRDefault="002D427A" w:rsidP="00D27C09">
            <w:pPr>
              <w:jc w:val="right"/>
              <w:rPr>
                <w:rFonts w:ascii="Arial" w:hAnsi="Arial" w:cs="Arial"/>
              </w:rPr>
            </w:pPr>
            <w:r w:rsidRPr="0089408C">
              <w:rPr>
                <w:rFonts w:ascii="Arial" w:hAnsi="Arial" w:cs="Arial"/>
              </w:rPr>
              <w:t>(</w:t>
            </w:r>
            <w:r w:rsidR="006A3C26" w:rsidRPr="0089408C">
              <w:rPr>
                <w:rFonts w:ascii="Arial" w:hAnsi="Arial" w:cs="Arial"/>
              </w:rPr>
              <w:t>24</w:t>
            </w:r>
            <w:r w:rsidRPr="0089408C">
              <w:rPr>
                <w:rFonts w:ascii="Arial" w:hAnsi="Arial" w:cs="Arial"/>
              </w:rPr>
              <w:t>)</w:t>
            </w:r>
          </w:p>
        </w:tc>
        <w:tc>
          <w:tcPr>
            <w:tcW w:w="619" w:type="pct"/>
            <w:tcBorders>
              <w:top w:val="single" w:sz="4" w:space="0" w:color="auto"/>
            </w:tcBorders>
          </w:tcPr>
          <w:p w14:paraId="512DFD00" w14:textId="02289ED4" w:rsidR="00D27C09" w:rsidRPr="00230CDB" w:rsidRDefault="002D427A" w:rsidP="00D27C09">
            <w:pPr>
              <w:jc w:val="right"/>
              <w:rPr>
                <w:rFonts w:ascii="Arial" w:hAnsi="Arial" w:cs="Arial"/>
              </w:rPr>
            </w:pPr>
            <w:r w:rsidRPr="00F01C34">
              <w:rPr>
                <w:rFonts w:ascii="Arial" w:hAnsi="Arial" w:cs="Arial"/>
              </w:rPr>
              <w:t>(</w:t>
            </w:r>
            <w:r w:rsidR="006A3C26" w:rsidRPr="00F01C34">
              <w:rPr>
                <w:rFonts w:ascii="Arial" w:hAnsi="Arial" w:cs="Arial"/>
              </w:rPr>
              <w:t>6</w:t>
            </w:r>
            <w:r w:rsidRPr="00F01C34">
              <w:rPr>
                <w:rFonts w:ascii="Arial" w:hAnsi="Arial" w:cs="Arial"/>
              </w:rPr>
              <w:t>)</w:t>
            </w:r>
          </w:p>
        </w:tc>
        <w:tc>
          <w:tcPr>
            <w:tcW w:w="850" w:type="pct"/>
            <w:tcBorders>
              <w:top w:val="single" w:sz="4" w:space="0" w:color="auto"/>
            </w:tcBorders>
          </w:tcPr>
          <w:p w14:paraId="6C4FBD38" w14:textId="5FA0CDE0" w:rsidR="00D27C09" w:rsidRPr="00E03EE7" w:rsidRDefault="00526D9D" w:rsidP="00D27C09">
            <w:pPr>
              <w:jc w:val="right"/>
              <w:rPr>
                <w:rFonts w:ascii="Arial" w:hAnsi="Arial" w:cs="Arial"/>
              </w:rPr>
            </w:pPr>
            <w:r>
              <w:rPr>
                <w:rFonts w:ascii="Arial" w:hAnsi="Arial" w:cs="Arial"/>
              </w:rPr>
              <w:t>n/a</w:t>
            </w:r>
          </w:p>
        </w:tc>
        <w:tc>
          <w:tcPr>
            <w:tcW w:w="851" w:type="pct"/>
            <w:tcBorders>
              <w:top w:val="single" w:sz="4" w:space="0" w:color="auto"/>
            </w:tcBorders>
          </w:tcPr>
          <w:p w14:paraId="4A1AED7A" w14:textId="6AE32741" w:rsidR="00D27C09" w:rsidRPr="00E03EE7" w:rsidRDefault="00526D9D" w:rsidP="00D27C09">
            <w:pPr>
              <w:jc w:val="right"/>
              <w:rPr>
                <w:rFonts w:ascii="Arial" w:hAnsi="Arial" w:cs="Arial"/>
              </w:rPr>
            </w:pPr>
            <w:r>
              <w:rPr>
                <w:rFonts w:ascii="Arial" w:hAnsi="Arial" w:cs="Arial"/>
              </w:rPr>
              <w:t>n/a</w:t>
            </w:r>
          </w:p>
        </w:tc>
      </w:tr>
    </w:tbl>
    <w:p w14:paraId="4D042E9A" w14:textId="77777777" w:rsidR="007D43ED" w:rsidRPr="00AC598B" w:rsidRDefault="007D43ED" w:rsidP="007D43ED">
      <w:pPr>
        <w:rPr>
          <w:rFonts w:ascii="Arial" w:hAnsi="Arial" w:cs="Arial"/>
          <w:b/>
          <w:bCs/>
        </w:rPr>
      </w:pPr>
    </w:p>
    <w:p w14:paraId="3036335F" w14:textId="1F4BB2F3" w:rsidR="007D43ED" w:rsidRPr="00AC598B" w:rsidRDefault="007D43ED" w:rsidP="007D43ED">
      <w:pPr>
        <w:jc w:val="left"/>
        <w:rPr>
          <w:rFonts w:ascii="Arial" w:hAnsi="Arial" w:cs="Arial"/>
          <w:b/>
        </w:rPr>
      </w:pPr>
      <w:r w:rsidRPr="00F01C34">
        <w:rPr>
          <w:rFonts w:ascii="Arial" w:hAnsi="Arial" w:cs="Arial"/>
          <w:b/>
        </w:rPr>
        <w:t>Other International</w:t>
      </w:r>
      <w:r w:rsidRPr="00230CDB">
        <w:rPr>
          <w:rFonts w:ascii="Arial" w:hAnsi="Arial" w:cs="Arial"/>
        </w:rPr>
        <w:t xml:space="preserve"> total sales increased by </w:t>
      </w:r>
      <w:r w:rsidR="006A3C26" w:rsidRPr="00230CDB">
        <w:rPr>
          <w:rFonts w:ascii="Arial" w:hAnsi="Arial" w:cs="Arial"/>
        </w:rPr>
        <w:t>4.5</w:t>
      </w:r>
      <w:r w:rsidRPr="00230CDB">
        <w:rPr>
          <w:rFonts w:ascii="Arial" w:hAnsi="Arial" w:cs="Arial"/>
        </w:rPr>
        <w:t>% (+</w:t>
      </w:r>
      <w:r w:rsidR="006A3C26" w:rsidRPr="00F01C34">
        <w:rPr>
          <w:rFonts w:ascii="Arial" w:hAnsi="Arial" w:cs="Arial"/>
          <w:szCs w:val="24"/>
        </w:rPr>
        <w:t>0.5</w:t>
      </w:r>
      <w:r w:rsidR="00080E39" w:rsidRPr="00230CDB">
        <w:rPr>
          <w:rFonts w:ascii="Arial" w:hAnsi="Arial" w:cs="Arial"/>
        </w:rPr>
        <w:t xml:space="preserve"> </w:t>
      </w:r>
      <w:r w:rsidRPr="00230CDB">
        <w:rPr>
          <w:rFonts w:ascii="Arial" w:hAnsi="Arial" w:cs="Arial"/>
        </w:rPr>
        <w:t>% LFL) to £</w:t>
      </w:r>
      <w:r w:rsidR="006A3C26" w:rsidRPr="00230CDB">
        <w:rPr>
          <w:rFonts w:ascii="Arial" w:hAnsi="Arial" w:cs="Arial"/>
        </w:rPr>
        <w:t>1,178</w:t>
      </w:r>
      <w:r w:rsidR="00080E39" w:rsidRPr="00F01C34">
        <w:rPr>
          <w:rFonts w:ascii="Arial" w:hAnsi="Arial" w:cs="Arial"/>
          <w:b/>
          <w:szCs w:val="24"/>
        </w:rPr>
        <w:t xml:space="preserve"> </w:t>
      </w:r>
      <w:r w:rsidRPr="00230CDB">
        <w:rPr>
          <w:rFonts w:ascii="Arial" w:hAnsi="Arial" w:cs="Arial"/>
        </w:rPr>
        <w:t>million</w:t>
      </w:r>
      <w:r w:rsidR="005B1D91" w:rsidRPr="00230CDB">
        <w:rPr>
          <w:rFonts w:ascii="Arial" w:hAnsi="Arial" w:cs="Arial"/>
        </w:rPr>
        <w:t xml:space="preserve"> </w:t>
      </w:r>
      <w:r w:rsidR="0039724B" w:rsidRPr="00230CDB">
        <w:rPr>
          <w:rFonts w:ascii="Arial" w:hAnsi="Arial" w:cs="Arial"/>
        </w:rPr>
        <w:t xml:space="preserve">reflecting growth in Poland and the acquisition of </w:t>
      </w:r>
      <w:proofErr w:type="spellStart"/>
      <w:r w:rsidR="0039724B" w:rsidRPr="00F01C34">
        <w:rPr>
          <w:rFonts w:ascii="Arial" w:hAnsi="Arial" w:cs="Arial"/>
        </w:rPr>
        <w:t>Praktiker</w:t>
      </w:r>
      <w:proofErr w:type="spellEnd"/>
      <w:r w:rsidR="0039724B" w:rsidRPr="00F01C34">
        <w:rPr>
          <w:rFonts w:ascii="Arial" w:hAnsi="Arial" w:cs="Arial"/>
        </w:rPr>
        <w:t xml:space="preserve"> Romania in </w:t>
      </w:r>
      <w:r w:rsidR="0039724B" w:rsidRPr="00230CDB">
        <w:rPr>
          <w:rFonts w:ascii="Arial" w:hAnsi="Arial" w:cs="Arial"/>
        </w:rPr>
        <w:t>November 2017</w:t>
      </w:r>
      <w:r w:rsidR="0039724B" w:rsidRPr="00F01C34">
        <w:rPr>
          <w:rFonts w:ascii="Arial" w:hAnsi="Arial" w:cs="Arial"/>
        </w:rPr>
        <w:t>.</w:t>
      </w:r>
      <w:r w:rsidR="0039724B" w:rsidRPr="00230CDB">
        <w:rPr>
          <w:rFonts w:ascii="Arial" w:hAnsi="Arial" w:cs="Arial"/>
        </w:rPr>
        <w:t xml:space="preserve"> R</w:t>
      </w:r>
      <w:r w:rsidR="005B1D91" w:rsidRPr="00230CDB">
        <w:rPr>
          <w:rFonts w:ascii="Arial" w:hAnsi="Arial" w:cs="Arial"/>
        </w:rPr>
        <w:t xml:space="preserve">etail profit </w:t>
      </w:r>
      <w:r w:rsidR="006A3C26" w:rsidRPr="00230CDB">
        <w:rPr>
          <w:rFonts w:ascii="Arial" w:hAnsi="Arial" w:cs="Arial"/>
        </w:rPr>
        <w:t>de</w:t>
      </w:r>
      <w:r w:rsidR="005B1D91" w:rsidRPr="00230CDB">
        <w:rPr>
          <w:rFonts w:ascii="Arial" w:hAnsi="Arial" w:cs="Arial"/>
        </w:rPr>
        <w:t xml:space="preserve">creased by </w:t>
      </w:r>
      <w:r w:rsidR="006A3C26" w:rsidRPr="00230CDB">
        <w:rPr>
          <w:rFonts w:ascii="Arial" w:hAnsi="Arial" w:cs="Arial"/>
        </w:rPr>
        <w:t>19.0</w:t>
      </w:r>
      <w:r w:rsidR="005B1D91" w:rsidRPr="00230CDB">
        <w:rPr>
          <w:rFonts w:ascii="Arial" w:hAnsi="Arial" w:cs="Arial"/>
        </w:rPr>
        <w:t>% to £</w:t>
      </w:r>
      <w:r w:rsidR="006A3C26" w:rsidRPr="00230CDB">
        <w:rPr>
          <w:rFonts w:ascii="Arial" w:hAnsi="Arial" w:cs="Arial"/>
        </w:rPr>
        <w:t>64</w:t>
      </w:r>
      <w:r w:rsidR="00080E39" w:rsidRPr="00F01C34">
        <w:rPr>
          <w:rFonts w:ascii="Arial" w:hAnsi="Arial" w:cs="Arial"/>
          <w:b/>
          <w:szCs w:val="24"/>
        </w:rPr>
        <w:t xml:space="preserve"> </w:t>
      </w:r>
      <w:r w:rsidR="005B1D91" w:rsidRPr="00230CDB">
        <w:rPr>
          <w:rFonts w:ascii="Arial" w:hAnsi="Arial" w:cs="Arial"/>
        </w:rPr>
        <w:t xml:space="preserve">million, </w:t>
      </w:r>
      <w:r w:rsidR="006A3C26" w:rsidRPr="00230CDB">
        <w:rPr>
          <w:rFonts w:ascii="Arial" w:hAnsi="Arial" w:cs="Arial"/>
        </w:rPr>
        <w:t xml:space="preserve">with </w:t>
      </w:r>
      <w:r w:rsidR="0039724B" w:rsidRPr="00230CDB">
        <w:rPr>
          <w:rFonts w:ascii="Arial" w:hAnsi="Arial" w:cs="Arial"/>
        </w:rPr>
        <w:t xml:space="preserve">growth in </w:t>
      </w:r>
      <w:r w:rsidR="005B1D91" w:rsidRPr="00230CDB">
        <w:rPr>
          <w:rFonts w:ascii="Arial" w:hAnsi="Arial" w:cs="Arial"/>
        </w:rPr>
        <w:t>P</w:t>
      </w:r>
      <w:r w:rsidR="005B1D91" w:rsidRPr="007C4C5E">
        <w:rPr>
          <w:rFonts w:ascii="Arial" w:hAnsi="Arial" w:cs="Arial"/>
        </w:rPr>
        <w:t>oland</w:t>
      </w:r>
      <w:r w:rsidR="0039724B" w:rsidRPr="007C4C5E">
        <w:rPr>
          <w:rFonts w:ascii="Arial" w:hAnsi="Arial" w:cs="Arial"/>
        </w:rPr>
        <w:t xml:space="preserve"> </w:t>
      </w:r>
      <w:r w:rsidR="006A3C26" w:rsidRPr="00AB52F3">
        <w:rPr>
          <w:rFonts w:ascii="Arial" w:hAnsi="Arial" w:cs="Arial"/>
        </w:rPr>
        <w:t>offset by losses in Russia, Romania</w:t>
      </w:r>
      <w:r w:rsidR="0089408C" w:rsidRPr="007C4C5E">
        <w:rPr>
          <w:rFonts w:ascii="Arial" w:hAnsi="Arial" w:cs="Arial"/>
        </w:rPr>
        <w:t xml:space="preserve"> and </w:t>
      </w:r>
      <w:r w:rsidR="0089408C" w:rsidRPr="00AB52F3">
        <w:rPr>
          <w:rFonts w:ascii="Arial" w:hAnsi="Arial" w:cs="Arial"/>
        </w:rPr>
        <w:t>Screwfix Germany</w:t>
      </w:r>
      <w:r w:rsidR="005B1D91" w:rsidRPr="00AC598B">
        <w:rPr>
          <w:rFonts w:ascii="Arial" w:hAnsi="Arial" w:cs="Arial"/>
        </w:rPr>
        <w:t xml:space="preserve">. </w:t>
      </w:r>
      <w:bookmarkStart w:id="46" w:name="_Hlk491357368"/>
    </w:p>
    <w:bookmarkEnd w:id="46"/>
    <w:p w14:paraId="7E8A28D7" w14:textId="77777777" w:rsidR="007D43ED" w:rsidRPr="00AC598B" w:rsidRDefault="007D43ED" w:rsidP="007D43ED">
      <w:pPr>
        <w:jc w:val="left"/>
        <w:rPr>
          <w:rFonts w:ascii="Arial" w:hAnsi="Arial" w:cs="Arial"/>
          <w:highlight w:val="yellow"/>
        </w:rPr>
      </w:pPr>
    </w:p>
    <w:p w14:paraId="154DB4FF" w14:textId="53DE6239" w:rsidR="007D43ED" w:rsidRPr="00230CDB" w:rsidRDefault="007D43ED" w:rsidP="007D43ED">
      <w:pPr>
        <w:jc w:val="left"/>
        <w:rPr>
          <w:rFonts w:ascii="Arial" w:hAnsi="Arial" w:cs="Arial"/>
        </w:rPr>
      </w:pPr>
      <w:bookmarkStart w:id="47" w:name="_Hlk523933312"/>
      <w:r w:rsidRPr="00230CDB">
        <w:rPr>
          <w:rFonts w:ascii="Arial" w:hAnsi="Arial" w:cs="Arial"/>
        </w:rPr>
        <w:t xml:space="preserve">Sales in </w:t>
      </w:r>
      <w:r w:rsidRPr="00230CDB">
        <w:rPr>
          <w:rFonts w:ascii="Arial" w:hAnsi="Arial" w:cs="Arial"/>
          <w:b/>
        </w:rPr>
        <w:t>Poland</w:t>
      </w:r>
      <w:r w:rsidRPr="00230CDB">
        <w:rPr>
          <w:rFonts w:ascii="Arial" w:hAnsi="Arial" w:cs="Arial"/>
        </w:rPr>
        <w:t xml:space="preserve"> were up </w:t>
      </w:r>
      <w:r w:rsidR="007F65C8" w:rsidRPr="00F01C34">
        <w:rPr>
          <w:rFonts w:ascii="Arial" w:hAnsi="Arial" w:cs="Arial"/>
          <w:szCs w:val="24"/>
        </w:rPr>
        <w:t>2.8</w:t>
      </w:r>
      <w:r w:rsidRPr="00230CDB">
        <w:rPr>
          <w:rFonts w:ascii="Arial" w:hAnsi="Arial" w:cs="Arial"/>
        </w:rPr>
        <w:t>% (+</w:t>
      </w:r>
      <w:r w:rsidR="003C6F8F" w:rsidRPr="00F01C34">
        <w:rPr>
          <w:rFonts w:ascii="Arial" w:hAnsi="Arial" w:cs="Arial"/>
          <w:szCs w:val="24"/>
        </w:rPr>
        <w:t>1.5</w:t>
      </w:r>
      <w:r w:rsidR="00080E39" w:rsidRPr="00230CDB">
        <w:rPr>
          <w:rFonts w:ascii="Arial" w:hAnsi="Arial" w:cs="Arial"/>
        </w:rPr>
        <w:t xml:space="preserve"> </w:t>
      </w:r>
      <w:r w:rsidRPr="00230CDB">
        <w:rPr>
          <w:rFonts w:ascii="Arial" w:hAnsi="Arial" w:cs="Arial"/>
        </w:rPr>
        <w:t>% LFL) to £</w:t>
      </w:r>
      <w:r w:rsidR="007F65C8" w:rsidRPr="00230CDB">
        <w:rPr>
          <w:rFonts w:ascii="Arial" w:hAnsi="Arial" w:cs="Arial"/>
        </w:rPr>
        <w:t>726</w:t>
      </w:r>
      <w:r w:rsidR="00080E39" w:rsidRPr="00F01C34">
        <w:rPr>
          <w:rFonts w:ascii="Arial" w:hAnsi="Arial" w:cs="Arial"/>
          <w:b/>
          <w:szCs w:val="24"/>
        </w:rPr>
        <w:t xml:space="preserve"> </w:t>
      </w:r>
      <w:r w:rsidRPr="00230CDB">
        <w:rPr>
          <w:rFonts w:ascii="Arial" w:hAnsi="Arial" w:cs="Arial"/>
        </w:rPr>
        <w:t>million</w:t>
      </w:r>
      <w:r w:rsidR="00F23600" w:rsidRPr="00230CDB">
        <w:rPr>
          <w:rFonts w:ascii="Arial" w:hAnsi="Arial" w:cs="Arial"/>
        </w:rPr>
        <w:t xml:space="preserve"> </w:t>
      </w:r>
      <w:r w:rsidR="0093265E" w:rsidRPr="00230CDB">
        <w:rPr>
          <w:rFonts w:ascii="Arial" w:hAnsi="Arial" w:cs="Arial"/>
        </w:rPr>
        <w:t>despite the introduction of new laws on Sunday trading</w:t>
      </w:r>
      <w:r w:rsidRPr="00230CDB">
        <w:rPr>
          <w:rFonts w:ascii="Arial" w:hAnsi="Arial" w:cs="Arial"/>
        </w:rPr>
        <w:t xml:space="preserve">. </w:t>
      </w:r>
      <w:r w:rsidR="00002818" w:rsidRPr="00760E29">
        <w:rPr>
          <w:rFonts w:ascii="Arial" w:hAnsi="Arial" w:cs="Arial"/>
        </w:rPr>
        <w:t xml:space="preserve">LFL sales of weather-related categories were up </w:t>
      </w:r>
      <w:r w:rsidR="00760E29" w:rsidRPr="00AB52F3">
        <w:rPr>
          <w:rFonts w:ascii="Arial" w:hAnsi="Arial" w:cs="Arial"/>
        </w:rPr>
        <w:t>1.6</w:t>
      </w:r>
      <w:r w:rsidR="00002818" w:rsidRPr="00AB52F3">
        <w:rPr>
          <w:rFonts w:ascii="Arial" w:hAnsi="Arial" w:cs="Arial"/>
        </w:rPr>
        <w:t>%</w:t>
      </w:r>
      <w:r w:rsidR="00002818" w:rsidRPr="00760E29">
        <w:rPr>
          <w:rFonts w:ascii="Arial" w:hAnsi="Arial" w:cs="Arial"/>
        </w:rPr>
        <w:t xml:space="preserve"> while sales of non-weather-</w:t>
      </w:r>
      <w:r w:rsidR="00002818" w:rsidRPr="003D4DBB">
        <w:rPr>
          <w:rFonts w:ascii="Arial" w:hAnsi="Arial" w:cs="Arial"/>
        </w:rPr>
        <w:t xml:space="preserve">related categories, including showroom, were up </w:t>
      </w:r>
      <w:r w:rsidR="00760E29" w:rsidRPr="003D4DBB">
        <w:rPr>
          <w:rFonts w:ascii="Arial" w:hAnsi="Arial" w:cs="Arial"/>
        </w:rPr>
        <w:t>1.4</w:t>
      </w:r>
      <w:r w:rsidR="00002818" w:rsidRPr="003D4DBB">
        <w:rPr>
          <w:rFonts w:ascii="Arial" w:hAnsi="Arial" w:cs="Arial"/>
        </w:rPr>
        <w:t xml:space="preserve">%. </w:t>
      </w:r>
      <w:r w:rsidRPr="003D4DBB">
        <w:rPr>
          <w:rFonts w:ascii="Arial" w:hAnsi="Arial" w:cs="Arial"/>
        </w:rPr>
        <w:t>Gross margin w</w:t>
      </w:r>
      <w:r w:rsidR="00CA6BAE" w:rsidRPr="003D4DBB">
        <w:rPr>
          <w:rFonts w:ascii="Arial" w:hAnsi="Arial" w:cs="Arial"/>
        </w:rPr>
        <w:t>as</w:t>
      </w:r>
      <w:r w:rsidRPr="003D4DBB">
        <w:rPr>
          <w:rFonts w:ascii="Arial" w:hAnsi="Arial" w:cs="Arial"/>
        </w:rPr>
        <w:t xml:space="preserve"> </w:t>
      </w:r>
      <w:r w:rsidR="0093265E" w:rsidRPr="003D4DBB">
        <w:rPr>
          <w:rFonts w:ascii="Arial" w:hAnsi="Arial" w:cs="Arial"/>
        </w:rPr>
        <w:t>up by</w:t>
      </w:r>
      <w:r w:rsidR="00536306" w:rsidRPr="003D4DBB">
        <w:rPr>
          <w:rFonts w:ascii="Arial" w:hAnsi="Arial" w:cs="Arial"/>
        </w:rPr>
        <w:t xml:space="preserve"> </w:t>
      </w:r>
      <w:r w:rsidR="007F65C8" w:rsidRPr="003D4DBB">
        <w:rPr>
          <w:rFonts w:ascii="Arial" w:hAnsi="Arial" w:cs="Arial"/>
        </w:rPr>
        <w:t xml:space="preserve">120 </w:t>
      </w:r>
      <w:r w:rsidRPr="003D4DBB">
        <w:rPr>
          <w:rFonts w:ascii="Arial" w:hAnsi="Arial" w:cs="Arial"/>
        </w:rPr>
        <w:t>basis points</w:t>
      </w:r>
      <w:r w:rsidR="00F468CF" w:rsidRPr="003D4DBB">
        <w:rPr>
          <w:rFonts w:ascii="Arial" w:hAnsi="Arial" w:cs="Arial"/>
        </w:rPr>
        <w:t xml:space="preserve"> reflecting</w:t>
      </w:r>
      <w:r w:rsidR="007C4C5E" w:rsidRPr="003D4DBB">
        <w:rPr>
          <w:rFonts w:ascii="Arial" w:hAnsi="Arial" w:cs="Arial"/>
        </w:rPr>
        <w:t xml:space="preserve"> improved product mix including </w:t>
      </w:r>
      <w:r w:rsidR="00F468CF" w:rsidRPr="003D4DBB">
        <w:rPr>
          <w:rFonts w:ascii="Arial" w:hAnsi="Arial" w:cs="Arial"/>
        </w:rPr>
        <w:t>unified and unique</w:t>
      </w:r>
      <w:r w:rsidR="007C4C5E" w:rsidRPr="003D4DBB">
        <w:rPr>
          <w:rFonts w:ascii="Arial" w:hAnsi="Arial" w:cs="Arial"/>
        </w:rPr>
        <w:t xml:space="preserve"> ranges</w:t>
      </w:r>
      <w:r w:rsidRPr="003D4DBB">
        <w:rPr>
          <w:rFonts w:ascii="Arial" w:hAnsi="Arial" w:cs="Arial"/>
        </w:rPr>
        <w:t xml:space="preserve">. Retail profit grew by </w:t>
      </w:r>
      <w:r w:rsidR="007F65C8" w:rsidRPr="003D4DBB">
        <w:rPr>
          <w:rFonts w:ascii="Arial" w:hAnsi="Arial" w:cs="Arial"/>
        </w:rPr>
        <w:t>1.9</w:t>
      </w:r>
      <w:r w:rsidRPr="003D4DBB">
        <w:rPr>
          <w:rFonts w:ascii="Arial" w:hAnsi="Arial" w:cs="Arial"/>
        </w:rPr>
        <w:t>% to £</w:t>
      </w:r>
      <w:r w:rsidR="007F65C8" w:rsidRPr="003D4DBB">
        <w:rPr>
          <w:rFonts w:ascii="Arial" w:hAnsi="Arial" w:cs="Arial"/>
        </w:rPr>
        <w:t>88</w:t>
      </w:r>
      <w:r w:rsidR="00080E39" w:rsidRPr="003D4DBB">
        <w:rPr>
          <w:rFonts w:ascii="Arial" w:hAnsi="Arial" w:cs="Arial"/>
          <w:b/>
          <w:szCs w:val="24"/>
        </w:rPr>
        <w:t xml:space="preserve"> </w:t>
      </w:r>
      <w:r w:rsidRPr="003D4DBB">
        <w:rPr>
          <w:rFonts w:ascii="Arial" w:hAnsi="Arial" w:cs="Arial"/>
        </w:rPr>
        <w:t>million</w:t>
      </w:r>
      <w:r w:rsidR="005F0570" w:rsidRPr="003D4DBB">
        <w:rPr>
          <w:rFonts w:ascii="Arial" w:hAnsi="Arial" w:cs="Arial"/>
        </w:rPr>
        <w:t xml:space="preserve"> </w:t>
      </w:r>
      <w:r w:rsidR="006B1A1C">
        <w:rPr>
          <w:rFonts w:ascii="Arial" w:hAnsi="Arial" w:cs="Arial"/>
        </w:rPr>
        <w:t>after</w:t>
      </w:r>
      <w:r w:rsidR="006B1A1C" w:rsidRPr="003D4DBB">
        <w:rPr>
          <w:rFonts w:ascii="Arial" w:hAnsi="Arial" w:cs="Arial"/>
        </w:rPr>
        <w:t xml:space="preserve"> </w:t>
      </w:r>
      <w:r w:rsidR="005F0570" w:rsidRPr="003D4DBB">
        <w:rPr>
          <w:rFonts w:ascii="Arial" w:hAnsi="Arial" w:cs="Arial"/>
        </w:rPr>
        <w:t>higher staff costs</w:t>
      </w:r>
      <w:r w:rsidR="005B1D91" w:rsidRPr="003D4DBB">
        <w:rPr>
          <w:rFonts w:ascii="Arial" w:hAnsi="Arial" w:cs="Arial"/>
        </w:rPr>
        <w:t xml:space="preserve">. </w:t>
      </w:r>
    </w:p>
    <w:bookmarkEnd w:id="47"/>
    <w:p w14:paraId="61255BE6" w14:textId="77777777" w:rsidR="007D43ED" w:rsidRPr="00230CDB" w:rsidRDefault="007D43ED" w:rsidP="007D43ED">
      <w:pPr>
        <w:jc w:val="left"/>
        <w:rPr>
          <w:rFonts w:ascii="Arial" w:hAnsi="Arial" w:cs="Arial"/>
          <w:highlight w:val="yellow"/>
        </w:rPr>
      </w:pPr>
    </w:p>
    <w:p w14:paraId="638E8058" w14:textId="183E4B7D" w:rsidR="0093265E" w:rsidRDefault="005F0570" w:rsidP="0093265E">
      <w:pPr>
        <w:jc w:val="left"/>
        <w:rPr>
          <w:rFonts w:ascii="Arial" w:hAnsi="Arial" w:cs="Arial"/>
        </w:rPr>
      </w:pPr>
      <w:bookmarkStart w:id="48" w:name="_Hlk524460777"/>
      <w:r w:rsidRPr="00230CDB">
        <w:rPr>
          <w:rFonts w:ascii="Arial" w:hAnsi="Arial" w:cs="Arial"/>
        </w:rPr>
        <w:t xml:space="preserve">In </w:t>
      </w:r>
      <w:r w:rsidRPr="00230CDB">
        <w:rPr>
          <w:rFonts w:ascii="Arial" w:hAnsi="Arial" w:cs="Arial"/>
          <w:b/>
        </w:rPr>
        <w:t>Iberia*</w:t>
      </w:r>
      <w:r w:rsidRPr="00230CDB">
        <w:rPr>
          <w:rFonts w:ascii="Arial" w:hAnsi="Arial" w:cs="Arial"/>
        </w:rPr>
        <w:t xml:space="preserve"> sales decreased by 2.7% (</w:t>
      </w:r>
      <w:r w:rsidRPr="00F01C34">
        <w:rPr>
          <w:rFonts w:ascii="Arial" w:hAnsi="Arial" w:cs="Arial"/>
          <w:szCs w:val="24"/>
        </w:rPr>
        <w:t>-2.7</w:t>
      </w:r>
      <w:r w:rsidRPr="00F01C34">
        <w:rPr>
          <w:rFonts w:ascii="Arial" w:hAnsi="Arial" w:cs="Arial"/>
          <w:b/>
          <w:szCs w:val="24"/>
        </w:rPr>
        <w:t>%</w:t>
      </w:r>
      <w:r w:rsidRPr="00230CDB">
        <w:rPr>
          <w:rFonts w:ascii="Arial" w:hAnsi="Arial" w:cs="Arial"/>
        </w:rPr>
        <w:t xml:space="preserve"> LFL) to £184</w:t>
      </w:r>
      <w:r w:rsidRPr="00F01C34">
        <w:rPr>
          <w:rFonts w:ascii="Arial" w:hAnsi="Arial" w:cs="Arial"/>
          <w:b/>
          <w:szCs w:val="24"/>
        </w:rPr>
        <w:t xml:space="preserve"> </w:t>
      </w:r>
      <w:r w:rsidRPr="00230CDB">
        <w:rPr>
          <w:rFonts w:ascii="Arial" w:hAnsi="Arial" w:cs="Arial"/>
        </w:rPr>
        <w:t>million</w:t>
      </w:r>
      <w:r w:rsidRPr="00AC598B">
        <w:rPr>
          <w:rFonts w:ascii="Arial" w:hAnsi="Arial" w:cs="Arial"/>
        </w:rPr>
        <w:t>, delivering a £</w:t>
      </w:r>
      <w:r>
        <w:rPr>
          <w:rFonts w:ascii="Arial" w:hAnsi="Arial" w:cs="Arial"/>
        </w:rPr>
        <w:t>1</w:t>
      </w:r>
      <w:r w:rsidRPr="00357F39">
        <w:rPr>
          <w:rFonts w:ascii="Arial" w:hAnsi="Arial" w:cs="Arial"/>
          <w:b/>
          <w:color w:val="C00000"/>
          <w:szCs w:val="24"/>
        </w:rPr>
        <w:t xml:space="preserve"> </w:t>
      </w:r>
      <w:r w:rsidRPr="00AC598B">
        <w:rPr>
          <w:rFonts w:ascii="Arial" w:hAnsi="Arial" w:cs="Arial"/>
        </w:rPr>
        <w:t>million retail profit (201</w:t>
      </w:r>
      <w:r>
        <w:rPr>
          <w:rFonts w:ascii="Arial" w:hAnsi="Arial" w:cs="Arial"/>
        </w:rPr>
        <w:t>7/18</w:t>
      </w:r>
      <w:r w:rsidRPr="00AC598B">
        <w:rPr>
          <w:rFonts w:ascii="Arial" w:hAnsi="Arial" w:cs="Arial"/>
        </w:rPr>
        <w:t>: £</w:t>
      </w:r>
      <w:r>
        <w:rPr>
          <w:rFonts w:ascii="Arial" w:hAnsi="Arial" w:cs="Arial"/>
        </w:rPr>
        <w:t>4</w:t>
      </w:r>
      <w:r w:rsidRPr="00AC598B">
        <w:rPr>
          <w:rFonts w:ascii="Arial" w:hAnsi="Arial" w:cs="Arial"/>
        </w:rPr>
        <w:t xml:space="preserve"> million reported retail profit). </w:t>
      </w:r>
      <w:bookmarkStart w:id="49" w:name="_Hlk524461269"/>
      <w:bookmarkEnd w:id="48"/>
      <w:r w:rsidR="007D43ED" w:rsidRPr="00230CDB">
        <w:rPr>
          <w:rFonts w:ascii="Arial" w:hAnsi="Arial" w:cs="Arial"/>
        </w:rPr>
        <w:t xml:space="preserve">In </w:t>
      </w:r>
      <w:r w:rsidR="007D43ED" w:rsidRPr="00230CDB">
        <w:rPr>
          <w:rFonts w:ascii="Arial" w:hAnsi="Arial" w:cs="Arial"/>
          <w:b/>
        </w:rPr>
        <w:t xml:space="preserve">Russia </w:t>
      </w:r>
      <w:r w:rsidR="007D43ED" w:rsidRPr="00230CDB">
        <w:rPr>
          <w:rFonts w:ascii="Arial" w:hAnsi="Arial" w:cs="Arial"/>
        </w:rPr>
        <w:t xml:space="preserve">sales </w:t>
      </w:r>
      <w:r w:rsidR="00106BDC" w:rsidRPr="00230CDB">
        <w:rPr>
          <w:rFonts w:ascii="Arial" w:hAnsi="Arial" w:cs="Arial"/>
        </w:rPr>
        <w:t xml:space="preserve">declined </w:t>
      </w:r>
      <w:r w:rsidR="00FC5C5A" w:rsidRPr="00230CDB">
        <w:rPr>
          <w:rFonts w:ascii="Arial" w:hAnsi="Arial" w:cs="Arial"/>
        </w:rPr>
        <w:t xml:space="preserve">by </w:t>
      </w:r>
      <w:r w:rsidR="007F65C8" w:rsidRPr="00230CDB">
        <w:rPr>
          <w:rFonts w:ascii="Arial" w:hAnsi="Arial" w:cs="Arial"/>
        </w:rPr>
        <w:t>4.6</w:t>
      </w:r>
      <w:r w:rsidR="007D43ED" w:rsidRPr="00230CDB">
        <w:rPr>
          <w:rFonts w:ascii="Arial" w:hAnsi="Arial" w:cs="Arial"/>
        </w:rPr>
        <w:t>% (</w:t>
      </w:r>
      <w:r w:rsidR="007F65C8" w:rsidRPr="00230CDB">
        <w:rPr>
          <w:rFonts w:ascii="Arial" w:hAnsi="Arial" w:cs="Arial"/>
        </w:rPr>
        <w:t>-1.6</w:t>
      </w:r>
      <w:r w:rsidR="007D43ED" w:rsidRPr="00230CDB">
        <w:rPr>
          <w:rFonts w:ascii="Arial" w:hAnsi="Arial" w:cs="Arial"/>
        </w:rPr>
        <w:t>% LFL) to £</w:t>
      </w:r>
      <w:r w:rsidR="007F65C8" w:rsidRPr="00230CDB">
        <w:rPr>
          <w:rFonts w:ascii="Arial" w:hAnsi="Arial" w:cs="Arial"/>
        </w:rPr>
        <w:t>167</w:t>
      </w:r>
      <w:r w:rsidR="00080E39" w:rsidRPr="00F01C34">
        <w:rPr>
          <w:rFonts w:ascii="Arial" w:hAnsi="Arial" w:cs="Arial"/>
          <w:b/>
          <w:szCs w:val="24"/>
        </w:rPr>
        <w:t xml:space="preserve"> </w:t>
      </w:r>
      <w:r w:rsidR="007D43ED" w:rsidRPr="00230CDB">
        <w:rPr>
          <w:rFonts w:ascii="Arial" w:hAnsi="Arial" w:cs="Arial"/>
        </w:rPr>
        <w:t>million</w:t>
      </w:r>
      <w:r w:rsidR="00596958" w:rsidRPr="00230CDB">
        <w:rPr>
          <w:rFonts w:ascii="Arial" w:hAnsi="Arial" w:cs="Arial"/>
        </w:rPr>
        <w:t>.</w:t>
      </w:r>
      <w:r w:rsidR="007D43ED" w:rsidRPr="00230CDB">
        <w:rPr>
          <w:rFonts w:ascii="Arial" w:hAnsi="Arial" w:cs="Arial"/>
        </w:rPr>
        <w:t xml:space="preserve"> </w:t>
      </w:r>
      <w:r w:rsidR="00624ACF" w:rsidRPr="00230CDB">
        <w:rPr>
          <w:rFonts w:ascii="Arial" w:hAnsi="Arial" w:cs="Arial"/>
        </w:rPr>
        <w:t xml:space="preserve">The business </w:t>
      </w:r>
      <w:r w:rsidR="00AC2B0B" w:rsidRPr="00230CDB">
        <w:rPr>
          <w:rFonts w:ascii="Arial" w:hAnsi="Arial" w:cs="Arial"/>
        </w:rPr>
        <w:t xml:space="preserve">delivered a </w:t>
      </w:r>
      <w:r w:rsidR="0093265E" w:rsidRPr="00230CDB">
        <w:rPr>
          <w:rFonts w:ascii="Arial" w:hAnsi="Arial" w:cs="Arial"/>
        </w:rPr>
        <w:t>retail l</w:t>
      </w:r>
      <w:r w:rsidR="00262E81" w:rsidRPr="00230CDB">
        <w:rPr>
          <w:rFonts w:ascii="Arial" w:hAnsi="Arial" w:cs="Arial"/>
        </w:rPr>
        <w:t>oss of £</w:t>
      </w:r>
      <w:r w:rsidR="007F65C8" w:rsidRPr="00D8336B">
        <w:rPr>
          <w:rFonts w:ascii="Arial" w:hAnsi="Arial" w:cs="Arial"/>
        </w:rPr>
        <w:t>9</w:t>
      </w:r>
      <w:r w:rsidR="00357F39" w:rsidRPr="00F01C34">
        <w:rPr>
          <w:rFonts w:ascii="Arial" w:hAnsi="Arial" w:cs="Arial"/>
          <w:b/>
          <w:szCs w:val="24"/>
        </w:rPr>
        <w:t xml:space="preserve"> </w:t>
      </w:r>
      <w:r w:rsidR="00262E81" w:rsidRPr="00230CDB">
        <w:rPr>
          <w:rFonts w:ascii="Arial" w:hAnsi="Arial" w:cs="Arial"/>
        </w:rPr>
        <w:t xml:space="preserve">million </w:t>
      </w:r>
      <w:r w:rsidR="00681C26" w:rsidRPr="00230CDB">
        <w:rPr>
          <w:rFonts w:ascii="Arial" w:hAnsi="Arial" w:cs="Arial"/>
        </w:rPr>
        <w:t>(201</w:t>
      </w:r>
      <w:r w:rsidR="00357F39" w:rsidRPr="00230CDB">
        <w:rPr>
          <w:rFonts w:ascii="Arial" w:hAnsi="Arial" w:cs="Arial"/>
        </w:rPr>
        <w:t>7</w:t>
      </w:r>
      <w:r w:rsidR="00822B9C" w:rsidRPr="00230CDB">
        <w:rPr>
          <w:rFonts w:ascii="Arial" w:hAnsi="Arial" w:cs="Arial"/>
        </w:rPr>
        <w:t>/1</w:t>
      </w:r>
      <w:r w:rsidR="00357F39" w:rsidRPr="00230CDB">
        <w:rPr>
          <w:rFonts w:ascii="Arial" w:hAnsi="Arial" w:cs="Arial"/>
        </w:rPr>
        <w:t>8</w:t>
      </w:r>
      <w:r w:rsidR="00681C26" w:rsidRPr="00230CDB">
        <w:rPr>
          <w:rFonts w:ascii="Arial" w:hAnsi="Arial" w:cs="Arial"/>
        </w:rPr>
        <w:t>:</w:t>
      </w:r>
      <w:r w:rsidR="004A3CBC" w:rsidRPr="00230CDB">
        <w:rPr>
          <w:rFonts w:ascii="Arial" w:hAnsi="Arial" w:cs="Arial"/>
        </w:rPr>
        <w:t xml:space="preserve"> </w:t>
      </w:r>
      <w:r w:rsidR="00357F39" w:rsidRPr="00230CDB">
        <w:rPr>
          <w:rFonts w:ascii="Arial" w:hAnsi="Arial" w:cs="Arial"/>
        </w:rPr>
        <w:t xml:space="preserve">£3 million </w:t>
      </w:r>
      <w:r w:rsidR="009E6791">
        <w:rPr>
          <w:rFonts w:ascii="Arial" w:hAnsi="Arial" w:cs="Arial"/>
        </w:rPr>
        <w:t xml:space="preserve">reported </w:t>
      </w:r>
      <w:r w:rsidR="00357F39" w:rsidRPr="00230CDB">
        <w:rPr>
          <w:rFonts w:ascii="Arial" w:hAnsi="Arial" w:cs="Arial"/>
        </w:rPr>
        <w:t>retail loss</w:t>
      </w:r>
      <w:r w:rsidR="00144DA6" w:rsidRPr="00230CDB">
        <w:rPr>
          <w:rFonts w:ascii="Arial" w:hAnsi="Arial" w:cs="Arial"/>
        </w:rPr>
        <w:t xml:space="preserve">) </w:t>
      </w:r>
      <w:r w:rsidR="0012195C" w:rsidRPr="00230CDB">
        <w:rPr>
          <w:rFonts w:ascii="Arial" w:hAnsi="Arial" w:cs="Arial"/>
        </w:rPr>
        <w:t xml:space="preserve">reflecting </w:t>
      </w:r>
      <w:r w:rsidR="0093265E" w:rsidRPr="00230CDB">
        <w:rPr>
          <w:rFonts w:ascii="Arial" w:hAnsi="Arial" w:cs="Arial"/>
          <w:szCs w:val="24"/>
        </w:rPr>
        <w:t xml:space="preserve">a </w:t>
      </w:r>
      <w:r w:rsidR="0093265E" w:rsidRPr="00CA6BAE">
        <w:rPr>
          <w:rFonts w:ascii="Arial" w:hAnsi="Arial" w:cs="Arial"/>
          <w:szCs w:val="24"/>
        </w:rPr>
        <w:t>challenging environment</w:t>
      </w:r>
      <w:r w:rsidR="00F468CF" w:rsidRPr="00CA6BAE">
        <w:rPr>
          <w:rFonts w:ascii="Arial" w:hAnsi="Arial" w:cs="Arial"/>
          <w:szCs w:val="24"/>
        </w:rPr>
        <w:t xml:space="preserve"> and </w:t>
      </w:r>
      <w:r w:rsidR="007C4C5E" w:rsidRPr="004215EF">
        <w:rPr>
          <w:rFonts w:ascii="Arial" w:hAnsi="Arial" w:cs="Arial"/>
          <w:szCs w:val="24"/>
        </w:rPr>
        <w:t>store pre-opening</w:t>
      </w:r>
      <w:r w:rsidR="00E3465D" w:rsidRPr="004215EF">
        <w:rPr>
          <w:rFonts w:ascii="Arial" w:hAnsi="Arial" w:cs="Arial"/>
          <w:szCs w:val="24"/>
        </w:rPr>
        <w:t xml:space="preserve"> and refurbishment</w:t>
      </w:r>
      <w:r w:rsidR="007C4C5E" w:rsidRPr="004215EF">
        <w:rPr>
          <w:rFonts w:ascii="Arial" w:hAnsi="Arial" w:cs="Arial"/>
          <w:szCs w:val="24"/>
        </w:rPr>
        <w:t xml:space="preserve"> costs</w:t>
      </w:r>
      <w:r w:rsidR="00144DA6" w:rsidRPr="00CA6BAE">
        <w:rPr>
          <w:rFonts w:ascii="Arial" w:hAnsi="Arial" w:cs="Arial"/>
        </w:rPr>
        <w:t>.</w:t>
      </w:r>
      <w:r w:rsidR="007D43ED" w:rsidRPr="00CA6BAE">
        <w:rPr>
          <w:rFonts w:ascii="Arial" w:hAnsi="Arial" w:cs="Arial"/>
        </w:rPr>
        <w:t xml:space="preserve"> </w:t>
      </w:r>
      <w:bookmarkStart w:id="50" w:name="_Hlk524462136"/>
      <w:bookmarkEnd w:id="49"/>
      <w:r w:rsidR="00D32338" w:rsidRPr="00CA6BAE">
        <w:rPr>
          <w:rFonts w:ascii="Arial" w:hAnsi="Arial" w:cs="Arial"/>
        </w:rPr>
        <w:t xml:space="preserve">In </w:t>
      </w:r>
      <w:r w:rsidR="0093265E" w:rsidRPr="00CA6BAE">
        <w:rPr>
          <w:rFonts w:ascii="Arial" w:hAnsi="Arial" w:cs="Arial"/>
          <w:b/>
        </w:rPr>
        <w:t>Romania</w:t>
      </w:r>
      <w:r w:rsidR="0093265E" w:rsidRPr="00CA6BAE">
        <w:rPr>
          <w:rFonts w:ascii="Arial" w:hAnsi="Arial" w:cs="Arial"/>
        </w:rPr>
        <w:t xml:space="preserve"> sales</w:t>
      </w:r>
      <w:r w:rsidR="0093265E">
        <w:rPr>
          <w:rFonts w:ascii="Arial" w:hAnsi="Arial" w:cs="Arial"/>
        </w:rPr>
        <w:t xml:space="preserve"> increased by </w:t>
      </w:r>
      <w:r w:rsidR="00B07264">
        <w:rPr>
          <w:rFonts w:ascii="Arial" w:hAnsi="Arial" w:cs="Arial"/>
        </w:rPr>
        <w:t>82.3</w:t>
      </w:r>
      <w:r w:rsidR="0093265E" w:rsidRPr="0093265E">
        <w:rPr>
          <w:rFonts w:ascii="Arial" w:hAnsi="Arial" w:cs="Arial"/>
        </w:rPr>
        <w:t>%</w:t>
      </w:r>
      <w:r w:rsidR="0093265E">
        <w:rPr>
          <w:rFonts w:ascii="Arial" w:hAnsi="Arial" w:cs="Arial"/>
        </w:rPr>
        <w:t xml:space="preserve"> (</w:t>
      </w:r>
      <w:r w:rsidR="00230CDB">
        <w:rPr>
          <w:rFonts w:ascii="Arial" w:hAnsi="Arial" w:cs="Arial"/>
        </w:rPr>
        <w:t>+</w:t>
      </w:r>
      <w:r w:rsidR="00B07264">
        <w:rPr>
          <w:rFonts w:ascii="Arial" w:hAnsi="Arial" w:cs="Arial"/>
        </w:rPr>
        <w:t>3.5</w:t>
      </w:r>
      <w:r w:rsidR="0093265E">
        <w:rPr>
          <w:rFonts w:ascii="Arial" w:hAnsi="Arial" w:cs="Arial"/>
        </w:rPr>
        <w:t xml:space="preserve">% LFL) </w:t>
      </w:r>
      <w:r>
        <w:rPr>
          <w:rFonts w:ascii="Arial" w:hAnsi="Arial" w:cs="Arial"/>
        </w:rPr>
        <w:t xml:space="preserve">to £95m </w:t>
      </w:r>
      <w:r w:rsidR="00AE68E2">
        <w:rPr>
          <w:rFonts w:ascii="Arial" w:hAnsi="Arial" w:cs="Arial"/>
        </w:rPr>
        <w:t>driven by</w:t>
      </w:r>
      <w:r w:rsidR="0093265E">
        <w:rPr>
          <w:rFonts w:ascii="Arial" w:hAnsi="Arial" w:cs="Arial"/>
        </w:rPr>
        <w:t xml:space="preserve"> the acquisition of </w:t>
      </w:r>
      <w:proofErr w:type="spellStart"/>
      <w:r w:rsidR="0093265E">
        <w:rPr>
          <w:rFonts w:ascii="Arial" w:hAnsi="Arial" w:cs="Arial"/>
        </w:rPr>
        <w:t>Praktiker</w:t>
      </w:r>
      <w:proofErr w:type="spellEnd"/>
      <w:r w:rsidR="0093265E">
        <w:rPr>
          <w:rFonts w:ascii="Arial" w:hAnsi="Arial" w:cs="Arial"/>
        </w:rPr>
        <w:t xml:space="preserve"> Romania and made a</w:t>
      </w:r>
      <w:r w:rsidR="009E6791">
        <w:rPr>
          <w:rFonts w:ascii="Arial" w:hAnsi="Arial" w:cs="Arial"/>
        </w:rPr>
        <w:t xml:space="preserve"> retail</w:t>
      </w:r>
      <w:r w:rsidR="0093265E">
        <w:rPr>
          <w:rFonts w:ascii="Arial" w:hAnsi="Arial" w:cs="Arial"/>
        </w:rPr>
        <w:t xml:space="preserve"> </w:t>
      </w:r>
      <w:r w:rsidR="0093265E" w:rsidRPr="00CA6BAE">
        <w:rPr>
          <w:rFonts w:ascii="Arial" w:hAnsi="Arial" w:cs="Arial"/>
        </w:rPr>
        <w:t>loss of £</w:t>
      </w:r>
      <w:r w:rsidR="00B07264" w:rsidRPr="00CA6BAE">
        <w:rPr>
          <w:rFonts w:ascii="Arial" w:hAnsi="Arial" w:cs="Arial"/>
        </w:rPr>
        <w:t>9</w:t>
      </w:r>
      <w:r w:rsidR="0093265E" w:rsidRPr="00CA6BAE">
        <w:rPr>
          <w:rFonts w:ascii="Arial" w:hAnsi="Arial" w:cs="Arial"/>
        </w:rPr>
        <w:t xml:space="preserve"> million (2017</w:t>
      </w:r>
      <w:r w:rsidR="00D32338" w:rsidRPr="00CA6BAE">
        <w:rPr>
          <w:rFonts w:ascii="Arial" w:hAnsi="Arial" w:cs="Arial"/>
        </w:rPr>
        <w:t>/18</w:t>
      </w:r>
      <w:r w:rsidR="0093265E" w:rsidRPr="00CA6BAE">
        <w:rPr>
          <w:rFonts w:ascii="Arial" w:hAnsi="Arial" w:cs="Arial"/>
        </w:rPr>
        <w:t xml:space="preserve">: </w:t>
      </w:r>
      <w:r w:rsidR="001C7D4C">
        <w:rPr>
          <w:rFonts w:ascii="Arial" w:hAnsi="Arial" w:cs="Arial"/>
        </w:rPr>
        <w:t xml:space="preserve">£1 million </w:t>
      </w:r>
      <w:r w:rsidR="0093265E" w:rsidRPr="00CA6BAE">
        <w:rPr>
          <w:rFonts w:ascii="Arial" w:hAnsi="Arial" w:cs="Arial"/>
        </w:rPr>
        <w:t xml:space="preserve">reported </w:t>
      </w:r>
      <w:r w:rsidR="001C7D4C">
        <w:rPr>
          <w:rFonts w:ascii="Arial" w:hAnsi="Arial" w:cs="Arial"/>
        </w:rPr>
        <w:t>retail loss</w:t>
      </w:r>
      <w:r w:rsidR="0093265E" w:rsidRPr="00CA6BAE">
        <w:rPr>
          <w:rFonts w:ascii="Arial" w:hAnsi="Arial" w:cs="Arial"/>
        </w:rPr>
        <w:t>)</w:t>
      </w:r>
      <w:r w:rsidR="00D32338" w:rsidRPr="00CA6BAE">
        <w:rPr>
          <w:rFonts w:ascii="Arial" w:hAnsi="Arial" w:cs="Arial"/>
        </w:rPr>
        <w:t xml:space="preserve"> reflecting </w:t>
      </w:r>
      <w:r w:rsidR="00F468CF" w:rsidRPr="004215EF">
        <w:rPr>
          <w:rFonts w:ascii="Arial" w:hAnsi="Arial" w:cs="Arial"/>
        </w:rPr>
        <w:t xml:space="preserve">customer uncertainty </w:t>
      </w:r>
      <w:r w:rsidR="00830A88" w:rsidRPr="004215EF">
        <w:rPr>
          <w:rFonts w:ascii="Arial" w:hAnsi="Arial" w:cs="Arial"/>
        </w:rPr>
        <w:t xml:space="preserve">following the change of ownership of </w:t>
      </w:r>
      <w:proofErr w:type="spellStart"/>
      <w:r w:rsidR="00F468CF" w:rsidRPr="004215EF">
        <w:rPr>
          <w:rFonts w:ascii="Arial" w:hAnsi="Arial" w:cs="Arial"/>
        </w:rPr>
        <w:t>Praktiker</w:t>
      </w:r>
      <w:proofErr w:type="spellEnd"/>
      <w:r w:rsidR="00F468CF" w:rsidRPr="004215EF">
        <w:rPr>
          <w:rFonts w:ascii="Arial" w:hAnsi="Arial" w:cs="Arial"/>
        </w:rPr>
        <w:t xml:space="preserve"> Romania</w:t>
      </w:r>
      <w:r w:rsidR="00D32338" w:rsidRPr="00CA6BAE">
        <w:rPr>
          <w:rFonts w:ascii="Arial" w:hAnsi="Arial" w:cs="Arial"/>
        </w:rPr>
        <w:t>.</w:t>
      </w:r>
      <w:r w:rsidR="0093265E" w:rsidRPr="00CA6BAE">
        <w:rPr>
          <w:rFonts w:ascii="Arial" w:hAnsi="Arial" w:cs="Arial"/>
        </w:rPr>
        <w:t xml:space="preserve"> </w:t>
      </w:r>
      <w:bookmarkEnd w:id="50"/>
      <w:r w:rsidR="0093265E" w:rsidRPr="00CA6BAE">
        <w:rPr>
          <w:rFonts w:ascii="Arial" w:hAnsi="Arial" w:cs="Arial"/>
          <w:b/>
        </w:rPr>
        <w:t>Screwfix Germany</w:t>
      </w:r>
      <w:r w:rsidR="0093265E" w:rsidRPr="005B2D1B">
        <w:rPr>
          <w:rFonts w:ascii="Arial" w:hAnsi="Arial" w:cs="Arial"/>
        </w:rPr>
        <w:t xml:space="preserve"> </w:t>
      </w:r>
      <w:r w:rsidR="00D32338">
        <w:rPr>
          <w:rFonts w:ascii="Arial" w:hAnsi="Arial" w:cs="Arial"/>
        </w:rPr>
        <w:t xml:space="preserve">sales increased by </w:t>
      </w:r>
      <w:r w:rsidR="00B07264">
        <w:rPr>
          <w:rFonts w:ascii="Arial" w:hAnsi="Arial" w:cs="Arial"/>
        </w:rPr>
        <w:t>19.2</w:t>
      </w:r>
      <w:r w:rsidR="00D32338" w:rsidRPr="0093265E">
        <w:rPr>
          <w:rFonts w:ascii="Arial" w:hAnsi="Arial" w:cs="Arial"/>
        </w:rPr>
        <w:t>%</w:t>
      </w:r>
      <w:r w:rsidR="00D32338">
        <w:rPr>
          <w:rFonts w:ascii="Arial" w:hAnsi="Arial" w:cs="Arial"/>
        </w:rPr>
        <w:t xml:space="preserve"> (+</w:t>
      </w:r>
      <w:r w:rsidR="00B07264">
        <w:rPr>
          <w:rFonts w:ascii="Arial" w:hAnsi="Arial" w:cs="Arial"/>
        </w:rPr>
        <w:t>19.6</w:t>
      </w:r>
      <w:r w:rsidR="00D32338">
        <w:rPr>
          <w:rFonts w:ascii="Arial" w:hAnsi="Arial" w:cs="Arial"/>
        </w:rPr>
        <w:t xml:space="preserve">% LFL) and </w:t>
      </w:r>
      <w:r w:rsidR="0093265E">
        <w:rPr>
          <w:rFonts w:ascii="Arial" w:hAnsi="Arial" w:cs="Arial"/>
        </w:rPr>
        <w:t>made</w:t>
      </w:r>
      <w:r w:rsidR="0093265E" w:rsidRPr="00162D50">
        <w:rPr>
          <w:rFonts w:ascii="Arial" w:hAnsi="Arial" w:cs="Arial"/>
        </w:rPr>
        <w:t xml:space="preserve"> a</w:t>
      </w:r>
      <w:r w:rsidR="0093265E">
        <w:rPr>
          <w:rFonts w:ascii="Arial" w:hAnsi="Arial" w:cs="Arial"/>
        </w:rPr>
        <w:t>n</w:t>
      </w:r>
      <w:r w:rsidR="0093265E" w:rsidRPr="00162D50">
        <w:rPr>
          <w:rFonts w:ascii="Arial" w:hAnsi="Arial" w:cs="Arial"/>
        </w:rPr>
        <w:t xml:space="preserve"> £</w:t>
      </w:r>
      <w:r w:rsidR="00B07264">
        <w:rPr>
          <w:rFonts w:ascii="Arial" w:hAnsi="Arial" w:cs="Arial"/>
        </w:rPr>
        <w:t>8</w:t>
      </w:r>
      <w:r w:rsidR="0093265E" w:rsidRPr="00162D50">
        <w:rPr>
          <w:rFonts w:ascii="Arial" w:hAnsi="Arial" w:cs="Arial"/>
        </w:rPr>
        <w:t xml:space="preserve"> million </w:t>
      </w:r>
      <w:r w:rsidR="0093265E">
        <w:rPr>
          <w:rFonts w:ascii="Arial" w:hAnsi="Arial" w:cs="Arial"/>
        </w:rPr>
        <w:t xml:space="preserve">retail </w:t>
      </w:r>
      <w:r w:rsidR="0093265E" w:rsidRPr="00162D50">
        <w:rPr>
          <w:rFonts w:ascii="Arial" w:hAnsi="Arial" w:cs="Arial"/>
        </w:rPr>
        <w:t>loss (2017</w:t>
      </w:r>
      <w:r w:rsidR="00D32338">
        <w:rPr>
          <w:rFonts w:ascii="Arial" w:hAnsi="Arial" w:cs="Arial"/>
        </w:rPr>
        <w:t>/18</w:t>
      </w:r>
      <w:r w:rsidR="0093265E" w:rsidRPr="00162D50">
        <w:rPr>
          <w:rFonts w:ascii="Arial" w:hAnsi="Arial" w:cs="Arial"/>
        </w:rPr>
        <w:t>: £</w:t>
      </w:r>
      <w:r w:rsidR="00B07264">
        <w:rPr>
          <w:rFonts w:ascii="Arial" w:hAnsi="Arial" w:cs="Arial"/>
        </w:rPr>
        <w:t>9</w:t>
      </w:r>
      <w:r w:rsidR="0093265E" w:rsidRPr="00162D50">
        <w:rPr>
          <w:rFonts w:ascii="Arial" w:hAnsi="Arial" w:cs="Arial"/>
        </w:rPr>
        <w:t xml:space="preserve"> million </w:t>
      </w:r>
      <w:r w:rsidR="0093265E">
        <w:rPr>
          <w:rFonts w:ascii="Arial" w:hAnsi="Arial" w:cs="Arial"/>
        </w:rPr>
        <w:t xml:space="preserve">reported retail </w:t>
      </w:r>
      <w:r w:rsidR="0093265E" w:rsidRPr="00162D50">
        <w:rPr>
          <w:rFonts w:ascii="Arial" w:hAnsi="Arial" w:cs="Arial"/>
        </w:rPr>
        <w:t>loss).</w:t>
      </w:r>
      <w:r w:rsidR="0093265E">
        <w:rPr>
          <w:rFonts w:ascii="Arial" w:hAnsi="Arial" w:cs="Arial"/>
        </w:rPr>
        <w:t xml:space="preserve"> </w:t>
      </w:r>
    </w:p>
    <w:p w14:paraId="67EF3A20" w14:textId="77777777" w:rsidR="005F0570" w:rsidRDefault="005F0570" w:rsidP="005F0570">
      <w:pPr>
        <w:jc w:val="left"/>
        <w:rPr>
          <w:rFonts w:ascii="Arial" w:hAnsi="Arial" w:cs="Arial"/>
          <w:b/>
        </w:rPr>
      </w:pPr>
    </w:p>
    <w:p w14:paraId="40BF409B" w14:textId="76DF19D7" w:rsidR="005F0570" w:rsidRPr="00D32338" w:rsidRDefault="005F0570" w:rsidP="005F0570">
      <w:pPr>
        <w:jc w:val="left"/>
        <w:rPr>
          <w:rFonts w:ascii="Arial" w:hAnsi="Arial" w:cs="Arial"/>
          <w:b/>
          <w:color w:val="C00000"/>
          <w:szCs w:val="24"/>
        </w:rPr>
      </w:pPr>
      <w:bookmarkStart w:id="51" w:name="_Hlk524460401"/>
      <w:r w:rsidRPr="00AC598B">
        <w:rPr>
          <w:rFonts w:ascii="Arial" w:hAnsi="Arial" w:cs="Arial"/>
          <w:b/>
        </w:rPr>
        <w:t xml:space="preserve">Turkey, </w:t>
      </w:r>
      <w:r w:rsidRPr="00AC598B">
        <w:rPr>
          <w:rFonts w:ascii="Arial" w:hAnsi="Arial" w:cs="Arial"/>
        </w:rPr>
        <w:t xml:space="preserve">Kingfisher’s 50% JV, </w:t>
      </w:r>
      <w:proofErr w:type="spellStart"/>
      <w:r w:rsidRPr="00AC598B">
        <w:rPr>
          <w:rFonts w:ascii="Arial" w:hAnsi="Arial" w:cs="Arial"/>
          <w:bCs/>
        </w:rPr>
        <w:t>Koçtaş</w:t>
      </w:r>
      <w:proofErr w:type="spellEnd"/>
      <w:r w:rsidRPr="00AC598B">
        <w:rPr>
          <w:rFonts w:ascii="Arial" w:hAnsi="Arial" w:cs="Arial"/>
          <w:bCs/>
        </w:rPr>
        <w:t>,</w:t>
      </w:r>
      <w:r w:rsidRPr="00AC598B">
        <w:rPr>
          <w:rFonts w:ascii="Arial" w:hAnsi="Arial" w:cs="Arial"/>
        </w:rPr>
        <w:t xml:space="preserve"> contributed retail profit of £</w:t>
      </w:r>
      <w:r>
        <w:rPr>
          <w:rFonts w:ascii="Arial" w:hAnsi="Arial" w:cs="Arial"/>
        </w:rPr>
        <w:t>1</w:t>
      </w:r>
      <w:r w:rsidRPr="00357F39">
        <w:rPr>
          <w:rFonts w:ascii="Arial" w:hAnsi="Arial" w:cs="Arial"/>
          <w:b/>
          <w:color w:val="C00000"/>
          <w:szCs w:val="24"/>
        </w:rPr>
        <w:t xml:space="preserve"> </w:t>
      </w:r>
      <w:r w:rsidRPr="00AC598B">
        <w:rPr>
          <w:rFonts w:ascii="Arial" w:hAnsi="Arial" w:cs="Arial"/>
        </w:rPr>
        <w:t>million (201</w:t>
      </w:r>
      <w:r>
        <w:rPr>
          <w:rFonts w:ascii="Arial" w:hAnsi="Arial" w:cs="Arial"/>
        </w:rPr>
        <w:t>7</w:t>
      </w:r>
      <w:r w:rsidRPr="00AC598B">
        <w:rPr>
          <w:rFonts w:ascii="Arial" w:hAnsi="Arial" w:cs="Arial"/>
        </w:rPr>
        <w:t>/1</w:t>
      </w:r>
      <w:r>
        <w:rPr>
          <w:rFonts w:ascii="Arial" w:hAnsi="Arial" w:cs="Arial"/>
        </w:rPr>
        <w:t>8</w:t>
      </w:r>
      <w:r w:rsidRPr="00AC598B">
        <w:rPr>
          <w:rFonts w:ascii="Arial" w:hAnsi="Arial" w:cs="Arial"/>
        </w:rPr>
        <w:t>: £</w:t>
      </w:r>
      <w:r>
        <w:rPr>
          <w:rFonts w:ascii="Arial" w:hAnsi="Arial" w:cs="Arial"/>
        </w:rPr>
        <w:t>3</w:t>
      </w:r>
      <w:r w:rsidRPr="00AC598B">
        <w:rPr>
          <w:rFonts w:ascii="Arial" w:hAnsi="Arial" w:cs="Arial"/>
        </w:rPr>
        <w:t xml:space="preserve"> million reported retail profit).</w:t>
      </w:r>
    </w:p>
    <w:bookmarkEnd w:id="51"/>
    <w:p w14:paraId="041E5EF1" w14:textId="77777777" w:rsidR="005F0570" w:rsidRPr="00AC598B" w:rsidRDefault="005F0570" w:rsidP="005F0570">
      <w:pPr>
        <w:jc w:val="left"/>
        <w:rPr>
          <w:rFonts w:ascii="Arial" w:hAnsi="Arial" w:cs="Arial"/>
          <w:b/>
          <w:highlight w:val="yellow"/>
          <w:u w:val="single"/>
        </w:rPr>
      </w:pPr>
    </w:p>
    <w:p w14:paraId="2588EC66" w14:textId="77777777" w:rsidR="005F0570" w:rsidRPr="00F9080F" w:rsidRDefault="005F0570" w:rsidP="0093265E">
      <w:pPr>
        <w:jc w:val="left"/>
        <w:rPr>
          <w:rFonts w:ascii="Arial" w:hAnsi="Arial" w:cs="Arial"/>
        </w:rPr>
      </w:pPr>
    </w:p>
    <w:p w14:paraId="6F895075" w14:textId="5A2EABE7" w:rsidR="005F0570" w:rsidRPr="00AC598B" w:rsidRDefault="004B36D9">
      <w:pPr>
        <w:jc w:val="left"/>
        <w:rPr>
          <w:rFonts w:ascii="Arial" w:hAnsi="Arial" w:cs="Arial"/>
          <w:b/>
          <w:bCs/>
        </w:rPr>
      </w:pPr>
      <w:r w:rsidRPr="00AC598B">
        <w:rPr>
          <w:rFonts w:ascii="Arial" w:hAnsi="Arial" w:cs="Arial"/>
          <w:b/>
          <w:bCs/>
        </w:rPr>
        <w:br w:type="page"/>
      </w:r>
    </w:p>
    <w:p w14:paraId="027FAA02" w14:textId="2792F1EF" w:rsidR="007D43ED" w:rsidRPr="00AC598B" w:rsidRDefault="007D43ED" w:rsidP="007D43ED">
      <w:pPr>
        <w:jc w:val="left"/>
        <w:rPr>
          <w:rFonts w:ascii="Arial" w:hAnsi="Arial" w:cs="Arial"/>
          <w:b/>
          <w:bCs/>
        </w:rPr>
      </w:pPr>
      <w:bookmarkStart w:id="52" w:name="_Hlk524463847"/>
      <w:r w:rsidRPr="00AC598B">
        <w:rPr>
          <w:rFonts w:ascii="Arial" w:hAnsi="Arial" w:cs="Arial"/>
          <w:b/>
          <w:bCs/>
        </w:rPr>
        <w:t>Section 3: FY 201</w:t>
      </w:r>
      <w:r w:rsidR="00935E7A">
        <w:rPr>
          <w:rFonts w:ascii="Arial" w:hAnsi="Arial" w:cs="Arial"/>
          <w:b/>
          <w:bCs/>
        </w:rPr>
        <w:t>8</w:t>
      </w:r>
      <w:r w:rsidR="00D23E41" w:rsidRPr="00AC598B">
        <w:rPr>
          <w:rFonts w:ascii="Arial" w:hAnsi="Arial" w:cs="Arial"/>
          <w:b/>
          <w:bCs/>
        </w:rPr>
        <w:t>/1</w:t>
      </w:r>
      <w:r w:rsidR="00935E7A">
        <w:rPr>
          <w:rFonts w:ascii="Arial" w:hAnsi="Arial" w:cs="Arial"/>
          <w:b/>
          <w:bCs/>
        </w:rPr>
        <w:t>9</w:t>
      </w:r>
      <w:r w:rsidRPr="00AC598B">
        <w:rPr>
          <w:rFonts w:ascii="Arial" w:hAnsi="Arial" w:cs="Arial"/>
          <w:b/>
          <w:bCs/>
        </w:rPr>
        <w:t xml:space="preserve"> Technical guidance </w:t>
      </w:r>
    </w:p>
    <w:p w14:paraId="76A9CA5E" w14:textId="77777777" w:rsidR="007D43ED" w:rsidRPr="00AC598B" w:rsidRDefault="007D43ED" w:rsidP="007D43ED">
      <w:pPr>
        <w:jc w:val="left"/>
        <w:rPr>
          <w:rFonts w:ascii="Arial" w:hAnsi="Arial" w:cs="Arial"/>
          <w:b/>
          <w:bCs/>
        </w:rPr>
      </w:pPr>
      <w:bookmarkStart w:id="53" w:name="_Hlk524973926"/>
      <w:bookmarkEnd w:id="52"/>
    </w:p>
    <w:p w14:paraId="6AC56877" w14:textId="44F0DE5A" w:rsidR="007D43ED" w:rsidRPr="00C64D89" w:rsidRDefault="002E501D" w:rsidP="00925EFB">
      <w:pPr>
        <w:jc w:val="left"/>
        <w:rPr>
          <w:rFonts w:ascii="Arial" w:hAnsi="Arial" w:cs="Arial"/>
          <w:b/>
          <w:bCs/>
        </w:rPr>
      </w:pPr>
      <w:r w:rsidRPr="00C64D89">
        <w:rPr>
          <w:rFonts w:ascii="Arial" w:hAnsi="Arial" w:cs="Arial"/>
          <w:b/>
          <w:bCs/>
        </w:rPr>
        <w:t>Emplo</w:t>
      </w:r>
      <w:r w:rsidR="00E5523A" w:rsidRPr="00C64D89">
        <w:rPr>
          <w:rFonts w:ascii="Arial" w:hAnsi="Arial" w:cs="Arial"/>
          <w:b/>
          <w:bCs/>
        </w:rPr>
        <w:t>yee,</w:t>
      </w:r>
      <w:r w:rsidR="007D43ED" w:rsidRPr="00C64D89">
        <w:rPr>
          <w:rFonts w:ascii="Arial" w:hAnsi="Arial" w:cs="Arial"/>
          <w:b/>
          <w:bCs/>
        </w:rPr>
        <w:t xml:space="preserve"> new stores and space growth:</w:t>
      </w:r>
    </w:p>
    <w:tbl>
      <w:tblPr>
        <w:tblW w:w="5000" w:type="pct"/>
        <w:tblInd w:w="2" w:type="dxa"/>
        <w:tblLayout w:type="fixed"/>
        <w:tblLook w:val="01E0" w:firstRow="1" w:lastRow="1" w:firstColumn="1" w:lastColumn="1" w:noHBand="0" w:noVBand="0"/>
      </w:tblPr>
      <w:tblGrid>
        <w:gridCol w:w="2465"/>
        <w:gridCol w:w="1563"/>
        <w:gridCol w:w="1304"/>
        <w:gridCol w:w="1638"/>
        <w:gridCol w:w="1450"/>
        <w:gridCol w:w="1447"/>
      </w:tblGrid>
      <w:tr w:rsidR="001178CC" w:rsidRPr="004D39BF" w14:paraId="55226557" w14:textId="77777777" w:rsidTr="004215EF">
        <w:trPr>
          <w:trHeight w:val="739"/>
        </w:trPr>
        <w:tc>
          <w:tcPr>
            <w:tcW w:w="1249" w:type="pct"/>
            <w:tcBorders>
              <w:bottom w:val="single" w:sz="4" w:space="0" w:color="auto"/>
            </w:tcBorders>
          </w:tcPr>
          <w:p w14:paraId="3E1E6787" w14:textId="77777777" w:rsidR="001178CC" w:rsidRPr="00886A40" w:rsidRDefault="001178CC" w:rsidP="00FD5A2D">
            <w:pPr>
              <w:ind w:left="110" w:hanging="110"/>
              <w:jc w:val="left"/>
              <w:rPr>
                <w:rFonts w:ascii="Arial" w:hAnsi="Arial" w:cs="Arial"/>
              </w:rPr>
            </w:pPr>
          </w:p>
          <w:p w14:paraId="2F767C96" w14:textId="77777777" w:rsidR="001178CC" w:rsidRPr="007C4F78" w:rsidRDefault="001178CC" w:rsidP="00FD5A2D">
            <w:pPr>
              <w:jc w:val="left"/>
              <w:rPr>
                <w:rFonts w:ascii="Arial" w:hAnsi="Arial" w:cs="Arial"/>
                <w:b/>
                <w:bCs/>
              </w:rPr>
            </w:pPr>
          </w:p>
        </w:tc>
        <w:tc>
          <w:tcPr>
            <w:tcW w:w="792" w:type="pct"/>
            <w:tcBorders>
              <w:bottom w:val="single" w:sz="4" w:space="0" w:color="auto"/>
            </w:tcBorders>
          </w:tcPr>
          <w:p w14:paraId="30EEE86A" w14:textId="77777777" w:rsidR="0041662F" w:rsidRPr="004D39BF" w:rsidRDefault="0041662F" w:rsidP="00FD5A2D">
            <w:pPr>
              <w:ind w:left="110" w:hanging="110"/>
              <w:jc w:val="right"/>
              <w:rPr>
                <w:rFonts w:ascii="Arial" w:hAnsi="Arial" w:cs="Arial"/>
                <w:b/>
                <w:bCs/>
              </w:rPr>
            </w:pPr>
          </w:p>
          <w:p w14:paraId="6F965876" w14:textId="77777777" w:rsidR="001178CC" w:rsidRPr="004D39BF" w:rsidRDefault="001178CC" w:rsidP="00FD5A2D">
            <w:pPr>
              <w:ind w:left="110" w:hanging="110"/>
              <w:jc w:val="right"/>
              <w:rPr>
                <w:rFonts w:ascii="Arial" w:hAnsi="Arial" w:cs="Arial"/>
                <w:b/>
                <w:bCs/>
              </w:rPr>
            </w:pPr>
            <w:r w:rsidRPr="004D39BF">
              <w:rPr>
                <w:rFonts w:ascii="Arial" w:hAnsi="Arial" w:cs="Arial"/>
                <w:b/>
                <w:bCs/>
              </w:rPr>
              <w:t>Employees</w:t>
            </w:r>
          </w:p>
          <w:p w14:paraId="6BF819FD" w14:textId="77777777" w:rsidR="0041662F" w:rsidRPr="004D39BF" w:rsidRDefault="001178CC" w:rsidP="00FD5A2D">
            <w:pPr>
              <w:ind w:left="110" w:hanging="110"/>
              <w:jc w:val="right"/>
              <w:rPr>
                <w:rFonts w:ascii="Arial" w:hAnsi="Arial" w:cs="Arial"/>
                <w:b/>
                <w:bCs/>
              </w:rPr>
            </w:pPr>
            <w:r w:rsidRPr="004D39BF">
              <w:rPr>
                <w:rFonts w:ascii="Arial" w:hAnsi="Arial" w:cs="Arial"/>
                <w:b/>
                <w:bCs/>
              </w:rPr>
              <w:t>(FTE)</w:t>
            </w:r>
            <w:r w:rsidR="0041662F" w:rsidRPr="004D39BF">
              <w:rPr>
                <w:rFonts w:ascii="Arial" w:hAnsi="Arial" w:cs="Arial"/>
                <w:b/>
                <w:bCs/>
              </w:rPr>
              <w:t xml:space="preserve"> </w:t>
            </w:r>
          </w:p>
          <w:p w14:paraId="75CC9C21" w14:textId="56B016B2" w:rsidR="001178CC" w:rsidRPr="004D39BF" w:rsidRDefault="0041662F">
            <w:pPr>
              <w:ind w:left="110" w:hanging="110"/>
              <w:jc w:val="right"/>
              <w:rPr>
                <w:rFonts w:ascii="Arial" w:hAnsi="Arial" w:cs="Arial"/>
                <w:b/>
                <w:bCs/>
              </w:rPr>
            </w:pPr>
            <w:r w:rsidRPr="004D39BF">
              <w:rPr>
                <w:rFonts w:ascii="Arial" w:hAnsi="Arial" w:cs="Arial"/>
                <w:b/>
                <w:bCs/>
              </w:rPr>
              <w:t xml:space="preserve">at </w:t>
            </w:r>
            <w:r w:rsidR="00931630" w:rsidRPr="004D39BF">
              <w:rPr>
                <w:rFonts w:ascii="Arial" w:hAnsi="Arial" w:cs="Arial"/>
                <w:b/>
                <w:bCs/>
              </w:rPr>
              <w:t xml:space="preserve">31 Jul </w:t>
            </w:r>
            <w:r w:rsidRPr="004D39BF">
              <w:rPr>
                <w:rFonts w:ascii="Arial" w:hAnsi="Arial" w:cs="Arial"/>
                <w:b/>
                <w:bCs/>
              </w:rPr>
              <w:t>201</w:t>
            </w:r>
            <w:r w:rsidR="00FE08B5">
              <w:rPr>
                <w:rFonts w:ascii="Arial" w:hAnsi="Arial" w:cs="Arial"/>
                <w:b/>
                <w:bCs/>
              </w:rPr>
              <w:t>8</w:t>
            </w:r>
          </w:p>
        </w:tc>
        <w:tc>
          <w:tcPr>
            <w:tcW w:w="661" w:type="pct"/>
            <w:tcBorders>
              <w:bottom w:val="single" w:sz="4" w:space="0" w:color="auto"/>
            </w:tcBorders>
          </w:tcPr>
          <w:p w14:paraId="4B5400D9" w14:textId="77777777" w:rsidR="0041662F" w:rsidRPr="004D39BF" w:rsidRDefault="0041662F" w:rsidP="00FD5A2D">
            <w:pPr>
              <w:ind w:left="110" w:hanging="110"/>
              <w:jc w:val="right"/>
              <w:rPr>
                <w:rFonts w:ascii="Arial" w:hAnsi="Arial" w:cs="Arial"/>
                <w:b/>
                <w:bCs/>
              </w:rPr>
            </w:pPr>
          </w:p>
          <w:p w14:paraId="458E822B" w14:textId="77777777" w:rsidR="001178CC" w:rsidRPr="004D39BF" w:rsidRDefault="001178CC" w:rsidP="00FD5A2D">
            <w:pPr>
              <w:ind w:left="110" w:hanging="110"/>
              <w:jc w:val="right"/>
              <w:rPr>
                <w:rFonts w:ascii="Arial" w:hAnsi="Arial" w:cs="Arial"/>
                <w:b/>
                <w:bCs/>
              </w:rPr>
            </w:pPr>
            <w:r w:rsidRPr="004D39BF">
              <w:rPr>
                <w:rFonts w:ascii="Arial" w:hAnsi="Arial" w:cs="Arial"/>
                <w:b/>
                <w:bCs/>
              </w:rPr>
              <w:t xml:space="preserve">Store </w:t>
            </w:r>
          </w:p>
          <w:p w14:paraId="07247FEB" w14:textId="1EEAF101" w:rsidR="001178CC" w:rsidRPr="004D39BF" w:rsidRDefault="0041662F">
            <w:pPr>
              <w:ind w:left="110" w:hanging="110"/>
              <w:jc w:val="right"/>
              <w:rPr>
                <w:rFonts w:ascii="Arial" w:hAnsi="Arial" w:cs="Arial"/>
                <w:b/>
                <w:bCs/>
              </w:rPr>
            </w:pPr>
            <w:r w:rsidRPr="004D39BF">
              <w:rPr>
                <w:rFonts w:ascii="Arial" w:hAnsi="Arial" w:cs="Arial"/>
                <w:b/>
                <w:bCs/>
              </w:rPr>
              <w:t>N</w:t>
            </w:r>
            <w:r w:rsidR="001178CC" w:rsidRPr="004D39BF">
              <w:rPr>
                <w:rFonts w:ascii="Arial" w:hAnsi="Arial" w:cs="Arial"/>
                <w:b/>
                <w:bCs/>
              </w:rPr>
              <w:t>umbers</w:t>
            </w:r>
            <w:r w:rsidRPr="004D39BF">
              <w:rPr>
                <w:rFonts w:ascii="Arial" w:hAnsi="Arial" w:cs="Arial"/>
                <w:b/>
                <w:bCs/>
              </w:rPr>
              <w:t xml:space="preserve"> at 31 </w:t>
            </w:r>
            <w:r w:rsidR="00931630" w:rsidRPr="004D39BF">
              <w:rPr>
                <w:rFonts w:ascii="Arial" w:hAnsi="Arial" w:cs="Arial"/>
                <w:b/>
                <w:bCs/>
              </w:rPr>
              <w:t xml:space="preserve">Jul </w:t>
            </w:r>
            <w:r w:rsidRPr="004D39BF">
              <w:rPr>
                <w:rFonts w:ascii="Arial" w:hAnsi="Arial" w:cs="Arial"/>
                <w:b/>
                <w:bCs/>
              </w:rPr>
              <w:t>201</w:t>
            </w:r>
            <w:r w:rsidR="00FE08B5">
              <w:rPr>
                <w:rFonts w:ascii="Arial" w:hAnsi="Arial" w:cs="Arial"/>
                <w:b/>
                <w:bCs/>
              </w:rPr>
              <w:t>8</w:t>
            </w:r>
          </w:p>
        </w:tc>
        <w:tc>
          <w:tcPr>
            <w:tcW w:w="830" w:type="pct"/>
            <w:tcBorders>
              <w:bottom w:val="single" w:sz="4" w:space="0" w:color="auto"/>
            </w:tcBorders>
          </w:tcPr>
          <w:p w14:paraId="50118624" w14:textId="77777777" w:rsidR="0041662F" w:rsidRPr="004D39BF" w:rsidRDefault="0041662F" w:rsidP="00FD5A2D">
            <w:pPr>
              <w:ind w:left="110" w:hanging="110"/>
              <w:jc w:val="right"/>
              <w:rPr>
                <w:rFonts w:ascii="Arial" w:hAnsi="Arial" w:cs="Arial"/>
                <w:b/>
                <w:bCs/>
              </w:rPr>
            </w:pPr>
          </w:p>
          <w:p w14:paraId="1E4C1B1D" w14:textId="05DE629D" w:rsidR="001178CC" w:rsidRPr="004D39BF" w:rsidRDefault="0041662F" w:rsidP="00FD5A2D">
            <w:pPr>
              <w:ind w:left="110" w:hanging="110"/>
              <w:jc w:val="right"/>
              <w:rPr>
                <w:rFonts w:ascii="Arial" w:hAnsi="Arial" w:cs="Arial"/>
                <w:b/>
                <w:bCs/>
              </w:rPr>
            </w:pPr>
            <w:r w:rsidRPr="004D39BF">
              <w:rPr>
                <w:rFonts w:ascii="Arial" w:hAnsi="Arial" w:cs="Arial"/>
                <w:b/>
                <w:bCs/>
              </w:rPr>
              <w:t xml:space="preserve">Sales area </w:t>
            </w:r>
            <w:r w:rsidRPr="004D39BF">
              <w:rPr>
                <w:rFonts w:ascii="Arial" w:hAnsi="Arial" w:cs="Arial"/>
                <w:b/>
                <w:bCs/>
                <w:vertAlign w:val="superscript"/>
              </w:rPr>
              <w:t>(1)</w:t>
            </w:r>
          </w:p>
          <w:p w14:paraId="7FB33D37" w14:textId="77777777" w:rsidR="0041662F" w:rsidRPr="004D39BF" w:rsidRDefault="001178CC" w:rsidP="00FD5A2D">
            <w:pPr>
              <w:ind w:left="110" w:hanging="110"/>
              <w:jc w:val="right"/>
              <w:rPr>
                <w:rFonts w:ascii="Arial" w:hAnsi="Arial" w:cs="Arial"/>
                <w:b/>
                <w:bCs/>
              </w:rPr>
            </w:pPr>
            <w:r w:rsidRPr="004D39BF">
              <w:rPr>
                <w:rFonts w:ascii="Arial" w:hAnsi="Arial" w:cs="Arial"/>
                <w:b/>
                <w:bCs/>
              </w:rPr>
              <w:t>(000s m</w:t>
            </w:r>
            <w:r w:rsidRPr="004D39BF">
              <w:rPr>
                <w:rFonts w:ascii="Arial" w:hAnsi="Arial" w:cs="Arial"/>
                <w:b/>
                <w:bCs/>
                <w:vertAlign w:val="superscript"/>
              </w:rPr>
              <w:t>2</w:t>
            </w:r>
            <w:r w:rsidRPr="004D39BF">
              <w:rPr>
                <w:rFonts w:ascii="Arial" w:hAnsi="Arial" w:cs="Arial"/>
                <w:b/>
                <w:bCs/>
              </w:rPr>
              <w:t>)</w:t>
            </w:r>
            <w:r w:rsidR="0041662F" w:rsidRPr="004D39BF">
              <w:rPr>
                <w:rFonts w:ascii="Arial" w:hAnsi="Arial" w:cs="Arial"/>
                <w:b/>
                <w:bCs/>
              </w:rPr>
              <w:t xml:space="preserve"> </w:t>
            </w:r>
          </w:p>
          <w:p w14:paraId="68B8D89C" w14:textId="186C4F1D" w:rsidR="001178CC" w:rsidRPr="004D39BF" w:rsidRDefault="0041662F">
            <w:pPr>
              <w:ind w:left="110" w:hanging="110"/>
              <w:jc w:val="right"/>
              <w:rPr>
                <w:rFonts w:ascii="Arial" w:hAnsi="Arial" w:cs="Arial"/>
                <w:b/>
                <w:bCs/>
              </w:rPr>
            </w:pPr>
            <w:r w:rsidRPr="004D39BF">
              <w:rPr>
                <w:rFonts w:ascii="Arial" w:hAnsi="Arial" w:cs="Arial"/>
                <w:b/>
                <w:bCs/>
              </w:rPr>
              <w:t xml:space="preserve">at 31 </w:t>
            </w:r>
            <w:r w:rsidR="00931630" w:rsidRPr="004D39BF">
              <w:rPr>
                <w:rFonts w:ascii="Arial" w:hAnsi="Arial" w:cs="Arial"/>
                <w:b/>
                <w:bCs/>
              </w:rPr>
              <w:t xml:space="preserve">Jul </w:t>
            </w:r>
            <w:r w:rsidRPr="004D39BF">
              <w:rPr>
                <w:rFonts w:ascii="Arial" w:hAnsi="Arial" w:cs="Arial"/>
                <w:b/>
                <w:bCs/>
              </w:rPr>
              <w:t>201</w:t>
            </w:r>
            <w:r w:rsidR="00FE08B5">
              <w:rPr>
                <w:rFonts w:ascii="Arial" w:hAnsi="Arial" w:cs="Arial"/>
                <w:b/>
                <w:bCs/>
              </w:rPr>
              <w:t>8</w:t>
            </w:r>
          </w:p>
        </w:tc>
        <w:tc>
          <w:tcPr>
            <w:tcW w:w="735" w:type="pct"/>
            <w:tcBorders>
              <w:bottom w:val="single" w:sz="4" w:space="0" w:color="auto"/>
            </w:tcBorders>
          </w:tcPr>
          <w:p w14:paraId="453C2495" w14:textId="77777777" w:rsidR="0041662F" w:rsidRPr="004D39BF" w:rsidRDefault="0041662F" w:rsidP="00FD5A2D">
            <w:pPr>
              <w:ind w:left="110" w:hanging="110"/>
              <w:jc w:val="right"/>
              <w:rPr>
                <w:rFonts w:ascii="Arial" w:hAnsi="Arial" w:cs="Arial"/>
                <w:b/>
                <w:bCs/>
              </w:rPr>
            </w:pPr>
          </w:p>
          <w:p w14:paraId="54464EF3" w14:textId="77777777" w:rsidR="00C449AA" w:rsidRPr="004D39BF" w:rsidRDefault="00C449AA" w:rsidP="00FD5A2D">
            <w:pPr>
              <w:ind w:left="110" w:hanging="110"/>
              <w:jc w:val="right"/>
              <w:rPr>
                <w:rFonts w:ascii="Arial" w:hAnsi="Arial" w:cs="Arial"/>
                <w:b/>
                <w:bCs/>
              </w:rPr>
            </w:pPr>
          </w:p>
          <w:p w14:paraId="3F5767D2" w14:textId="77777777" w:rsidR="001178CC" w:rsidRPr="004D39BF" w:rsidRDefault="001178CC" w:rsidP="00FD5A2D">
            <w:pPr>
              <w:ind w:left="110" w:hanging="110"/>
              <w:jc w:val="right"/>
              <w:rPr>
                <w:rFonts w:ascii="Arial" w:hAnsi="Arial" w:cs="Arial"/>
                <w:b/>
                <w:bCs/>
              </w:rPr>
            </w:pPr>
            <w:r w:rsidRPr="004D39BF">
              <w:rPr>
                <w:rFonts w:ascii="Arial" w:hAnsi="Arial" w:cs="Arial"/>
                <w:b/>
                <w:bCs/>
              </w:rPr>
              <w:t>Net new stores</w:t>
            </w:r>
          </w:p>
          <w:p w14:paraId="165AD7E7" w14:textId="596A96A2" w:rsidR="00C449AA" w:rsidRPr="004D39BF" w:rsidRDefault="00C449AA" w:rsidP="00FD5A2D">
            <w:pPr>
              <w:ind w:left="110" w:hanging="110"/>
              <w:jc w:val="right"/>
              <w:rPr>
                <w:rFonts w:ascii="Arial" w:hAnsi="Arial" w:cs="Arial"/>
                <w:b/>
                <w:bCs/>
              </w:rPr>
            </w:pPr>
            <w:r w:rsidRPr="004D39BF">
              <w:rPr>
                <w:rFonts w:ascii="Arial" w:hAnsi="Arial" w:cs="Arial"/>
                <w:b/>
                <w:bCs/>
              </w:rPr>
              <w:t>FY 201</w:t>
            </w:r>
            <w:r w:rsidR="00FE08B5">
              <w:rPr>
                <w:rFonts w:ascii="Arial" w:hAnsi="Arial" w:cs="Arial"/>
                <w:b/>
                <w:bCs/>
              </w:rPr>
              <w:t>8</w:t>
            </w:r>
            <w:r w:rsidRPr="004D39BF">
              <w:rPr>
                <w:rFonts w:ascii="Arial" w:hAnsi="Arial" w:cs="Arial"/>
                <w:b/>
                <w:bCs/>
              </w:rPr>
              <w:t>/1</w:t>
            </w:r>
            <w:r w:rsidR="00FE08B5">
              <w:rPr>
                <w:rFonts w:ascii="Arial" w:hAnsi="Arial" w:cs="Arial"/>
                <w:b/>
                <w:bCs/>
              </w:rPr>
              <w:t>9</w:t>
            </w:r>
          </w:p>
        </w:tc>
        <w:tc>
          <w:tcPr>
            <w:tcW w:w="733" w:type="pct"/>
            <w:tcBorders>
              <w:bottom w:val="single" w:sz="4" w:space="0" w:color="auto"/>
            </w:tcBorders>
          </w:tcPr>
          <w:p w14:paraId="2F544CC2" w14:textId="77777777" w:rsidR="0041662F" w:rsidRPr="004D39BF" w:rsidRDefault="0041662F" w:rsidP="00FD5A2D">
            <w:pPr>
              <w:ind w:left="110" w:hanging="110"/>
              <w:jc w:val="center"/>
              <w:rPr>
                <w:rFonts w:ascii="Arial" w:hAnsi="Arial" w:cs="Arial"/>
                <w:b/>
                <w:bCs/>
              </w:rPr>
            </w:pPr>
          </w:p>
          <w:p w14:paraId="284FAECC" w14:textId="77777777" w:rsidR="00C449AA" w:rsidRPr="004D39BF" w:rsidRDefault="00C449AA" w:rsidP="00440B16">
            <w:pPr>
              <w:ind w:left="110" w:hanging="110"/>
              <w:jc w:val="right"/>
              <w:rPr>
                <w:rFonts w:ascii="Arial" w:hAnsi="Arial" w:cs="Arial"/>
                <w:b/>
                <w:bCs/>
              </w:rPr>
            </w:pPr>
          </w:p>
          <w:p w14:paraId="36197CBB" w14:textId="77777777" w:rsidR="001178CC" w:rsidRPr="004D39BF" w:rsidRDefault="001178CC" w:rsidP="00440B16">
            <w:pPr>
              <w:ind w:left="110" w:hanging="110"/>
              <w:jc w:val="right"/>
              <w:rPr>
                <w:rFonts w:ascii="Arial" w:hAnsi="Arial" w:cs="Arial"/>
                <w:b/>
                <w:bCs/>
              </w:rPr>
            </w:pPr>
            <w:r w:rsidRPr="004D39BF">
              <w:rPr>
                <w:rFonts w:ascii="Arial" w:hAnsi="Arial" w:cs="Arial"/>
                <w:b/>
                <w:bCs/>
              </w:rPr>
              <w:t>Space</w:t>
            </w:r>
          </w:p>
          <w:p w14:paraId="278FC8DB" w14:textId="77777777" w:rsidR="001178CC" w:rsidRPr="004D39BF" w:rsidRDefault="001178CC" w:rsidP="00440B16">
            <w:pPr>
              <w:ind w:left="110" w:hanging="110"/>
              <w:jc w:val="right"/>
              <w:rPr>
                <w:rFonts w:ascii="Arial" w:hAnsi="Arial" w:cs="Arial"/>
                <w:b/>
                <w:bCs/>
              </w:rPr>
            </w:pPr>
            <w:r w:rsidRPr="004D39BF">
              <w:rPr>
                <w:rFonts w:ascii="Arial" w:hAnsi="Arial" w:cs="Arial"/>
                <w:b/>
                <w:bCs/>
              </w:rPr>
              <w:t>% change</w:t>
            </w:r>
          </w:p>
          <w:p w14:paraId="0AD2D42C" w14:textId="092ED417" w:rsidR="00C449AA" w:rsidRPr="004D39BF" w:rsidRDefault="00C449AA" w:rsidP="00440B16">
            <w:pPr>
              <w:ind w:left="110" w:hanging="110"/>
              <w:jc w:val="right"/>
              <w:rPr>
                <w:rFonts w:ascii="Arial" w:hAnsi="Arial" w:cs="Arial"/>
                <w:b/>
                <w:bCs/>
              </w:rPr>
            </w:pPr>
            <w:r w:rsidRPr="004D39BF">
              <w:rPr>
                <w:rFonts w:ascii="Arial" w:hAnsi="Arial" w:cs="Arial"/>
                <w:b/>
                <w:bCs/>
              </w:rPr>
              <w:t>FY 201</w:t>
            </w:r>
            <w:r w:rsidR="00FE08B5">
              <w:rPr>
                <w:rFonts w:ascii="Arial" w:hAnsi="Arial" w:cs="Arial"/>
                <w:b/>
                <w:bCs/>
              </w:rPr>
              <w:t>8</w:t>
            </w:r>
            <w:r w:rsidRPr="004D39BF">
              <w:rPr>
                <w:rFonts w:ascii="Arial" w:hAnsi="Arial" w:cs="Arial"/>
                <w:b/>
                <w:bCs/>
              </w:rPr>
              <w:t>/1</w:t>
            </w:r>
            <w:r w:rsidR="00FE08B5">
              <w:rPr>
                <w:rFonts w:ascii="Arial" w:hAnsi="Arial" w:cs="Arial"/>
                <w:b/>
                <w:bCs/>
              </w:rPr>
              <w:t>9</w:t>
            </w:r>
          </w:p>
        </w:tc>
      </w:tr>
      <w:tr w:rsidR="00E13BC7" w:rsidRPr="004D39BF" w14:paraId="3DFA64B8" w14:textId="77777777" w:rsidTr="004215EF">
        <w:tc>
          <w:tcPr>
            <w:tcW w:w="1249" w:type="pct"/>
            <w:tcBorders>
              <w:top w:val="single" w:sz="4" w:space="0" w:color="auto"/>
            </w:tcBorders>
          </w:tcPr>
          <w:p w14:paraId="61F2A560" w14:textId="77777777" w:rsidR="00E13BC7" w:rsidRPr="004D39BF" w:rsidRDefault="00E13BC7" w:rsidP="00E13BC7">
            <w:pPr>
              <w:spacing w:before="60"/>
              <w:jc w:val="left"/>
              <w:rPr>
                <w:rFonts w:ascii="Arial" w:hAnsi="Arial" w:cs="Arial"/>
              </w:rPr>
            </w:pPr>
            <w:r w:rsidRPr="004D39BF">
              <w:rPr>
                <w:rFonts w:ascii="Arial" w:hAnsi="Arial" w:cs="Arial"/>
              </w:rPr>
              <w:t>B&amp;Q UK &amp; Ireland</w:t>
            </w:r>
          </w:p>
        </w:tc>
        <w:tc>
          <w:tcPr>
            <w:tcW w:w="792" w:type="pct"/>
            <w:tcBorders>
              <w:top w:val="single" w:sz="4" w:space="0" w:color="auto"/>
            </w:tcBorders>
            <w:shd w:val="clear" w:color="auto" w:fill="auto"/>
            <w:vAlign w:val="center"/>
          </w:tcPr>
          <w:p w14:paraId="34BF3F19" w14:textId="49BA29CE" w:rsidR="00E13BC7" w:rsidRPr="00AB52F3" w:rsidRDefault="002F619E" w:rsidP="00E13BC7">
            <w:pPr>
              <w:spacing w:before="60"/>
              <w:ind w:left="110" w:hanging="110"/>
              <w:jc w:val="right"/>
              <w:rPr>
                <w:rFonts w:ascii="Arial" w:hAnsi="Arial" w:cs="Arial"/>
              </w:rPr>
            </w:pPr>
            <w:r w:rsidRPr="00AB52F3">
              <w:rPr>
                <w:rFonts w:ascii="Arial" w:hAnsi="Arial" w:cs="Arial"/>
              </w:rPr>
              <w:t>16,</w:t>
            </w:r>
            <w:r w:rsidR="000863D8">
              <w:rPr>
                <w:rFonts w:ascii="Arial" w:hAnsi="Arial" w:cs="Arial"/>
              </w:rPr>
              <w:t>717</w:t>
            </w:r>
          </w:p>
        </w:tc>
        <w:tc>
          <w:tcPr>
            <w:tcW w:w="661" w:type="pct"/>
            <w:tcBorders>
              <w:top w:val="single" w:sz="4" w:space="0" w:color="auto"/>
            </w:tcBorders>
            <w:shd w:val="clear" w:color="auto" w:fill="auto"/>
            <w:vAlign w:val="center"/>
          </w:tcPr>
          <w:p w14:paraId="27E47927" w14:textId="4617BB5E" w:rsidR="00E13BC7" w:rsidRPr="005102CF" w:rsidRDefault="00E13BC7" w:rsidP="00E13BC7">
            <w:pPr>
              <w:spacing w:before="60"/>
              <w:ind w:left="110" w:hanging="110"/>
              <w:jc w:val="right"/>
              <w:rPr>
                <w:rFonts w:ascii="Arial" w:hAnsi="Arial" w:cs="Arial"/>
              </w:rPr>
            </w:pPr>
            <w:r w:rsidRPr="005102CF">
              <w:rPr>
                <w:rFonts w:ascii="Arial" w:hAnsi="Arial" w:cs="Arial"/>
              </w:rPr>
              <w:t>296</w:t>
            </w:r>
          </w:p>
        </w:tc>
        <w:tc>
          <w:tcPr>
            <w:tcW w:w="830" w:type="pct"/>
            <w:tcBorders>
              <w:top w:val="single" w:sz="4" w:space="0" w:color="auto"/>
            </w:tcBorders>
            <w:shd w:val="clear" w:color="auto" w:fill="auto"/>
            <w:vAlign w:val="center"/>
          </w:tcPr>
          <w:p w14:paraId="03088332" w14:textId="5B6A1F0A" w:rsidR="00E13BC7" w:rsidRPr="005102CF" w:rsidRDefault="00E13BC7" w:rsidP="00E13BC7">
            <w:pPr>
              <w:spacing w:before="60"/>
              <w:ind w:left="110" w:hanging="110"/>
              <w:jc w:val="right"/>
              <w:rPr>
                <w:rFonts w:ascii="Arial" w:hAnsi="Arial" w:cs="Arial"/>
              </w:rPr>
            </w:pPr>
            <w:r w:rsidRPr="005102CF">
              <w:rPr>
                <w:rFonts w:ascii="Arial" w:hAnsi="Arial" w:cs="Arial"/>
              </w:rPr>
              <w:t>2,2</w:t>
            </w:r>
            <w:r w:rsidR="002F619E" w:rsidRPr="005102CF">
              <w:rPr>
                <w:rFonts w:ascii="Arial" w:hAnsi="Arial" w:cs="Arial"/>
              </w:rPr>
              <w:t>10</w:t>
            </w:r>
          </w:p>
        </w:tc>
        <w:tc>
          <w:tcPr>
            <w:tcW w:w="735" w:type="pct"/>
            <w:tcBorders>
              <w:top w:val="single" w:sz="4" w:space="0" w:color="auto"/>
            </w:tcBorders>
            <w:shd w:val="clear" w:color="auto" w:fill="auto"/>
            <w:vAlign w:val="center"/>
          </w:tcPr>
          <w:p w14:paraId="789DC737" w14:textId="2E2C7AB1" w:rsidR="00E13BC7" w:rsidRPr="005102CF" w:rsidRDefault="00E56A1D" w:rsidP="0005091E">
            <w:pPr>
              <w:spacing w:before="60"/>
              <w:ind w:left="110" w:hanging="110"/>
              <w:jc w:val="right"/>
              <w:rPr>
                <w:rFonts w:ascii="Arial" w:hAnsi="Arial" w:cs="Arial"/>
              </w:rPr>
            </w:pPr>
            <w:r w:rsidRPr="005102CF">
              <w:rPr>
                <w:rFonts w:ascii="Arial" w:hAnsi="Arial" w:cs="Arial"/>
              </w:rPr>
              <w:t>-</w:t>
            </w:r>
          </w:p>
        </w:tc>
        <w:tc>
          <w:tcPr>
            <w:tcW w:w="733" w:type="pct"/>
            <w:tcBorders>
              <w:top w:val="single" w:sz="4" w:space="0" w:color="auto"/>
            </w:tcBorders>
            <w:shd w:val="clear" w:color="auto" w:fill="auto"/>
            <w:vAlign w:val="center"/>
          </w:tcPr>
          <w:p w14:paraId="57F06FB5" w14:textId="2D7400F2" w:rsidR="00E13BC7" w:rsidRPr="00F01C34" w:rsidRDefault="00B823FD" w:rsidP="0005091E">
            <w:pPr>
              <w:spacing w:before="60"/>
              <w:ind w:left="110" w:hanging="110"/>
              <w:jc w:val="right"/>
              <w:rPr>
                <w:rFonts w:ascii="Arial" w:hAnsi="Arial" w:cs="Arial"/>
              </w:rPr>
            </w:pPr>
            <w:r w:rsidRPr="00F01C34">
              <w:rPr>
                <w:rFonts w:ascii="Arial" w:hAnsi="Arial" w:cs="Arial"/>
              </w:rPr>
              <w:t>-</w:t>
            </w:r>
          </w:p>
        </w:tc>
      </w:tr>
      <w:tr w:rsidR="00E13BC7" w:rsidRPr="004D39BF" w14:paraId="29194902" w14:textId="77777777" w:rsidTr="004215EF">
        <w:tc>
          <w:tcPr>
            <w:tcW w:w="1249" w:type="pct"/>
            <w:tcBorders>
              <w:bottom w:val="single" w:sz="4" w:space="0" w:color="auto"/>
            </w:tcBorders>
          </w:tcPr>
          <w:p w14:paraId="49F6CB3F" w14:textId="77777777" w:rsidR="00E13BC7" w:rsidRPr="004D39BF" w:rsidRDefault="00E13BC7" w:rsidP="00E13BC7">
            <w:pPr>
              <w:ind w:left="110" w:hanging="110"/>
              <w:jc w:val="left"/>
              <w:rPr>
                <w:rFonts w:ascii="Arial" w:hAnsi="Arial" w:cs="Arial"/>
              </w:rPr>
            </w:pPr>
            <w:r w:rsidRPr="004D39BF">
              <w:rPr>
                <w:rFonts w:ascii="Arial" w:hAnsi="Arial" w:cs="Arial"/>
              </w:rPr>
              <w:t xml:space="preserve">Screwfix </w:t>
            </w:r>
          </w:p>
        </w:tc>
        <w:tc>
          <w:tcPr>
            <w:tcW w:w="792" w:type="pct"/>
            <w:tcBorders>
              <w:bottom w:val="single" w:sz="4" w:space="0" w:color="auto"/>
            </w:tcBorders>
            <w:shd w:val="clear" w:color="auto" w:fill="auto"/>
            <w:vAlign w:val="center"/>
          </w:tcPr>
          <w:p w14:paraId="1BE01903" w14:textId="05E2AFF6" w:rsidR="00E13BC7" w:rsidRPr="00AB52F3" w:rsidRDefault="00E13BC7" w:rsidP="00E13BC7">
            <w:pPr>
              <w:ind w:left="110" w:hanging="110"/>
              <w:jc w:val="right"/>
              <w:rPr>
                <w:rFonts w:ascii="Arial" w:hAnsi="Arial" w:cs="Arial"/>
              </w:rPr>
            </w:pPr>
            <w:r w:rsidRPr="00AB52F3">
              <w:rPr>
                <w:rFonts w:ascii="Arial" w:hAnsi="Arial" w:cs="Arial"/>
              </w:rPr>
              <w:t>7,</w:t>
            </w:r>
            <w:r w:rsidR="000863D8">
              <w:rPr>
                <w:rFonts w:ascii="Arial" w:hAnsi="Arial" w:cs="Arial"/>
              </w:rPr>
              <w:t>938</w:t>
            </w:r>
          </w:p>
        </w:tc>
        <w:tc>
          <w:tcPr>
            <w:tcW w:w="661" w:type="pct"/>
            <w:tcBorders>
              <w:bottom w:val="single" w:sz="4" w:space="0" w:color="auto"/>
            </w:tcBorders>
            <w:shd w:val="clear" w:color="auto" w:fill="auto"/>
            <w:vAlign w:val="center"/>
          </w:tcPr>
          <w:p w14:paraId="7F2C5BDB" w14:textId="7F557470" w:rsidR="00E13BC7" w:rsidRPr="005102CF" w:rsidRDefault="00E13BC7" w:rsidP="00E13BC7">
            <w:pPr>
              <w:ind w:left="110" w:hanging="110"/>
              <w:jc w:val="right"/>
              <w:rPr>
                <w:rFonts w:ascii="Arial" w:hAnsi="Arial" w:cs="Arial"/>
              </w:rPr>
            </w:pPr>
            <w:r w:rsidRPr="00632520">
              <w:rPr>
                <w:rFonts w:ascii="Arial" w:hAnsi="Arial" w:cs="Arial"/>
              </w:rPr>
              <w:t>5</w:t>
            </w:r>
            <w:r w:rsidR="002F619E" w:rsidRPr="00632520">
              <w:rPr>
                <w:rFonts w:ascii="Arial" w:hAnsi="Arial" w:cs="Arial"/>
              </w:rPr>
              <w:t>9</w:t>
            </w:r>
            <w:r w:rsidR="00EE4A15">
              <w:rPr>
                <w:rFonts w:ascii="Arial" w:hAnsi="Arial" w:cs="Arial"/>
              </w:rPr>
              <w:t>8</w:t>
            </w:r>
          </w:p>
        </w:tc>
        <w:tc>
          <w:tcPr>
            <w:tcW w:w="830" w:type="pct"/>
            <w:tcBorders>
              <w:bottom w:val="single" w:sz="4" w:space="0" w:color="auto"/>
            </w:tcBorders>
            <w:shd w:val="clear" w:color="auto" w:fill="auto"/>
            <w:vAlign w:val="center"/>
          </w:tcPr>
          <w:p w14:paraId="63CCE39B" w14:textId="7E1DC237" w:rsidR="00E13BC7" w:rsidRPr="005102CF" w:rsidRDefault="002F619E" w:rsidP="00E13BC7">
            <w:pPr>
              <w:ind w:left="110" w:hanging="110"/>
              <w:jc w:val="right"/>
              <w:rPr>
                <w:rFonts w:ascii="Arial" w:hAnsi="Arial" w:cs="Arial"/>
              </w:rPr>
            </w:pPr>
            <w:r w:rsidRPr="005102CF">
              <w:rPr>
                <w:rFonts w:ascii="Arial" w:hAnsi="Arial" w:cs="Arial"/>
              </w:rPr>
              <w:t>38</w:t>
            </w:r>
          </w:p>
        </w:tc>
        <w:tc>
          <w:tcPr>
            <w:tcW w:w="735" w:type="pct"/>
            <w:tcBorders>
              <w:bottom w:val="single" w:sz="4" w:space="0" w:color="auto"/>
            </w:tcBorders>
            <w:shd w:val="clear" w:color="auto" w:fill="auto"/>
            <w:vAlign w:val="center"/>
          </w:tcPr>
          <w:p w14:paraId="4644A5AC" w14:textId="21D587FF" w:rsidR="00E13BC7" w:rsidRPr="005102CF" w:rsidRDefault="002F619E" w:rsidP="0005091E">
            <w:pPr>
              <w:ind w:left="110" w:hanging="110"/>
              <w:jc w:val="right"/>
              <w:rPr>
                <w:rFonts w:ascii="Arial" w:hAnsi="Arial" w:cs="Arial"/>
              </w:rPr>
            </w:pPr>
            <w:r w:rsidRPr="005102CF">
              <w:rPr>
                <w:rFonts w:ascii="Arial" w:hAnsi="Arial" w:cs="Arial"/>
              </w:rPr>
              <w:t>5</w:t>
            </w:r>
            <w:r w:rsidR="00E13BC7" w:rsidRPr="005102CF">
              <w:rPr>
                <w:rFonts w:ascii="Arial" w:hAnsi="Arial" w:cs="Arial"/>
              </w:rPr>
              <w:t>0</w:t>
            </w:r>
          </w:p>
        </w:tc>
        <w:tc>
          <w:tcPr>
            <w:tcW w:w="733" w:type="pct"/>
            <w:tcBorders>
              <w:bottom w:val="single" w:sz="4" w:space="0" w:color="auto"/>
            </w:tcBorders>
            <w:shd w:val="clear" w:color="auto" w:fill="auto"/>
            <w:vAlign w:val="center"/>
          </w:tcPr>
          <w:p w14:paraId="529494B2" w14:textId="64F1D58D" w:rsidR="00E13BC7" w:rsidRPr="00F01C34" w:rsidRDefault="005102CF" w:rsidP="0005091E">
            <w:pPr>
              <w:ind w:left="110" w:hanging="110"/>
              <w:jc w:val="right"/>
              <w:rPr>
                <w:rFonts w:ascii="Arial" w:hAnsi="Arial" w:cs="Arial"/>
              </w:rPr>
            </w:pPr>
            <w:r>
              <w:rPr>
                <w:rFonts w:ascii="Arial" w:hAnsi="Arial" w:cs="Arial"/>
              </w:rPr>
              <w:t>+</w:t>
            </w:r>
            <w:r w:rsidRPr="00F01C34">
              <w:rPr>
                <w:rFonts w:ascii="Arial" w:hAnsi="Arial" w:cs="Arial"/>
              </w:rPr>
              <w:t>8</w:t>
            </w:r>
            <w:r w:rsidR="00E13BC7" w:rsidRPr="00F01C34">
              <w:rPr>
                <w:rFonts w:ascii="Arial" w:hAnsi="Arial" w:cs="Arial"/>
              </w:rPr>
              <w:t>%</w:t>
            </w:r>
          </w:p>
        </w:tc>
      </w:tr>
      <w:tr w:rsidR="00E13BC7" w:rsidRPr="004D39BF" w14:paraId="134D5645" w14:textId="77777777" w:rsidTr="004215EF">
        <w:tc>
          <w:tcPr>
            <w:tcW w:w="1249" w:type="pct"/>
            <w:tcBorders>
              <w:top w:val="single" w:sz="4" w:space="0" w:color="auto"/>
              <w:bottom w:val="single" w:sz="4" w:space="0" w:color="auto"/>
            </w:tcBorders>
          </w:tcPr>
          <w:p w14:paraId="4A128B1F" w14:textId="77777777" w:rsidR="00E13BC7" w:rsidRPr="004D39BF" w:rsidRDefault="00E13BC7" w:rsidP="00E13BC7">
            <w:pPr>
              <w:ind w:left="110" w:hanging="110"/>
              <w:jc w:val="left"/>
              <w:rPr>
                <w:rFonts w:ascii="Arial" w:hAnsi="Arial" w:cs="Arial"/>
                <w:b/>
                <w:bCs/>
              </w:rPr>
            </w:pPr>
            <w:r w:rsidRPr="004D39BF">
              <w:rPr>
                <w:rFonts w:ascii="Arial" w:hAnsi="Arial" w:cs="Arial"/>
                <w:b/>
                <w:bCs/>
              </w:rPr>
              <w:t>UK &amp; Ireland</w:t>
            </w:r>
          </w:p>
        </w:tc>
        <w:tc>
          <w:tcPr>
            <w:tcW w:w="792" w:type="pct"/>
            <w:tcBorders>
              <w:top w:val="single" w:sz="4" w:space="0" w:color="auto"/>
              <w:bottom w:val="single" w:sz="4" w:space="0" w:color="auto"/>
            </w:tcBorders>
            <w:shd w:val="clear" w:color="auto" w:fill="auto"/>
            <w:vAlign w:val="center"/>
          </w:tcPr>
          <w:p w14:paraId="44700359" w14:textId="635B0007" w:rsidR="00E13BC7" w:rsidRPr="00AB52F3" w:rsidRDefault="002F619E" w:rsidP="00E13BC7">
            <w:pPr>
              <w:ind w:left="110" w:hanging="110"/>
              <w:jc w:val="right"/>
              <w:rPr>
                <w:rFonts w:ascii="Arial" w:hAnsi="Arial" w:cs="Arial"/>
                <w:b/>
                <w:bCs/>
              </w:rPr>
            </w:pPr>
            <w:r w:rsidRPr="00AB52F3">
              <w:rPr>
                <w:rFonts w:ascii="Arial" w:hAnsi="Arial" w:cs="Arial"/>
                <w:b/>
                <w:bCs/>
              </w:rPr>
              <w:t>24,</w:t>
            </w:r>
            <w:r w:rsidR="000863D8">
              <w:rPr>
                <w:rFonts w:ascii="Arial" w:hAnsi="Arial" w:cs="Arial"/>
                <w:b/>
                <w:bCs/>
              </w:rPr>
              <w:t>655</w:t>
            </w:r>
          </w:p>
        </w:tc>
        <w:tc>
          <w:tcPr>
            <w:tcW w:w="661" w:type="pct"/>
            <w:tcBorders>
              <w:top w:val="single" w:sz="4" w:space="0" w:color="auto"/>
              <w:bottom w:val="single" w:sz="4" w:space="0" w:color="auto"/>
            </w:tcBorders>
            <w:shd w:val="clear" w:color="auto" w:fill="auto"/>
            <w:vAlign w:val="center"/>
          </w:tcPr>
          <w:p w14:paraId="183D3411" w14:textId="0C60E806" w:rsidR="00E13BC7" w:rsidRPr="005102CF" w:rsidRDefault="00EC4637" w:rsidP="00E13BC7">
            <w:pPr>
              <w:ind w:left="110" w:hanging="110"/>
              <w:jc w:val="right"/>
              <w:rPr>
                <w:rFonts w:ascii="Arial" w:hAnsi="Arial" w:cs="Arial"/>
                <w:b/>
                <w:bCs/>
              </w:rPr>
            </w:pPr>
            <w:r w:rsidRPr="005102CF">
              <w:rPr>
                <w:rFonts w:ascii="Arial" w:hAnsi="Arial" w:cs="Arial"/>
                <w:b/>
                <w:bCs/>
              </w:rPr>
              <w:t>89</w:t>
            </w:r>
            <w:r w:rsidR="00EE4A15">
              <w:rPr>
                <w:rFonts w:ascii="Arial" w:hAnsi="Arial" w:cs="Arial"/>
                <w:b/>
                <w:bCs/>
              </w:rPr>
              <w:t>4</w:t>
            </w:r>
          </w:p>
        </w:tc>
        <w:tc>
          <w:tcPr>
            <w:tcW w:w="830" w:type="pct"/>
            <w:tcBorders>
              <w:top w:val="single" w:sz="4" w:space="0" w:color="auto"/>
              <w:bottom w:val="single" w:sz="4" w:space="0" w:color="auto"/>
            </w:tcBorders>
            <w:shd w:val="clear" w:color="auto" w:fill="auto"/>
            <w:vAlign w:val="center"/>
          </w:tcPr>
          <w:p w14:paraId="7F0335A1" w14:textId="475743BE" w:rsidR="00E13BC7" w:rsidRPr="005102CF" w:rsidRDefault="00E13BC7" w:rsidP="00E13BC7">
            <w:pPr>
              <w:ind w:left="110" w:hanging="110"/>
              <w:jc w:val="right"/>
              <w:rPr>
                <w:rFonts w:ascii="Arial" w:hAnsi="Arial" w:cs="Arial"/>
                <w:b/>
                <w:bCs/>
              </w:rPr>
            </w:pPr>
            <w:r w:rsidRPr="005102CF">
              <w:rPr>
                <w:rFonts w:ascii="Arial" w:hAnsi="Arial" w:cs="Arial"/>
                <w:b/>
                <w:bCs/>
              </w:rPr>
              <w:t>2,2</w:t>
            </w:r>
            <w:r w:rsidR="002F619E" w:rsidRPr="005102CF">
              <w:rPr>
                <w:rFonts w:ascii="Arial" w:hAnsi="Arial" w:cs="Arial"/>
                <w:b/>
                <w:bCs/>
              </w:rPr>
              <w:t>48</w:t>
            </w:r>
          </w:p>
        </w:tc>
        <w:tc>
          <w:tcPr>
            <w:tcW w:w="735" w:type="pct"/>
            <w:tcBorders>
              <w:top w:val="single" w:sz="4" w:space="0" w:color="auto"/>
              <w:bottom w:val="single" w:sz="4" w:space="0" w:color="auto"/>
            </w:tcBorders>
            <w:shd w:val="clear" w:color="auto" w:fill="auto"/>
            <w:vAlign w:val="center"/>
          </w:tcPr>
          <w:p w14:paraId="392D704D" w14:textId="2125CA2C" w:rsidR="00E13BC7" w:rsidRPr="005102CF" w:rsidRDefault="002F619E" w:rsidP="0005091E">
            <w:pPr>
              <w:ind w:left="110" w:hanging="110"/>
              <w:jc w:val="right"/>
              <w:rPr>
                <w:rFonts w:ascii="Arial" w:hAnsi="Arial" w:cs="Arial"/>
                <w:b/>
                <w:bCs/>
              </w:rPr>
            </w:pPr>
            <w:r w:rsidRPr="005102CF">
              <w:rPr>
                <w:rFonts w:ascii="Arial" w:hAnsi="Arial" w:cs="Arial"/>
                <w:b/>
                <w:bCs/>
              </w:rPr>
              <w:t>50</w:t>
            </w:r>
          </w:p>
        </w:tc>
        <w:tc>
          <w:tcPr>
            <w:tcW w:w="733" w:type="pct"/>
            <w:tcBorders>
              <w:top w:val="single" w:sz="4" w:space="0" w:color="auto"/>
              <w:bottom w:val="single" w:sz="4" w:space="0" w:color="auto"/>
            </w:tcBorders>
            <w:shd w:val="clear" w:color="auto" w:fill="auto"/>
            <w:vAlign w:val="center"/>
          </w:tcPr>
          <w:p w14:paraId="1F3A1BE8" w14:textId="3A8D7B74" w:rsidR="00E13BC7" w:rsidRPr="00F01C34" w:rsidRDefault="005102CF" w:rsidP="0005091E">
            <w:pPr>
              <w:ind w:left="110" w:hanging="110"/>
              <w:jc w:val="right"/>
              <w:rPr>
                <w:rFonts w:ascii="Arial" w:hAnsi="Arial" w:cs="Arial"/>
                <w:b/>
                <w:bCs/>
              </w:rPr>
            </w:pPr>
            <w:r>
              <w:rPr>
                <w:rFonts w:ascii="Arial" w:hAnsi="Arial" w:cs="Arial"/>
                <w:b/>
                <w:bCs/>
              </w:rPr>
              <w:t>-</w:t>
            </w:r>
          </w:p>
        </w:tc>
      </w:tr>
      <w:tr w:rsidR="00E13BC7" w:rsidRPr="004D39BF" w14:paraId="029BE174" w14:textId="77777777" w:rsidTr="004215EF">
        <w:tc>
          <w:tcPr>
            <w:tcW w:w="1249" w:type="pct"/>
            <w:tcBorders>
              <w:top w:val="single" w:sz="4" w:space="0" w:color="auto"/>
            </w:tcBorders>
          </w:tcPr>
          <w:p w14:paraId="757F493E" w14:textId="77777777" w:rsidR="00E13BC7" w:rsidRPr="004D39BF" w:rsidRDefault="00E13BC7" w:rsidP="00E13BC7">
            <w:pPr>
              <w:ind w:left="110" w:hanging="110"/>
              <w:jc w:val="left"/>
              <w:rPr>
                <w:rFonts w:ascii="Arial" w:hAnsi="Arial" w:cs="Arial"/>
              </w:rPr>
            </w:pPr>
            <w:r w:rsidRPr="004D39BF">
              <w:rPr>
                <w:rFonts w:ascii="Arial" w:hAnsi="Arial" w:cs="Arial"/>
              </w:rPr>
              <w:t>Castorama</w:t>
            </w:r>
            <w:r w:rsidRPr="004D39BF" w:rsidDel="00CC3AB5">
              <w:rPr>
                <w:rFonts w:ascii="Arial" w:hAnsi="Arial" w:cs="Arial"/>
              </w:rPr>
              <w:t xml:space="preserve"> </w:t>
            </w:r>
          </w:p>
        </w:tc>
        <w:tc>
          <w:tcPr>
            <w:tcW w:w="792" w:type="pct"/>
            <w:tcBorders>
              <w:top w:val="single" w:sz="4" w:space="0" w:color="auto"/>
            </w:tcBorders>
            <w:shd w:val="clear" w:color="auto" w:fill="auto"/>
            <w:vAlign w:val="center"/>
          </w:tcPr>
          <w:p w14:paraId="2F29D4BF" w14:textId="5600BF56" w:rsidR="00E13BC7" w:rsidRPr="00AB52F3" w:rsidRDefault="00E13BC7" w:rsidP="00E13BC7">
            <w:pPr>
              <w:ind w:left="110" w:hanging="110"/>
              <w:jc w:val="right"/>
              <w:rPr>
                <w:rFonts w:ascii="Arial" w:hAnsi="Arial" w:cs="Arial"/>
              </w:rPr>
            </w:pPr>
            <w:r w:rsidRPr="00AB52F3">
              <w:rPr>
                <w:rFonts w:ascii="Arial" w:hAnsi="Arial" w:cs="Arial"/>
              </w:rPr>
              <w:t>12,</w:t>
            </w:r>
            <w:r w:rsidR="000863D8">
              <w:rPr>
                <w:rFonts w:ascii="Arial" w:hAnsi="Arial" w:cs="Arial"/>
              </w:rPr>
              <w:t>433</w:t>
            </w:r>
          </w:p>
        </w:tc>
        <w:tc>
          <w:tcPr>
            <w:tcW w:w="661" w:type="pct"/>
            <w:tcBorders>
              <w:top w:val="single" w:sz="4" w:space="0" w:color="auto"/>
            </w:tcBorders>
            <w:shd w:val="clear" w:color="auto" w:fill="auto"/>
            <w:vAlign w:val="center"/>
          </w:tcPr>
          <w:p w14:paraId="72D37BB9" w14:textId="1AFA1F00" w:rsidR="00E13BC7" w:rsidRPr="00F01C34" w:rsidRDefault="002F619E" w:rsidP="00E13BC7">
            <w:pPr>
              <w:ind w:left="110" w:hanging="110"/>
              <w:jc w:val="right"/>
              <w:rPr>
                <w:rFonts w:ascii="Arial" w:hAnsi="Arial" w:cs="Arial"/>
              </w:rPr>
            </w:pPr>
            <w:r w:rsidRPr="00F01C34">
              <w:rPr>
                <w:rFonts w:ascii="Arial" w:hAnsi="Arial" w:cs="Arial"/>
              </w:rPr>
              <w:t>101</w:t>
            </w:r>
          </w:p>
        </w:tc>
        <w:tc>
          <w:tcPr>
            <w:tcW w:w="830" w:type="pct"/>
            <w:tcBorders>
              <w:top w:val="single" w:sz="4" w:space="0" w:color="auto"/>
            </w:tcBorders>
            <w:shd w:val="clear" w:color="auto" w:fill="auto"/>
            <w:vAlign w:val="center"/>
          </w:tcPr>
          <w:p w14:paraId="363E6E54" w14:textId="5FC76C16" w:rsidR="00E13BC7" w:rsidRPr="00F01C34" w:rsidRDefault="00E13BC7" w:rsidP="00E13BC7">
            <w:pPr>
              <w:ind w:left="110" w:hanging="110"/>
              <w:jc w:val="right"/>
              <w:rPr>
                <w:rFonts w:ascii="Arial" w:hAnsi="Arial" w:cs="Arial"/>
              </w:rPr>
            </w:pPr>
            <w:r w:rsidRPr="00F01C34">
              <w:rPr>
                <w:rFonts w:ascii="Arial" w:hAnsi="Arial" w:cs="Arial"/>
              </w:rPr>
              <w:t>1,25</w:t>
            </w:r>
            <w:r w:rsidR="002F619E" w:rsidRPr="00F01C34">
              <w:rPr>
                <w:rFonts w:ascii="Arial" w:hAnsi="Arial" w:cs="Arial"/>
              </w:rPr>
              <w:t>0</w:t>
            </w:r>
          </w:p>
        </w:tc>
        <w:tc>
          <w:tcPr>
            <w:tcW w:w="735" w:type="pct"/>
            <w:tcBorders>
              <w:top w:val="single" w:sz="4" w:space="0" w:color="auto"/>
            </w:tcBorders>
            <w:shd w:val="clear" w:color="auto" w:fill="auto"/>
            <w:vAlign w:val="center"/>
          </w:tcPr>
          <w:p w14:paraId="141B6BC1" w14:textId="6B9C8BD6" w:rsidR="00E13BC7" w:rsidRPr="00F01C34" w:rsidRDefault="002F619E" w:rsidP="0005091E">
            <w:pPr>
              <w:ind w:left="110" w:hanging="110"/>
              <w:jc w:val="right"/>
              <w:rPr>
                <w:rFonts w:ascii="Arial" w:hAnsi="Arial" w:cs="Arial"/>
              </w:rPr>
            </w:pPr>
            <w:r w:rsidRPr="00F01C34">
              <w:rPr>
                <w:rFonts w:ascii="Arial" w:hAnsi="Arial" w:cs="Arial"/>
              </w:rPr>
              <w:t>(1)</w:t>
            </w:r>
          </w:p>
        </w:tc>
        <w:tc>
          <w:tcPr>
            <w:tcW w:w="733" w:type="pct"/>
            <w:tcBorders>
              <w:top w:val="single" w:sz="4" w:space="0" w:color="auto"/>
            </w:tcBorders>
            <w:shd w:val="clear" w:color="auto" w:fill="auto"/>
            <w:vAlign w:val="center"/>
          </w:tcPr>
          <w:p w14:paraId="7B01796A" w14:textId="60C5D5C6" w:rsidR="00E13BC7" w:rsidRPr="00F01C34" w:rsidRDefault="00B823FD" w:rsidP="0005091E">
            <w:pPr>
              <w:ind w:left="110" w:hanging="110"/>
              <w:jc w:val="right"/>
              <w:rPr>
                <w:rFonts w:ascii="Arial" w:hAnsi="Arial" w:cs="Arial"/>
              </w:rPr>
            </w:pPr>
            <w:r w:rsidRPr="00F01C34">
              <w:rPr>
                <w:rFonts w:ascii="Arial" w:hAnsi="Arial" w:cs="Arial"/>
              </w:rPr>
              <w:t>(</w:t>
            </w:r>
            <w:proofErr w:type="gramStart"/>
            <w:r w:rsidR="005102CF">
              <w:rPr>
                <w:rFonts w:ascii="Arial" w:hAnsi="Arial" w:cs="Arial"/>
              </w:rPr>
              <w:t>1</w:t>
            </w:r>
            <w:r w:rsidRPr="00F01C34">
              <w:rPr>
                <w:rFonts w:ascii="Arial" w:hAnsi="Arial" w:cs="Arial"/>
              </w:rPr>
              <w:t>)</w:t>
            </w:r>
            <w:r w:rsidR="00E13BC7" w:rsidRPr="00F01C34">
              <w:rPr>
                <w:rFonts w:ascii="Arial" w:hAnsi="Arial" w:cs="Arial"/>
              </w:rPr>
              <w:t>%</w:t>
            </w:r>
            <w:proofErr w:type="gramEnd"/>
          </w:p>
        </w:tc>
      </w:tr>
      <w:tr w:rsidR="00E13BC7" w:rsidRPr="004D39BF" w14:paraId="3BCF802E" w14:textId="77777777" w:rsidTr="004215EF">
        <w:tc>
          <w:tcPr>
            <w:tcW w:w="1249" w:type="pct"/>
            <w:tcBorders>
              <w:bottom w:val="single" w:sz="4" w:space="0" w:color="auto"/>
            </w:tcBorders>
          </w:tcPr>
          <w:p w14:paraId="3124E20E" w14:textId="77777777" w:rsidR="00E13BC7" w:rsidRPr="004D39BF" w:rsidRDefault="00E13BC7" w:rsidP="00E13BC7">
            <w:pPr>
              <w:ind w:left="110" w:hanging="110"/>
              <w:jc w:val="left"/>
              <w:rPr>
                <w:rFonts w:ascii="Arial" w:hAnsi="Arial" w:cs="Arial"/>
              </w:rPr>
            </w:pPr>
            <w:r w:rsidRPr="004D39BF">
              <w:rPr>
                <w:rFonts w:ascii="Arial" w:hAnsi="Arial" w:cs="Arial"/>
              </w:rPr>
              <w:t xml:space="preserve">Brico </w:t>
            </w:r>
            <w:proofErr w:type="spellStart"/>
            <w:r w:rsidRPr="004D39BF">
              <w:rPr>
                <w:rFonts w:ascii="Arial" w:hAnsi="Arial" w:cs="Arial"/>
              </w:rPr>
              <w:t>Dépôt</w:t>
            </w:r>
            <w:proofErr w:type="spellEnd"/>
          </w:p>
        </w:tc>
        <w:tc>
          <w:tcPr>
            <w:tcW w:w="792" w:type="pct"/>
            <w:tcBorders>
              <w:bottom w:val="single" w:sz="4" w:space="0" w:color="auto"/>
            </w:tcBorders>
            <w:shd w:val="clear" w:color="auto" w:fill="auto"/>
            <w:vAlign w:val="center"/>
          </w:tcPr>
          <w:p w14:paraId="6F00EE6E" w14:textId="75B923D3" w:rsidR="00E13BC7" w:rsidRPr="00AB52F3" w:rsidRDefault="00E13BC7" w:rsidP="00E13BC7">
            <w:pPr>
              <w:ind w:left="110" w:hanging="110"/>
              <w:jc w:val="right"/>
              <w:rPr>
                <w:rFonts w:ascii="Arial" w:hAnsi="Arial" w:cs="Arial"/>
              </w:rPr>
            </w:pPr>
            <w:r w:rsidRPr="00AB52F3">
              <w:rPr>
                <w:rFonts w:ascii="Arial" w:hAnsi="Arial" w:cs="Arial"/>
              </w:rPr>
              <w:t>7,</w:t>
            </w:r>
            <w:r w:rsidR="000863D8">
              <w:rPr>
                <w:rFonts w:ascii="Arial" w:hAnsi="Arial" w:cs="Arial"/>
              </w:rPr>
              <w:t>808</w:t>
            </w:r>
          </w:p>
        </w:tc>
        <w:tc>
          <w:tcPr>
            <w:tcW w:w="661" w:type="pct"/>
            <w:tcBorders>
              <w:bottom w:val="single" w:sz="4" w:space="0" w:color="auto"/>
            </w:tcBorders>
            <w:shd w:val="clear" w:color="auto" w:fill="auto"/>
            <w:vAlign w:val="center"/>
          </w:tcPr>
          <w:p w14:paraId="11C7DD69" w14:textId="6E6A23DE" w:rsidR="00E13BC7" w:rsidRPr="00F01C34" w:rsidRDefault="00E13BC7" w:rsidP="00E13BC7">
            <w:pPr>
              <w:ind w:left="110" w:hanging="110"/>
              <w:jc w:val="right"/>
              <w:rPr>
                <w:rFonts w:ascii="Arial" w:hAnsi="Arial" w:cs="Arial"/>
              </w:rPr>
            </w:pPr>
            <w:r w:rsidRPr="00F01C34">
              <w:rPr>
                <w:rFonts w:ascii="Arial" w:hAnsi="Arial" w:cs="Arial"/>
              </w:rPr>
              <w:t>12</w:t>
            </w:r>
            <w:r w:rsidR="002F619E" w:rsidRPr="00F01C34">
              <w:rPr>
                <w:rFonts w:ascii="Arial" w:hAnsi="Arial" w:cs="Arial"/>
              </w:rPr>
              <w:t>3</w:t>
            </w:r>
          </w:p>
        </w:tc>
        <w:tc>
          <w:tcPr>
            <w:tcW w:w="830" w:type="pct"/>
            <w:tcBorders>
              <w:bottom w:val="single" w:sz="4" w:space="0" w:color="auto"/>
            </w:tcBorders>
            <w:shd w:val="clear" w:color="auto" w:fill="auto"/>
            <w:vAlign w:val="center"/>
          </w:tcPr>
          <w:p w14:paraId="3B85CAE7" w14:textId="20A6F575" w:rsidR="00E13BC7" w:rsidRPr="00F01C34" w:rsidRDefault="00E13BC7" w:rsidP="00E13BC7">
            <w:pPr>
              <w:ind w:left="110" w:hanging="110"/>
              <w:jc w:val="right"/>
              <w:rPr>
                <w:rFonts w:ascii="Arial" w:hAnsi="Arial" w:cs="Arial"/>
              </w:rPr>
            </w:pPr>
            <w:r w:rsidRPr="00F01C34">
              <w:rPr>
                <w:rFonts w:ascii="Arial" w:hAnsi="Arial" w:cs="Arial"/>
              </w:rPr>
              <w:t>8</w:t>
            </w:r>
            <w:r w:rsidR="005102CF" w:rsidRPr="00F01C34">
              <w:rPr>
                <w:rFonts w:ascii="Arial" w:hAnsi="Arial" w:cs="Arial"/>
              </w:rPr>
              <w:t>50</w:t>
            </w:r>
          </w:p>
        </w:tc>
        <w:tc>
          <w:tcPr>
            <w:tcW w:w="735" w:type="pct"/>
            <w:tcBorders>
              <w:bottom w:val="single" w:sz="4" w:space="0" w:color="auto"/>
            </w:tcBorders>
            <w:shd w:val="clear" w:color="auto" w:fill="auto"/>
            <w:vAlign w:val="center"/>
          </w:tcPr>
          <w:p w14:paraId="16C5DDE2" w14:textId="35603A91" w:rsidR="00E13BC7" w:rsidRPr="00F01C34" w:rsidRDefault="00E13BC7" w:rsidP="0005091E">
            <w:pPr>
              <w:ind w:left="110" w:hanging="110"/>
              <w:jc w:val="right"/>
              <w:rPr>
                <w:rFonts w:ascii="Arial" w:hAnsi="Arial" w:cs="Arial"/>
              </w:rPr>
            </w:pPr>
            <w:r w:rsidRPr="00F01C34">
              <w:rPr>
                <w:rFonts w:ascii="Arial" w:hAnsi="Arial" w:cs="Arial"/>
              </w:rPr>
              <w:t>2</w:t>
            </w:r>
          </w:p>
        </w:tc>
        <w:tc>
          <w:tcPr>
            <w:tcW w:w="733" w:type="pct"/>
            <w:tcBorders>
              <w:bottom w:val="single" w:sz="4" w:space="0" w:color="auto"/>
            </w:tcBorders>
            <w:shd w:val="clear" w:color="auto" w:fill="auto"/>
            <w:vAlign w:val="center"/>
          </w:tcPr>
          <w:p w14:paraId="3FDDD209" w14:textId="40234BE4" w:rsidR="00E13BC7" w:rsidRPr="00F01C34" w:rsidRDefault="005102CF" w:rsidP="0005091E">
            <w:pPr>
              <w:ind w:left="110" w:hanging="110"/>
              <w:jc w:val="right"/>
              <w:rPr>
                <w:rFonts w:ascii="Arial" w:hAnsi="Arial" w:cs="Arial"/>
              </w:rPr>
            </w:pPr>
            <w:r>
              <w:rPr>
                <w:rFonts w:ascii="Arial" w:hAnsi="Arial" w:cs="Arial"/>
              </w:rPr>
              <w:t>+2</w:t>
            </w:r>
            <w:r w:rsidR="00E13BC7" w:rsidRPr="00F01C34">
              <w:rPr>
                <w:rFonts w:ascii="Arial" w:hAnsi="Arial" w:cs="Arial"/>
              </w:rPr>
              <w:t>%</w:t>
            </w:r>
          </w:p>
        </w:tc>
      </w:tr>
      <w:tr w:rsidR="00E13BC7" w:rsidRPr="004D39BF" w14:paraId="5913C68C" w14:textId="77777777" w:rsidTr="004215EF">
        <w:tc>
          <w:tcPr>
            <w:tcW w:w="1249" w:type="pct"/>
            <w:tcBorders>
              <w:top w:val="single" w:sz="4" w:space="0" w:color="auto"/>
              <w:bottom w:val="single" w:sz="4" w:space="0" w:color="auto"/>
            </w:tcBorders>
          </w:tcPr>
          <w:p w14:paraId="2275478B" w14:textId="77777777" w:rsidR="00E13BC7" w:rsidRPr="004D39BF" w:rsidRDefault="00E13BC7" w:rsidP="00E13BC7">
            <w:pPr>
              <w:ind w:left="110" w:hanging="110"/>
              <w:jc w:val="left"/>
              <w:rPr>
                <w:rFonts w:ascii="Arial" w:hAnsi="Arial" w:cs="Arial"/>
                <w:b/>
                <w:bCs/>
              </w:rPr>
            </w:pPr>
            <w:r w:rsidRPr="004D39BF">
              <w:rPr>
                <w:rFonts w:ascii="Arial" w:hAnsi="Arial" w:cs="Arial"/>
                <w:b/>
                <w:bCs/>
              </w:rPr>
              <w:t>France</w:t>
            </w:r>
          </w:p>
        </w:tc>
        <w:tc>
          <w:tcPr>
            <w:tcW w:w="792" w:type="pct"/>
            <w:tcBorders>
              <w:top w:val="single" w:sz="4" w:space="0" w:color="auto"/>
              <w:bottom w:val="single" w:sz="4" w:space="0" w:color="auto"/>
            </w:tcBorders>
            <w:shd w:val="clear" w:color="auto" w:fill="auto"/>
            <w:vAlign w:val="center"/>
          </w:tcPr>
          <w:p w14:paraId="08466961" w14:textId="5349ECE5" w:rsidR="00E13BC7" w:rsidRPr="00AB52F3" w:rsidRDefault="00E13BC7" w:rsidP="00E13BC7">
            <w:pPr>
              <w:ind w:left="110" w:hanging="110"/>
              <w:jc w:val="right"/>
              <w:rPr>
                <w:rFonts w:ascii="Arial" w:hAnsi="Arial" w:cs="Arial"/>
                <w:b/>
                <w:bCs/>
              </w:rPr>
            </w:pPr>
            <w:r w:rsidRPr="00AB52F3">
              <w:rPr>
                <w:rFonts w:ascii="Arial" w:hAnsi="Arial" w:cs="Arial"/>
                <w:b/>
                <w:bCs/>
              </w:rPr>
              <w:t>20,</w:t>
            </w:r>
            <w:r w:rsidR="000863D8">
              <w:rPr>
                <w:rFonts w:ascii="Arial" w:hAnsi="Arial" w:cs="Arial"/>
                <w:b/>
                <w:bCs/>
              </w:rPr>
              <w:t>241</w:t>
            </w:r>
          </w:p>
        </w:tc>
        <w:tc>
          <w:tcPr>
            <w:tcW w:w="661" w:type="pct"/>
            <w:tcBorders>
              <w:top w:val="single" w:sz="4" w:space="0" w:color="auto"/>
              <w:bottom w:val="single" w:sz="4" w:space="0" w:color="auto"/>
            </w:tcBorders>
            <w:shd w:val="clear" w:color="auto" w:fill="auto"/>
            <w:vAlign w:val="center"/>
          </w:tcPr>
          <w:p w14:paraId="10456577" w14:textId="607AE819" w:rsidR="00E13BC7" w:rsidRPr="00F01C34" w:rsidRDefault="002F619E" w:rsidP="00E13BC7">
            <w:pPr>
              <w:ind w:left="110" w:hanging="110"/>
              <w:jc w:val="right"/>
              <w:rPr>
                <w:rFonts w:ascii="Arial" w:hAnsi="Arial" w:cs="Arial"/>
                <w:b/>
                <w:bCs/>
              </w:rPr>
            </w:pPr>
            <w:r w:rsidRPr="00F01C34">
              <w:rPr>
                <w:rFonts w:ascii="Arial" w:hAnsi="Arial" w:cs="Arial"/>
                <w:b/>
                <w:bCs/>
              </w:rPr>
              <w:t>224</w:t>
            </w:r>
          </w:p>
        </w:tc>
        <w:tc>
          <w:tcPr>
            <w:tcW w:w="830" w:type="pct"/>
            <w:tcBorders>
              <w:top w:val="single" w:sz="4" w:space="0" w:color="auto"/>
              <w:bottom w:val="single" w:sz="4" w:space="0" w:color="auto"/>
            </w:tcBorders>
            <w:shd w:val="clear" w:color="auto" w:fill="auto"/>
            <w:vAlign w:val="center"/>
          </w:tcPr>
          <w:p w14:paraId="515234AF" w14:textId="54860D30" w:rsidR="00E13BC7" w:rsidRPr="00F01C34" w:rsidRDefault="00E13BC7" w:rsidP="00E13BC7">
            <w:pPr>
              <w:ind w:left="110" w:hanging="110"/>
              <w:jc w:val="right"/>
              <w:rPr>
                <w:rFonts w:ascii="Arial" w:hAnsi="Arial" w:cs="Arial"/>
                <w:b/>
                <w:bCs/>
              </w:rPr>
            </w:pPr>
            <w:r w:rsidRPr="00F01C34">
              <w:rPr>
                <w:rFonts w:ascii="Arial" w:hAnsi="Arial" w:cs="Arial"/>
                <w:b/>
                <w:bCs/>
              </w:rPr>
              <w:t>2,</w:t>
            </w:r>
            <w:r w:rsidR="005102CF" w:rsidRPr="00F01C34">
              <w:rPr>
                <w:rFonts w:ascii="Arial" w:hAnsi="Arial" w:cs="Arial"/>
                <w:b/>
                <w:bCs/>
              </w:rPr>
              <w:t>100</w:t>
            </w:r>
          </w:p>
        </w:tc>
        <w:tc>
          <w:tcPr>
            <w:tcW w:w="735" w:type="pct"/>
            <w:tcBorders>
              <w:top w:val="single" w:sz="4" w:space="0" w:color="auto"/>
              <w:bottom w:val="single" w:sz="4" w:space="0" w:color="auto"/>
            </w:tcBorders>
            <w:shd w:val="clear" w:color="auto" w:fill="auto"/>
            <w:vAlign w:val="center"/>
          </w:tcPr>
          <w:p w14:paraId="59BC0F17" w14:textId="2B6924DF" w:rsidR="00E13BC7" w:rsidRPr="00F01C34" w:rsidRDefault="002F619E" w:rsidP="0005091E">
            <w:pPr>
              <w:ind w:left="110" w:hanging="110"/>
              <w:jc w:val="right"/>
              <w:rPr>
                <w:rFonts w:ascii="Arial" w:hAnsi="Arial" w:cs="Arial"/>
                <w:b/>
                <w:bCs/>
              </w:rPr>
            </w:pPr>
            <w:r w:rsidRPr="00F01C34">
              <w:rPr>
                <w:rFonts w:ascii="Arial" w:hAnsi="Arial" w:cs="Arial"/>
                <w:b/>
                <w:bCs/>
              </w:rPr>
              <w:t>1</w:t>
            </w:r>
          </w:p>
        </w:tc>
        <w:tc>
          <w:tcPr>
            <w:tcW w:w="733" w:type="pct"/>
            <w:tcBorders>
              <w:top w:val="single" w:sz="4" w:space="0" w:color="auto"/>
              <w:bottom w:val="single" w:sz="4" w:space="0" w:color="auto"/>
            </w:tcBorders>
            <w:shd w:val="clear" w:color="auto" w:fill="auto"/>
            <w:vAlign w:val="center"/>
          </w:tcPr>
          <w:p w14:paraId="1E9BC651" w14:textId="35B4DCDB" w:rsidR="00E13BC7" w:rsidRPr="00F01C34" w:rsidRDefault="005102CF" w:rsidP="0005091E">
            <w:pPr>
              <w:ind w:left="110" w:hanging="110"/>
              <w:jc w:val="right"/>
              <w:rPr>
                <w:rFonts w:ascii="Arial" w:hAnsi="Arial" w:cs="Arial"/>
                <w:b/>
                <w:bCs/>
              </w:rPr>
            </w:pPr>
            <w:r>
              <w:rPr>
                <w:rFonts w:ascii="Arial" w:hAnsi="Arial" w:cs="Arial"/>
                <w:b/>
                <w:bCs/>
              </w:rPr>
              <w:t>-</w:t>
            </w:r>
          </w:p>
        </w:tc>
      </w:tr>
      <w:tr w:rsidR="00E13BC7" w:rsidRPr="004D39BF" w14:paraId="6CC9AC66" w14:textId="77777777" w:rsidTr="004215EF">
        <w:tc>
          <w:tcPr>
            <w:tcW w:w="1249" w:type="pct"/>
            <w:tcBorders>
              <w:top w:val="single" w:sz="4" w:space="0" w:color="auto"/>
            </w:tcBorders>
          </w:tcPr>
          <w:p w14:paraId="18F35761" w14:textId="77777777" w:rsidR="00E13BC7" w:rsidRPr="004D39BF" w:rsidRDefault="00E13BC7" w:rsidP="00E13BC7">
            <w:pPr>
              <w:spacing w:before="60"/>
              <w:ind w:left="110" w:hanging="110"/>
              <w:jc w:val="left"/>
              <w:rPr>
                <w:rFonts w:ascii="Arial" w:hAnsi="Arial" w:cs="Arial"/>
              </w:rPr>
            </w:pPr>
            <w:r w:rsidRPr="004D39BF">
              <w:rPr>
                <w:rFonts w:ascii="Arial" w:hAnsi="Arial" w:cs="Arial"/>
              </w:rPr>
              <w:t>Poland</w:t>
            </w:r>
          </w:p>
        </w:tc>
        <w:tc>
          <w:tcPr>
            <w:tcW w:w="792" w:type="pct"/>
            <w:tcBorders>
              <w:top w:val="single" w:sz="4" w:space="0" w:color="auto"/>
            </w:tcBorders>
            <w:shd w:val="clear" w:color="auto" w:fill="auto"/>
            <w:vAlign w:val="center"/>
          </w:tcPr>
          <w:p w14:paraId="4A6BF490" w14:textId="5611EE26" w:rsidR="00E13BC7" w:rsidRPr="00AB52F3" w:rsidRDefault="002F619E" w:rsidP="00E13BC7">
            <w:pPr>
              <w:spacing w:before="60"/>
              <w:ind w:left="110" w:hanging="110"/>
              <w:jc w:val="right"/>
              <w:rPr>
                <w:rFonts w:ascii="Arial" w:hAnsi="Arial" w:cs="Arial"/>
              </w:rPr>
            </w:pPr>
            <w:r w:rsidRPr="00AB52F3">
              <w:rPr>
                <w:rFonts w:ascii="Arial" w:hAnsi="Arial" w:cs="Arial"/>
              </w:rPr>
              <w:t>11,</w:t>
            </w:r>
            <w:r w:rsidR="000863D8" w:rsidRPr="00AB52F3">
              <w:rPr>
                <w:rFonts w:ascii="Arial" w:hAnsi="Arial" w:cs="Arial"/>
              </w:rPr>
              <w:t>0</w:t>
            </w:r>
            <w:r w:rsidR="000863D8">
              <w:rPr>
                <w:rFonts w:ascii="Arial" w:hAnsi="Arial" w:cs="Arial"/>
              </w:rPr>
              <w:t>94</w:t>
            </w:r>
          </w:p>
        </w:tc>
        <w:tc>
          <w:tcPr>
            <w:tcW w:w="661" w:type="pct"/>
            <w:tcBorders>
              <w:top w:val="single" w:sz="4" w:space="0" w:color="auto"/>
            </w:tcBorders>
            <w:shd w:val="clear" w:color="auto" w:fill="auto"/>
            <w:vAlign w:val="center"/>
          </w:tcPr>
          <w:p w14:paraId="2A92075D" w14:textId="76897F0B" w:rsidR="00E13BC7" w:rsidRPr="005102CF" w:rsidRDefault="00E13BC7" w:rsidP="00E13BC7">
            <w:pPr>
              <w:spacing w:before="60"/>
              <w:ind w:left="110" w:hanging="110"/>
              <w:jc w:val="right"/>
              <w:rPr>
                <w:rFonts w:ascii="Arial" w:hAnsi="Arial" w:cs="Arial"/>
              </w:rPr>
            </w:pPr>
            <w:r w:rsidRPr="005102CF">
              <w:rPr>
                <w:rFonts w:ascii="Arial" w:hAnsi="Arial" w:cs="Arial"/>
              </w:rPr>
              <w:t>7</w:t>
            </w:r>
            <w:r w:rsidR="005102CF" w:rsidRPr="005102CF">
              <w:rPr>
                <w:rFonts w:ascii="Arial" w:hAnsi="Arial" w:cs="Arial"/>
              </w:rPr>
              <w:t>6</w:t>
            </w:r>
          </w:p>
        </w:tc>
        <w:tc>
          <w:tcPr>
            <w:tcW w:w="830" w:type="pct"/>
            <w:tcBorders>
              <w:top w:val="single" w:sz="4" w:space="0" w:color="auto"/>
            </w:tcBorders>
            <w:shd w:val="clear" w:color="auto" w:fill="auto"/>
            <w:vAlign w:val="center"/>
          </w:tcPr>
          <w:p w14:paraId="3F314677" w14:textId="13DBBFC3" w:rsidR="00E13BC7" w:rsidRPr="005102CF" w:rsidRDefault="00E13BC7" w:rsidP="00E13BC7">
            <w:pPr>
              <w:spacing w:before="60"/>
              <w:ind w:left="110" w:hanging="110"/>
              <w:jc w:val="right"/>
              <w:rPr>
                <w:rFonts w:ascii="Arial" w:hAnsi="Arial" w:cs="Arial"/>
              </w:rPr>
            </w:pPr>
            <w:r w:rsidRPr="005102CF">
              <w:rPr>
                <w:rFonts w:ascii="Arial" w:hAnsi="Arial" w:cs="Arial"/>
              </w:rPr>
              <w:t>6</w:t>
            </w:r>
            <w:r w:rsidR="005102CF" w:rsidRPr="005102CF">
              <w:rPr>
                <w:rFonts w:ascii="Arial" w:hAnsi="Arial" w:cs="Arial"/>
              </w:rPr>
              <w:t>50</w:t>
            </w:r>
          </w:p>
        </w:tc>
        <w:tc>
          <w:tcPr>
            <w:tcW w:w="735" w:type="pct"/>
            <w:tcBorders>
              <w:top w:val="single" w:sz="4" w:space="0" w:color="auto"/>
            </w:tcBorders>
            <w:shd w:val="clear" w:color="auto" w:fill="auto"/>
            <w:vAlign w:val="center"/>
          </w:tcPr>
          <w:p w14:paraId="6069083D" w14:textId="7CB1EC71" w:rsidR="00E13BC7" w:rsidRPr="005102CF" w:rsidRDefault="00C023E5" w:rsidP="0005091E">
            <w:pPr>
              <w:spacing w:before="60"/>
              <w:ind w:left="110" w:hanging="110"/>
              <w:jc w:val="right"/>
              <w:rPr>
                <w:rFonts w:ascii="Arial" w:hAnsi="Arial" w:cs="Arial"/>
              </w:rPr>
            </w:pPr>
            <w:r>
              <w:rPr>
                <w:rFonts w:ascii="Arial" w:hAnsi="Arial" w:cs="Arial"/>
              </w:rPr>
              <w:t>-</w:t>
            </w:r>
          </w:p>
        </w:tc>
        <w:tc>
          <w:tcPr>
            <w:tcW w:w="733" w:type="pct"/>
            <w:tcBorders>
              <w:top w:val="single" w:sz="4" w:space="0" w:color="auto"/>
            </w:tcBorders>
            <w:shd w:val="clear" w:color="auto" w:fill="auto"/>
            <w:vAlign w:val="center"/>
          </w:tcPr>
          <w:p w14:paraId="386DF12A" w14:textId="3D0B5230" w:rsidR="00E13BC7" w:rsidRPr="00F01C34" w:rsidRDefault="00F47679" w:rsidP="0005091E">
            <w:pPr>
              <w:spacing w:before="60"/>
              <w:ind w:left="110" w:hanging="110"/>
              <w:jc w:val="right"/>
              <w:rPr>
                <w:rFonts w:ascii="Arial" w:hAnsi="Arial" w:cs="Arial"/>
              </w:rPr>
            </w:pPr>
            <w:r>
              <w:rPr>
                <w:rFonts w:ascii="Arial" w:hAnsi="Arial" w:cs="Arial"/>
              </w:rPr>
              <w:t>-</w:t>
            </w:r>
          </w:p>
        </w:tc>
      </w:tr>
      <w:tr w:rsidR="00E13BC7" w:rsidRPr="004D39BF" w14:paraId="307583E7" w14:textId="77777777" w:rsidTr="004215EF">
        <w:tc>
          <w:tcPr>
            <w:tcW w:w="1249" w:type="pct"/>
          </w:tcPr>
          <w:p w14:paraId="6A7AC8BF" w14:textId="77777777" w:rsidR="00E13BC7" w:rsidRPr="004D39BF" w:rsidRDefault="00E13BC7" w:rsidP="00E13BC7">
            <w:pPr>
              <w:jc w:val="left"/>
              <w:rPr>
                <w:rFonts w:ascii="Arial" w:hAnsi="Arial" w:cs="Arial"/>
                <w:lang w:val="it-IT"/>
              </w:rPr>
            </w:pPr>
            <w:r w:rsidRPr="004D39BF">
              <w:rPr>
                <w:rFonts w:ascii="Arial" w:hAnsi="Arial" w:cs="Arial"/>
                <w:lang w:val="it-IT"/>
              </w:rPr>
              <w:t>Russia</w:t>
            </w:r>
          </w:p>
        </w:tc>
        <w:tc>
          <w:tcPr>
            <w:tcW w:w="792" w:type="pct"/>
            <w:shd w:val="clear" w:color="auto" w:fill="auto"/>
            <w:vAlign w:val="center"/>
          </w:tcPr>
          <w:p w14:paraId="037425E0" w14:textId="148D25C5" w:rsidR="00E13BC7" w:rsidRPr="00AB52F3" w:rsidRDefault="00E13BC7" w:rsidP="00E13BC7">
            <w:pPr>
              <w:ind w:left="110" w:hanging="110"/>
              <w:jc w:val="right"/>
              <w:rPr>
                <w:rFonts w:ascii="Arial" w:hAnsi="Arial" w:cs="Arial"/>
                <w:lang w:val="it-IT"/>
              </w:rPr>
            </w:pPr>
            <w:r w:rsidRPr="00AB52F3">
              <w:rPr>
                <w:rFonts w:ascii="Arial" w:hAnsi="Arial" w:cs="Arial"/>
              </w:rPr>
              <w:t>3,</w:t>
            </w:r>
            <w:r w:rsidR="000863D8" w:rsidRPr="00AB52F3">
              <w:rPr>
                <w:rFonts w:ascii="Arial" w:hAnsi="Arial" w:cs="Arial"/>
              </w:rPr>
              <w:t>2</w:t>
            </w:r>
            <w:r w:rsidR="000863D8">
              <w:rPr>
                <w:rFonts w:ascii="Arial" w:hAnsi="Arial" w:cs="Arial"/>
              </w:rPr>
              <w:t>80</w:t>
            </w:r>
          </w:p>
        </w:tc>
        <w:tc>
          <w:tcPr>
            <w:tcW w:w="661" w:type="pct"/>
            <w:shd w:val="clear" w:color="auto" w:fill="auto"/>
            <w:vAlign w:val="center"/>
          </w:tcPr>
          <w:p w14:paraId="19DDB7BA" w14:textId="3D2E4593" w:rsidR="00E13BC7" w:rsidRPr="005102CF" w:rsidRDefault="00E13BC7" w:rsidP="00E13BC7">
            <w:pPr>
              <w:ind w:left="110" w:hanging="110"/>
              <w:jc w:val="right"/>
              <w:rPr>
                <w:rFonts w:ascii="Arial" w:hAnsi="Arial" w:cs="Arial"/>
                <w:lang w:val="it-IT"/>
              </w:rPr>
            </w:pPr>
            <w:r w:rsidRPr="005102CF">
              <w:rPr>
                <w:rFonts w:ascii="Arial" w:hAnsi="Arial" w:cs="Arial"/>
              </w:rPr>
              <w:t>2</w:t>
            </w:r>
            <w:r w:rsidR="002F619E" w:rsidRPr="005102CF">
              <w:rPr>
                <w:rFonts w:ascii="Arial" w:hAnsi="Arial" w:cs="Arial"/>
              </w:rPr>
              <w:t>0</w:t>
            </w:r>
          </w:p>
        </w:tc>
        <w:tc>
          <w:tcPr>
            <w:tcW w:w="830" w:type="pct"/>
            <w:shd w:val="clear" w:color="auto" w:fill="auto"/>
            <w:vAlign w:val="center"/>
          </w:tcPr>
          <w:p w14:paraId="69DE1AA2" w14:textId="01DAD93D" w:rsidR="00E13BC7" w:rsidRPr="005102CF" w:rsidRDefault="002F619E" w:rsidP="00E13BC7">
            <w:pPr>
              <w:ind w:left="110" w:hanging="110"/>
              <w:jc w:val="right"/>
              <w:rPr>
                <w:rFonts w:ascii="Arial" w:hAnsi="Arial" w:cs="Arial"/>
                <w:lang w:val="it-IT"/>
              </w:rPr>
            </w:pPr>
            <w:r w:rsidRPr="005102CF">
              <w:rPr>
                <w:rFonts w:ascii="Arial" w:hAnsi="Arial" w:cs="Arial"/>
              </w:rPr>
              <w:t>204</w:t>
            </w:r>
          </w:p>
        </w:tc>
        <w:tc>
          <w:tcPr>
            <w:tcW w:w="735" w:type="pct"/>
            <w:shd w:val="clear" w:color="auto" w:fill="auto"/>
            <w:vAlign w:val="center"/>
          </w:tcPr>
          <w:p w14:paraId="08B09E4F" w14:textId="28E2B109" w:rsidR="00E13BC7" w:rsidRPr="005102CF" w:rsidRDefault="004950FA" w:rsidP="0005091E">
            <w:pPr>
              <w:ind w:left="110" w:hanging="110"/>
              <w:jc w:val="right"/>
              <w:rPr>
                <w:rFonts w:ascii="Arial" w:hAnsi="Arial" w:cs="Arial"/>
                <w:lang w:val="it-IT"/>
              </w:rPr>
            </w:pPr>
            <w:r>
              <w:rPr>
                <w:rFonts w:ascii="Arial" w:hAnsi="Arial" w:cs="Arial"/>
              </w:rPr>
              <w:t>-</w:t>
            </w:r>
          </w:p>
        </w:tc>
        <w:tc>
          <w:tcPr>
            <w:tcW w:w="733" w:type="pct"/>
            <w:shd w:val="clear" w:color="auto" w:fill="auto"/>
            <w:vAlign w:val="center"/>
          </w:tcPr>
          <w:p w14:paraId="7AB5EDED" w14:textId="0CB9660C" w:rsidR="00E13BC7" w:rsidRPr="00F01C34" w:rsidRDefault="005102CF" w:rsidP="0005091E">
            <w:pPr>
              <w:ind w:left="110" w:hanging="110"/>
              <w:jc w:val="right"/>
              <w:rPr>
                <w:rFonts w:ascii="Arial" w:hAnsi="Arial" w:cs="Arial"/>
                <w:lang w:val="it-IT"/>
              </w:rPr>
            </w:pPr>
            <w:r>
              <w:rPr>
                <w:rFonts w:ascii="Arial" w:hAnsi="Arial" w:cs="Arial"/>
              </w:rPr>
              <w:t>+4</w:t>
            </w:r>
            <w:r w:rsidR="002F619E" w:rsidRPr="00F01C34">
              <w:rPr>
                <w:rFonts w:ascii="Arial" w:hAnsi="Arial" w:cs="Arial"/>
              </w:rPr>
              <w:t>%</w:t>
            </w:r>
          </w:p>
        </w:tc>
      </w:tr>
      <w:tr w:rsidR="000863D8" w:rsidRPr="004D39BF" w14:paraId="748E073F" w14:textId="77777777" w:rsidTr="000863D8">
        <w:tc>
          <w:tcPr>
            <w:tcW w:w="1249" w:type="pct"/>
          </w:tcPr>
          <w:p w14:paraId="03D65E7C" w14:textId="7F127BF2" w:rsidR="000863D8" w:rsidRPr="004D39BF" w:rsidRDefault="000863D8" w:rsidP="000863D8">
            <w:pPr>
              <w:jc w:val="left"/>
              <w:rPr>
                <w:rFonts w:ascii="Arial" w:hAnsi="Arial" w:cs="Arial"/>
                <w:lang w:val="it-IT"/>
              </w:rPr>
            </w:pPr>
            <w:r w:rsidRPr="004D39BF">
              <w:rPr>
                <w:rFonts w:ascii="Arial" w:hAnsi="Arial" w:cs="Arial"/>
                <w:lang w:val="it-IT"/>
              </w:rPr>
              <w:t>Romania</w:t>
            </w:r>
          </w:p>
        </w:tc>
        <w:tc>
          <w:tcPr>
            <w:tcW w:w="792" w:type="pct"/>
            <w:shd w:val="clear" w:color="auto" w:fill="auto"/>
            <w:vAlign w:val="center"/>
          </w:tcPr>
          <w:p w14:paraId="51F364EE" w14:textId="0329DC31" w:rsidR="000863D8" w:rsidRPr="00AB52F3" w:rsidRDefault="000863D8" w:rsidP="000863D8">
            <w:pPr>
              <w:ind w:left="110" w:hanging="110"/>
              <w:jc w:val="right"/>
              <w:rPr>
                <w:rFonts w:ascii="Arial" w:hAnsi="Arial" w:cs="Arial"/>
              </w:rPr>
            </w:pPr>
            <w:r w:rsidRPr="00AB52F3">
              <w:rPr>
                <w:rFonts w:ascii="Arial" w:hAnsi="Arial" w:cs="Arial"/>
              </w:rPr>
              <w:t>2,4</w:t>
            </w:r>
            <w:r>
              <w:rPr>
                <w:rFonts w:ascii="Arial" w:hAnsi="Arial" w:cs="Arial"/>
              </w:rPr>
              <w:t>77</w:t>
            </w:r>
          </w:p>
        </w:tc>
        <w:tc>
          <w:tcPr>
            <w:tcW w:w="661" w:type="pct"/>
            <w:shd w:val="clear" w:color="auto" w:fill="auto"/>
            <w:vAlign w:val="center"/>
          </w:tcPr>
          <w:p w14:paraId="0173ECE9" w14:textId="77F0FF37" w:rsidR="000863D8" w:rsidRPr="005102CF" w:rsidRDefault="000863D8" w:rsidP="000863D8">
            <w:pPr>
              <w:ind w:left="110" w:hanging="110"/>
              <w:jc w:val="right"/>
              <w:rPr>
                <w:rFonts w:ascii="Arial" w:hAnsi="Arial" w:cs="Arial"/>
              </w:rPr>
            </w:pPr>
            <w:r w:rsidRPr="005102CF">
              <w:rPr>
                <w:rFonts w:ascii="Arial" w:hAnsi="Arial" w:cs="Arial"/>
              </w:rPr>
              <w:t>38</w:t>
            </w:r>
          </w:p>
        </w:tc>
        <w:tc>
          <w:tcPr>
            <w:tcW w:w="830" w:type="pct"/>
            <w:shd w:val="clear" w:color="auto" w:fill="auto"/>
            <w:vAlign w:val="center"/>
          </w:tcPr>
          <w:p w14:paraId="57545014" w14:textId="737BE2C1" w:rsidR="000863D8" w:rsidRPr="005102CF" w:rsidRDefault="000863D8" w:rsidP="000863D8">
            <w:pPr>
              <w:ind w:left="110" w:hanging="110"/>
              <w:jc w:val="right"/>
              <w:rPr>
                <w:rFonts w:ascii="Arial" w:hAnsi="Arial" w:cs="Arial"/>
              </w:rPr>
            </w:pPr>
            <w:r w:rsidRPr="005102CF">
              <w:rPr>
                <w:rFonts w:ascii="Arial" w:hAnsi="Arial" w:cs="Arial"/>
              </w:rPr>
              <w:t>273</w:t>
            </w:r>
          </w:p>
        </w:tc>
        <w:tc>
          <w:tcPr>
            <w:tcW w:w="735" w:type="pct"/>
            <w:shd w:val="clear" w:color="auto" w:fill="auto"/>
            <w:vAlign w:val="center"/>
          </w:tcPr>
          <w:p w14:paraId="5890FA43" w14:textId="3B12218D" w:rsidR="000863D8" w:rsidRPr="005102CF" w:rsidRDefault="00936EA5" w:rsidP="0005091E">
            <w:pPr>
              <w:ind w:left="110" w:hanging="110"/>
              <w:jc w:val="right"/>
              <w:rPr>
                <w:rFonts w:ascii="Arial" w:hAnsi="Arial" w:cs="Arial"/>
              </w:rPr>
            </w:pPr>
            <w:r>
              <w:rPr>
                <w:rFonts w:ascii="Arial" w:hAnsi="Arial" w:cs="Arial"/>
              </w:rPr>
              <w:t>-</w:t>
            </w:r>
          </w:p>
        </w:tc>
        <w:tc>
          <w:tcPr>
            <w:tcW w:w="733" w:type="pct"/>
            <w:shd w:val="clear" w:color="auto" w:fill="auto"/>
            <w:vAlign w:val="center"/>
          </w:tcPr>
          <w:p w14:paraId="4CDDD054" w14:textId="4B781B13" w:rsidR="000863D8" w:rsidRDefault="006B1A1C" w:rsidP="0005091E">
            <w:pPr>
              <w:ind w:left="110" w:hanging="110"/>
              <w:jc w:val="right"/>
              <w:rPr>
                <w:rFonts w:ascii="Arial" w:hAnsi="Arial" w:cs="Arial"/>
              </w:rPr>
            </w:pPr>
            <w:r>
              <w:rPr>
                <w:rFonts w:ascii="Arial" w:hAnsi="Arial" w:cs="Arial"/>
              </w:rPr>
              <w:t>-</w:t>
            </w:r>
          </w:p>
        </w:tc>
      </w:tr>
      <w:tr w:rsidR="00E13BC7" w:rsidRPr="004D39BF" w14:paraId="34DEDACB" w14:textId="77777777" w:rsidTr="004215EF">
        <w:tc>
          <w:tcPr>
            <w:tcW w:w="1249" w:type="pct"/>
          </w:tcPr>
          <w:p w14:paraId="2751F07D" w14:textId="4394F9E7" w:rsidR="00E13BC7" w:rsidRPr="004D39BF" w:rsidRDefault="000863D8" w:rsidP="00E13BC7">
            <w:pPr>
              <w:jc w:val="left"/>
              <w:rPr>
                <w:rFonts w:ascii="Arial" w:hAnsi="Arial" w:cs="Arial"/>
                <w:lang w:val="it-IT"/>
              </w:rPr>
            </w:pPr>
            <w:r>
              <w:rPr>
                <w:rFonts w:ascii="Arial" w:hAnsi="Arial" w:cs="Arial"/>
                <w:lang w:val="it-IT"/>
              </w:rPr>
              <w:t>Iberia</w:t>
            </w:r>
          </w:p>
        </w:tc>
        <w:tc>
          <w:tcPr>
            <w:tcW w:w="792" w:type="pct"/>
            <w:shd w:val="clear" w:color="auto" w:fill="auto"/>
            <w:vAlign w:val="center"/>
          </w:tcPr>
          <w:p w14:paraId="0D83AE66" w14:textId="33961049" w:rsidR="00E13BC7" w:rsidRPr="00AB52F3" w:rsidRDefault="00E13BC7" w:rsidP="00E13BC7">
            <w:pPr>
              <w:ind w:left="110" w:hanging="110"/>
              <w:jc w:val="right"/>
              <w:rPr>
                <w:rFonts w:ascii="Arial" w:hAnsi="Arial" w:cs="Arial"/>
                <w:lang w:val="it-IT"/>
              </w:rPr>
            </w:pPr>
            <w:r w:rsidRPr="00AB52F3">
              <w:rPr>
                <w:rFonts w:ascii="Arial" w:hAnsi="Arial" w:cs="Arial"/>
              </w:rPr>
              <w:t>1,</w:t>
            </w:r>
            <w:r w:rsidR="000863D8">
              <w:rPr>
                <w:rFonts w:ascii="Arial" w:hAnsi="Arial" w:cs="Arial"/>
              </w:rPr>
              <w:t>995</w:t>
            </w:r>
          </w:p>
        </w:tc>
        <w:tc>
          <w:tcPr>
            <w:tcW w:w="661" w:type="pct"/>
            <w:shd w:val="clear" w:color="auto" w:fill="auto"/>
            <w:vAlign w:val="center"/>
          </w:tcPr>
          <w:p w14:paraId="0FC6415F" w14:textId="1EFB8B86" w:rsidR="00E13BC7" w:rsidRPr="005102CF" w:rsidRDefault="000863D8" w:rsidP="00E13BC7">
            <w:pPr>
              <w:ind w:left="110" w:hanging="110"/>
              <w:jc w:val="right"/>
              <w:rPr>
                <w:rFonts w:ascii="Arial" w:hAnsi="Arial" w:cs="Arial"/>
                <w:lang w:val="it-IT"/>
              </w:rPr>
            </w:pPr>
            <w:r>
              <w:rPr>
                <w:rFonts w:ascii="Arial" w:hAnsi="Arial" w:cs="Arial"/>
              </w:rPr>
              <w:t>31</w:t>
            </w:r>
          </w:p>
        </w:tc>
        <w:tc>
          <w:tcPr>
            <w:tcW w:w="830" w:type="pct"/>
            <w:shd w:val="clear" w:color="auto" w:fill="auto"/>
            <w:vAlign w:val="center"/>
          </w:tcPr>
          <w:p w14:paraId="43C68379" w14:textId="332466B4" w:rsidR="00E13BC7" w:rsidRPr="005102CF" w:rsidRDefault="000863D8" w:rsidP="00E13BC7">
            <w:pPr>
              <w:ind w:left="110" w:hanging="110"/>
              <w:jc w:val="right"/>
              <w:rPr>
                <w:rFonts w:ascii="Arial" w:hAnsi="Arial" w:cs="Arial"/>
                <w:lang w:val="it-IT"/>
              </w:rPr>
            </w:pPr>
            <w:r w:rsidRPr="005102CF">
              <w:rPr>
                <w:rFonts w:ascii="Arial" w:hAnsi="Arial" w:cs="Arial"/>
              </w:rPr>
              <w:t>1</w:t>
            </w:r>
            <w:r>
              <w:rPr>
                <w:rFonts w:ascii="Arial" w:hAnsi="Arial" w:cs="Arial"/>
              </w:rPr>
              <w:t>95</w:t>
            </w:r>
          </w:p>
        </w:tc>
        <w:tc>
          <w:tcPr>
            <w:tcW w:w="735" w:type="pct"/>
            <w:shd w:val="clear" w:color="auto" w:fill="auto"/>
            <w:vAlign w:val="center"/>
          </w:tcPr>
          <w:p w14:paraId="31AE8802" w14:textId="3E994C83" w:rsidR="00E13BC7" w:rsidRPr="005102CF" w:rsidRDefault="00493F9E" w:rsidP="0005091E">
            <w:pPr>
              <w:ind w:left="110" w:hanging="110"/>
              <w:jc w:val="right"/>
              <w:rPr>
                <w:rFonts w:ascii="Arial" w:hAnsi="Arial" w:cs="Arial"/>
                <w:lang w:val="it-IT"/>
              </w:rPr>
            </w:pPr>
            <w:r w:rsidRPr="005102CF">
              <w:rPr>
                <w:rFonts w:ascii="Arial" w:hAnsi="Arial" w:cs="Arial"/>
              </w:rPr>
              <w:t>-</w:t>
            </w:r>
          </w:p>
        </w:tc>
        <w:tc>
          <w:tcPr>
            <w:tcW w:w="733" w:type="pct"/>
            <w:shd w:val="clear" w:color="auto" w:fill="auto"/>
            <w:vAlign w:val="center"/>
          </w:tcPr>
          <w:p w14:paraId="0FA48068" w14:textId="60D12CA1" w:rsidR="00E13BC7" w:rsidRPr="00F01C34" w:rsidRDefault="00E13BC7" w:rsidP="0005091E">
            <w:pPr>
              <w:ind w:left="110" w:hanging="110"/>
              <w:jc w:val="right"/>
              <w:rPr>
                <w:rFonts w:ascii="Arial" w:hAnsi="Arial" w:cs="Arial"/>
                <w:lang w:val="it-IT"/>
              </w:rPr>
            </w:pPr>
            <w:r w:rsidRPr="00F01C34">
              <w:rPr>
                <w:rFonts w:ascii="Arial" w:hAnsi="Arial" w:cs="Arial"/>
              </w:rPr>
              <w:t>-</w:t>
            </w:r>
          </w:p>
        </w:tc>
      </w:tr>
      <w:tr w:rsidR="00E13BC7" w:rsidRPr="004D39BF" w14:paraId="10D62F9E" w14:textId="77777777" w:rsidTr="004215EF">
        <w:tc>
          <w:tcPr>
            <w:tcW w:w="1249" w:type="pct"/>
            <w:tcBorders>
              <w:bottom w:val="single" w:sz="4" w:space="0" w:color="auto"/>
            </w:tcBorders>
          </w:tcPr>
          <w:p w14:paraId="62D313A0" w14:textId="77777777" w:rsidR="00E13BC7" w:rsidRPr="004D39BF" w:rsidRDefault="00E13BC7" w:rsidP="00E13BC7">
            <w:pPr>
              <w:jc w:val="left"/>
              <w:rPr>
                <w:rFonts w:ascii="Arial" w:hAnsi="Arial" w:cs="Arial"/>
                <w:lang w:val="it-IT"/>
              </w:rPr>
            </w:pPr>
            <w:r w:rsidRPr="004D39BF">
              <w:rPr>
                <w:rFonts w:ascii="Arial" w:hAnsi="Arial" w:cs="Arial"/>
                <w:lang w:val="it-IT"/>
              </w:rPr>
              <w:t>Screwfix Germany</w:t>
            </w:r>
          </w:p>
        </w:tc>
        <w:tc>
          <w:tcPr>
            <w:tcW w:w="792" w:type="pct"/>
            <w:tcBorders>
              <w:bottom w:val="single" w:sz="4" w:space="0" w:color="auto"/>
            </w:tcBorders>
            <w:shd w:val="clear" w:color="auto" w:fill="auto"/>
            <w:vAlign w:val="center"/>
          </w:tcPr>
          <w:p w14:paraId="56A4BC9D" w14:textId="1684C4C2" w:rsidR="00E13BC7" w:rsidRPr="00AB52F3" w:rsidRDefault="000863D8" w:rsidP="00E13BC7">
            <w:pPr>
              <w:ind w:left="110" w:hanging="110"/>
              <w:jc w:val="right"/>
              <w:rPr>
                <w:rFonts w:ascii="Arial" w:hAnsi="Arial" w:cs="Arial"/>
                <w:lang w:val="it-IT"/>
              </w:rPr>
            </w:pPr>
            <w:r w:rsidRPr="00AB52F3">
              <w:rPr>
                <w:rFonts w:ascii="Arial" w:hAnsi="Arial" w:cs="Arial"/>
              </w:rPr>
              <w:t>1</w:t>
            </w:r>
            <w:r>
              <w:rPr>
                <w:rFonts w:ascii="Arial" w:hAnsi="Arial" w:cs="Arial"/>
              </w:rPr>
              <w:t>75</w:t>
            </w:r>
          </w:p>
        </w:tc>
        <w:tc>
          <w:tcPr>
            <w:tcW w:w="661" w:type="pct"/>
            <w:tcBorders>
              <w:bottom w:val="single" w:sz="4" w:space="0" w:color="auto"/>
            </w:tcBorders>
            <w:shd w:val="clear" w:color="auto" w:fill="auto"/>
            <w:vAlign w:val="center"/>
          </w:tcPr>
          <w:p w14:paraId="08E4A490" w14:textId="3E74F6FC" w:rsidR="00E13BC7" w:rsidRPr="005102CF" w:rsidRDefault="00E13BC7" w:rsidP="00E13BC7">
            <w:pPr>
              <w:ind w:left="110" w:hanging="110"/>
              <w:jc w:val="right"/>
              <w:rPr>
                <w:rFonts w:ascii="Arial" w:hAnsi="Arial" w:cs="Arial"/>
                <w:lang w:val="it-IT"/>
              </w:rPr>
            </w:pPr>
            <w:r w:rsidRPr="005102CF">
              <w:rPr>
                <w:rFonts w:ascii="Arial" w:hAnsi="Arial" w:cs="Arial"/>
              </w:rPr>
              <w:t>19</w:t>
            </w:r>
          </w:p>
        </w:tc>
        <w:tc>
          <w:tcPr>
            <w:tcW w:w="830" w:type="pct"/>
            <w:tcBorders>
              <w:bottom w:val="single" w:sz="4" w:space="0" w:color="auto"/>
            </w:tcBorders>
            <w:shd w:val="clear" w:color="auto" w:fill="auto"/>
            <w:vAlign w:val="center"/>
          </w:tcPr>
          <w:p w14:paraId="4689CD67" w14:textId="2833F2EC" w:rsidR="00E13BC7" w:rsidRPr="005102CF" w:rsidRDefault="00E13BC7" w:rsidP="00E13BC7">
            <w:pPr>
              <w:ind w:left="110" w:hanging="110"/>
              <w:jc w:val="right"/>
              <w:rPr>
                <w:rFonts w:ascii="Arial" w:hAnsi="Arial" w:cs="Arial"/>
                <w:lang w:val="it-IT"/>
              </w:rPr>
            </w:pPr>
            <w:r w:rsidRPr="005102CF">
              <w:rPr>
                <w:rFonts w:ascii="Arial" w:hAnsi="Arial" w:cs="Arial"/>
              </w:rPr>
              <w:t>1</w:t>
            </w:r>
          </w:p>
        </w:tc>
        <w:tc>
          <w:tcPr>
            <w:tcW w:w="735" w:type="pct"/>
            <w:tcBorders>
              <w:bottom w:val="single" w:sz="4" w:space="0" w:color="auto"/>
            </w:tcBorders>
            <w:shd w:val="clear" w:color="auto" w:fill="auto"/>
            <w:vAlign w:val="center"/>
          </w:tcPr>
          <w:p w14:paraId="2F99BEE3" w14:textId="1A192152" w:rsidR="00E13BC7" w:rsidRPr="005102CF" w:rsidRDefault="00493F9E" w:rsidP="0005091E">
            <w:pPr>
              <w:ind w:left="110" w:hanging="110"/>
              <w:jc w:val="right"/>
              <w:rPr>
                <w:rFonts w:ascii="Arial" w:hAnsi="Arial" w:cs="Arial"/>
                <w:lang w:val="it-IT"/>
              </w:rPr>
            </w:pPr>
            <w:r w:rsidRPr="005102CF">
              <w:rPr>
                <w:rFonts w:ascii="Arial" w:hAnsi="Arial" w:cs="Arial"/>
              </w:rPr>
              <w:t>-</w:t>
            </w:r>
          </w:p>
        </w:tc>
        <w:tc>
          <w:tcPr>
            <w:tcW w:w="733" w:type="pct"/>
            <w:tcBorders>
              <w:bottom w:val="single" w:sz="4" w:space="0" w:color="auto"/>
            </w:tcBorders>
            <w:shd w:val="clear" w:color="auto" w:fill="auto"/>
            <w:vAlign w:val="center"/>
          </w:tcPr>
          <w:p w14:paraId="383CD578" w14:textId="180546F6" w:rsidR="00E13BC7" w:rsidRPr="00F01C34" w:rsidRDefault="00E13BC7" w:rsidP="0005091E">
            <w:pPr>
              <w:ind w:left="110" w:hanging="110"/>
              <w:jc w:val="right"/>
              <w:rPr>
                <w:rFonts w:ascii="Arial" w:hAnsi="Arial" w:cs="Arial"/>
                <w:lang w:val="it-IT"/>
              </w:rPr>
            </w:pPr>
            <w:r w:rsidRPr="00F01C34">
              <w:rPr>
                <w:rFonts w:ascii="Arial" w:hAnsi="Arial" w:cs="Arial"/>
              </w:rPr>
              <w:t>-</w:t>
            </w:r>
          </w:p>
        </w:tc>
      </w:tr>
      <w:tr w:rsidR="00E13BC7" w:rsidRPr="004D39BF" w14:paraId="263C6D83" w14:textId="77777777" w:rsidTr="004215EF">
        <w:tc>
          <w:tcPr>
            <w:tcW w:w="1249" w:type="pct"/>
            <w:tcBorders>
              <w:top w:val="single" w:sz="4" w:space="0" w:color="auto"/>
              <w:bottom w:val="single" w:sz="4" w:space="0" w:color="auto"/>
            </w:tcBorders>
          </w:tcPr>
          <w:p w14:paraId="03ED7DC5" w14:textId="77777777" w:rsidR="00E13BC7" w:rsidRPr="004D39BF" w:rsidRDefault="00E13BC7" w:rsidP="00E13BC7">
            <w:pPr>
              <w:jc w:val="left"/>
              <w:rPr>
                <w:rFonts w:ascii="Arial" w:hAnsi="Arial" w:cs="Arial"/>
                <w:b/>
                <w:bCs/>
              </w:rPr>
            </w:pPr>
            <w:r w:rsidRPr="004D39BF">
              <w:rPr>
                <w:rFonts w:ascii="Arial" w:hAnsi="Arial" w:cs="Arial"/>
                <w:b/>
                <w:bCs/>
              </w:rPr>
              <w:t>Other International</w:t>
            </w:r>
          </w:p>
        </w:tc>
        <w:tc>
          <w:tcPr>
            <w:tcW w:w="792" w:type="pct"/>
            <w:tcBorders>
              <w:top w:val="single" w:sz="4" w:space="0" w:color="auto"/>
              <w:bottom w:val="single" w:sz="4" w:space="0" w:color="auto"/>
            </w:tcBorders>
            <w:shd w:val="clear" w:color="auto" w:fill="auto"/>
            <w:vAlign w:val="center"/>
          </w:tcPr>
          <w:p w14:paraId="48FE98FA" w14:textId="577A5BB2" w:rsidR="00E13BC7" w:rsidRPr="00AB52F3" w:rsidRDefault="00E13BC7" w:rsidP="00E13BC7">
            <w:pPr>
              <w:ind w:left="110" w:hanging="110"/>
              <w:jc w:val="right"/>
              <w:rPr>
                <w:rFonts w:ascii="Arial" w:hAnsi="Arial" w:cs="Arial"/>
                <w:b/>
                <w:bCs/>
              </w:rPr>
            </w:pPr>
            <w:r w:rsidRPr="00AB52F3">
              <w:rPr>
                <w:rFonts w:ascii="Arial" w:hAnsi="Arial" w:cs="Arial"/>
                <w:b/>
                <w:bCs/>
              </w:rPr>
              <w:t>1</w:t>
            </w:r>
            <w:r w:rsidR="00936EA5">
              <w:rPr>
                <w:rFonts w:ascii="Arial" w:hAnsi="Arial" w:cs="Arial"/>
                <w:b/>
                <w:bCs/>
              </w:rPr>
              <w:t>9</w:t>
            </w:r>
            <w:r w:rsidR="002F619E" w:rsidRPr="00AB52F3">
              <w:rPr>
                <w:rFonts w:ascii="Arial" w:hAnsi="Arial" w:cs="Arial"/>
                <w:b/>
                <w:bCs/>
              </w:rPr>
              <w:t>,</w:t>
            </w:r>
            <w:r w:rsidR="00936EA5">
              <w:rPr>
                <w:rFonts w:ascii="Arial" w:hAnsi="Arial" w:cs="Arial"/>
                <w:b/>
                <w:bCs/>
              </w:rPr>
              <w:t>021</w:t>
            </w:r>
          </w:p>
        </w:tc>
        <w:tc>
          <w:tcPr>
            <w:tcW w:w="661" w:type="pct"/>
            <w:tcBorders>
              <w:top w:val="single" w:sz="4" w:space="0" w:color="auto"/>
              <w:bottom w:val="single" w:sz="4" w:space="0" w:color="auto"/>
            </w:tcBorders>
            <w:shd w:val="clear" w:color="auto" w:fill="auto"/>
            <w:vAlign w:val="center"/>
          </w:tcPr>
          <w:p w14:paraId="6A3F8150" w14:textId="3F8C9687" w:rsidR="00E13BC7" w:rsidRPr="005102CF" w:rsidRDefault="002F619E" w:rsidP="00E13BC7">
            <w:pPr>
              <w:ind w:left="110" w:hanging="110"/>
              <w:jc w:val="right"/>
              <w:rPr>
                <w:rFonts w:ascii="Arial" w:hAnsi="Arial" w:cs="Arial"/>
                <w:b/>
                <w:bCs/>
              </w:rPr>
            </w:pPr>
            <w:r w:rsidRPr="005102CF">
              <w:rPr>
                <w:rFonts w:ascii="Arial" w:hAnsi="Arial" w:cs="Arial"/>
                <w:b/>
                <w:bCs/>
              </w:rPr>
              <w:t>18</w:t>
            </w:r>
            <w:r w:rsidR="005102CF" w:rsidRPr="005102CF">
              <w:rPr>
                <w:rFonts w:ascii="Arial" w:hAnsi="Arial" w:cs="Arial"/>
                <w:b/>
                <w:bCs/>
              </w:rPr>
              <w:t>4</w:t>
            </w:r>
          </w:p>
        </w:tc>
        <w:tc>
          <w:tcPr>
            <w:tcW w:w="830" w:type="pct"/>
            <w:tcBorders>
              <w:top w:val="single" w:sz="4" w:space="0" w:color="auto"/>
              <w:bottom w:val="single" w:sz="4" w:space="0" w:color="auto"/>
            </w:tcBorders>
            <w:shd w:val="clear" w:color="auto" w:fill="auto"/>
            <w:vAlign w:val="center"/>
          </w:tcPr>
          <w:p w14:paraId="2150D9BE" w14:textId="0F778D6A" w:rsidR="00E13BC7" w:rsidRPr="005102CF" w:rsidRDefault="00E13BC7" w:rsidP="00E13BC7">
            <w:pPr>
              <w:ind w:left="110" w:hanging="110"/>
              <w:jc w:val="right"/>
              <w:rPr>
                <w:rFonts w:ascii="Arial" w:hAnsi="Arial" w:cs="Arial"/>
                <w:b/>
                <w:bCs/>
              </w:rPr>
            </w:pPr>
            <w:r w:rsidRPr="005102CF">
              <w:rPr>
                <w:rFonts w:ascii="Arial" w:hAnsi="Arial" w:cs="Arial"/>
                <w:b/>
                <w:bCs/>
              </w:rPr>
              <w:t>1,</w:t>
            </w:r>
            <w:r w:rsidR="002F619E" w:rsidRPr="005102CF">
              <w:rPr>
                <w:rFonts w:ascii="Arial" w:hAnsi="Arial" w:cs="Arial"/>
                <w:b/>
                <w:bCs/>
              </w:rPr>
              <w:t>3</w:t>
            </w:r>
            <w:r w:rsidR="005102CF" w:rsidRPr="005102CF">
              <w:rPr>
                <w:rFonts w:ascii="Arial" w:hAnsi="Arial" w:cs="Arial"/>
                <w:b/>
                <w:bCs/>
              </w:rPr>
              <w:t>23</w:t>
            </w:r>
          </w:p>
        </w:tc>
        <w:tc>
          <w:tcPr>
            <w:tcW w:w="735" w:type="pct"/>
            <w:tcBorders>
              <w:top w:val="single" w:sz="4" w:space="0" w:color="auto"/>
              <w:bottom w:val="single" w:sz="4" w:space="0" w:color="auto"/>
            </w:tcBorders>
            <w:shd w:val="clear" w:color="auto" w:fill="auto"/>
            <w:vAlign w:val="center"/>
          </w:tcPr>
          <w:p w14:paraId="35BE1548" w14:textId="59C11C0D" w:rsidR="00E13BC7" w:rsidRPr="005102CF" w:rsidRDefault="00C023E5" w:rsidP="0005091E">
            <w:pPr>
              <w:ind w:left="110" w:hanging="110"/>
              <w:jc w:val="right"/>
              <w:rPr>
                <w:rFonts w:ascii="Arial" w:hAnsi="Arial" w:cs="Arial"/>
                <w:b/>
                <w:bCs/>
              </w:rPr>
            </w:pPr>
            <w:r>
              <w:rPr>
                <w:rFonts w:ascii="Arial" w:hAnsi="Arial" w:cs="Arial"/>
                <w:b/>
                <w:bCs/>
              </w:rPr>
              <w:t>-</w:t>
            </w:r>
          </w:p>
        </w:tc>
        <w:tc>
          <w:tcPr>
            <w:tcW w:w="733" w:type="pct"/>
            <w:tcBorders>
              <w:top w:val="single" w:sz="4" w:space="0" w:color="auto"/>
              <w:bottom w:val="single" w:sz="4" w:space="0" w:color="auto"/>
            </w:tcBorders>
            <w:shd w:val="clear" w:color="auto" w:fill="auto"/>
            <w:vAlign w:val="center"/>
          </w:tcPr>
          <w:p w14:paraId="58433B07" w14:textId="130C5BD8" w:rsidR="00E13BC7" w:rsidRPr="00F01C34" w:rsidRDefault="00F47679" w:rsidP="0005091E">
            <w:pPr>
              <w:ind w:left="110" w:hanging="110"/>
              <w:jc w:val="right"/>
              <w:rPr>
                <w:rFonts w:ascii="Arial" w:hAnsi="Arial" w:cs="Arial"/>
                <w:b/>
                <w:bCs/>
              </w:rPr>
            </w:pPr>
            <w:r>
              <w:rPr>
                <w:rFonts w:ascii="Arial" w:hAnsi="Arial" w:cs="Arial"/>
                <w:b/>
                <w:bCs/>
              </w:rPr>
              <w:t>-</w:t>
            </w:r>
          </w:p>
        </w:tc>
      </w:tr>
      <w:tr w:rsidR="00E13BC7" w:rsidRPr="00667C8E" w14:paraId="6E94D097" w14:textId="77777777" w:rsidTr="00F74468">
        <w:trPr>
          <w:trHeight w:val="149"/>
        </w:trPr>
        <w:tc>
          <w:tcPr>
            <w:tcW w:w="1249" w:type="pct"/>
            <w:tcBorders>
              <w:top w:val="single" w:sz="4" w:space="0" w:color="auto"/>
              <w:bottom w:val="single" w:sz="4" w:space="0" w:color="auto"/>
            </w:tcBorders>
          </w:tcPr>
          <w:p w14:paraId="7741F8A1" w14:textId="78325639" w:rsidR="00E13BC7" w:rsidRPr="004D39BF" w:rsidRDefault="00E13BC7" w:rsidP="00E13BC7">
            <w:pPr>
              <w:spacing w:before="100"/>
              <w:ind w:left="108" w:hanging="108"/>
              <w:jc w:val="left"/>
              <w:rPr>
                <w:rFonts w:ascii="Arial" w:hAnsi="Arial" w:cs="Arial"/>
                <w:b/>
                <w:bCs/>
              </w:rPr>
            </w:pPr>
            <w:r w:rsidRPr="004D39BF">
              <w:rPr>
                <w:rFonts w:ascii="Arial" w:hAnsi="Arial" w:cs="Arial"/>
                <w:b/>
                <w:bCs/>
              </w:rPr>
              <w:t xml:space="preserve">Total </w:t>
            </w:r>
          </w:p>
        </w:tc>
        <w:tc>
          <w:tcPr>
            <w:tcW w:w="792" w:type="pct"/>
            <w:tcBorders>
              <w:top w:val="single" w:sz="4" w:space="0" w:color="auto"/>
              <w:bottom w:val="single" w:sz="4" w:space="0" w:color="auto"/>
            </w:tcBorders>
            <w:shd w:val="clear" w:color="auto" w:fill="auto"/>
            <w:vAlign w:val="center"/>
          </w:tcPr>
          <w:p w14:paraId="38EC219D" w14:textId="5058E64A" w:rsidR="00E13BC7" w:rsidRPr="00AB52F3" w:rsidRDefault="002F619E" w:rsidP="00E13BC7">
            <w:pPr>
              <w:spacing w:before="100"/>
              <w:ind w:left="108" w:hanging="108"/>
              <w:jc w:val="right"/>
              <w:rPr>
                <w:rFonts w:ascii="Arial" w:hAnsi="Arial" w:cs="Arial"/>
                <w:b/>
                <w:bCs/>
              </w:rPr>
            </w:pPr>
            <w:r w:rsidRPr="00AB52F3">
              <w:rPr>
                <w:rFonts w:ascii="Arial" w:hAnsi="Arial" w:cs="Arial"/>
                <w:b/>
                <w:bCs/>
              </w:rPr>
              <w:t>63,</w:t>
            </w:r>
            <w:r w:rsidR="00936EA5">
              <w:rPr>
                <w:rFonts w:ascii="Arial" w:hAnsi="Arial" w:cs="Arial"/>
                <w:b/>
                <w:bCs/>
              </w:rPr>
              <w:t>917</w:t>
            </w:r>
          </w:p>
        </w:tc>
        <w:tc>
          <w:tcPr>
            <w:tcW w:w="661" w:type="pct"/>
            <w:tcBorders>
              <w:top w:val="single" w:sz="4" w:space="0" w:color="auto"/>
              <w:bottom w:val="single" w:sz="4" w:space="0" w:color="auto"/>
            </w:tcBorders>
            <w:shd w:val="clear" w:color="auto" w:fill="auto"/>
            <w:vAlign w:val="center"/>
          </w:tcPr>
          <w:p w14:paraId="55D257E1" w14:textId="765CC0D1" w:rsidR="00E13BC7" w:rsidRPr="005102CF" w:rsidRDefault="00E13BC7" w:rsidP="00E13BC7">
            <w:pPr>
              <w:spacing w:before="100"/>
              <w:ind w:left="108" w:hanging="108"/>
              <w:jc w:val="right"/>
              <w:rPr>
                <w:rFonts w:ascii="Arial" w:hAnsi="Arial" w:cs="Arial"/>
                <w:b/>
                <w:bCs/>
              </w:rPr>
            </w:pPr>
            <w:r w:rsidRPr="005102CF">
              <w:rPr>
                <w:rFonts w:ascii="Arial" w:hAnsi="Arial" w:cs="Arial"/>
                <w:b/>
                <w:bCs/>
              </w:rPr>
              <w:t>1,</w:t>
            </w:r>
            <w:r w:rsidR="00EC4637" w:rsidRPr="005102CF">
              <w:rPr>
                <w:rFonts w:ascii="Arial" w:hAnsi="Arial" w:cs="Arial"/>
                <w:b/>
                <w:bCs/>
              </w:rPr>
              <w:t>30</w:t>
            </w:r>
            <w:r w:rsidR="00EE4A15">
              <w:rPr>
                <w:rFonts w:ascii="Arial" w:hAnsi="Arial" w:cs="Arial"/>
                <w:b/>
                <w:bCs/>
              </w:rPr>
              <w:t>2</w:t>
            </w:r>
          </w:p>
        </w:tc>
        <w:tc>
          <w:tcPr>
            <w:tcW w:w="830" w:type="pct"/>
            <w:tcBorders>
              <w:top w:val="single" w:sz="4" w:space="0" w:color="auto"/>
              <w:bottom w:val="single" w:sz="4" w:space="0" w:color="auto"/>
            </w:tcBorders>
            <w:shd w:val="clear" w:color="auto" w:fill="auto"/>
            <w:vAlign w:val="center"/>
          </w:tcPr>
          <w:p w14:paraId="01823666" w14:textId="115FD410" w:rsidR="00E13BC7" w:rsidRPr="005102CF" w:rsidRDefault="00E13BC7" w:rsidP="00E13BC7">
            <w:pPr>
              <w:spacing w:before="100"/>
              <w:ind w:left="108" w:hanging="108"/>
              <w:jc w:val="right"/>
              <w:rPr>
                <w:rFonts w:ascii="Arial" w:hAnsi="Arial" w:cs="Arial"/>
                <w:b/>
                <w:bCs/>
              </w:rPr>
            </w:pPr>
            <w:r w:rsidRPr="005102CF">
              <w:rPr>
                <w:rFonts w:ascii="Arial" w:hAnsi="Arial" w:cs="Arial"/>
                <w:b/>
                <w:bCs/>
              </w:rPr>
              <w:t>5,</w:t>
            </w:r>
            <w:r w:rsidR="002F619E" w:rsidRPr="005102CF">
              <w:rPr>
                <w:rFonts w:ascii="Arial" w:hAnsi="Arial" w:cs="Arial"/>
                <w:b/>
                <w:bCs/>
              </w:rPr>
              <w:t>6</w:t>
            </w:r>
            <w:r w:rsidR="005102CF" w:rsidRPr="005102CF">
              <w:rPr>
                <w:rFonts w:ascii="Arial" w:hAnsi="Arial" w:cs="Arial"/>
                <w:b/>
                <w:bCs/>
              </w:rPr>
              <w:t>71</w:t>
            </w:r>
          </w:p>
        </w:tc>
        <w:tc>
          <w:tcPr>
            <w:tcW w:w="735" w:type="pct"/>
            <w:tcBorders>
              <w:top w:val="single" w:sz="4" w:space="0" w:color="auto"/>
              <w:bottom w:val="single" w:sz="4" w:space="0" w:color="auto"/>
            </w:tcBorders>
            <w:shd w:val="clear" w:color="auto" w:fill="auto"/>
            <w:vAlign w:val="center"/>
          </w:tcPr>
          <w:p w14:paraId="7B6D8A7E" w14:textId="5C2C3912" w:rsidR="00E13BC7" w:rsidRPr="005102CF" w:rsidRDefault="004D4EB3" w:rsidP="0005091E">
            <w:pPr>
              <w:spacing w:before="100"/>
              <w:ind w:left="108" w:hanging="108"/>
              <w:jc w:val="right"/>
              <w:rPr>
                <w:rFonts w:ascii="Arial" w:hAnsi="Arial" w:cs="Arial"/>
                <w:b/>
                <w:bCs/>
              </w:rPr>
            </w:pPr>
            <w:r>
              <w:rPr>
                <w:rFonts w:ascii="Arial" w:hAnsi="Arial" w:cs="Arial"/>
                <w:b/>
                <w:bCs/>
              </w:rPr>
              <w:t>5</w:t>
            </w:r>
            <w:r w:rsidR="00F47679">
              <w:rPr>
                <w:rFonts w:ascii="Arial" w:hAnsi="Arial" w:cs="Arial"/>
                <w:b/>
                <w:bCs/>
              </w:rPr>
              <w:t>1</w:t>
            </w:r>
          </w:p>
        </w:tc>
        <w:tc>
          <w:tcPr>
            <w:tcW w:w="733" w:type="pct"/>
            <w:tcBorders>
              <w:top w:val="single" w:sz="4" w:space="0" w:color="auto"/>
              <w:bottom w:val="single" w:sz="4" w:space="0" w:color="auto"/>
            </w:tcBorders>
            <w:shd w:val="clear" w:color="auto" w:fill="auto"/>
            <w:vAlign w:val="center"/>
          </w:tcPr>
          <w:p w14:paraId="346700C2" w14:textId="27964BF2" w:rsidR="00E13BC7" w:rsidRPr="00F01C34" w:rsidRDefault="00F47679" w:rsidP="0005091E">
            <w:pPr>
              <w:spacing w:before="100"/>
              <w:ind w:left="108" w:hanging="108"/>
              <w:jc w:val="right"/>
              <w:rPr>
                <w:rFonts w:ascii="Arial" w:hAnsi="Arial" w:cs="Arial"/>
                <w:b/>
                <w:bCs/>
              </w:rPr>
            </w:pPr>
            <w:r>
              <w:rPr>
                <w:rFonts w:ascii="Arial" w:hAnsi="Arial" w:cs="Arial"/>
                <w:b/>
                <w:bCs/>
              </w:rPr>
              <w:t>-</w:t>
            </w:r>
          </w:p>
        </w:tc>
      </w:tr>
    </w:tbl>
    <w:p w14:paraId="4E3A71AC" w14:textId="053933D2" w:rsidR="00CF487E" w:rsidRDefault="007D43ED" w:rsidP="007D43ED">
      <w:pPr>
        <w:jc w:val="left"/>
        <w:rPr>
          <w:rFonts w:ascii="Arial" w:hAnsi="Arial" w:cs="Arial"/>
          <w:sz w:val="18"/>
          <w:szCs w:val="18"/>
        </w:rPr>
      </w:pPr>
      <w:r w:rsidRPr="00440B16">
        <w:rPr>
          <w:rFonts w:ascii="Arial" w:hAnsi="Arial" w:cs="Arial"/>
          <w:bCs/>
          <w:vertAlign w:val="superscript"/>
        </w:rPr>
        <w:t>(</w:t>
      </w:r>
      <w:r w:rsidR="00931630">
        <w:rPr>
          <w:rFonts w:ascii="Arial" w:hAnsi="Arial" w:cs="Arial"/>
          <w:bCs/>
          <w:vertAlign w:val="superscript"/>
        </w:rPr>
        <w:t>1</w:t>
      </w:r>
      <w:r w:rsidRPr="00440B16">
        <w:rPr>
          <w:rFonts w:ascii="Arial" w:hAnsi="Arial" w:cs="Arial"/>
          <w:bCs/>
          <w:vertAlign w:val="superscript"/>
        </w:rPr>
        <w:t xml:space="preserve">) </w:t>
      </w:r>
      <w:r w:rsidRPr="00440B16">
        <w:rPr>
          <w:rFonts w:ascii="Arial" w:hAnsi="Arial" w:cs="Arial"/>
          <w:sz w:val="18"/>
          <w:szCs w:val="18"/>
        </w:rPr>
        <w:t>Screwfix sales area relates to the front of counter area of an outlet</w:t>
      </w:r>
    </w:p>
    <w:bookmarkEnd w:id="53"/>
    <w:p w14:paraId="5294E385" w14:textId="77777777" w:rsidR="007D43ED" w:rsidRPr="0088235B" w:rsidRDefault="007D43ED" w:rsidP="007D43ED">
      <w:pPr>
        <w:pStyle w:val="ListParagraph"/>
        <w:jc w:val="left"/>
        <w:rPr>
          <w:rFonts w:ascii="Arial" w:hAnsi="Arial" w:cs="Arial"/>
          <w:bCs/>
          <w:sz w:val="24"/>
          <w:szCs w:val="24"/>
          <w:highlight w:val="yellow"/>
        </w:rPr>
      </w:pPr>
    </w:p>
    <w:p w14:paraId="1B23B120" w14:textId="77777777" w:rsidR="00434F06" w:rsidRPr="00A845B7" w:rsidRDefault="00434F06" w:rsidP="00434F06">
      <w:pPr>
        <w:jc w:val="left"/>
        <w:rPr>
          <w:rFonts w:ascii="Arial" w:hAnsi="Arial" w:cs="Arial"/>
          <w:b/>
          <w:bCs/>
        </w:rPr>
      </w:pPr>
      <w:r w:rsidRPr="00A845B7">
        <w:rPr>
          <w:rFonts w:ascii="Arial" w:hAnsi="Arial" w:cs="Arial"/>
          <w:b/>
          <w:bCs/>
        </w:rPr>
        <w:t>Income statement:</w:t>
      </w:r>
    </w:p>
    <w:p w14:paraId="434EE4E7" w14:textId="6A5CE535" w:rsidR="00434F06" w:rsidRPr="005B2D1B" w:rsidRDefault="00434F06" w:rsidP="00434F06">
      <w:pPr>
        <w:pStyle w:val="ListParagraph"/>
        <w:numPr>
          <w:ilvl w:val="0"/>
          <w:numId w:val="4"/>
        </w:numPr>
        <w:jc w:val="left"/>
        <w:rPr>
          <w:rFonts w:ascii="Arial" w:hAnsi="Arial" w:cs="Arial"/>
          <w:bCs/>
        </w:rPr>
      </w:pPr>
      <w:r w:rsidRPr="0018703F">
        <w:rPr>
          <w:rFonts w:ascii="Arial" w:hAnsi="Arial" w:cs="Arial"/>
          <w:bCs/>
        </w:rPr>
        <w:t>G</w:t>
      </w:r>
      <w:r>
        <w:rPr>
          <w:rFonts w:ascii="Arial" w:hAnsi="Arial" w:cs="Arial"/>
          <w:bCs/>
        </w:rPr>
        <w:t>roup g</w:t>
      </w:r>
      <w:r w:rsidRPr="005B2D1B">
        <w:rPr>
          <w:rFonts w:ascii="Arial" w:hAnsi="Arial" w:cs="Arial"/>
          <w:bCs/>
        </w:rPr>
        <w:t xml:space="preserve">ross margin </w:t>
      </w:r>
      <w:r>
        <w:rPr>
          <w:rFonts w:ascii="Arial" w:hAnsi="Arial" w:cs="Arial"/>
          <w:bCs/>
        </w:rPr>
        <w:t>to grow</w:t>
      </w:r>
      <w:r w:rsidR="00ED4B95">
        <w:rPr>
          <w:rFonts w:ascii="Arial" w:hAnsi="Arial" w:cs="Arial"/>
          <w:bCs/>
        </w:rPr>
        <w:t xml:space="preserve"> after </w:t>
      </w:r>
      <w:r w:rsidRPr="005B2D1B">
        <w:rPr>
          <w:rFonts w:ascii="Arial" w:hAnsi="Arial" w:cs="Arial"/>
          <w:bCs/>
        </w:rPr>
        <w:t>clearance</w:t>
      </w:r>
      <w:r w:rsidR="00ED4B95">
        <w:rPr>
          <w:rFonts w:ascii="Arial" w:hAnsi="Arial" w:cs="Arial"/>
          <w:bCs/>
        </w:rPr>
        <w:t xml:space="preserve"> costs</w:t>
      </w:r>
      <w:r w:rsidRPr="005B2D1B">
        <w:rPr>
          <w:rFonts w:ascii="Arial" w:hAnsi="Arial" w:cs="Arial"/>
          <w:bCs/>
        </w:rPr>
        <w:t xml:space="preserve"> </w:t>
      </w:r>
    </w:p>
    <w:p w14:paraId="44B0484F" w14:textId="13A1E230" w:rsidR="00434F06" w:rsidRPr="005B2D1B" w:rsidRDefault="00434F06" w:rsidP="00434F06">
      <w:pPr>
        <w:pStyle w:val="ListParagraph"/>
        <w:numPr>
          <w:ilvl w:val="0"/>
          <w:numId w:val="4"/>
        </w:numPr>
        <w:jc w:val="left"/>
        <w:rPr>
          <w:rFonts w:ascii="Arial" w:hAnsi="Arial" w:cs="Arial"/>
          <w:bCs/>
        </w:rPr>
      </w:pPr>
      <w:r w:rsidRPr="005B2D1B">
        <w:rPr>
          <w:rFonts w:ascii="Arial" w:hAnsi="Arial" w:cs="Arial"/>
          <w:bCs/>
        </w:rPr>
        <w:t xml:space="preserve">Underlying profit to include up to </w:t>
      </w:r>
      <w:r>
        <w:rPr>
          <w:rFonts w:ascii="Arial" w:hAnsi="Arial" w:cs="Arial"/>
          <w:bCs/>
        </w:rPr>
        <w:t xml:space="preserve">a further </w:t>
      </w:r>
      <w:r w:rsidRPr="005B2D1B">
        <w:rPr>
          <w:rFonts w:ascii="Arial" w:hAnsi="Arial" w:cs="Arial"/>
          <w:bCs/>
        </w:rPr>
        <w:t>£</w:t>
      </w:r>
      <w:r>
        <w:rPr>
          <w:rFonts w:ascii="Arial" w:hAnsi="Arial" w:cs="Arial"/>
          <w:bCs/>
        </w:rPr>
        <w:t>3</w:t>
      </w:r>
      <w:r w:rsidRPr="005B2D1B">
        <w:rPr>
          <w:rFonts w:ascii="Arial" w:hAnsi="Arial" w:cs="Arial"/>
          <w:bCs/>
        </w:rPr>
        <w:t>0m operational efficiency benefits</w:t>
      </w:r>
    </w:p>
    <w:p w14:paraId="39D2E919" w14:textId="123E7070" w:rsidR="00434F06" w:rsidRPr="00F74486" w:rsidRDefault="00434F06" w:rsidP="00434F06">
      <w:pPr>
        <w:pStyle w:val="ListParagraph"/>
        <w:numPr>
          <w:ilvl w:val="0"/>
          <w:numId w:val="4"/>
        </w:numPr>
        <w:jc w:val="left"/>
        <w:rPr>
          <w:rFonts w:ascii="Arial" w:hAnsi="Arial" w:cs="Arial"/>
          <w:bCs/>
        </w:rPr>
      </w:pPr>
      <w:r w:rsidRPr="00F74486">
        <w:rPr>
          <w:rFonts w:ascii="Arial" w:hAnsi="Arial" w:cs="Arial"/>
          <w:bCs/>
        </w:rPr>
        <w:t xml:space="preserve">Total </w:t>
      </w:r>
      <w:proofErr w:type="gramStart"/>
      <w:r w:rsidRPr="00F74486">
        <w:rPr>
          <w:rFonts w:ascii="Arial" w:hAnsi="Arial" w:cs="Arial"/>
          <w:bCs/>
        </w:rPr>
        <w:t>5 year</w:t>
      </w:r>
      <w:proofErr w:type="gramEnd"/>
      <w:r w:rsidRPr="00F74486">
        <w:rPr>
          <w:rFonts w:ascii="Arial" w:hAnsi="Arial" w:cs="Arial"/>
          <w:bCs/>
        </w:rPr>
        <w:t xml:space="preserve"> transformation costs</w:t>
      </w:r>
      <w:r w:rsidR="005E757F">
        <w:rPr>
          <w:rFonts w:ascii="Arial" w:hAnsi="Arial" w:cs="Arial"/>
          <w:bCs/>
        </w:rPr>
        <w:t>*</w:t>
      </w:r>
      <w:r w:rsidRPr="00F74486">
        <w:rPr>
          <w:rFonts w:ascii="Arial" w:hAnsi="Arial" w:cs="Arial"/>
          <w:bCs/>
        </w:rPr>
        <w:t xml:space="preserve"> £800m</w:t>
      </w:r>
      <w:r>
        <w:rPr>
          <w:rFonts w:ascii="Arial" w:hAnsi="Arial" w:cs="Arial"/>
          <w:bCs/>
        </w:rPr>
        <w:t xml:space="preserve"> over 5 years to FY 20/21</w:t>
      </w:r>
    </w:p>
    <w:p w14:paraId="6B453B39" w14:textId="59B38D21" w:rsidR="00434F06" w:rsidRPr="003D6CD7" w:rsidRDefault="00434F06" w:rsidP="00434F06">
      <w:pPr>
        <w:pStyle w:val="ListParagraph"/>
        <w:numPr>
          <w:ilvl w:val="1"/>
          <w:numId w:val="4"/>
        </w:numPr>
        <w:jc w:val="left"/>
        <w:rPr>
          <w:rFonts w:ascii="Arial" w:hAnsi="Arial" w:cs="Arial"/>
          <w:bCs/>
        </w:rPr>
      </w:pPr>
      <w:r w:rsidRPr="00F74486">
        <w:rPr>
          <w:rFonts w:ascii="Arial" w:hAnsi="Arial" w:cs="Arial"/>
          <w:bCs/>
        </w:rPr>
        <w:t>Transformation P&amp;L</w:t>
      </w:r>
      <w:r w:rsidR="00263F48">
        <w:rPr>
          <w:rFonts w:ascii="Arial" w:hAnsi="Arial" w:cs="Arial"/>
          <w:bCs/>
        </w:rPr>
        <w:t xml:space="preserve"> costs</w:t>
      </w:r>
      <w:r w:rsidR="005E757F">
        <w:rPr>
          <w:rFonts w:ascii="Arial" w:hAnsi="Arial" w:cs="Arial"/>
          <w:bCs/>
        </w:rPr>
        <w:t>*</w:t>
      </w:r>
      <w:r>
        <w:rPr>
          <w:rFonts w:ascii="Arial" w:hAnsi="Arial" w:cs="Arial"/>
          <w:bCs/>
        </w:rPr>
        <w:t xml:space="preserve"> </w:t>
      </w:r>
      <w:r w:rsidRPr="00F74486">
        <w:rPr>
          <w:rFonts w:ascii="Arial" w:hAnsi="Arial" w:cs="Arial"/>
          <w:bCs/>
        </w:rPr>
        <w:t xml:space="preserve">expected to be </w:t>
      </w:r>
      <w:r w:rsidRPr="00217A57">
        <w:rPr>
          <w:rFonts w:ascii="Arial" w:hAnsi="Arial" w:cs="Arial"/>
          <w:bCs/>
        </w:rPr>
        <w:t>c.£13</w:t>
      </w:r>
      <w:r w:rsidR="0076069A" w:rsidRPr="00F74468">
        <w:rPr>
          <w:rFonts w:ascii="Arial" w:hAnsi="Arial" w:cs="Arial"/>
          <w:bCs/>
        </w:rPr>
        <w:t>5</w:t>
      </w:r>
      <w:r w:rsidRPr="00217A57">
        <w:rPr>
          <w:rFonts w:ascii="Arial" w:hAnsi="Arial" w:cs="Arial"/>
          <w:bCs/>
        </w:rPr>
        <w:t xml:space="preserve">m </w:t>
      </w:r>
      <w:r w:rsidR="00263F48" w:rsidRPr="00217A57">
        <w:rPr>
          <w:rFonts w:ascii="Arial" w:hAnsi="Arial" w:cs="Arial"/>
          <w:bCs/>
        </w:rPr>
        <w:t xml:space="preserve">in </w:t>
      </w:r>
      <w:r w:rsidR="00263F48" w:rsidRPr="003D6CD7">
        <w:rPr>
          <w:rFonts w:ascii="Arial" w:hAnsi="Arial" w:cs="Arial"/>
          <w:bCs/>
        </w:rPr>
        <w:t>FY 18/19</w:t>
      </w:r>
    </w:p>
    <w:p w14:paraId="59FDDD10" w14:textId="583A1409" w:rsidR="00434F06" w:rsidRPr="00F74486" w:rsidRDefault="00434F06" w:rsidP="00434F06">
      <w:pPr>
        <w:pStyle w:val="ListParagraph"/>
        <w:numPr>
          <w:ilvl w:val="1"/>
          <w:numId w:val="4"/>
        </w:numPr>
        <w:jc w:val="left"/>
        <w:rPr>
          <w:rFonts w:ascii="Arial" w:hAnsi="Arial" w:cs="Arial"/>
          <w:bCs/>
        </w:rPr>
      </w:pPr>
      <w:r w:rsidRPr="003D6CD7">
        <w:rPr>
          <w:rFonts w:ascii="Arial" w:hAnsi="Arial" w:cs="Arial"/>
          <w:bCs/>
        </w:rPr>
        <w:t>Transformation exceptional costs expected to be c.£5</w:t>
      </w:r>
      <w:r w:rsidR="0076069A" w:rsidRPr="00F74468">
        <w:rPr>
          <w:rFonts w:ascii="Arial" w:hAnsi="Arial" w:cs="Arial"/>
          <w:bCs/>
        </w:rPr>
        <w:t>5</w:t>
      </w:r>
      <w:r w:rsidRPr="00217A57">
        <w:rPr>
          <w:rFonts w:ascii="Arial" w:hAnsi="Arial" w:cs="Arial"/>
          <w:bCs/>
        </w:rPr>
        <w:t>m</w:t>
      </w:r>
      <w:r w:rsidR="00263F48">
        <w:rPr>
          <w:rFonts w:ascii="Arial" w:hAnsi="Arial" w:cs="Arial"/>
          <w:bCs/>
        </w:rPr>
        <w:t xml:space="preserve"> in </w:t>
      </w:r>
      <w:r w:rsidR="00263F48" w:rsidRPr="00F74486">
        <w:rPr>
          <w:rFonts w:ascii="Arial" w:hAnsi="Arial" w:cs="Arial"/>
          <w:bCs/>
        </w:rPr>
        <w:t>FY 18</w:t>
      </w:r>
      <w:r w:rsidR="00263F48" w:rsidRPr="003F0FF4">
        <w:rPr>
          <w:rFonts w:ascii="Arial" w:hAnsi="Arial" w:cs="Arial"/>
          <w:bCs/>
        </w:rPr>
        <w:t>/19</w:t>
      </w:r>
    </w:p>
    <w:p w14:paraId="1A4E1057" w14:textId="7B876FFE" w:rsidR="00F3093B" w:rsidRPr="00ED4B95" w:rsidRDefault="00F3093B" w:rsidP="00434F06">
      <w:pPr>
        <w:pStyle w:val="ListParagraph"/>
        <w:numPr>
          <w:ilvl w:val="0"/>
          <w:numId w:val="4"/>
        </w:numPr>
        <w:jc w:val="left"/>
        <w:rPr>
          <w:rFonts w:ascii="Arial" w:hAnsi="Arial" w:cs="Arial"/>
          <w:bCs/>
        </w:rPr>
      </w:pPr>
      <w:bookmarkStart w:id="54" w:name="_Hlk524463861"/>
      <w:r w:rsidRPr="004215EF">
        <w:rPr>
          <w:rFonts w:ascii="Arial" w:hAnsi="Arial" w:cs="Arial"/>
          <w:bCs/>
        </w:rPr>
        <w:t xml:space="preserve">B&amp;Q </w:t>
      </w:r>
      <w:r w:rsidR="0027498B" w:rsidRPr="004215EF">
        <w:rPr>
          <w:rFonts w:ascii="Arial" w:hAnsi="Arial" w:cs="Arial"/>
          <w:bCs/>
        </w:rPr>
        <w:t>discontinuation of</w:t>
      </w:r>
      <w:r w:rsidRPr="004215EF">
        <w:rPr>
          <w:rFonts w:ascii="Arial" w:hAnsi="Arial" w:cs="Arial"/>
          <w:bCs/>
        </w:rPr>
        <w:t xml:space="preserve"> showroom installation </w:t>
      </w:r>
      <w:r w:rsidR="0027498B" w:rsidRPr="004215EF">
        <w:rPr>
          <w:rFonts w:ascii="Arial" w:hAnsi="Arial" w:cs="Arial"/>
          <w:bCs/>
        </w:rPr>
        <w:t>expected</w:t>
      </w:r>
      <w:r w:rsidR="00A24514" w:rsidRPr="004215EF">
        <w:rPr>
          <w:rFonts w:ascii="Arial" w:hAnsi="Arial" w:cs="Arial"/>
          <w:bCs/>
        </w:rPr>
        <w:t xml:space="preserve"> to</w:t>
      </w:r>
      <w:r w:rsidR="0027498B" w:rsidRPr="004215EF">
        <w:rPr>
          <w:rFonts w:ascii="Arial" w:hAnsi="Arial" w:cs="Arial"/>
          <w:bCs/>
        </w:rPr>
        <w:t xml:space="preserve"> </w:t>
      </w:r>
      <w:r w:rsidR="007D2F1A" w:rsidRPr="004215EF">
        <w:rPr>
          <w:rFonts w:ascii="Arial" w:hAnsi="Arial" w:cs="Arial"/>
          <w:bCs/>
        </w:rPr>
        <w:t>impact</w:t>
      </w:r>
      <w:r w:rsidR="0027498B" w:rsidRPr="004215EF">
        <w:rPr>
          <w:rFonts w:ascii="Arial" w:hAnsi="Arial" w:cs="Arial"/>
          <w:bCs/>
        </w:rPr>
        <w:t xml:space="preserve"> H2 LFL by c</w:t>
      </w:r>
      <w:r w:rsidR="00A24514" w:rsidRPr="004215EF">
        <w:rPr>
          <w:rFonts w:ascii="Arial" w:hAnsi="Arial" w:cs="Arial"/>
          <w:bCs/>
        </w:rPr>
        <w:t>1-2</w:t>
      </w:r>
      <w:r w:rsidR="0027498B" w:rsidRPr="004215EF">
        <w:rPr>
          <w:rFonts w:ascii="Arial" w:hAnsi="Arial" w:cs="Arial"/>
          <w:bCs/>
        </w:rPr>
        <w:t xml:space="preserve">% </w:t>
      </w:r>
      <w:r w:rsidR="00A24514" w:rsidRPr="004215EF">
        <w:rPr>
          <w:rFonts w:ascii="Arial" w:hAnsi="Arial" w:cs="Arial"/>
          <w:bCs/>
        </w:rPr>
        <w:t>with</w:t>
      </w:r>
      <w:r w:rsidR="007D2F1A" w:rsidRPr="004215EF">
        <w:rPr>
          <w:rFonts w:ascii="Arial" w:hAnsi="Arial" w:cs="Arial"/>
          <w:bCs/>
        </w:rPr>
        <w:t xml:space="preserve"> </w:t>
      </w:r>
      <w:r w:rsidR="00A24514" w:rsidRPr="004215EF">
        <w:rPr>
          <w:rFonts w:ascii="Arial" w:hAnsi="Arial" w:cs="Arial"/>
          <w:bCs/>
        </w:rPr>
        <w:t xml:space="preserve">a </w:t>
      </w:r>
      <w:r w:rsidR="00A24514" w:rsidRPr="00ED4B95">
        <w:rPr>
          <w:rFonts w:ascii="Arial" w:hAnsi="Arial" w:cs="Arial"/>
          <w:bCs/>
        </w:rPr>
        <w:t>broadly neutral impact on retail profit</w:t>
      </w:r>
    </w:p>
    <w:bookmarkEnd w:id="54"/>
    <w:p w14:paraId="29B649A7" w14:textId="77777777" w:rsidR="00434F06" w:rsidRPr="00ED4B95" w:rsidRDefault="00434F06" w:rsidP="00434F06">
      <w:pPr>
        <w:pStyle w:val="ListParagraph"/>
        <w:numPr>
          <w:ilvl w:val="0"/>
          <w:numId w:val="4"/>
        </w:numPr>
        <w:jc w:val="left"/>
        <w:rPr>
          <w:rFonts w:ascii="Arial" w:hAnsi="Arial" w:cs="Arial"/>
          <w:bCs/>
        </w:rPr>
      </w:pPr>
      <w:r w:rsidRPr="00ED4B95">
        <w:rPr>
          <w:rFonts w:ascii="Arial" w:hAnsi="Arial" w:cs="Arial"/>
          <w:bCs/>
        </w:rPr>
        <w:t>Central costs expected to be c.£50m</w:t>
      </w:r>
    </w:p>
    <w:p w14:paraId="51345B04" w14:textId="66D63D49" w:rsidR="00434F06" w:rsidRPr="00D978CF" w:rsidRDefault="00ED4B95" w:rsidP="00434F06">
      <w:pPr>
        <w:pStyle w:val="ListParagraph"/>
        <w:numPr>
          <w:ilvl w:val="0"/>
          <w:numId w:val="4"/>
        </w:numPr>
        <w:jc w:val="left"/>
        <w:rPr>
          <w:rFonts w:ascii="Arial" w:hAnsi="Arial" w:cs="Arial"/>
          <w:bCs/>
        </w:rPr>
      </w:pPr>
      <w:bookmarkStart w:id="55" w:name="_Hlk524460942"/>
      <w:r>
        <w:rPr>
          <w:rFonts w:ascii="Arial" w:hAnsi="Arial" w:cs="Arial"/>
          <w:bCs/>
        </w:rPr>
        <w:t>Adjusted e</w:t>
      </w:r>
      <w:r w:rsidR="00434F06" w:rsidRPr="00D978CF">
        <w:rPr>
          <w:rFonts w:ascii="Arial" w:hAnsi="Arial" w:cs="Arial"/>
          <w:bCs/>
        </w:rPr>
        <w:t>ffective tax rate</w:t>
      </w:r>
      <w:r w:rsidR="005E757F">
        <w:rPr>
          <w:rFonts w:ascii="Arial" w:hAnsi="Arial" w:cs="Arial"/>
          <w:bCs/>
        </w:rPr>
        <w:t>*</w:t>
      </w:r>
      <w:r w:rsidR="00434F06" w:rsidRPr="00D978CF">
        <w:rPr>
          <w:rFonts w:ascii="Arial" w:hAnsi="Arial" w:cs="Arial"/>
          <w:bCs/>
        </w:rPr>
        <w:t xml:space="preserve"> expected to be </w:t>
      </w:r>
      <w:r w:rsidR="00434F06" w:rsidRPr="00FE3126">
        <w:rPr>
          <w:rFonts w:ascii="Arial" w:hAnsi="Arial" w:cs="Arial"/>
          <w:bCs/>
        </w:rPr>
        <w:t xml:space="preserve">around </w:t>
      </w:r>
      <w:r w:rsidR="00434F06" w:rsidRPr="00F74468">
        <w:rPr>
          <w:rFonts w:ascii="Arial" w:hAnsi="Arial" w:cs="Arial"/>
          <w:bCs/>
        </w:rPr>
        <w:t>27</w:t>
      </w:r>
      <w:r w:rsidRPr="00F74468">
        <w:rPr>
          <w:rFonts w:ascii="Arial" w:hAnsi="Arial" w:cs="Arial"/>
          <w:bCs/>
        </w:rPr>
        <w:t>-28</w:t>
      </w:r>
      <w:r w:rsidR="00434F06" w:rsidRPr="00F74468">
        <w:rPr>
          <w:rFonts w:ascii="Arial" w:hAnsi="Arial" w:cs="Arial"/>
          <w:bCs/>
        </w:rPr>
        <w:t>%,</w:t>
      </w:r>
      <w:r w:rsidR="00434F06" w:rsidRPr="00FE3126">
        <w:rPr>
          <w:rFonts w:ascii="Arial" w:hAnsi="Arial" w:cs="Arial"/>
          <w:bCs/>
        </w:rPr>
        <w:t xml:space="preserve"> subject</w:t>
      </w:r>
      <w:r w:rsidR="00434F06" w:rsidRPr="00D978CF">
        <w:rPr>
          <w:rFonts w:ascii="Arial" w:hAnsi="Arial" w:cs="Arial"/>
          <w:bCs/>
        </w:rPr>
        <w:t xml:space="preserve"> to the blend of profit within the companies’ various jurisdictions </w:t>
      </w:r>
    </w:p>
    <w:bookmarkEnd w:id="55"/>
    <w:p w14:paraId="60949001" w14:textId="77777777" w:rsidR="00434F06" w:rsidRPr="00A845B7" w:rsidRDefault="00434F06" w:rsidP="00434F06">
      <w:pPr>
        <w:pStyle w:val="ListParagraph"/>
        <w:jc w:val="left"/>
        <w:rPr>
          <w:rFonts w:ascii="Arial" w:hAnsi="Arial" w:cs="Arial"/>
          <w:bCs/>
        </w:rPr>
      </w:pPr>
    </w:p>
    <w:p w14:paraId="3E655140" w14:textId="77777777" w:rsidR="00434F06" w:rsidRPr="00A845B7" w:rsidRDefault="00434F06" w:rsidP="00434F06">
      <w:pPr>
        <w:jc w:val="left"/>
        <w:rPr>
          <w:rFonts w:ascii="Arial" w:hAnsi="Arial" w:cs="Arial"/>
          <w:b/>
          <w:bCs/>
        </w:rPr>
      </w:pPr>
      <w:bookmarkStart w:id="56" w:name="_Hlk524457831"/>
      <w:r w:rsidRPr="00A845B7">
        <w:rPr>
          <w:rFonts w:ascii="Arial" w:hAnsi="Arial" w:cs="Arial"/>
          <w:b/>
          <w:bCs/>
        </w:rPr>
        <w:t>Cash flow:</w:t>
      </w:r>
    </w:p>
    <w:p w14:paraId="4FEAEAC0" w14:textId="509D52E4" w:rsidR="00434F06" w:rsidRPr="005B2D1B" w:rsidRDefault="00434F06" w:rsidP="00434F06">
      <w:pPr>
        <w:pStyle w:val="ListParagraph"/>
        <w:numPr>
          <w:ilvl w:val="0"/>
          <w:numId w:val="4"/>
        </w:numPr>
        <w:jc w:val="left"/>
        <w:rPr>
          <w:rFonts w:ascii="Arial" w:hAnsi="Arial" w:cs="Arial"/>
          <w:bCs/>
        </w:rPr>
      </w:pPr>
      <w:r w:rsidRPr="005B2D1B">
        <w:rPr>
          <w:rFonts w:ascii="Arial" w:hAnsi="Arial" w:cs="Arial"/>
          <w:bCs/>
        </w:rPr>
        <w:t>Capital return of c.£600m by the end of FY 18/19 via share buyback (£</w:t>
      </w:r>
      <w:r w:rsidR="00E56A1D">
        <w:rPr>
          <w:rFonts w:ascii="Arial" w:hAnsi="Arial" w:cs="Arial"/>
          <w:bCs/>
        </w:rPr>
        <w:t>550</w:t>
      </w:r>
      <w:r w:rsidRPr="005B2D1B">
        <w:rPr>
          <w:rFonts w:ascii="Arial" w:hAnsi="Arial" w:cs="Arial"/>
          <w:bCs/>
        </w:rPr>
        <w:t xml:space="preserve">m completed </w:t>
      </w:r>
      <w:r w:rsidRPr="0018703F">
        <w:rPr>
          <w:rFonts w:ascii="Arial" w:hAnsi="Arial" w:cs="Arial"/>
          <w:bCs/>
        </w:rPr>
        <w:t>to date</w:t>
      </w:r>
      <w:r w:rsidRPr="005B2D1B">
        <w:rPr>
          <w:rFonts w:ascii="Arial" w:hAnsi="Arial" w:cs="Arial"/>
          <w:bCs/>
        </w:rPr>
        <w:t>)</w:t>
      </w:r>
    </w:p>
    <w:bookmarkEnd w:id="56"/>
    <w:p w14:paraId="023CB42D" w14:textId="20B5084B" w:rsidR="00434F06" w:rsidRDefault="00434F06" w:rsidP="00434F06">
      <w:pPr>
        <w:pStyle w:val="ListParagraph"/>
        <w:numPr>
          <w:ilvl w:val="0"/>
          <w:numId w:val="4"/>
        </w:numPr>
        <w:jc w:val="left"/>
        <w:rPr>
          <w:rFonts w:ascii="Arial" w:hAnsi="Arial" w:cs="Arial"/>
          <w:bCs/>
        </w:rPr>
      </w:pPr>
      <w:r w:rsidRPr="005B2D1B">
        <w:rPr>
          <w:rFonts w:ascii="Arial" w:hAnsi="Arial" w:cs="Arial"/>
          <w:bCs/>
        </w:rPr>
        <w:t xml:space="preserve">Total capex including transformation of </w:t>
      </w:r>
      <w:r w:rsidRPr="00FE3126">
        <w:rPr>
          <w:rFonts w:ascii="Arial" w:hAnsi="Arial" w:cs="Arial"/>
          <w:bCs/>
        </w:rPr>
        <w:t>up to £</w:t>
      </w:r>
      <w:r w:rsidR="00230CDB" w:rsidRPr="00FE3126">
        <w:rPr>
          <w:rFonts w:ascii="Arial" w:hAnsi="Arial" w:cs="Arial"/>
          <w:bCs/>
        </w:rPr>
        <w:t>3</w:t>
      </w:r>
      <w:r w:rsidR="006B1A1C" w:rsidRPr="00FE3126">
        <w:rPr>
          <w:rFonts w:ascii="Arial" w:hAnsi="Arial" w:cs="Arial"/>
          <w:bCs/>
        </w:rPr>
        <w:t>5</w:t>
      </w:r>
      <w:r w:rsidR="00230CDB" w:rsidRPr="00FE3126">
        <w:rPr>
          <w:rFonts w:ascii="Arial" w:hAnsi="Arial" w:cs="Arial"/>
          <w:bCs/>
        </w:rPr>
        <w:t>0m</w:t>
      </w:r>
      <w:r w:rsidR="00263F48">
        <w:rPr>
          <w:rFonts w:ascii="Arial" w:hAnsi="Arial" w:cs="Arial"/>
          <w:bCs/>
        </w:rPr>
        <w:t xml:space="preserve"> (was £425m)</w:t>
      </w:r>
    </w:p>
    <w:p w14:paraId="470E4B5C" w14:textId="77777777" w:rsidR="00550170" w:rsidRDefault="00550170" w:rsidP="00AC598B">
      <w:pPr>
        <w:pStyle w:val="ListParagraph"/>
        <w:rPr>
          <w:rFonts w:ascii="Arial" w:hAnsi="Arial" w:cs="Arial"/>
          <w:bCs/>
        </w:rPr>
      </w:pPr>
    </w:p>
    <w:p w14:paraId="6F63BD57" w14:textId="2F558661" w:rsidR="00773A54" w:rsidRPr="00AC598B" w:rsidRDefault="00600B8D">
      <w:pPr>
        <w:jc w:val="left"/>
        <w:rPr>
          <w:rFonts w:ascii="Arial" w:hAnsi="Arial" w:cs="Arial"/>
          <w:b/>
          <w:bCs/>
        </w:rPr>
      </w:pPr>
      <w:r w:rsidRPr="00AC598B">
        <w:rPr>
          <w:rFonts w:ascii="Arial" w:hAnsi="Arial" w:cs="Arial"/>
          <w:bCs/>
        </w:rPr>
        <w:br w:type="page"/>
      </w:r>
      <w:bookmarkStart w:id="57" w:name="_Hlk524531967"/>
      <w:r w:rsidR="00773A54" w:rsidRPr="00AC598B">
        <w:rPr>
          <w:rFonts w:ascii="Arial" w:hAnsi="Arial" w:cs="Arial"/>
          <w:b/>
          <w:bCs/>
        </w:rPr>
        <w:t>Section 4: HY 201</w:t>
      </w:r>
      <w:r w:rsidR="00935E7A">
        <w:rPr>
          <w:rFonts w:ascii="Arial" w:hAnsi="Arial" w:cs="Arial"/>
          <w:b/>
          <w:bCs/>
        </w:rPr>
        <w:t>8/19</w:t>
      </w:r>
      <w:r w:rsidR="00773A54" w:rsidRPr="00AC598B">
        <w:rPr>
          <w:rFonts w:ascii="Arial" w:hAnsi="Arial" w:cs="Arial"/>
          <w:b/>
          <w:bCs/>
        </w:rPr>
        <w:t xml:space="preserve"> Financial </w:t>
      </w:r>
      <w:r w:rsidR="007341CC" w:rsidRPr="00AC598B">
        <w:rPr>
          <w:rFonts w:ascii="Arial" w:hAnsi="Arial" w:cs="Arial"/>
          <w:b/>
          <w:bCs/>
        </w:rPr>
        <w:t>r</w:t>
      </w:r>
      <w:r w:rsidR="00773A54" w:rsidRPr="00AC598B">
        <w:rPr>
          <w:rFonts w:ascii="Arial" w:hAnsi="Arial" w:cs="Arial"/>
          <w:b/>
          <w:bCs/>
        </w:rPr>
        <w:t xml:space="preserve">eview </w:t>
      </w:r>
      <w:bookmarkEnd w:id="57"/>
    </w:p>
    <w:p w14:paraId="6063968F" w14:textId="77777777" w:rsidR="00773A54" w:rsidRPr="00AC598B" w:rsidRDefault="00773A54" w:rsidP="00773A54">
      <w:pPr>
        <w:tabs>
          <w:tab w:val="right" w:pos="9356"/>
        </w:tabs>
        <w:rPr>
          <w:rFonts w:ascii="Arial" w:hAnsi="Arial" w:cs="Arial"/>
          <w:b/>
          <w:i/>
          <w:szCs w:val="24"/>
        </w:rPr>
      </w:pPr>
    </w:p>
    <w:p w14:paraId="6793D1C6" w14:textId="0F3F7C00" w:rsidR="00773A54" w:rsidRDefault="00773A54" w:rsidP="00773A54">
      <w:pPr>
        <w:jc w:val="left"/>
        <w:rPr>
          <w:rFonts w:ascii="Arial" w:hAnsi="Arial" w:cs="Arial"/>
          <w:szCs w:val="24"/>
        </w:rPr>
      </w:pPr>
      <w:r w:rsidRPr="00AC598B">
        <w:rPr>
          <w:rFonts w:ascii="Arial" w:hAnsi="Arial" w:cs="Arial"/>
          <w:szCs w:val="24"/>
        </w:rPr>
        <w:t xml:space="preserve">A summary of the reported financial results for the </w:t>
      </w:r>
      <w:r w:rsidR="009E70F6" w:rsidRPr="00AC598B">
        <w:rPr>
          <w:rFonts w:ascii="Arial" w:hAnsi="Arial" w:cs="Arial"/>
          <w:szCs w:val="24"/>
        </w:rPr>
        <w:t xml:space="preserve">half </w:t>
      </w:r>
      <w:r w:rsidRPr="00AC598B">
        <w:rPr>
          <w:rFonts w:ascii="Arial" w:hAnsi="Arial" w:cs="Arial"/>
          <w:szCs w:val="24"/>
        </w:rPr>
        <w:t>year ended 31 July 201</w:t>
      </w:r>
      <w:r w:rsidR="00277052">
        <w:rPr>
          <w:rFonts w:ascii="Arial" w:hAnsi="Arial" w:cs="Arial"/>
          <w:szCs w:val="24"/>
        </w:rPr>
        <w:t>8</w:t>
      </w:r>
      <w:r w:rsidRPr="00AC598B">
        <w:rPr>
          <w:rFonts w:ascii="Arial" w:hAnsi="Arial" w:cs="Arial"/>
          <w:szCs w:val="24"/>
        </w:rPr>
        <w:t xml:space="preserve"> is set out below:</w:t>
      </w:r>
    </w:p>
    <w:p w14:paraId="1EE60950" w14:textId="77777777" w:rsidR="00667C8E" w:rsidRPr="00AC598B" w:rsidRDefault="00667C8E" w:rsidP="00773A54">
      <w:pPr>
        <w:jc w:val="left"/>
        <w:rPr>
          <w:rFonts w:ascii="Arial" w:hAnsi="Arial" w:cs="Arial"/>
          <w:szCs w:val="24"/>
        </w:rPr>
      </w:pPr>
    </w:p>
    <w:tbl>
      <w:tblPr>
        <w:tblW w:w="5147" w:type="pct"/>
        <w:tblLayout w:type="fixed"/>
        <w:tblLook w:val="01E0" w:firstRow="1" w:lastRow="1" w:firstColumn="1" w:lastColumn="1" w:noHBand="0" w:noVBand="0"/>
      </w:tblPr>
      <w:tblGrid>
        <w:gridCol w:w="4207"/>
        <w:gridCol w:w="1597"/>
        <w:gridCol w:w="1450"/>
        <w:gridCol w:w="1424"/>
        <w:gridCol w:w="1479"/>
      </w:tblGrid>
      <w:tr w:rsidR="00773A54" w:rsidRPr="00667C8E" w14:paraId="3426381E" w14:textId="77777777" w:rsidTr="00925EFB">
        <w:tc>
          <w:tcPr>
            <w:tcW w:w="2071" w:type="pct"/>
            <w:tcBorders>
              <w:bottom w:val="single" w:sz="4" w:space="0" w:color="auto"/>
            </w:tcBorders>
            <w:shd w:val="clear" w:color="auto" w:fill="auto"/>
          </w:tcPr>
          <w:p w14:paraId="2CE3935D" w14:textId="77777777" w:rsidR="00773A54" w:rsidRPr="00AC598B" w:rsidRDefault="00773A54" w:rsidP="00907EA8">
            <w:pPr>
              <w:rPr>
                <w:rFonts w:ascii="Arial" w:hAnsi="Arial" w:cs="Arial"/>
                <w:szCs w:val="24"/>
              </w:rPr>
            </w:pPr>
          </w:p>
        </w:tc>
        <w:tc>
          <w:tcPr>
            <w:tcW w:w="786" w:type="pct"/>
            <w:tcBorders>
              <w:bottom w:val="single" w:sz="4" w:space="0" w:color="auto"/>
            </w:tcBorders>
            <w:shd w:val="clear" w:color="auto" w:fill="auto"/>
          </w:tcPr>
          <w:p w14:paraId="319928FC" w14:textId="6010A28C" w:rsidR="00773A54" w:rsidRPr="00AC598B" w:rsidRDefault="00773A54" w:rsidP="00907EA8">
            <w:pPr>
              <w:jc w:val="right"/>
              <w:rPr>
                <w:rFonts w:ascii="Arial" w:hAnsi="Arial" w:cs="Arial"/>
                <w:b/>
                <w:szCs w:val="24"/>
              </w:rPr>
            </w:pPr>
            <w:r w:rsidRPr="00AC598B">
              <w:rPr>
                <w:rFonts w:ascii="Arial" w:hAnsi="Arial" w:cs="Arial"/>
                <w:b/>
                <w:szCs w:val="24"/>
              </w:rPr>
              <w:t>201</w:t>
            </w:r>
            <w:r w:rsidR="004F6F8A">
              <w:rPr>
                <w:rFonts w:ascii="Arial" w:hAnsi="Arial" w:cs="Arial"/>
                <w:b/>
                <w:szCs w:val="24"/>
              </w:rPr>
              <w:t>8</w:t>
            </w:r>
            <w:r w:rsidRPr="00AC598B">
              <w:rPr>
                <w:rFonts w:ascii="Arial" w:hAnsi="Arial" w:cs="Arial"/>
                <w:b/>
                <w:szCs w:val="24"/>
              </w:rPr>
              <w:t>/1</w:t>
            </w:r>
            <w:r w:rsidR="004F6F8A">
              <w:rPr>
                <w:rFonts w:ascii="Arial" w:hAnsi="Arial" w:cs="Arial"/>
                <w:b/>
                <w:szCs w:val="24"/>
              </w:rPr>
              <w:t>9</w:t>
            </w:r>
          </w:p>
          <w:p w14:paraId="5BC608FD" w14:textId="77777777" w:rsidR="00773A54" w:rsidRPr="00AC598B" w:rsidRDefault="00773A54" w:rsidP="00907EA8">
            <w:pPr>
              <w:jc w:val="right"/>
              <w:rPr>
                <w:rFonts w:ascii="Arial" w:hAnsi="Arial" w:cs="Arial"/>
                <w:b/>
                <w:szCs w:val="24"/>
              </w:rPr>
            </w:pPr>
          </w:p>
        </w:tc>
        <w:tc>
          <w:tcPr>
            <w:tcW w:w="714" w:type="pct"/>
            <w:tcBorders>
              <w:bottom w:val="single" w:sz="4" w:space="0" w:color="auto"/>
            </w:tcBorders>
            <w:shd w:val="clear" w:color="auto" w:fill="auto"/>
          </w:tcPr>
          <w:p w14:paraId="5753A9A6" w14:textId="4DD18935" w:rsidR="00773A54" w:rsidRPr="00AC598B" w:rsidRDefault="00773A54" w:rsidP="00907EA8">
            <w:pPr>
              <w:jc w:val="right"/>
              <w:rPr>
                <w:rFonts w:ascii="Arial" w:hAnsi="Arial" w:cs="Arial"/>
                <w:szCs w:val="24"/>
              </w:rPr>
            </w:pPr>
            <w:r w:rsidRPr="00AC598B">
              <w:rPr>
                <w:rFonts w:ascii="Arial" w:hAnsi="Arial" w:cs="Arial"/>
                <w:szCs w:val="24"/>
              </w:rPr>
              <w:t>201</w:t>
            </w:r>
            <w:r w:rsidR="004F6F8A">
              <w:rPr>
                <w:rFonts w:ascii="Arial" w:hAnsi="Arial" w:cs="Arial"/>
                <w:szCs w:val="24"/>
              </w:rPr>
              <w:t>7</w:t>
            </w:r>
            <w:r w:rsidRPr="00AC598B">
              <w:rPr>
                <w:rFonts w:ascii="Arial" w:hAnsi="Arial" w:cs="Arial"/>
                <w:szCs w:val="24"/>
              </w:rPr>
              <w:t>/1</w:t>
            </w:r>
            <w:r w:rsidR="004F6F8A">
              <w:rPr>
                <w:rFonts w:ascii="Arial" w:hAnsi="Arial" w:cs="Arial"/>
                <w:szCs w:val="24"/>
              </w:rPr>
              <w:t>8</w:t>
            </w:r>
          </w:p>
          <w:p w14:paraId="3FA03A0B" w14:textId="77777777" w:rsidR="00773A54" w:rsidRPr="00AC598B" w:rsidRDefault="00773A54" w:rsidP="00907EA8">
            <w:pPr>
              <w:tabs>
                <w:tab w:val="center" w:pos="434"/>
                <w:tab w:val="right" w:pos="869"/>
              </w:tabs>
              <w:jc w:val="right"/>
              <w:rPr>
                <w:rFonts w:ascii="Arial" w:hAnsi="Arial" w:cs="Arial"/>
                <w:szCs w:val="24"/>
              </w:rPr>
            </w:pPr>
          </w:p>
        </w:tc>
        <w:tc>
          <w:tcPr>
            <w:tcW w:w="701" w:type="pct"/>
            <w:tcBorders>
              <w:bottom w:val="single" w:sz="4" w:space="0" w:color="auto"/>
            </w:tcBorders>
          </w:tcPr>
          <w:p w14:paraId="00DF91B0" w14:textId="77777777" w:rsidR="00773A54" w:rsidRPr="00AC598B" w:rsidRDefault="00773A54" w:rsidP="00907EA8">
            <w:pPr>
              <w:jc w:val="right"/>
              <w:rPr>
                <w:rFonts w:ascii="Arial" w:hAnsi="Arial" w:cs="Arial"/>
                <w:szCs w:val="24"/>
              </w:rPr>
            </w:pPr>
            <w:r w:rsidRPr="00AC598B">
              <w:rPr>
                <w:rFonts w:ascii="Arial" w:hAnsi="Arial" w:cs="Arial"/>
                <w:szCs w:val="24"/>
              </w:rPr>
              <w:t>% Reported Change</w:t>
            </w:r>
          </w:p>
        </w:tc>
        <w:tc>
          <w:tcPr>
            <w:tcW w:w="728" w:type="pct"/>
            <w:tcBorders>
              <w:bottom w:val="single" w:sz="4" w:space="0" w:color="auto"/>
            </w:tcBorders>
            <w:shd w:val="clear" w:color="auto" w:fill="auto"/>
          </w:tcPr>
          <w:p w14:paraId="1BE4D0AD" w14:textId="77777777" w:rsidR="00773A54" w:rsidRPr="00AC598B" w:rsidRDefault="00773A54" w:rsidP="00907EA8">
            <w:pPr>
              <w:jc w:val="right"/>
              <w:rPr>
                <w:rFonts w:ascii="Arial" w:hAnsi="Arial" w:cs="Arial"/>
                <w:szCs w:val="24"/>
              </w:rPr>
            </w:pPr>
            <w:r w:rsidRPr="00AC598B">
              <w:rPr>
                <w:rFonts w:ascii="Arial" w:hAnsi="Arial" w:cs="Arial"/>
                <w:szCs w:val="24"/>
              </w:rPr>
              <w:t>% Constant Currency Change</w:t>
            </w:r>
          </w:p>
        </w:tc>
      </w:tr>
      <w:tr w:rsidR="00773A54" w:rsidRPr="00587A5B" w14:paraId="11E25A97" w14:textId="77777777" w:rsidTr="00925EFB">
        <w:trPr>
          <w:trHeight w:val="80"/>
        </w:trPr>
        <w:tc>
          <w:tcPr>
            <w:tcW w:w="2071" w:type="pct"/>
            <w:tcBorders>
              <w:top w:val="single" w:sz="4" w:space="0" w:color="auto"/>
            </w:tcBorders>
            <w:shd w:val="clear" w:color="auto" w:fill="auto"/>
          </w:tcPr>
          <w:p w14:paraId="3943AFE0" w14:textId="77777777" w:rsidR="00773A54" w:rsidRPr="003419F1" w:rsidRDefault="00773A54" w:rsidP="00907EA8">
            <w:pPr>
              <w:rPr>
                <w:rFonts w:ascii="Arial" w:hAnsi="Arial" w:cs="Arial"/>
                <w:sz w:val="2"/>
                <w:szCs w:val="2"/>
              </w:rPr>
            </w:pPr>
          </w:p>
        </w:tc>
        <w:tc>
          <w:tcPr>
            <w:tcW w:w="786" w:type="pct"/>
            <w:tcBorders>
              <w:top w:val="single" w:sz="4" w:space="0" w:color="auto"/>
            </w:tcBorders>
            <w:shd w:val="clear" w:color="auto" w:fill="auto"/>
          </w:tcPr>
          <w:p w14:paraId="74BF05D1" w14:textId="77777777" w:rsidR="00773A54" w:rsidRPr="00A03549" w:rsidRDefault="00773A54" w:rsidP="00907EA8">
            <w:pPr>
              <w:jc w:val="right"/>
              <w:rPr>
                <w:rFonts w:ascii="Arial" w:hAnsi="Arial" w:cs="Arial"/>
                <w:b/>
                <w:sz w:val="2"/>
                <w:szCs w:val="2"/>
                <w:highlight w:val="yellow"/>
              </w:rPr>
            </w:pPr>
          </w:p>
        </w:tc>
        <w:tc>
          <w:tcPr>
            <w:tcW w:w="714" w:type="pct"/>
            <w:tcBorders>
              <w:top w:val="single" w:sz="4" w:space="0" w:color="auto"/>
            </w:tcBorders>
            <w:shd w:val="clear" w:color="auto" w:fill="auto"/>
          </w:tcPr>
          <w:p w14:paraId="5F4F1890" w14:textId="77777777" w:rsidR="00773A54" w:rsidRPr="009F642E" w:rsidRDefault="00773A54" w:rsidP="00907EA8">
            <w:pPr>
              <w:jc w:val="right"/>
              <w:rPr>
                <w:rFonts w:ascii="Arial" w:hAnsi="Arial" w:cs="Arial"/>
                <w:sz w:val="2"/>
                <w:szCs w:val="2"/>
              </w:rPr>
            </w:pPr>
          </w:p>
        </w:tc>
        <w:tc>
          <w:tcPr>
            <w:tcW w:w="701" w:type="pct"/>
            <w:tcBorders>
              <w:top w:val="single" w:sz="4" w:space="0" w:color="auto"/>
            </w:tcBorders>
          </w:tcPr>
          <w:p w14:paraId="786E2D0B" w14:textId="77777777" w:rsidR="00773A54" w:rsidRPr="00EF42EF" w:rsidRDefault="00773A54" w:rsidP="00907EA8">
            <w:pPr>
              <w:jc w:val="right"/>
              <w:rPr>
                <w:rFonts w:ascii="Arial" w:hAnsi="Arial" w:cs="Arial"/>
                <w:sz w:val="2"/>
                <w:szCs w:val="2"/>
              </w:rPr>
            </w:pPr>
          </w:p>
        </w:tc>
        <w:tc>
          <w:tcPr>
            <w:tcW w:w="728" w:type="pct"/>
            <w:tcBorders>
              <w:top w:val="single" w:sz="4" w:space="0" w:color="auto"/>
            </w:tcBorders>
            <w:shd w:val="clear" w:color="auto" w:fill="auto"/>
          </w:tcPr>
          <w:p w14:paraId="35C2EBF1" w14:textId="77777777" w:rsidR="00773A54" w:rsidRPr="00EF42EF" w:rsidRDefault="00773A54" w:rsidP="00907EA8">
            <w:pPr>
              <w:jc w:val="right"/>
              <w:rPr>
                <w:rFonts w:ascii="Arial" w:hAnsi="Arial" w:cs="Arial"/>
                <w:sz w:val="2"/>
                <w:szCs w:val="2"/>
              </w:rPr>
            </w:pPr>
          </w:p>
        </w:tc>
      </w:tr>
      <w:tr w:rsidR="004F6F8A" w:rsidRPr="00667C8E" w14:paraId="530F38F5" w14:textId="77777777" w:rsidTr="00925EFB">
        <w:tc>
          <w:tcPr>
            <w:tcW w:w="2071" w:type="pct"/>
            <w:shd w:val="clear" w:color="auto" w:fill="auto"/>
          </w:tcPr>
          <w:p w14:paraId="33BA04C2" w14:textId="56EB4A4B" w:rsidR="004F6F8A" w:rsidRPr="00AC598B" w:rsidRDefault="004F6F8A" w:rsidP="004F6F8A">
            <w:pPr>
              <w:rPr>
                <w:rFonts w:ascii="Arial" w:hAnsi="Arial" w:cs="Arial"/>
                <w:szCs w:val="24"/>
              </w:rPr>
            </w:pPr>
            <w:r w:rsidRPr="00AC598B">
              <w:rPr>
                <w:rFonts w:ascii="Arial" w:hAnsi="Arial" w:cs="Arial"/>
                <w:szCs w:val="24"/>
              </w:rPr>
              <w:t>Sales</w:t>
            </w:r>
          </w:p>
        </w:tc>
        <w:tc>
          <w:tcPr>
            <w:tcW w:w="786" w:type="pct"/>
            <w:shd w:val="clear" w:color="auto" w:fill="auto"/>
          </w:tcPr>
          <w:p w14:paraId="02555F45" w14:textId="5247859A" w:rsidR="004F6F8A" w:rsidRPr="00230CDB" w:rsidRDefault="004F6F8A" w:rsidP="004F6F8A">
            <w:pPr>
              <w:jc w:val="right"/>
              <w:rPr>
                <w:rFonts w:ascii="Arial" w:hAnsi="Arial" w:cs="Arial"/>
                <w:b/>
                <w:szCs w:val="24"/>
              </w:rPr>
            </w:pPr>
            <w:r w:rsidRPr="00F01C34">
              <w:rPr>
                <w:rFonts w:ascii="Arial" w:hAnsi="Arial" w:cs="Arial"/>
                <w:b/>
                <w:szCs w:val="24"/>
              </w:rPr>
              <w:t>£</w:t>
            </w:r>
            <w:r w:rsidR="00B07264" w:rsidRPr="00F01C34">
              <w:rPr>
                <w:rFonts w:ascii="Arial" w:hAnsi="Arial" w:cs="Arial"/>
                <w:b/>
                <w:szCs w:val="24"/>
              </w:rPr>
              <w:t>6,080</w:t>
            </w:r>
            <w:r w:rsidRPr="00F01C34">
              <w:rPr>
                <w:rFonts w:ascii="Arial" w:hAnsi="Arial" w:cs="Arial"/>
                <w:b/>
                <w:szCs w:val="24"/>
              </w:rPr>
              <w:t>m</w:t>
            </w:r>
          </w:p>
        </w:tc>
        <w:tc>
          <w:tcPr>
            <w:tcW w:w="714" w:type="pct"/>
            <w:shd w:val="clear" w:color="auto" w:fill="auto"/>
          </w:tcPr>
          <w:p w14:paraId="203496E9" w14:textId="3DB2476A" w:rsidR="004F6F8A" w:rsidRPr="00230CDB" w:rsidRDefault="004F6F8A" w:rsidP="004F6F8A">
            <w:pPr>
              <w:jc w:val="right"/>
              <w:rPr>
                <w:rFonts w:ascii="Arial" w:hAnsi="Arial" w:cs="Arial"/>
                <w:szCs w:val="24"/>
              </w:rPr>
            </w:pPr>
            <w:r w:rsidRPr="00230CDB">
              <w:rPr>
                <w:rFonts w:ascii="Arial" w:hAnsi="Arial" w:cs="Arial"/>
                <w:szCs w:val="24"/>
              </w:rPr>
              <w:t>£6,008m</w:t>
            </w:r>
            <w:r w:rsidRPr="00230CDB" w:rsidDel="009E5D4B">
              <w:rPr>
                <w:rFonts w:ascii="Arial" w:hAnsi="Arial" w:cs="Arial"/>
                <w:szCs w:val="24"/>
              </w:rPr>
              <w:t xml:space="preserve"> </w:t>
            </w:r>
          </w:p>
        </w:tc>
        <w:tc>
          <w:tcPr>
            <w:tcW w:w="701" w:type="pct"/>
          </w:tcPr>
          <w:p w14:paraId="1C8E2F02" w14:textId="1CDD4681" w:rsidR="004F6F8A" w:rsidRPr="00230CDB" w:rsidRDefault="004F6F8A" w:rsidP="004F6F8A">
            <w:pPr>
              <w:jc w:val="right"/>
              <w:rPr>
                <w:rFonts w:ascii="Arial" w:hAnsi="Arial" w:cs="Arial"/>
                <w:szCs w:val="24"/>
              </w:rPr>
            </w:pPr>
            <w:r w:rsidRPr="00230CDB">
              <w:rPr>
                <w:rFonts w:ascii="Arial" w:hAnsi="Arial" w:cs="Arial"/>
                <w:szCs w:val="24"/>
              </w:rPr>
              <w:t>+</w:t>
            </w:r>
            <w:r w:rsidR="000A4EE0" w:rsidRPr="00F01C34">
              <w:rPr>
                <w:rFonts w:ascii="Arial" w:hAnsi="Arial" w:cs="Arial"/>
              </w:rPr>
              <w:t>1.2</w:t>
            </w:r>
            <w:r w:rsidRPr="00230CDB">
              <w:rPr>
                <w:rFonts w:ascii="Arial" w:hAnsi="Arial" w:cs="Arial"/>
                <w:szCs w:val="24"/>
              </w:rPr>
              <w:t>%</w:t>
            </w:r>
            <w:r w:rsidRPr="00230CDB" w:rsidDel="00265815">
              <w:rPr>
                <w:rFonts w:ascii="Arial" w:hAnsi="Arial" w:cs="Arial"/>
                <w:szCs w:val="24"/>
              </w:rPr>
              <w:t xml:space="preserve"> </w:t>
            </w:r>
          </w:p>
        </w:tc>
        <w:tc>
          <w:tcPr>
            <w:tcW w:w="728" w:type="pct"/>
            <w:shd w:val="clear" w:color="auto" w:fill="auto"/>
          </w:tcPr>
          <w:p w14:paraId="15AE1959" w14:textId="6FE6895E" w:rsidR="004F6F8A" w:rsidRPr="00230CDB" w:rsidRDefault="004F6F8A" w:rsidP="004F6F8A">
            <w:pPr>
              <w:jc w:val="right"/>
              <w:rPr>
                <w:rFonts w:ascii="Arial" w:hAnsi="Arial" w:cs="Arial"/>
                <w:szCs w:val="24"/>
              </w:rPr>
            </w:pPr>
            <w:r w:rsidRPr="00230CDB">
              <w:rPr>
                <w:rFonts w:ascii="Arial" w:hAnsi="Arial" w:cs="Arial"/>
                <w:szCs w:val="24"/>
              </w:rPr>
              <w:t>+</w:t>
            </w:r>
            <w:r w:rsidR="000A4EE0" w:rsidRPr="00F01C34">
              <w:rPr>
                <w:rFonts w:ascii="Arial" w:hAnsi="Arial" w:cs="Arial"/>
              </w:rPr>
              <w:t>0.6</w:t>
            </w:r>
            <w:r w:rsidRPr="00230CDB">
              <w:rPr>
                <w:rFonts w:ascii="Arial" w:hAnsi="Arial" w:cs="Arial"/>
                <w:szCs w:val="24"/>
              </w:rPr>
              <w:t>%</w:t>
            </w:r>
            <w:r w:rsidRPr="00230CDB" w:rsidDel="00265815">
              <w:rPr>
                <w:rFonts w:ascii="Arial" w:hAnsi="Arial" w:cs="Arial"/>
                <w:szCs w:val="24"/>
              </w:rPr>
              <w:t xml:space="preserve"> </w:t>
            </w:r>
          </w:p>
        </w:tc>
      </w:tr>
      <w:tr w:rsidR="002972DC" w:rsidRPr="00667C8E" w14:paraId="57AAA115" w14:textId="77777777" w:rsidTr="00925EFB">
        <w:tc>
          <w:tcPr>
            <w:tcW w:w="2071" w:type="pct"/>
            <w:shd w:val="clear" w:color="auto" w:fill="auto"/>
          </w:tcPr>
          <w:p w14:paraId="3FF2C720" w14:textId="16066E4D" w:rsidR="002972DC" w:rsidRPr="00AC598B" w:rsidRDefault="002972DC" w:rsidP="004F6F8A">
            <w:pPr>
              <w:rPr>
                <w:rFonts w:ascii="Arial" w:hAnsi="Arial" w:cs="Arial"/>
                <w:szCs w:val="24"/>
              </w:rPr>
            </w:pPr>
            <w:r>
              <w:rPr>
                <w:rFonts w:ascii="Arial" w:hAnsi="Arial" w:cs="Arial"/>
                <w:szCs w:val="24"/>
              </w:rPr>
              <w:t>Gross marg</w:t>
            </w:r>
            <w:r w:rsidR="00E4052A">
              <w:rPr>
                <w:rFonts w:ascii="Arial" w:hAnsi="Arial" w:cs="Arial"/>
                <w:szCs w:val="24"/>
              </w:rPr>
              <w:t>in</w:t>
            </w:r>
          </w:p>
        </w:tc>
        <w:tc>
          <w:tcPr>
            <w:tcW w:w="786" w:type="pct"/>
            <w:shd w:val="clear" w:color="auto" w:fill="auto"/>
          </w:tcPr>
          <w:p w14:paraId="5FCDE9CB" w14:textId="7A30D86D" w:rsidR="002972DC" w:rsidRPr="00F01C34" w:rsidRDefault="00C31224" w:rsidP="004F6F8A">
            <w:pPr>
              <w:jc w:val="right"/>
              <w:rPr>
                <w:rFonts w:ascii="Arial" w:hAnsi="Arial" w:cs="Arial"/>
                <w:b/>
                <w:szCs w:val="24"/>
              </w:rPr>
            </w:pPr>
            <w:r w:rsidRPr="00F01C34">
              <w:rPr>
                <w:rFonts w:ascii="Arial" w:hAnsi="Arial" w:cs="Arial"/>
                <w:b/>
              </w:rPr>
              <w:t>36.4</w:t>
            </w:r>
            <w:r w:rsidR="002972DC" w:rsidRPr="00F01C34">
              <w:rPr>
                <w:rFonts w:ascii="Arial" w:hAnsi="Arial" w:cs="Arial"/>
                <w:b/>
              </w:rPr>
              <w:t>%</w:t>
            </w:r>
          </w:p>
        </w:tc>
        <w:tc>
          <w:tcPr>
            <w:tcW w:w="714" w:type="pct"/>
            <w:shd w:val="clear" w:color="auto" w:fill="auto"/>
          </w:tcPr>
          <w:p w14:paraId="798F0269" w14:textId="758E16E0" w:rsidR="002972DC" w:rsidRPr="00230CDB" w:rsidRDefault="00C31224" w:rsidP="004F6F8A">
            <w:pPr>
              <w:jc w:val="right"/>
              <w:rPr>
                <w:rFonts w:ascii="Arial" w:hAnsi="Arial" w:cs="Arial"/>
                <w:szCs w:val="24"/>
              </w:rPr>
            </w:pPr>
            <w:r w:rsidRPr="00F01C34">
              <w:rPr>
                <w:rFonts w:ascii="Arial" w:hAnsi="Arial" w:cs="Arial"/>
              </w:rPr>
              <w:t>36</w:t>
            </w:r>
            <w:r w:rsidR="002972DC" w:rsidRPr="00F01C34">
              <w:rPr>
                <w:rFonts w:ascii="Arial" w:hAnsi="Arial" w:cs="Arial"/>
              </w:rPr>
              <w:t>.</w:t>
            </w:r>
            <w:r w:rsidRPr="00F01C34">
              <w:rPr>
                <w:rFonts w:ascii="Arial" w:hAnsi="Arial" w:cs="Arial"/>
              </w:rPr>
              <w:t>8</w:t>
            </w:r>
            <w:r w:rsidR="002972DC" w:rsidRPr="00F01C34">
              <w:rPr>
                <w:rFonts w:ascii="Arial" w:hAnsi="Arial" w:cs="Arial"/>
              </w:rPr>
              <w:t>%</w:t>
            </w:r>
          </w:p>
        </w:tc>
        <w:tc>
          <w:tcPr>
            <w:tcW w:w="701" w:type="pct"/>
          </w:tcPr>
          <w:p w14:paraId="7E5C6509" w14:textId="67107C52" w:rsidR="002972DC" w:rsidRPr="00230CDB" w:rsidRDefault="00FE229E" w:rsidP="004F6F8A">
            <w:pPr>
              <w:jc w:val="right"/>
              <w:rPr>
                <w:rFonts w:ascii="Arial" w:hAnsi="Arial" w:cs="Arial"/>
                <w:szCs w:val="24"/>
              </w:rPr>
            </w:pPr>
            <w:r w:rsidRPr="00230CDB">
              <w:rPr>
                <w:rFonts w:ascii="Arial" w:hAnsi="Arial" w:cs="Arial"/>
                <w:szCs w:val="24"/>
              </w:rPr>
              <w:t>(</w:t>
            </w:r>
            <w:proofErr w:type="gramStart"/>
            <w:r w:rsidR="001E05CB" w:rsidRPr="00230CDB">
              <w:rPr>
                <w:rFonts w:ascii="Arial" w:hAnsi="Arial" w:cs="Arial"/>
                <w:szCs w:val="24"/>
              </w:rPr>
              <w:t>40</w:t>
            </w:r>
            <w:r w:rsidRPr="00230CDB">
              <w:rPr>
                <w:rFonts w:ascii="Arial" w:hAnsi="Arial" w:cs="Arial"/>
                <w:szCs w:val="24"/>
              </w:rPr>
              <w:t>)</w:t>
            </w:r>
            <w:r w:rsidR="006F073B" w:rsidRPr="00230CDB">
              <w:rPr>
                <w:rFonts w:ascii="Arial" w:hAnsi="Arial" w:cs="Arial"/>
                <w:szCs w:val="24"/>
              </w:rPr>
              <w:t>bps</w:t>
            </w:r>
            <w:proofErr w:type="gramEnd"/>
          </w:p>
        </w:tc>
        <w:tc>
          <w:tcPr>
            <w:tcW w:w="728" w:type="pct"/>
            <w:shd w:val="clear" w:color="auto" w:fill="auto"/>
          </w:tcPr>
          <w:p w14:paraId="399D03E1" w14:textId="7E7E33D2" w:rsidR="002972DC" w:rsidRPr="00230CDB" w:rsidRDefault="00FE229E" w:rsidP="004F6F8A">
            <w:pPr>
              <w:jc w:val="right"/>
              <w:rPr>
                <w:rFonts w:ascii="Arial" w:hAnsi="Arial" w:cs="Arial"/>
                <w:szCs w:val="24"/>
              </w:rPr>
            </w:pPr>
            <w:r w:rsidRPr="00230CDB">
              <w:rPr>
                <w:rFonts w:ascii="Arial" w:hAnsi="Arial" w:cs="Arial"/>
                <w:szCs w:val="24"/>
              </w:rPr>
              <w:t>(</w:t>
            </w:r>
            <w:proofErr w:type="gramStart"/>
            <w:r w:rsidR="001E05CB" w:rsidRPr="00230CDB">
              <w:rPr>
                <w:rFonts w:ascii="Arial" w:hAnsi="Arial" w:cs="Arial"/>
                <w:szCs w:val="24"/>
              </w:rPr>
              <w:t>40</w:t>
            </w:r>
            <w:r w:rsidRPr="00230CDB">
              <w:rPr>
                <w:rFonts w:ascii="Arial" w:hAnsi="Arial" w:cs="Arial"/>
                <w:szCs w:val="24"/>
              </w:rPr>
              <w:t>)</w:t>
            </w:r>
            <w:r w:rsidR="006F073B" w:rsidRPr="00230CDB">
              <w:rPr>
                <w:rFonts w:ascii="Arial" w:hAnsi="Arial" w:cs="Arial"/>
                <w:szCs w:val="24"/>
              </w:rPr>
              <w:t>bps</w:t>
            </w:r>
            <w:proofErr w:type="gramEnd"/>
          </w:p>
        </w:tc>
      </w:tr>
      <w:tr w:rsidR="004F6F8A" w:rsidRPr="00667C8E" w14:paraId="634F3BD5" w14:textId="77777777" w:rsidTr="00925EFB">
        <w:tc>
          <w:tcPr>
            <w:tcW w:w="2071" w:type="pct"/>
            <w:shd w:val="clear" w:color="auto" w:fill="auto"/>
          </w:tcPr>
          <w:p w14:paraId="378E538D" w14:textId="146B9540" w:rsidR="004F6F8A" w:rsidRPr="00AC598B" w:rsidRDefault="004F6F8A" w:rsidP="004F6F8A">
            <w:pPr>
              <w:rPr>
                <w:rFonts w:ascii="Arial" w:hAnsi="Arial" w:cs="Arial"/>
                <w:szCs w:val="24"/>
              </w:rPr>
            </w:pPr>
            <w:r w:rsidRPr="00AC598B">
              <w:rPr>
                <w:rFonts w:ascii="Arial" w:hAnsi="Arial" w:cs="Arial"/>
                <w:szCs w:val="24"/>
              </w:rPr>
              <w:t xml:space="preserve">Retail profit </w:t>
            </w:r>
          </w:p>
        </w:tc>
        <w:tc>
          <w:tcPr>
            <w:tcW w:w="786" w:type="pct"/>
            <w:shd w:val="clear" w:color="auto" w:fill="auto"/>
          </w:tcPr>
          <w:p w14:paraId="6A28140C" w14:textId="4A96FDEB" w:rsidR="004F6F8A" w:rsidRPr="00230CDB" w:rsidRDefault="004F6F8A" w:rsidP="004F6F8A">
            <w:pPr>
              <w:jc w:val="right"/>
              <w:rPr>
                <w:rFonts w:ascii="Arial" w:hAnsi="Arial" w:cs="Arial"/>
                <w:b/>
                <w:szCs w:val="24"/>
              </w:rPr>
            </w:pPr>
            <w:r w:rsidRPr="00F01C34">
              <w:rPr>
                <w:rFonts w:ascii="Arial" w:hAnsi="Arial" w:cs="Arial"/>
                <w:b/>
                <w:szCs w:val="24"/>
              </w:rPr>
              <w:t>£</w:t>
            </w:r>
            <w:r w:rsidR="00B07264" w:rsidRPr="00F01C34">
              <w:rPr>
                <w:rFonts w:ascii="Arial" w:hAnsi="Arial" w:cs="Arial"/>
                <w:b/>
                <w:szCs w:val="24"/>
              </w:rPr>
              <w:t>404</w:t>
            </w:r>
            <w:r w:rsidRPr="00F01C34">
              <w:rPr>
                <w:rFonts w:ascii="Arial" w:hAnsi="Arial" w:cs="Arial"/>
                <w:b/>
                <w:szCs w:val="24"/>
              </w:rPr>
              <w:t>m</w:t>
            </w:r>
          </w:p>
        </w:tc>
        <w:tc>
          <w:tcPr>
            <w:tcW w:w="714" w:type="pct"/>
            <w:shd w:val="clear" w:color="auto" w:fill="auto"/>
          </w:tcPr>
          <w:p w14:paraId="1E9609AC" w14:textId="41EB2697" w:rsidR="004F6F8A" w:rsidRPr="00230CDB" w:rsidRDefault="004F6F8A" w:rsidP="004F6F8A">
            <w:pPr>
              <w:jc w:val="right"/>
              <w:rPr>
                <w:rFonts w:ascii="Arial" w:hAnsi="Arial" w:cs="Arial"/>
                <w:szCs w:val="24"/>
              </w:rPr>
            </w:pPr>
            <w:r w:rsidRPr="00230CDB">
              <w:rPr>
                <w:rFonts w:ascii="Arial" w:hAnsi="Arial" w:cs="Arial"/>
                <w:szCs w:val="24"/>
              </w:rPr>
              <w:t>£467m</w:t>
            </w:r>
            <w:r w:rsidRPr="00230CDB" w:rsidDel="00265815">
              <w:rPr>
                <w:rFonts w:ascii="Arial" w:hAnsi="Arial" w:cs="Arial"/>
                <w:szCs w:val="24"/>
              </w:rPr>
              <w:t xml:space="preserve"> </w:t>
            </w:r>
          </w:p>
        </w:tc>
        <w:tc>
          <w:tcPr>
            <w:tcW w:w="701" w:type="pct"/>
          </w:tcPr>
          <w:p w14:paraId="7CFDC1E1" w14:textId="6A443CD7" w:rsidR="004F6F8A" w:rsidRPr="00230CDB" w:rsidRDefault="000A4EE0" w:rsidP="004F6F8A">
            <w:pPr>
              <w:jc w:val="right"/>
              <w:rPr>
                <w:rFonts w:ascii="Arial" w:hAnsi="Arial" w:cs="Arial"/>
                <w:szCs w:val="24"/>
              </w:rPr>
            </w:pPr>
            <w:r w:rsidRPr="00230CDB">
              <w:rPr>
                <w:rFonts w:ascii="Arial" w:hAnsi="Arial" w:cs="Arial"/>
                <w:szCs w:val="24"/>
              </w:rPr>
              <w:t>(</w:t>
            </w:r>
            <w:proofErr w:type="gramStart"/>
            <w:r w:rsidRPr="00F01C34">
              <w:rPr>
                <w:rFonts w:ascii="Arial" w:hAnsi="Arial" w:cs="Arial"/>
              </w:rPr>
              <w:t>13.5)</w:t>
            </w:r>
            <w:r w:rsidR="004F6F8A" w:rsidRPr="00230CDB">
              <w:rPr>
                <w:rFonts w:ascii="Arial" w:hAnsi="Arial" w:cs="Arial"/>
                <w:szCs w:val="24"/>
              </w:rPr>
              <w:t>%</w:t>
            </w:r>
            <w:proofErr w:type="gramEnd"/>
            <w:r w:rsidR="004F6F8A" w:rsidRPr="00230CDB" w:rsidDel="00265815">
              <w:rPr>
                <w:rFonts w:ascii="Arial" w:hAnsi="Arial" w:cs="Arial"/>
                <w:szCs w:val="24"/>
              </w:rPr>
              <w:t xml:space="preserve"> </w:t>
            </w:r>
          </w:p>
        </w:tc>
        <w:tc>
          <w:tcPr>
            <w:tcW w:w="728" w:type="pct"/>
            <w:shd w:val="clear" w:color="auto" w:fill="auto"/>
          </w:tcPr>
          <w:p w14:paraId="2E03CFFF" w14:textId="1149365C" w:rsidR="004F6F8A" w:rsidRPr="00230CDB" w:rsidRDefault="000A4EE0" w:rsidP="004F6F8A">
            <w:pPr>
              <w:jc w:val="right"/>
              <w:rPr>
                <w:rFonts w:ascii="Arial" w:hAnsi="Arial" w:cs="Arial"/>
                <w:szCs w:val="24"/>
              </w:rPr>
            </w:pPr>
            <w:r w:rsidRPr="00F01C34">
              <w:rPr>
                <w:rFonts w:ascii="Arial" w:hAnsi="Arial" w:cs="Arial"/>
              </w:rPr>
              <w:t>(</w:t>
            </w:r>
            <w:proofErr w:type="gramStart"/>
            <w:r w:rsidRPr="00F01C34">
              <w:rPr>
                <w:rFonts w:ascii="Arial" w:hAnsi="Arial" w:cs="Arial"/>
              </w:rPr>
              <w:t>14.3)</w:t>
            </w:r>
            <w:r w:rsidR="004F6F8A" w:rsidRPr="00230CDB">
              <w:rPr>
                <w:rFonts w:ascii="Arial" w:hAnsi="Arial" w:cs="Arial"/>
                <w:szCs w:val="24"/>
              </w:rPr>
              <w:t>%</w:t>
            </w:r>
            <w:proofErr w:type="gramEnd"/>
            <w:r w:rsidR="004F6F8A" w:rsidRPr="00230CDB" w:rsidDel="00265815">
              <w:rPr>
                <w:rFonts w:ascii="Arial" w:hAnsi="Arial" w:cs="Arial"/>
                <w:szCs w:val="24"/>
              </w:rPr>
              <w:t xml:space="preserve"> </w:t>
            </w:r>
          </w:p>
        </w:tc>
      </w:tr>
      <w:tr w:rsidR="004F6F8A" w:rsidRPr="00667C8E" w14:paraId="04CD7F9D" w14:textId="77777777" w:rsidTr="00925EFB">
        <w:tc>
          <w:tcPr>
            <w:tcW w:w="2071" w:type="pct"/>
            <w:shd w:val="clear" w:color="auto" w:fill="auto"/>
          </w:tcPr>
          <w:p w14:paraId="71B73E2E" w14:textId="77777777" w:rsidR="004F6F8A" w:rsidRPr="00AC598B" w:rsidRDefault="004F6F8A" w:rsidP="004F6F8A">
            <w:pPr>
              <w:rPr>
                <w:rFonts w:ascii="Arial" w:hAnsi="Arial" w:cs="Arial"/>
                <w:szCs w:val="24"/>
              </w:rPr>
            </w:pPr>
            <w:r w:rsidRPr="00AC598B">
              <w:rPr>
                <w:rFonts w:ascii="Arial" w:hAnsi="Arial" w:cs="Arial"/>
                <w:szCs w:val="24"/>
              </w:rPr>
              <w:t>Underlying pre-tax profit</w:t>
            </w:r>
          </w:p>
        </w:tc>
        <w:tc>
          <w:tcPr>
            <w:tcW w:w="786" w:type="pct"/>
            <w:shd w:val="clear" w:color="auto" w:fill="auto"/>
          </w:tcPr>
          <w:p w14:paraId="1DD968D1" w14:textId="40B71E1F" w:rsidR="004F6F8A" w:rsidRPr="00230CDB" w:rsidDel="00265815" w:rsidRDefault="004F6F8A" w:rsidP="004F6F8A">
            <w:pPr>
              <w:jc w:val="right"/>
              <w:rPr>
                <w:rFonts w:ascii="Arial" w:hAnsi="Arial" w:cs="Arial"/>
                <w:b/>
                <w:szCs w:val="24"/>
              </w:rPr>
            </w:pPr>
            <w:r w:rsidRPr="00F01C34">
              <w:rPr>
                <w:rFonts w:ascii="Arial" w:hAnsi="Arial" w:cs="Arial"/>
                <w:b/>
                <w:szCs w:val="24"/>
              </w:rPr>
              <w:t>£</w:t>
            </w:r>
            <w:r w:rsidR="000A4EE0" w:rsidRPr="00F01C34">
              <w:rPr>
                <w:rFonts w:ascii="Arial" w:hAnsi="Arial" w:cs="Arial"/>
                <w:b/>
                <w:szCs w:val="24"/>
              </w:rPr>
              <w:t>375</w:t>
            </w:r>
            <w:r w:rsidRPr="00F01C34">
              <w:rPr>
                <w:rFonts w:ascii="Arial" w:hAnsi="Arial" w:cs="Arial"/>
                <w:b/>
                <w:szCs w:val="24"/>
              </w:rPr>
              <w:t>m</w:t>
            </w:r>
          </w:p>
        </w:tc>
        <w:tc>
          <w:tcPr>
            <w:tcW w:w="714" w:type="pct"/>
            <w:shd w:val="clear" w:color="auto" w:fill="auto"/>
          </w:tcPr>
          <w:p w14:paraId="3896E860" w14:textId="6FFE3B8B" w:rsidR="004F6F8A" w:rsidRPr="00230CDB" w:rsidRDefault="004F6F8A" w:rsidP="004F6F8A">
            <w:pPr>
              <w:jc w:val="right"/>
              <w:rPr>
                <w:rFonts w:ascii="Arial" w:hAnsi="Arial" w:cs="Arial"/>
                <w:szCs w:val="24"/>
              </w:rPr>
            </w:pPr>
            <w:r w:rsidRPr="00230CDB">
              <w:rPr>
                <w:rFonts w:ascii="Arial" w:hAnsi="Arial" w:cs="Arial"/>
                <w:szCs w:val="24"/>
              </w:rPr>
              <w:t>£440m</w:t>
            </w:r>
          </w:p>
        </w:tc>
        <w:tc>
          <w:tcPr>
            <w:tcW w:w="701" w:type="pct"/>
          </w:tcPr>
          <w:p w14:paraId="105D8B89" w14:textId="69E242C2" w:rsidR="004F6F8A" w:rsidRPr="00230CDB" w:rsidDel="00265815" w:rsidRDefault="000A4EE0" w:rsidP="004F6F8A">
            <w:pPr>
              <w:jc w:val="right"/>
              <w:rPr>
                <w:rFonts w:ascii="Arial" w:hAnsi="Arial" w:cs="Arial"/>
                <w:szCs w:val="24"/>
              </w:rPr>
            </w:pPr>
            <w:r w:rsidRPr="00F01C34">
              <w:rPr>
                <w:rFonts w:ascii="Arial" w:hAnsi="Arial" w:cs="Arial"/>
              </w:rPr>
              <w:t>(</w:t>
            </w:r>
            <w:proofErr w:type="gramStart"/>
            <w:r w:rsidRPr="00F01C34">
              <w:rPr>
                <w:rFonts w:ascii="Arial" w:hAnsi="Arial" w:cs="Arial"/>
              </w:rPr>
              <w:t>14.8)</w:t>
            </w:r>
            <w:r w:rsidR="004F6F8A" w:rsidRPr="00230CDB">
              <w:rPr>
                <w:rFonts w:ascii="Arial" w:hAnsi="Arial" w:cs="Arial"/>
                <w:szCs w:val="24"/>
              </w:rPr>
              <w:t>%</w:t>
            </w:r>
            <w:proofErr w:type="gramEnd"/>
            <w:r w:rsidR="004F6F8A" w:rsidRPr="00230CDB" w:rsidDel="00265815">
              <w:rPr>
                <w:rFonts w:ascii="Arial" w:hAnsi="Arial" w:cs="Arial"/>
                <w:szCs w:val="24"/>
              </w:rPr>
              <w:t xml:space="preserve"> </w:t>
            </w:r>
          </w:p>
        </w:tc>
        <w:tc>
          <w:tcPr>
            <w:tcW w:w="728" w:type="pct"/>
            <w:shd w:val="clear" w:color="auto" w:fill="auto"/>
          </w:tcPr>
          <w:p w14:paraId="6FBEC662" w14:textId="77777777" w:rsidR="004F6F8A" w:rsidRPr="00230CDB" w:rsidRDefault="004F6F8A" w:rsidP="004F6F8A">
            <w:pPr>
              <w:jc w:val="right"/>
              <w:rPr>
                <w:rFonts w:ascii="Arial" w:hAnsi="Arial" w:cs="Arial"/>
                <w:szCs w:val="24"/>
              </w:rPr>
            </w:pPr>
          </w:p>
        </w:tc>
      </w:tr>
      <w:tr w:rsidR="004F6F8A" w:rsidRPr="00667C8E" w14:paraId="167A531F" w14:textId="77777777" w:rsidTr="00925EFB">
        <w:tc>
          <w:tcPr>
            <w:tcW w:w="2071" w:type="pct"/>
            <w:shd w:val="clear" w:color="auto" w:fill="auto"/>
          </w:tcPr>
          <w:p w14:paraId="5AA54DA0" w14:textId="40E1861A" w:rsidR="004F6F8A" w:rsidRPr="00AC598B" w:rsidRDefault="004F6F8A" w:rsidP="004F6F8A">
            <w:pPr>
              <w:rPr>
                <w:rFonts w:ascii="Arial" w:hAnsi="Arial" w:cs="Arial"/>
                <w:szCs w:val="24"/>
              </w:rPr>
            </w:pPr>
            <w:r w:rsidRPr="00AC598B">
              <w:rPr>
                <w:rFonts w:ascii="Arial" w:hAnsi="Arial" w:cs="Arial"/>
                <w:szCs w:val="24"/>
              </w:rPr>
              <w:t xml:space="preserve">Transformation P&amp;L costs </w:t>
            </w:r>
            <w:r w:rsidRPr="00AC598B">
              <w:rPr>
                <w:rFonts w:ascii="Arial" w:hAnsi="Arial" w:cs="Arial"/>
                <w:szCs w:val="24"/>
                <w:vertAlign w:val="superscript"/>
              </w:rPr>
              <w:t>(1)</w:t>
            </w:r>
          </w:p>
        </w:tc>
        <w:tc>
          <w:tcPr>
            <w:tcW w:w="786" w:type="pct"/>
            <w:shd w:val="clear" w:color="auto" w:fill="auto"/>
          </w:tcPr>
          <w:p w14:paraId="129FD7AF" w14:textId="2827EAD0" w:rsidR="004F6F8A" w:rsidRPr="00230CDB" w:rsidDel="00265815" w:rsidRDefault="004F6F8A" w:rsidP="004F6F8A">
            <w:pPr>
              <w:jc w:val="right"/>
              <w:rPr>
                <w:rFonts w:ascii="Arial" w:hAnsi="Arial" w:cs="Arial"/>
                <w:b/>
                <w:szCs w:val="24"/>
              </w:rPr>
            </w:pPr>
            <w:proofErr w:type="gramStart"/>
            <w:r w:rsidRPr="00F01C34">
              <w:rPr>
                <w:rFonts w:ascii="Arial" w:hAnsi="Arial" w:cs="Arial"/>
                <w:b/>
                <w:szCs w:val="24"/>
              </w:rPr>
              <w:t>£</w:t>
            </w:r>
            <w:r w:rsidR="000A4EE0" w:rsidRPr="00F01C34">
              <w:rPr>
                <w:rFonts w:ascii="Arial" w:hAnsi="Arial" w:cs="Arial"/>
                <w:b/>
                <w:szCs w:val="24"/>
              </w:rPr>
              <w:t>(</w:t>
            </w:r>
            <w:proofErr w:type="gramEnd"/>
            <w:r w:rsidR="000A4EE0" w:rsidRPr="00F01C34">
              <w:rPr>
                <w:rFonts w:ascii="Arial" w:hAnsi="Arial" w:cs="Arial"/>
                <w:b/>
                <w:szCs w:val="24"/>
              </w:rPr>
              <w:t>52)</w:t>
            </w:r>
            <w:r w:rsidRPr="00F01C34">
              <w:rPr>
                <w:rFonts w:ascii="Arial" w:hAnsi="Arial" w:cs="Arial"/>
                <w:b/>
                <w:szCs w:val="24"/>
              </w:rPr>
              <w:t>m</w:t>
            </w:r>
          </w:p>
        </w:tc>
        <w:tc>
          <w:tcPr>
            <w:tcW w:w="714" w:type="pct"/>
            <w:shd w:val="clear" w:color="auto" w:fill="auto"/>
          </w:tcPr>
          <w:p w14:paraId="1921FEE9" w14:textId="687AEA1A" w:rsidR="004F6F8A" w:rsidRPr="00230CDB" w:rsidRDefault="004F6F8A" w:rsidP="004F6F8A">
            <w:pPr>
              <w:jc w:val="right"/>
              <w:rPr>
                <w:rFonts w:ascii="Arial" w:hAnsi="Arial" w:cs="Arial"/>
                <w:szCs w:val="24"/>
              </w:rPr>
            </w:pPr>
            <w:proofErr w:type="gramStart"/>
            <w:r w:rsidRPr="00230CDB">
              <w:rPr>
                <w:rFonts w:ascii="Arial" w:hAnsi="Arial" w:cs="Arial"/>
                <w:szCs w:val="24"/>
              </w:rPr>
              <w:t>£</w:t>
            </w:r>
            <w:r w:rsidR="000A4EE0" w:rsidRPr="00230CDB">
              <w:rPr>
                <w:rFonts w:ascii="Arial" w:hAnsi="Arial" w:cs="Arial"/>
                <w:szCs w:val="24"/>
              </w:rPr>
              <w:t>(</w:t>
            </w:r>
            <w:proofErr w:type="gramEnd"/>
            <w:r w:rsidRPr="00230CDB">
              <w:rPr>
                <w:rFonts w:ascii="Arial" w:hAnsi="Arial" w:cs="Arial"/>
                <w:szCs w:val="24"/>
              </w:rPr>
              <w:t>46</w:t>
            </w:r>
            <w:r w:rsidR="000A4EE0" w:rsidRPr="00230CDB">
              <w:rPr>
                <w:rFonts w:ascii="Arial" w:hAnsi="Arial" w:cs="Arial"/>
                <w:szCs w:val="24"/>
              </w:rPr>
              <w:t>)</w:t>
            </w:r>
            <w:r w:rsidRPr="00230CDB">
              <w:rPr>
                <w:rFonts w:ascii="Arial" w:hAnsi="Arial" w:cs="Arial"/>
                <w:szCs w:val="24"/>
              </w:rPr>
              <w:t>m</w:t>
            </w:r>
          </w:p>
        </w:tc>
        <w:tc>
          <w:tcPr>
            <w:tcW w:w="701" w:type="pct"/>
          </w:tcPr>
          <w:p w14:paraId="483CFC2C" w14:textId="3189CF59" w:rsidR="004F6F8A" w:rsidRPr="00230CDB" w:rsidDel="00265815" w:rsidRDefault="000F5400" w:rsidP="004F6F8A">
            <w:pPr>
              <w:jc w:val="right"/>
              <w:rPr>
                <w:rFonts w:ascii="Arial" w:hAnsi="Arial" w:cs="Arial"/>
                <w:szCs w:val="24"/>
              </w:rPr>
            </w:pPr>
            <w:r w:rsidRPr="00230CDB">
              <w:rPr>
                <w:rFonts w:ascii="Arial" w:hAnsi="Arial" w:cs="Arial"/>
                <w:szCs w:val="24"/>
              </w:rPr>
              <w:t>n/a</w:t>
            </w:r>
          </w:p>
        </w:tc>
        <w:tc>
          <w:tcPr>
            <w:tcW w:w="728" w:type="pct"/>
            <w:shd w:val="clear" w:color="auto" w:fill="auto"/>
          </w:tcPr>
          <w:p w14:paraId="66A3016B" w14:textId="77777777" w:rsidR="004F6F8A" w:rsidRPr="00230CDB" w:rsidRDefault="004F6F8A" w:rsidP="004F6F8A">
            <w:pPr>
              <w:jc w:val="right"/>
              <w:rPr>
                <w:rFonts w:ascii="Arial" w:hAnsi="Arial" w:cs="Arial"/>
                <w:szCs w:val="24"/>
                <w:highlight w:val="yellow"/>
              </w:rPr>
            </w:pPr>
          </w:p>
        </w:tc>
      </w:tr>
      <w:tr w:rsidR="004F6F8A" w:rsidRPr="00667C8E" w14:paraId="59138906" w14:textId="77777777" w:rsidTr="00925EFB">
        <w:tc>
          <w:tcPr>
            <w:tcW w:w="2071" w:type="pct"/>
            <w:shd w:val="clear" w:color="auto" w:fill="auto"/>
          </w:tcPr>
          <w:p w14:paraId="6DD3794B" w14:textId="77777777" w:rsidR="004F6F8A" w:rsidRPr="00AC598B" w:rsidRDefault="004F6F8A" w:rsidP="004F6F8A">
            <w:pPr>
              <w:rPr>
                <w:rFonts w:ascii="Arial" w:hAnsi="Arial" w:cs="Arial"/>
                <w:szCs w:val="24"/>
              </w:rPr>
            </w:pPr>
            <w:r w:rsidRPr="00AC598B">
              <w:rPr>
                <w:rFonts w:ascii="Arial" w:hAnsi="Arial" w:cs="Arial"/>
                <w:szCs w:val="24"/>
              </w:rPr>
              <w:t xml:space="preserve">Adjusted pre-tax profit </w:t>
            </w:r>
          </w:p>
        </w:tc>
        <w:tc>
          <w:tcPr>
            <w:tcW w:w="786" w:type="pct"/>
            <w:shd w:val="clear" w:color="auto" w:fill="auto"/>
          </w:tcPr>
          <w:p w14:paraId="64E11274" w14:textId="0EE467F8" w:rsidR="004F6F8A" w:rsidRPr="00230CDB" w:rsidRDefault="004F6F8A" w:rsidP="004F6F8A">
            <w:pPr>
              <w:jc w:val="right"/>
              <w:rPr>
                <w:rFonts w:ascii="Arial" w:hAnsi="Arial" w:cs="Arial"/>
                <w:b/>
                <w:szCs w:val="24"/>
              </w:rPr>
            </w:pPr>
            <w:r w:rsidRPr="00F01C34">
              <w:rPr>
                <w:rFonts w:ascii="Arial" w:hAnsi="Arial" w:cs="Arial"/>
                <w:b/>
                <w:szCs w:val="24"/>
              </w:rPr>
              <w:t>£</w:t>
            </w:r>
            <w:r w:rsidR="000A4EE0" w:rsidRPr="00F01C34">
              <w:rPr>
                <w:rFonts w:ascii="Arial" w:hAnsi="Arial" w:cs="Arial"/>
                <w:b/>
                <w:szCs w:val="24"/>
              </w:rPr>
              <w:t>323</w:t>
            </w:r>
            <w:r w:rsidRPr="00F01C34">
              <w:rPr>
                <w:rFonts w:ascii="Arial" w:hAnsi="Arial" w:cs="Arial"/>
                <w:b/>
                <w:szCs w:val="24"/>
              </w:rPr>
              <w:t>m</w:t>
            </w:r>
          </w:p>
        </w:tc>
        <w:tc>
          <w:tcPr>
            <w:tcW w:w="714" w:type="pct"/>
            <w:shd w:val="clear" w:color="auto" w:fill="auto"/>
          </w:tcPr>
          <w:p w14:paraId="298DCEAC" w14:textId="727E276E" w:rsidR="004F6F8A" w:rsidRPr="00230CDB" w:rsidRDefault="004F6F8A" w:rsidP="004F6F8A">
            <w:pPr>
              <w:jc w:val="right"/>
              <w:rPr>
                <w:rFonts w:ascii="Arial" w:hAnsi="Arial" w:cs="Arial"/>
                <w:szCs w:val="24"/>
              </w:rPr>
            </w:pPr>
            <w:r w:rsidRPr="00230CDB">
              <w:rPr>
                <w:rFonts w:ascii="Arial" w:hAnsi="Arial" w:cs="Arial"/>
                <w:szCs w:val="24"/>
              </w:rPr>
              <w:t>£394m</w:t>
            </w:r>
            <w:r w:rsidRPr="00230CDB" w:rsidDel="00265815">
              <w:rPr>
                <w:rFonts w:ascii="Arial" w:hAnsi="Arial" w:cs="Arial"/>
                <w:szCs w:val="24"/>
              </w:rPr>
              <w:t xml:space="preserve"> </w:t>
            </w:r>
          </w:p>
        </w:tc>
        <w:tc>
          <w:tcPr>
            <w:tcW w:w="701" w:type="pct"/>
          </w:tcPr>
          <w:p w14:paraId="403E70DB" w14:textId="0FCC5F6D" w:rsidR="004F6F8A" w:rsidRPr="00230CDB" w:rsidRDefault="00FE229E" w:rsidP="004F6F8A">
            <w:pPr>
              <w:jc w:val="right"/>
              <w:rPr>
                <w:rFonts w:ascii="Arial" w:hAnsi="Arial" w:cs="Arial"/>
                <w:szCs w:val="24"/>
              </w:rPr>
            </w:pPr>
            <w:r w:rsidRPr="00F01C34">
              <w:rPr>
                <w:rFonts w:ascii="Arial" w:hAnsi="Arial" w:cs="Arial"/>
              </w:rPr>
              <w:t>(</w:t>
            </w:r>
            <w:proofErr w:type="gramStart"/>
            <w:r w:rsidRPr="00F01C34">
              <w:rPr>
                <w:rFonts w:ascii="Arial" w:hAnsi="Arial" w:cs="Arial"/>
              </w:rPr>
              <w:t>18.0)</w:t>
            </w:r>
            <w:r w:rsidR="004F6F8A" w:rsidRPr="00230CDB">
              <w:rPr>
                <w:rFonts w:ascii="Arial" w:hAnsi="Arial" w:cs="Arial"/>
                <w:szCs w:val="24"/>
              </w:rPr>
              <w:t>%</w:t>
            </w:r>
            <w:proofErr w:type="gramEnd"/>
            <w:r w:rsidR="004F6F8A" w:rsidRPr="00230CDB" w:rsidDel="00265815">
              <w:rPr>
                <w:rFonts w:ascii="Arial" w:hAnsi="Arial" w:cs="Arial"/>
                <w:szCs w:val="24"/>
              </w:rPr>
              <w:t xml:space="preserve"> </w:t>
            </w:r>
          </w:p>
        </w:tc>
        <w:tc>
          <w:tcPr>
            <w:tcW w:w="728" w:type="pct"/>
            <w:shd w:val="clear" w:color="auto" w:fill="auto"/>
          </w:tcPr>
          <w:p w14:paraId="367C4944" w14:textId="77777777" w:rsidR="004F6F8A" w:rsidRPr="00230CDB" w:rsidRDefault="004F6F8A" w:rsidP="004F6F8A">
            <w:pPr>
              <w:jc w:val="right"/>
              <w:rPr>
                <w:rFonts w:ascii="Arial" w:hAnsi="Arial" w:cs="Arial"/>
                <w:szCs w:val="24"/>
                <w:highlight w:val="yellow"/>
              </w:rPr>
            </w:pPr>
          </w:p>
        </w:tc>
      </w:tr>
      <w:tr w:rsidR="004F6F8A" w:rsidRPr="00667C8E" w14:paraId="4686AF62" w14:textId="77777777" w:rsidTr="00925EFB">
        <w:tc>
          <w:tcPr>
            <w:tcW w:w="2071" w:type="pct"/>
            <w:shd w:val="clear" w:color="auto" w:fill="auto"/>
          </w:tcPr>
          <w:p w14:paraId="5D7C846B" w14:textId="45B76467" w:rsidR="004F6F8A" w:rsidRPr="00AC598B" w:rsidRDefault="004F6F8A" w:rsidP="004F6F8A">
            <w:pPr>
              <w:rPr>
                <w:rFonts w:ascii="Arial" w:hAnsi="Arial" w:cs="Arial"/>
                <w:szCs w:val="24"/>
              </w:rPr>
            </w:pPr>
            <w:r w:rsidRPr="00AC598B">
              <w:rPr>
                <w:rFonts w:ascii="Arial" w:hAnsi="Arial" w:cs="Arial"/>
                <w:szCs w:val="24"/>
              </w:rPr>
              <w:t xml:space="preserve">Statutory pre-tax profit </w:t>
            </w:r>
          </w:p>
        </w:tc>
        <w:tc>
          <w:tcPr>
            <w:tcW w:w="786" w:type="pct"/>
            <w:shd w:val="clear" w:color="auto" w:fill="auto"/>
          </w:tcPr>
          <w:p w14:paraId="0CF0E387" w14:textId="2E759883" w:rsidR="004F6F8A" w:rsidRPr="00230CDB" w:rsidRDefault="004F6F8A" w:rsidP="004F6F8A">
            <w:pPr>
              <w:jc w:val="right"/>
              <w:rPr>
                <w:rFonts w:ascii="Arial" w:hAnsi="Arial" w:cs="Arial"/>
                <w:b/>
                <w:szCs w:val="24"/>
              </w:rPr>
            </w:pPr>
            <w:r w:rsidRPr="00F01C34">
              <w:rPr>
                <w:rFonts w:ascii="Arial" w:hAnsi="Arial" w:cs="Arial"/>
                <w:b/>
                <w:szCs w:val="24"/>
              </w:rPr>
              <w:t>£</w:t>
            </w:r>
            <w:r w:rsidR="000A4EE0" w:rsidRPr="00F01C34">
              <w:rPr>
                <w:rFonts w:ascii="Arial" w:hAnsi="Arial" w:cs="Arial"/>
                <w:b/>
                <w:szCs w:val="24"/>
              </w:rPr>
              <w:t>281</w:t>
            </w:r>
            <w:r w:rsidRPr="00F01C34">
              <w:rPr>
                <w:rFonts w:ascii="Arial" w:hAnsi="Arial" w:cs="Arial"/>
                <w:b/>
                <w:szCs w:val="24"/>
              </w:rPr>
              <w:t>m</w:t>
            </w:r>
          </w:p>
        </w:tc>
        <w:tc>
          <w:tcPr>
            <w:tcW w:w="714" w:type="pct"/>
            <w:shd w:val="clear" w:color="auto" w:fill="auto"/>
          </w:tcPr>
          <w:p w14:paraId="10555FAD" w14:textId="760BA7CC" w:rsidR="004F6F8A" w:rsidRPr="00230CDB" w:rsidRDefault="004F6F8A" w:rsidP="004F6F8A">
            <w:pPr>
              <w:jc w:val="right"/>
              <w:rPr>
                <w:rFonts w:ascii="Arial" w:hAnsi="Arial" w:cs="Arial"/>
                <w:szCs w:val="24"/>
              </w:rPr>
            </w:pPr>
            <w:r w:rsidRPr="00230CDB">
              <w:rPr>
                <w:rFonts w:ascii="Arial" w:hAnsi="Arial" w:cs="Arial"/>
                <w:szCs w:val="24"/>
              </w:rPr>
              <w:t>£402m</w:t>
            </w:r>
            <w:r w:rsidRPr="00230CDB" w:rsidDel="00265815">
              <w:rPr>
                <w:rFonts w:ascii="Arial" w:hAnsi="Arial" w:cs="Arial"/>
                <w:szCs w:val="24"/>
              </w:rPr>
              <w:t xml:space="preserve"> </w:t>
            </w:r>
          </w:p>
        </w:tc>
        <w:tc>
          <w:tcPr>
            <w:tcW w:w="701" w:type="pct"/>
          </w:tcPr>
          <w:p w14:paraId="36443B14" w14:textId="7B5F38A3" w:rsidR="004F6F8A" w:rsidRPr="00230CDB" w:rsidRDefault="00FE229E" w:rsidP="004F6F8A">
            <w:pPr>
              <w:jc w:val="right"/>
              <w:rPr>
                <w:rFonts w:ascii="Arial" w:hAnsi="Arial" w:cs="Arial"/>
                <w:szCs w:val="24"/>
              </w:rPr>
            </w:pPr>
            <w:r w:rsidRPr="00F01C34">
              <w:rPr>
                <w:rFonts w:ascii="Arial" w:hAnsi="Arial" w:cs="Arial"/>
              </w:rPr>
              <w:t>(</w:t>
            </w:r>
            <w:proofErr w:type="gramStart"/>
            <w:r w:rsidRPr="00F01C34">
              <w:rPr>
                <w:rFonts w:ascii="Arial" w:hAnsi="Arial" w:cs="Arial"/>
              </w:rPr>
              <w:t>30.1)</w:t>
            </w:r>
            <w:r w:rsidR="004F6F8A" w:rsidRPr="00230CDB">
              <w:rPr>
                <w:rFonts w:ascii="Arial" w:hAnsi="Arial" w:cs="Arial"/>
                <w:szCs w:val="24"/>
              </w:rPr>
              <w:t>%</w:t>
            </w:r>
            <w:proofErr w:type="gramEnd"/>
            <w:r w:rsidR="004F6F8A" w:rsidRPr="00230CDB" w:rsidDel="00265815">
              <w:rPr>
                <w:rFonts w:ascii="Arial" w:hAnsi="Arial" w:cs="Arial"/>
                <w:szCs w:val="24"/>
              </w:rPr>
              <w:t xml:space="preserve"> </w:t>
            </w:r>
          </w:p>
        </w:tc>
        <w:tc>
          <w:tcPr>
            <w:tcW w:w="728" w:type="pct"/>
            <w:shd w:val="clear" w:color="auto" w:fill="auto"/>
          </w:tcPr>
          <w:p w14:paraId="729B2FD3" w14:textId="77777777" w:rsidR="004F6F8A" w:rsidRPr="00230CDB" w:rsidRDefault="004F6F8A" w:rsidP="004F6F8A">
            <w:pPr>
              <w:jc w:val="right"/>
              <w:rPr>
                <w:rFonts w:ascii="Arial" w:hAnsi="Arial" w:cs="Arial"/>
                <w:szCs w:val="24"/>
                <w:highlight w:val="yellow"/>
              </w:rPr>
            </w:pPr>
          </w:p>
        </w:tc>
      </w:tr>
      <w:tr w:rsidR="004F6F8A" w:rsidRPr="00667C8E" w14:paraId="1D63175A" w14:textId="77777777" w:rsidTr="00925EFB">
        <w:tc>
          <w:tcPr>
            <w:tcW w:w="2071" w:type="pct"/>
            <w:shd w:val="clear" w:color="auto" w:fill="auto"/>
          </w:tcPr>
          <w:p w14:paraId="380314A6" w14:textId="506E5E5C" w:rsidR="004F6F8A" w:rsidRPr="00AC598B" w:rsidRDefault="004F6F8A" w:rsidP="004F6F8A">
            <w:pPr>
              <w:rPr>
                <w:rFonts w:ascii="Arial" w:hAnsi="Arial" w:cs="Arial"/>
                <w:szCs w:val="24"/>
              </w:rPr>
            </w:pPr>
            <w:r w:rsidRPr="00AC598B">
              <w:rPr>
                <w:rFonts w:ascii="Arial" w:hAnsi="Arial" w:cs="Arial"/>
                <w:szCs w:val="24"/>
              </w:rPr>
              <w:t>Exceptional items</w:t>
            </w:r>
            <w:r w:rsidR="005E757F">
              <w:rPr>
                <w:rFonts w:ascii="Arial" w:hAnsi="Arial" w:cs="Arial"/>
                <w:szCs w:val="24"/>
              </w:rPr>
              <w:t>*</w:t>
            </w:r>
            <w:r w:rsidRPr="00AC598B">
              <w:rPr>
                <w:rFonts w:ascii="Arial" w:hAnsi="Arial" w:cs="Arial"/>
                <w:szCs w:val="24"/>
              </w:rPr>
              <w:t xml:space="preserve"> (post-tax) </w:t>
            </w:r>
            <w:r w:rsidRPr="00AC598B">
              <w:rPr>
                <w:rFonts w:ascii="Arial" w:hAnsi="Arial" w:cs="Arial"/>
                <w:szCs w:val="24"/>
                <w:vertAlign w:val="superscript"/>
              </w:rPr>
              <w:t>(1)</w:t>
            </w:r>
          </w:p>
        </w:tc>
        <w:tc>
          <w:tcPr>
            <w:tcW w:w="786" w:type="pct"/>
            <w:shd w:val="clear" w:color="auto" w:fill="auto"/>
          </w:tcPr>
          <w:p w14:paraId="693BFA2C" w14:textId="43FA09B0" w:rsidR="004F6F8A" w:rsidRPr="00230CDB" w:rsidRDefault="004F6F8A" w:rsidP="004F6F8A">
            <w:pPr>
              <w:jc w:val="right"/>
              <w:rPr>
                <w:rFonts w:ascii="Arial" w:hAnsi="Arial" w:cs="Arial"/>
                <w:b/>
                <w:szCs w:val="24"/>
              </w:rPr>
            </w:pPr>
            <w:proofErr w:type="gramStart"/>
            <w:r w:rsidRPr="00F01C34">
              <w:rPr>
                <w:rFonts w:ascii="Arial" w:hAnsi="Arial" w:cs="Arial"/>
                <w:b/>
                <w:szCs w:val="24"/>
              </w:rPr>
              <w:t>£</w:t>
            </w:r>
            <w:r w:rsidR="00FA297E" w:rsidRPr="00F01C34">
              <w:rPr>
                <w:rFonts w:ascii="Arial" w:hAnsi="Arial" w:cs="Arial"/>
                <w:b/>
                <w:szCs w:val="24"/>
              </w:rPr>
              <w:t>(</w:t>
            </w:r>
            <w:proofErr w:type="gramEnd"/>
            <w:r w:rsidR="00825079" w:rsidRPr="00F01C34">
              <w:rPr>
                <w:rFonts w:ascii="Arial" w:hAnsi="Arial" w:cs="Arial"/>
                <w:b/>
                <w:szCs w:val="24"/>
              </w:rPr>
              <w:t>2</w:t>
            </w:r>
            <w:r w:rsidR="008B30D8">
              <w:rPr>
                <w:rFonts w:ascii="Arial" w:hAnsi="Arial" w:cs="Arial"/>
                <w:b/>
                <w:szCs w:val="24"/>
              </w:rPr>
              <w:t>9</w:t>
            </w:r>
            <w:r w:rsidR="00FA297E" w:rsidRPr="00F01C34">
              <w:rPr>
                <w:rFonts w:ascii="Arial" w:hAnsi="Arial" w:cs="Arial"/>
                <w:b/>
                <w:szCs w:val="24"/>
              </w:rPr>
              <w:t>)</w:t>
            </w:r>
            <w:r w:rsidRPr="00F01C34">
              <w:rPr>
                <w:rFonts w:ascii="Arial" w:hAnsi="Arial" w:cs="Arial"/>
                <w:b/>
                <w:szCs w:val="24"/>
              </w:rPr>
              <w:t>m</w:t>
            </w:r>
          </w:p>
        </w:tc>
        <w:tc>
          <w:tcPr>
            <w:tcW w:w="714" w:type="pct"/>
            <w:shd w:val="clear" w:color="auto" w:fill="auto"/>
          </w:tcPr>
          <w:p w14:paraId="3CF949F8" w14:textId="535D7F91" w:rsidR="004F6F8A" w:rsidRPr="004F6F8A" w:rsidRDefault="004F6F8A" w:rsidP="004F6F8A">
            <w:pPr>
              <w:jc w:val="right"/>
              <w:rPr>
                <w:rFonts w:ascii="Arial" w:hAnsi="Arial" w:cs="Arial"/>
                <w:szCs w:val="24"/>
              </w:rPr>
            </w:pPr>
            <w:r w:rsidRPr="004F6F8A">
              <w:rPr>
                <w:rFonts w:ascii="Arial" w:hAnsi="Arial" w:cs="Arial"/>
                <w:szCs w:val="24"/>
              </w:rPr>
              <w:t>£7m</w:t>
            </w:r>
          </w:p>
        </w:tc>
        <w:tc>
          <w:tcPr>
            <w:tcW w:w="701" w:type="pct"/>
          </w:tcPr>
          <w:p w14:paraId="42977CB8" w14:textId="620379FC" w:rsidR="004F6F8A" w:rsidRPr="00AC598B" w:rsidRDefault="000A4EE0" w:rsidP="004F6F8A">
            <w:pPr>
              <w:jc w:val="right"/>
              <w:rPr>
                <w:rFonts w:ascii="Arial" w:hAnsi="Arial" w:cs="Arial"/>
                <w:szCs w:val="24"/>
              </w:rPr>
            </w:pPr>
            <w:r>
              <w:rPr>
                <w:rFonts w:ascii="Arial" w:hAnsi="Arial" w:cs="Arial"/>
                <w:szCs w:val="24"/>
              </w:rPr>
              <w:t>n</w:t>
            </w:r>
            <w:r w:rsidR="000F5400">
              <w:rPr>
                <w:rFonts w:ascii="Arial" w:hAnsi="Arial" w:cs="Arial"/>
                <w:szCs w:val="24"/>
              </w:rPr>
              <w:t>/</w:t>
            </w:r>
            <w:r>
              <w:rPr>
                <w:rFonts w:ascii="Arial" w:hAnsi="Arial" w:cs="Arial"/>
                <w:szCs w:val="24"/>
              </w:rPr>
              <w:t>a</w:t>
            </w:r>
            <w:r w:rsidR="004F6F8A" w:rsidRPr="0074198B" w:rsidDel="00265815">
              <w:rPr>
                <w:rFonts w:ascii="Arial" w:hAnsi="Arial" w:cs="Arial"/>
                <w:szCs w:val="24"/>
              </w:rPr>
              <w:t xml:space="preserve"> </w:t>
            </w:r>
          </w:p>
        </w:tc>
        <w:tc>
          <w:tcPr>
            <w:tcW w:w="728" w:type="pct"/>
            <w:shd w:val="clear" w:color="auto" w:fill="auto"/>
          </w:tcPr>
          <w:p w14:paraId="48987F93" w14:textId="77777777" w:rsidR="004F6F8A" w:rsidRPr="00AC598B" w:rsidRDefault="004F6F8A" w:rsidP="004F6F8A">
            <w:pPr>
              <w:jc w:val="right"/>
              <w:rPr>
                <w:rFonts w:ascii="Arial" w:hAnsi="Arial" w:cs="Arial"/>
                <w:szCs w:val="24"/>
                <w:highlight w:val="yellow"/>
              </w:rPr>
            </w:pPr>
          </w:p>
        </w:tc>
      </w:tr>
      <w:tr w:rsidR="006F073B" w:rsidRPr="00667C8E" w14:paraId="330CF691" w14:textId="77777777" w:rsidTr="00925EFB">
        <w:tc>
          <w:tcPr>
            <w:tcW w:w="2071" w:type="pct"/>
            <w:shd w:val="clear" w:color="auto" w:fill="auto"/>
          </w:tcPr>
          <w:p w14:paraId="1C76CE9C" w14:textId="6A527B8D" w:rsidR="006F073B" w:rsidRPr="00AC598B" w:rsidRDefault="00D30EAA" w:rsidP="006F073B">
            <w:pPr>
              <w:rPr>
                <w:rFonts w:ascii="Arial" w:hAnsi="Arial" w:cs="Arial"/>
                <w:szCs w:val="24"/>
              </w:rPr>
            </w:pPr>
            <w:r>
              <w:rPr>
                <w:rFonts w:ascii="Arial" w:hAnsi="Arial" w:cs="Arial"/>
                <w:szCs w:val="24"/>
              </w:rPr>
              <w:t>Adjusted e</w:t>
            </w:r>
            <w:r w:rsidR="006F073B" w:rsidRPr="00AC598B">
              <w:rPr>
                <w:rFonts w:ascii="Arial" w:hAnsi="Arial" w:cs="Arial"/>
                <w:szCs w:val="24"/>
              </w:rPr>
              <w:t>ffective tax rate</w:t>
            </w:r>
          </w:p>
        </w:tc>
        <w:tc>
          <w:tcPr>
            <w:tcW w:w="786" w:type="pct"/>
            <w:shd w:val="clear" w:color="auto" w:fill="auto"/>
          </w:tcPr>
          <w:p w14:paraId="14E0EA86" w14:textId="3A6B9083" w:rsidR="006F073B" w:rsidRPr="00AE7F6B" w:rsidRDefault="000A4EE0" w:rsidP="006F073B">
            <w:pPr>
              <w:jc w:val="right"/>
              <w:rPr>
                <w:rFonts w:ascii="Arial" w:hAnsi="Arial" w:cs="Arial"/>
                <w:b/>
                <w:color w:val="C00000"/>
                <w:szCs w:val="24"/>
              </w:rPr>
            </w:pPr>
            <w:r w:rsidRPr="00F01C34">
              <w:rPr>
                <w:rFonts w:ascii="Arial" w:hAnsi="Arial" w:cs="Arial"/>
                <w:b/>
                <w:szCs w:val="24"/>
              </w:rPr>
              <w:t>27</w:t>
            </w:r>
            <w:r w:rsidR="006F073B" w:rsidRPr="00F01C34">
              <w:rPr>
                <w:rFonts w:ascii="Arial" w:hAnsi="Arial" w:cs="Arial"/>
                <w:b/>
                <w:szCs w:val="24"/>
              </w:rPr>
              <w:t>%</w:t>
            </w:r>
          </w:p>
        </w:tc>
        <w:tc>
          <w:tcPr>
            <w:tcW w:w="714" w:type="pct"/>
            <w:shd w:val="clear" w:color="auto" w:fill="auto"/>
          </w:tcPr>
          <w:p w14:paraId="1391E4D5" w14:textId="656A945B" w:rsidR="006F073B" w:rsidRPr="00525B7C" w:rsidRDefault="006F073B" w:rsidP="006F073B">
            <w:pPr>
              <w:jc w:val="right"/>
              <w:rPr>
                <w:rFonts w:ascii="Arial" w:hAnsi="Arial" w:cs="Arial"/>
                <w:szCs w:val="24"/>
                <w:vertAlign w:val="superscript"/>
              </w:rPr>
            </w:pPr>
            <w:r w:rsidRPr="004F6F8A">
              <w:rPr>
                <w:rFonts w:ascii="Arial" w:hAnsi="Arial" w:cs="Arial"/>
                <w:szCs w:val="24"/>
              </w:rPr>
              <w:t>27%</w:t>
            </w:r>
          </w:p>
        </w:tc>
        <w:tc>
          <w:tcPr>
            <w:tcW w:w="701" w:type="pct"/>
          </w:tcPr>
          <w:p w14:paraId="5F048429" w14:textId="1AB7A918" w:rsidR="006F073B" w:rsidRPr="0074198B" w:rsidRDefault="00FE229E" w:rsidP="006F073B">
            <w:pPr>
              <w:jc w:val="right"/>
              <w:rPr>
                <w:rFonts w:ascii="Arial" w:hAnsi="Arial" w:cs="Arial"/>
                <w:szCs w:val="24"/>
              </w:rPr>
            </w:pPr>
            <w:r>
              <w:rPr>
                <w:rFonts w:ascii="Arial" w:hAnsi="Arial" w:cs="Arial"/>
                <w:szCs w:val="24"/>
              </w:rPr>
              <w:t>n/a</w:t>
            </w:r>
          </w:p>
        </w:tc>
        <w:tc>
          <w:tcPr>
            <w:tcW w:w="728" w:type="pct"/>
            <w:shd w:val="clear" w:color="auto" w:fill="auto"/>
          </w:tcPr>
          <w:p w14:paraId="4B4F0F5B" w14:textId="77777777" w:rsidR="006F073B" w:rsidRPr="00AC598B" w:rsidRDefault="006F073B" w:rsidP="006F073B">
            <w:pPr>
              <w:jc w:val="right"/>
              <w:rPr>
                <w:rFonts w:ascii="Arial" w:hAnsi="Arial" w:cs="Arial"/>
                <w:szCs w:val="24"/>
                <w:highlight w:val="yellow"/>
              </w:rPr>
            </w:pPr>
          </w:p>
        </w:tc>
      </w:tr>
      <w:tr w:rsidR="006F073B" w:rsidRPr="00667C8E" w14:paraId="6582626F" w14:textId="77777777" w:rsidTr="00925EFB">
        <w:tc>
          <w:tcPr>
            <w:tcW w:w="2071" w:type="pct"/>
            <w:shd w:val="clear" w:color="auto" w:fill="auto"/>
          </w:tcPr>
          <w:p w14:paraId="239F2C7B" w14:textId="0E8F878D" w:rsidR="006F073B" w:rsidRPr="00AC598B" w:rsidRDefault="006F073B" w:rsidP="006F073B">
            <w:pPr>
              <w:rPr>
                <w:rFonts w:ascii="Arial" w:hAnsi="Arial" w:cs="Arial"/>
                <w:szCs w:val="24"/>
              </w:rPr>
            </w:pPr>
            <w:r w:rsidRPr="00AC598B">
              <w:rPr>
                <w:rFonts w:ascii="Arial" w:hAnsi="Arial" w:cs="Arial"/>
                <w:szCs w:val="24"/>
              </w:rPr>
              <w:t xml:space="preserve">Underlying basic earnings per share </w:t>
            </w:r>
          </w:p>
        </w:tc>
        <w:tc>
          <w:tcPr>
            <w:tcW w:w="786" w:type="pct"/>
            <w:shd w:val="clear" w:color="auto" w:fill="auto"/>
          </w:tcPr>
          <w:p w14:paraId="2C7A3A09" w14:textId="14331DAB" w:rsidR="006F073B" w:rsidRPr="004D4EB3" w:rsidRDefault="004D4EB3" w:rsidP="006F073B">
            <w:pPr>
              <w:jc w:val="right"/>
              <w:rPr>
                <w:rFonts w:ascii="Arial" w:hAnsi="Arial" w:cs="Arial"/>
                <w:b/>
                <w:szCs w:val="24"/>
              </w:rPr>
            </w:pPr>
            <w:r w:rsidRPr="004215EF">
              <w:rPr>
                <w:rFonts w:ascii="Arial" w:hAnsi="Arial" w:cs="Arial"/>
                <w:b/>
                <w:szCs w:val="24"/>
              </w:rPr>
              <w:t>12.8</w:t>
            </w:r>
            <w:r w:rsidR="006F073B" w:rsidRPr="004215EF">
              <w:rPr>
                <w:rFonts w:ascii="Arial" w:hAnsi="Arial" w:cs="Arial"/>
                <w:b/>
                <w:szCs w:val="24"/>
              </w:rPr>
              <w:t>p</w:t>
            </w:r>
          </w:p>
        </w:tc>
        <w:tc>
          <w:tcPr>
            <w:tcW w:w="714" w:type="pct"/>
            <w:shd w:val="clear" w:color="auto" w:fill="auto"/>
          </w:tcPr>
          <w:p w14:paraId="68112C74" w14:textId="585D8BE3" w:rsidR="006F073B" w:rsidRPr="004F6F8A" w:rsidRDefault="006F073B" w:rsidP="006F073B">
            <w:pPr>
              <w:jc w:val="right"/>
              <w:rPr>
                <w:rFonts w:ascii="Arial" w:hAnsi="Arial" w:cs="Arial"/>
                <w:szCs w:val="24"/>
              </w:rPr>
            </w:pPr>
            <w:r w:rsidRPr="004F6F8A">
              <w:rPr>
                <w:rFonts w:ascii="Arial" w:hAnsi="Arial" w:cs="Arial"/>
                <w:szCs w:val="24"/>
              </w:rPr>
              <w:t>14.5p</w:t>
            </w:r>
          </w:p>
        </w:tc>
        <w:tc>
          <w:tcPr>
            <w:tcW w:w="701" w:type="pct"/>
          </w:tcPr>
          <w:p w14:paraId="75E35F64" w14:textId="63D5AC49" w:rsidR="006F073B" w:rsidRPr="00AC598B" w:rsidRDefault="004D4EB3" w:rsidP="006F073B">
            <w:pPr>
              <w:jc w:val="right"/>
              <w:rPr>
                <w:rFonts w:ascii="Arial" w:hAnsi="Arial" w:cs="Arial"/>
                <w:szCs w:val="24"/>
              </w:rPr>
            </w:pPr>
            <w:r>
              <w:rPr>
                <w:rFonts w:ascii="Arial" w:hAnsi="Arial" w:cs="Arial"/>
                <w:szCs w:val="24"/>
              </w:rPr>
              <w:t>(</w:t>
            </w:r>
            <w:proofErr w:type="gramStart"/>
            <w:r>
              <w:rPr>
                <w:rFonts w:ascii="Arial" w:hAnsi="Arial" w:cs="Arial"/>
                <w:szCs w:val="24"/>
              </w:rPr>
              <w:t>11.7)</w:t>
            </w:r>
            <w:r w:rsidR="006F073B" w:rsidRPr="0074198B">
              <w:rPr>
                <w:rFonts w:ascii="Arial" w:hAnsi="Arial" w:cs="Arial"/>
                <w:szCs w:val="24"/>
              </w:rPr>
              <w:t>%</w:t>
            </w:r>
            <w:proofErr w:type="gramEnd"/>
            <w:r w:rsidR="006F073B" w:rsidRPr="0074198B" w:rsidDel="00265815">
              <w:rPr>
                <w:rFonts w:ascii="Arial" w:hAnsi="Arial" w:cs="Arial"/>
                <w:szCs w:val="24"/>
              </w:rPr>
              <w:t xml:space="preserve"> </w:t>
            </w:r>
          </w:p>
        </w:tc>
        <w:tc>
          <w:tcPr>
            <w:tcW w:w="728" w:type="pct"/>
            <w:shd w:val="clear" w:color="auto" w:fill="auto"/>
          </w:tcPr>
          <w:p w14:paraId="2ECF65D5" w14:textId="77777777" w:rsidR="006F073B" w:rsidRPr="00AC598B" w:rsidRDefault="006F073B" w:rsidP="006F073B">
            <w:pPr>
              <w:jc w:val="right"/>
              <w:rPr>
                <w:rFonts w:ascii="Arial" w:hAnsi="Arial" w:cs="Arial"/>
                <w:szCs w:val="24"/>
                <w:highlight w:val="yellow"/>
              </w:rPr>
            </w:pPr>
          </w:p>
        </w:tc>
      </w:tr>
      <w:tr w:rsidR="006F073B" w:rsidRPr="00667C8E" w14:paraId="33D7F96E" w14:textId="77777777" w:rsidTr="00925EFB">
        <w:tc>
          <w:tcPr>
            <w:tcW w:w="2071" w:type="pct"/>
            <w:shd w:val="clear" w:color="auto" w:fill="auto"/>
          </w:tcPr>
          <w:p w14:paraId="7D838F37" w14:textId="5175A571" w:rsidR="006F073B" w:rsidRPr="00AC598B" w:rsidRDefault="006F073B" w:rsidP="006F073B">
            <w:pPr>
              <w:rPr>
                <w:rFonts w:ascii="Arial" w:hAnsi="Arial" w:cs="Arial"/>
                <w:szCs w:val="24"/>
              </w:rPr>
            </w:pPr>
            <w:r w:rsidRPr="00AC598B">
              <w:rPr>
                <w:rFonts w:ascii="Arial" w:hAnsi="Arial" w:cs="Arial"/>
                <w:szCs w:val="24"/>
              </w:rPr>
              <w:t xml:space="preserve">Adjusted basic earnings per share </w:t>
            </w:r>
          </w:p>
        </w:tc>
        <w:tc>
          <w:tcPr>
            <w:tcW w:w="786" w:type="pct"/>
            <w:shd w:val="clear" w:color="auto" w:fill="auto"/>
          </w:tcPr>
          <w:p w14:paraId="3B1A21AC" w14:textId="173F66E1" w:rsidR="006F073B" w:rsidRPr="004D4EB3" w:rsidRDefault="004D4EB3" w:rsidP="006F073B">
            <w:pPr>
              <w:jc w:val="right"/>
              <w:rPr>
                <w:rFonts w:ascii="Arial" w:hAnsi="Arial" w:cs="Arial"/>
                <w:b/>
                <w:szCs w:val="24"/>
              </w:rPr>
            </w:pPr>
            <w:r w:rsidRPr="004215EF">
              <w:rPr>
                <w:rFonts w:ascii="Arial" w:hAnsi="Arial" w:cs="Arial"/>
                <w:b/>
                <w:szCs w:val="24"/>
              </w:rPr>
              <w:t>11.0</w:t>
            </w:r>
            <w:r w:rsidR="006F073B" w:rsidRPr="004215EF">
              <w:rPr>
                <w:rFonts w:ascii="Arial" w:hAnsi="Arial" w:cs="Arial"/>
                <w:b/>
                <w:szCs w:val="24"/>
              </w:rPr>
              <w:t>p</w:t>
            </w:r>
          </w:p>
        </w:tc>
        <w:tc>
          <w:tcPr>
            <w:tcW w:w="714" w:type="pct"/>
            <w:shd w:val="clear" w:color="auto" w:fill="auto"/>
          </w:tcPr>
          <w:p w14:paraId="748AA483" w14:textId="1701A10D" w:rsidR="006F073B" w:rsidRPr="004F6F8A" w:rsidRDefault="006F073B" w:rsidP="006F073B">
            <w:pPr>
              <w:jc w:val="right"/>
              <w:rPr>
                <w:rFonts w:ascii="Arial" w:hAnsi="Arial" w:cs="Arial"/>
                <w:szCs w:val="24"/>
              </w:rPr>
            </w:pPr>
            <w:r w:rsidRPr="004F6F8A">
              <w:rPr>
                <w:rFonts w:ascii="Arial" w:hAnsi="Arial" w:cs="Arial"/>
                <w:szCs w:val="24"/>
              </w:rPr>
              <w:t>13.0p</w:t>
            </w:r>
            <w:r w:rsidRPr="004F6F8A" w:rsidDel="009E5D4B">
              <w:rPr>
                <w:rFonts w:ascii="Arial" w:hAnsi="Arial" w:cs="Arial"/>
                <w:szCs w:val="24"/>
              </w:rPr>
              <w:t xml:space="preserve"> </w:t>
            </w:r>
          </w:p>
        </w:tc>
        <w:tc>
          <w:tcPr>
            <w:tcW w:w="701" w:type="pct"/>
          </w:tcPr>
          <w:p w14:paraId="05D63E6A" w14:textId="1E95737A" w:rsidR="006F073B" w:rsidRPr="00AC598B" w:rsidRDefault="004D4EB3" w:rsidP="006F073B">
            <w:pPr>
              <w:jc w:val="right"/>
              <w:rPr>
                <w:rFonts w:ascii="Arial" w:hAnsi="Arial" w:cs="Arial"/>
                <w:szCs w:val="24"/>
              </w:rPr>
            </w:pPr>
            <w:r>
              <w:rPr>
                <w:rFonts w:ascii="Arial" w:hAnsi="Arial" w:cs="Arial"/>
                <w:szCs w:val="24"/>
              </w:rPr>
              <w:t>(</w:t>
            </w:r>
            <w:proofErr w:type="gramStart"/>
            <w:r>
              <w:rPr>
                <w:rFonts w:ascii="Arial" w:hAnsi="Arial" w:cs="Arial"/>
                <w:szCs w:val="24"/>
              </w:rPr>
              <w:t>15.4)%</w:t>
            </w:r>
            <w:proofErr w:type="gramEnd"/>
            <w:r w:rsidR="006F073B" w:rsidRPr="0074198B" w:rsidDel="00265815">
              <w:rPr>
                <w:rFonts w:ascii="Arial" w:hAnsi="Arial" w:cs="Arial"/>
                <w:szCs w:val="24"/>
              </w:rPr>
              <w:t xml:space="preserve"> </w:t>
            </w:r>
          </w:p>
        </w:tc>
        <w:tc>
          <w:tcPr>
            <w:tcW w:w="728" w:type="pct"/>
            <w:shd w:val="clear" w:color="auto" w:fill="auto"/>
          </w:tcPr>
          <w:p w14:paraId="07250FB3" w14:textId="77777777" w:rsidR="006F073B" w:rsidRPr="00AC598B" w:rsidRDefault="006F073B" w:rsidP="006F073B">
            <w:pPr>
              <w:jc w:val="right"/>
              <w:rPr>
                <w:rFonts w:ascii="Arial" w:hAnsi="Arial" w:cs="Arial"/>
                <w:szCs w:val="24"/>
                <w:highlight w:val="yellow"/>
              </w:rPr>
            </w:pPr>
          </w:p>
        </w:tc>
      </w:tr>
      <w:tr w:rsidR="006F073B" w:rsidRPr="00667C8E" w14:paraId="279375B1" w14:textId="77777777" w:rsidTr="00925EFB">
        <w:tc>
          <w:tcPr>
            <w:tcW w:w="2071" w:type="pct"/>
            <w:shd w:val="clear" w:color="auto" w:fill="auto"/>
          </w:tcPr>
          <w:p w14:paraId="7F88BBA9" w14:textId="6D143EC7" w:rsidR="006F073B" w:rsidRPr="00AC598B" w:rsidRDefault="006F073B" w:rsidP="006F073B">
            <w:pPr>
              <w:rPr>
                <w:rFonts w:ascii="Arial" w:hAnsi="Arial" w:cs="Arial"/>
                <w:szCs w:val="24"/>
              </w:rPr>
            </w:pPr>
            <w:r w:rsidRPr="00AC598B">
              <w:rPr>
                <w:rFonts w:ascii="Arial" w:hAnsi="Arial" w:cs="Arial"/>
                <w:szCs w:val="24"/>
              </w:rPr>
              <w:t>Basic earnings per share</w:t>
            </w:r>
          </w:p>
        </w:tc>
        <w:tc>
          <w:tcPr>
            <w:tcW w:w="786" w:type="pct"/>
            <w:shd w:val="clear" w:color="auto" w:fill="auto"/>
          </w:tcPr>
          <w:p w14:paraId="3B944645" w14:textId="667BC1D2" w:rsidR="006F073B" w:rsidRPr="004D4EB3" w:rsidRDefault="004D4EB3" w:rsidP="006F073B">
            <w:pPr>
              <w:jc w:val="right"/>
              <w:rPr>
                <w:rFonts w:ascii="Arial" w:hAnsi="Arial" w:cs="Arial"/>
                <w:b/>
                <w:szCs w:val="24"/>
              </w:rPr>
            </w:pPr>
            <w:r w:rsidRPr="004215EF">
              <w:rPr>
                <w:rFonts w:ascii="Arial" w:hAnsi="Arial" w:cs="Arial"/>
                <w:b/>
                <w:szCs w:val="24"/>
              </w:rPr>
              <w:t>9.7</w:t>
            </w:r>
            <w:r w:rsidR="006F073B" w:rsidRPr="004215EF">
              <w:rPr>
                <w:rFonts w:ascii="Arial" w:hAnsi="Arial" w:cs="Arial"/>
                <w:b/>
                <w:szCs w:val="24"/>
              </w:rPr>
              <w:t>p</w:t>
            </w:r>
          </w:p>
        </w:tc>
        <w:tc>
          <w:tcPr>
            <w:tcW w:w="714" w:type="pct"/>
            <w:shd w:val="clear" w:color="auto" w:fill="auto"/>
          </w:tcPr>
          <w:p w14:paraId="425892EB" w14:textId="034E1DBE" w:rsidR="006F073B" w:rsidRPr="004F6F8A" w:rsidDel="00791ABF" w:rsidRDefault="006F073B" w:rsidP="006F073B">
            <w:pPr>
              <w:jc w:val="right"/>
              <w:rPr>
                <w:rFonts w:ascii="Arial" w:hAnsi="Arial" w:cs="Arial"/>
                <w:szCs w:val="24"/>
              </w:rPr>
            </w:pPr>
            <w:r w:rsidRPr="004F6F8A">
              <w:rPr>
                <w:rFonts w:ascii="Arial" w:hAnsi="Arial" w:cs="Arial"/>
                <w:szCs w:val="24"/>
              </w:rPr>
              <w:t>13.3p</w:t>
            </w:r>
            <w:r w:rsidRPr="004F6F8A" w:rsidDel="009E5D4B">
              <w:rPr>
                <w:rFonts w:ascii="Arial" w:hAnsi="Arial" w:cs="Arial"/>
                <w:szCs w:val="24"/>
              </w:rPr>
              <w:t xml:space="preserve"> </w:t>
            </w:r>
          </w:p>
        </w:tc>
        <w:tc>
          <w:tcPr>
            <w:tcW w:w="701" w:type="pct"/>
          </w:tcPr>
          <w:p w14:paraId="5B0910A5" w14:textId="6471BA77" w:rsidR="006F073B" w:rsidRPr="00AC598B" w:rsidDel="00791ABF" w:rsidRDefault="004D4EB3" w:rsidP="006F073B">
            <w:pPr>
              <w:jc w:val="right"/>
              <w:rPr>
                <w:rFonts w:ascii="Arial" w:hAnsi="Arial" w:cs="Arial"/>
                <w:szCs w:val="24"/>
              </w:rPr>
            </w:pPr>
            <w:r>
              <w:rPr>
                <w:rFonts w:ascii="Arial" w:hAnsi="Arial" w:cs="Arial"/>
                <w:szCs w:val="24"/>
              </w:rPr>
              <w:t>(</w:t>
            </w:r>
            <w:proofErr w:type="gramStart"/>
            <w:r>
              <w:rPr>
                <w:rFonts w:ascii="Arial" w:hAnsi="Arial" w:cs="Arial"/>
                <w:szCs w:val="24"/>
              </w:rPr>
              <w:t>27.1)</w:t>
            </w:r>
            <w:r w:rsidR="006F073B" w:rsidRPr="0074198B">
              <w:rPr>
                <w:rFonts w:ascii="Arial" w:hAnsi="Arial" w:cs="Arial"/>
                <w:szCs w:val="24"/>
              </w:rPr>
              <w:t>%</w:t>
            </w:r>
            <w:proofErr w:type="gramEnd"/>
            <w:r w:rsidR="006F073B" w:rsidRPr="0074198B" w:rsidDel="00265815">
              <w:rPr>
                <w:rFonts w:ascii="Arial" w:hAnsi="Arial" w:cs="Arial"/>
                <w:szCs w:val="24"/>
              </w:rPr>
              <w:t xml:space="preserve"> </w:t>
            </w:r>
          </w:p>
        </w:tc>
        <w:tc>
          <w:tcPr>
            <w:tcW w:w="728" w:type="pct"/>
            <w:shd w:val="clear" w:color="auto" w:fill="auto"/>
          </w:tcPr>
          <w:p w14:paraId="05D06A87" w14:textId="77777777" w:rsidR="006F073B" w:rsidRPr="00AC598B" w:rsidRDefault="006F073B" w:rsidP="006F073B">
            <w:pPr>
              <w:jc w:val="right"/>
              <w:rPr>
                <w:rFonts w:ascii="Arial" w:hAnsi="Arial" w:cs="Arial"/>
                <w:szCs w:val="24"/>
                <w:highlight w:val="yellow"/>
              </w:rPr>
            </w:pPr>
          </w:p>
        </w:tc>
      </w:tr>
      <w:tr w:rsidR="006F073B" w:rsidRPr="00667C8E" w14:paraId="7255DFE3" w14:textId="77777777" w:rsidTr="00925EFB">
        <w:tc>
          <w:tcPr>
            <w:tcW w:w="2071" w:type="pct"/>
            <w:shd w:val="clear" w:color="auto" w:fill="auto"/>
          </w:tcPr>
          <w:p w14:paraId="5F16C710" w14:textId="2349ED7E" w:rsidR="006F073B" w:rsidRPr="00AC598B" w:rsidRDefault="006F073B" w:rsidP="006F073B">
            <w:pPr>
              <w:rPr>
                <w:rFonts w:ascii="Arial" w:hAnsi="Arial" w:cs="Arial"/>
                <w:szCs w:val="24"/>
              </w:rPr>
            </w:pPr>
            <w:r w:rsidRPr="00AC598B">
              <w:rPr>
                <w:rFonts w:ascii="Arial" w:hAnsi="Arial" w:cs="Arial"/>
                <w:szCs w:val="24"/>
              </w:rPr>
              <w:t xml:space="preserve">Dividends </w:t>
            </w:r>
            <w:r>
              <w:rPr>
                <w:rFonts w:ascii="Arial" w:hAnsi="Arial" w:cs="Arial"/>
                <w:szCs w:val="24"/>
              </w:rPr>
              <w:t>-</w:t>
            </w:r>
            <w:r w:rsidRPr="00AC598B">
              <w:rPr>
                <w:rFonts w:ascii="Arial" w:hAnsi="Arial" w:cs="Arial"/>
                <w:szCs w:val="24"/>
              </w:rPr>
              <w:t xml:space="preserve"> </w:t>
            </w:r>
            <w:r>
              <w:rPr>
                <w:rFonts w:ascii="Arial" w:hAnsi="Arial" w:cs="Arial"/>
                <w:szCs w:val="24"/>
              </w:rPr>
              <w:t>half year o</w:t>
            </w:r>
            <w:r w:rsidRPr="00AC598B">
              <w:rPr>
                <w:rFonts w:ascii="Arial" w:hAnsi="Arial" w:cs="Arial"/>
                <w:szCs w:val="24"/>
              </w:rPr>
              <w:t>rdinary</w:t>
            </w:r>
          </w:p>
        </w:tc>
        <w:tc>
          <w:tcPr>
            <w:tcW w:w="786" w:type="pct"/>
            <w:shd w:val="clear" w:color="auto" w:fill="auto"/>
          </w:tcPr>
          <w:p w14:paraId="07DFA0C2" w14:textId="4FED2734" w:rsidR="006F073B" w:rsidRPr="00230CDB" w:rsidRDefault="000A4EE0" w:rsidP="006F073B">
            <w:pPr>
              <w:jc w:val="right"/>
              <w:rPr>
                <w:rFonts w:ascii="Arial" w:hAnsi="Arial" w:cs="Arial"/>
                <w:b/>
                <w:szCs w:val="24"/>
              </w:rPr>
            </w:pPr>
            <w:r w:rsidRPr="00F01C34">
              <w:rPr>
                <w:rFonts w:ascii="Arial" w:hAnsi="Arial" w:cs="Arial"/>
                <w:b/>
                <w:szCs w:val="24"/>
              </w:rPr>
              <w:t>3</w:t>
            </w:r>
            <w:r w:rsidR="006F073B" w:rsidRPr="00F01C34">
              <w:rPr>
                <w:rFonts w:ascii="Arial" w:hAnsi="Arial" w:cs="Arial"/>
                <w:b/>
                <w:szCs w:val="24"/>
              </w:rPr>
              <w:t>.</w:t>
            </w:r>
            <w:r w:rsidR="005B7D08">
              <w:rPr>
                <w:rFonts w:ascii="Arial" w:hAnsi="Arial" w:cs="Arial"/>
                <w:b/>
                <w:szCs w:val="24"/>
              </w:rPr>
              <w:t>33</w:t>
            </w:r>
            <w:r w:rsidR="006F073B" w:rsidRPr="00F01C34">
              <w:rPr>
                <w:rFonts w:ascii="Arial" w:hAnsi="Arial" w:cs="Arial"/>
                <w:b/>
                <w:szCs w:val="24"/>
              </w:rPr>
              <w:t>p</w:t>
            </w:r>
          </w:p>
        </w:tc>
        <w:tc>
          <w:tcPr>
            <w:tcW w:w="714" w:type="pct"/>
            <w:shd w:val="clear" w:color="auto" w:fill="auto"/>
          </w:tcPr>
          <w:p w14:paraId="2926F431" w14:textId="79D9BE03" w:rsidR="006F073B" w:rsidRPr="004F6F8A" w:rsidRDefault="006F073B" w:rsidP="006F073B">
            <w:pPr>
              <w:jc w:val="right"/>
              <w:rPr>
                <w:rFonts w:ascii="Arial" w:hAnsi="Arial" w:cs="Arial"/>
                <w:szCs w:val="24"/>
                <w:highlight w:val="yellow"/>
              </w:rPr>
            </w:pPr>
            <w:r w:rsidRPr="004F6F8A">
              <w:rPr>
                <w:rFonts w:ascii="Arial" w:hAnsi="Arial" w:cs="Arial"/>
                <w:szCs w:val="24"/>
              </w:rPr>
              <w:t>3.33p</w:t>
            </w:r>
          </w:p>
        </w:tc>
        <w:tc>
          <w:tcPr>
            <w:tcW w:w="701" w:type="pct"/>
          </w:tcPr>
          <w:p w14:paraId="5672BABD" w14:textId="60627371" w:rsidR="006F073B" w:rsidRPr="00AC598B" w:rsidDel="00713ADA" w:rsidRDefault="005B7D08" w:rsidP="006F073B">
            <w:pPr>
              <w:jc w:val="right"/>
              <w:rPr>
                <w:rFonts w:ascii="Arial" w:hAnsi="Arial" w:cs="Arial"/>
                <w:szCs w:val="24"/>
                <w:highlight w:val="yellow"/>
              </w:rPr>
            </w:pPr>
            <w:r>
              <w:rPr>
                <w:rFonts w:ascii="Arial" w:hAnsi="Arial" w:cs="Arial"/>
              </w:rPr>
              <w:t>-</w:t>
            </w:r>
            <w:r w:rsidR="006F073B" w:rsidRPr="00230CDB" w:rsidDel="00265815">
              <w:rPr>
                <w:rFonts w:ascii="Arial" w:hAnsi="Arial" w:cs="Arial"/>
                <w:szCs w:val="24"/>
              </w:rPr>
              <w:t xml:space="preserve"> </w:t>
            </w:r>
          </w:p>
        </w:tc>
        <w:tc>
          <w:tcPr>
            <w:tcW w:w="728" w:type="pct"/>
            <w:shd w:val="clear" w:color="auto" w:fill="auto"/>
          </w:tcPr>
          <w:p w14:paraId="0A72D4AE" w14:textId="77777777" w:rsidR="006F073B" w:rsidRPr="00AC598B" w:rsidRDefault="006F073B" w:rsidP="006F073B">
            <w:pPr>
              <w:jc w:val="right"/>
              <w:rPr>
                <w:rFonts w:ascii="Arial" w:hAnsi="Arial" w:cs="Arial"/>
                <w:szCs w:val="24"/>
                <w:highlight w:val="yellow"/>
              </w:rPr>
            </w:pPr>
          </w:p>
        </w:tc>
      </w:tr>
      <w:tr w:rsidR="006F073B" w:rsidRPr="00667C8E" w14:paraId="139F2BE9" w14:textId="77777777" w:rsidTr="00925EFB">
        <w:tc>
          <w:tcPr>
            <w:tcW w:w="2071" w:type="pct"/>
            <w:shd w:val="clear" w:color="auto" w:fill="auto"/>
          </w:tcPr>
          <w:p w14:paraId="2FEA851B" w14:textId="77777777" w:rsidR="006F073B" w:rsidRPr="00AC598B" w:rsidRDefault="006F073B" w:rsidP="006F073B">
            <w:pPr>
              <w:rPr>
                <w:rFonts w:ascii="Arial" w:hAnsi="Arial" w:cs="Arial"/>
                <w:szCs w:val="24"/>
              </w:rPr>
            </w:pPr>
            <w:r w:rsidRPr="00AC598B">
              <w:rPr>
                <w:rFonts w:ascii="Arial" w:hAnsi="Arial" w:cs="Arial"/>
                <w:szCs w:val="24"/>
              </w:rPr>
              <w:t xml:space="preserve">Net cash </w:t>
            </w:r>
          </w:p>
        </w:tc>
        <w:tc>
          <w:tcPr>
            <w:tcW w:w="786" w:type="pct"/>
            <w:shd w:val="clear" w:color="auto" w:fill="auto"/>
          </w:tcPr>
          <w:p w14:paraId="53012C75" w14:textId="3A379E4D" w:rsidR="006F073B" w:rsidRPr="00230CDB" w:rsidRDefault="006F073B" w:rsidP="006F073B">
            <w:pPr>
              <w:jc w:val="right"/>
              <w:rPr>
                <w:rFonts w:ascii="Arial" w:hAnsi="Arial" w:cs="Arial"/>
                <w:b/>
                <w:szCs w:val="24"/>
              </w:rPr>
            </w:pPr>
            <w:r w:rsidRPr="00F01C34">
              <w:rPr>
                <w:rFonts w:ascii="Arial" w:hAnsi="Arial" w:cs="Arial"/>
                <w:b/>
                <w:szCs w:val="24"/>
              </w:rPr>
              <w:t>£</w:t>
            </w:r>
            <w:r w:rsidR="000A4EE0" w:rsidRPr="00F01C34">
              <w:rPr>
                <w:rFonts w:ascii="Arial" w:hAnsi="Arial" w:cs="Arial"/>
                <w:b/>
                <w:szCs w:val="24"/>
              </w:rPr>
              <w:t>99</w:t>
            </w:r>
            <w:r w:rsidRPr="00F01C34">
              <w:rPr>
                <w:rFonts w:ascii="Arial" w:hAnsi="Arial" w:cs="Arial"/>
                <w:b/>
                <w:szCs w:val="24"/>
              </w:rPr>
              <w:t>m</w:t>
            </w:r>
          </w:p>
        </w:tc>
        <w:tc>
          <w:tcPr>
            <w:tcW w:w="714" w:type="pct"/>
            <w:shd w:val="clear" w:color="auto" w:fill="auto"/>
          </w:tcPr>
          <w:p w14:paraId="6F136190" w14:textId="2B0F4C83" w:rsidR="006F073B" w:rsidRPr="004F6F8A" w:rsidRDefault="006F073B" w:rsidP="006F073B">
            <w:pPr>
              <w:jc w:val="right"/>
              <w:rPr>
                <w:rFonts w:ascii="Arial" w:hAnsi="Arial" w:cs="Arial"/>
                <w:szCs w:val="24"/>
              </w:rPr>
            </w:pPr>
            <w:r w:rsidRPr="004F6F8A">
              <w:rPr>
                <w:rFonts w:ascii="Arial" w:hAnsi="Arial" w:cs="Arial"/>
                <w:szCs w:val="24"/>
              </w:rPr>
              <w:t>£650m</w:t>
            </w:r>
            <w:r w:rsidRPr="004F6F8A" w:rsidDel="000D3023">
              <w:rPr>
                <w:rFonts w:ascii="Arial" w:hAnsi="Arial" w:cs="Arial"/>
                <w:szCs w:val="24"/>
              </w:rPr>
              <w:t xml:space="preserve"> </w:t>
            </w:r>
          </w:p>
        </w:tc>
        <w:tc>
          <w:tcPr>
            <w:tcW w:w="701" w:type="pct"/>
          </w:tcPr>
          <w:p w14:paraId="5592C214" w14:textId="77777777" w:rsidR="006F073B" w:rsidRPr="00AC598B" w:rsidRDefault="006F073B" w:rsidP="006F073B">
            <w:pPr>
              <w:jc w:val="right"/>
              <w:rPr>
                <w:rFonts w:ascii="Arial" w:hAnsi="Arial" w:cs="Arial"/>
                <w:szCs w:val="24"/>
              </w:rPr>
            </w:pPr>
          </w:p>
        </w:tc>
        <w:tc>
          <w:tcPr>
            <w:tcW w:w="728" w:type="pct"/>
            <w:shd w:val="clear" w:color="auto" w:fill="auto"/>
          </w:tcPr>
          <w:p w14:paraId="7A2C6156" w14:textId="77777777" w:rsidR="006F073B" w:rsidRPr="00AC598B" w:rsidRDefault="006F073B" w:rsidP="006F073B">
            <w:pPr>
              <w:jc w:val="right"/>
              <w:rPr>
                <w:rFonts w:ascii="Arial" w:hAnsi="Arial" w:cs="Arial"/>
                <w:szCs w:val="24"/>
              </w:rPr>
            </w:pPr>
          </w:p>
        </w:tc>
      </w:tr>
      <w:tr w:rsidR="006F073B" w:rsidRPr="00667C8E" w14:paraId="406D0BBE" w14:textId="77777777" w:rsidTr="00925EFB">
        <w:trPr>
          <w:trHeight w:val="303"/>
        </w:trPr>
        <w:tc>
          <w:tcPr>
            <w:tcW w:w="2071" w:type="pct"/>
            <w:tcBorders>
              <w:bottom w:val="single" w:sz="4" w:space="0" w:color="auto"/>
            </w:tcBorders>
            <w:shd w:val="clear" w:color="auto" w:fill="auto"/>
          </w:tcPr>
          <w:p w14:paraId="685F5DFD" w14:textId="66012418" w:rsidR="006F073B" w:rsidRPr="007510DF" w:rsidRDefault="006F073B" w:rsidP="006F073B">
            <w:pPr>
              <w:rPr>
                <w:rFonts w:ascii="Arial" w:hAnsi="Arial" w:cs="Arial"/>
                <w:szCs w:val="24"/>
              </w:rPr>
            </w:pPr>
            <w:r>
              <w:rPr>
                <w:rFonts w:ascii="Arial" w:hAnsi="Arial" w:cs="Arial"/>
                <w:szCs w:val="24"/>
              </w:rPr>
              <w:t>Capital r</w:t>
            </w:r>
            <w:r w:rsidRPr="00AC598B">
              <w:rPr>
                <w:rFonts w:ascii="Arial" w:hAnsi="Arial" w:cs="Arial"/>
                <w:szCs w:val="24"/>
              </w:rPr>
              <w:t>eturn</w:t>
            </w:r>
            <w:r w:rsidRPr="004D0E9F">
              <w:rPr>
                <w:rFonts w:ascii="Arial" w:hAnsi="Arial" w:cs="Arial"/>
                <w:szCs w:val="24"/>
              </w:rPr>
              <w:t xml:space="preserve"> </w:t>
            </w:r>
            <w:r>
              <w:rPr>
                <w:rFonts w:ascii="Arial" w:hAnsi="Arial" w:cs="Arial"/>
                <w:szCs w:val="24"/>
              </w:rPr>
              <w:t>- s</w:t>
            </w:r>
            <w:r w:rsidRPr="007510DF">
              <w:rPr>
                <w:rFonts w:ascii="Arial" w:hAnsi="Arial" w:cs="Arial"/>
                <w:szCs w:val="24"/>
              </w:rPr>
              <w:t>hare buyback</w:t>
            </w:r>
          </w:p>
        </w:tc>
        <w:tc>
          <w:tcPr>
            <w:tcW w:w="786" w:type="pct"/>
            <w:tcBorders>
              <w:bottom w:val="single" w:sz="4" w:space="0" w:color="auto"/>
            </w:tcBorders>
            <w:shd w:val="clear" w:color="auto" w:fill="auto"/>
          </w:tcPr>
          <w:p w14:paraId="2DA5B330" w14:textId="02C0B18A" w:rsidR="006F073B" w:rsidRPr="00230CDB" w:rsidRDefault="006F073B" w:rsidP="006F073B">
            <w:pPr>
              <w:jc w:val="right"/>
              <w:rPr>
                <w:rFonts w:ascii="Arial" w:hAnsi="Arial" w:cs="Arial"/>
                <w:b/>
                <w:szCs w:val="24"/>
              </w:rPr>
            </w:pPr>
            <w:r w:rsidRPr="00F01C34">
              <w:rPr>
                <w:rFonts w:ascii="Arial" w:hAnsi="Arial" w:cs="Arial"/>
                <w:b/>
                <w:szCs w:val="24"/>
              </w:rPr>
              <w:t>£</w:t>
            </w:r>
            <w:r w:rsidR="000A4EE0" w:rsidRPr="00F01C34">
              <w:rPr>
                <w:rFonts w:ascii="Arial" w:hAnsi="Arial" w:cs="Arial"/>
                <w:b/>
                <w:szCs w:val="24"/>
              </w:rPr>
              <w:t>90</w:t>
            </w:r>
            <w:r w:rsidRPr="00F01C34">
              <w:rPr>
                <w:rFonts w:ascii="Arial" w:hAnsi="Arial" w:cs="Arial"/>
                <w:b/>
                <w:szCs w:val="24"/>
              </w:rPr>
              <w:t>m</w:t>
            </w:r>
          </w:p>
        </w:tc>
        <w:tc>
          <w:tcPr>
            <w:tcW w:w="714" w:type="pct"/>
            <w:tcBorders>
              <w:bottom w:val="single" w:sz="4" w:space="0" w:color="auto"/>
            </w:tcBorders>
            <w:shd w:val="clear" w:color="auto" w:fill="auto"/>
          </w:tcPr>
          <w:p w14:paraId="48D81114" w14:textId="114002B4" w:rsidR="006F073B" w:rsidRPr="004F6F8A" w:rsidRDefault="006F073B" w:rsidP="006F073B">
            <w:pPr>
              <w:jc w:val="right"/>
              <w:rPr>
                <w:rFonts w:ascii="Arial" w:hAnsi="Arial" w:cs="Arial"/>
                <w:szCs w:val="24"/>
              </w:rPr>
            </w:pPr>
            <w:r w:rsidRPr="004F6F8A">
              <w:rPr>
                <w:rFonts w:ascii="Arial" w:hAnsi="Arial" w:cs="Arial"/>
                <w:szCs w:val="24"/>
              </w:rPr>
              <w:t>£149m</w:t>
            </w:r>
          </w:p>
        </w:tc>
        <w:tc>
          <w:tcPr>
            <w:tcW w:w="701" w:type="pct"/>
            <w:tcBorders>
              <w:bottom w:val="single" w:sz="4" w:space="0" w:color="auto"/>
            </w:tcBorders>
          </w:tcPr>
          <w:p w14:paraId="24140189" w14:textId="77777777" w:rsidR="006F073B" w:rsidRPr="00AC598B" w:rsidRDefault="006F073B" w:rsidP="006F073B">
            <w:pPr>
              <w:jc w:val="right"/>
              <w:rPr>
                <w:rFonts w:ascii="Arial" w:hAnsi="Arial" w:cs="Arial"/>
                <w:szCs w:val="24"/>
              </w:rPr>
            </w:pPr>
          </w:p>
        </w:tc>
        <w:tc>
          <w:tcPr>
            <w:tcW w:w="728" w:type="pct"/>
            <w:tcBorders>
              <w:bottom w:val="single" w:sz="4" w:space="0" w:color="auto"/>
            </w:tcBorders>
            <w:shd w:val="clear" w:color="auto" w:fill="auto"/>
          </w:tcPr>
          <w:p w14:paraId="2E8BB35F" w14:textId="77777777" w:rsidR="006F073B" w:rsidRPr="00AC598B" w:rsidRDefault="006F073B" w:rsidP="006F073B">
            <w:pPr>
              <w:jc w:val="right"/>
              <w:rPr>
                <w:rFonts w:ascii="Arial" w:hAnsi="Arial" w:cs="Arial"/>
                <w:szCs w:val="24"/>
                <w:highlight w:val="green"/>
              </w:rPr>
            </w:pPr>
          </w:p>
        </w:tc>
      </w:tr>
    </w:tbl>
    <w:p w14:paraId="326855C3" w14:textId="0C455416" w:rsidR="00773A54" w:rsidRPr="00525B7C" w:rsidRDefault="005B7D08" w:rsidP="005B7D08">
      <w:pPr>
        <w:jc w:val="left"/>
        <w:rPr>
          <w:rFonts w:ascii="Arial" w:hAnsi="Arial" w:cs="Arial"/>
          <w:sz w:val="18"/>
          <w:szCs w:val="24"/>
        </w:rPr>
      </w:pPr>
      <w:r w:rsidRPr="005B7D08">
        <w:rPr>
          <w:rFonts w:ascii="Arial" w:hAnsi="Arial" w:cs="Arial"/>
          <w:vertAlign w:val="superscript"/>
        </w:rPr>
        <w:t>(1</w:t>
      </w:r>
      <w:r>
        <w:rPr>
          <w:rFonts w:ascii="Arial" w:hAnsi="Arial" w:cs="Arial"/>
          <w:vertAlign w:val="superscript"/>
        </w:rPr>
        <w:t xml:space="preserve">) </w:t>
      </w:r>
      <w:r w:rsidR="00863C40" w:rsidRPr="00525B7C">
        <w:rPr>
          <w:rFonts w:ascii="Arial" w:hAnsi="Arial" w:cs="Arial"/>
          <w:sz w:val="18"/>
          <w:szCs w:val="24"/>
        </w:rPr>
        <w:t xml:space="preserve">Kingfisher separately reports exceptional items and transformation </w:t>
      </w:r>
      <w:r>
        <w:rPr>
          <w:rFonts w:ascii="Arial" w:hAnsi="Arial" w:cs="Arial"/>
          <w:sz w:val="18"/>
          <w:szCs w:val="24"/>
        </w:rPr>
        <w:t xml:space="preserve">P&amp;L </w:t>
      </w:r>
      <w:r w:rsidR="00863C40" w:rsidRPr="00525B7C">
        <w:rPr>
          <w:rFonts w:ascii="Arial" w:hAnsi="Arial" w:cs="Arial"/>
          <w:sz w:val="18"/>
          <w:szCs w:val="24"/>
        </w:rPr>
        <w:t xml:space="preserve">costs </w:t>
      </w:r>
      <w:proofErr w:type="gramStart"/>
      <w:r w:rsidR="00863C40" w:rsidRPr="00525B7C">
        <w:rPr>
          <w:rFonts w:ascii="Arial" w:hAnsi="Arial" w:cs="Arial"/>
          <w:sz w:val="18"/>
          <w:szCs w:val="24"/>
        </w:rPr>
        <w:t>in order to</w:t>
      </w:r>
      <w:proofErr w:type="gramEnd"/>
      <w:r w:rsidR="00863C40" w:rsidRPr="00525B7C">
        <w:rPr>
          <w:rFonts w:ascii="Arial" w:hAnsi="Arial" w:cs="Arial"/>
          <w:sz w:val="18"/>
          <w:szCs w:val="24"/>
        </w:rPr>
        <w:t xml:space="preserve"> calculate adjusted and underlying results, as it believes these measures provide additional useful information on underlying performance and trends</w:t>
      </w:r>
    </w:p>
    <w:p w14:paraId="67AED63B" w14:textId="77777777" w:rsidR="00773A54" w:rsidRPr="000F07BB" w:rsidRDefault="00773A54" w:rsidP="00773A54">
      <w:pPr>
        <w:jc w:val="left"/>
        <w:rPr>
          <w:rFonts w:ascii="Arial" w:hAnsi="Arial" w:cs="Arial"/>
          <w:sz w:val="24"/>
          <w:szCs w:val="24"/>
        </w:rPr>
      </w:pPr>
    </w:p>
    <w:p w14:paraId="74EC91C3" w14:textId="6D0EBCD1" w:rsidR="00E54E9D" w:rsidRDefault="00E54E9D" w:rsidP="00E54E9D">
      <w:pPr>
        <w:ind w:right="-368"/>
        <w:jc w:val="left"/>
        <w:rPr>
          <w:rFonts w:ascii="Arial" w:hAnsi="Arial" w:cs="Arial"/>
          <w:szCs w:val="24"/>
        </w:rPr>
      </w:pPr>
      <w:r w:rsidRPr="00AC598B">
        <w:rPr>
          <w:rFonts w:ascii="Arial" w:hAnsi="Arial" w:cs="Arial"/>
          <w:szCs w:val="24"/>
        </w:rPr>
        <w:t xml:space="preserve">Total </w:t>
      </w:r>
      <w:r w:rsidRPr="00BE4312">
        <w:rPr>
          <w:rFonts w:ascii="Arial" w:hAnsi="Arial" w:cs="Arial"/>
          <w:b/>
          <w:szCs w:val="24"/>
        </w:rPr>
        <w:t>sales</w:t>
      </w:r>
      <w:r w:rsidRPr="00AC598B">
        <w:rPr>
          <w:rFonts w:ascii="Arial" w:hAnsi="Arial" w:cs="Arial"/>
          <w:szCs w:val="24"/>
        </w:rPr>
        <w:t xml:space="preserve"> </w:t>
      </w:r>
      <w:r w:rsidR="00FE229E">
        <w:rPr>
          <w:rFonts w:ascii="Arial" w:hAnsi="Arial" w:cs="Arial"/>
          <w:szCs w:val="24"/>
        </w:rPr>
        <w:t>increased by 0.6</w:t>
      </w:r>
      <w:r w:rsidRPr="00AC598B">
        <w:rPr>
          <w:rFonts w:ascii="Arial" w:hAnsi="Arial" w:cs="Arial"/>
          <w:szCs w:val="24"/>
        </w:rPr>
        <w:t>%, on a constant currency basis, to £</w:t>
      </w:r>
      <w:r w:rsidR="00FE229E">
        <w:rPr>
          <w:rFonts w:ascii="Arial" w:hAnsi="Arial" w:cs="Arial"/>
          <w:szCs w:val="24"/>
        </w:rPr>
        <w:t>6</w:t>
      </w:r>
      <w:r w:rsidR="00D8336B">
        <w:rPr>
          <w:rFonts w:ascii="Arial" w:hAnsi="Arial" w:cs="Arial"/>
          <w:szCs w:val="24"/>
        </w:rPr>
        <w:t>.1</w:t>
      </w:r>
      <w:r w:rsidR="00687F8D" w:rsidRPr="00AC598B">
        <w:rPr>
          <w:rFonts w:ascii="Arial" w:hAnsi="Arial" w:cs="Arial"/>
          <w:szCs w:val="24"/>
        </w:rPr>
        <w:t xml:space="preserve"> </w:t>
      </w:r>
      <w:r w:rsidRPr="00AC598B">
        <w:rPr>
          <w:rFonts w:ascii="Arial" w:hAnsi="Arial" w:cs="Arial"/>
          <w:szCs w:val="24"/>
        </w:rPr>
        <w:t>billion, with LFL sales down</w:t>
      </w:r>
      <w:r>
        <w:rPr>
          <w:rFonts w:ascii="Arial" w:hAnsi="Arial" w:cs="Arial"/>
          <w:szCs w:val="24"/>
        </w:rPr>
        <w:t xml:space="preserve"> </w:t>
      </w:r>
      <w:r w:rsidR="00FE229E">
        <w:rPr>
          <w:rFonts w:ascii="Arial" w:hAnsi="Arial" w:cs="Arial"/>
          <w:szCs w:val="24"/>
        </w:rPr>
        <w:t>1.1</w:t>
      </w:r>
      <w:r w:rsidRPr="00AC598B">
        <w:rPr>
          <w:rFonts w:ascii="Arial" w:hAnsi="Arial" w:cs="Arial"/>
          <w:szCs w:val="24"/>
        </w:rPr>
        <w:t xml:space="preserve">%. On a reported rate basis, which includes the impact of exchange rates, sales </w:t>
      </w:r>
      <w:r>
        <w:rPr>
          <w:rFonts w:ascii="Arial" w:hAnsi="Arial" w:cs="Arial"/>
          <w:szCs w:val="24"/>
        </w:rPr>
        <w:t>increased</w:t>
      </w:r>
      <w:r w:rsidRPr="00AC598B">
        <w:rPr>
          <w:rFonts w:ascii="Arial" w:hAnsi="Arial" w:cs="Arial"/>
          <w:szCs w:val="24"/>
        </w:rPr>
        <w:t xml:space="preserve"> by </w:t>
      </w:r>
      <w:r w:rsidR="00FE229E">
        <w:rPr>
          <w:rFonts w:ascii="Arial" w:hAnsi="Arial" w:cs="Arial"/>
          <w:szCs w:val="24"/>
        </w:rPr>
        <w:t>1.2</w:t>
      </w:r>
      <w:r w:rsidRPr="00AC598B">
        <w:rPr>
          <w:rFonts w:ascii="Arial" w:hAnsi="Arial" w:cs="Arial"/>
          <w:szCs w:val="24"/>
        </w:rPr>
        <w:t>%.</w:t>
      </w:r>
      <w:bookmarkStart w:id="58" w:name="_Hlk524531975"/>
      <w:r w:rsidRPr="00AC598B">
        <w:rPr>
          <w:rFonts w:ascii="Arial" w:hAnsi="Arial" w:cs="Arial"/>
          <w:szCs w:val="24"/>
        </w:rPr>
        <w:t xml:space="preserve"> During H1, sales growth benefited from </w:t>
      </w:r>
      <w:r w:rsidR="00D54B64">
        <w:rPr>
          <w:rFonts w:ascii="Arial" w:hAnsi="Arial" w:cs="Arial"/>
          <w:szCs w:val="24"/>
        </w:rPr>
        <w:t>2</w:t>
      </w:r>
      <w:r w:rsidR="002B4CED">
        <w:rPr>
          <w:rFonts w:ascii="Arial" w:hAnsi="Arial" w:cs="Arial"/>
          <w:szCs w:val="24"/>
        </w:rPr>
        <w:t>2</w:t>
      </w:r>
      <w:r w:rsidR="00F3093B" w:rsidRPr="00AC598B">
        <w:rPr>
          <w:rFonts w:ascii="Arial" w:hAnsi="Arial" w:cs="Arial"/>
          <w:szCs w:val="24"/>
        </w:rPr>
        <w:t xml:space="preserve"> </w:t>
      </w:r>
      <w:r w:rsidRPr="00AC598B">
        <w:rPr>
          <w:rFonts w:ascii="Arial" w:hAnsi="Arial" w:cs="Arial"/>
          <w:szCs w:val="24"/>
        </w:rPr>
        <w:t xml:space="preserve">net new stores, </w:t>
      </w:r>
      <w:r w:rsidR="00F01C34">
        <w:rPr>
          <w:rFonts w:ascii="Arial" w:hAnsi="Arial" w:cs="Arial"/>
          <w:szCs w:val="24"/>
        </w:rPr>
        <w:t>including</w:t>
      </w:r>
      <w:r w:rsidRPr="00AC598B">
        <w:rPr>
          <w:rFonts w:ascii="Arial" w:hAnsi="Arial" w:cs="Arial"/>
          <w:szCs w:val="24"/>
        </w:rPr>
        <w:t xml:space="preserve"> </w:t>
      </w:r>
      <w:r w:rsidR="00FE229E">
        <w:rPr>
          <w:rFonts w:ascii="Arial" w:hAnsi="Arial" w:cs="Arial"/>
          <w:szCs w:val="24"/>
        </w:rPr>
        <w:t>2</w:t>
      </w:r>
      <w:r w:rsidR="00EE4A15">
        <w:rPr>
          <w:rFonts w:ascii="Arial" w:hAnsi="Arial" w:cs="Arial"/>
          <w:szCs w:val="24"/>
        </w:rPr>
        <w:t>1</w:t>
      </w:r>
      <w:r w:rsidR="00FE229E">
        <w:rPr>
          <w:rFonts w:ascii="Arial" w:hAnsi="Arial" w:cs="Arial"/>
          <w:szCs w:val="24"/>
        </w:rPr>
        <w:t xml:space="preserve"> </w:t>
      </w:r>
      <w:r w:rsidRPr="00AC598B">
        <w:rPr>
          <w:rFonts w:ascii="Arial" w:hAnsi="Arial" w:cs="Arial"/>
          <w:szCs w:val="24"/>
        </w:rPr>
        <w:t>Screwfix outlet openings in the UK</w:t>
      </w:r>
      <w:r w:rsidR="00D54B64">
        <w:rPr>
          <w:rFonts w:ascii="Arial" w:hAnsi="Arial" w:cs="Arial"/>
          <w:szCs w:val="24"/>
        </w:rPr>
        <w:t xml:space="preserve"> and</w:t>
      </w:r>
      <w:r w:rsidR="005B7D1A">
        <w:rPr>
          <w:rFonts w:ascii="Arial" w:hAnsi="Arial" w:cs="Arial"/>
          <w:szCs w:val="24"/>
        </w:rPr>
        <w:t xml:space="preserve"> </w:t>
      </w:r>
      <w:r w:rsidR="00F3093B">
        <w:rPr>
          <w:rFonts w:ascii="Arial" w:hAnsi="Arial" w:cs="Arial"/>
          <w:szCs w:val="24"/>
        </w:rPr>
        <w:t>one net new store opening in France</w:t>
      </w:r>
      <w:r w:rsidR="00D54B64">
        <w:rPr>
          <w:rFonts w:ascii="Arial" w:hAnsi="Arial" w:cs="Arial"/>
          <w:szCs w:val="24"/>
        </w:rPr>
        <w:t>.</w:t>
      </w:r>
      <w:r w:rsidR="00A739AF">
        <w:rPr>
          <w:rFonts w:ascii="Arial" w:hAnsi="Arial" w:cs="Arial"/>
          <w:szCs w:val="24"/>
        </w:rPr>
        <w:t xml:space="preserve"> </w:t>
      </w:r>
      <w:r w:rsidR="00D54B64">
        <w:rPr>
          <w:rFonts w:ascii="Arial" w:hAnsi="Arial" w:cs="Arial"/>
          <w:szCs w:val="24"/>
        </w:rPr>
        <w:t xml:space="preserve">In November 2017 </w:t>
      </w:r>
      <w:r w:rsidR="00A739AF">
        <w:rPr>
          <w:rFonts w:ascii="Arial" w:hAnsi="Arial" w:cs="Arial"/>
          <w:szCs w:val="24"/>
        </w:rPr>
        <w:t>a</w:t>
      </w:r>
      <w:r w:rsidR="00D54B64">
        <w:rPr>
          <w:rFonts w:ascii="Arial" w:hAnsi="Arial" w:cs="Arial"/>
          <w:szCs w:val="24"/>
        </w:rPr>
        <w:t xml:space="preserve"> net</w:t>
      </w:r>
      <w:r w:rsidR="00A739AF">
        <w:rPr>
          <w:rFonts w:ascii="Arial" w:hAnsi="Arial" w:cs="Arial"/>
          <w:szCs w:val="24"/>
        </w:rPr>
        <w:t xml:space="preserve"> </w:t>
      </w:r>
      <w:r w:rsidR="00AA1225">
        <w:rPr>
          <w:rFonts w:ascii="Arial" w:hAnsi="Arial" w:cs="Arial"/>
          <w:szCs w:val="24"/>
        </w:rPr>
        <w:t>23 stores</w:t>
      </w:r>
      <w:r w:rsidR="005C71FC">
        <w:rPr>
          <w:rFonts w:ascii="Arial" w:hAnsi="Arial" w:cs="Arial"/>
          <w:szCs w:val="24"/>
        </w:rPr>
        <w:t xml:space="preserve"> </w:t>
      </w:r>
      <w:bookmarkStart w:id="59" w:name="_Hlk524980677"/>
      <w:r w:rsidR="005C71FC">
        <w:rPr>
          <w:rFonts w:ascii="Arial" w:hAnsi="Arial" w:cs="Arial"/>
          <w:szCs w:val="24"/>
        </w:rPr>
        <w:t>were added</w:t>
      </w:r>
      <w:bookmarkEnd w:id="59"/>
      <w:r w:rsidR="00AA1225">
        <w:rPr>
          <w:rFonts w:ascii="Arial" w:hAnsi="Arial" w:cs="Arial"/>
          <w:szCs w:val="24"/>
        </w:rPr>
        <w:t xml:space="preserve"> </w:t>
      </w:r>
      <w:r w:rsidR="00D54B64">
        <w:rPr>
          <w:rFonts w:ascii="Arial" w:hAnsi="Arial" w:cs="Arial"/>
          <w:szCs w:val="24"/>
        </w:rPr>
        <w:t xml:space="preserve">through </w:t>
      </w:r>
      <w:r w:rsidR="00AA1225">
        <w:rPr>
          <w:rFonts w:ascii="Arial" w:hAnsi="Arial" w:cs="Arial"/>
          <w:szCs w:val="24"/>
        </w:rPr>
        <w:t>the</w:t>
      </w:r>
      <w:r w:rsidR="00A739AF">
        <w:rPr>
          <w:rFonts w:ascii="Arial" w:hAnsi="Arial" w:cs="Arial"/>
          <w:szCs w:val="24"/>
        </w:rPr>
        <w:t xml:space="preserve"> acquisition of </w:t>
      </w:r>
      <w:proofErr w:type="spellStart"/>
      <w:r w:rsidR="00A739AF">
        <w:rPr>
          <w:rFonts w:ascii="Arial" w:hAnsi="Arial" w:cs="Arial"/>
          <w:szCs w:val="24"/>
        </w:rPr>
        <w:t>Praktiker</w:t>
      </w:r>
      <w:proofErr w:type="spellEnd"/>
      <w:r w:rsidR="00A739AF">
        <w:rPr>
          <w:rFonts w:ascii="Arial" w:hAnsi="Arial" w:cs="Arial"/>
          <w:szCs w:val="24"/>
        </w:rPr>
        <w:t xml:space="preserve"> Romania</w:t>
      </w:r>
      <w:r w:rsidRPr="00AC598B">
        <w:rPr>
          <w:rFonts w:ascii="Arial" w:hAnsi="Arial" w:cs="Arial"/>
          <w:szCs w:val="24"/>
        </w:rPr>
        <w:t xml:space="preserve">. </w:t>
      </w:r>
      <w:bookmarkEnd w:id="58"/>
    </w:p>
    <w:p w14:paraId="2DB603E2" w14:textId="77777777" w:rsidR="00E54E9D" w:rsidRPr="00AC598B" w:rsidRDefault="00E54E9D" w:rsidP="00E54E9D">
      <w:pPr>
        <w:ind w:right="-368"/>
        <w:jc w:val="left"/>
        <w:rPr>
          <w:rFonts w:ascii="Arial" w:hAnsi="Arial" w:cs="Arial"/>
          <w:szCs w:val="24"/>
        </w:rPr>
      </w:pPr>
    </w:p>
    <w:p w14:paraId="2663E25E" w14:textId="797D7142" w:rsidR="00E4052A" w:rsidRDefault="00E4052A" w:rsidP="00E10AF6">
      <w:pPr>
        <w:jc w:val="left"/>
        <w:rPr>
          <w:rFonts w:ascii="Arial" w:hAnsi="Arial" w:cs="Arial"/>
        </w:rPr>
      </w:pPr>
      <w:r w:rsidRPr="003D4DBB">
        <w:rPr>
          <w:rFonts w:ascii="Arial" w:hAnsi="Arial" w:cs="Arial"/>
          <w:b/>
        </w:rPr>
        <w:t>Gross margin</w:t>
      </w:r>
      <w:r w:rsidRPr="003D4DBB">
        <w:rPr>
          <w:rFonts w:ascii="Arial" w:hAnsi="Arial" w:cs="Arial"/>
        </w:rPr>
        <w:t xml:space="preserve"> </w:t>
      </w:r>
      <w:r w:rsidR="006F073B" w:rsidRPr="003D4DBB">
        <w:rPr>
          <w:rFonts w:ascii="Arial" w:hAnsi="Arial" w:cs="Arial"/>
        </w:rPr>
        <w:t xml:space="preserve">declined by </w:t>
      </w:r>
      <w:r w:rsidR="00E87C79" w:rsidRPr="003D4DBB">
        <w:rPr>
          <w:rFonts w:ascii="Arial" w:hAnsi="Arial" w:cs="Arial"/>
        </w:rPr>
        <w:t>40</w:t>
      </w:r>
      <w:r w:rsidR="00CA6BAE" w:rsidRPr="003D4DBB">
        <w:rPr>
          <w:rFonts w:ascii="Arial" w:hAnsi="Arial" w:cs="Arial"/>
        </w:rPr>
        <w:t xml:space="preserve"> </w:t>
      </w:r>
      <w:r w:rsidR="006F073B" w:rsidRPr="003D4DBB">
        <w:rPr>
          <w:rFonts w:ascii="Arial" w:hAnsi="Arial" w:cs="Arial"/>
        </w:rPr>
        <w:t>b</w:t>
      </w:r>
      <w:r w:rsidR="00CA6BAE" w:rsidRPr="003D4DBB">
        <w:rPr>
          <w:rFonts w:ascii="Arial" w:hAnsi="Arial" w:cs="Arial"/>
        </w:rPr>
        <w:t>asis points</w:t>
      </w:r>
      <w:r w:rsidR="006F073B" w:rsidRPr="003D4DBB">
        <w:rPr>
          <w:rFonts w:ascii="Arial" w:hAnsi="Arial" w:cs="Arial"/>
        </w:rPr>
        <w:t xml:space="preserve"> </w:t>
      </w:r>
      <w:r w:rsidRPr="003D4DBB">
        <w:rPr>
          <w:rFonts w:ascii="Arial" w:hAnsi="Arial" w:cs="Arial"/>
        </w:rPr>
        <w:t>as the benefits</w:t>
      </w:r>
      <w:r w:rsidR="00F01C34" w:rsidRPr="003D4DBB">
        <w:rPr>
          <w:rFonts w:ascii="Arial" w:hAnsi="Arial" w:cs="Arial"/>
        </w:rPr>
        <w:t xml:space="preserve"> from</w:t>
      </w:r>
      <w:r w:rsidRPr="003D4DBB">
        <w:rPr>
          <w:rFonts w:ascii="Arial" w:hAnsi="Arial" w:cs="Arial"/>
        </w:rPr>
        <w:t xml:space="preserve"> unified and unique product were</w:t>
      </w:r>
      <w:r w:rsidR="00F01C34" w:rsidRPr="003D4DBB">
        <w:rPr>
          <w:rFonts w:ascii="Arial" w:hAnsi="Arial" w:cs="Arial"/>
        </w:rPr>
        <w:t xml:space="preserve"> </w:t>
      </w:r>
      <w:r w:rsidRPr="003D4DBB">
        <w:rPr>
          <w:rFonts w:ascii="Arial" w:hAnsi="Arial" w:cs="Arial"/>
        </w:rPr>
        <w:t>offset by</w:t>
      </w:r>
      <w:r w:rsidR="00F01C34" w:rsidRPr="003D4DBB">
        <w:rPr>
          <w:rFonts w:ascii="Arial" w:hAnsi="Arial" w:cs="Arial"/>
        </w:rPr>
        <w:t xml:space="preserve"> </w:t>
      </w:r>
      <w:r w:rsidR="007D2F1A" w:rsidRPr="003D4DBB">
        <w:rPr>
          <w:rFonts w:ascii="Arial" w:hAnsi="Arial" w:cs="Arial"/>
        </w:rPr>
        <w:t>a weaker performance in France</w:t>
      </w:r>
      <w:r w:rsidR="00F25C8B" w:rsidRPr="003D4DBB">
        <w:rPr>
          <w:rFonts w:ascii="Arial" w:hAnsi="Arial" w:cs="Arial"/>
        </w:rPr>
        <w:t xml:space="preserve"> and</w:t>
      </w:r>
      <w:r w:rsidR="007D2F1A" w:rsidRPr="003D4DBB">
        <w:rPr>
          <w:rFonts w:ascii="Arial" w:hAnsi="Arial" w:cs="Arial"/>
        </w:rPr>
        <w:t xml:space="preserve"> </w:t>
      </w:r>
      <w:r w:rsidR="00FE229E" w:rsidRPr="004215EF">
        <w:rPr>
          <w:rFonts w:ascii="Arial" w:hAnsi="Arial" w:cs="Arial"/>
        </w:rPr>
        <w:t xml:space="preserve">logistics </w:t>
      </w:r>
      <w:r w:rsidR="00A739AF">
        <w:rPr>
          <w:rFonts w:ascii="Arial" w:hAnsi="Arial" w:cs="Arial"/>
        </w:rPr>
        <w:t xml:space="preserve">&amp; stock </w:t>
      </w:r>
      <w:r w:rsidR="00FE229E" w:rsidRPr="004215EF">
        <w:rPr>
          <w:rFonts w:ascii="Arial" w:hAnsi="Arial" w:cs="Arial"/>
        </w:rPr>
        <w:t>inefficiencies</w:t>
      </w:r>
      <w:r w:rsidR="00F3093B" w:rsidRPr="004215EF">
        <w:rPr>
          <w:rFonts w:ascii="Arial" w:hAnsi="Arial" w:cs="Arial"/>
        </w:rPr>
        <w:t>.</w:t>
      </w:r>
    </w:p>
    <w:p w14:paraId="529AE557" w14:textId="77777777" w:rsidR="00E4052A" w:rsidRDefault="00E4052A" w:rsidP="00E10AF6">
      <w:pPr>
        <w:jc w:val="left"/>
        <w:rPr>
          <w:rFonts w:ascii="Arial" w:hAnsi="Arial" w:cs="Arial"/>
          <w:szCs w:val="24"/>
        </w:rPr>
      </w:pPr>
    </w:p>
    <w:p w14:paraId="36E5CDCF" w14:textId="28E4BCBC" w:rsidR="00E56A1D" w:rsidRPr="00342365" w:rsidRDefault="00773A54" w:rsidP="00E56A1D">
      <w:pPr>
        <w:jc w:val="left"/>
        <w:rPr>
          <w:rFonts w:ascii="Arial" w:hAnsi="Arial" w:cs="Arial"/>
        </w:rPr>
      </w:pPr>
      <w:bookmarkStart w:id="60" w:name="_Hlk524980821"/>
      <w:r w:rsidRPr="00263F48">
        <w:rPr>
          <w:rFonts w:ascii="Arial" w:hAnsi="Arial" w:cs="Arial"/>
          <w:szCs w:val="24"/>
        </w:rPr>
        <w:t xml:space="preserve">Reported </w:t>
      </w:r>
      <w:r w:rsidRPr="00263F48">
        <w:rPr>
          <w:rFonts w:ascii="Arial" w:hAnsi="Arial" w:cs="Arial"/>
          <w:b/>
          <w:szCs w:val="24"/>
        </w:rPr>
        <w:t xml:space="preserve">retail </w:t>
      </w:r>
      <w:r w:rsidR="000238EB" w:rsidRPr="00263F48">
        <w:rPr>
          <w:rFonts w:ascii="Arial" w:hAnsi="Arial" w:cs="Arial"/>
          <w:b/>
          <w:szCs w:val="24"/>
        </w:rPr>
        <w:t>profit</w:t>
      </w:r>
      <w:r w:rsidR="000238EB" w:rsidRPr="00263F48">
        <w:rPr>
          <w:rFonts w:ascii="Arial" w:hAnsi="Arial" w:cs="Arial"/>
          <w:szCs w:val="24"/>
        </w:rPr>
        <w:t xml:space="preserve"> </w:t>
      </w:r>
      <w:r w:rsidR="006F073B" w:rsidRPr="00263F48">
        <w:rPr>
          <w:rFonts w:ascii="Arial" w:hAnsi="Arial" w:cs="Arial"/>
          <w:szCs w:val="24"/>
        </w:rPr>
        <w:t>de</w:t>
      </w:r>
      <w:r w:rsidR="00863C40" w:rsidRPr="00263F48">
        <w:rPr>
          <w:rFonts w:ascii="Arial" w:hAnsi="Arial" w:cs="Arial"/>
          <w:szCs w:val="24"/>
        </w:rPr>
        <w:t>creased</w:t>
      </w:r>
      <w:r w:rsidR="005A3E3B" w:rsidRPr="00263F48">
        <w:rPr>
          <w:rFonts w:ascii="Arial" w:hAnsi="Arial" w:cs="Arial"/>
          <w:szCs w:val="24"/>
        </w:rPr>
        <w:t xml:space="preserve"> </w:t>
      </w:r>
      <w:r w:rsidRPr="00263F48">
        <w:rPr>
          <w:rFonts w:ascii="Arial" w:hAnsi="Arial" w:cs="Arial"/>
          <w:szCs w:val="24"/>
        </w:rPr>
        <w:t xml:space="preserve">by </w:t>
      </w:r>
      <w:r w:rsidR="007753E9" w:rsidRPr="00263F48">
        <w:rPr>
          <w:rFonts w:ascii="Arial" w:hAnsi="Arial" w:cs="Arial"/>
          <w:szCs w:val="24"/>
        </w:rPr>
        <w:t>13.5</w:t>
      </w:r>
      <w:r w:rsidRPr="00263F48">
        <w:rPr>
          <w:rFonts w:ascii="Arial" w:hAnsi="Arial" w:cs="Arial"/>
          <w:szCs w:val="24"/>
        </w:rPr>
        <w:t xml:space="preserve">% </w:t>
      </w:r>
      <w:r w:rsidRPr="00632520">
        <w:rPr>
          <w:rFonts w:ascii="Arial" w:hAnsi="Arial" w:cs="Arial"/>
          <w:szCs w:val="24"/>
        </w:rPr>
        <w:t>including £</w:t>
      </w:r>
      <w:r w:rsidR="00230CDB" w:rsidRPr="004215EF">
        <w:rPr>
          <w:rFonts w:ascii="Arial" w:hAnsi="Arial" w:cs="Arial"/>
          <w:szCs w:val="24"/>
        </w:rPr>
        <w:t>4</w:t>
      </w:r>
      <w:r w:rsidR="005A3E3B" w:rsidRPr="00263F48">
        <w:rPr>
          <w:rFonts w:ascii="Arial" w:hAnsi="Arial" w:cs="Arial"/>
          <w:szCs w:val="24"/>
        </w:rPr>
        <w:t xml:space="preserve"> </w:t>
      </w:r>
      <w:r w:rsidRPr="00263F48">
        <w:rPr>
          <w:rFonts w:ascii="Arial" w:hAnsi="Arial" w:cs="Arial"/>
          <w:szCs w:val="24"/>
        </w:rPr>
        <w:t xml:space="preserve">million </w:t>
      </w:r>
      <w:r w:rsidR="005709B5" w:rsidRPr="00263F48">
        <w:rPr>
          <w:rFonts w:ascii="Arial" w:hAnsi="Arial" w:cs="Arial"/>
          <w:szCs w:val="24"/>
        </w:rPr>
        <w:t xml:space="preserve">of </w:t>
      </w:r>
      <w:r w:rsidRPr="00263F48">
        <w:rPr>
          <w:rFonts w:ascii="Arial" w:hAnsi="Arial" w:cs="Arial"/>
          <w:szCs w:val="24"/>
        </w:rPr>
        <w:t xml:space="preserve">favourable foreign exchange </w:t>
      </w:r>
      <w:r w:rsidRPr="00AC598B">
        <w:rPr>
          <w:rFonts w:ascii="Arial" w:hAnsi="Arial" w:cs="Arial"/>
          <w:szCs w:val="24"/>
        </w:rPr>
        <w:t xml:space="preserve">movement on translating foreign currency results into sterling. </w:t>
      </w:r>
      <w:r w:rsidR="00241697" w:rsidRPr="00AC598B">
        <w:rPr>
          <w:rFonts w:ascii="Arial" w:hAnsi="Arial" w:cs="Arial"/>
          <w:szCs w:val="24"/>
        </w:rPr>
        <w:t>In constant currencies</w:t>
      </w:r>
      <w:r w:rsidR="00292592">
        <w:rPr>
          <w:rFonts w:ascii="Arial" w:hAnsi="Arial" w:cs="Arial"/>
          <w:szCs w:val="24"/>
        </w:rPr>
        <w:t>,</w:t>
      </w:r>
      <w:r w:rsidRPr="00AC598B">
        <w:rPr>
          <w:rFonts w:ascii="Arial" w:hAnsi="Arial" w:cs="Arial"/>
          <w:szCs w:val="24"/>
        </w:rPr>
        <w:t xml:space="preserve"> retail profit </w:t>
      </w:r>
      <w:r w:rsidR="005A3E3B" w:rsidRPr="003D4DBB">
        <w:rPr>
          <w:rFonts w:ascii="Arial" w:hAnsi="Arial" w:cs="Arial"/>
          <w:szCs w:val="24"/>
        </w:rPr>
        <w:t>dec</w:t>
      </w:r>
      <w:r w:rsidR="006F073B" w:rsidRPr="003D4DBB">
        <w:rPr>
          <w:rFonts w:ascii="Arial" w:hAnsi="Arial" w:cs="Arial"/>
          <w:szCs w:val="24"/>
        </w:rPr>
        <w:t>reased</w:t>
      </w:r>
      <w:r w:rsidR="005A3E3B" w:rsidRPr="003D4DBB">
        <w:rPr>
          <w:rFonts w:ascii="Arial" w:hAnsi="Arial" w:cs="Arial"/>
          <w:szCs w:val="24"/>
        </w:rPr>
        <w:t xml:space="preserve"> </w:t>
      </w:r>
      <w:r w:rsidRPr="003D4DBB">
        <w:rPr>
          <w:rFonts w:ascii="Arial" w:hAnsi="Arial" w:cs="Arial"/>
          <w:szCs w:val="24"/>
        </w:rPr>
        <w:t xml:space="preserve">by </w:t>
      </w:r>
      <w:r w:rsidR="00E87C79" w:rsidRPr="003D4DBB">
        <w:rPr>
          <w:rFonts w:ascii="Arial" w:hAnsi="Arial" w:cs="Arial"/>
          <w:szCs w:val="24"/>
        </w:rPr>
        <w:t>1</w:t>
      </w:r>
      <w:r w:rsidR="007753E9" w:rsidRPr="003D4DBB">
        <w:rPr>
          <w:rFonts w:ascii="Arial" w:hAnsi="Arial" w:cs="Arial"/>
          <w:szCs w:val="24"/>
        </w:rPr>
        <w:t>4</w:t>
      </w:r>
      <w:r w:rsidR="00E87C79" w:rsidRPr="003D4DBB">
        <w:rPr>
          <w:rFonts w:ascii="Arial" w:hAnsi="Arial" w:cs="Arial"/>
          <w:szCs w:val="24"/>
        </w:rPr>
        <w:t>.</w:t>
      </w:r>
      <w:r w:rsidR="007753E9" w:rsidRPr="003D4DBB">
        <w:rPr>
          <w:rFonts w:ascii="Arial" w:hAnsi="Arial" w:cs="Arial"/>
          <w:szCs w:val="24"/>
        </w:rPr>
        <w:t>3</w:t>
      </w:r>
      <w:r w:rsidRPr="003D4DBB">
        <w:rPr>
          <w:rFonts w:ascii="Arial" w:hAnsi="Arial" w:cs="Arial"/>
          <w:szCs w:val="24"/>
        </w:rPr>
        <w:t xml:space="preserve">%, </w:t>
      </w:r>
      <w:r w:rsidR="00CA7363" w:rsidRPr="003D4DBB">
        <w:rPr>
          <w:rFonts w:ascii="Arial" w:hAnsi="Arial" w:cs="Arial"/>
          <w:szCs w:val="24"/>
        </w:rPr>
        <w:t>with</w:t>
      </w:r>
      <w:r w:rsidR="004F69CC" w:rsidRPr="003D4DBB">
        <w:rPr>
          <w:rFonts w:ascii="Arial" w:hAnsi="Arial" w:cs="Arial"/>
          <w:szCs w:val="24"/>
        </w:rPr>
        <w:t xml:space="preserve"> </w:t>
      </w:r>
      <w:r w:rsidR="00E10AF6" w:rsidRPr="003D4DBB">
        <w:rPr>
          <w:rFonts w:ascii="Arial" w:hAnsi="Arial" w:cs="Arial"/>
          <w:szCs w:val="24"/>
        </w:rPr>
        <w:t xml:space="preserve">growth </w:t>
      </w:r>
      <w:r w:rsidR="00230CDB" w:rsidRPr="003D4DBB">
        <w:rPr>
          <w:rFonts w:ascii="Arial" w:hAnsi="Arial" w:cs="Arial"/>
          <w:szCs w:val="24"/>
        </w:rPr>
        <w:t xml:space="preserve">in the UK </w:t>
      </w:r>
      <w:r w:rsidR="00E10AF6" w:rsidRPr="003D4DBB">
        <w:rPr>
          <w:rFonts w:ascii="Arial" w:hAnsi="Arial" w:cs="Arial"/>
          <w:szCs w:val="24"/>
        </w:rPr>
        <w:t>and Poland offset by</w:t>
      </w:r>
      <w:r w:rsidR="00523183" w:rsidRPr="003D4DBB">
        <w:rPr>
          <w:rFonts w:ascii="Arial" w:hAnsi="Arial" w:cs="Arial"/>
          <w:szCs w:val="24"/>
        </w:rPr>
        <w:t xml:space="preserve"> </w:t>
      </w:r>
      <w:r w:rsidR="00263F48" w:rsidRPr="003D4DBB">
        <w:rPr>
          <w:rFonts w:ascii="Arial" w:hAnsi="Arial" w:cs="Arial"/>
          <w:szCs w:val="24"/>
        </w:rPr>
        <w:t xml:space="preserve">significant </w:t>
      </w:r>
      <w:r w:rsidR="00E10AF6" w:rsidRPr="003D4DBB">
        <w:rPr>
          <w:rFonts w:ascii="Arial" w:hAnsi="Arial" w:cs="Arial"/>
          <w:szCs w:val="24"/>
        </w:rPr>
        <w:t>weakness in France.</w:t>
      </w:r>
      <w:r w:rsidR="00412110" w:rsidRPr="003D4DBB">
        <w:rPr>
          <w:rFonts w:ascii="Arial" w:hAnsi="Arial" w:cs="Arial"/>
          <w:szCs w:val="24"/>
        </w:rPr>
        <w:t xml:space="preserve"> </w:t>
      </w:r>
    </w:p>
    <w:bookmarkEnd w:id="60"/>
    <w:p w14:paraId="2A2C6E75" w14:textId="77777777" w:rsidR="00773A54" w:rsidRPr="00AC598B" w:rsidRDefault="00773A54" w:rsidP="00773A54">
      <w:pPr>
        <w:jc w:val="left"/>
        <w:rPr>
          <w:rFonts w:ascii="Arial" w:hAnsi="Arial" w:cs="Arial"/>
          <w:bCs/>
          <w:szCs w:val="24"/>
          <w:highlight w:val="yellow"/>
        </w:rPr>
      </w:pPr>
    </w:p>
    <w:p w14:paraId="42AA9CA9" w14:textId="709F91B5" w:rsidR="00F94190" w:rsidRPr="00AC598B" w:rsidRDefault="00773A54" w:rsidP="00773A54">
      <w:pPr>
        <w:ind w:right="-368"/>
        <w:jc w:val="left"/>
        <w:rPr>
          <w:rFonts w:ascii="Arial" w:hAnsi="Arial" w:cs="Arial"/>
          <w:szCs w:val="24"/>
        </w:rPr>
      </w:pPr>
      <w:r w:rsidRPr="00AC598B">
        <w:rPr>
          <w:rFonts w:ascii="Arial" w:hAnsi="Arial" w:cs="Arial"/>
          <w:b/>
          <w:szCs w:val="24"/>
        </w:rPr>
        <w:t>Underlying pre-tax profit</w:t>
      </w:r>
      <w:r w:rsidRPr="00AC598B">
        <w:rPr>
          <w:rFonts w:ascii="Arial" w:hAnsi="Arial" w:cs="Arial"/>
          <w:szCs w:val="24"/>
        </w:rPr>
        <w:t xml:space="preserve">, which excludes the impact of transformation </w:t>
      </w:r>
      <w:r w:rsidR="0065238B" w:rsidRPr="00AC598B">
        <w:rPr>
          <w:rFonts w:ascii="Arial" w:hAnsi="Arial" w:cs="Arial"/>
          <w:szCs w:val="24"/>
        </w:rPr>
        <w:t xml:space="preserve">P&amp;L </w:t>
      </w:r>
      <w:r w:rsidRPr="00AC598B">
        <w:rPr>
          <w:rFonts w:ascii="Arial" w:hAnsi="Arial" w:cs="Arial"/>
          <w:szCs w:val="24"/>
        </w:rPr>
        <w:t xml:space="preserve">costs and exceptional items, </w:t>
      </w:r>
      <w:r w:rsidR="006F073B">
        <w:rPr>
          <w:rFonts w:ascii="Arial" w:hAnsi="Arial" w:cs="Arial"/>
          <w:szCs w:val="24"/>
        </w:rPr>
        <w:t>declined</w:t>
      </w:r>
      <w:r w:rsidR="000A466B">
        <w:rPr>
          <w:rFonts w:ascii="Arial" w:hAnsi="Arial" w:cs="Arial"/>
          <w:szCs w:val="24"/>
        </w:rPr>
        <w:t xml:space="preserve"> by </w:t>
      </w:r>
      <w:r w:rsidR="007753E9">
        <w:rPr>
          <w:rFonts w:ascii="Arial" w:hAnsi="Arial" w:cs="Arial"/>
          <w:szCs w:val="24"/>
        </w:rPr>
        <w:t>14.8</w:t>
      </w:r>
      <w:r w:rsidR="00FC104E" w:rsidRPr="00AC598B">
        <w:rPr>
          <w:rFonts w:ascii="Arial" w:hAnsi="Arial" w:cs="Arial"/>
          <w:szCs w:val="24"/>
        </w:rPr>
        <w:t>%, to £</w:t>
      </w:r>
      <w:r w:rsidR="007753E9">
        <w:rPr>
          <w:rFonts w:ascii="Arial" w:hAnsi="Arial" w:cs="Arial"/>
          <w:szCs w:val="24"/>
        </w:rPr>
        <w:t>375</w:t>
      </w:r>
      <w:r w:rsidR="00687F8D" w:rsidRPr="00687F8D">
        <w:rPr>
          <w:rFonts w:ascii="Arial" w:hAnsi="Arial" w:cs="Arial"/>
          <w:b/>
          <w:color w:val="C00000"/>
          <w:szCs w:val="24"/>
        </w:rPr>
        <w:t xml:space="preserve"> </w:t>
      </w:r>
      <w:r w:rsidR="00FC104E" w:rsidRPr="00AC598B">
        <w:rPr>
          <w:rFonts w:ascii="Arial" w:hAnsi="Arial" w:cs="Arial"/>
          <w:szCs w:val="24"/>
        </w:rPr>
        <w:t>million</w:t>
      </w:r>
      <w:r w:rsidR="000A466B">
        <w:rPr>
          <w:rFonts w:ascii="Arial" w:hAnsi="Arial" w:cs="Arial"/>
          <w:szCs w:val="24"/>
        </w:rPr>
        <w:t>.</w:t>
      </w:r>
      <w:r w:rsidR="00FC104E" w:rsidRPr="00AC598B">
        <w:rPr>
          <w:rFonts w:ascii="Arial" w:hAnsi="Arial" w:cs="Arial"/>
          <w:szCs w:val="24"/>
        </w:rPr>
        <w:t xml:space="preserve"> </w:t>
      </w:r>
      <w:r w:rsidRPr="00AC598B">
        <w:rPr>
          <w:rFonts w:ascii="Arial" w:hAnsi="Arial" w:cs="Arial"/>
          <w:szCs w:val="24"/>
        </w:rPr>
        <w:t xml:space="preserve"> </w:t>
      </w:r>
    </w:p>
    <w:p w14:paraId="522D56B4" w14:textId="77777777" w:rsidR="00F94190" w:rsidRPr="00AC598B" w:rsidRDefault="00F94190" w:rsidP="00773A54">
      <w:pPr>
        <w:ind w:right="-368"/>
        <w:jc w:val="left"/>
        <w:rPr>
          <w:rFonts w:ascii="Arial" w:hAnsi="Arial" w:cs="Arial"/>
          <w:szCs w:val="24"/>
        </w:rPr>
      </w:pPr>
    </w:p>
    <w:p w14:paraId="3EE22EDC" w14:textId="34A5C41E" w:rsidR="00773A54" w:rsidRPr="00AC598B" w:rsidRDefault="00773A54" w:rsidP="00773A54">
      <w:pPr>
        <w:ind w:right="-368"/>
        <w:jc w:val="left"/>
        <w:rPr>
          <w:rFonts w:ascii="Arial" w:hAnsi="Arial" w:cs="Arial"/>
          <w:szCs w:val="24"/>
        </w:rPr>
      </w:pPr>
      <w:r w:rsidRPr="00AC598B">
        <w:rPr>
          <w:rFonts w:ascii="Arial" w:hAnsi="Arial" w:cs="Arial"/>
          <w:b/>
          <w:szCs w:val="24"/>
        </w:rPr>
        <w:t>Adjusted pre-tax profit</w:t>
      </w:r>
      <w:r w:rsidRPr="00AC598B">
        <w:rPr>
          <w:rFonts w:ascii="Arial" w:hAnsi="Arial" w:cs="Arial"/>
          <w:szCs w:val="24"/>
        </w:rPr>
        <w:t xml:space="preserve">, which excludes the impact of exceptional items, </w:t>
      </w:r>
      <w:r w:rsidR="00274C29" w:rsidRPr="00AC598B">
        <w:rPr>
          <w:rFonts w:ascii="Arial" w:hAnsi="Arial" w:cs="Arial"/>
          <w:szCs w:val="24"/>
        </w:rPr>
        <w:t xml:space="preserve">decreased </w:t>
      </w:r>
      <w:r w:rsidRPr="00AC598B">
        <w:rPr>
          <w:rFonts w:ascii="Arial" w:hAnsi="Arial" w:cs="Arial"/>
          <w:szCs w:val="24"/>
        </w:rPr>
        <w:t xml:space="preserve">by </w:t>
      </w:r>
      <w:r w:rsidR="007753E9">
        <w:rPr>
          <w:rFonts w:ascii="Arial" w:hAnsi="Arial" w:cs="Arial"/>
          <w:szCs w:val="24"/>
        </w:rPr>
        <w:t>18.0</w:t>
      </w:r>
      <w:r w:rsidRPr="00AC598B">
        <w:rPr>
          <w:rFonts w:ascii="Arial" w:hAnsi="Arial" w:cs="Arial"/>
          <w:szCs w:val="24"/>
        </w:rPr>
        <w:t>% to £</w:t>
      </w:r>
      <w:r w:rsidR="007753E9">
        <w:rPr>
          <w:rFonts w:ascii="Arial" w:hAnsi="Arial" w:cs="Arial"/>
          <w:szCs w:val="24"/>
        </w:rPr>
        <w:t>323</w:t>
      </w:r>
      <w:r w:rsidR="00687F8D" w:rsidRPr="00687F8D">
        <w:rPr>
          <w:rFonts w:ascii="Arial" w:hAnsi="Arial" w:cs="Arial"/>
          <w:b/>
          <w:color w:val="C00000"/>
          <w:szCs w:val="24"/>
        </w:rPr>
        <w:t xml:space="preserve"> </w:t>
      </w:r>
      <w:r w:rsidRPr="00AC598B">
        <w:rPr>
          <w:rFonts w:ascii="Arial" w:hAnsi="Arial" w:cs="Arial"/>
          <w:szCs w:val="24"/>
        </w:rPr>
        <w:t>million, reflecting £</w:t>
      </w:r>
      <w:r w:rsidR="007753E9">
        <w:rPr>
          <w:rFonts w:ascii="Arial" w:hAnsi="Arial" w:cs="Arial"/>
          <w:szCs w:val="24"/>
        </w:rPr>
        <w:t>52</w:t>
      </w:r>
      <w:r w:rsidR="00687F8D" w:rsidRPr="00687F8D">
        <w:rPr>
          <w:rFonts w:ascii="Arial" w:hAnsi="Arial" w:cs="Arial"/>
          <w:b/>
          <w:color w:val="C00000"/>
          <w:szCs w:val="24"/>
        </w:rPr>
        <w:t xml:space="preserve"> </w:t>
      </w:r>
      <w:r w:rsidRPr="00AC598B">
        <w:rPr>
          <w:rFonts w:ascii="Arial" w:hAnsi="Arial" w:cs="Arial"/>
          <w:szCs w:val="24"/>
        </w:rPr>
        <w:t>m</w:t>
      </w:r>
      <w:r w:rsidR="00FC104E" w:rsidRPr="00AC598B">
        <w:rPr>
          <w:rFonts w:ascii="Arial" w:hAnsi="Arial" w:cs="Arial"/>
          <w:szCs w:val="24"/>
        </w:rPr>
        <w:t>illion</w:t>
      </w:r>
      <w:r w:rsidRPr="00AC598B">
        <w:rPr>
          <w:rFonts w:ascii="Arial" w:hAnsi="Arial" w:cs="Arial"/>
          <w:szCs w:val="24"/>
        </w:rPr>
        <w:t xml:space="preserve"> </w:t>
      </w:r>
      <w:r w:rsidR="00353B5A" w:rsidRPr="00AC598B">
        <w:rPr>
          <w:rFonts w:ascii="Arial" w:hAnsi="Arial" w:cs="Arial"/>
          <w:szCs w:val="24"/>
        </w:rPr>
        <w:t xml:space="preserve">of </w:t>
      </w:r>
      <w:r w:rsidRPr="00AC598B">
        <w:rPr>
          <w:rFonts w:ascii="Arial" w:hAnsi="Arial" w:cs="Arial"/>
          <w:szCs w:val="24"/>
        </w:rPr>
        <w:t xml:space="preserve">transformation </w:t>
      </w:r>
      <w:r w:rsidR="00197094" w:rsidRPr="00AC598B">
        <w:rPr>
          <w:rFonts w:ascii="Arial" w:hAnsi="Arial" w:cs="Arial"/>
          <w:szCs w:val="24"/>
        </w:rPr>
        <w:t xml:space="preserve">P&amp;L </w:t>
      </w:r>
      <w:r w:rsidRPr="00AC598B">
        <w:rPr>
          <w:rFonts w:ascii="Arial" w:hAnsi="Arial" w:cs="Arial"/>
          <w:szCs w:val="24"/>
        </w:rPr>
        <w:t>costs</w:t>
      </w:r>
      <w:r w:rsidR="00F94190" w:rsidRPr="00AC598B">
        <w:rPr>
          <w:rFonts w:ascii="Arial" w:hAnsi="Arial" w:cs="Arial"/>
          <w:szCs w:val="24"/>
        </w:rPr>
        <w:t xml:space="preserve">. </w:t>
      </w:r>
    </w:p>
    <w:p w14:paraId="062C8990" w14:textId="77777777" w:rsidR="00773A54" w:rsidRPr="00AC598B" w:rsidRDefault="00773A54" w:rsidP="00773A54">
      <w:pPr>
        <w:ind w:right="-368"/>
        <w:jc w:val="left"/>
        <w:rPr>
          <w:rFonts w:ascii="Arial" w:hAnsi="Arial" w:cs="Arial"/>
          <w:szCs w:val="24"/>
          <w:highlight w:val="yellow"/>
        </w:rPr>
      </w:pPr>
      <w:r w:rsidRPr="00AC598B">
        <w:rPr>
          <w:rFonts w:ascii="Arial" w:hAnsi="Arial" w:cs="Arial"/>
          <w:szCs w:val="24"/>
          <w:highlight w:val="yellow"/>
        </w:rPr>
        <w:t xml:space="preserve"> </w:t>
      </w:r>
    </w:p>
    <w:p w14:paraId="3F34B5F1" w14:textId="57704074" w:rsidR="00263F48" w:rsidRDefault="00773A54" w:rsidP="00773A54">
      <w:pPr>
        <w:jc w:val="left"/>
        <w:rPr>
          <w:rFonts w:ascii="Arial" w:hAnsi="Arial" w:cs="Arial"/>
          <w:szCs w:val="24"/>
        </w:rPr>
      </w:pPr>
      <w:r w:rsidRPr="00AC598B">
        <w:rPr>
          <w:rFonts w:ascii="Arial" w:hAnsi="Arial" w:cs="Arial"/>
          <w:b/>
          <w:szCs w:val="24"/>
        </w:rPr>
        <w:t>Statutory pre-tax profit</w:t>
      </w:r>
      <w:r w:rsidRPr="00AC598B">
        <w:rPr>
          <w:rFonts w:ascii="Arial" w:hAnsi="Arial" w:cs="Arial"/>
          <w:szCs w:val="24"/>
        </w:rPr>
        <w:t xml:space="preserve">, which includes the impact of </w:t>
      </w:r>
      <w:r w:rsidR="003C58D7" w:rsidRPr="00AC598B">
        <w:rPr>
          <w:rFonts w:ascii="Arial" w:hAnsi="Arial" w:cs="Arial"/>
          <w:szCs w:val="24"/>
        </w:rPr>
        <w:t xml:space="preserve">transformation </w:t>
      </w:r>
      <w:r w:rsidR="00AA1225">
        <w:rPr>
          <w:rFonts w:ascii="Arial" w:hAnsi="Arial" w:cs="Arial"/>
          <w:szCs w:val="24"/>
        </w:rPr>
        <w:t xml:space="preserve">P&amp;L </w:t>
      </w:r>
      <w:r w:rsidR="003C58D7" w:rsidRPr="00AC598B">
        <w:rPr>
          <w:rFonts w:ascii="Arial" w:hAnsi="Arial" w:cs="Arial"/>
          <w:szCs w:val="24"/>
        </w:rPr>
        <w:t>costs</w:t>
      </w:r>
      <w:r w:rsidR="002841D8">
        <w:rPr>
          <w:rFonts w:ascii="Arial" w:hAnsi="Arial" w:cs="Arial"/>
          <w:szCs w:val="24"/>
        </w:rPr>
        <w:t xml:space="preserve"> and </w:t>
      </w:r>
      <w:r w:rsidRPr="00AC598B">
        <w:rPr>
          <w:rFonts w:ascii="Arial" w:hAnsi="Arial" w:cs="Arial"/>
          <w:szCs w:val="24"/>
        </w:rPr>
        <w:t>exceptional items</w:t>
      </w:r>
      <w:r w:rsidR="0016009C" w:rsidRPr="00AC598B">
        <w:rPr>
          <w:rFonts w:ascii="Arial" w:hAnsi="Arial" w:cs="Arial"/>
          <w:szCs w:val="24"/>
        </w:rPr>
        <w:t>,</w:t>
      </w:r>
      <w:r w:rsidRPr="00AC598B">
        <w:rPr>
          <w:rFonts w:ascii="Arial" w:hAnsi="Arial" w:cs="Arial"/>
          <w:szCs w:val="24"/>
        </w:rPr>
        <w:t xml:space="preserve"> </w:t>
      </w:r>
      <w:r w:rsidR="000A466B">
        <w:rPr>
          <w:rFonts w:ascii="Arial" w:hAnsi="Arial" w:cs="Arial"/>
          <w:szCs w:val="24"/>
        </w:rPr>
        <w:t xml:space="preserve">decreased by </w:t>
      </w:r>
      <w:r w:rsidR="007753E9">
        <w:rPr>
          <w:rFonts w:ascii="Arial" w:hAnsi="Arial" w:cs="Arial"/>
          <w:szCs w:val="24"/>
        </w:rPr>
        <w:t>30.1</w:t>
      </w:r>
      <w:r w:rsidRPr="00AC598B">
        <w:rPr>
          <w:rFonts w:ascii="Arial" w:hAnsi="Arial" w:cs="Arial"/>
          <w:szCs w:val="24"/>
        </w:rPr>
        <w:t>% to £</w:t>
      </w:r>
      <w:r w:rsidR="007753E9">
        <w:rPr>
          <w:rFonts w:ascii="Arial" w:hAnsi="Arial" w:cs="Arial"/>
          <w:szCs w:val="24"/>
        </w:rPr>
        <w:t>281</w:t>
      </w:r>
      <w:r w:rsidR="00687F8D" w:rsidRPr="00687F8D">
        <w:rPr>
          <w:rFonts w:ascii="Arial" w:hAnsi="Arial" w:cs="Arial"/>
          <w:b/>
          <w:color w:val="C00000"/>
          <w:szCs w:val="24"/>
        </w:rPr>
        <w:t xml:space="preserve"> </w:t>
      </w:r>
      <w:r w:rsidRPr="00AC598B">
        <w:rPr>
          <w:rFonts w:ascii="Arial" w:hAnsi="Arial" w:cs="Arial"/>
          <w:szCs w:val="24"/>
        </w:rPr>
        <w:t xml:space="preserve">million. </w:t>
      </w:r>
    </w:p>
    <w:p w14:paraId="462BA04D" w14:textId="77777777" w:rsidR="00263F48" w:rsidRDefault="00263F48" w:rsidP="00773A54">
      <w:pPr>
        <w:jc w:val="left"/>
        <w:rPr>
          <w:rFonts w:ascii="Arial" w:hAnsi="Arial" w:cs="Arial"/>
        </w:rPr>
      </w:pPr>
    </w:p>
    <w:p w14:paraId="6F1FC725" w14:textId="5AB78BB5" w:rsidR="00263F48" w:rsidRDefault="00263F48" w:rsidP="00773A54">
      <w:pPr>
        <w:jc w:val="left"/>
        <w:rPr>
          <w:rFonts w:ascii="Arial" w:hAnsi="Arial" w:cs="Arial"/>
          <w:szCs w:val="24"/>
        </w:rPr>
      </w:pPr>
      <w:bookmarkStart w:id="61" w:name="_Hlk524947172"/>
      <w:r w:rsidRPr="00342365">
        <w:rPr>
          <w:rFonts w:ascii="Arial" w:hAnsi="Arial" w:cs="Arial"/>
        </w:rPr>
        <w:t>We continued to invest in the business and the transformation</w:t>
      </w:r>
      <w:r>
        <w:rPr>
          <w:rFonts w:ascii="Arial" w:hAnsi="Arial" w:cs="Arial"/>
        </w:rPr>
        <w:t>, we</w:t>
      </w:r>
      <w:r w:rsidRPr="00342365">
        <w:rPr>
          <w:rFonts w:ascii="Arial" w:hAnsi="Arial" w:cs="Arial"/>
        </w:rPr>
        <w:t xml:space="preserve"> </w:t>
      </w:r>
      <w:r w:rsidRPr="00342365">
        <w:rPr>
          <w:rFonts w:ascii="ArialMT" w:hAnsi="ArialMT" w:cs="ArialMT"/>
        </w:rPr>
        <w:t>paid £</w:t>
      </w:r>
      <w:r>
        <w:rPr>
          <w:rFonts w:ascii="ArialMT" w:hAnsi="ArialMT" w:cs="ArialMT"/>
        </w:rPr>
        <w:t>16</w:t>
      </w:r>
      <w:r w:rsidR="00936EA5">
        <w:rPr>
          <w:rFonts w:ascii="ArialMT" w:hAnsi="ArialMT" w:cs="ArialMT"/>
        </w:rPr>
        <w:t>0</w:t>
      </w:r>
      <w:r w:rsidRPr="00342365">
        <w:rPr>
          <w:rFonts w:ascii="ArialMT" w:hAnsi="ArialMT" w:cs="ArialMT"/>
        </w:rPr>
        <w:t xml:space="preserve"> million in cash dividends</w:t>
      </w:r>
      <w:r>
        <w:rPr>
          <w:rFonts w:ascii="ArialMT" w:hAnsi="ArialMT" w:cs="ArialMT"/>
        </w:rPr>
        <w:t xml:space="preserve"> and</w:t>
      </w:r>
      <w:r w:rsidRPr="00342365">
        <w:rPr>
          <w:rFonts w:ascii="ArialMT" w:hAnsi="ArialMT" w:cs="ArialMT"/>
        </w:rPr>
        <w:t xml:space="preserve"> repurchased a </w:t>
      </w:r>
      <w:r w:rsidRPr="00AA7892">
        <w:rPr>
          <w:rFonts w:ascii="ArialMT" w:hAnsi="ArialMT" w:cs="ArialMT"/>
        </w:rPr>
        <w:t>further £</w:t>
      </w:r>
      <w:r>
        <w:rPr>
          <w:rFonts w:ascii="ArialMT" w:hAnsi="ArialMT" w:cs="ArialMT"/>
        </w:rPr>
        <w:t>90</w:t>
      </w:r>
      <w:r w:rsidRPr="00AA7892">
        <w:rPr>
          <w:rFonts w:ascii="ArialMT" w:hAnsi="ArialMT" w:cs="ArialMT"/>
        </w:rPr>
        <w:t xml:space="preserve"> million</w:t>
      </w:r>
      <w:r w:rsidRPr="00342365">
        <w:rPr>
          <w:rFonts w:ascii="ArialMT" w:hAnsi="ArialMT" w:cs="ArialMT"/>
        </w:rPr>
        <w:t xml:space="preserve"> of shares while maintaining a strong balance sheet.</w:t>
      </w:r>
    </w:p>
    <w:bookmarkEnd w:id="61"/>
    <w:p w14:paraId="44418D82" w14:textId="77777777" w:rsidR="00263F48" w:rsidRDefault="00263F48" w:rsidP="00773A54">
      <w:pPr>
        <w:jc w:val="left"/>
        <w:rPr>
          <w:rFonts w:ascii="Arial" w:hAnsi="Arial" w:cs="Arial"/>
          <w:szCs w:val="24"/>
        </w:rPr>
      </w:pPr>
    </w:p>
    <w:p w14:paraId="792D0FCC" w14:textId="77777777" w:rsidR="00263F48" w:rsidRDefault="00263F48" w:rsidP="00773A54">
      <w:pPr>
        <w:jc w:val="left"/>
        <w:rPr>
          <w:rFonts w:ascii="Arial" w:hAnsi="Arial" w:cs="Arial"/>
          <w:szCs w:val="24"/>
        </w:rPr>
      </w:pPr>
    </w:p>
    <w:p w14:paraId="4D7F20BF" w14:textId="77777777" w:rsidR="00263F48" w:rsidRDefault="00263F48" w:rsidP="00773A54">
      <w:pPr>
        <w:jc w:val="left"/>
        <w:rPr>
          <w:rFonts w:ascii="Arial" w:hAnsi="Arial" w:cs="Arial"/>
          <w:szCs w:val="24"/>
        </w:rPr>
      </w:pPr>
    </w:p>
    <w:p w14:paraId="58659372" w14:textId="77777777" w:rsidR="00263F48" w:rsidRDefault="00263F48" w:rsidP="00773A54">
      <w:pPr>
        <w:jc w:val="left"/>
        <w:rPr>
          <w:rFonts w:ascii="Arial" w:hAnsi="Arial" w:cs="Arial"/>
          <w:szCs w:val="24"/>
        </w:rPr>
      </w:pPr>
    </w:p>
    <w:p w14:paraId="70F139EE" w14:textId="77777777" w:rsidR="00263F48" w:rsidRDefault="00263F48" w:rsidP="00773A54">
      <w:pPr>
        <w:jc w:val="left"/>
        <w:rPr>
          <w:rFonts w:ascii="Arial" w:hAnsi="Arial" w:cs="Arial"/>
          <w:szCs w:val="24"/>
        </w:rPr>
      </w:pPr>
    </w:p>
    <w:p w14:paraId="73CADDBA" w14:textId="77777777" w:rsidR="00263F48" w:rsidRDefault="00263F48" w:rsidP="00773A54">
      <w:pPr>
        <w:jc w:val="left"/>
        <w:rPr>
          <w:rFonts w:ascii="Arial" w:hAnsi="Arial" w:cs="Arial"/>
          <w:szCs w:val="24"/>
        </w:rPr>
      </w:pPr>
    </w:p>
    <w:p w14:paraId="301CA2BA" w14:textId="77777777" w:rsidR="00263F48" w:rsidRDefault="00263F48" w:rsidP="00773A54">
      <w:pPr>
        <w:jc w:val="left"/>
        <w:rPr>
          <w:rFonts w:ascii="Arial" w:hAnsi="Arial" w:cs="Arial"/>
          <w:szCs w:val="24"/>
        </w:rPr>
      </w:pPr>
    </w:p>
    <w:p w14:paraId="71F258D0" w14:textId="77777777" w:rsidR="00263F48" w:rsidRDefault="00263F48" w:rsidP="00773A54">
      <w:pPr>
        <w:jc w:val="left"/>
        <w:rPr>
          <w:rFonts w:ascii="Arial" w:hAnsi="Arial" w:cs="Arial"/>
          <w:szCs w:val="24"/>
        </w:rPr>
      </w:pPr>
    </w:p>
    <w:p w14:paraId="4644373F" w14:textId="77777777" w:rsidR="00263F48" w:rsidRDefault="00263F48" w:rsidP="00773A54">
      <w:pPr>
        <w:jc w:val="left"/>
        <w:rPr>
          <w:rFonts w:ascii="Arial" w:hAnsi="Arial" w:cs="Arial"/>
          <w:szCs w:val="24"/>
        </w:rPr>
      </w:pPr>
    </w:p>
    <w:p w14:paraId="7F1D095A" w14:textId="4E77960A" w:rsidR="00F01C34" w:rsidRDefault="00773A54" w:rsidP="00773A54">
      <w:pPr>
        <w:jc w:val="left"/>
        <w:rPr>
          <w:rFonts w:ascii="Arial" w:hAnsi="Arial" w:cs="Arial"/>
          <w:szCs w:val="24"/>
        </w:rPr>
      </w:pPr>
      <w:r w:rsidRPr="00AC598B">
        <w:rPr>
          <w:rFonts w:ascii="Arial" w:hAnsi="Arial" w:cs="Arial"/>
          <w:szCs w:val="24"/>
        </w:rPr>
        <w:t xml:space="preserve">A reconciliation from the </w:t>
      </w:r>
      <w:r w:rsidR="00F94190" w:rsidRPr="00AC598B">
        <w:rPr>
          <w:rFonts w:ascii="Arial" w:hAnsi="Arial" w:cs="Arial"/>
          <w:szCs w:val="24"/>
        </w:rPr>
        <w:t xml:space="preserve">underlying </w:t>
      </w:r>
      <w:r w:rsidRPr="00AC598B">
        <w:rPr>
          <w:rFonts w:ascii="Arial" w:hAnsi="Arial" w:cs="Arial"/>
          <w:szCs w:val="24"/>
        </w:rPr>
        <w:t>basis to the statutory basis for pre-tax profit is set out below</w:t>
      </w:r>
      <w:r w:rsidR="00936EA5">
        <w:rPr>
          <w:rFonts w:ascii="Arial" w:hAnsi="Arial" w:cs="Arial"/>
          <w:szCs w:val="24"/>
        </w:rPr>
        <w:t>:</w:t>
      </w:r>
    </w:p>
    <w:p w14:paraId="6CAA0292" w14:textId="77777777" w:rsidR="00773A54" w:rsidRDefault="00773A54" w:rsidP="00773A54">
      <w:pPr>
        <w:jc w:val="left"/>
        <w:rPr>
          <w:rFonts w:ascii="Arial" w:hAnsi="Arial" w:cs="Arial"/>
          <w:szCs w:val="24"/>
        </w:rPr>
      </w:pP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78"/>
        <w:gridCol w:w="1259"/>
        <w:gridCol w:w="1241"/>
        <w:gridCol w:w="1532"/>
      </w:tblGrid>
      <w:tr w:rsidR="00773A54" w:rsidRPr="007769BE" w14:paraId="1D81D80B" w14:textId="77777777" w:rsidTr="00907EA8">
        <w:tc>
          <w:tcPr>
            <w:tcW w:w="2966" w:type="pct"/>
            <w:tcBorders>
              <w:bottom w:val="single" w:sz="4" w:space="0" w:color="auto"/>
            </w:tcBorders>
          </w:tcPr>
          <w:p w14:paraId="17FCBF5A" w14:textId="77777777" w:rsidR="00773A54" w:rsidRPr="00AC598B" w:rsidRDefault="00773A54" w:rsidP="00907EA8">
            <w:pPr>
              <w:jc w:val="right"/>
              <w:rPr>
                <w:rFonts w:ascii="Arial" w:hAnsi="Arial" w:cs="Arial"/>
                <w:sz w:val="22"/>
                <w:szCs w:val="24"/>
              </w:rPr>
            </w:pPr>
          </w:p>
        </w:tc>
        <w:tc>
          <w:tcPr>
            <w:tcW w:w="635" w:type="pct"/>
            <w:tcBorders>
              <w:bottom w:val="single" w:sz="4" w:space="0" w:color="auto"/>
            </w:tcBorders>
          </w:tcPr>
          <w:p w14:paraId="5645AAB3" w14:textId="70EB999A" w:rsidR="00773A54" w:rsidRPr="00AC598B" w:rsidRDefault="00773A54" w:rsidP="00907EA8">
            <w:pPr>
              <w:jc w:val="right"/>
              <w:rPr>
                <w:rFonts w:ascii="Arial" w:hAnsi="Arial" w:cs="Arial"/>
                <w:b/>
                <w:sz w:val="22"/>
                <w:szCs w:val="24"/>
              </w:rPr>
            </w:pPr>
            <w:r w:rsidRPr="00AC598B">
              <w:rPr>
                <w:rFonts w:ascii="Arial" w:hAnsi="Arial" w:cs="Arial"/>
                <w:b/>
                <w:sz w:val="22"/>
                <w:szCs w:val="24"/>
              </w:rPr>
              <w:t>201</w:t>
            </w:r>
            <w:r w:rsidR="0063201D">
              <w:rPr>
                <w:rFonts w:ascii="Arial" w:hAnsi="Arial" w:cs="Arial"/>
                <w:b/>
                <w:sz w:val="22"/>
                <w:szCs w:val="24"/>
              </w:rPr>
              <w:t>8</w:t>
            </w:r>
            <w:r w:rsidRPr="00AC598B">
              <w:rPr>
                <w:rFonts w:ascii="Arial" w:hAnsi="Arial" w:cs="Arial"/>
                <w:b/>
                <w:sz w:val="22"/>
                <w:szCs w:val="24"/>
              </w:rPr>
              <w:t>/1</w:t>
            </w:r>
            <w:r w:rsidR="0063201D">
              <w:rPr>
                <w:rFonts w:ascii="Arial" w:hAnsi="Arial" w:cs="Arial"/>
                <w:b/>
                <w:sz w:val="22"/>
                <w:szCs w:val="24"/>
              </w:rPr>
              <w:t>9</w:t>
            </w:r>
          </w:p>
          <w:p w14:paraId="49B2680C" w14:textId="77777777" w:rsidR="00773A54" w:rsidRPr="00AC598B" w:rsidRDefault="00773A54" w:rsidP="00907EA8">
            <w:pPr>
              <w:jc w:val="right"/>
              <w:rPr>
                <w:rFonts w:ascii="Arial" w:hAnsi="Arial" w:cs="Arial"/>
                <w:b/>
                <w:sz w:val="22"/>
                <w:szCs w:val="24"/>
              </w:rPr>
            </w:pPr>
            <w:r w:rsidRPr="00AC598B">
              <w:rPr>
                <w:rFonts w:ascii="Arial" w:hAnsi="Arial" w:cs="Arial"/>
                <w:b/>
                <w:sz w:val="22"/>
                <w:szCs w:val="24"/>
              </w:rPr>
              <w:t>£m</w:t>
            </w:r>
          </w:p>
        </w:tc>
        <w:tc>
          <w:tcPr>
            <w:tcW w:w="626" w:type="pct"/>
            <w:tcBorders>
              <w:bottom w:val="single" w:sz="4" w:space="0" w:color="auto"/>
            </w:tcBorders>
          </w:tcPr>
          <w:p w14:paraId="5C4E7816" w14:textId="6D1D4D19" w:rsidR="00773A54" w:rsidRPr="00AC598B" w:rsidRDefault="00773A54" w:rsidP="00907EA8">
            <w:pPr>
              <w:jc w:val="right"/>
              <w:rPr>
                <w:rFonts w:ascii="Arial" w:hAnsi="Arial" w:cs="Arial"/>
                <w:sz w:val="22"/>
                <w:szCs w:val="24"/>
              </w:rPr>
            </w:pPr>
            <w:r w:rsidRPr="00AC598B">
              <w:rPr>
                <w:rFonts w:ascii="Arial" w:hAnsi="Arial" w:cs="Arial"/>
                <w:sz w:val="22"/>
                <w:szCs w:val="24"/>
              </w:rPr>
              <w:t>201</w:t>
            </w:r>
            <w:r w:rsidR="0063201D">
              <w:rPr>
                <w:rFonts w:ascii="Arial" w:hAnsi="Arial" w:cs="Arial"/>
                <w:sz w:val="22"/>
                <w:szCs w:val="24"/>
              </w:rPr>
              <w:t>7</w:t>
            </w:r>
            <w:r w:rsidRPr="00AC598B">
              <w:rPr>
                <w:rFonts w:ascii="Arial" w:hAnsi="Arial" w:cs="Arial"/>
                <w:sz w:val="22"/>
                <w:szCs w:val="24"/>
              </w:rPr>
              <w:t>/1</w:t>
            </w:r>
            <w:r w:rsidR="0063201D">
              <w:rPr>
                <w:rFonts w:ascii="Arial" w:hAnsi="Arial" w:cs="Arial"/>
                <w:sz w:val="22"/>
                <w:szCs w:val="24"/>
              </w:rPr>
              <w:t>8</w:t>
            </w:r>
          </w:p>
          <w:p w14:paraId="4961DB21" w14:textId="77777777" w:rsidR="00773A54" w:rsidRPr="00AC598B" w:rsidRDefault="00773A54" w:rsidP="00907EA8">
            <w:pPr>
              <w:jc w:val="right"/>
              <w:rPr>
                <w:rFonts w:ascii="Arial" w:hAnsi="Arial" w:cs="Arial"/>
                <w:sz w:val="22"/>
                <w:szCs w:val="24"/>
              </w:rPr>
            </w:pPr>
            <w:r w:rsidRPr="00AC598B">
              <w:rPr>
                <w:rFonts w:ascii="Arial" w:hAnsi="Arial" w:cs="Arial"/>
                <w:sz w:val="22"/>
                <w:szCs w:val="24"/>
              </w:rPr>
              <w:t>£m</w:t>
            </w:r>
          </w:p>
        </w:tc>
        <w:tc>
          <w:tcPr>
            <w:tcW w:w="773" w:type="pct"/>
            <w:tcBorders>
              <w:bottom w:val="single" w:sz="4" w:space="0" w:color="auto"/>
            </w:tcBorders>
          </w:tcPr>
          <w:p w14:paraId="0EDAC9DD" w14:textId="77777777" w:rsidR="00421A9F" w:rsidRPr="00AC598B" w:rsidRDefault="00421A9F">
            <w:pPr>
              <w:jc w:val="right"/>
              <w:rPr>
                <w:rFonts w:ascii="Arial" w:hAnsi="Arial" w:cs="Arial"/>
                <w:sz w:val="22"/>
                <w:szCs w:val="24"/>
              </w:rPr>
            </w:pPr>
          </w:p>
          <w:p w14:paraId="552F955C" w14:textId="0A54438F" w:rsidR="00773A54" w:rsidRPr="00AC598B" w:rsidRDefault="00BD3A93">
            <w:pPr>
              <w:jc w:val="right"/>
              <w:rPr>
                <w:rFonts w:ascii="Arial" w:hAnsi="Arial" w:cs="Arial"/>
                <w:sz w:val="22"/>
                <w:szCs w:val="24"/>
              </w:rPr>
            </w:pPr>
            <w:r>
              <w:rPr>
                <w:rFonts w:ascii="Arial" w:hAnsi="Arial" w:cs="Arial"/>
                <w:sz w:val="22"/>
                <w:szCs w:val="24"/>
              </w:rPr>
              <w:t>C</w:t>
            </w:r>
            <w:r w:rsidR="004D0E9F">
              <w:rPr>
                <w:rFonts w:ascii="Arial" w:hAnsi="Arial" w:cs="Arial"/>
                <w:sz w:val="22"/>
                <w:szCs w:val="24"/>
              </w:rPr>
              <w:t>hange</w:t>
            </w:r>
            <w:r w:rsidR="00773A54" w:rsidRPr="00AC598B">
              <w:rPr>
                <w:rFonts w:ascii="Arial" w:hAnsi="Arial" w:cs="Arial"/>
                <w:sz w:val="22"/>
                <w:szCs w:val="24"/>
              </w:rPr>
              <w:t xml:space="preserve"> </w:t>
            </w:r>
          </w:p>
        </w:tc>
      </w:tr>
      <w:tr w:rsidR="0063201D" w:rsidRPr="007769BE" w14:paraId="2E909892" w14:textId="77777777" w:rsidTr="0020209B">
        <w:tc>
          <w:tcPr>
            <w:tcW w:w="2966" w:type="pct"/>
            <w:tcBorders>
              <w:top w:val="single" w:sz="4" w:space="0" w:color="auto"/>
            </w:tcBorders>
          </w:tcPr>
          <w:p w14:paraId="151C6C59" w14:textId="7C39F01A" w:rsidR="0063201D" w:rsidRPr="00AC598B" w:rsidRDefault="0063201D" w:rsidP="0063201D">
            <w:pPr>
              <w:jc w:val="left"/>
              <w:rPr>
                <w:rFonts w:ascii="Arial" w:hAnsi="Arial" w:cs="Arial"/>
                <w:b/>
                <w:sz w:val="22"/>
                <w:szCs w:val="24"/>
              </w:rPr>
            </w:pPr>
            <w:r w:rsidRPr="00AC598B">
              <w:rPr>
                <w:rFonts w:ascii="Arial" w:hAnsi="Arial" w:cs="Arial"/>
                <w:b/>
                <w:sz w:val="22"/>
                <w:szCs w:val="24"/>
              </w:rPr>
              <w:t>Retail profit</w:t>
            </w:r>
          </w:p>
        </w:tc>
        <w:tc>
          <w:tcPr>
            <w:tcW w:w="635" w:type="pct"/>
            <w:tcBorders>
              <w:top w:val="single" w:sz="4" w:space="0" w:color="auto"/>
            </w:tcBorders>
          </w:tcPr>
          <w:p w14:paraId="7E7548CD" w14:textId="53119B90" w:rsidR="0063201D" w:rsidRPr="00961B25" w:rsidRDefault="007753E9" w:rsidP="0063201D">
            <w:pPr>
              <w:jc w:val="right"/>
              <w:rPr>
                <w:rFonts w:ascii="Arial" w:hAnsi="Arial" w:cs="Arial"/>
                <w:b/>
                <w:sz w:val="22"/>
                <w:szCs w:val="22"/>
              </w:rPr>
            </w:pPr>
            <w:r w:rsidRPr="00961B25">
              <w:rPr>
                <w:rFonts w:ascii="Arial" w:hAnsi="Arial" w:cs="Arial"/>
                <w:b/>
                <w:sz w:val="22"/>
                <w:szCs w:val="22"/>
              </w:rPr>
              <w:t>404</w:t>
            </w:r>
          </w:p>
        </w:tc>
        <w:tc>
          <w:tcPr>
            <w:tcW w:w="626" w:type="pct"/>
            <w:tcBorders>
              <w:top w:val="single" w:sz="4" w:space="0" w:color="auto"/>
            </w:tcBorders>
          </w:tcPr>
          <w:p w14:paraId="7476E2B2" w14:textId="52162CB1" w:rsidR="0063201D" w:rsidRPr="00961B25" w:rsidRDefault="0063201D" w:rsidP="0063201D">
            <w:pPr>
              <w:jc w:val="right"/>
              <w:rPr>
                <w:rFonts w:ascii="Arial" w:hAnsi="Arial" w:cs="Arial"/>
                <w:sz w:val="22"/>
                <w:szCs w:val="22"/>
              </w:rPr>
            </w:pPr>
            <w:r w:rsidRPr="00961B25">
              <w:rPr>
                <w:rFonts w:ascii="Arial" w:hAnsi="Arial" w:cs="Arial"/>
                <w:sz w:val="22"/>
                <w:szCs w:val="22"/>
              </w:rPr>
              <w:t>467</w:t>
            </w:r>
          </w:p>
        </w:tc>
        <w:tc>
          <w:tcPr>
            <w:tcW w:w="773" w:type="pct"/>
            <w:tcBorders>
              <w:top w:val="single" w:sz="4" w:space="0" w:color="auto"/>
            </w:tcBorders>
            <w:vAlign w:val="bottom"/>
          </w:tcPr>
          <w:p w14:paraId="0FE3BB2E" w14:textId="73F30741" w:rsidR="0063201D" w:rsidRPr="00961B25" w:rsidRDefault="005453ED" w:rsidP="0063201D">
            <w:pPr>
              <w:jc w:val="right"/>
              <w:rPr>
                <w:rFonts w:ascii="Arial" w:hAnsi="Arial" w:cs="Arial"/>
                <w:sz w:val="22"/>
                <w:szCs w:val="22"/>
              </w:rPr>
            </w:pPr>
            <w:r w:rsidRPr="00961B25">
              <w:rPr>
                <w:rFonts w:ascii="Arial" w:hAnsi="Arial" w:cs="Arial"/>
                <w:sz w:val="22"/>
                <w:szCs w:val="22"/>
              </w:rPr>
              <w:t>(</w:t>
            </w:r>
            <w:proofErr w:type="gramStart"/>
            <w:r w:rsidRPr="00961B25">
              <w:rPr>
                <w:rFonts w:ascii="Arial" w:hAnsi="Arial" w:cs="Arial"/>
                <w:sz w:val="22"/>
                <w:szCs w:val="22"/>
              </w:rPr>
              <w:t>13.5)</w:t>
            </w:r>
            <w:r w:rsidR="0063201D" w:rsidRPr="00961B25">
              <w:rPr>
                <w:rFonts w:ascii="Arial" w:hAnsi="Arial" w:cs="Arial"/>
                <w:sz w:val="22"/>
                <w:szCs w:val="22"/>
              </w:rPr>
              <w:t>%</w:t>
            </w:r>
            <w:proofErr w:type="gramEnd"/>
          </w:p>
        </w:tc>
      </w:tr>
      <w:tr w:rsidR="0063201D" w:rsidRPr="007769BE" w14:paraId="7ABED8CB" w14:textId="77777777" w:rsidTr="00CC0C89">
        <w:tc>
          <w:tcPr>
            <w:tcW w:w="2966" w:type="pct"/>
          </w:tcPr>
          <w:p w14:paraId="0BE5E6B7" w14:textId="3A0368A1" w:rsidR="0063201D" w:rsidRPr="00AC598B" w:rsidRDefault="0063201D" w:rsidP="0063201D">
            <w:pPr>
              <w:jc w:val="left"/>
              <w:rPr>
                <w:rFonts w:ascii="Arial" w:hAnsi="Arial" w:cs="Arial"/>
                <w:sz w:val="22"/>
                <w:szCs w:val="24"/>
              </w:rPr>
            </w:pPr>
            <w:r w:rsidRPr="00AC598B">
              <w:rPr>
                <w:rFonts w:ascii="Arial" w:hAnsi="Arial" w:cs="Arial"/>
                <w:sz w:val="22"/>
                <w:szCs w:val="24"/>
              </w:rPr>
              <w:t>Central costs</w:t>
            </w:r>
          </w:p>
        </w:tc>
        <w:tc>
          <w:tcPr>
            <w:tcW w:w="635" w:type="pct"/>
          </w:tcPr>
          <w:p w14:paraId="0DD0B3A7" w14:textId="4D6A40A6" w:rsidR="0063201D" w:rsidRPr="00961B25" w:rsidRDefault="007753E9" w:rsidP="0063201D">
            <w:pPr>
              <w:jc w:val="right"/>
              <w:rPr>
                <w:rFonts w:ascii="Arial" w:hAnsi="Arial" w:cs="Arial"/>
                <w:b/>
                <w:sz w:val="22"/>
                <w:szCs w:val="22"/>
              </w:rPr>
            </w:pPr>
            <w:r w:rsidRPr="00961B25">
              <w:rPr>
                <w:rFonts w:ascii="Arial" w:hAnsi="Arial" w:cs="Arial"/>
                <w:b/>
                <w:sz w:val="22"/>
                <w:szCs w:val="22"/>
              </w:rPr>
              <w:t>(24)</w:t>
            </w:r>
          </w:p>
        </w:tc>
        <w:tc>
          <w:tcPr>
            <w:tcW w:w="626" w:type="pct"/>
          </w:tcPr>
          <w:p w14:paraId="1A88D7D9" w14:textId="77D213BF" w:rsidR="0063201D" w:rsidRPr="00961B25" w:rsidRDefault="0063201D" w:rsidP="0063201D">
            <w:pPr>
              <w:jc w:val="right"/>
              <w:rPr>
                <w:rFonts w:ascii="Arial" w:hAnsi="Arial" w:cs="Arial"/>
                <w:sz w:val="22"/>
                <w:szCs w:val="22"/>
              </w:rPr>
            </w:pPr>
            <w:r w:rsidRPr="00961B25">
              <w:rPr>
                <w:rFonts w:ascii="Arial" w:hAnsi="Arial" w:cs="Arial"/>
                <w:sz w:val="22"/>
                <w:szCs w:val="22"/>
              </w:rPr>
              <w:t>(25)</w:t>
            </w:r>
          </w:p>
        </w:tc>
        <w:tc>
          <w:tcPr>
            <w:tcW w:w="773" w:type="pct"/>
          </w:tcPr>
          <w:p w14:paraId="0ECD72EE" w14:textId="27759D5E" w:rsidR="0063201D" w:rsidRPr="00961B25" w:rsidRDefault="0063201D" w:rsidP="0063201D">
            <w:pPr>
              <w:jc w:val="right"/>
              <w:rPr>
                <w:rFonts w:ascii="Arial" w:hAnsi="Arial" w:cs="Arial"/>
                <w:sz w:val="22"/>
                <w:szCs w:val="22"/>
              </w:rPr>
            </w:pPr>
          </w:p>
        </w:tc>
      </w:tr>
      <w:tr w:rsidR="0063201D" w:rsidRPr="007769BE" w14:paraId="4CC739E1" w14:textId="77777777" w:rsidTr="00CC0C89">
        <w:tc>
          <w:tcPr>
            <w:tcW w:w="2966" w:type="pct"/>
          </w:tcPr>
          <w:p w14:paraId="7F0BE4BB" w14:textId="59AF1BEB" w:rsidR="0063201D" w:rsidRPr="00AC598B" w:rsidRDefault="0063201D" w:rsidP="0063201D">
            <w:pPr>
              <w:jc w:val="left"/>
              <w:rPr>
                <w:rFonts w:ascii="Arial" w:hAnsi="Arial" w:cs="Arial"/>
                <w:sz w:val="22"/>
                <w:szCs w:val="24"/>
              </w:rPr>
            </w:pPr>
            <w:r w:rsidRPr="00AC598B">
              <w:rPr>
                <w:rFonts w:ascii="Arial" w:hAnsi="Arial" w:cs="Arial"/>
                <w:sz w:val="22"/>
                <w:szCs w:val="24"/>
              </w:rPr>
              <w:t>Share of interest and tax of joint ventures &amp; associates</w:t>
            </w:r>
          </w:p>
        </w:tc>
        <w:tc>
          <w:tcPr>
            <w:tcW w:w="635" w:type="pct"/>
          </w:tcPr>
          <w:p w14:paraId="0652C9BB" w14:textId="5CC3DE10" w:rsidR="0063201D" w:rsidRPr="00961B25" w:rsidRDefault="007753E9" w:rsidP="0063201D">
            <w:pPr>
              <w:jc w:val="right"/>
              <w:rPr>
                <w:rFonts w:ascii="Arial" w:hAnsi="Arial" w:cs="Arial"/>
                <w:b/>
                <w:sz w:val="22"/>
                <w:szCs w:val="22"/>
              </w:rPr>
            </w:pPr>
            <w:r w:rsidRPr="00961B25">
              <w:rPr>
                <w:rFonts w:ascii="Arial" w:hAnsi="Arial" w:cs="Arial"/>
                <w:b/>
                <w:sz w:val="22"/>
                <w:szCs w:val="22"/>
              </w:rPr>
              <w:t>(</w:t>
            </w:r>
            <w:r w:rsidR="008B30D8" w:rsidRPr="00961B25">
              <w:rPr>
                <w:rFonts w:ascii="Arial" w:hAnsi="Arial" w:cs="Arial"/>
                <w:b/>
                <w:sz w:val="22"/>
                <w:szCs w:val="22"/>
              </w:rPr>
              <w:t>2</w:t>
            </w:r>
            <w:r w:rsidRPr="00961B25">
              <w:rPr>
                <w:rFonts w:ascii="Arial" w:hAnsi="Arial" w:cs="Arial"/>
                <w:b/>
                <w:sz w:val="22"/>
                <w:szCs w:val="22"/>
              </w:rPr>
              <w:t>)</w:t>
            </w:r>
          </w:p>
        </w:tc>
        <w:tc>
          <w:tcPr>
            <w:tcW w:w="626" w:type="pct"/>
          </w:tcPr>
          <w:p w14:paraId="3111BEB6" w14:textId="7D1C7FE5" w:rsidR="0063201D" w:rsidRPr="00961B25" w:rsidRDefault="0063201D" w:rsidP="0063201D">
            <w:pPr>
              <w:jc w:val="right"/>
              <w:rPr>
                <w:rFonts w:ascii="Arial" w:hAnsi="Arial" w:cs="Arial"/>
                <w:sz w:val="22"/>
                <w:szCs w:val="22"/>
              </w:rPr>
            </w:pPr>
            <w:r w:rsidRPr="00961B25">
              <w:rPr>
                <w:rFonts w:ascii="Arial" w:hAnsi="Arial" w:cs="Arial"/>
                <w:sz w:val="22"/>
                <w:szCs w:val="22"/>
              </w:rPr>
              <w:t>(3)</w:t>
            </w:r>
          </w:p>
        </w:tc>
        <w:tc>
          <w:tcPr>
            <w:tcW w:w="773" w:type="pct"/>
          </w:tcPr>
          <w:p w14:paraId="10CE134D" w14:textId="18B77F73" w:rsidR="0063201D" w:rsidRPr="00961B25" w:rsidRDefault="0063201D" w:rsidP="0063201D">
            <w:pPr>
              <w:jc w:val="right"/>
              <w:rPr>
                <w:rFonts w:ascii="Arial" w:hAnsi="Arial" w:cs="Arial"/>
                <w:sz w:val="22"/>
                <w:szCs w:val="22"/>
              </w:rPr>
            </w:pPr>
          </w:p>
        </w:tc>
      </w:tr>
      <w:tr w:rsidR="0063201D" w:rsidRPr="007769BE" w14:paraId="099870DD" w14:textId="77777777" w:rsidTr="00CC0C89">
        <w:tc>
          <w:tcPr>
            <w:tcW w:w="2966" w:type="pct"/>
            <w:tcBorders>
              <w:bottom w:val="single" w:sz="4" w:space="0" w:color="auto"/>
            </w:tcBorders>
          </w:tcPr>
          <w:p w14:paraId="4A4A61AD" w14:textId="0865801B" w:rsidR="0063201D" w:rsidRPr="00AC598B" w:rsidRDefault="00AE006B" w:rsidP="0063201D">
            <w:pPr>
              <w:jc w:val="left"/>
              <w:rPr>
                <w:rFonts w:ascii="Arial" w:hAnsi="Arial" w:cs="Arial"/>
                <w:sz w:val="22"/>
                <w:szCs w:val="24"/>
              </w:rPr>
            </w:pPr>
            <w:r>
              <w:rPr>
                <w:rFonts w:ascii="Arial" w:hAnsi="Arial" w:cs="Arial"/>
                <w:sz w:val="22"/>
                <w:szCs w:val="24"/>
              </w:rPr>
              <w:t>Net f</w:t>
            </w:r>
            <w:r w:rsidR="0063201D" w:rsidRPr="00AC598B">
              <w:rPr>
                <w:rFonts w:ascii="Arial" w:hAnsi="Arial" w:cs="Arial"/>
                <w:sz w:val="22"/>
                <w:szCs w:val="24"/>
              </w:rPr>
              <w:t xml:space="preserve">inance </w:t>
            </w:r>
            <w:r>
              <w:rPr>
                <w:rFonts w:ascii="Arial" w:hAnsi="Arial" w:cs="Arial"/>
                <w:sz w:val="22"/>
                <w:szCs w:val="24"/>
              </w:rPr>
              <w:t>(</w:t>
            </w:r>
            <w:r w:rsidR="0063201D" w:rsidRPr="00AC598B">
              <w:rPr>
                <w:rFonts w:ascii="Arial" w:hAnsi="Arial" w:cs="Arial"/>
                <w:sz w:val="22"/>
                <w:szCs w:val="24"/>
              </w:rPr>
              <w:t>costs</w:t>
            </w:r>
            <w:r>
              <w:rPr>
                <w:rFonts w:ascii="Arial" w:hAnsi="Arial" w:cs="Arial"/>
                <w:sz w:val="22"/>
                <w:szCs w:val="24"/>
              </w:rPr>
              <w:t>)/income</w:t>
            </w:r>
            <w:r w:rsidR="0063201D" w:rsidRPr="00AC598B">
              <w:rPr>
                <w:rFonts w:ascii="Arial" w:hAnsi="Arial" w:cs="Arial"/>
                <w:sz w:val="22"/>
                <w:szCs w:val="24"/>
              </w:rPr>
              <w:t xml:space="preserve"> </w:t>
            </w:r>
          </w:p>
        </w:tc>
        <w:tc>
          <w:tcPr>
            <w:tcW w:w="635" w:type="pct"/>
            <w:tcBorders>
              <w:bottom w:val="single" w:sz="4" w:space="0" w:color="auto"/>
            </w:tcBorders>
          </w:tcPr>
          <w:p w14:paraId="2291FED2" w14:textId="38F036BE" w:rsidR="0063201D" w:rsidRPr="00961B25" w:rsidRDefault="005B7D08" w:rsidP="00AE006B">
            <w:pPr>
              <w:jc w:val="right"/>
              <w:rPr>
                <w:rFonts w:ascii="Arial" w:hAnsi="Arial" w:cs="Arial"/>
                <w:b/>
                <w:sz w:val="22"/>
                <w:szCs w:val="22"/>
              </w:rPr>
            </w:pPr>
            <w:r w:rsidRPr="00961B25">
              <w:rPr>
                <w:rFonts w:ascii="Arial" w:hAnsi="Arial" w:cs="Arial"/>
                <w:b/>
                <w:sz w:val="22"/>
                <w:szCs w:val="22"/>
              </w:rPr>
              <w:t>(3)</w:t>
            </w:r>
            <w:r w:rsidR="00F01C34" w:rsidRPr="00961B25" w:rsidDel="00F01C34">
              <w:rPr>
                <w:rFonts w:ascii="Arial" w:hAnsi="Arial" w:cs="Arial"/>
                <w:b/>
                <w:sz w:val="22"/>
                <w:szCs w:val="22"/>
              </w:rPr>
              <w:t xml:space="preserve"> </w:t>
            </w:r>
          </w:p>
        </w:tc>
        <w:tc>
          <w:tcPr>
            <w:tcW w:w="626" w:type="pct"/>
            <w:tcBorders>
              <w:bottom w:val="single" w:sz="4" w:space="0" w:color="auto"/>
            </w:tcBorders>
          </w:tcPr>
          <w:p w14:paraId="55E97104" w14:textId="7270F3EF" w:rsidR="0063201D" w:rsidRPr="00961B25" w:rsidRDefault="005B7D08" w:rsidP="00AE006B">
            <w:pPr>
              <w:jc w:val="right"/>
              <w:rPr>
                <w:rFonts w:ascii="Arial" w:hAnsi="Arial" w:cs="Arial"/>
                <w:sz w:val="22"/>
                <w:szCs w:val="22"/>
              </w:rPr>
            </w:pPr>
            <w:r w:rsidRPr="00961B25">
              <w:rPr>
                <w:rFonts w:ascii="Arial" w:hAnsi="Arial" w:cs="Arial"/>
                <w:sz w:val="22"/>
                <w:szCs w:val="22"/>
              </w:rPr>
              <w:t>1</w:t>
            </w:r>
          </w:p>
        </w:tc>
        <w:tc>
          <w:tcPr>
            <w:tcW w:w="773" w:type="pct"/>
            <w:tcBorders>
              <w:bottom w:val="single" w:sz="4" w:space="0" w:color="auto"/>
            </w:tcBorders>
          </w:tcPr>
          <w:p w14:paraId="77A17F2A" w14:textId="5C3F766D" w:rsidR="0063201D" w:rsidRPr="00961B25" w:rsidRDefault="0063201D" w:rsidP="0063201D">
            <w:pPr>
              <w:jc w:val="right"/>
              <w:rPr>
                <w:rFonts w:ascii="Arial" w:hAnsi="Arial" w:cs="Arial"/>
                <w:sz w:val="22"/>
                <w:szCs w:val="22"/>
              </w:rPr>
            </w:pPr>
          </w:p>
        </w:tc>
      </w:tr>
      <w:tr w:rsidR="0063201D" w:rsidRPr="007769BE" w14:paraId="0C9EDA56" w14:textId="77777777" w:rsidTr="00CC0C89">
        <w:tc>
          <w:tcPr>
            <w:tcW w:w="2966" w:type="pct"/>
            <w:tcBorders>
              <w:top w:val="single" w:sz="4" w:space="0" w:color="auto"/>
            </w:tcBorders>
          </w:tcPr>
          <w:p w14:paraId="1949EDDF" w14:textId="77777777" w:rsidR="0063201D" w:rsidRPr="00AC598B" w:rsidRDefault="0063201D" w:rsidP="0063201D">
            <w:pPr>
              <w:jc w:val="left"/>
              <w:rPr>
                <w:rFonts w:ascii="Arial" w:hAnsi="Arial" w:cs="Arial"/>
                <w:b/>
                <w:sz w:val="22"/>
                <w:szCs w:val="24"/>
              </w:rPr>
            </w:pPr>
            <w:r w:rsidRPr="00AC598B">
              <w:rPr>
                <w:rFonts w:ascii="Arial" w:hAnsi="Arial" w:cs="Arial"/>
                <w:b/>
                <w:sz w:val="22"/>
                <w:szCs w:val="24"/>
              </w:rPr>
              <w:t>Underlying pre-tax profit</w:t>
            </w:r>
          </w:p>
        </w:tc>
        <w:tc>
          <w:tcPr>
            <w:tcW w:w="635" w:type="pct"/>
            <w:tcBorders>
              <w:top w:val="single" w:sz="4" w:space="0" w:color="auto"/>
            </w:tcBorders>
          </w:tcPr>
          <w:p w14:paraId="44374F9D" w14:textId="09AF0D97" w:rsidR="0063201D" w:rsidRPr="00961B25" w:rsidRDefault="007753E9" w:rsidP="0063201D">
            <w:pPr>
              <w:jc w:val="right"/>
              <w:rPr>
                <w:rFonts w:ascii="Arial" w:hAnsi="Arial" w:cs="Arial"/>
                <w:b/>
                <w:sz w:val="22"/>
                <w:szCs w:val="22"/>
              </w:rPr>
            </w:pPr>
            <w:r w:rsidRPr="00961B25">
              <w:rPr>
                <w:rFonts w:ascii="Arial" w:hAnsi="Arial" w:cs="Arial"/>
                <w:b/>
                <w:sz w:val="22"/>
                <w:szCs w:val="22"/>
              </w:rPr>
              <w:t>375</w:t>
            </w:r>
          </w:p>
        </w:tc>
        <w:tc>
          <w:tcPr>
            <w:tcW w:w="626" w:type="pct"/>
            <w:tcBorders>
              <w:top w:val="single" w:sz="4" w:space="0" w:color="auto"/>
            </w:tcBorders>
          </w:tcPr>
          <w:p w14:paraId="18F61E71" w14:textId="78E27A84" w:rsidR="0063201D" w:rsidRPr="00961B25" w:rsidRDefault="0063201D" w:rsidP="0063201D">
            <w:pPr>
              <w:jc w:val="right"/>
              <w:rPr>
                <w:rFonts w:ascii="Arial" w:hAnsi="Arial" w:cs="Arial"/>
                <w:sz w:val="22"/>
                <w:szCs w:val="22"/>
              </w:rPr>
            </w:pPr>
            <w:r w:rsidRPr="00961B25">
              <w:rPr>
                <w:rFonts w:ascii="Arial" w:hAnsi="Arial" w:cs="Arial"/>
                <w:sz w:val="22"/>
                <w:szCs w:val="22"/>
              </w:rPr>
              <w:t>440</w:t>
            </w:r>
          </w:p>
        </w:tc>
        <w:tc>
          <w:tcPr>
            <w:tcW w:w="773" w:type="pct"/>
            <w:tcBorders>
              <w:top w:val="single" w:sz="4" w:space="0" w:color="auto"/>
            </w:tcBorders>
          </w:tcPr>
          <w:p w14:paraId="34FA97D0" w14:textId="404E9D98" w:rsidR="0063201D" w:rsidRPr="00961B25" w:rsidRDefault="005453ED" w:rsidP="0063201D">
            <w:pPr>
              <w:jc w:val="right"/>
              <w:rPr>
                <w:rFonts w:ascii="Arial" w:hAnsi="Arial" w:cs="Arial"/>
                <w:sz w:val="22"/>
                <w:szCs w:val="22"/>
              </w:rPr>
            </w:pPr>
            <w:r w:rsidRPr="00961B25">
              <w:rPr>
                <w:rFonts w:ascii="Arial" w:hAnsi="Arial" w:cs="Arial"/>
                <w:sz w:val="22"/>
                <w:szCs w:val="22"/>
              </w:rPr>
              <w:t>(</w:t>
            </w:r>
            <w:proofErr w:type="gramStart"/>
            <w:r w:rsidRPr="00961B25">
              <w:rPr>
                <w:rFonts w:ascii="Arial" w:hAnsi="Arial" w:cs="Arial"/>
                <w:sz w:val="22"/>
                <w:szCs w:val="22"/>
              </w:rPr>
              <w:t>14.8)</w:t>
            </w:r>
            <w:r w:rsidR="0063201D" w:rsidRPr="00961B25">
              <w:rPr>
                <w:rFonts w:ascii="Arial" w:hAnsi="Arial" w:cs="Arial"/>
                <w:sz w:val="22"/>
                <w:szCs w:val="22"/>
              </w:rPr>
              <w:t>%</w:t>
            </w:r>
            <w:proofErr w:type="gramEnd"/>
            <w:r w:rsidR="0063201D" w:rsidRPr="00961B25" w:rsidDel="00265815">
              <w:rPr>
                <w:rFonts w:ascii="Arial" w:hAnsi="Arial" w:cs="Arial"/>
                <w:sz w:val="22"/>
                <w:szCs w:val="22"/>
              </w:rPr>
              <w:t xml:space="preserve"> </w:t>
            </w:r>
          </w:p>
        </w:tc>
      </w:tr>
      <w:tr w:rsidR="0063201D" w:rsidRPr="007769BE" w14:paraId="7DE42D16" w14:textId="77777777" w:rsidTr="00CC0C89">
        <w:tc>
          <w:tcPr>
            <w:tcW w:w="2966" w:type="pct"/>
          </w:tcPr>
          <w:p w14:paraId="452ACB91" w14:textId="24D6D3C3" w:rsidR="0063201D" w:rsidRPr="00AC598B" w:rsidRDefault="0063201D" w:rsidP="0063201D">
            <w:pPr>
              <w:jc w:val="left"/>
              <w:rPr>
                <w:rFonts w:ascii="Arial" w:hAnsi="Arial" w:cs="Arial"/>
                <w:sz w:val="22"/>
                <w:szCs w:val="24"/>
              </w:rPr>
            </w:pPr>
            <w:r w:rsidRPr="00AC598B">
              <w:rPr>
                <w:rFonts w:ascii="Arial" w:hAnsi="Arial" w:cs="Arial"/>
                <w:sz w:val="22"/>
                <w:szCs w:val="24"/>
              </w:rPr>
              <w:t>Transformation P&amp;L costs</w:t>
            </w:r>
          </w:p>
        </w:tc>
        <w:tc>
          <w:tcPr>
            <w:tcW w:w="635" w:type="pct"/>
          </w:tcPr>
          <w:p w14:paraId="15D0479B" w14:textId="69E805DF" w:rsidR="0063201D" w:rsidRPr="00961B25" w:rsidRDefault="007753E9" w:rsidP="0063201D">
            <w:pPr>
              <w:jc w:val="right"/>
              <w:rPr>
                <w:rFonts w:ascii="Arial" w:hAnsi="Arial" w:cs="Arial"/>
                <w:b/>
                <w:sz w:val="22"/>
                <w:szCs w:val="22"/>
              </w:rPr>
            </w:pPr>
            <w:r w:rsidRPr="00961B25">
              <w:rPr>
                <w:rFonts w:ascii="Arial" w:hAnsi="Arial" w:cs="Arial"/>
                <w:b/>
                <w:sz w:val="22"/>
                <w:szCs w:val="22"/>
              </w:rPr>
              <w:t>(52)</w:t>
            </w:r>
          </w:p>
        </w:tc>
        <w:tc>
          <w:tcPr>
            <w:tcW w:w="626" w:type="pct"/>
          </w:tcPr>
          <w:p w14:paraId="7257B52F" w14:textId="7778434F" w:rsidR="0063201D" w:rsidRPr="00961B25" w:rsidRDefault="0063201D" w:rsidP="0063201D">
            <w:pPr>
              <w:jc w:val="right"/>
              <w:rPr>
                <w:rFonts w:ascii="Arial" w:hAnsi="Arial" w:cs="Arial"/>
                <w:sz w:val="22"/>
                <w:szCs w:val="22"/>
              </w:rPr>
            </w:pPr>
            <w:r w:rsidRPr="00961B25">
              <w:rPr>
                <w:rFonts w:ascii="Arial" w:hAnsi="Arial" w:cs="Arial"/>
                <w:sz w:val="22"/>
                <w:szCs w:val="22"/>
              </w:rPr>
              <w:t>(46)</w:t>
            </w:r>
          </w:p>
        </w:tc>
        <w:tc>
          <w:tcPr>
            <w:tcW w:w="773" w:type="pct"/>
          </w:tcPr>
          <w:p w14:paraId="29CECEE7" w14:textId="25228376" w:rsidR="0063201D" w:rsidRPr="00961B25" w:rsidRDefault="0063201D" w:rsidP="0063201D">
            <w:pPr>
              <w:jc w:val="right"/>
              <w:rPr>
                <w:rFonts w:ascii="Arial" w:hAnsi="Arial" w:cs="Arial"/>
                <w:sz w:val="22"/>
                <w:szCs w:val="22"/>
              </w:rPr>
            </w:pPr>
            <w:r w:rsidRPr="00961B25" w:rsidDel="00265815">
              <w:rPr>
                <w:rFonts w:ascii="Arial" w:hAnsi="Arial" w:cs="Arial"/>
                <w:sz w:val="22"/>
                <w:szCs w:val="22"/>
              </w:rPr>
              <w:t xml:space="preserve"> </w:t>
            </w:r>
          </w:p>
        </w:tc>
      </w:tr>
      <w:tr w:rsidR="0063201D" w:rsidRPr="007769BE" w14:paraId="671D16CD" w14:textId="77777777" w:rsidTr="00CC0C89">
        <w:tc>
          <w:tcPr>
            <w:tcW w:w="2966" w:type="pct"/>
            <w:tcBorders>
              <w:top w:val="single" w:sz="4" w:space="0" w:color="auto"/>
            </w:tcBorders>
          </w:tcPr>
          <w:p w14:paraId="35A29589" w14:textId="77777777" w:rsidR="0063201D" w:rsidRPr="00AC598B" w:rsidRDefault="0063201D" w:rsidP="0063201D">
            <w:pPr>
              <w:jc w:val="left"/>
              <w:rPr>
                <w:rFonts w:ascii="Arial" w:hAnsi="Arial" w:cs="Arial"/>
                <w:b/>
                <w:sz w:val="22"/>
                <w:szCs w:val="24"/>
              </w:rPr>
            </w:pPr>
            <w:r w:rsidRPr="00AC598B">
              <w:rPr>
                <w:rFonts w:ascii="Arial" w:hAnsi="Arial" w:cs="Arial"/>
                <w:b/>
                <w:sz w:val="22"/>
                <w:szCs w:val="24"/>
              </w:rPr>
              <w:t>Adjusted pre-tax profit</w:t>
            </w:r>
          </w:p>
        </w:tc>
        <w:tc>
          <w:tcPr>
            <w:tcW w:w="635" w:type="pct"/>
            <w:tcBorders>
              <w:top w:val="single" w:sz="4" w:space="0" w:color="auto"/>
            </w:tcBorders>
          </w:tcPr>
          <w:p w14:paraId="394F7C04" w14:textId="5817CFC9" w:rsidR="0063201D" w:rsidRPr="00961B25" w:rsidRDefault="007753E9" w:rsidP="0063201D">
            <w:pPr>
              <w:jc w:val="right"/>
              <w:rPr>
                <w:rFonts w:ascii="Arial" w:hAnsi="Arial" w:cs="Arial"/>
                <w:b/>
                <w:sz w:val="22"/>
                <w:szCs w:val="22"/>
              </w:rPr>
            </w:pPr>
            <w:r w:rsidRPr="00961B25">
              <w:rPr>
                <w:rFonts w:ascii="Arial" w:hAnsi="Arial" w:cs="Arial"/>
                <w:b/>
                <w:sz w:val="22"/>
                <w:szCs w:val="22"/>
              </w:rPr>
              <w:t>323</w:t>
            </w:r>
          </w:p>
        </w:tc>
        <w:tc>
          <w:tcPr>
            <w:tcW w:w="626" w:type="pct"/>
            <w:tcBorders>
              <w:top w:val="single" w:sz="4" w:space="0" w:color="auto"/>
            </w:tcBorders>
          </w:tcPr>
          <w:p w14:paraId="395577BA" w14:textId="3707E6CD" w:rsidR="0063201D" w:rsidRPr="00961B25" w:rsidRDefault="0063201D" w:rsidP="0063201D">
            <w:pPr>
              <w:jc w:val="right"/>
              <w:rPr>
                <w:rFonts w:ascii="Arial" w:hAnsi="Arial" w:cs="Arial"/>
                <w:sz w:val="22"/>
                <w:szCs w:val="22"/>
              </w:rPr>
            </w:pPr>
            <w:r w:rsidRPr="00961B25">
              <w:rPr>
                <w:rFonts w:ascii="Arial" w:hAnsi="Arial" w:cs="Arial"/>
                <w:sz w:val="22"/>
                <w:szCs w:val="22"/>
              </w:rPr>
              <w:t>394</w:t>
            </w:r>
          </w:p>
        </w:tc>
        <w:tc>
          <w:tcPr>
            <w:tcW w:w="773" w:type="pct"/>
            <w:tcBorders>
              <w:top w:val="single" w:sz="4" w:space="0" w:color="auto"/>
            </w:tcBorders>
          </w:tcPr>
          <w:p w14:paraId="1EDEDEFB" w14:textId="0BD07512" w:rsidR="0063201D" w:rsidRPr="00961B25" w:rsidRDefault="005453ED" w:rsidP="00C62DA2">
            <w:pPr>
              <w:jc w:val="right"/>
              <w:rPr>
                <w:rFonts w:ascii="Arial" w:hAnsi="Arial" w:cs="Arial"/>
                <w:sz w:val="22"/>
                <w:szCs w:val="22"/>
              </w:rPr>
            </w:pPr>
            <w:r w:rsidRPr="00961B25">
              <w:rPr>
                <w:rFonts w:ascii="Arial" w:hAnsi="Arial" w:cs="Arial"/>
                <w:sz w:val="22"/>
                <w:szCs w:val="22"/>
              </w:rPr>
              <w:t>(</w:t>
            </w:r>
            <w:proofErr w:type="gramStart"/>
            <w:r w:rsidRPr="00961B25">
              <w:rPr>
                <w:rFonts w:ascii="Arial" w:hAnsi="Arial" w:cs="Arial"/>
                <w:sz w:val="22"/>
                <w:szCs w:val="22"/>
              </w:rPr>
              <w:t>18.0)</w:t>
            </w:r>
            <w:r w:rsidR="0063201D" w:rsidRPr="00961B25">
              <w:rPr>
                <w:rFonts w:ascii="Arial" w:hAnsi="Arial" w:cs="Arial"/>
                <w:sz w:val="22"/>
                <w:szCs w:val="22"/>
              </w:rPr>
              <w:t>%</w:t>
            </w:r>
            <w:proofErr w:type="gramEnd"/>
            <w:r w:rsidR="0063201D" w:rsidRPr="00961B25" w:rsidDel="00265815">
              <w:rPr>
                <w:rFonts w:ascii="Arial" w:hAnsi="Arial" w:cs="Arial"/>
                <w:sz w:val="22"/>
                <w:szCs w:val="22"/>
              </w:rPr>
              <w:t xml:space="preserve"> </w:t>
            </w:r>
          </w:p>
        </w:tc>
      </w:tr>
      <w:tr w:rsidR="0063201D" w:rsidRPr="007769BE" w14:paraId="42A29D60" w14:textId="77777777" w:rsidTr="00CC0C89">
        <w:tc>
          <w:tcPr>
            <w:tcW w:w="2966" w:type="pct"/>
            <w:tcBorders>
              <w:bottom w:val="single" w:sz="4" w:space="0" w:color="auto"/>
            </w:tcBorders>
          </w:tcPr>
          <w:p w14:paraId="1149ADF8" w14:textId="77777777" w:rsidR="0063201D" w:rsidRPr="00AC598B" w:rsidRDefault="0063201D" w:rsidP="0063201D">
            <w:pPr>
              <w:jc w:val="left"/>
              <w:rPr>
                <w:rFonts w:ascii="Arial" w:hAnsi="Arial" w:cs="Arial"/>
                <w:sz w:val="22"/>
                <w:szCs w:val="24"/>
              </w:rPr>
            </w:pPr>
            <w:r w:rsidRPr="00AC598B">
              <w:rPr>
                <w:rFonts w:ascii="Arial" w:hAnsi="Arial" w:cs="Arial"/>
                <w:sz w:val="22"/>
                <w:szCs w:val="24"/>
              </w:rPr>
              <w:t>Exceptional items before tax</w:t>
            </w:r>
          </w:p>
        </w:tc>
        <w:tc>
          <w:tcPr>
            <w:tcW w:w="635" w:type="pct"/>
            <w:tcBorders>
              <w:bottom w:val="single" w:sz="4" w:space="0" w:color="auto"/>
            </w:tcBorders>
          </w:tcPr>
          <w:p w14:paraId="52A3C2B5" w14:textId="070470CF" w:rsidR="0063201D" w:rsidRPr="00961B25" w:rsidRDefault="00FA297E" w:rsidP="0063201D">
            <w:pPr>
              <w:jc w:val="right"/>
              <w:rPr>
                <w:rFonts w:ascii="Arial" w:hAnsi="Arial" w:cs="Arial"/>
                <w:b/>
                <w:sz w:val="22"/>
                <w:szCs w:val="22"/>
              </w:rPr>
            </w:pPr>
            <w:r w:rsidRPr="00961B25">
              <w:rPr>
                <w:rFonts w:ascii="Arial" w:hAnsi="Arial" w:cs="Arial"/>
                <w:b/>
                <w:sz w:val="22"/>
                <w:szCs w:val="22"/>
              </w:rPr>
              <w:t>(4</w:t>
            </w:r>
            <w:r w:rsidR="008B30D8" w:rsidRPr="00961B25">
              <w:rPr>
                <w:rFonts w:ascii="Arial" w:hAnsi="Arial" w:cs="Arial"/>
                <w:b/>
                <w:sz w:val="22"/>
                <w:szCs w:val="22"/>
              </w:rPr>
              <w:t>2</w:t>
            </w:r>
            <w:r w:rsidRPr="00961B25">
              <w:rPr>
                <w:rFonts w:ascii="Arial" w:hAnsi="Arial" w:cs="Arial"/>
                <w:b/>
                <w:sz w:val="22"/>
                <w:szCs w:val="22"/>
              </w:rPr>
              <w:t>)</w:t>
            </w:r>
          </w:p>
        </w:tc>
        <w:tc>
          <w:tcPr>
            <w:tcW w:w="626" w:type="pct"/>
            <w:tcBorders>
              <w:bottom w:val="single" w:sz="4" w:space="0" w:color="auto"/>
            </w:tcBorders>
          </w:tcPr>
          <w:p w14:paraId="6F717BC2" w14:textId="7209DC82" w:rsidR="0063201D" w:rsidRPr="00961B25" w:rsidRDefault="0063201D" w:rsidP="0063201D">
            <w:pPr>
              <w:jc w:val="right"/>
              <w:rPr>
                <w:rFonts w:ascii="Arial" w:hAnsi="Arial" w:cs="Arial"/>
                <w:sz w:val="22"/>
                <w:szCs w:val="22"/>
              </w:rPr>
            </w:pPr>
            <w:r w:rsidRPr="00961B25">
              <w:rPr>
                <w:rFonts w:ascii="Arial" w:hAnsi="Arial" w:cs="Arial"/>
                <w:sz w:val="22"/>
                <w:szCs w:val="22"/>
              </w:rPr>
              <w:t>8</w:t>
            </w:r>
          </w:p>
        </w:tc>
        <w:tc>
          <w:tcPr>
            <w:tcW w:w="773" w:type="pct"/>
            <w:tcBorders>
              <w:bottom w:val="single" w:sz="4" w:space="0" w:color="auto"/>
            </w:tcBorders>
          </w:tcPr>
          <w:p w14:paraId="6FA5B1CB" w14:textId="1DBDB62D" w:rsidR="0063201D" w:rsidRPr="00961B25" w:rsidRDefault="0063201D" w:rsidP="0063201D">
            <w:pPr>
              <w:jc w:val="right"/>
              <w:rPr>
                <w:rFonts w:ascii="Arial" w:hAnsi="Arial" w:cs="Arial"/>
                <w:sz w:val="22"/>
                <w:szCs w:val="22"/>
              </w:rPr>
            </w:pPr>
          </w:p>
        </w:tc>
      </w:tr>
      <w:tr w:rsidR="0063201D" w:rsidRPr="007769BE" w14:paraId="462B2B03" w14:textId="77777777" w:rsidTr="00CC0C89">
        <w:tc>
          <w:tcPr>
            <w:tcW w:w="2966" w:type="pct"/>
            <w:tcBorders>
              <w:top w:val="single" w:sz="4" w:space="0" w:color="auto"/>
              <w:bottom w:val="single" w:sz="4" w:space="0" w:color="auto"/>
            </w:tcBorders>
          </w:tcPr>
          <w:p w14:paraId="737C439D" w14:textId="77777777" w:rsidR="0063201D" w:rsidRPr="00AC598B" w:rsidRDefault="0063201D" w:rsidP="0063201D">
            <w:pPr>
              <w:jc w:val="left"/>
              <w:rPr>
                <w:rFonts w:ascii="Arial" w:hAnsi="Arial" w:cs="Arial"/>
                <w:b/>
                <w:sz w:val="22"/>
                <w:szCs w:val="24"/>
              </w:rPr>
            </w:pPr>
            <w:r w:rsidRPr="00AC598B">
              <w:rPr>
                <w:rFonts w:ascii="Arial" w:hAnsi="Arial" w:cs="Arial"/>
                <w:b/>
                <w:sz w:val="22"/>
                <w:szCs w:val="24"/>
              </w:rPr>
              <w:t>Statutory pre-tax profit</w:t>
            </w:r>
          </w:p>
        </w:tc>
        <w:tc>
          <w:tcPr>
            <w:tcW w:w="635" w:type="pct"/>
            <w:tcBorders>
              <w:top w:val="single" w:sz="4" w:space="0" w:color="auto"/>
              <w:bottom w:val="single" w:sz="4" w:space="0" w:color="auto"/>
            </w:tcBorders>
          </w:tcPr>
          <w:p w14:paraId="013AD2C7" w14:textId="1202A362" w:rsidR="0063201D" w:rsidRPr="00961B25" w:rsidRDefault="007753E9" w:rsidP="0063201D">
            <w:pPr>
              <w:jc w:val="right"/>
              <w:rPr>
                <w:rFonts w:ascii="Arial" w:hAnsi="Arial" w:cs="Arial"/>
                <w:b/>
                <w:sz w:val="22"/>
                <w:szCs w:val="22"/>
              </w:rPr>
            </w:pPr>
            <w:r w:rsidRPr="00961B25">
              <w:rPr>
                <w:rFonts w:ascii="Arial" w:hAnsi="Arial" w:cs="Arial"/>
                <w:b/>
                <w:sz w:val="22"/>
                <w:szCs w:val="22"/>
              </w:rPr>
              <w:t>281</w:t>
            </w:r>
          </w:p>
        </w:tc>
        <w:tc>
          <w:tcPr>
            <w:tcW w:w="626" w:type="pct"/>
            <w:tcBorders>
              <w:top w:val="single" w:sz="4" w:space="0" w:color="auto"/>
              <w:bottom w:val="single" w:sz="4" w:space="0" w:color="auto"/>
            </w:tcBorders>
          </w:tcPr>
          <w:p w14:paraId="48B4CFC5" w14:textId="3B8CAD32" w:rsidR="0063201D" w:rsidRPr="00961B25" w:rsidRDefault="0063201D" w:rsidP="0063201D">
            <w:pPr>
              <w:jc w:val="right"/>
              <w:rPr>
                <w:rFonts w:ascii="Arial" w:hAnsi="Arial" w:cs="Arial"/>
                <w:sz w:val="22"/>
                <w:szCs w:val="22"/>
              </w:rPr>
            </w:pPr>
            <w:r w:rsidRPr="00961B25">
              <w:rPr>
                <w:rFonts w:ascii="Arial" w:hAnsi="Arial" w:cs="Arial"/>
                <w:sz w:val="22"/>
                <w:szCs w:val="22"/>
              </w:rPr>
              <w:t>402</w:t>
            </w:r>
          </w:p>
        </w:tc>
        <w:tc>
          <w:tcPr>
            <w:tcW w:w="773" w:type="pct"/>
            <w:tcBorders>
              <w:top w:val="single" w:sz="4" w:space="0" w:color="auto"/>
              <w:bottom w:val="single" w:sz="4" w:space="0" w:color="auto"/>
            </w:tcBorders>
          </w:tcPr>
          <w:p w14:paraId="5B938A3D" w14:textId="393D3601" w:rsidR="0063201D" w:rsidRPr="00961B25" w:rsidRDefault="00C62DA2" w:rsidP="0063201D">
            <w:pPr>
              <w:jc w:val="right"/>
              <w:rPr>
                <w:rFonts w:ascii="Arial" w:hAnsi="Arial" w:cs="Arial"/>
                <w:sz w:val="22"/>
                <w:szCs w:val="22"/>
              </w:rPr>
            </w:pPr>
            <w:r w:rsidRPr="00961B25">
              <w:rPr>
                <w:rFonts w:ascii="Arial" w:hAnsi="Arial" w:cs="Arial"/>
                <w:sz w:val="22"/>
                <w:szCs w:val="22"/>
              </w:rPr>
              <w:t>(</w:t>
            </w:r>
            <w:proofErr w:type="gramStart"/>
            <w:r w:rsidRPr="00961B25">
              <w:rPr>
                <w:rFonts w:ascii="Arial" w:hAnsi="Arial" w:cs="Arial"/>
                <w:sz w:val="22"/>
                <w:szCs w:val="22"/>
              </w:rPr>
              <w:t>30.1)</w:t>
            </w:r>
            <w:r w:rsidR="0063201D" w:rsidRPr="00961B25">
              <w:rPr>
                <w:rFonts w:ascii="Arial" w:hAnsi="Arial" w:cs="Arial"/>
                <w:sz w:val="22"/>
                <w:szCs w:val="22"/>
              </w:rPr>
              <w:t>%</w:t>
            </w:r>
            <w:proofErr w:type="gramEnd"/>
            <w:r w:rsidR="0063201D" w:rsidRPr="00961B25" w:rsidDel="00265815">
              <w:rPr>
                <w:rFonts w:ascii="Arial" w:hAnsi="Arial" w:cs="Arial"/>
                <w:sz w:val="22"/>
                <w:szCs w:val="22"/>
              </w:rPr>
              <w:t xml:space="preserve"> </w:t>
            </w:r>
          </w:p>
        </w:tc>
      </w:tr>
    </w:tbl>
    <w:p w14:paraId="5A6B80BB" w14:textId="77777777" w:rsidR="006F073B" w:rsidRDefault="006F073B" w:rsidP="00D40749">
      <w:pPr>
        <w:jc w:val="left"/>
        <w:rPr>
          <w:rFonts w:ascii="Arial" w:hAnsi="Arial" w:cs="Arial"/>
          <w:szCs w:val="24"/>
        </w:rPr>
      </w:pPr>
    </w:p>
    <w:p w14:paraId="182BC80E" w14:textId="724AFAA7" w:rsidR="005B7D1A" w:rsidRPr="00A845B7" w:rsidRDefault="005B7D1A" w:rsidP="005B7D1A">
      <w:pPr>
        <w:jc w:val="left"/>
        <w:rPr>
          <w:rFonts w:ascii="Arial" w:hAnsi="Arial" w:cs="Arial"/>
        </w:rPr>
      </w:pPr>
      <w:r w:rsidRPr="00686C6E">
        <w:rPr>
          <w:rFonts w:ascii="Arial" w:hAnsi="Arial" w:cs="Arial"/>
        </w:rPr>
        <w:t>Transformation P&amp;L costs of £</w:t>
      </w:r>
      <w:r w:rsidR="00FA297E">
        <w:rPr>
          <w:rFonts w:ascii="Arial" w:hAnsi="Arial" w:cs="Arial"/>
        </w:rPr>
        <w:t>52</w:t>
      </w:r>
      <w:r w:rsidR="00FA297E" w:rsidRPr="00686C6E">
        <w:rPr>
          <w:rFonts w:ascii="Arial" w:hAnsi="Arial" w:cs="Arial"/>
        </w:rPr>
        <w:t xml:space="preserve"> </w:t>
      </w:r>
      <w:r w:rsidRPr="00686C6E">
        <w:rPr>
          <w:rFonts w:ascii="Arial" w:hAnsi="Arial" w:cs="Arial"/>
        </w:rPr>
        <w:t xml:space="preserve">million principally relate to the unified and unique offer range </w:t>
      </w:r>
      <w:r w:rsidRPr="00A845B7">
        <w:rPr>
          <w:rFonts w:ascii="Arial" w:hAnsi="Arial" w:cs="Arial"/>
        </w:rPr>
        <w:t>implementation and the digital strategic pillar.</w:t>
      </w:r>
      <w:r>
        <w:rPr>
          <w:rFonts w:ascii="Arial" w:hAnsi="Arial" w:cs="Arial"/>
        </w:rPr>
        <w:t xml:space="preserve"> </w:t>
      </w:r>
      <w:r w:rsidRPr="00EB3C37">
        <w:rPr>
          <w:rFonts w:ascii="Arial" w:hAnsi="Arial" w:cs="Arial"/>
        </w:rPr>
        <w:t>Range implementation activities principally comprise remerchandising work associated with introducing the unified and unique offer</w:t>
      </w:r>
      <w:r w:rsidR="005B7D08">
        <w:rPr>
          <w:rFonts w:ascii="Arial" w:hAnsi="Arial" w:cs="Arial"/>
        </w:rPr>
        <w:t xml:space="preserve">, </w:t>
      </w:r>
      <w:r w:rsidRPr="00EB3C37">
        <w:rPr>
          <w:rFonts w:ascii="Arial" w:hAnsi="Arial" w:cs="Arial"/>
        </w:rPr>
        <w:t xml:space="preserve">incremental in-store labour costs and point of sale change. </w:t>
      </w:r>
      <w:r w:rsidRPr="00BF0239">
        <w:rPr>
          <w:rFonts w:ascii="Arial" w:hAnsi="Arial" w:cs="Arial"/>
        </w:rPr>
        <w:t xml:space="preserve">Digital transformation </w:t>
      </w:r>
      <w:r w:rsidR="00E65458" w:rsidRPr="00BF0239">
        <w:rPr>
          <w:rFonts w:ascii="Arial" w:hAnsi="Arial" w:cs="Arial"/>
        </w:rPr>
        <w:t xml:space="preserve">P&amp;L </w:t>
      </w:r>
      <w:r w:rsidRPr="00BF0239">
        <w:rPr>
          <w:rFonts w:ascii="Arial" w:hAnsi="Arial" w:cs="Arial"/>
        </w:rPr>
        <w:t>costs represent the initial revenue expenditure of investing in developing wider digital services to support customers’</w:t>
      </w:r>
      <w:r w:rsidRPr="00AE006B">
        <w:rPr>
          <w:rFonts w:ascii="Arial" w:hAnsi="Arial" w:cs="Arial"/>
        </w:rPr>
        <w:t xml:space="preserve"> home improvement projects</w:t>
      </w:r>
      <w:r w:rsidRPr="00EB3C37">
        <w:rPr>
          <w:rFonts w:ascii="Arial" w:hAnsi="Arial" w:cs="Arial"/>
        </w:rPr>
        <w:t>.</w:t>
      </w:r>
    </w:p>
    <w:p w14:paraId="275EE811" w14:textId="77777777" w:rsidR="00F90A06" w:rsidRPr="00AC598B" w:rsidRDefault="00F90A06" w:rsidP="00773A54">
      <w:pPr>
        <w:rPr>
          <w:rFonts w:ascii="Arial" w:hAnsi="Arial" w:cs="Arial"/>
          <w:szCs w:val="24"/>
        </w:rPr>
      </w:pPr>
    </w:p>
    <w:p w14:paraId="2AD6E969" w14:textId="69C84CFF" w:rsidR="00773A54" w:rsidRDefault="00773A54" w:rsidP="00773A54">
      <w:pPr>
        <w:jc w:val="left"/>
        <w:rPr>
          <w:rFonts w:ascii="Arial" w:hAnsi="Arial" w:cs="Arial"/>
          <w:szCs w:val="24"/>
        </w:rPr>
      </w:pPr>
      <w:r w:rsidRPr="00AC598B">
        <w:rPr>
          <w:rFonts w:ascii="Arial" w:hAnsi="Arial" w:cs="Arial"/>
          <w:b/>
          <w:szCs w:val="24"/>
        </w:rPr>
        <w:t>Exceptional items</w:t>
      </w:r>
      <w:r w:rsidRPr="00AC598B">
        <w:rPr>
          <w:rFonts w:ascii="Arial" w:hAnsi="Arial" w:cs="Arial"/>
          <w:szCs w:val="24"/>
        </w:rPr>
        <w:t xml:space="preserve"> (post</w:t>
      </w:r>
      <w:r w:rsidR="00E65458">
        <w:rPr>
          <w:rFonts w:ascii="Arial" w:hAnsi="Arial" w:cs="Arial"/>
          <w:szCs w:val="24"/>
        </w:rPr>
        <w:t>-</w:t>
      </w:r>
      <w:r w:rsidRPr="00AC598B">
        <w:rPr>
          <w:rFonts w:ascii="Arial" w:hAnsi="Arial" w:cs="Arial"/>
          <w:szCs w:val="24"/>
        </w:rPr>
        <w:t>tax) were a</w:t>
      </w:r>
      <w:r w:rsidR="004D0E9F">
        <w:rPr>
          <w:rFonts w:ascii="Arial" w:hAnsi="Arial" w:cs="Arial"/>
          <w:szCs w:val="24"/>
        </w:rPr>
        <w:t xml:space="preserve"> net</w:t>
      </w:r>
      <w:r w:rsidRPr="00AC598B">
        <w:rPr>
          <w:rFonts w:ascii="Arial" w:hAnsi="Arial" w:cs="Arial"/>
          <w:szCs w:val="24"/>
        </w:rPr>
        <w:t xml:space="preserve"> </w:t>
      </w:r>
      <w:r w:rsidR="005B7D1A">
        <w:rPr>
          <w:rFonts w:ascii="Arial" w:hAnsi="Arial" w:cs="Arial"/>
          <w:szCs w:val="24"/>
        </w:rPr>
        <w:t>charge</w:t>
      </w:r>
      <w:r w:rsidRPr="00AC598B">
        <w:rPr>
          <w:rFonts w:ascii="Arial" w:hAnsi="Arial" w:cs="Arial"/>
          <w:szCs w:val="24"/>
        </w:rPr>
        <w:t xml:space="preserve"> of £</w:t>
      </w:r>
      <w:r w:rsidR="00825079" w:rsidRPr="00F01C34">
        <w:rPr>
          <w:rFonts w:ascii="Arial" w:hAnsi="Arial" w:cs="Arial"/>
          <w:szCs w:val="24"/>
        </w:rPr>
        <w:t>2</w:t>
      </w:r>
      <w:r w:rsidR="00D30EAA">
        <w:rPr>
          <w:rFonts w:ascii="Arial" w:hAnsi="Arial" w:cs="Arial"/>
          <w:szCs w:val="24"/>
        </w:rPr>
        <w:t>9</w:t>
      </w:r>
      <w:r w:rsidR="0072765C" w:rsidRPr="00230CDB">
        <w:rPr>
          <w:rFonts w:ascii="Arial" w:hAnsi="Arial" w:cs="Arial"/>
          <w:szCs w:val="24"/>
        </w:rPr>
        <w:t xml:space="preserve"> </w:t>
      </w:r>
      <w:r w:rsidRPr="00AC598B">
        <w:rPr>
          <w:rFonts w:ascii="Arial" w:hAnsi="Arial" w:cs="Arial"/>
          <w:szCs w:val="24"/>
        </w:rPr>
        <w:t>million (201</w:t>
      </w:r>
      <w:r w:rsidR="00687F8D">
        <w:rPr>
          <w:rFonts w:ascii="Arial" w:hAnsi="Arial" w:cs="Arial"/>
          <w:szCs w:val="24"/>
        </w:rPr>
        <w:t>7</w:t>
      </w:r>
      <w:r w:rsidRPr="00AC598B">
        <w:rPr>
          <w:rFonts w:ascii="Arial" w:hAnsi="Arial" w:cs="Arial"/>
          <w:szCs w:val="24"/>
        </w:rPr>
        <w:t>/1</w:t>
      </w:r>
      <w:r w:rsidR="00687F8D">
        <w:rPr>
          <w:rFonts w:ascii="Arial" w:hAnsi="Arial" w:cs="Arial"/>
          <w:szCs w:val="24"/>
        </w:rPr>
        <w:t>8</w:t>
      </w:r>
      <w:r w:rsidRPr="00AC598B">
        <w:rPr>
          <w:rFonts w:ascii="Arial" w:hAnsi="Arial" w:cs="Arial"/>
          <w:szCs w:val="24"/>
        </w:rPr>
        <w:t>: £</w:t>
      </w:r>
      <w:r w:rsidR="00687F8D">
        <w:rPr>
          <w:rFonts w:ascii="Arial" w:hAnsi="Arial" w:cs="Arial"/>
          <w:szCs w:val="24"/>
        </w:rPr>
        <w:t>7</w:t>
      </w:r>
      <w:r w:rsidRPr="00AC598B">
        <w:rPr>
          <w:rFonts w:ascii="Arial" w:hAnsi="Arial" w:cs="Arial"/>
          <w:szCs w:val="24"/>
        </w:rPr>
        <w:t xml:space="preserve"> million gain) as detailed below:</w:t>
      </w:r>
    </w:p>
    <w:tbl>
      <w:tblPr>
        <w:tblW w:w="5001" w:type="pct"/>
        <w:tblLook w:val="04A0" w:firstRow="1" w:lastRow="0" w:firstColumn="1" w:lastColumn="0" w:noHBand="0" w:noVBand="1"/>
      </w:tblPr>
      <w:tblGrid>
        <w:gridCol w:w="6101"/>
        <w:gridCol w:w="1926"/>
        <w:gridCol w:w="1842"/>
      </w:tblGrid>
      <w:tr w:rsidR="00773A54" w:rsidRPr="007769BE" w14:paraId="2ACE9812" w14:textId="77777777" w:rsidTr="00DB3649">
        <w:trPr>
          <w:trHeight w:val="525"/>
        </w:trPr>
        <w:tc>
          <w:tcPr>
            <w:tcW w:w="3091" w:type="pct"/>
            <w:tcBorders>
              <w:top w:val="nil"/>
              <w:left w:val="nil"/>
              <w:bottom w:val="single" w:sz="4" w:space="0" w:color="auto"/>
              <w:right w:val="nil"/>
            </w:tcBorders>
            <w:vAlign w:val="bottom"/>
          </w:tcPr>
          <w:p w14:paraId="11C5258F" w14:textId="77777777" w:rsidR="00773A54" w:rsidRPr="00AC598B" w:rsidRDefault="00773A54" w:rsidP="00907EA8">
            <w:pPr>
              <w:jc w:val="left"/>
              <w:rPr>
                <w:rFonts w:ascii="Arial" w:hAnsi="Arial" w:cs="Arial"/>
                <w:bCs/>
                <w:szCs w:val="24"/>
              </w:rPr>
            </w:pPr>
          </w:p>
        </w:tc>
        <w:tc>
          <w:tcPr>
            <w:tcW w:w="976" w:type="pct"/>
            <w:tcBorders>
              <w:top w:val="nil"/>
              <w:left w:val="nil"/>
              <w:bottom w:val="single" w:sz="4" w:space="0" w:color="auto"/>
              <w:right w:val="nil"/>
            </w:tcBorders>
            <w:vAlign w:val="bottom"/>
            <w:hideMark/>
          </w:tcPr>
          <w:p w14:paraId="533E8C34" w14:textId="7197411A" w:rsidR="00773A54" w:rsidRPr="00AC598B" w:rsidRDefault="00773A54" w:rsidP="00907EA8">
            <w:pPr>
              <w:jc w:val="right"/>
              <w:rPr>
                <w:rFonts w:ascii="Arial" w:hAnsi="Arial" w:cs="Arial"/>
                <w:b/>
                <w:bCs/>
                <w:szCs w:val="24"/>
              </w:rPr>
            </w:pPr>
            <w:r w:rsidRPr="00AC598B">
              <w:rPr>
                <w:rFonts w:ascii="Arial" w:hAnsi="Arial" w:cs="Arial"/>
                <w:b/>
                <w:bCs/>
                <w:szCs w:val="24"/>
              </w:rPr>
              <w:t>201</w:t>
            </w:r>
            <w:r w:rsidR="0063201D">
              <w:rPr>
                <w:rFonts w:ascii="Arial" w:hAnsi="Arial" w:cs="Arial"/>
                <w:b/>
                <w:bCs/>
                <w:szCs w:val="24"/>
              </w:rPr>
              <w:t>8</w:t>
            </w:r>
            <w:r w:rsidRPr="00AC598B">
              <w:rPr>
                <w:rFonts w:ascii="Arial" w:hAnsi="Arial" w:cs="Arial"/>
                <w:b/>
                <w:bCs/>
                <w:szCs w:val="24"/>
              </w:rPr>
              <w:t>/1</w:t>
            </w:r>
            <w:r w:rsidR="0063201D">
              <w:rPr>
                <w:rFonts w:ascii="Arial" w:hAnsi="Arial" w:cs="Arial"/>
                <w:b/>
                <w:bCs/>
                <w:szCs w:val="24"/>
              </w:rPr>
              <w:t>9</w:t>
            </w:r>
          </w:p>
          <w:p w14:paraId="038EA889" w14:textId="409AD9D7" w:rsidR="00773A54" w:rsidRPr="00AC598B" w:rsidRDefault="00773A54">
            <w:pPr>
              <w:jc w:val="right"/>
              <w:rPr>
                <w:rFonts w:ascii="Arial" w:hAnsi="Arial" w:cs="Arial"/>
                <w:b/>
                <w:bCs/>
                <w:szCs w:val="24"/>
              </w:rPr>
            </w:pPr>
            <w:r w:rsidRPr="00AC598B">
              <w:rPr>
                <w:rFonts w:ascii="Arial" w:hAnsi="Arial" w:cs="Arial"/>
                <w:b/>
                <w:bCs/>
                <w:szCs w:val="24"/>
              </w:rPr>
              <w:t>£m</w:t>
            </w:r>
          </w:p>
        </w:tc>
        <w:tc>
          <w:tcPr>
            <w:tcW w:w="933" w:type="pct"/>
            <w:tcBorders>
              <w:top w:val="nil"/>
              <w:left w:val="nil"/>
              <w:bottom w:val="single" w:sz="4" w:space="0" w:color="auto"/>
              <w:right w:val="nil"/>
            </w:tcBorders>
            <w:vAlign w:val="bottom"/>
            <w:hideMark/>
          </w:tcPr>
          <w:p w14:paraId="12E43EE7" w14:textId="2AF3BED0" w:rsidR="00773A54" w:rsidRPr="00AC598B" w:rsidRDefault="00773A54" w:rsidP="00907EA8">
            <w:pPr>
              <w:jc w:val="right"/>
              <w:rPr>
                <w:rFonts w:ascii="Arial" w:hAnsi="Arial" w:cs="Arial"/>
                <w:bCs/>
                <w:szCs w:val="24"/>
              </w:rPr>
            </w:pPr>
            <w:r w:rsidRPr="00AC598B">
              <w:rPr>
                <w:rFonts w:ascii="Arial" w:hAnsi="Arial" w:cs="Arial"/>
                <w:bCs/>
                <w:szCs w:val="24"/>
              </w:rPr>
              <w:t>201</w:t>
            </w:r>
            <w:r w:rsidR="0063201D">
              <w:rPr>
                <w:rFonts w:ascii="Arial" w:hAnsi="Arial" w:cs="Arial"/>
                <w:bCs/>
                <w:szCs w:val="24"/>
              </w:rPr>
              <w:t>7</w:t>
            </w:r>
            <w:r w:rsidRPr="00AC598B">
              <w:rPr>
                <w:rFonts w:ascii="Arial" w:hAnsi="Arial" w:cs="Arial"/>
                <w:bCs/>
                <w:szCs w:val="24"/>
              </w:rPr>
              <w:t>/1</w:t>
            </w:r>
            <w:r w:rsidR="0063201D">
              <w:rPr>
                <w:rFonts w:ascii="Arial" w:hAnsi="Arial" w:cs="Arial"/>
                <w:bCs/>
                <w:szCs w:val="24"/>
              </w:rPr>
              <w:t>8</w:t>
            </w:r>
          </w:p>
          <w:p w14:paraId="1BBFDEAF" w14:textId="1ADD463F" w:rsidR="00773A54" w:rsidRPr="00AC598B" w:rsidRDefault="00773A54">
            <w:pPr>
              <w:jc w:val="right"/>
              <w:rPr>
                <w:rFonts w:ascii="Arial" w:hAnsi="Arial" w:cs="Arial"/>
                <w:bCs/>
                <w:szCs w:val="24"/>
              </w:rPr>
            </w:pPr>
            <w:r w:rsidRPr="00AC598B">
              <w:rPr>
                <w:rFonts w:ascii="Arial" w:hAnsi="Arial" w:cs="Arial"/>
                <w:bCs/>
                <w:szCs w:val="24"/>
              </w:rPr>
              <w:t>£m</w:t>
            </w:r>
          </w:p>
        </w:tc>
      </w:tr>
      <w:tr w:rsidR="009A2010" w:rsidRPr="00230CDB" w14:paraId="38DD5C0E" w14:textId="77777777" w:rsidTr="00DB3649">
        <w:trPr>
          <w:trHeight w:val="254"/>
        </w:trPr>
        <w:tc>
          <w:tcPr>
            <w:tcW w:w="3091" w:type="pct"/>
            <w:vAlign w:val="bottom"/>
          </w:tcPr>
          <w:p w14:paraId="653126C5" w14:textId="58587106" w:rsidR="009A2010" w:rsidRPr="00230CDB" w:rsidRDefault="009A2010" w:rsidP="009A2010">
            <w:pPr>
              <w:rPr>
                <w:rFonts w:ascii="Arial" w:hAnsi="Arial" w:cs="Arial"/>
                <w:szCs w:val="24"/>
              </w:rPr>
            </w:pPr>
            <w:r w:rsidRPr="00F01C34">
              <w:rPr>
                <w:rFonts w:ascii="Arial" w:hAnsi="Arial" w:cs="Arial"/>
                <w:szCs w:val="24"/>
              </w:rPr>
              <w:t>Transformation exceptional costs</w:t>
            </w:r>
          </w:p>
        </w:tc>
        <w:tc>
          <w:tcPr>
            <w:tcW w:w="976" w:type="pct"/>
            <w:vAlign w:val="bottom"/>
          </w:tcPr>
          <w:p w14:paraId="29A93EDE" w14:textId="5BB56C2A" w:rsidR="009A2010" w:rsidRPr="00F01C34" w:rsidRDefault="009A2010" w:rsidP="009A2010">
            <w:pPr>
              <w:jc w:val="right"/>
              <w:rPr>
                <w:rFonts w:ascii="Arial" w:hAnsi="Arial" w:cs="Arial"/>
                <w:b/>
                <w:szCs w:val="24"/>
              </w:rPr>
            </w:pPr>
            <w:r w:rsidRPr="00F01C34">
              <w:rPr>
                <w:rFonts w:ascii="Arial" w:hAnsi="Arial" w:cs="Arial"/>
                <w:b/>
                <w:szCs w:val="24"/>
              </w:rPr>
              <w:t>(</w:t>
            </w:r>
            <w:r w:rsidR="00FA297E" w:rsidRPr="00F01C34">
              <w:rPr>
                <w:rFonts w:ascii="Arial" w:hAnsi="Arial" w:cs="Arial"/>
                <w:b/>
                <w:szCs w:val="24"/>
              </w:rPr>
              <w:t>46</w:t>
            </w:r>
            <w:r w:rsidRPr="00F01C34">
              <w:rPr>
                <w:rFonts w:ascii="Arial" w:hAnsi="Arial" w:cs="Arial"/>
                <w:b/>
                <w:szCs w:val="24"/>
              </w:rPr>
              <w:t>)</w:t>
            </w:r>
          </w:p>
        </w:tc>
        <w:tc>
          <w:tcPr>
            <w:tcW w:w="933" w:type="pct"/>
            <w:vAlign w:val="bottom"/>
          </w:tcPr>
          <w:p w14:paraId="5CDD8252" w14:textId="6A917444" w:rsidR="009A2010" w:rsidRPr="00230CDB" w:rsidRDefault="009A2010" w:rsidP="009A2010">
            <w:pPr>
              <w:jc w:val="right"/>
              <w:rPr>
                <w:rFonts w:ascii="Arial" w:hAnsi="Arial" w:cs="Arial"/>
                <w:szCs w:val="24"/>
              </w:rPr>
            </w:pPr>
            <w:r w:rsidRPr="00230CDB">
              <w:rPr>
                <w:rFonts w:ascii="Arial" w:hAnsi="Arial" w:cs="Arial"/>
                <w:szCs w:val="24"/>
              </w:rPr>
              <w:t>(5)</w:t>
            </w:r>
          </w:p>
        </w:tc>
      </w:tr>
      <w:tr w:rsidR="009A2010" w:rsidRPr="00230CDB" w14:paraId="2F27DB64" w14:textId="77777777" w:rsidTr="00DB3649">
        <w:trPr>
          <w:trHeight w:val="254"/>
        </w:trPr>
        <w:tc>
          <w:tcPr>
            <w:tcW w:w="3091" w:type="pct"/>
            <w:vAlign w:val="bottom"/>
            <w:hideMark/>
          </w:tcPr>
          <w:p w14:paraId="1F215DE1" w14:textId="77777777" w:rsidR="009A2010" w:rsidRPr="00230CDB" w:rsidRDefault="009A2010" w:rsidP="009A2010">
            <w:pPr>
              <w:rPr>
                <w:rFonts w:ascii="Arial" w:hAnsi="Arial" w:cs="Arial"/>
                <w:szCs w:val="24"/>
              </w:rPr>
            </w:pPr>
            <w:r w:rsidRPr="00230CDB">
              <w:rPr>
                <w:rFonts w:ascii="Arial" w:hAnsi="Arial" w:cs="Arial"/>
                <w:szCs w:val="24"/>
              </w:rPr>
              <w:t>UK &amp; Ireland and Europe restructuring</w:t>
            </w:r>
          </w:p>
        </w:tc>
        <w:tc>
          <w:tcPr>
            <w:tcW w:w="976" w:type="pct"/>
            <w:vAlign w:val="bottom"/>
            <w:hideMark/>
          </w:tcPr>
          <w:p w14:paraId="5E1B3D94" w14:textId="62BAB01D" w:rsidR="009A2010" w:rsidRPr="00F01C34" w:rsidRDefault="004D4EB3" w:rsidP="009A2010">
            <w:pPr>
              <w:jc w:val="right"/>
              <w:rPr>
                <w:rFonts w:ascii="Arial" w:hAnsi="Arial" w:cs="Arial"/>
                <w:b/>
                <w:szCs w:val="24"/>
              </w:rPr>
            </w:pPr>
            <w:r>
              <w:rPr>
                <w:rFonts w:ascii="Arial" w:hAnsi="Arial" w:cs="Arial"/>
                <w:b/>
                <w:szCs w:val="24"/>
              </w:rPr>
              <w:t>4</w:t>
            </w:r>
          </w:p>
        </w:tc>
        <w:tc>
          <w:tcPr>
            <w:tcW w:w="933" w:type="pct"/>
            <w:vAlign w:val="bottom"/>
            <w:hideMark/>
          </w:tcPr>
          <w:p w14:paraId="5616437C" w14:textId="7C9A30B6" w:rsidR="009A2010" w:rsidRPr="00230CDB" w:rsidRDefault="009A2010" w:rsidP="009A2010">
            <w:pPr>
              <w:jc w:val="right"/>
              <w:rPr>
                <w:rFonts w:ascii="Arial" w:hAnsi="Arial" w:cs="Arial"/>
                <w:szCs w:val="24"/>
              </w:rPr>
            </w:pPr>
            <w:r w:rsidRPr="00230CDB">
              <w:rPr>
                <w:rFonts w:ascii="Arial" w:hAnsi="Arial" w:cs="Arial"/>
                <w:szCs w:val="24"/>
              </w:rPr>
              <w:t>13</w:t>
            </w:r>
          </w:p>
        </w:tc>
      </w:tr>
      <w:tr w:rsidR="009A2010" w:rsidRPr="00230CDB" w14:paraId="4866523E" w14:textId="77777777" w:rsidTr="00DB3649">
        <w:trPr>
          <w:trHeight w:val="254"/>
        </w:trPr>
        <w:tc>
          <w:tcPr>
            <w:tcW w:w="3091" w:type="pct"/>
            <w:tcBorders>
              <w:top w:val="single" w:sz="4" w:space="0" w:color="auto"/>
              <w:left w:val="nil"/>
              <w:bottom w:val="nil"/>
              <w:right w:val="nil"/>
            </w:tcBorders>
            <w:vAlign w:val="bottom"/>
            <w:hideMark/>
          </w:tcPr>
          <w:p w14:paraId="43DA3BF1" w14:textId="77777777" w:rsidR="009A2010" w:rsidRPr="00230CDB" w:rsidRDefault="009A2010" w:rsidP="009A2010">
            <w:pPr>
              <w:rPr>
                <w:rFonts w:ascii="Arial" w:hAnsi="Arial" w:cs="Arial"/>
                <w:szCs w:val="24"/>
              </w:rPr>
            </w:pPr>
            <w:r w:rsidRPr="00230CDB">
              <w:rPr>
                <w:rFonts w:ascii="Arial" w:hAnsi="Arial" w:cs="Arial"/>
                <w:b/>
                <w:szCs w:val="24"/>
              </w:rPr>
              <w:t>Exceptional items before tax</w:t>
            </w:r>
          </w:p>
        </w:tc>
        <w:tc>
          <w:tcPr>
            <w:tcW w:w="976" w:type="pct"/>
            <w:tcBorders>
              <w:top w:val="single" w:sz="4" w:space="0" w:color="auto"/>
              <w:left w:val="nil"/>
              <w:bottom w:val="nil"/>
              <w:right w:val="nil"/>
            </w:tcBorders>
            <w:vAlign w:val="bottom"/>
            <w:hideMark/>
          </w:tcPr>
          <w:p w14:paraId="263A56BB" w14:textId="443ECDBE" w:rsidR="009A2010" w:rsidRPr="00F01C34" w:rsidRDefault="00FA297E" w:rsidP="009A2010">
            <w:pPr>
              <w:jc w:val="right"/>
              <w:rPr>
                <w:rFonts w:ascii="Arial" w:hAnsi="Arial" w:cs="Arial"/>
                <w:b/>
                <w:szCs w:val="24"/>
              </w:rPr>
            </w:pPr>
            <w:r w:rsidRPr="00F01C34">
              <w:rPr>
                <w:rFonts w:ascii="Arial" w:hAnsi="Arial" w:cs="Arial"/>
                <w:b/>
                <w:szCs w:val="24"/>
              </w:rPr>
              <w:t>(4</w:t>
            </w:r>
            <w:r w:rsidR="00E65458">
              <w:rPr>
                <w:rFonts w:ascii="Arial" w:hAnsi="Arial" w:cs="Arial"/>
                <w:b/>
                <w:szCs w:val="24"/>
              </w:rPr>
              <w:t>2</w:t>
            </w:r>
            <w:r w:rsidRPr="00F01C34">
              <w:rPr>
                <w:rFonts w:ascii="Arial" w:hAnsi="Arial" w:cs="Arial"/>
                <w:b/>
                <w:szCs w:val="24"/>
              </w:rPr>
              <w:t>)</w:t>
            </w:r>
          </w:p>
        </w:tc>
        <w:tc>
          <w:tcPr>
            <w:tcW w:w="933" w:type="pct"/>
            <w:tcBorders>
              <w:top w:val="single" w:sz="4" w:space="0" w:color="auto"/>
              <w:left w:val="nil"/>
              <w:bottom w:val="nil"/>
              <w:right w:val="nil"/>
            </w:tcBorders>
            <w:vAlign w:val="bottom"/>
            <w:hideMark/>
          </w:tcPr>
          <w:p w14:paraId="271E1708" w14:textId="21DB5A25" w:rsidR="009A2010" w:rsidRPr="00230CDB" w:rsidRDefault="009A2010" w:rsidP="009A2010">
            <w:pPr>
              <w:jc w:val="right"/>
              <w:rPr>
                <w:rFonts w:ascii="Arial" w:hAnsi="Arial" w:cs="Arial"/>
                <w:szCs w:val="24"/>
              </w:rPr>
            </w:pPr>
            <w:r w:rsidRPr="00230CDB">
              <w:rPr>
                <w:rFonts w:ascii="Arial" w:hAnsi="Arial" w:cs="Arial"/>
                <w:szCs w:val="24"/>
              </w:rPr>
              <w:t>8</w:t>
            </w:r>
          </w:p>
        </w:tc>
      </w:tr>
      <w:tr w:rsidR="009A2010" w:rsidRPr="00230CDB" w14:paraId="40BB67BB" w14:textId="77777777" w:rsidTr="00DB3649">
        <w:trPr>
          <w:trHeight w:val="308"/>
        </w:trPr>
        <w:tc>
          <w:tcPr>
            <w:tcW w:w="3091" w:type="pct"/>
            <w:vAlign w:val="bottom"/>
            <w:hideMark/>
          </w:tcPr>
          <w:p w14:paraId="186DE12E" w14:textId="77777777" w:rsidR="009A2010" w:rsidRPr="00230CDB" w:rsidRDefault="009A2010" w:rsidP="009A2010">
            <w:pPr>
              <w:jc w:val="left"/>
              <w:rPr>
                <w:rFonts w:ascii="Arial" w:hAnsi="Arial" w:cs="Arial"/>
                <w:b/>
                <w:szCs w:val="24"/>
              </w:rPr>
            </w:pPr>
            <w:r w:rsidRPr="00230CDB">
              <w:rPr>
                <w:rFonts w:ascii="Arial" w:hAnsi="Arial" w:cs="Arial"/>
                <w:szCs w:val="24"/>
              </w:rPr>
              <w:t xml:space="preserve">Exceptional tax items </w:t>
            </w:r>
          </w:p>
        </w:tc>
        <w:tc>
          <w:tcPr>
            <w:tcW w:w="976" w:type="pct"/>
            <w:vAlign w:val="bottom"/>
            <w:hideMark/>
          </w:tcPr>
          <w:p w14:paraId="4A644E38" w14:textId="2AA2FC80" w:rsidR="009A2010" w:rsidRPr="00F01C34" w:rsidRDefault="004D4EB3" w:rsidP="009A2010">
            <w:pPr>
              <w:jc w:val="right"/>
              <w:rPr>
                <w:rFonts w:ascii="Arial" w:hAnsi="Arial" w:cs="Arial"/>
                <w:b/>
                <w:szCs w:val="24"/>
              </w:rPr>
            </w:pPr>
            <w:r w:rsidRPr="00F01C34">
              <w:rPr>
                <w:rFonts w:ascii="Arial" w:hAnsi="Arial" w:cs="Arial"/>
                <w:b/>
                <w:szCs w:val="24"/>
              </w:rPr>
              <w:t>1</w:t>
            </w:r>
            <w:r>
              <w:rPr>
                <w:rFonts w:ascii="Arial" w:hAnsi="Arial" w:cs="Arial"/>
                <w:b/>
                <w:szCs w:val="24"/>
              </w:rPr>
              <w:t>3</w:t>
            </w:r>
          </w:p>
        </w:tc>
        <w:tc>
          <w:tcPr>
            <w:tcW w:w="933" w:type="pct"/>
            <w:vAlign w:val="bottom"/>
            <w:hideMark/>
          </w:tcPr>
          <w:p w14:paraId="05199024" w14:textId="5622B157" w:rsidR="009A2010" w:rsidRPr="00230CDB" w:rsidRDefault="009A2010" w:rsidP="009A2010">
            <w:pPr>
              <w:jc w:val="right"/>
              <w:rPr>
                <w:rFonts w:ascii="Arial" w:hAnsi="Arial" w:cs="Arial"/>
                <w:szCs w:val="24"/>
              </w:rPr>
            </w:pPr>
            <w:r w:rsidRPr="00230CDB">
              <w:rPr>
                <w:rFonts w:ascii="Arial" w:hAnsi="Arial" w:cs="Arial"/>
                <w:szCs w:val="24"/>
              </w:rPr>
              <w:t>(1)</w:t>
            </w:r>
          </w:p>
        </w:tc>
      </w:tr>
      <w:tr w:rsidR="009A2010" w:rsidRPr="00230CDB" w14:paraId="40424B4F" w14:textId="77777777" w:rsidTr="00DB3649">
        <w:trPr>
          <w:trHeight w:val="308"/>
        </w:trPr>
        <w:tc>
          <w:tcPr>
            <w:tcW w:w="3091" w:type="pct"/>
            <w:tcBorders>
              <w:top w:val="single" w:sz="4" w:space="0" w:color="auto"/>
              <w:left w:val="nil"/>
              <w:bottom w:val="single" w:sz="4" w:space="0" w:color="auto"/>
              <w:right w:val="nil"/>
            </w:tcBorders>
            <w:vAlign w:val="bottom"/>
            <w:hideMark/>
          </w:tcPr>
          <w:p w14:paraId="708742AD" w14:textId="77777777" w:rsidR="009A2010" w:rsidRPr="00230CDB" w:rsidRDefault="009A2010" w:rsidP="009A2010">
            <w:pPr>
              <w:jc w:val="left"/>
              <w:rPr>
                <w:rFonts w:ascii="Arial" w:hAnsi="Arial" w:cs="Arial"/>
                <w:szCs w:val="24"/>
              </w:rPr>
            </w:pPr>
            <w:r w:rsidRPr="00230CDB">
              <w:rPr>
                <w:rFonts w:ascii="Arial" w:hAnsi="Arial" w:cs="Arial"/>
                <w:b/>
                <w:szCs w:val="24"/>
              </w:rPr>
              <w:t>Net exceptional items</w:t>
            </w:r>
          </w:p>
        </w:tc>
        <w:tc>
          <w:tcPr>
            <w:tcW w:w="976" w:type="pct"/>
            <w:tcBorders>
              <w:top w:val="single" w:sz="4" w:space="0" w:color="auto"/>
              <w:left w:val="nil"/>
              <w:bottom w:val="single" w:sz="4" w:space="0" w:color="auto"/>
              <w:right w:val="nil"/>
            </w:tcBorders>
            <w:vAlign w:val="bottom"/>
            <w:hideMark/>
          </w:tcPr>
          <w:p w14:paraId="1015ED92" w14:textId="3867DC92" w:rsidR="009A2010" w:rsidRPr="00F01C34" w:rsidRDefault="00825079" w:rsidP="009A2010">
            <w:pPr>
              <w:jc w:val="right"/>
              <w:rPr>
                <w:rFonts w:ascii="Arial" w:hAnsi="Arial" w:cs="Arial"/>
                <w:b/>
                <w:szCs w:val="24"/>
              </w:rPr>
            </w:pPr>
            <w:r w:rsidRPr="00F01C34">
              <w:rPr>
                <w:rFonts w:ascii="Arial" w:hAnsi="Arial" w:cs="Arial"/>
                <w:b/>
                <w:szCs w:val="24"/>
              </w:rPr>
              <w:t>(</w:t>
            </w:r>
            <w:r w:rsidR="004D4EB3" w:rsidRPr="00F01C34">
              <w:rPr>
                <w:rFonts w:ascii="Arial" w:hAnsi="Arial" w:cs="Arial"/>
                <w:b/>
                <w:szCs w:val="24"/>
              </w:rPr>
              <w:t>2</w:t>
            </w:r>
            <w:r w:rsidR="00E65458">
              <w:rPr>
                <w:rFonts w:ascii="Arial" w:hAnsi="Arial" w:cs="Arial"/>
                <w:b/>
                <w:szCs w:val="24"/>
              </w:rPr>
              <w:t>9</w:t>
            </w:r>
            <w:r w:rsidRPr="00F01C34">
              <w:rPr>
                <w:rFonts w:ascii="Arial" w:hAnsi="Arial" w:cs="Arial"/>
                <w:b/>
                <w:szCs w:val="24"/>
              </w:rPr>
              <w:t>)</w:t>
            </w:r>
          </w:p>
        </w:tc>
        <w:tc>
          <w:tcPr>
            <w:tcW w:w="933" w:type="pct"/>
            <w:tcBorders>
              <w:top w:val="single" w:sz="4" w:space="0" w:color="auto"/>
              <w:left w:val="nil"/>
              <w:bottom w:val="single" w:sz="4" w:space="0" w:color="auto"/>
              <w:right w:val="nil"/>
            </w:tcBorders>
            <w:vAlign w:val="bottom"/>
            <w:hideMark/>
          </w:tcPr>
          <w:p w14:paraId="3447C44B" w14:textId="18329650" w:rsidR="009A2010" w:rsidRPr="00230CDB" w:rsidRDefault="009A2010" w:rsidP="009A2010">
            <w:pPr>
              <w:jc w:val="right"/>
              <w:rPr>
                <w:rFonts w:ascii="Arial" w:hAnsi="Arial" w:cs="Arial"/>
                <w:szCs w:val="24"/>
              </w:rPr>
            </w:pPr>
            <w:r w:rsidRPr="00230CDB">
              <w:rPr>
                <w:rFonts w:ascii="Arial" w:hAnsi="Arial" w:cs="Arial"/>
                <w:szCs w:val="24"/>
              </w:rPr>
              <w:t>7</w:t>
            </w:r>
          </w:p>
        </w:tc>
      </w:tr>
    </w:tbl>
    <w:p w14:paraId="3DB44472" w14:textId="3E46AF75" w:rsidR="00932D95" w:rsidRPr="00230CDB" w:rsidRDefault="00932D95" w:rsidP="002C457F">
      <w:pPr>
        <w:spacing w:after="200"/>
        <w:contextualSpacing/>
        <w:jc w:val="left"/>
        <w:rPr>
          <w:rFonts w:ascii="Arial" w:hAnsi="Arial" w:cs="Arial"/>
        </w:rPr>
      </w:pPr>
    </w:p>
    <w:p w14:paraId="08AA5EBA" w14:textId="1AA4DFF6" w:rsidR="005B7D1A" w:rsidRDefault="005B7D1A" w:rsidP="005B7D1A">
      <w:pPr>
        <w:spacing w:after="200"/>
        <w:contextualSpacing/>
        <w:jc w:val="left"/>
        <w:rPr>
          <w:rFonts w:ascii="Arial" w:hAnsi="Arial" w:cs="Arial"/>
        </w:rPr>
      </w:pPr>
      <w:bookmarkStart w:id="62" w:name="_Hlk524532249"/>
      <w:bookmarkStart w:id="63" w:name="_Hlk509321343"/>
      <w:bookmarkStart w:id="64" w:name="_Hlk507508664"/>
      <w:bookmarkStart w:id="65" w:name="_Hlk507507390"/>
      <w:bookmarkStart w:id="66" w:name="_Hlk492462276"/>
      <w:r w:rsidRPr="00C01327">
        <w:rPr>
          <w:rFonts w:ascii="Arial" w:hAnsi="Arial" w:cs="Arial"/>
        </w:rPr>
        <w:t>Transformation exceptional costs of £</w:t>
      </w:r>
      <w:r w:rsidR="00FA297E">
        <w:rPr>
          <w:rFonts w:ascii="Arial" w:hAnsi="Arial" w:cs="Arial"/>
        </w:rPr>
        <w:t>46</w:t>
      </w:r>
      <w:r w:rsidRPr="00C01327">
        <w:rPr>
          <w:rFonts w:ascii="Arial" w:hAnsi="Arial" w:cs="Arial"/>
        </w:rPr>
        <w:t xml:space="preserve">m have been recorded in the year </w:t>
      </w:r>
      <w:r w:rsidR="00263F48">
        <w:rPr>
          <w:rFonts w:ascii="Arial" w:hAnsi="Arial" w:cs="Arial"/>
        </w:rPr>
        <w:t xml:space="preserve">primarily </w:t>
      </w:r>
      <w:r w:rsidRPr="00C01327">
        <w:rPr>
          <w:rFonts w:ascii="Arial" w:hAnsi="Arial" w:cs="Arial"/>
        </w:rPr>
        <w:t xml:space="preserve">driven by people changes associated with restructuring in </w:t>
      </w:r>
      <w:r w:rsidR="00D165A7">
        <w:rPr>
          <w:rFonts w:ascii="Arial" w:hAnsi="Arial" w:cs="Arial"/>
        </w:rPr>
        <w:t xml:space="preserve">France and </w:t>
      </w:r>
      <w:r w:rsidRPr="00C01327">
        <w:rPr>
          <w:rFonts w:ascii="Arial" w:hAnsi="Arial" w:cs="Arial"/>
        </w:rPr>
        <w:t>the UK</w:t>
      </w:r>
      <w:bookmarkEnd w:id="62"/>
      <w:r w:rsidRPr="00C01327">
        <w:rPr>
          <w:rFonts w:ascii="Arial" w:hAnsi="Arial" w:cs="Arial"/>
        </w:rPr>
        <w:t xml:space="preserve">. </w:t>
      </w:r>
      <w:r w:rsidR="00F3093B">
        <w:rPr>
          <w:rFonts w:ascii="Arial" w:hAnsi="Arial" w:cs="Arial"/>
        </w:rPr>
        <w:t>People related changes</w:t>
      </w:r>
      <w:r w:rsidR="00F3093B" w:rsidRPr="00C01327">
        <w:rPr>
          <w:rFonts w:ascii="Arial" w:hAnsi="Arial" w:cs="Arial"/>
        </w:rPr>
        <w:t xml:space="preserve"> </w:t>
      </w:r>
      <w:r w:rsidRPr="00C01327">
        <w:rPr>
          <w:rFonts w:ascii="Arial" w:hAnsi="Arial" w:cs="Arial"/>
        </w:rPr>
        <w:t>include the move of transactional processing activity to a</w:t>
      </w:r>
      <w:r w:rsidR="00A15519">
        <w:rPr>
          <w:rFonts w:ascii="Arial" w:hAnsi="Arial" w:cs="Arial"/>
        </w:rPr>
        <w:t xml:space="preserve"> </w:t>
      </w:r>
      <w:r w:rsidRPr="00C01327">
        <w:rPr>
          <w:rFonts w:ascii="Arial" w:hAnsi="Arial" w:cs="Arial"/>
        </w:rPr>
        <w:t>shared service centre in Poland</w:t>
      </w:r>
      <w:r w:rsidRPr="00CE37D7">
        <w:rPr>
          <w:rFonts w:ascii="Arial" w:hAnsi="Arial" w:cs="Arial"/>
        </w:rPr>
        <w:t>.</w:t>
      </w:r>
      <w:r w:rsidR="004F5E3C" w:rsidRPr="00CE37D7">
        <w:rPr>
          <w:rFonts w:ascii="Arial" w:hAnsi="Arial" w:cs="Arial"/>
        </w:rPr>
        <w:t xml:space="preserve"> </w:t>
      </w:r>
    </w:p>
    <w:bookmarkEnd w:id="63"/>
    <w:bookmarkEnd w:id="64"/>
    <w:bookmarkEnd w:id="65"/>
    <w:p w14:paraId="4F3D77FA" w14:textId="77777777" w:rsidR="00271869" w:rsidRPr="00B15F57" w:rsidRDefault="00271869" w:rsidP="00271869">
      <w:pPr>
        <w:jc w:val="left"/>
        <w:rPr>
          <w:rFonts w:ascii="Arial" w:hAnsi="Arial" w:cs="Arial"/>
          <w:szCs w:val="24"/>
        </w:rPr>
      </w:pPr>
    </w:p>
    <w:p w14:paraId="7DC847B8" w14:textId="631850B8" w:rsidR="005B7D1A" w:rsidRPr="00F01C34" w:rsidRDefault="005B7D1A" w:rsidP="005B7D1A">
      <w:pPr>
        <w:spacing w:after="200"/>
        <w:contextualSpacing/>
        <w:jc w:val="left"/>
        <w:rPr>
          <w:rFonts w:ascii="Arial" w:hAnsi="Arial" w:cs="Arial"/>
        </w:rPr>
      </w:pPr>
      <w:r w:rsidRPr="00F01C34">
        <w:rPr>
          <w:rFonts w:ascii="Arial" w:hAnsi="Arial" w:cs="Arial"/>
        </w:rPr>
        <w:t xml:space="preserve">In </w:t>
      </w:r>
      <w:r w:rsidR="00206D7A" w:rsidRPr="00F01C34">
        <w:rPr>
          <w:rFonts w:ascii="Arial" w:hAnsi="Arial" w:cs="Arial"/>
        </w:rPr>
        <w:t xml:space="preserve">H1 </w:t>
      </w:r>
      <w:r w:rsidRPr="00F01C34">
        <w:rPr>
          <w:rFonts w:ascii="Arial" w:hAnsi="Arial" w:cs="Arial"/>
        </w:rPr>
        <w:t>201</w:t>
      </w:r>
      <w:r w:rsidR="00206D7A" w:rsidRPr="00F01C34">
        <w:rPr>
          <w:rFonts w:ascii="Arial" w:hAnsi="Arial" w:cs="Arial"/>
        </w:rPr>
        <w:t>8</w:t>
      </w:r>
      <w:r w:rsidRPr="00F01C34">
        <w:rPr>
          <w:rFonts w:ascii="Arial" w:hAnsi="Arial" w:cs="Arial"/>
        </w:rPr>
        <w:t>/1</w:t>
      </w:r>
      <w:r w:rsidR="00206D7A" w:rsidRPr="00F01C34">
        <w:rPr>
          <w:rFonts w:ascii="Arial" w:hAnsi="Arial" w:cs="Arial"/>
        </w:rPr>
        <w:t>9</w:t>
      </w:r>
      <w:r w:rsidRPr="00F01C34">
        <w:rPr>
          <w:rFonts w:ascii="Arial" w:hAnsi="Arial" w:cs="Arial"/>
        </w:rPr>
        <w:t xml:space="preserve"> UK &amp; Ireland and Europe restructuring was a £</w:t>
      </w:r>
      <w:r w:rsidR="004D4EB3">
        <w:rPr>
          <w:rFonts w:ascii="Arial" w:hAnsi="Arial" w:cs="Arial"/>
        </w:rPr>
        <w:t>4</w:t>
      </w:r>
      <w:r w:rsidR="00206D7A" w:rsidRPr="00F01C34">
        <w:rPr>
          <w:rFonts w:ascii="Arial" w:hAnsi="Arial" w:cs="Arial"/>
        </w:rPr>
        <w:t xml:space="preserve"> </w:t>
      </w:r>
      <w:r w:rsidRPr="00F01C34">
        <w:rPr>
          <w:rFonts w:ascii="Arial" w:hAnsi="Arial" w:cs="Arial"/>
        </w:rPr>
        <w:t>m</w:t>
      </w:r>
      <w:r w:rsidR="00206D7A" w:rsidRPr="00F01C34">
        <w:rPr>
          <w:rFonts w:ascii="Arial" w:hAnsi="Arial" w:cs="Arial"/>
        </w:rPr>
        <w:t>illion</w:t>
      </w:r>
      <w:r w:rsidRPr="00F01C34">
        <w:rPr>
          <w:rFonts w:ascii="Arial" w:hAnsi="Arial" w:cs="Arial"/>
        </w:rPr>
        <w:t xml:space="preserve"> gain</w:t>
      </w:r>
      <w:r w:rsidR="00206D7A" w:rsidRPr="00F01C34">
        <w:rPr>
          <w:rFonts w:ascii="Arial" w:hAnsi="Arial" w:cs="Arial"/>
        </w:rPr>
        <w:t xml:space="preserve"> (H1 2017/18: £13 million gain)</w:t>
      </w:r>
      <w:r w:rsidRPr="00F01C34">
        <w:rPr>
          <w:rFonts w:ascii="Arial" w:hAnsi="Arial" w:cs="Arial"/>
        </w:rPr>
        <w:t xml:space="preserve"> principally arising due to savings on B&amp;Q store exit costs as compared with the original restructuring provisions recognised.</w:t>
      </w:r>
    </w:p>
    <w:p w14:paraId="501D888C" w14:textId="433BA1EF" w:rsidR="00FA297E" w:rsidRDefault="00FA297E" w:rsidP="005B7D1A">
      <w:pPr>
        <w:spacing w:after="200"/>
        <w:contextualSpacing/>
        <w:jc w:val="left"/>
        <w:rPr>
          <w:rFonts w:ascii="Arial" w:hAnsi="Arial" w:cs="Arial"/>
          <w:color w:val="C00000"/>
        </w:rPr>
      </w:pPr>
    </w:p>
    <w:p w14:paraId="54F9DF2C" w14:textId="77777777" w:rsidR="00A52241" w:rsidRDefault="00A52241">
      <w:pPr>
        <w:jc w:val="left"/>
        <w:rPr>
          <w:rFonts w:ascii="Arial" w:hAnsi="Arial" w:cs="Arial"/>
          <w:b/>
          <w:szCs w:val="24"/>
        </w:rPr>
      </w:pPr>
      <w:bookmarkStart w:id="67" w:name="_Hlk491328024"/>
      <w:bookmarkStart w:id="68" w:name="_Hlk492457997"/>
      <w:bookmarkEnd w:id="66"/>
      <w:r>
        <w:rPr>
          <w:rFonts w:ascii="Arial" w:hAnsi="Arial" w:cs="Arial"/>
          <w:b/>
          <w:szCs w:val="24"/>
        </w:rPr>
        <w:br w:type="page"/>
      </w:r>
    </w:p>
    <w:p w14:paraId="2D05CBEC" w14:textId="24A47A70" w:rsidR="005B7D1A" w:rsidRPr="00AC598B" w:rsidRDefault="005B7D1A" w:rsidP="005B7D1A">
      <w:pPr>
        <w:ind w:right="-368"/>
        <w:jc w:val="left"/>
        <w:rPr>
          <w:rFonts w:ascii="Arial" w:hAnsi="Arial" w:cs="Arial"/>
          <w:b/>
          <w:szCs w:val="24"/>
        </w:rPr>
      </w:pPr>
      <w:bookmarkStart w:id="69" w:name="_Hlk524461049"/>
      <w:r w:rsidRPr="00AC598B">
        <w:rPr>
          <w:rFonts w:ascii="Arial" w:hAnsi="Arial" w:cs="Arial"/>
          <w:b/>
          <w:szCs w:val="24"/>
        </w:rPr>
        <w:t>Taxation</w:t>
      </w:r>
    </w:p>
    <w:p w14:paraId="526CF06E" w14:textId="77777777" w:rsidR="005B7D1A" w:rsidRPr="00AC598B" w:rsidRDefault="005B7D1A" w:rsidP="005B7D1A">
      <w:pPr>
        <w:ind w:right="-368"/>
        <w:jc w:val="left"/>
        <w:rPr>
          <w:rFonts w:ascii="Arial" w:hAnsi="Arial" w:cs="Arial"/>
          <w:b/>
          <w:szCs w:val="24"/>
        </w:rPr>
      </w:pPr>
    </w:p>
    <w:p w14:paraId="385081AE" w14:textId="7A63DC88" w:rsidR="005B7D1A" w:rsidRDefault="005B7D1A" w:rsidP="005B7D1A">
      <w:pPr>
        <w:jc w:val="left"/>
        <w:rPr>
          <w:rFonts w:ascii="Arial" w:hAnsi="Arial" w:cs="Arial"/>
          <w:szCs w:val="24"/>
        </w:rPr>
      </w:pPr>
      <w:r w:rsidRPr="00AC598B">
        <w:rPr>
          <w:rFonts w:ascii="Arial" w:hAnsi="Arial" w:cs="Arial"/>
          <w:szCs w:val="24"/>
        </w:rPr>
        <w:t>The adjusted effective tax</w:t>
      </w:r>
      <w:r w:rsidR="00F22DB6">
        <w:rPr>
          <w:rFonts w:ascii="Arial" w:hAnsi="Arial" w:cs="Arial"/>
          <w:szCs w:val="24"/>
        </w:rPr>
        <w:t xml:space="preserve"> rate</w:t>
      </w:r>
      <w:r w:rsidRPr="00AC598B">
        <w:rPr>
          <w:rFonts w:ascii="Arial" w:hAnsi="Arial" w:cs="Arial"/>
          <w:szCs w:val="24"/>
        </w:rPr>
        <w:t xml:space="preserve">, calculated </w:t>
      </w:r>
      <w:r>
        <w:rPr>
          <w:rFonts w:ascii="Arial" w:hAnsi="Arial" w:cs="Arial"/>
          <w:szCs w:val="24"/>
        </w:rPr>
        <w:t>on the best estimate of full year profit</w:t>
      </w:r>
      <w:r w:rsidRPr="00AC598B">
        <w:rPr>
          <w:rFonts w:ascii="Arial" w:hAnsi="Arial" w:cs="Arial"/>
          <w:szCs w:val="24"/>
        </w:rPr>
        <w:t xml:space="preserve"> before exceptional items, prior year tax adjustments and the impact of</w:t>
      </w:r>
      <w:r w:rsidR="006F5E1F">
        <w:rPr>
          <w:rFonts w:ascii="Arial" w:hAnsi="Arial" w:cs="Arial"/>
          <w:szCs w:val="24"/>
        </w:rPr>
        <w:t xml:space="preserve"> future</w:t>
      </w:r>
      <w:r w:rsidRPr="00AC598B">
        <w:rPr>
          <w:rFonts w:ascii="Arial" w:hAnsi="Arial" w:cs="Arial"/>
          <w:szCs w:val="24"/>
        </w:rPr>
        <w:t xml:space="preserve"> rate changes </w:t>
      </w:r>
      <w:r>
        <w:rPr>
          <w:rFonts w:ascii="Arial" w:hAnsi="Arial" w:cs="Arial"/>
          <w:szCs w:val="24"/>
        </w:rPr>
        <w:t>is</w:t>
      </w:r>
      <w:r w:rsidRPr="00AC598B">
        <w:rPr>
          <w:rFonts w:ascii="Arial" w:hAnsi="Arial" w:cs="Arial"/>
          <w:szCs w:val="24"/>
        </w:rPr>
        <w:t xml:space="preserve"> </w:t>
      </w:r>
      <w:r w:rsidR="00CF707E" w:rsidRPr="00F01C34">
        <w:rPr>
          <w:rFonts w:ascii="Arial" w:hAnsi="Arial" w:cs="Arial"/>
          <w:szCs w:val="24"/>
        </w:rPr>
        <w:t>27</w:t>
      </w:r>
      <w:r w:rsidRPr="00AC598B">
        <w:rPr>
          <w:rFonts w:ascii="Arial" w:hAnsi="Arial" w:cs="Arial"/>
          <w:szCs w:val="24"/>
        </w:rPr>
        <w:t>% (</w:t>
      </w:r>
      <w:r>
        <w:rPr>
          <w:rFonts w:ascii="Arial" w:hAnsi="Arial" w:cs="Arial"/>
          <w:szCs w:val="24"/>
        </w:rPr>
        <w:t>2017/18</w:t>
      </w:r>
      <w:r w:rsidRPr="00AC598B">
        <w:rPr>
          <w:rFonts w:ascii="Arial" w:hAnsi="Arial" w:cs="Arial"/>
          <w:szCs w:val="24"/>
        </w:rPr>
        <w:t>: 2</w:t>
      </w:r>
      <w:r>
        <w:rPr>
          <w:rFonts w:ascii="Arial" w:hAnsi="Arial" w:cs="Arial"/>
          <w:szCs w:val="24"/>
        </w:rPr>
        <w:t>7</w:t>
      </w:r>
      <w:r w:rsidRPr="006B1A1C">
        <w:rPr>
          <w:rFonts w:ascii="Arial" w:hAnsi="Arial" w:cs="Arial"/>
          <w:szCs w:val="24"/>
        </w:rPr>
        <w:t xml:space="preserve">%). </w:t>
      </w:r>
      <w:r w:rsidRPr="00F74468">
        <w:rPr>
          <w:rFonts w:ascii="Arial" w:hAnsi="Arial" w:cs="Arial"/>
          <w:szCs w:val="24"/>
        </w:rPr>
        <w:t>The overall tax</w:t>
      </w:r>
      <w:r w:rsidRPr="006B1A1C">
        <w:rPr>
          <w:rFonts w:ascii="Arial" w:hAnsi="Arial" w:cs="Arial"/>
          <w:szCs w:val="24"/>
        </w:rPr>
        <w:t xml:space="preserve"> </w:t>
      </w:r>
      <w:r w:rsidR="00F22DB6" w:rsidRPr="006B1A1C">
        <w:rPr>
          <w:rFonts w:ascii="Arial" w:hAnsi="Arial" w:cs="Arial"/>
          <w:szCs w:val="24"/>
        </w:rPr>
        <w:t xml:space="preserve">rate </w:t>
      </w:r>
      <w:r w:rsidRPr="006B1A1C">
        <w:rPr>
          <w:rFonts w:ascii="Arial" w:hAnsi="Arial" w:cs="Arial"/>
          <w:szCs w:val="24"/>
        </w:rPr>
        <w:t xml:space="preserve">includes the impact of exceptional items and prior year </w:t>
      </w:r>
      <w:r w:rsidR="000E5924">
        <w:rPr>
          <w:rFonts w:ascii="Arial" w:hAnsi="Arial" w:cs="Arial"/>
          <w:szCs w:val="24"/>
        </w:rPr>
        <w:t xml:space="preserve">tax </w:t>
      </w:r>
      <w:r w:rsidRPr="006B1A1C">
        <w:rPr>
          <w:rFonts w:ascii="Arial" w:hAnsi="Arial" w:cs="Arial"/>
          <w:szCs w:val="24"/>
        </w:rPr>
        <w:t>adjustments.</w:t>
      </w:r>
      <w:r w:rsidRPr="00AC598B">
        <w:rPr>
          <w:rFonts w:ascii="Arial" w:hAnsi="Arial" w:cs="Arial"/>
          <w:szCs w:val="24"/>
        </w:rPr>
        <w:t xml:space="preserve"> </w:t>
      </w:r>
    </w:p>
    <w:p w14:paraId="038BC243" w14:textId="77777777" w:rsidR="005B7D1A" w:rsidRDefault="005B7D1A" w:rsidP="005B7D1A">
      <w:pPr>
        <w:jc w:val="left"/>
        <w:rPr>
          <w:rFonts w:ascii="Arial" w:hAnsi="Arial" w:cs="Arial"/>
          <w:szCs w:val="24"/>
        </w:rPr>
      </w:pPr>
    </w:p>
    <w:tbl>
      <w:tblPr>
        <w:tblW w:w="11779" w:type="dxa"/>
        <w:tblLayout w:type="fixed"/>
        <w:tblCellMar>
          <w:left w:w="0" w:type="dxa"/>
          <w:right w:w="0" w:type="dxa"/>
        </w:tblCellMar>
        <w:tblLook w:val="04A0" w:firstRow="1" w:lastRow="0" w:firstColumn="1" w:lastColumn="0" w:noHBand="0" w:noVBand="1"/>
      </w:tblPr>
      <w:tblGrid>
        <w:gridCol w:w="3261"/>
        <w:gridCol w:w="1295"/>
        <w:gridCol w:w="953"/>
        <w:gridCol w:w="1015"/>
        <w:gridCol w:w="969"/>
        <w:gridCol w:w="1012"/>
        <w:gridCol w:w="1162"/>
        <w:gridCol w:w="704"/>
        <w:gridCol w:w="704"/>
        <w:gridCol w:w="704"/>
      </w:tblGrid>
      <w:tr w:rsidR="00CC1BB9" w:rsidRPr="007769BE" w14:paraId="0E4C0555" w14:textId="438B6A9F" w:rsidTr="00525B7C">
        <w:trPr>
          <w:trHeight w:val="595"/>
        </w:trPr>
        <w:tc>
          <w:tcPr>
            <w:tcW w:w="3261" w:type="dxa"/>
            <w:tcBorders>
              <w:top w:val="nil"/>
              <w:left w:val="nil"/>
              <w:bottom w:val="single" w:sz="8" w:space="0" w:color="auto"/>
              <w:right w:val="nil"/>
            </w:tcBorders>
            <w:tcMar>
              <w:top w:w="0" w:type="dxa"/>
              <w:left w:w="108" w:type="dxa"/>
              <w:bottom w:w="0" w:type="dxa"/>
              <w:right w:w="108" w:type="dxa"/>
            </w:tcMar>
          </w:tcPr>
          <w:p w14:paraId="23A833D9" w14:textId="57159F54" w:rsidR="005E757F" w:rsidRPr="00AC598B" w:rsidRDefault="005E757F" w:rsidP="00525B7C">
            <w:pPr>
              <w:jc w:val="left"/>
              <w:rPr>
                <w:rFonts w:ascii="Arial" w:hAnsi="Arial" w:cs="Arial"/>
                <w:b/>
                <w:bCs/>
                <w:szCs w:val="24"/>
              </w:rPr>
            </w:pPr>
          </w:p>
        </w:tc>
        <w:tc>
          <w:tcPr>
            <w:tcW w:w="1295" w:type="dxa"/>
            <w:tcBorders>
              <w:top w:val="nil"/>
              <w:left w:val="nil"/>
              <w:bottom w:val="single" w:sz="8" w:space="0" w:color="auto"/>
              <w:right w:val="nil"/>
            </w:tcBorders>
            <w:tcMar>
              <w:top w:w="0" w:type="dxa"/>
              <w:left w:w="108" w:type="dxa"/>
              <w:bottom w:w="0" w:type="dxa"/>
              <w:right w:w="108" w:type="dxa"/>
            </w:tcMar>
            <w:hideMark/>
          </w:tcPr>
          <w:p w14:paraId="06D9C575" w14:textId="738E359A" w:rsidR="005E757F" w:rsidRPr="00AC598B" w:rsidRDefault="00F22DB6" w:rsidP="005E757F">
            <w:pPr>
              <w:jc w:val="right"/>
              <w:rPr>
                <w:rFonts w:ascii="Arial" w:hAnsi="Arial" w:cs="Arial"/>
                <w:b/>
                <w:bCs/>
                <w:szCs w:val="24"/>
              </w:rPr>
            </w:pPr>
            <w:r>
              <w:rPr>
                <w:rFonts w:ascii="Arial" w:hAnsi="Arial" w:cs="Arial"/>
                <w:b/>
                <w:bCs/>
                <w:szCs w:val="24"/>
              </w:rPr>
              <w:t>Pre-</w:t>
            </w:r>
            <w:proofErr w:type="gramStart"/>
            <w:r>
              <w:rPr>
                <w:rFonts w:ascii="Arial" w:hAnsi="Arial" w:cs="Arial"/>
                <w:b/>
                <w:bCs/>
                <w:szCs w:val="24"/>
              </w:rPr>
              <w:t>tax  p</w:t>
            </w:r>
            <w:r w:rsidR="005E757F" w:rsidRPr="00AC598B">
              <w:rPr>
                <w:rFonts w:ascii="Arial" w:hAnsi="Arial" w:cs="Arial"/>
                <w:b/>
                <w:bCs/>
                <w:szCs w:val="24"/>
              </w:rPr>
              <w:t>rofit</w:t>
            </w:r>
            <w:proofErr w:type="gramEnd"/>
          </w:p>
          <w:p w14:paraId="6B78C0C4" w14:textId="77777777" w:rsidR="005E757F" w:rsidRPr="00AC598B" w:rsidRDefault="005E757F" w:rsidP="005E757F">
            <w:pPr>
              <w:jc w:val="right"/>
              <w:rPr>
                <w:rFonts w:ascii="Arial" w:hAnsi="Arial" w:cs="Arial"/>
                <w:b/>
                <w:bCs/>
                <w:szCs w:val="24"/>
              </w:rPr>
            </w:pPr>
            <w:r w:rsidRPr="00AC598B">
              <w:rPr>
                <w:rFonts w:ascii="Arial" w:hAnsi="Arial" w:cs="Arial"/>
                <w:b/>
                <w:bCs/>
                <w:szCs w:val="24"/>
              </w:rPr>
              <w:t>£m</w:t>
            </w:r>
          </w:p>
        </w:tc>
        <w:tc>
          <w:tcPr>
            <w:tcW w:w="953" w:type="dxa"/>
            <w:tcBorders>
              <w:top w:val="nil"/>
              <w:left w:val="nil"/>
              <w:bottom w:val="single" w:sz="8" w:space="0" w:color="auto"/>
              <w:right w:val="nil"/>
            </w:tcBorders>
            <w:tcMar>
              <w:top w:w="0" w:type="dxa"/>
              <w:left w:w="108" w:type="dxa"/>
              <w:bottom w:w="0" w:type="dxa"/>
              <w:right w:w="108" w:type="dxa"/>
            </w:tcMar>
            <w:hideMark/>
          </w:tcPr>
          <w:p w14:paraId="1287FFF0" w14:textId="77777777" w:rsidR="005E757F" w:rsidRPr="00AC598B" w:rsidRDefault="005E757F" w:rsidP="005E757F">
            <w:pPr>
              <w:jc w:val="right"/>
              <w:rPr>
                <w:rFonts w:ascii="Arial" w:hAnsi="Arial" w:cs="Arial"/>
                <w:b/>
                <w:bCs/>
                <w:szCs w:val="24"/>
              </w:rPr>
            </w:pPr>
            <w:r w:rsidRPr="00AC598B">
              <w:rPr>
                <w:rFonts w:ascii="Arial" w:hAnsi="Arial" w:cs="Arial"/>
                <w:b/>
                <w:bCs/>
                <w:szCs w:val="24"/>
              </w:rPr>
              <w:t xml:space="preserve">Tax </w:t>
            </w:r>
          </w:p>
          <w:p w14:paraId="067260D9" w14:textId="77777777" w:rsidR="005E757F" w:rsidRPr="00AC598B" w:rsidRDefault="005E757F" w:rsidP="005E757F">
            <w:pPr>
              <w:jc w:val="right"/>
              <w:rPr>
                <w:rFonts w:ascii="Arial" w:hAnsi="Arial" w:cs="Arial"/>
                <w:b/>
                <w:bCs/>
                <w:szCs w:val="24"/>
              </w:rPr>
            </w:pPr>
            <w:r w:rsidRPr="00AC598B">
              <w:rPr>
                <w:rFonts w:ascii="Arial" w:hAnsi="Arial" w:cs="Arial"/>
                <w:b/>
                <w:bCs/>
                <w:szCs w:val="24"/>
              </w:rPr>
              <w:t>£m</w:t>
            </w:r>
          </w:p>
        </w:tc>
        <w:tc>
          <w:tcPr>
            <w:tcW w:w="1015" w:type="dxa"/>
            <w:tcBorders>
              <w:top w:val="nil"/>
              <w:left w:val="nil"/>
              <w:bottom w:val="single" w:sz="8" w:space="0" w:color="auto"/>
              <w:right w:val="nil"/>
            </w:tcBorders>
            <w:tcMar>
              <w:top w:w="0" w:type="dxa"/>
              <w:left w:w="108" w:type="dxa"/>
              <w:bottom w:w="0" w:type="dxa"/>
              <w:right w:w="108" w:type="dxa"/>
            </w:tcMar>
            <w:hideMark/>
          </w:tcPr>
          <w:p w14:paraId="6CFA2352" w14:textId="77777777" w:rsidR="005E757F" w:rsidRPr="00AC598B" w:rsidRDefault="005E757F" w:rsidP="005E757F">
            <w:pPr>
              <w:jc w:val="right"/>
              <w:rPr>
                <w:rFonts w:ascii="Arial" w:hAnsi="Arial" w:cs="Arial"/>
                <w:b/>
                <w:bCs/>
                <w:szCs w:val="24"/>
              </w:rPr>
            </w:pPr>
            <w:r w:rsidRPr="00AC598B">
              <w:rPr>
                <w:rFonts w:ascii="Arial" w:hAnsi="Arial" w:cs="Arial"/>
                <w:b/>
                <w:bCs/>
                <w:szCs w:val="24"/>
              </w:rPr>
              <w:t>201</w:t>
            </w:r>
            <w:r>
              <w:rPr>
                <w:rFonts w:ascii="Arial" w:hAnsi="Arial" w:cs="Arial"/>
                <w:b/>
                <w:bCs/>
                <w:szCs w:val="24"/>
              </w:rPr>
              <w:t>8</w:t>
            </w:r>
            <w:r w:rsidRPr="00AC598B">
              <w:rPr>
                <w:rFonts w:ascii="Arial" w:hAnsi="Arial" w:cs="Arial"/>
                <w:b/>
                <w:bCs/>
                <w:szCs w:val="24"/>
              </w:rPr>
              <w:t>/1</w:t>
            </w:r>
            <w:r>
              <w:rPr>
                <w:rFonts w:ascii="Arial" w:hAnsi="Arial" w:cs="Arial"/>
                <w:b/>
                <w:bCs/>
                <w:szCs w:val="24"/>
              </w:rPr>
              <w:t>9</w:t>
            </w:r>
          </w:p>
          <w:p w14:paraId="5329ED5C" w14:textId="77777777" w:rsidR="005E757F" w:rsidRPr="00AC598B" w:rsidRDefault="005E757F" w:rsidP="005E757F">
            <w:pPr>
              <w:jc w:val="right"/>
              <w:rPr>
                <w:rFonts w:ascii="Arial" w:hAnsi="Arial" w:cs="Arial"/>
                <w:b/>
                <w:bCs/>
                <w:szCs w:val="24"/>
              </w:rPr>
            </w:pPr>
            <w:r w:rsidRPr="00AC598B">
              <w:rPr>
                <w:rFonts w:ascii="Arial" w:hAnsi="Arial" w:cs="Arial"/>
                <w:b/>
                <w:bCs/>
                <w:szCs w:val="24"/>
              </w:rPr>
              <w:t>%</w:t>
            </w:r>
          </w:p>
        </w:tc>
        <w:tc>
          <w:tcPr>
            <w:tcW w:w="969" w:type="dxa"/>
            <w:tcBorders>
              <w:top w:val="nil"/>
              <w:left w:val="nil"/>
              <w:bottom w:val="single" w:sz="8" w:space="0" w:color="auto"/>
              <w:right w:val="nil"/>
            </w:tcBorders>
          </w:tcPr>
          <w:p w14:paraId="719D7C6C" w14:textId="7A13B1D5" w:rsidR="005E757F" w:rsidRPr="00AC598B" w:rsidRDefault="00F22DB6" w:rsidP="005E757F">
            <w:pPr>
              <w:jc w:val="right"/>
              <w:rPr>
                <w:rFonts w:ascii="Arial" w:hAnsi="Arial" w:cs="Arial"/>
                <w:szCs w:val="24"/>
              </w:rPr>
            </w:pPr>
            <w:r>
              <w:rPr>
                <w:rFonts w:ascii="Arial" w:hAnsi="Arial" w:cs="Arial"/>
                <w:szCs w:val="24"/>
              </w:rPr>
              <w:t>Pre-tax p</w:t>
            </w:r>
            <w:r w:rsidR="005E757F">
              <w:rPr>
                <w:rFonts w:ascii="Arial" w:hAnsi="Arial" w:cs="Arial"/>
                <w:szCs w:val="24"/>
              </w:rPr>
              <w:t>rofit</w:t>
            </w:r>
          </w:p>
          <w:p w14:paraId="2C621688" w14:textId="29331643" w:rsidR="005E757F" w:rsidRPr="00AC598B" w:rsidRDefault="00CC1BB9" w:rsidP="005E757F">
            <w:pPr>
              <w:jc w:val="right"/>
              <w:rPr>
                <w:rFonts w:ascii="Arial" w:hAnsi="Arial" w:cs="Arial"/>
                <w:szCs w:val="24"/>
              </w:rPr>
            </w:pPr>
            <w:r>
              <w:rPr>
                <w:rFonts w:ascii="Arial" w:hAnsi="Arial" w:cs="Arial"/>
                <w:szCs w:val="24"/>
              </w:rPr>
              <w:t>£m</w:t>
            </w:r>
          </w:p>
        </w:tc>
        <w:tc>
          <w:tcPr>
            <w:tcW w:w="1012" w:type="dxa"/>
            <w:tcBorders>
              <w:top w:val="nil"/>
              <w:left w:val="nil"/>
              <w:bottom w:val="single" w:sz="8" w:space="0" w:color="auto"/>
              <w:right w:val="nil"/>
            </w:tcBorders>
            <w:tcMar>
              <w:top w:w="0" w:type="dxa"/>
              <w:left w:w="108" w:type="dxa"/>
              <w:bottom w:w="0" w:type="dxa"/>
              <w:right w:w="108" w:type="dxa"/>
            </w:tcMar>
            <w:hideMark/>
          </w:tcPr>
          <w:p w14:paraId="0A83C3E8" w14:textId="448E2B72" w:rsidR="005E757F" w:rsidRPr="00AC598B" w:rsidRDefault="00CC1BB9" w:rsidP="005E757F">
            <w:pPr>
              <w:jc w:val="right"/>
              <w:rPr>
                <w:rFonts w:ascii="Arial" w:hAnsi="Arial" w:cs="Arial"/>
                <w:szCs w:val="24"/>
              </w:rPr>
            </w:pPr>
            <w:r>
              <w:rPr>
                <w:rFonts w:ascii="Arial" w:hAnsi="Arial" w:cs="Arial"/>
                <w:szCs w:val="24"/>
              </w:rPr>
              <w:t>Tax</w:t>
            </w:r>
          </w:p>
          <w:p w14:paraId="7BFF5AD1" w14:textId="1D2580C5" w:rsidR="005E757F" w:rsidRPr="00AC598B" w:rsidRDefault="00CC1BB9" w:rsidP="005E757F">
            <w:pPr>
              <w:jc w:val="right"/>
              <w:rPr>
                <w:rFonts w:ascii="Arial" w:hAnsi="Arial" w:cs="Arial"/>
                <w:szCs w:val="24"/>
              </w:rPr>
            </w:pPr>
            <w:r>
              <w:rPr>
                <w:rFonts w:ascii="Arial" w:hAnsi="Arial" w:cs="Arial"/>
                <w:szCs w:val="24"/>
              </w:rPr>
              <w:t>£m</w:t>
            </w:r>
          </w:p>
        </w:tc>
        <w:tc>
          <w:tcPr>
            <w:tcW w:w="1162" w:type="dxa"/>
            <w:tcBorders>
              <w:top w:val="nil"/>
              <w:left w:val="nil"/>
              <w:bottom w:val="single" w:sz="8" w:space="0" w:color="auto"/>
              <w:right w:val="nil"/>
            </w:tcBorders>
          </w:tcPr>
          <w:p w14:paraId="69097CC0" w14:textId="77777777" w:rsidR="005E757F" w:rsidRPr="00AC598B" w:rsidRDefault="005E757F" w:rsidP="005E757F">
            <w:pPr>
              <w:jc w:val="right"/>
              <w:rPr>
                <w:rFonts w:ascii="Arial" w:hAnsi="Arial" w:cs="Arial"/>
                <w:szCs w:val="24"/>
              </w:rPr>
            </w:pPr>
            <w:r w:rsidRPr="00AC598B">
              <w:rPr>
                <w:rFonts w:ascii="Arial" w:hAnsi="Arial" w:cs="Arial"/>
                <w:szCs w:val="24"/>
              </w:rPr>
              <w:t>201</w:t>
            </w:r>
            <w:r>
              <w:rPr>
                <w:rFonts w:ascii="Arial" w:hAnsi="Arial" w:cs="Arial"/>
                <w:szCs w:val="24"/>
              </w:rPr>
              <w:t>7</w:t>
            </w:r>
            <w:r w:rsidRPr="00AC598B">
              <w:rPr>
                <w:rFonts w:ascii="Arial" w:hAnsi="Arial" w:cs="Arial"/>
                <w:szCs w:val="24"/>
              </w:rPr>
              <w:t>/1</w:t>
            </w:r>
            <w:r>
              <w:rPr>
                <w:rFonts w:ascii="Arial" w:hAnsi="Arial" w:cs="Arial"/>
                <w:szCs w:val="24"/>
              </w:rPr>
              <w:t>8</w:t>
            </w:r>
          </w:p>
          <w:p w14:paraId="2B28CE18" w14:textId="2C03ADFD" w:rsidR="005E757F" w:rsidRPr="00AC598B" w:rsidRDefault="005E757F" w:rsidP="005E757F">
            <w:pPr>
              <w:jc w:val="right"/>
              <w:rPr>
                <w:rFonts w:ascii="Arial" w:hAnsi="Arial" w:cs="Arial"/>
                <w:szCs w:val="24"/>
              </w:rPr>
            </w:pPr>
            <w:r w:rsidRPr="00AC598B">
              <w:rPr>
                <w:rFonts w:ascii="Arial" w:hAnsi="Arial" w:cs="Arial"/>
                <w:szCs w:val="24"/>
              </w:rPr>
              <w:t>%</w:t>
            </w:r>
          </w:p>
        </w:tc>
        <w:tc>
          <w:tcPr>
            <w:tcW w:w="704" w:type="dxa"/>
            <w:tcBorders>
              <w:top w:val="nil"/>
              <w:left w:val="nil"/>
              <w:right w:val="nil"/>
            </w:tcBorders>
          </w:tcPr>
          <w:p w14:paraId="1C16ADE8" w14:textId="63576775" w:rsidR="005E757F" w:rsidRPr="00AC598B" w:rsidRDefault="005E757F" w:rsidP="005E757F">
            <w:pPr>
              <w:jc w:val="right"/>
              <w:rPr>
                <w:rFonts w:ascii="Arial" w:hAnsi="Arial" w:cs="Arial"/>
                <w:szCs w:val="24"/>
              </w:rPr>
            </w:pPr>
          </w:p>
        </w:tc>
        <w:tc>
          <w:tcPr>
            <w:tcW w:w="704" w:type="dxa"/>
            <w:tcBorders>
              <w:top w:val="nil"/>
              <w:left w:val="nil"/>
              <w:right w:val="nil"/>
            </w:tcBorders>
          </w:tcPr>
          <w:p w14:paraId="67749B3B" w14:textId="77777777" w:rsidR="005E757F" w:rsidRPr="00AC598B" w:rsidRDefault="005E757F" w:rsidP="005E757F">
            <w:pPr>
              <w:jc w:val="right"/>
              <w:rPr>
                <w:rFonts w:ascii="Arial" w:hAnsi="Arial" w:cs="Arial"/>
                <w:szCs w:val="24"/>
              </w:rPr>
            </w:pPr>
          </w:p>
        </w:tc>
        <w:tc>
          <w:tcPr>
            <w:tcW w:w="704" w:type="dxa"/>
            <w:tcBorders>
              <w:top w:val="nil"/>
              <w:left w:val="nil"/>
              <w:bottom w:val="single" w:sz="8" w:space="0" w:color="auto"/>
              <w:right w:val="nil"/>
            </w:tcBorders>
          </w:tcPr>
          <w:p w14:paraId="5686349F" w14:textId="77777777" w:rsidR="005E757F" w:rsidRPr="00AC598B" w:rsidRDefault="005E757F" w:rsidP="005E757F">
            <w:pPr>
              <w:jc w:val="right"/>
              <w:rPr>
                <w:rFonts w:ascii="Arial" w:hAnsi="Arial" w:cs="Arial"/>
                <w:szCs w:val="24"/>
              </w:rPr>
            </w:pPr>
          </w:p>
        </w:tc>
      </w:tr>
      <w:tr w:rsidR="00CC1BB9" w:rsidRPr="007769BE" w14:paraId="3F7184EC" w14:textId="759D8FF3" w:rsidTr="00525B7C">
        <w:trPr>
          <w:trHeight w:val="176"/>
        </w:trPr>
        <w:tc>
          <w:tcPr>
            <w:tcW w:w="3261" w:type="dxa"/>
            <w:tcMar>
              <w:top w:w="0" w:type="dxa"/>
              <w:left w:w="108" w:type="dxa"/>
              <w:bottom w:w="0" w:type="dxa"/>
              <w:right w:w="108" w:type="dxa"/>
            </w:tcMar>
            <w:hideMark/>
          </w:tcPr>
          <w:p w14:paraId="157535AB" w14:textId="42C9BC90" w:rsidR="005E757F" w:rsidRPr="00AC598B" w:rsidRDefault="00F22DB6" w:rsidP="00525B7C">
            <w:pPr>
              <w:jc w:val="left"/>
              <w:rPr>
                <w:rFonts w:ascii="Arial" w:hAnsi="Arial" w:cs="Arial"/>
                <w:szCs w:val="24"/>
              </w:rPr>
            </w:pPr>
            <w:r>
              <w:rPr>
                <w:rFonts w:ascii="Arial" w:hAnsi="Arial" w:cs="Arial"/>
                <w:szCs w:val="24"/>
              </w:rPr>
              <w:t>Adjusted effective tax rate</w:t>
            </w:r>
          </w:p>
        </w:tc>
        <w:tc>
          <w:tcPr>
            <w:tcW w:w="1295" w:type="dxa"/>
            <w:tcMar>
              <w:top w:w="0" w:type="dxa"/>
              <w:left w:w="108" w:type="dxa"/>
              <w:bottom w:w="0" w:type="dxa"/>
              <w:right w:w="108" w:type="dxa"/>
            </w:tcMar>
            <w:hideMark/>
          </w:tcPr>
          <w:p w14:paraId="4C98A5E8" w14:textId="5053C697" w:rsidR="005E757F" w:rsidRPr="00525B7C" w:rsidRDefault="005E757F" w:rsidP="005E757F">
            <w:pPr>
              <w:jc w:val="right"/>
              <w:rPr>
                <w:rFonts w:ascii="Arial" w:hAnsi="Arial" w:cs="Arial"/>
                <w:b/>
                <w:szCs w:val="24"/>
              </w:rPr>
            </w:pPr>
            <w:r w:rsidRPr="00525B7C">
              <w:rPr>
                <w:rFonts w:ascii="Arial" w:hAnsi="Arial" w:cs="Arial"/>
                <w:b/>
                <w:szCs w:val="24"/>
              </w:rPr>
              <w:t>32</w:t>
            </w:r>
            <w:r w:rsidR="00D30EAA" w:rsidRPr="00525B7C">
              <w:rPr>
                <w:rFonts w:ascii="Arial" w:hAnsi="Arial" w:cs="Arial"/>
                <w:b/>
                <w:szCs w:val="24"/>
              </w:rPr>
              <w:t>3</w:t>
            </w:r>
          </w:p>
        </w:tc>
        <w:tc>
          <w:tcPr>
            <w:tcW w:w="953" w:type="dxa"/>
            <w:tcMar>
              <w:top w:w="0" w:type="dxa"/>
              <w:left w:w="108" w:type="dxa"/>
              <w:bottom w:w="0" w:type="dxa"/>
              <w:right w:w="108" w:type="dxa"/>
            </w:tcMar>
            <w:hideMark/>
          </w:tcPr>
          <w:p w14:paraId="17218562" w14:textId="5B1EAA00" w:rsidR="005E757F" w:rsidRPr="00525B7C" w:rsidRDefault="005E757F" w:rsidP="005E757F">
            <w:pPr>
              <w:jc w:val="right"/>
              <w:rPr>
                <w:rFonts w:ascii="Arial" w:hAnsi="Arial" w:cs="Arial"/>
                <w:b/>
                <w:szCs w:val="24"/>
              </w:rPr>
            </w:pPr>
            <w:r w:rsidRPr="00525B7C">
              <w:rPr>
                <w:rFonts w:ascii="Arial" w:hAnsi="Arial" w:cs="Arial"/>
                <w:b/>
                <w:szCs w:val="24"/>
              </w:rPr>
              <w:t>(87)</w:t>
            </w:r>
          </w:p>
        </w:tc>
        <w:tc>
          <w:tcPr>
            <w:tcW w:w="1015" w:type="dxa"/>
            <w:tcMar>
              <w:top w:w="0" w:type="dxa"/>
              <w:left w:w="108" w:type="dxa"/>
              <w:bottom w:w="0" w:type="dxa"/>
              <w:right w:w="108" w:type="dxa"/>
            </w:tcMar>
            <w:hideMark/>
          </w:tcPr>
          <w:p w14:paraId="7C06BABE" w14:textId="426CB3F7" w:rsidR="005E757F" w:rsidRPr="00525B7C" w:rsidRDefault="005E757F" w:rsidP="005E757F">
            <w:pPr>
              <w:jc w:val="right"/>
              <w:rPr>
                <w:rFonts w:ascii="Arial" w:hAnsi="Arial" w:cs="Arial"/>
                <w:b/>
                <w:szCs w:val="24"/>
              </w:rPr>
            </w:pPr>
            <w:r w:rsidRPr="00525B7C">
              <w:rPr>
                <w:rFonts w:ascii="Arial" w:hAnsi="Arial" w:cs="Arial"/>
                <w:b/>
                <w:szCs w:val="24"/>
              </w:rPr>
              <w:t>27%</w:t>
            </w:r>
          </w:p>
        </w:tc>
        <w:tc>
          <w:tcPr>
            <w:tcW w:w="969" w:type="dxa"/>
          </w:tcPr>
          <w:p w14:paraId="0D29F13E" w14:textId="2A59C7E7" w:rsidR="005E757F" w:rsidRPr="00AC598B" w:rsidRDefault="00CC1BB9" w:rsidP="005E757F">
            <w:pPr>
              <w:jc w:val="right"/>
              <w:rPr>
                <w:rFonts w:ascii="Arial" w:hAnsi="Arial" w:cs="Arial"/>
                <w:szCs w:val="24"/>
              </w:rPr>
            </w:pPr>
            <w:r>
              <w:rPr>
                <w:rFonts w:ascii="Arial" w:hAnsi="Arial" w:cs="Arial"/>
                <w:szCs w:val="24"/>
              </w:rPr>
              <w:t>394</w:t>
            </w:r>
          </w:p>
        </w:tc>
        <w:tc>
          <w:tcPr>
            <w:tcW w:w="1012" w:type="dxa"/>
            <w:tcMar>
              <w:top w:w="0" w:type="dxa"/>
              <w:left w:w="108" w:type="dxa"/>
              <w:bottom w:w="0" w:type="dxa"/>
              <w:right w:w="108" w:type="dxa"/>
            </w:tcMar>
            <w:hideMark/>
          </w:tcPr>
          <w:p w14:paraId="2937096E" w14:textId="38F6665F" w:rsidR="005E757F" w:rsidRPr="00AC598B" w:rsidRDefault="00CC1BB9" w:rsidP="005E757F">
            <w:pPr>
              <w:jc w:val="right"/>
              <w:rPr>
                <w:rFonts w:ascii="Arial" w:hAnsi="Arial" w:cs="Arial"/>
                <w:szCs w:val="24"/>
              </w:rPr>
            </w:pPr>
            <w:r>
              <w:rPr>
                <w:rFonts w:ascii="Arial" w:hAnsi="Arial" w:cs="Arial"/>
                <w:szCs w:val="24"/>
              </w:rPr>
              <w:t>(106)</w:t>
            </w:r>
          </w:p>
        </w:tc>
        <w:tc>
          <w:tcPr>
            <w:tcW w:w="1162" w:type="dxa"/>
          </w:tcPr>
          <w:p w14:paraId="13DFE1E1" w14:textId="24368D64" w:rsidR="005E757F" w:rsidRPr="00AC598B" w:rsidRDefault="005E757F" w:rsidP="005E757F">
            <w:pPr>
              <w:jc w:val="right"/>
              <w:rPr>
                <w:rFonts w:ascii="Arial" w:hAnsi="Arial" w:cs="Arial"/>
                <w:szCs w:val="24"/>
              </w:rPr>
            </w:pPr>
            <w:r w:rsidRPr="00AC598B">
              <w:rPr>
                <w:rFonts w:ascii="Arial" w:hAnsi="Arial" w:cs="Arial"/>
                <w:szCs w:val="24"/>
              </w:rPr>
              <w:t>27%</w:t>
            </w:r>
          </w:p>
        </w:tc>
        <w:tc>
          <w:tcPr>
            <w:tcW w:w="704" w:type="dxa"/>
          </w:tcPr>
          <w:p w14:paraId="6A6FDC68" w14:textId="57773959" w:rsidR="005E757F" w:rsidRPr="00AC598B" w:rsidRDefault="005E757F" w:rsidP="005E757F">
            <w:pPr>
              <w:jc w:val="right"/>
              <w:rPr>
                <w:rFonts w:ascii="Arial" w:hAnsi="Arial" w:cs="Arial"/>
                <w:szCs w:val="24"/>
              </w:rPr>
            </w:pPr>
          </w:p>
        </w:tc>
        <w:tc>
          <w:tcPr>
            <w:tcW w:w="704" w:type="dxa"/>
          </w:tcPr>
          <w:p w14:paraId="21AE1E6C" w14:textId="77777777" w:rsidR="005E757F" w:rsidRPr="00AC598B" w:rsidRDefault="005E757F" w:rsidP="005E757F">
            <w:pPr>
              <w:jc w:val="right"/>
              <w:rPr>
                <w:rFonts w:ascii="Arial" w:hAnsi="Arial" w:cs="Arial"/>
                <w:szCs w:val="24"/>
              </w:rPr>
            </w:pPr>
          </w:p>
        </w:tc>
        <w:tc>
          <w:tcPr>
            <w:tcW w:w="704" w:type="dxa"/>
          </w:tcPr>
          <w:p w14:paraId="38A85577" w14:textId="77777777" w:rsidR="005E757F" w:rsidRPr="00AC598B" w:rsidRDefault="005E757F" w:rsidP="005E757F">
            <w:pPr>
              <w:jc w:val="right"/>
              <w:rPr>
                <w:rFonts w:ascii="Arial" w:hAnsi="Arial" w:cs="Arial"/>
                <w:szCs w:val="24"/>
              </w:rPr>
            </w:pPr>
          </w:p>
        </w:tc>
      </w:tr>
      <w:tr w:rsidR="00CC1BB9" w:rsidRPr="007769BE" w14:paraId="789CD26F" w14:textId="2CE37732" w:rsidTr="00525B7C">
        <w:trPr>
          <w:trHeight w:val="185"/>
        </w:trPr>
        <w:tc>
          <w:tcPr>
            <w:tcW w:w="3261" w:type="dxa"/>
            <w:tcMar>
              <w:top w:w="0" w:type="dxa"/>
              <w:left w:w="108" w:type="dxa"/>
              <w:bottom w:w="0" w:type="dxa"/>
              <w:right w:w="108" w:type="dxa"/>
            </w:tcMar>
            <w:hideMark/>
          </w:tcPr>
          <w:p w14:paraId="010521E9" w14:textId="77777777" w:rsidR="005E757F" w:rsidRPr="00AC598B" w:rsidRDefault="005E757F" w:rsidP="005E757F">
            <w:pPr>
              <w:rPr>
                <w:rFonts w:ascii="Arial" w:hAnsi="Arial" w:cs="Arial"/>
                <w:szCs w:val="24"/>
              </w:rPr>
            </w:pPr>
            <w:r w:rsidRPr="00AC598B">
              <w:rPr>
                <w:rFonts w:ascii="Arial" w:hAnsi="Arial" w:cs="Arial"/>
                <w:szCs w:val="24"/>
              </w:rPr>
              <w:t>Exceptional items</w:t>
            </w:r>
          </w:p>
        </w:tc>
        <w:tc>
          <w:tcPr>
            <w:tcW w:w="1295" w:type="dxa"/>
            <w:tcMar>
              <w:top w:w="0" w:type="dxa"/>
              <w:left w:w="108" w:type="dxa"/>
              <w:bottom w:w="0" w:type="dxa"/>
              <w:right w:w="108" w:type="dxa"/>
            </w:tcMar>
            <w:hideMark/>
          </w:tcPr>
          <w:p w14:paraId="3CF2A8C2" w14:textId="5FC22A58" w:rsidR="005E757F" w:rsidRPr="00525B7C" w:rsidRDefault="005E757F" w:rsidP="005E757F">
            <w:pPr>
              <w:jc w:val="right"/>
              <w:rPr>
                <w:rFonts w:ascii="Arial" w:hAnsi="Arial" w:cs="Arial"/>
                <w:b/>
                <w:szCs w:val="24"/>
              </w:rPr>
            </w:pPr>
            <w:r w:rsidRPr="00525B7C">
              <w:rPr>
                <w:rFonts w:ascii="Arial" w:hAnsi="Arial" w:cs="Arial"/>
                <w:b/>
                <w:szCs w:val="24"/>
              </w:rPr>
              <w:t>(4</w:t>
            </w:r>
            <w:r w:rsidR="00D30EAA" w:rsidRPr="00525B7C">
              <w:rPr>
                <w:rFonts w:ascii="Arial" w:hAnsi="Arial" w:cs="Arial"/>
                <w:b/>
                <w:szCs w:val="24"/>
              </w:rPr>
              <w:t>2</w:t>
            </w:r>
            <w:r w:rsidRPr="00525B7C">
              <w:rPr>
                <w:rFonts w:ascii="Arial" w:hAnsi="Arial" w:cs="Arial"/>
                <w:b/>
                <w:szCs w:val="24"/>
              </w:rPr>
              <w:t>)</w:t>
            </w:r>
          </w:p>
        </w:tc>
        <w:tc>
          <w:tcPr>
            <w:tcW w:w="953" w:type="dxa"/>
            <w:tcMar>
              <w:top w:w="0" w:type="dxa"/>
              <w:left w:w="108" w:type="dxa"/>
              <w:bottom w:w="0" w:type="dxa"/>
              <w:right w:w="108" w:type="dxa"/>
            </w:tcMar>
            <w:hideMark/>
          </w:tcPr>
          <w:p w14:paraId="4440EE66" w14:textId="5922D47A" w:rsidR="005E757F" w:rsidRPr="00525B7C" w:rsidRDefault="005E757F" w:rsidP="005E757F">
            <w:pPr>
              <w:jc w:val="right"/>
              <w:rPr>
                <w:rFonts w:ascii="Arial" w:hAnsi="Arial" w:cs="Arial"/>
                <w:b/>
                <w:szCs w:val="24"/>
              </w:rPr>
            </w:pPr>
            <w:r w:rsidRPr="00525B7C">
              <w:rPr>
                <w:rFonts w:ascii="Arial" w:hAnsi="Arial" w:cs="Arial"/>
                <w:b/>
                <w:szCs w:val="24"/>
              </w:rPr>
              <w:t>13</w:t>
            </w:r>
          </w:p>
        </w:tc>
        <w:tc>
          <w:tcPr>
            <w:tcW w:w="1015" w:type="dxa"/>
            <w:tcMar>
              <w:top w:w="0" w:type="dxa"/>
              <w:left w:w="108" w:type="dxa"/>
              <w:bottom w:w="0" w:type="dxa"/>
              <w:right w:w="108" w:type="dxa"/>
            </w:tcMar>
          </w:tcPr>
          <w:p w14:paraId="0A068EC8" w14:textId="77777777" w:rsidR="005E757F" w:rsidRPr="00F22DB6" w:rsidRDefault="005E757F" w:rsidP="005E757F">
            <w:pPr>
              <w:jc w:val="right"/>
              <w:rPr>
                <w:rFonts w:ascii="Arial" w:hAnsi="Arial" w:cs="Arial"/>
                <w:b/>
                <w:bCs/>
                <w:szCs w:val="24"/>
              </w:rPr>
            </w:pPr>
          </w:p>
        </w:tc>
        <w:tc>
          <w:tcPr>
            <w:tcW w:w="969" w:type="dxa"/>
          </w:tcPr>
          <w:p w14:paraId="5103D765" w14:textId="5156A22A" w:rsidR="005E757F" w:rsidRPr="00AC598B" w:rsidRDefault="00CC1BB9" w:rsidP="005E757F">
            <w:pPr>
              <w:jc w:val="right"/>
              <w:rPr>
                <w:rFonts w:ascii="Arial" w:hAnsi="Arial" w:cs="Arial"/>
                <w:szCs w:val="24"/>
              </w:rPr>
            </w:pPr>
            <w:r>
              <w:rPr>
                <w:rFonts w:ascii="Arial" w:hAnsi="Arial" w:cs="Arial"/>
                <w:szCs w:val="24"/>
              </w:rPr>
              <w:t>8</w:t>
            </w:r>
          </w:p>
        </w:tc>
        <w:tc>
          <w:tcPr>
            <w:tcW w:w="1012" w:type="dxa"/>
            <w:tcMar>
              <w:top w:w="0" w:type="dxa"/>
              <w:left w:w="108" w:type="dxa"/>
              <w:bottom w:w="0" w:type="dxa"/>
              <w:right w:w="108" w:type="dxa"/>
            </w:tcMar>
          </w:tcPr>
          <w:p w14:paraId="38A04C53" w14:textId="1E2A2D9E" w:rsidR="005E757F" w:rsidRPr="00AC598B" w:rsidRDefault="00CC1BB9" w:rsidP="005E757F">
            <w:pPr>
              <w:jc w:val="right"/>
              <w:rPr>
                <w:rFonts w:ascii="Arial" w:hAnsi="Arial" w:cs="Arial"/>
                <w:szCs w:val="24"/>
              </w:rPr>
            </w:pPr>
            <w:r>
              <w:rPr>
                <w:rFonts w:ascii="Arial" w:hAnsi="Arial" w:cs="Arial"/>
                <w:szCs w:val="24"/>
              </w:rPr>
              <w:t>(1)</w:t>
            </w:r>
          </w:p>
        </w:tc>
        <w:tc>
          <w:tcPr>
            <w:tcW w:w="1162" w:type="dxa"/>
          </w:tcPr>
          <w:p w14:paraId="208AC53C" w14:textId="77777777" w:rsidR="005E757F" w:rsidRPr="00AC598B" w:rsidRDefault="005E757F" w:rsidP="005E757F">
            <w:pPr>
              <w:jc w:val="right"/>
              <w:rPr>
                <w:rFonts w:ascii="Arial" w:hAnsi="Arial" w:cs="Arial"/>
                <w:szCs w:val="24"/>
              </w:rPr>
            </w:pPr>
          </w:p>
        </w:tc>
        <w:tc>
          <w:tcPr>
            <w:tcW w:w="704" w:type="dxa"/>
          </w:tcPr>
          <w:p w14:paraId="7C2966C7" w14:textId="0EE9205A" w:rsidR="005E757F" w:rsidRPr="00AC598B" w:rsidRDefault="005E757F" w:rsidP="005E757F">
            <w:pPr>
              <w:jc w:val="right"/>
              <w:rPr>
                <w:rFonts w:ascii="Arial" w:hAnsi="Arial" w:cs="Arial"/>
                <w:szCs w:val="24"/>
              </w:rPr>
            </w:pPr>
          </w:p>
        </w:tc>
        <w:tc>
          <w:tcPr>
            <w:tcW w:w="704" w:type="dxa"/>
          </w:tcPr>
          <w:p w14:paraId="1ED136FF" w14:textId="77777777" w:rsidR="005E757F" w:rsidRPr="00AC598B" w:rsidRDefault="005E757F" w:rsidP="005E757F">
            <w:pPr>
              <w:jc w:val="right"/>
              <w:rPr>
                <w:rFonts w:ascii="Arial" w:hAnsi="Arial" w:cs="Arial"/>
                <w:szCs w:val="24"/>
              </w:rPr>
            </w:pPr>
          </w:p>
        </w:tc>
        <w:tc>
          <w:tcPr>
            <w:tcW w:w="704" w:type="dxa"/>
          </w:tcPr>
          <w:p w14:paraId="2D607F26" w14:textId="77777777" w:rsidR="005E757F" w:rsidRPr="00AC598B" w:rsidRDefault="005E757F" w:rsidP="005E757F">
            <w:pPr>
              <w:jc w:val="right"/>
              <w:rPr>
                <w:rFonts w:ascii="Arial" w:hAnsi="Arial" w:cs="Arial"/>
                <w:szCs w:val="24"/>
              </w:rPr>
            </w:pPr>
          </w:p>
        </w:tc>
      </w:tr>
      <w:tr w:rsidR="00CC1BB9" w:rsidRPr="007769BE" w14:paraId="5D72CD41" w14:textId="69FAA14E" w:rsidTr="00525B7C">
        <w:trPr>
          <w:trHeight w:val="311"/>
        </w:trPr>
        <w:tc>
          <w:tcPr>
            <w:tcW w:w="3261" w:type="dxa"/>
            <w:tcBorders>
              <w:top w:val="nil"/>
              <w:left w:val="nil"/>
              <w:bottom w:val="single" w:sz="8" w:space="0" w:color="auto"/>
              <w:right w:val="nil"/>
            </w:tcBorders>
            <w:tcMar>
              <w:top w:w="0" w:type="dxa"/>
              <w:left w:w="108" w:type="dxa"/>
              <w:bottom w:w="0" w:type="dxa"/>
              <w:right w:w="108" w:type="dxa"/>
            </w:tcMar>
            <w:hideMark/>
          </w:tcPr>
          <w:p w14:paraId="3341D4B3" w14:textId="417EC8FC" w:rsidR="005E757F" w:rsidRPr="00AC598B" w:rsidRDefault="005E757F" w:rsidP="005E757F">
            <w:pPr>
              <w:rPr>
                <w:rFonts w:ascii="Arial" w:hAnsi="Arial" w:cs="Arial"/>
                <w:szCs w:val="24"/>
              </w:rPr>
            </w:pPr>
            <w:r w:rsidRPr="00AC598B">
              <w:rPr>
                <w:rFonts w:ascii="Arial" w:hAnsi="Arial" w:cs="Arial"/>
                <w:szCs w:val="24"/>
              </w:rPr>
              <w:t xml:space="preserve">Prior year </w:t>
            </w:r>
            <w:r w:rsidR="000E5924">
              <w:rPr>
                <w:rFonts w:ascii="Arial" w:hAnsi="Arial" w:cs="Arial"/>
                <w:szCs w:val="24"/>
              </w:rPr>
              <w:t>tax adjustments</w:t>
            </w:r>
          </w:p>
        </w:tc>
        <w:tc>
          <w:tcPr>
            <w:tcW w:w="1295" w:type="dxa"/>
            <w:tcBorders>
              <w:top w:val="nil"/>
              <w:left w:val="nil"/>
              <w:bottom w:val="single" w:sz="8" w:space="0" w:color="auto"/>
              <w:right w:val="nil"/>
            </w:tcBorders>
            <w:tcMar>
              <w:top w:w="0" w:type="dxa"/>
              <w:left w:w="108" w:type="dxa"/>
              <w:bottom w:w="0" w:type="dxa"/>
              <w:right w:w="108" w:type="dxa"/>
            </w:tcMar>
          </w:tcPr>
          <w:p w14:paraId="7F89B1E9" w14:textId="77777777" w:rsidR="005E757F" w:rsidRPr="00F22DB6" w:rsidRDefault="005E757F" w:rsidP="005E757F">
            <w:pPr>
              <w:jc w:val="right"/>
              <w:rPr>
                <w:rFonts w:ascii="Arial" w:hAnsi="Arial" w:cs="Arial"/>
                <w:b/>
                <w:bCs/>
                <w:szCs w:val="24"/>
              </w:rPr>
            </w:pPr>
          </w:p>
        </w:tc>
        <w:tc>
          <w:tcPr>
            <w:tcW w:w="953" w:type="dxa"/>
            <w:tcBorders>
              <w:top w:val="nil"/>
              <w:left w:val="nil"/>
              <w:bottom w:val="single" w:sz="8" w:space="0" w:color="auto"/>
              <w:right w:val="nil"/>
            </w:tcBorders>
            <w:tcMar>
              <w:top w:w="0" w:type="dxa"/>
              <w:left w:w="108" w:type="dxa"/>
              <w:bottom w:w="0" w:type="dxa"/>
              <w:right w:w="108" w:type="dxa"/>
            </w:tcMar>
            <w:hideMark/>
          </w:tcPr>
          <w:p w14:paraId="607B4482" w14:textId="283E2018" w:rsidR="005E757F" w:rsidRPr="00525B7C" w:rsidRDefault="005E757F" w:rsidP="005E757F">
            <w:pPr>
              <w:jc w:val="right"/>
              <w:rPr>
                <w:rFonts w:ascii="Arial" w:hAnsi="Arial" w:cs="Arial"/>
                <w:b/>
                <w:szCs w:val="24"/>
              </w:rPr>
            </w:pPr>
            <w:r w:rsidRPr="00525B7C">
              <w:rPr>
                <w:rFonts w:ascii="Arial" w:hAnsi="Arial" w:cs="Arial"/>
                <w:b/>
                <w:szCs w:val="24"/>
              </w:rPr>
              <w:t>1</w:t>
            </w:r>
          </w:p>
        </w:tc>
        <w:tc>
          <w:tcPr>
            <w:tcW w:w="1015" w:type="dxa"/>
            <w:tcBorders>
              <w:top w:val="nil"/>
              <w:left w:val="nil"/>
              <w:bottom w:val="single" w:sz="8" w:space="0" w:color="auto"/>
              <w:right w:val="nil"/>
            </w:tcBorders>
            <w:tcMar>
              <w:top w:w="0" w:type="dxa"/>
              <w:left w:w="108" w:type="dxa"/>
              <w:bottom w:w="0" w:type="dxa"/>
              <w:right w:w="108" w:type="dxa"/>
            </w:tcMar>
          </w:tcPr>
          <w:p w14:paraId="74001BA5" w14:textId="77777777" w:rsidR="005E757F" w:rsidRPr="00F22DB6" w:rsidRDefault="005E757F" w:rsidP="005E757F">
            <w:pPr>
              <w:jc w:val="right"/>
              <w:rPr>
                <w:rFonts w:ascii="Arial" w:hAnsi="Arial" w:cs="Arial"/>
                <w:b/>
                <w:bCs/>
                <w:szCs w:val="24"/>
              </w:rPr>
            </w:pPr>
          </w:p>
        </w:tc>
        <w:tc>
          <w:tcPr>
            <w:tcW w:w="969" w:type="dxa"/>
            <w:tcBorders>
              <w:top w:val="nil"/>
              <w:left w:val="nil"/>
              <w:bottom w:val="single" w:sz="8" w:space="0" w:color="auto"/>
              <w:right w:val="nil"/>
            </w:tcBorders>
          </w:tcPr>
          <w:p w14:paraId="79BFA80E" w14:textId="77777777" w:rsidR="005E757F" w:rsidRPr="00AC598B" w:rsidRDefault="005E757F" w:rsidP="005E757F">
            <w:pPr>
              <w:jc w:val="right"/>
              <w:rPr>
                <w:rFonts w:ascii="Arial" w:hAnsi="Arial" w:cs="Arial"/>
                <w:szCs w:val="24"/>
              </w:rPr>
            </w:pPr>
          </w:p>
        </w:tc>
        <w:tc>
          <w:tcPr>
            <w:tcW w:w="1012" w:type="dxa"/>
            <w:tcBorders>
              <w:top w:val="nil"/>
              <w:left w:val="nil"/>
              <w:bottom w:val="single" w:sz="8" w:space="0" w:color="auto"/>
              <w:right w:val="nil"/>
            </w:tcBorders>
            <w:tcMar>
              <w:top w:w="0" w:type="dxa"/>
              <w:left w:w="108" w:type="dxa"/>
              <w:bottom w:w="0" w:type="dxa"/>
              <w:right w:w="108" w:type="dxa"/>
            </w:tcMar>
          </w:tcPr>
          <w:p w14:paraId="433182C6" w14:textId="6F8DDE47" w:rsidR="005E757F" w:rsidRPr="00AC598B" w:rsidRDefault="00CC1BB9" w:rsidP="005E757F">
            <w:pPr>
              <w:jc w:val="right"/>
              <w:rPr>
                <w:rFonts w:ascii="Arial" w:hAnsi="Arial" w:cs="Arial"/>
                <w:szCs w:val="24"/>
              </w:rPr>
            </w:pPr>
            <w:r>
              <w:rPr>
                <w:rFonts w:ascii="Arial" w:hAnsi="Arial" w:cs="Arial"/>
                <w:szCs w:val="24"/>
              </w:rPr>
              <w:t>-</w:t>
            </w:r>
          </w:p>
        </w:tc>
        <w:tc>
          <w:tcPr>
            <w:tcW w:w="1162" w:type="dxa"/>
            <w:tcBorders>
              <w:top w:val="nil"/>
              <w:left w:val="nil"/>
              <w:bottom w:val="single" w:sz="8" w:space="0" w:color="auto"/>
              <w:right w:val="nil"/>
            </w:tcBorders>
          </w:tcPr>
          <w:p w14:paraId="272E1763" w14:textId="77777777" w:rsidR="005E757F" w:rsidRPr="00AC598B" w:rsidRDefault="005E757F" w:rsidP="005E757F">
            <w:pPr>
              <w:jc w:val="right"/>
              <w:rPr>
                <w:rFonts w:ascii="Arial" w:hAnsi="Arial" w:cs="Arial"/>
                <w:szCs w:val="24"/>
              </w:rPr>
            </w:pPr>
          </w:p>
        </w:tc>
        <w:tc>
          <w:tcPr>
            <w:tcW w:w="704" w:type="dxa"/>
            <w:tcBorders>
              <w:top w:val="nil"/>
              <w:left w:val="nil"/>
              <w:right w:val="nil"/>
            </w:tcBorders>
          </w:tcPr>
          <w:p w14:paraId="7C0DD56E" w14:textId="06BD4C8B" w:rsidR="005E757F" w:rsidRPr="00AC598B" w:rsidRDefault="005E757F" w:rsidP="005E757F">
            <w:pPr>
              <w:jc w:val="right"/>
              <w:rPr>
                <w:rFonts w:ascii="Arial" w:hAnsi="Arial" w:cs="Arial"/>
                <w:szCs w:val="24"/>
              </w:rPr>
            </w:pPr>
          </w:p>
        </w:tc>
        <w:tc>
          <w:tcPr>
            <w:tcW w:w="704" w:type="dxa"/>
            <w:tcBorders>
              <w:top w:val="nil"/>
              <w:left w:val="nil"/>
              <w:right w:val="nil"/>
            </w:tcBorders>
          </w:tcPr>
          <w:p w14:paraId="005BA4F2" w14:textId="77777777" w:rsidR="005E757F" w:rsidRPr="00AC598B" w:rsidRDefault="005E757F" w:rsidP="005E757F">
            <w:pPr>
              <w:jc w:val="right"/>
              <w:rPr>
                <w:rFonts w:ascii="Arial" w:hAnsi="Arial" w:cs="Arial"/>
                <w:szCs w:val="24"/>
              </w:rPr>
            </w:pPr>
          </w:p>
        </w:tc>
        <w:tc>
          <w:tcPr>
            <w:tcW w:w="704" w:type="dxa"/>
            <w:tcBorders>
              <w:top w:val="nil"/>
              <w:left w:val="nil"/>
              <w:bottom w:val="single" w:sz="8" w:space="0" w:color="auto"/>
              <w:right w:val="nil"/>
            </w:tcBorders>
          </w:tcPr>
          <w:p w14:paraId="4F0B18A2" w14:textId="77777777" w:rsidR="005E757F" w:rsidRPr="00AC598B" w:rsidRDefault="005E757F" w:rsidP="005E757F">
            <w:pPr>
              <w:jc w:val="right"/>
              <w:rPr>
                <w:rFonts w:ascii="Arial" w:hAnsi="Arial" w:cs="Arial"/>
                <w:szCs w:val="24"/>
              </w:rPr>
            </w:pPr>
          </w:p>
        </w:tc>
      </w:tr>
      <w:tr w:rsidR="00CC1BB9" w:rsidRPr="007769BE" w14:paraId="2FCACE28" w14:textId="77BCDCE2" w:rsidTr="00525B7C">
        <w:trPr>
          <w:trHeight w:val="329"/>
        </w:trPr>
        <w:tc>
          <w:tcPr>
            <w:tcW w:w="3261" w:type="dxa"/>
            <w:tcBorders>
              <w:top w:val="nil"/>
              <w:left w:val="nil"/>
              <w:bottom w:val="single" w:sz="8" w:space="0" w:color="auto"/>
              <w:right w:val="nil"/>
            </w:tcBorders>
            <w:tcMar>
              <w:top w:w="0" w:type="dxa"/>
              <w:left w:w="108" w:type="dxa"/>
              <w:bottom w:w="0" w:type="dxa"/>
              <w:right w:w="108" w:type="dxa"/>
            </w:tcMar>
            <w:hideMark/>
          </w:tcPr>
          <w:p w14:paraId="183922F6" w14:textId="36DF5806" w:rsidR="005E757F" w:rsidRPr="00AC598B" w:rsidRDefault="00F22DB6" w:rsidP="005E757F">
            <w:pPr>
              <w:rPr>
                <w:rFonts w:ascii="Arial" w:hAnsi="Arial" w:cs="Arial"/>
                <w:b/>
                <w:bCs/>
                <w:szCs w:val="24"/>
              </w:rPr>
            </w:pPr>
            <w:r>
              <w:rPr>
                <w:rFonts w:ascii="Arial" w:hAnsi="Arial" w:cs="Arial"/>
                <w:b/>
                <w:bCs/>
                <w:szCs w:val="24"/>
              </w:rPr>
              <w:t>Overall tax rate</w:t>
            </w:r>
          </w:p>
        </w:tc>
        <w:tc>
          <w:tcPr>
            <w:tcW w:w="1295" w:type="dxa"/>
            <w:tcBorders>
              <w:top w:val="nil"/>
              <w:left w:val="nil"/>
              <w:bottom w:val="single" w:sz="8" w:space="0" w:color="auto"/>
              <w:right w:val="nil"/>
            </w:tcBorders>
            <w:tcMar>
              <w:top w:w="0" w:type="dxa"/>
              <w:left w:w="108" w:type="dxa"/>
              <w:bottom w:w="0" w:type="dxa"/>
              <w:right w:w="108" w:type="dxa"/>
            </w:tcMar>
            <w:hideMark/>
          </w:tcPr>
          <w:p w14:paraId="62FF03DE" w14:textId="7261EF0A" w:rsidR="005E757F" w:rsidRPr="00F01C34" w:rsidRDefault="005E757F" w:rsidP="005E757F">
            <w:pPr>
              <w:jc w:val="right"/>
              <w:rPr>
                <w:rFonts w:ascii="Arial" w:hAnsi="Arial" w:cs="Arial"/>
                <w:b/>
                <w:bCs/>
                <w:szCs w:val="24"/>
              </w:rPr>
            </w:pPr>
            <w:r w:rsidRPr="00F01C34">
              <w:rPr>
                <w:rFonts w:ascii="Arial" w:hAnsi="Arial" w:cs="Arial"/>
                <w:b/>
                <w:bCs/>
                <w:szCs w:val="24"/>
              </w:rPr>
              <w:t>281</w:t>
            </w:r>
          </w:p>
        </w:tc>
        <w:tc>
          <w:tcPr>
            <w:tcW w:w="953" w:type="dxa"/>
            <w:tcBorders>
              <w:top w:val="nil"/>
              <w:left w:val="nil"/>
              <w:bottom w:val="single" w:sz="8" w:space="0" w:color="auto"/>
              <w:right w:val="nil"/>
            </w:tcBorders>
            <w:tcMar>
              <w:top w:w="0" w:type="dxa"/>
              <w:left w:w="108" w:type="dxa"/>
              <w:bottom w:w="0" w:type="dxa"/>
              <w:right w:w="108" w:type="dxa"/>
            </w:tcMar>
            <w:hideMark/>
          </w:tcPr>
          <w:p w14:paraId="6C4446F2" w14:textId="321C46EC" w:rsidR="005E757F" w:rsidRPr="00F01C34" w:rsidRDefault="005E757F" w:rsidP="005E757F">
            <w:pPr>
              <w:jc w:val="right"/>
              <w:rPr>
                <w:rFonts w:ascii="Arial" w:hAnsi="Arial" w:cs="Arial"/>
                <w:b/>
                <w:bCs/>
                <w:szCs w:val="24"/>
              </w:rPr>
            </w:pPr>
            <w:r w:rsidRPr="00F01C34">
              <w:rPr>
                <w:rFonts w:ascii="Arial" w:hAnsi="Arial" w:cs="Arial"/>
                <w:b/>
                <w:bCs/>
                <w:szCs w:val="24"/>
              </w:rPr>
              <w:t>(7</w:t>
            </w:r>
            <w:r>
              <w:rPr>
                <w:rFonts w:ascii="Arial" w:hAnsi="Arial" w:cs="Arial"/>
                <w:b/>
                <w:bCs/>
                <w:szCs w:val="24"/>
              </w:rPr>
              <w:t>3</w:t>
            </w:r>
            <w:r w:rsidRPr="00F01C34">
              <w:rPr>
                <w:rFonts w:ascii="Arial" w:hAnsi="Arial" w:cs="Arial"/>
                <w:b/>
                <w:bCs/>
                <w:szCs w:val="24"/>
              </w:rPr>
              <w:t>)</w:t>
            </w:r>
          </w:p>
        </w:tc>
        <w:tc>
          <w:tcPr>
            <w:tcW w:w="1015" w:type="dxa"/>
            <w:tcBorders>
              <w:top w:val="nil"/>
              <w:left w:val="nil"/>
              <w:bottom w:val="single" w:sz="8" w:space="0" w:color="auto"/>
              <w:right w:val="nil"/>
            </w:tcBorders>
            <w:tcMar>
              <w:top w:w="0" w:type="dxa"/>
              <w:left w:w="108" w:type="dxa"/>
              <w:bottom w:w="0" w:type="dxa"/>
              <w:right w:w="108" w:type="dxa"/>
            </w:tcMar>
            <w:hideMark/>
          </w:tcPr>
          <w:p w14:paraId="12628FF4" w14:textId="01D9A1FB" w:rsidR="005E757F" w:rsidRPr="00F01C34" w:rsidRDefault="005E757F" w:rsidP="005E757F">
            <w:pPr>
              <w:jc w:val="right"/>
              <w:rPr>
                <w:rFonts w:ascii="Arial" w:hAnsi="Arial" w:cs="Arial"/>
                <w:b/>
                <w:bCs/>
                <w:szCs w:val="24"/>
              </w:rPr>
            </w:pPr>
            <w:r w:rsidRPr="00F01C34">
              <w:rPr>
                <w:rFonts w:ascii="Arial" w:hAnsi="Arial" w:cs="Arial"/>
                <w:b/>
                <w:bCs/>
                <w:szCs w:val="24"/>
              </w:rPr>
              <w:t>26%</w:t>
            </w:r>
          </w:p>
        </w:tc>
        <w:tc>
          <w:tcPr>
            <w:tcW w:w="969" w:type="dxa"/>
            <w:tcBorders>
              <w:top w:val="nil"/>
              <w:left w:val="nil"/>
              <w:bottom w:val="single" w:sz="8" w:space="0" w:color="auto"/>
              <w:right w:val="nil"/>
            </w:tcBorders>
          </w:tcPr>
          <w:p w14:paraId="18630CF3" w14:textId="01AD471D" w:rsidR="005E757F" w:rsidRPr="00525B7C" w:rsidRDefault="00CC1BB9" w:rsidP="005E757F">
            <w:pPr>
              <w:jc w:val="right"/>
              <w:rPr>
                <w:rFonts w:ascii="Arial" w:hAnsi="Arial" w:cs="Arial"/>
                <w:bCs/>
                <w:szCs w:val="24"/>
              </w:rPr>
            </w:pPr>
            <w:r w:rsidRPr="00525B7C">
              <w:rPr>
                <w:rFonts w:ascii="Arial" w:hAnsi="Arial" w:cs="Arial"/>
                <w:bCs/>
                <w:szCs w:val="24"/>
              </w:rPr>
              <w:t>402</w:t>
            </w:r>
          </w:p>
        </w:tc>
        <w:tc>
          <w:tcPr>
            <w:tcW w:w="1012" w:type="dxa"/>
            <w:tcBorders>
              <w:top w:val="nil"/>
              <w:left w:val="nil"/>
              <w:bottom w:val="single" w:sz="8" w:space="0" w:color="auto"/>
              <w:right w:val="nil"/>
            </w:tcBorders>
            <w:tcMar>
              <w:top w:w="0" w:type="dxa"/>
              <w:left w:w="108" w:type="dxa"/>
              <w:bottom w:w="0" w:type="dxa"/>
              <w:right w:w="108" w:type="dxa"/>
            </w:tcMar>
            <w:hideMark/>
          </w:tcPr>
          <w:p w14:paraId="6A39359E" w14:textId="3140A0CB" w:rsidR="005E757F" w:rsidRPr="00D30EAA" w:rsidRDefault="00CC1BB9" w:rsidP="005E757F">
            <w:pPr>
              <w:jc w:val="right"/>
              <w:rPr>
                <w:rFonts w:ascii="Arial" w:hAnsi="Arial" w:cs="Arial"/>
                <w:bCs/>
                <w:szCs w:val="24"/>
              </w:rPr>
            </w:pPr>
            <w:r w:rsidRPr="00525B7C">
              <w:rPr>
                <w:rFonts w:ascii="Arial" w:hAnsi="Arial" w:cs="Arial"/>
                <w:bCs/>
                <w:szCs w:val="24"/>
              </w:rPr>
              <w:t>(107)</w:t>
            </w:r>
          </w:p>
        </w:tc>
        <w:tc>
          <w:tcPr>
            <w:tcW w:w="1162" w:type="dxa"/>
            <w:tcBorders>
              <w:top w:val="nil"/>
              <w:left w:val="nil"/>
              <w:bottom w:val="single" w:sz="8" w:space="0" w:color="auto"/>
              <w:right w:val="nil"/>
            </w:tcBorders>
          </w:tcPr>
          <w:p w14:paraId="7F2F22BE" w14:textId="5BDAFDEF" w:rsidR="005E757F" w:rsidRPr="00525B7C" w:rsidRDefault="005E757F" w:rsidP="005E757F">
            <w:pPr>
              <w:jc w:val="right"/>
              <w:rPr>
                <w:rFonts w:ascii="Arial" w:hAnsi="Arial" w:cs="Arial"/>
                <w:bCs/>
                <w:szCs w:val="24"/>
              </w:rPr>
            </w:pPr>
            <w:r w:rsidRPr="00525B7C">
              <w:rPr>
                <w:rFonts w:ascii="Arial" w:hAnsi="Arial" w:cs="Arial"/>
                <w:bCs/>
                <w:szCs w:val="24"/>
              </w:rPr>
              <w:t>27%</w:t>
            </w:r>
          </w:p>
        </w:tc>
        <w:tc>
          <w:tcPr>
            <w:tcW w:w="704" w:type="dxa"/>
            <w:tcBorders>
              <w:top w:val="nil"/>
              <w:left w:val="nil"/>
              <w:right w:val="nil"/>
            </w:tcBorders>
          </w:tcPr>
          <w:p w14:paraId="5AF5A11B" w14:textId="2E43EEDB" w:rsidR="005E757F" w:rsidRPr="00AC598B" w:rsidRDefault="005E757F" w:rsidP="005E757F">
            <w:pPr>
              <w:jc w:val="right"/>
              <w:rPr>
                <w:rFonts w:ascii="Arial" w:hAnsi="Arial" w:cs="Arial"/>
                <w:b/>
                <w:bCs/>
                <w:szCs w:val="24"/>
              </w:rPr>
            </w:pPr>
          </w:p>
        </w:tc>
        <w:tc>
          <w:tcPr>
            <w:tcW w:w="704" w:type="dxa"/>
            <w:tcBorders>
              <w:top w:val="nil"/>
              <w:left w:val="nil"/>
              <w:right w:val="nil"/>
            </w:tcBorders>
          </w:tcPr>
          <w:p w14:paraId="0ED63324" w14:textId="77777777" w:rsidR="005E757F" w:rsidRPr="00AC598B" w:rsidRDefault="005E757F" w:rsidP="005E757F">
            <w:pPr>
              <w:jc w:val="right"/>
              <w:rPr>
                <w:rFonts w:ascii="Arial" w:hAnsi="Arial" w:cs="Arial"/>
                <w:b/>
                <w:bCs/>
                <w:szCs w:val="24"/>
              </w:rPr>
            </w:pPr>
          </w:p>
        </w:tc>
        <w:tc>
          <w:tcPr>
            <w:tcW w:w="704" w:type="dxa"/>
            <w:tcBorders>
              <w:top w:val="nil"/>
              <w:left w:val="nil"/>
              <w:bottom w:val="single" w:sz="8" w:space="0" w:color="auto"/>
              <w:right w:val="nil"/>
            </w:tcBorders>
          </w:tcPr>
          <w:p w14:paraId="2372C8BC" w14:textId="77777777" w:rsidR="005E757F" w:rsidRPr="00AC598B" w:rsidRDefault="005E757F" w:rsidP="005E757F">
            <w:pPr>
              <w:jc w:val="right"/>
              <w:rPr>
                <w:rFonts w:ascii="Arial" w:hAnsi="Arial" w:cs="Arial"/>
                <w:b/>
                <w:bCs/>
                <w:szCs w:val="24"/>
              </w:rPr>
            </w:pPr>
          </w:p>
        </w:tc>
      </w:tr>
    </w:tbl>
    <w:p w14:paraId="1253B39E" w14:textId="77777777" w:rsidR="005B7D1A" w:rsidRDefault="005B7D1A" w:rsidP="005B7D1A">
      <w:pPr>
        <w:rPr>
          <w:rFonts w:ascii="Arial" w:hAnsi="Arial" w:cs="Arial"/>
          <w:sz w:val="24"/>
          <w:szCs w:val="24"/>
        </w:rPr>
      </w:pPr>
    </w:p>
    <w:p w14:paraId="301E7B22" w14:textId="77777777" w:rsidR="005B7D1A" w:rsidRPr="00AC598B" w:rsidRDefault="005B7D1A" w:rsidP="005B7D1A">
      <w:pPr>
        <w:jc w:val="left"/>
        <w:rPr>
          <w:rFonts w:ascii="Arial" w:hAnsi="Arial" w:cs="Arial"/>
          <w:szCs w:val="24"/>
        </w:rPr>
      </w:pPr>
      <w:r w:rsidRPr="00AC598B">
        <w:rPr>
          <w:rFonts w:ascii="Arial" w:hAnsi="Arial" w:cs="Arial"/>
          <w:szCs w:val="24"/>
        </w:rPr>
        <w:t>The statutory rates for the Group’s main operating companies during FY 201</w:t>
      </w:r>
      <w:r>
        <w:rPr>
          <w:rFonts w:ascii="Arial" w:hAnsi="Arial" w:cs="Arial"/>
          <w:szCs w:val="24"/>
        </w:rPr>
        <w:t>8</w:t>
      </w:r>
      <w:r w:rsidRPr="00AC598B">
        <w:rPr>
          <w:rFonts w:ascii="Arial" w:hAnsi="Arial" w:cs="Arial"/>
          <w:szCs w:val="24"/>
        </w:rPr>
        <w:t>/1</w:t>
      </w:r>
      <w:r>
        <w:rPr>
          <w:rFonts w:ascii="Arial" w:hAnsi="Arial" w:cs="Arial"/>
          <w:szCs w:val="24"/>
        </w:rPr>
        <w:t>9</w:t>
      </w:r>
      <w:r w:rsidRPr="00AC598B">
        <w:rPr>
          <w:rFonts w:ascii="Arial" w:hAnsi="Arial" w:cs="Arial"/>
          <w:szCs w:val="24"/>
        </w:rPr>
        <w:t xml:space="preserve"> are:</w:t>
      </w:r>
    </w:p>
    <w:p w14:paraId="1C668CD0" w14:textId="1527D049" w:rsidR="005B7D1A" w:rsidRPr="00AC598B" w:rsidRDefault="005B7D1A" w:rsidP="005B7D1A">
      <w:pPr>
        <w:pStyle w:val="ListParagraph"/>
        <w:numPr>
          <w:ilvl w:val="0"/>
          <w:numId w:val="57"/>
        </w:numPr>
        <w:contextualSpacing/>
        <w:jc w:val="left"/>
        <w:rPr>
          <w:rFonts w:ascii="Arial" w:hAnsi="Arial" w:cs="Arial"/>
          <w:szCs w:val="24"/>
        </w:rPr>
      </w:pPr>
      <w:r w:rsidRPr="00AC598B">
        <w:rPr>
          <w:rFonts w:ascii="Arial" w:hAnsi="Arial" w:cs="Arial"/>
          <w:szCs w:val="24"/>
        </w:rPr>
        <w:t xml:space="preserve">UK: </w:t>
      </w:r>
      <w:r w:rsidR="00CF707E" w:rsidRPr="00F01C34">
        <w:rPr>
          <w:rFonts w:ascii="Arial" w:hAnsi="Arial" w:cs="Arial"/>
          <w:szCs w:val="24"/>
        </w:rPr>
        <w:t>19</w:t>
      </w:r>
      <w:r w:rsidRPr="00AC598B">
        <w:rPr>
          <w:rFonts w:ascii="Arial" w:hAnsi="Arial" w:cs="Arial"/>
          <w:szCs w:val="24"/>
        </w:rPr>
        <w:t>%</w:t>
      </w:r>
    </w:p>
    <w:p w14:paraId="2534C9A7" w14:textId="336E398B" w:rsidR="005B7D1A" w:rsidRPr="00CA6BAE" w:rsidRDefault="005B7D1A" w:rsidP="005B7D1A">
      <w:pPr>
        <w:pStyle w:val="ListParagraph"/>
        <w:numPr>
          <w:ilvl w:val="0"/>
          <w:numId w:val="57"/>
        </w:numPr>
        <w:contextualSpacing/>
        <w:jc w:val="left"/>
        <w:rPr>
          <w:rFonts w:ascii="Arial" w:hAnsi="Arial" w:cs="Arial"/>
          <w:szCs w:val="24"/>
        </w:rPr>
      </w:pPr>
      <w:r w:rsidRPr="00CA6BAE">
        <w:rPr>
          <w:rFonts w:ascii="Arial" w:hAnsi="Arial" w:cs="Arial"/>
          <w:szCs w:val="24"/>
        </w:rPr>
        <w:t xml:space="preserve">France: </w:t>
      </w:r>
      <w:r w:rsidR="00CF707E" w:rsidRPr="004215EF">
        <w:rPr>
          <w:rFonts w:ascii="Arial" w:hAnsi="Arial" w:cs="Arial"/>
          <w:szCs w:val="24"/>
        </w:rPr>
        <w:t>34.43</w:t>
      </w:r>
      <w:r w:rsidRPr="004215EF">
        <w:rPr>
          <w:rFonts w:ascii="Arial" w:hAnsi="Arial" w:cs="Arial"/>
          <w:szCs w:val="24"/>
        </w:rPr>
        <w:t>%</w:t>
      </w:r>
    </w:p>
    <w:p w14:paraId="7528C715" w14:textId="26A25CBE" w:rsidR="005B7D1A" w:rsidRPr="00AC598B" w:rsidRDefault="005B7D1A" w:rsidP="005B7D1A">
      <w:pPr>
        <w:pStyle w:val="ListParagraph"/>
        <w:numPr>
          <w:ilvl w:val="0"/>
          <w:numId w:val="57"/>
        </w:numPr>
        <w:contextualSpacing/>
        <w:jc w:val="left"/>
        <w:rPr>
          <w:rFonts w:ascii="Arial" w:hAnsi="Arial" w:cs="Arial"/>
          <w:szCs w:val="24"/>
        </w:rPr>
      </w:pPr>
      <w:r w:rsidRPr="00AC598B">
        <w:rPr>
          <w:rFonts w:ascii="Arial" w:hAnsi="Arial" w:cs="Arial"/>
          <w:szCs w:val="24"/>
        </w:rPr>
        <w:t xml:space="preserve">Poland: </w:t>
      </w:r>
      <w:r w:rsidR="00CF707E" w:rsidRPr="00F01C34">
        <w:rPr>
          <w:rFonts w:ascii="Arial" w:hAnsi="Arial" w:cs="Arial"/>
          <w:szCs w:val="24"/>
        </w:rPr>
        <w:t>19</w:t>
      </w:r>
      <w:r w:rsidRPr="00AC598B">
        <w:rPr>
          <w:rFonts w:ascii="Arial" w:hAnsi="Arial" w:cs="Arial"/>
          <w:szCs w:val="24"/>
        </w:rPr>
        <w:t>%</w:t>
      </w:r>
    </w:p>
    <w:p w14:paraId="386A7268" w14:textId="77777777" w:rsidR="005B7D1A" w:rsidRPr="00AC598B" w:rsidRDefault="005B7D1A" w:rsidP="005B7D1A">
      <w:pPr>
        <w:pStyle w:val="ListParagraph"/>
        <w:ind w:left="360"/>
        <w:contextualSpacing/>
        <w:jc w:val="left"/>
        <w:rPr>
          <w:rFonts w:ascii="Arial" w:hAnsi="Arial" w:cs="Arial"/>
          <w:szCs w:val="24"/>
        </w:rPr>
      </w:pPr>
    </w:p>
    <w:p w14:paraId="66B3CA55" w14:textId="17655195" w:rsidR="005B7D1A" w:rsidRDefault="005B7D1A" w:rsidP="005B7D1A">
      <w:pPr>
        <w:jc w:val="left"/>
        <w:rPr>
          <w:rFonts w:ascii="Arial" w:hAnsi="Arial" w:cs="Arial"/>
          <w:szCs w:val="24"/>
        </w:rPr>
      </w:pPr>
      <w:r w:rsidRPr="00AC598B">
        <w:rPr>
          <w:rFonts w:ascii="Arial" w:hAnsi="Arial" w:cs="Arial"/>
          <w:szCs w:val="24"/>
        </w:rPr>
        <w:t xml:space="preserve">The Group’s </w:t>
      </w:r>
      <w:r w:rsidR="004F5E3C">
        <w:rPr>
          <w:rFonts w:ascii="Arial" w:hAnsi="Arial" w:cs="Arial"/>
          <w:szCs w:val="24"/>
        </w:rPr>
        <w:t xml:space="preserve">adjusted </w:t>
      </w:r>
      <w:r w:rsidRPr="00AC598B">
        <w:rPr>
          <w:rFonts w:ascii="Arial" w:hAnsi="Arial" w:cs="Arial"/>
          <w:szCs w:val="24"/>
        </w:rPr>
        <w:t xml:space="preserve">effective tax rate is sensitive to the blend of tax rates and profits in the Group’s various jurisdictions. The </w:t>
      </w:r>
      <w:r w:rsidR="004F5E3C">
        <w:rPr>
          <w:rFonts w:ascii="Arial" w:hAnsi="Arial" w:cs="Arial"/>
          <w:szCs w:val="24"/>
        </w:rPr>
        <w:t xml:space="preserve">adjusted </w:t>
      </w:r>
      <w:r w:rsidRPr="00AC598B">
        <w:rPr>
          <w:rFonts w:ascii="Arial" w:hAnsi="Arial" w:cs="Arial"/>
          <w:szCs w:val="24"/>
        </w:rPr>
        <w:t xml:space="preserve">effective </w:t>
      </w:r>
      <w:r w:rsidR="004F5E3C">
        <w:rPr>
          <w:rFonts w:ascii="Arial" w:hAnsi="Arial" w:cs="Arial"/>
          <w:szCs w:val="24"/>
        </w:rPr>
        <w:t xml:space="preserve">tax </w:t>
      </w:r>
      <w:r w:rsidRPr="00AC598B">
        <w:rPr>
          <w:rFonts w:ascii="Arial" w:hAnsi="Arial" w:cs="Arial"/>
          <w:szCs w:val="24"/>
        </w:rPr>
        <w:t>rate is higher than the UK statutory rate because of the amount of Group profit that is earned in higher tax jurisdictions.</w:t>
      </w:r>
      <w:bookmarkEnd w:id="67"/>
    </w:p>
    <w:bookmarkEnd w:id="69"/>
    <w:p w14:paraId="1A6614D2" w14:textId="77777777" w:rsidR="005B7D1A" w:rsidRDefault="005B7D1A" w:rsidP="005B7D1A">
      <w:pPr>
        <w:jc w:val="left"/>
        <w:rPr>
          <w:rFonts w:ascii="Arial" w:hAnsi="Arial" w:cs="Arial"/>
          <w:szCs w:val="24"/>
        </w:rPr>
      </w:pPr>
    </w:p>
    <w:bookmarkEnd w:id="68"/>
    <w:p w14:paraId="4E4DBEF1" w14:textId="17493C24" w:rsidR="00421A9F" w:rsidRDefault="00773A54" w:rsidP="001064D3">
      <w:pPr>
        <w:spacing w:after="200"/>
        <w:contextualSpacing/>
        <w:jc w:val="left"/>
        <w:rPr>
          <w:rFonts w:ascii="Arial" w:hAnsi="Arial" w:cs="Arial"/>
          <w:szCs w:val="24"/>
        </w:rPr>
      </w:pPr>
      <w:r w:rsidRPr="00AC598B">
        <w:rPr>
          <w:rFonts w:ascii="Arial" w:hAnsi="Arial" w:cs="Arial"/>
          <w:b/>
          <w:szCs w:val="24"/>
        </w:rPr>
        <w:t>Underlying basic earnings</w:t>
      </w:r>
      <w:r w:rsidRPr="00AC598B">
        <w:rPr>
          <w:rFonts w:ascii="Arial" w:hAnsi="Arial" w:cs="Arial"/>
          <w:szCs w:val="24"/>
        </w:rPr>
        <w:t xml:space="preserve"> </w:t>
      </w:r>
      <w:r w:rsidRPr="00AC598B">
        <w:rPr>
          <w:rFonts w:ascii="Arial" w:hAnsi="Arial" w:cs="Arial"/>
          <w:b/>
          <w:szCs w:val="24"/>
        </w:rPr>
        <w:t xml:space="preserve">per share </w:t>
      </w:r>
      <w:r w:rsidR="005B7D1A">
        <w:rPr>
          <w:rFonts w:ascii="Arial" w:hAnsi="Arial" w:cs="Arial"/>
          <w:szCs w:val="24"/>
        </w:rPr>
        <w:t xml:space="preserve">decreased </w:t>
      </w:r>
      <w:r w:rsidR="00664BEF" w:rsidRPr="00AC598B">
        <w:rPr>
          <w:rFonts w:ascii="Arial" w:hAnsi="Arial" w:cs="Arial"/>
          <w:szCs w:val="24"/>
        </w:rPr>
        <w:t xml:space="preserve">by </w:t>
      </w:r>
      <w:r w:rsidR="007D2F1A" w:rsidRPr="004215EF">
        <w:rPr>
          <w:rFonts w:ascii="Arial" w:hAnsi="Arial" w:cs="Arial"/>
          <w:szCs w:val="24"/>
        </w:rPr>
        <w:t>11.7</w:t>
      </w:r>
      <w:r w:rsidR="00664BEF" w:rsidRPr="007D2F1A">
        <w:rPr>
          <w:rFonts w:ascii="Arial" w:hAnsi="Arial" w:cs="Arial"/>
          <w:szCs w:val="24"/>
        </w:rPr>
        <w:t>% to</w:t>
      </w:r>
      <w:r w:rsidRPr="007D2F1A">
        <w:rPr>
          <w:rFonts w:ascii="Arial" w:hAnsi="Arial" w:cs="Arial"/>
          <w:szCs w:val="24"/>
        </w:rPr>
        <w:t xml:space="preserve"> </w:t>
      </w:r>
      <w:r w:rsidR="007D2F1A" w:rsidRPr="004215EF">
        <w:rPr>
          <w:rFonts w:ascii="Arial" w:hAnsi="Arial" w:cs="Arial"/>
          <w:szCs w:val="24"/>
        </w:rPr>
        <w:t>12.8p</w:t>
      </w:r>
      <w:r w:rsidR="00961B25">
        <w:rPr>
          <w:rFonts w:ascii="Arial" w:hAnsi="Arial" w:cs="Arial"/>
          <w:szCs w:val="24"/>
        </w:rPr>
        <w:t xml:space="preserve"> </w:t>
      </w:r>
      <w:bookmarkStart w:id="70" w:name="_Hlk524974746"/>
      <w:r w:rsidR="00961B25">
        <w:rPr>
          <w:rFonts w:ascii="Arial" w:hAnsi="Arial" w:cs="Arial"/>
          <w:szCs w:val="24"/>
        </w:rPr>
        <w:t>(2017/18</w:t>
      </w:r>
      <w:r w:rsidR="002D0435">
        <w:rPr>
          <w:rFonts w:ascii="Arial" w:hAnsi="Arial" w:cs="Arial"/>
          <w:szCs w:val="24"/>
        </w:rPr>
        <w:t>:</w:t>
      </w:r>
      <w:r w:rsidR="00961B25">
        <w:rPr>
          <w:rFonts w:ascii="Arial" w:hAnsi="Arial" w:cs="Arial"/>
          <w:szCs w:val="24"/>
        </w:rPr>
        <w:t xml:space="preserve"> 14.5p)</w:t>
      </w:r>
      <w:bookmarkEnd w:id="70"/>
      <w:r w:rsidRPr="00AC598B">
        <w:rPr>
          <w:rFonts w:ascii="Arial" w:hAnsi="Arial" w:cs="Arial"/>
          <w:szCs w:val="24"/>
        </w:rPr>
        <w:t xml:space="preserve">, which excludes the impact of transformation </w:t>
      </w:r>
      <w:r w:rsidR="00AA1225">
        <w:rPr>
          <w:rFonts w:ascii="Arial" w:hAnsi="Arial" w:cs="Arial"/>
          <w:szCs w:val="24"/>
        </w:rPr>
        <w:t xml:space="preserve">P&amp;L </w:t>
      </w:r>
      <w:r w:rsidRPr="00AC598B">
        <w:rPr>
          <w:rFonts w:ascii="Arial" w:hAnsi="Arial" w:cs="Arial"/>
          <w:szCs w:val="24"/>
        </w:rPr>
        <w:t>costs</w:t>
      </w:r>
      <w:r w:rsidR="002841D8">
        <w:rPr>
          <w:rFonts w:ascii="Arial" w:hAnsi="Arial" w:cs="Arial"/>
          <w:szCs w:val="24"/>
        </w:rPr>
        <w:t xml:space="preserve"> and </w:t>
      </w:r>
      <w:r w:rsidRPr="00AC598B">
        <w:rPr>
          <w:rFonts w:ascii="Arial" w:hAnsi="Arial" w:cs="Arial"/>
          <w:szCs w:val="24"/>
        </w:rPr>
        <w:t>exceptional items and the effect of prior year tax items.</w:t>
      </w:r>
      <w:r w:rsidRPr="00AC598B">
        <w:rPr>
          <w:rFonts w:ascii="Arial" w:hAnsi="Arial" w:cs="Arial"/>
          <w:b/>
          <w:szCs w:val="24"/>
        </w:rPr>
        <w:t xml:space="preserve"> </w:t>
      </w:r>
      <w:r w:rsidR="003C58D7" w:rsidRPr="00AC598B">
        <w:rPr>
          <w:rFonts w:ascii="Arial" w:hAnsi="Arial" w:cs="Arial"/>
          <w:b/>
          <w:szCs w:val="24"/>
        </w:rPr>
        <w:t>A</w:t>
      </w:r>
      <w:r w:rsidRPr="00AC598B">
        <w:rPr>
          <w:rFonts w:ascii="Arial" w:hAnsi="Arial" w:cs="Arial"/>
          <w:b/>
          <w:szCs w:val="24"/>
        </w:rPr>
        <w:t>djusted basic earnings per share</w:t>
      </w:r>
      <w:r w:rsidRPr="00AC598B">
        <w:rPr>
          <w:rFonts w:ascii="Arial" w:hAnsi="Arial" w:cs="Arial"/>
          <w:szCs w:val="24"/>
        </w:rPr>
        <w:t xml:space="preserve"> </w:t>
      </w:r>
      <w:r w:rsidR="00224D71" w:rsidRPr="00224D71">
        <w:rPr>
          <w:rFonts w:ascii="Arial" w:hAnsi="Arial" w:cs="Arial"/>
          <w:szCs w:val="24"/>
        </w:rPr>
        <w:t>dec</w:t>
      </w:r>
      <w:r w:rsidR="00224D71">
        <w:rPr>
          <w:rFonts w:ascii="Arial" w:hAnsi="Arial" w:cs="Arial"/>
          <w:szCs w:val="24"/>
        </w:rPr>
        <w:t>reased</w:t>
      </w:r>
      <w:r w:rsidR="00224D71" w:rsidRPr="00AC598B">
        <w:rPr>
          <w:rFonts w:ascii="Arial" w:hAnsi="Arial" w:cs="Arial"/>
          <w:szCs w:val="24"/>
        </w:rPr>
        <w:t xml:space="preserve"> </w:t>
      </w:r>
      <w:r w:rsidRPr="00AC598B">
        <w:rPr>
          <w:rFonts w:ascii="Arial" w:hAnsi="Arial" w:cs="Arial"/>
          <w:szCs w:val="24"/>
        </w:rPr>
        <w:t xml:space="preserve">by </w:t>
      </w:r>
      <w:r w:rsidR="007D2F1A" w:rsidRPr="004215EF">
        <w:rPr>
          <w:rFonts w:ascii="Arial" w:hAnsi="Arial" w:cs="Arial"/>
          <w:szCs w:val="24"/>
        </w:rPr>
        <w:t>15.4</w:t>
      </w:r>
      <w:r w:rsidRPr="00AC598B">
        <w:rPr>
          <w:rFonts w:ascii="Arial" w:hAnsi="Arial" w:cs="Arial"/>
          <w:szCs w:val="24"/>
        </w:rPr>
        <w:t xml:space="preserve">% to </w:t>
      </w:r>
      <w:r w:rsidR="007D2F1A" w:rsidRPr="004215EF">
        <w:rPr>
          <w:rFonts w:ascii="Arial" w:hAnsi="Arial" w:cs="Arial"/>
          <w:szCs w:val="24"/>
        </w:rPr>
        <w:t>11.0p</w:t>
      </w:r>
      <w:r w:rsidR="00074C40" w:rsidRPr="00AC598B">
        <w:rPr>
          <w:rFonts w:ascii="Arial" w:hAnsi="Arial" w:cs="Arial"/>
          <w:szCs w:val="24"/>
        </w:rPr>
        <w:t xml:space="preserve"> </w:t>
      </w:r>
      <w:r w:rsidRPr="00AC598B">
        <w:rPr>
          <w:rFonts w:ascii="Arial" w:hAnsi="Arial" w:cs="Arial"/>
          <w:szCs w:val="24"/>
        </w:rPr>
        <w:t>(201</w:t>
      </w:r>
      <w:r w:rsidR="00074C40">
        <w:rPr>
          <w:rFonts w:ascii="Arial" w:hAnsi="Arial" w:cs="Arial"/>
          <w:szCs w:val="24"/>
        </w:rPr>
        <w:t>7</w:t>
      </w:r>
      <w:r w:rsidRPr="00AC598B">
        <w:rPr>
          <w:rFonts w:ascii="Arial" w:hAnsi="Arial" w:cs="Arial"/>
          <w:szCs w:val="24"/>
        </w:rPr>
        <w:t>/1</w:t>
      </w:r>
      <w:r w:rsidR="00074C40">
        <w:rPr>
          <w:rFonts w:ascii="Arial" w:hAnsi="Arial" w:cs="Arial"/>
          <w:szCs w:val="24"/>
        </w:rPr>
        <w:t>8</w:t>
      </w:r>
      <w:r w:rsidRPr="00AC598B">
        <w:rPr>
          <w:rFonts w:ascii="Arial" w:hAnsi="Arial" w:cs="Arial"/>
          <w:szCs w:val="24"/>
        </w:rPr>
        <w:t>: 1</w:t>
      </w:r>
      <w:r w:rsidR="001C7175" w:rsidRPr="00AC598B">
        <w:rPr>
          <w:rFonts w:ascii="Arial" w:hAnsi="Arial" w:cs="Arial"/>
          <w:szCs w:val="24"/>
        </w:rPr>
        <w:t>3</w:t>
      </w:r>
      <w:r w:rsidRPr="00AC598B">
        <w:rPr>
          <w:rFonts w:ascii="Arial" w:hAnsi="Arial" w:cs="Arial"/>
          <w:szCs w:val="24"/>
        </w:rPr>
        <w:t>.</w:t>
      </w:r>
      <w:r w:rsidR="00074C40">
        <w:rPr>
          <w:rFonts w:ascii="Arial" w:hAnsi="Arial" w:cs="Arial"/>
          <w:szCs w:val="24"/>
        </w:rPr>
        <w:t>0</w:t>
      </w:r>
      <w:r w:rsidRPr="00AC598B">
        <w:rPr>
          <w:rFonts w:ascii="Arial" w:hAnsi="Arial" w:cs="Arial"/>
          <w:szCs w:val="24"/>
        </w:rPr>
        <w:t>p)</w:t>
      </w:r>
      <w:r w:rsidR="003C58D7" w:rsidRPr="00AC598B">
        <w:rPr>
          <w:rFonts w:ascii="Arial" w:hAnsi="Arial" w:cs="Arial"/>
          <w:szCs w:val="24"/>
        </w:rPr>
        <w:t xml:space="preserve">, which excludes </w:t>
      </w:r>
      <w:r w:rsidRPr="00AC598B">
        <w:rPr>
          <w:rFonts w:ascii="Arial" w:hAnsi="Arial" w:cs="Arial"/>
          <w:szCs w:val="24"/>
        </w:rPr>
        <w:t>the impact of exceptional items</w:t>
      </w:r>
      <w:r w:rsidR="003C58D7" w:rsidRPr="00AC598B">
        <w:rPr>
          <w:rFonts w:ascii="Arial" w:hAnsi="Arial" w:cs="Arial"/>
          <w:szCs w:val="24"/>
        </w:rPr>
        <w:t xml:space="preserve"> </w:t>
      </w:r>
      <w:r w:rsidRPr="00AC598B">
        <w:rPr>
          <w:rFonts w:ascii="Arial" w:hAnsi="Arial" w:cs="Arial"/>
          <w:szCs w:val="24"/>
        </w:rPr>
        <w:t>and prior year tax items</w:t>
      </w:r>
      <w:r w:rsidR="008372B5" w:rsidRPr="00AC598B">
        <w:rPr>
          <w:rFonts w:ascii="Arial" w:hAnsi="Arial" w:cs="Arial"/>
          <w:szCs w:val="24"/>
        </w:rPr>
        <w:t>.</w:t>
      </w:r>
      <w:r w:rsidRPr="00AC598B">
        <w:rPr>
          <w:rFonts w:ascii="Arial" w:hAnsi="Arial" w:cs="Arial"/>
          <w:szCs w:val="24"/>
        </w:rPr>
        <w:t xml:space="preserve"> </w:t>
      </w:r>
      <w:r w:rsidR="008372B5" w:rsidRPr="00AC598B">
        <w:rPr>
          <w:rFonts w:ascii="Arial" w:hAnsi="Arial" w:cs="Arial"/>
          <w:b/>
          <w:szCs w:val="24"/>
        </w:rPr>
        <w:t>B</w:t>
      </w:r>
      <w:r w:rsidRPr="00AC598B">
        <w:rPr>
          <w:rFonts w:ascii="Arial" w:hAnsi="Arial" w:cs="Arial"/>
          <w:b/>
          <w:szCs w:val="24"/>
        </w:rPr>
        <w:t>asic earnings per share</w:t>
      </w:r>
      <w:r w:rsidRPr="00AC598B">
        <w:rPr>
          <w:rFonts w:ascii="Arial" w:hAnsi="Arial" w:cs="Arial"/>
          <w:szCs w:val="24"/>
        </w:rPr>
        <w:t xml:space="preserve"> </w:t>
      </w:r>
      <w:r w:rsidR="00224D71">
        <w:rPr>
          <w:rFonts w:ascii="Arial" w:hAnsi="Arial" w:cs="Arial"/>
          <w:szCs w:val="24"/>
        </w:rPr>
        <w:t>decreased</w:t>
      </w:r>
      <w:r w:rsidR="00224D71" w:rsidRPr="00AC598B">
        <w:rPr>
          <w:rFonts w:ascii="Arial" w:hAnsi="Arial" w:cs="Arial"/>
          <w:szCs w:val="24"/>
        </w:rPr>
        <w:t xml:space="preserve"> </w:t>
      </w:r>
      <w:r w:rsidRPr="00AC598B">
        <w:rPr>
          <w:rFonts w:ascii="Arial" w:hAnsi="Arial" w:cs="Arial"/>
          <w:szCs w:val="24"/>
        </w:rPr>
        <w:t xml:space="preserve">by </w:t>
      </w:r>
      <w:r w:rsidR="007D2F1A" w:rsidRPr="004215EF">
        <w:rPr>
          <w:rFonts w:ascii="Arial" w:hAnsi="Arial" w:cs="Arial"/>
          <w:szCs w:val="24"/>
        </w:rPr>
        <w:t>27.1</w:t>
      </w:r>
      <w:r w:rsidRPr="00AC598B">
        <w:rPr>
          <w:rFonts w:ascii="Arial" w:hAnsi="Arial" w:cs="Arial"/>
          <w:szCs w:val="24"/>
        </w:rPr>
        <w:t xml:space="preserve">% to </w:t>
      </w:r>
      <w:r w:rsidR="007D2F1A" w:rsidRPr="004215EF">
        <w:rPr>
          <w:rFonts w:ascii="Arial" w:hAnsi="Arial" w:cs="Arial"/>
          <w:szCs w:val="24"/>
        </w:rPr>
        <w:t>9.7</w:t>
      </w:r>
      <w:r w:rsidRPr="00AC598B">
        <w:rPr>
          <w:rFonts w:ascii="Arial" w:hAnsi="Arial" w:cs="Arial"/>
          <w:szCs w:val="24"/>
        </w:rPr>
        <w:t>p (</w:t>
      </w:r>
      <w:r w:rsidR="00935E7A">
        <w:rPr>
          <w:rFonts w:ascii="Arial" w:hAnsi="Arial" w:cs="Arial"/>
          <w:szCs w:val="24"/>
        </w:rPr>
        <w:t>2017/18</w:t>
      </w:r>
      <w:r w:rsidRPr="00AC598B">
        <w:rPr>
          <w:rFonts w:ascii="Arial" w:hAnsi="Arial" w:cs="Arial"/>
          <w:szCs w:val="24"/>
        </w:rPr>
        <w:t xml:space="preserve">: </w:t>
      </w:r>
      <w:r w:rsidR="00074C40">
        <w:rPr>
          <w:rFonts w:ascii="Arial" w:hAnsi="Arial" w:cs="Arial"/>
          <w:szCs w:val="24"/>
        </w:rPr>
        <w:t>13.3</w:t>
      </w:r>
      <w:r w:rsidR="00253BE6">
        <w:rPr>
          <w:rFonts w:ascii="Arial" w:hAnsi="Arial" w:cs="Arial"/>
          <w:szCs w:val="24"/>
        </w:rPr>
        <w:t>p</w:t>
      </w:r>
      <w:r w:rsidRPr="00AC598B">
        <w:rPr>
          <w:rFonts w:ascii="Arial" w:hAnsi="Arial" w:cs="Arial"/>
          <w:szCs w:val="24"/>
        </w:rPr>
        <w:t>) as set out below:</w:t>
      </w:r>
    </w:p>
    <w:tbl>
      <w:tblPr>
        <w:tblW w:w="5000" w:type="pct"/>
        <w:tblLook w:val="01E0" w:firstRow="1" w:lastRow="1" w:firstColumn="1" w:lastColumn="1" w:noHBand="0" w:noVBand="0"/>
      </w:tblPr>
      <w:tblGrid>
        <w:gridCol w:w="4498"/>
        <w:gridCol w:w="1368"/>
        <w:gridCol w:w="1383"/>
        <w:gridCol w:w="1237"/>
        <w:gridCol w:w="1381"/>
      </w:tblGrid>
      <w:tr w:rsidR="00773A54" w:rsidRPr="007769BE" w14:paraId="47F32905" w14:textId="77777777" w:rsidTr="009A2010">
        <w:tc>
          <w:tcPr>
            <w:tcW w:w="2279" w:type="pct"/>
            <w:tcBorders>
              <w:top w:val="nil"/>
              <w:left w:val="nil"/>
              <w:bottom w:val="single" w:sz="4" w:space="0" w:color="auto"/>
              <w:right w:val="nil"/>
            </w:tcBorders>
          </w:tcPr>
          <w:p w14:paraId="12F02F0D" w14:textId="77777777" w:rsidR="00773A54" w:rsidRPr="00AC598B" w:rsidRDefault="00773A54" w:rsidP="00907EA8">
            <w:pPr>
              <w:rPr>
                <w:rFonts w:ascii="Arial" w:hAnsi="Arial" w:cs="Arial"/>
                <w:szCs w:val="24"/>
              </w:rPr>
            </w:pPr>
          </w:p>
        </w:tc>
        <w:tc>
          <w:tcPr>
            <w:tcW w:w="693" w:type="pct"/>
            <w:tcBorders>
              <w:top w:val="nil"/>
              <w:left w:val="nil"/>
              <w:bottom w:val="single" w:sz="4" w:space="0" w:color="auto"/>
              <w:right w:val="nil"/>
            </w:tcBorders>
          </w:tcPr>
          <w:p w14:paraId="2349C078" w14:textId="77777777" w:rsidR="00773A54" w:rsidRPr="00AC598B" w:rsidRDefault="00773A54" w:rsidP="00907EA8">
            <w:pPr>
              <w:jc w:val="right"/>
              <w:rPr>
                <w:rFonts w:ascii="Arial" w:hAnsi="Arial" w:cs="Arial"/>
                <w:b/>
                <w:szCs w:val="24"/>
              </w:rPr>
            </w:pPr>
          </w:p>
          <w:p w14:paraId="5F697EA7" w14:textId="77777777" w:rsidR="00773A54" w:rsidRPr="00AC598B" w:rsidRDefault="00773A54" w:rsidP="00907EA8">
            <w:pPr>
              <w:jc w:val="right"/>
              <w:rPr>
                <w:rFonts w:ascii="Arial" w:hAnsi="Arial" w:cs="Arial"/>
                <w:b/>
                <w:szCs w:val="24"/>
              </w:rPr>
            </w:pPr>
            <w:r w:rsidRPr="00AC598B">
              <w:rPr>
                <w:rFonts w:ascii="Arial" w:hAnsi="Arial" w:cs="Arial"/>
                <w:b/>
                <w:szCs w:val="24"/>
              </w:rPr>
              <w:t>Earnings</w:t>
            </w:r>
          </w:p>
          <w:p w14:paraId="6D2CBC4F" w14:textId="77777777" w:rsidR="00773A54" w:rsidRPr="00AC598B" w:rsidRDefault="00773A54" w:rsidP="00907EA8">
            <w:pPr>
              <w:jc w:val="right"/>
              <w:rPr>
                <w:rFonts w:ascii="Arial" w:hAnsi="Arial" w:cs="Arial"/>
                <w:b/>
                <w:szCs w:val="24"/>
              </w:rPr>
            </w:pPr>
            <w:r w:rsidRPr="00AC598B">
              <w:rPr>
                <w:rFonts w:ascii="Arial" w:hAnsi="Arial" w:cs="Arial"/>
                <w:b/>
                <w:szCs w:val="24"/>
              </w:rPr>
              <w:t>£m</w:t>
            </w:r>
          </w:p>
        </w:tc>
        <w:tc>
          <w:tcPr>
            <w:tcW w:w="701" w:type="pct"/>
            <w:tcBorders>
              <w:top w:val="nil"/>
              <w:left w:val="nil"/>
              <w:bottom w:val="single" w:sz="4" w:space="0" w:color="auto"/>
              <w:right w:val="nil"/>
            </w:tcBorders>
            <w:hideMark/>
          </w:tcPr>
          <w:p w14:paraId="68411543" w14:textId="190748CB" w:rsidR="00773A54" w:rsidRPr="00AC598B" w:rsidRDefault="00773A54" w:rsidP="00907EA8">
            <w:pPr>
              <w:jc w:val="right"/>
              <w:rPr>
                <w:rFonts w:ascii="Arial" w:hAnsi="Arial" w:cs="Arial"/>
                <w:b/>
                <w:szCs w:val="24"/>
              </w:rPr>
            </w:pPr>
            <w:r w:rsidRPr="00AC598B">
              <w:rPr>
                <w:rFonts w:ascii="Arial" w:hAnsi="Arial" w:cs="Arial"/>
                <w:b/>
                <w:szCs w:val="24"/>
              </w:rPr>
              <w:t>201</w:t>
            </w:r>
            <w:r w:rsidR="009A2010">
              <w:rPr>
                <w:rFonts w:ascii="Arial" w:hAnsi="Arial" w:cs="Arial"/>
                <w:b/>
                <w:szCs w:val="24"/>
              </w:rPr>
              <w:t>8</w:t>
            </w:r>
            <w:r w:rsidRPr="00AC598B">
              <w:rPr>
                <w:rFonts w:ascii="Arial" w:hAnsi="Arial" w:cs="Arial"/>
                <w:b/>
                <w:szCs w:val="24"/>
              </w:rPr>
              <w:t>/1</w:t>
            </w:r>
            <w:r w:rsidR="009A2010">
              <w:rPr>
                <w:rFonts w:ascii="Arial" w:hAnsi="Arial" w:cs="Arial"/>
                <w:b/>
                <w:szCs w:val="24"/>
              </w:rPr>
              <w:t>9</w:t>
            </w:r>
          </w:p>
          <w:p w14:paraId="23D9A134" w14:textId="77777777" w:rsidR="00773A54" w:rsidRPr="00AC598B" w:rsidRDefault="00773A54" w:rsidP="00907EA8">
            <w:pPr>
              <w:jc w:val="right"/>
              <w:rPr>
                <w:rFonts w:ascii="Arial" w:hAnsi="Arial" w:cs="Arial"/>
                <w:b/>
                <w:szCs w:val="24"/>
              </w:rPr>
            </w:pPr>
            <w:r w:rsidRPr="00AC598B">
              <w:rPr>
                <w:rFonts w:ascii="Arial" w:hAnsi="Arial" w:cs="Arial"/>
                <w:b/>
                <w:szCs w:val="24"/>
              </w:rPr>
              <w:t>EPS</w:t>
            </w:r>
          </w:p>
          <w:p w14:paraId="6F0A1703" w14:textId="1C2160DB" w:rsidR="00773A54" w:rsidRPr="00AC598B" w:rsidRDefault="004F5E3C" w:rsidP="00907EA8">
            <w:pPr>
              <w:jc w:val="right"/>
              <w:rPr>
                <w:rFonts w:ascii="Arial" w:hAnsi="Arial" w:cs="Arial"/>
                <w:b/>
                <w:szCs w:val="24"/>
              </w:rPr>
            </w:pPr>
            <w:r>
              <w:rPr>
                <w:rFonts w:ascii="Arial" w:hAnsi="Arial" w:cs="Arial"/>
                <w:b/>
                <w:szCs w:val="24"/>
              </w:rPr>
              <w:t>P</w:t>
            </w:r>
            <w:r w:rsidR="00773A54" w:rsidRPr="00AC598B">
              <w:rPr>
                <w:rFonts w:ascii="Arial" w:hAnsi="Arial" w:cs="Arial"/>
                <w:b/>
                <w:szCs w:val="24"/>
              </w:rPr>
              <w:t>ence</w:t>
            </w:r>
          </w:p>
        </w:tc>
        <w:tc>
          <w:tcPr>
            <w:tcW w:w="627" w:type="pct"/>
            <w:tcBorders>
              <w:top w:val="nil"/>
              <w:left w:val="nil"/>
              <w:bottom w:val="single" w:sz="4" w:space="0" w:color="auto"/>
              <w:right w:val="nil"/>
            </w:tcBorders>
          </w:tcPr>
          <w:p w14:paraId="7121C719" w14:textId="77777777" w:rsidR="00773A54" w:rsidRPr="00AC598B" w:rsidRDefault="00773A54" w:rsidP="00907EA8">
            <w:pPr>
              <w:jc w:val="right"/>
              <w:rPr>
                <w:rFonts w:ascii="Arial" w:hAnsi="Arial" w:cs="Arial"/>
                <w:szCs w:val="24"/>
              </w:rPr>
            </w:pPr>
          </w:p>
          <w:p w14:paraId="37DFF169" w14:textId="77777777" w:rsidR="00773A54" w:rsidRPr="00AC598B" w:rsidRDefault="00773A54" w:rsidP="00907EA8">
            <w:pPr>
              <w:jc w:val="right"/>
              <w:rPr>
                <w:rFonts w:ascii="Arial" w:hAnsi="Arial" w:cs="Arial"/>
                <w:szCs w:val="24"/>
              </w:rPr>
            </w:pPr>
            <w:r w:rsidRPr="00AC598B">
              <w:rPr>
                <w:rFonts w:ascii="Arial" w:hAnsi="Arial" w:cs="Arial"/>
                <w:szCs w:val="24"/>
              </w:rPr>
              <w:t>Earnings</w:t>
            </w:r>
          </w:p>
          <w:p w14:paraId="253D0F34" w14:textId="77777777" w:rsidR="00773A54" w:rsidRPr="00AC598B" w:rsidRDefault="00773A54" w:rsidP="00907EA8">
            <w:pPr>
              <w:jc w:val="right"/>
              <w:rPr>
                <w:rFonts w:ascii="Arial" w:hAnsi="Arial" w:cs="Arial"/>
                <w:szCs w:val="24"/>
              </w:rPr>
            </w:pPr>
            <w:r w:rsidRPr="00AC598B">
              <w:rPr>
                <w:rFonts w:ascii="Arial" w:hAnsi="Arial" w:cs="Arial"/>
                <w:szCs w:val="24"/>
              </w:rPr>
              <w:t>£m</w:t>
            </w:r>
          </w:p>
        </w:tc>
        <w:tc>
          <w:tcPr>
            <w:tcW w:w="700" w:type="pct"/>
            <w:tcBorders>
              <w:top w:val="nil"/>
              <w:left w:val="nil"/>
              <w:bottom w:val="single" w:sz="4" w:space="0" w:color="auto"/>
              <w:right w:val="nil"/>
            </w:tcBorders>
            <w:hideMark/>
          </w:tcPr>
          <w:p w14:paraId="327D115D" w14:textId="19934EC5" w:rsidR="00773A54" w:rsidRPr="00AC598B" w:rsidRDefault="00773A54" w:rsidP="00907EA8">
            <w:pPr>
              <w:jc w:val="right"/>
              <w:rPr>
                <w:rFonts w:ascii="Arial" w:hAnsi="Arial" w:cs="Arial"/>
                <w:szCs w:val="24"/>
              </w:rPr>
            </w:pPr>
            <w:r w:rsidRPr="00AC598B">
              <w:rPr>
                <w:rFonts w:ascii="Arial" w:hAnsi="Arial" w:cs="Arial"/>
                <w:szCs w:val="24"/>
              </w:rPr>
              <w:t>201</w:t>
            </w:r>
            <w:r w:rsidR="009A2010">
              <w:rPr>
                <w:rFonts w:ascii="Arial" w:hAnsi="Arial" w:cs="Arial"/>
                <w:szCs w:val="24"/>
              </w:rPr>
              <w:t>7</w:t>
            </w:r>
            <w:r w:rsidRPr="00AC598B">
              <w:rPr>
                <w:rFonts w:ascii="Arial" w:hAnsi="Arial" w:cs="Arial"/>
                <w:szCs w:val="24"/>
              </w:rPr>
              <w:t>/1</w:t>
            </w:r>
            <w:r w:rsidR="009A2010">
              <w:rPr>
                <w:rFonts w:ascii="Arial" w:hAnsi="Arial" w:cs="Arial"/>
                <w:szCs w:val="24"/>
              </w:rPr>
              <w:t>8</w:t>
            </w:r>
          </w:p>
          <w:p w14:paraId="030FDD9A" w14:textId="77777777" w:rsidR="00773A54" w:rsidRPr="00AC598B" w:rsidRDefault="00773A54" w:rsidP="00907EA8">
            <w:pPr>
              <w:jc w:val="right"/>
              <w:rPr>
                <w:rFonts w:ascii="Arial" w:hAnsi="Arial" w:cs="Arial"/>
                <w:szCs w:val="24"/>
              </w:rPr>
            </w:pPr>
            <w:r w:rsidRPr="00AC598B">
              <w:rPr>
                <w:rFonts w:ascii="Arial" w:hAnsi="Arial" w:cs="Arial"/>
                <w:szCs w:val="24"/>
              </w:rPr>
              <w:t>EPS</w:t>
            </w:r>
          </w:p>
          <w:p w14:paraId="12B514FF" w14:textId="43FA1B37" w:rsidR="00773A54" w:rsidRPr="00AC598B" w:rsidRDefault="004D0E9F" w:rsidP="00907EA8">
            <w:pPr>
              <w:jc w:val="right"/>
              <w:rPr>
                <w:rFonts w:ascii="Arial" w:hAnsi="Arial" w:cs="Arial"/>
                <w:szCs w:val="24"/>
              </w:rPr>
            </w:pPr>
            <w:r w:rsidRPr="00AC598B">
              <w:rPr>
                <w:rFonts w:ascii="Arial" w:hAnsi="Arial" w:cs="Arial"/>
                <w:szCs w:val="24"/>
              </w:rPr>
              <w:t>P</w:t>
            </w:r>
            <w:r w:rsidR="00773A54" w:rsidRPr="00AC598B">
              <w:rPr>
                <w:rFonts w:ascii="Arial" w:hAnsi="Arial" w:cs="Arial"/>
                <w:szCs w:val="24"/>
              </w:rPr>
              <w:t>ence</w:t>
            </w:r>
          </w:p>
        </w:tc>
      </w:tr>
      <w:tr w:rsidR="004D4EB3" w:rsidRPr="007769BE" w14:paraId="7A400AAA" w14:textId="77777777" w:rsidTr="004215EF">
        <w:tc>
          <w:tcPr>
            <w:tcW w:w="2279" w:type="pct"/>
            <w:tcBorders>
              <w:top w:val="single" w:sz="4" w:space="0" w:color="auto"/>
              <w:left w:val="nil"/>
              <w:right w:val="nil"/>
            </w:tcBorders>
          </w:tcPr>
          <w:p w14:paraId="56798001" w14:textId="77777777" w:rsidR="004D4EB3" w:rsidRPr="00AC598B" w:rsidRDefault="004D4EB3" w:rsidP="004D4EB3">
            <w:pPr>
              <w:rPr>
                <w:rFonts w:ascii="Arial" w:hAnsi="Arial" w:cs="Arial"/>
                <w:b/>
                <w:szCs w:val="24"/>
              </w:rPr>
            </w:pPr>
            <w:r w:rsidRPr="00AC598B">
              <w:rPr>
                <w:rFonts w:ascii="Arial" w:hAnsi="Arial" w:cs="Arial"/>
                <w:b/>
                <w:szCs w:val="24"/>
              </w:rPr>
              <w:t>Underlying basic earnings per share</w:t>
            </w:r>
          </w:p>
        </w:tc>
        <w:tc>
          <w:tcPr>
            <w:tcW w:w="693" w:type="pct"/>
            <w:tcBorders>
              <w:top w:val="single" w:sz="4" w:space="0" w:color="auto"/>
              <w:left w:val="nil"/>
              <w:bottom w:val="nil"/>
              <w:right w:val="nil"/>
            </w:tcBorders>
            <w:shd w:val="clear" w:color="000000" w:fill="FFFFFF"/>
            <w:vAlign w:val="bottom"/>
          </w:tcPr>
          <w:p w14:paraId="0E308261" w14:textId="7463E27C" w:rsidR="004D4EB3" w:rsidRPr="004215EF" w:rsidRDefault="004D4EB3" w:rsidP="004D4EB3">
            <w:pPr>
              <w:jc w:val="right"/>
              <w:rPr>
                <w:rFonts w:ascii="Arial" w:hAnsi="Arial" w:cs="Arial"/>
                <w:b/>
                <w:szCs w:val="24"/>
              </w:rPr>
            </w:pPr>
            <w:r w:rsidRPr="004215EF">
              <w:rPr>
                <w:rFonts w:ascii="Arial" w:hAnsi="Arial" w:cs="Arial"/>
                <w:b/>
                <w:bCs/>
              </w:rPr>
              <w:t>274</w:t>
            </w:r>
          </w:p>
        </w:tc>
        <w:tc>
          <w:tcPr>
            <w:tcW w:w="701" w:type="pct"/>
            <w:tcBorders>
              <w:top w:val="single" w:sz="4" w:space="0" w:color="auto"/>
              <w:left w:val="nil"/>
              <w:bottom w:val="nil"/>
              <w:right w:val="nil"/>
            </w:tcBorders>
            <w:shd w:val="clear" w:color="auto" w:fill="auto"/>
            <w:vAlign w:val="bottom"/>
          </w:tcPr>
          <w:p w14:paraId="760678CF" w14:textId="36F495C6" w:rsidR="004D4EB3" w:rsidRPr="004215EF" w:rsidRDefault="004D4EB3" w:rsidP="004D4EB3">
            <w:pPr>
              <w:jc w:val="right"/>
              <w:rPr>
                <w:rFonts w:ascii="Arial" w:hAnsi="Arial" w:cs="Arial"/>
                <w:b/>
                <w:szCs w:val="24"/>
              </w:rPr>
            </w:pPr>
            <w:r w:rsidRPr="004215EF">
              <w:rPr>
                <w:rFonts w:ascii="Arial" w:hAnsi="Arial" w:cs="Arial"/>
                <w:b/>
                <w:bCs/>
              </w:rPr>
              <w:t>12.8</w:t>
            </w:r>
          </w:p>
        </w:tc>
        <w:tc>
          <w:tcPr>
            <w:tcW w:w="627" w:type="pct"/>
            <w:tcBorders>
              <w:top w:val="single" w:sz="4" w:space="0" w:color="auto"/>
              <w:left w:val="nil"/>
              <w:right w:val="nil"/>
            </w:tcBorders>
          </w:tcPr>
          <w:p w14:paraId="71559887" w14:textId="26CC256B" w:rsidR="004D4EB3" w:rsidRPr="009A2010" w:rsidRDefault="004D4EB3" w:rsidP="004D4EB3">
            <w:pPr>
              <w:jc w:val="right"/>
              <w:rPr>
                <w:rFonts w:ascii="Arial" w:hAnsi="Arial" w:cs="Arial"/>
                <w:szCs w:val="24"/>
              </w:rPr>
            </w:pPr>
            <w:r w:rsidRPr="009A2010">
              <w:rPr>
                <w:rFonts w:ascii="Arial" w:hAnsi="Arial" w:cs="Arial"/>
                <w:szCs w:val="24"/>
              </w:rPr>
              <w:t>322</w:t>
            </w:r>
          </w:p>
        </w:tc>
        <w:tc>
          <w:tcPr>
            <w:tcW w:w="700" w:type="pct"/>
            <w:tcBorders>
              <w:top w:val="single" w:sz="4" w:space="0" w:color="auto"/>
              <w:left w:val="nil"/>
              <w:right w:val="nil"/>
            </w:tcBorders>
          </w:tcPr>
          <w:p w14:paraId="7BC972A4" w14:textId="0345A767" w:rsidR="004D4EB3" w:rsidRPr="009A2010" w:rsidRDefault="004D4EB3" w:rsidP="004D4EB3">
            <w:pPr>
              <w:jc w:val="right"/>
              <w:rPr>
                <w:rFonts w:ascii="Arial" w:hAnsi="Arial" w:cs="Arial"/>
                <w:szCs w:val="24"/>
              </w:rPr>
            </w:pPr>
            <w:r w:rsidRPr="009A2010">
              <w:rPr>
                <w:rFonts w:ascii="Arial" w:hAnsi="Arial" w:cs="Arial"/>
                <w:szCs w:val="24"/>
              </w:rPr>
              <w:t>14.5</w:t>
            </w:r>
          </w:p>
        </w:tc>
      </w:tr>
      <w:tr w:rsidR="004D4EB3" w:rsidRPr="007769BE" w14:paraId="5425859E" w14:textId="77777777" w:rsidTr="004215EF">
        <w:tc>
          <w:tcPr>
            <w:tcW w:w="2279" w:type="pct"/>
            <w:tcBorders>
              <w:left w:val="nil"/>
              <w:bottom w:val="single" w:sz="4" w:space="0" w:color="auto"/>
              <w:right w:val="nil"/>
            </w:tcBorders>
          </w:tcPr>
          <w:p w14:paraId="05E61D2A" w14:textId="2708003E" w:rsidR="004D4EB3" w:rsidRPr="00AC598B" w:rsidRDefault="004D4EB3" w:rsidP="004D4EB3">
            <w:pPr>
              <w:rPr>
                <w:rFonts w:ascii="Arial" w:hAnsi="Arial" w:cs="Arial"/>
                <w:szCs w:val="24"/>
              </w:rPr>
            </w:pPr>
            <w:r w:rsidRPr="00AC598B">
              <w:rPr>
                <w:rFonts w:ascii="Arial" w:hAnsi="Arial" w:cs="Arial"/>
                <w:szCs w:val="24"/>
              </w:rPr>
              <w:t>Transformation P&amp;L costs (net of tax)</w:t>
            </w:r>
          </w:p>
        </w:tc>
        <w:tc>
          <w:tcPr>
            <w:tcW w:w="693" w:type="pct"/>
            <w:tcBorders>
              <w:top w:val="nil"/>
              <w:left w:val="nil"/>
              <w:bottom w:val="single" w:sz="4" w:space="0" w:color="auto"/>
              <w:right w:val="nil"/>
            </w:tcBorders>
            <w:shd w:val="clear" w:color="000000" w:fill="FFFFFF"/>
            <w:vAlign w:val="bottom"/>
          </w:tcPr>
          <w:p w14:paraId="67F97C0B" w14:textId="6022A7F7" w:rsidR="004D4EB3" w:rsidRPr="004215EF" w:rsidRDefault="004D4EB3" w:rsidP="004D4EB3">
            <w:pPr>
              <w:jc w:val="right"/>
              <w:rPr>
                <w:rFonts w:ascii="Arial" w:hAnsi="Arial" w:cs="Arial"/>
                <w:szCs w:val="24"/>
              </w:rPr>
            </w:pPr>
            <w:r w:rsidRPr="004215EF">
              <w:rPr>
                <w:rFonts w:ascii="Arial" w:hAnsi="Arial" w:cs="Arial"/>
                <w:b/>
                <w:bCs/>
              </w:rPr>
              <w:t>(38)</w:t>
            </w:r>
          </w:p>
        </w:tc>
        <w:tc>
          <w:tcPr>
            <w:tcW w:w="701" w:type="pct"/>
            <w:tcBorders>
              <w:top w:val="nil"/>
              <w:left w:val="nil"/>
              <w:bottom w:val="single" w:sz="4" w:space="0" w:color="auto"/>
              <w:right w:val="nil"/>
            </w:tcBorders>
            <w:shd w:val="clear" w:color="auto" w:fill="auto"/>
            <w:vAlign w:val="bottom"/>
          </w:tcPr>
          <w:p w14:paraId="69189D24" w14:textId="2C92A32C" w:rsidR="004D4EB3" w:rsidRPr="004215EF" w:rsidRDefault="004D4EB3" w:rsidP="004D4EB3">
            <w:pPr>
              <w:jc w:val="right"/>
              <w:rPr>
                <w:rFonts w:ascii="Arial" w:hAnsi="Arial" w:cs="Arial"/>
                <w:b/>
                <w:szCs w:val="24"/>
              </w:rPr>
            </w:pPr>
            <w:r w:rsidRPr="004215EF">
              <w:rPr>
                <w:rFonts w:ascii="Arial" w:hAnsi="Arial" w:cs="Arial"/>
                <w:b/>
                <w:bCs/>
              </w:rPr>
              <w:t>(1.8)</w:t>
            </w:r>
          </w:p>
        </w:tc>
        <w:tc>
          <w:tcPr>
            <w:tcW w:w="627" w:type="pct"/>
            <w:tcBorders>
              <w:left w:val="nil"/>
              <w:bottom w:val="single" w:sz="4" w:space="0" w:color="auto"/>
              <w:right w:val="nil"/>
            </w:tcBorders>
          </w:tcPr>
          <w:p w14:paraId="7051648A" w14:textId="36D0B9FC" w:rsidR="004D4EB3" w:rsidRPr="009A2010" w:rsidRDefault="004D4EB3" w:rsidP="004D4EB3">
            <w:pPr>
              <w:jc w:val="right"/>
              <w:rPr>
                <w:rFonts w:ascii="Arial" w:hAnsi="Arial" w:cs="Arial"/>
                <w:szCs w:val="24"/>
              </w:rPr>
            </w:pPr>
            <w:r w:rsidRPr="009A2010">
              <w:rPr>
                <w:rFonts w:ascii="Arial" w:hAnsi="Arial" w:cs="Arial"/>
                <w:szCs w:val="24"/>
              </w:rPr>
              <w:t>(34)</w:t>
            </w:r>
          </w:p>
        </w:tc>
        <w:tc>
          <w:tcPr>
            <w:tcW w:w="700" w:type="pct"/>
            <w:tcBorders>
              <w:left w:val="nil"/>
              <w:bottom w:val="single" w:sz="4" w:space="0" w:color="auto"/>
              <w:right w:val="nil"/>
            </w:tcBorders>
          </w:tcPr>
          <w:p w14:paraId="7D8AE2A3" w14:textId="2AA311C2" w:rsidR="004D4EB3" w:rsidRPr="009A2010" w:rsidRDefault="004D4EB3" w:rsidP="004D4EB3">
            <w:pPr>
              <w:jc w:val="right"/>
              <w:rPr>
                <w:rFonts w:ascii="Arial" w:hAnsi="Arial" w:cs="Arial"/>
                <w:szCs w:val="24"/>
              </w:rPr>
            </w:pPr>
            <w:r w:rsidRPr="009A2010">
              <w:rPr>
                <w:rFonts w:ascii="Arial" w:hAnsi="Arial" w:cs="Arial"/>
                <w:szCs w:val="24"/>
              </w:rPr>
              <w:t>(1.5)</w:t>
            </w:r>
          </w:p>
        </w:tc>
      </w:tr>
      <w:tr w:rsidR="004D4EB3" w:rsidRPr="007769BE" w14:paraId="3E8F70F8" w14:textId="77777777" w:rsidTr="004215EF">
        <w:tc>
          <w:tcPr>
            <w:tcW w:w="2279" w:type="pct"/>
            <w:tcBorders>
              <w:top w:val="single" w:sz="4" w:space="0" w:color="auto"/>
              <w:left w:val="nil"/>
              <w:bottom w:val="nil"/>
              <w:right w:val="nil"/>
            </w:tcBorders>
            <w:hideMark/>
          </w:tcPr>
          <w:p w14:paraId="3E83E8B9" w14:textId="77777777" w:rsidR="004D4EB3" w:rsidRPr="00AC598B" w:rsidRDefault="004D4EB3" w:rsidP="004D4EB3">
            <w:pPr>
              <w:rPr>
                <w:rFonts w:ascii="Arial" w:hAnsi="Arial" w:cs="Arial"/>
                <w:szCs w:val="24"/>
              </w:rPr>
            </w:pPr>
            <w:r w:rsidRPr="00AC598B">
              <w:rPr>
                <w:rFonts w:ascii="Arial" w:hAnsi="Arial" w:cs="Arial"/>
                <w:b/>
                <w:szCs w:val="24"/>
              </w:rPr>
              <w:t>Adjusted basic earnings per share</w:t>
            </w:r>
          </w:p>
        </w:tc>
        <w:tc>
          <w:tcPr>
            <w:tcW w:w="693" w:type="pct"/>
            <w:tcBorders>
              <w:top w:val="nil"/>
              <w:left w:val="nil"/>
              <w:bottom w:val="nil"/>
              <w:right w:val="nil"/>
            </w:tcBorders>
            <w:shd w:val="clear" w:color="000000" w:fill="FFFFFF"/>
            <w:vAlign w:val="bottom"/>
            <w:hideMark/>
          </w:tcPr>
          <w:p w14:paraId="6583D161" w14:textId="108A8CCE" w:rsidR="004D4EB3" w:rsidRPr="004215EF" w:rsidRDefault="004D4EB3" w:rsidP="004D4EB3">
            <w:pPr>
              <w:jc w:val="right"/>
              <w:rPr>
                <w:rFonts w:ascii="Arial" w:hAnsi="Arial" w:cs="Arial"/>
                <w:b/>
                <w:szCs w:val="24"/>
              </w:rPr>
            </w:pPr>
            <w:r w:rsidRPr="004215EF">
              <w:rPr>
                <w:rFonts w:ascii="Arial" w:hAnsi="Arial" w:cs="Arial"/>
                <w:b/>
                <w:bCs/>
              </w:rPr>
              <w:t>236</w:t>
            </w:r>
          </w:p>
        </w:tc>
        <w:tc>
          <w:tcPr>
            <w:tcW w:w="701" w:type="pct"/>
            <w:tcBorders>
              <w:top w:val="nil"/>
              <w:left w:val="nil"/>
              <w:bottom w:val="nil"/>
              <w:right w:val="nil"/>
            </w:tcBorders>
            <w:shd w:val="clear" w:color="auto" w:fill="auto"/>
            <w:vAlign w:val="bottom"/>
            <w:hideMark/>
          </w:tcPr>
          <w:p w14:paraId="0D045DB8" w14:textId="1968E031" w:rsidR="004D4EB3" w:rsidRPr="004215EF" w:rsidRDefault="004D4EB3" w:rsidP="004D4EB3">
            <w:pPr>
              <w:jc w:val="right"/>
              <w:rPr>
                <w:rFonts w:ascii="Arial" w:hAnsi="Arial" w:cs="Arial"/>
                <w:b/>
                <w:szCs w:val="24"/>
              </w:rPr>
            </w:pPr>
            <w:r w:rsidRPr="004215EF">
              <w:rPr>
                <w:rFonts w:ascii="Arial" w:hAnsi="Arial" w:cs="Arial"/>
                <w:b/>
                <w:bCs/>
              </w:rPr>
              <w:t>11</w:t>
            </w:r>
            <w:r w:rsidR="00C9681C">
              <w:rPr>
                <w:rFonts w:ascii="Arial" w:hAnsi="Arial" w:cs="Arial"/>
                <w:b/>
                <w:bCs/>
              </w:rPr>
              <w:t>.0</w:t>
            </w:r>
          </w:p>
        </w:tc>
        <w:tc>
          <w:tcPr>
            <w:tcW w:w="627" w:type="pct"/>
            <w:tcBorders>
              <w:top w:val="single" w:sz="4" w:space="0" w:color="auto"/>
              <w:left w:val="nil"/>
              <w:bottom w:val="nil"/>
              <w:right w:val="nil"/>
            </w:tcBorders>
            <w:hideMark/>
          </w:tcPr>
          <w:p w14:paraId="7B8C0966" w14:textId="3D6FE6EE" w:rsidR="004D4EB3" w:rsidRPr="009A2010" w:rsidRDefault="004D4EB3" w:rsidP="004D4EB3">
            <w:pPr>
              <w:jc w:val="right"/>
              <w:rPr>
                <w:rFonts w:ascii="Arial" w:hAnsi="Arial" w:cs="Arial"/>
                <w:szCs w:val="24"/>
              </w:rPr>
            </w:pPr>
            <w:r w:rsidRPr="009A2010">
              <w:rPr>
                <w:rFonts w:ascii="Arial" w:hAnsi="Arial" w:cs="Arial"/>
                <w:szCs w:val="24"/>
              </w:rPr>
              <w:t>288</w:t>
            </w:r>
          </w:p>
        </w:tc>
        <w:tc>
          <w:tcPr>
            <w:tcW w:w="700" w:type="pct"/>
            <w:tcBorders>
              <w:top w:val="single" w:sz="4" w:space="0" w:color="auto"/>
              <w:left w:val="nil"/>
              <w:bottom w:val="nil"/>
              <w:right w:val="nil"/>
            </w:tcBorders>
            <w:hideMark/>
          </w:tcPr>
          <w:p w14:paraId="465178AD" w14:textId="219E154C" w:rsidR="004D4EB3" w:rsidRPr="009A2010" w:rsidRDefault="004D4EB3" w:rsidP="004D4EB3">
            <w:pPr>
              <w:jc w:val="right"/>
              <w:rPr>
                <w:rFonts w:ascii="Arial" w:hAnsi="Arial" w:cs="Arial"/>
                <w:szCs w:val="24"/>
              </w:rPr>
            </w:pPr>
            <w:r w:rsidRPr="009A2010">
              <w:rPr>
                <w:rFonts w:ascii="Arial" w:hAnsi="Arial" w:cs="Arial"/>
                <w:szCs w:val="24"/>
              </w:rPr>
              <w:t>13.0</w:t>
            </w:r>
          </w:p>
        </w:tc>
      </w:tr>
      <w:tr w:rsidR="004D4EB3" w:rsidRPr="007769BE" w14:paraId="3F20B20D" w14:textId="77777777" w:rsidTr="004215EF">
        <w:tc>
          <w:tcPr>
            <w:tcW w:w="2279" w:type="pct"/>
            <w:hideMark/>
          </w:tcPr>
          <w:p w14:paraId="4E93DF4B" w14:textId="77777777" w:rsidR="004D4EB3" w:rsidRPr="00AC598B" w:rsidRDefault="004D4EB3" w:rsidP="004D4EB3">
            <w:pPr>
              <w:rPr>
                <w:rFonts w:ascii="Arial" w:hAnsi="Arial" w:cs="Arial"/>
                <w:szCs w:val="24"/>
              </w:rPr>
            </w:pPr>
            <w:r w:rsidRPr="00AC598B">
              <w:rPr>
                <w:rFonts w:ascii="Arial" w:hAnsi="Arial" w:cs="Arial"/>
                <w:szCs w:val="24"/>
              </w:rPr>
              <w:t>Net exceptional items</w:t>
            </w:r>
          </w:p>
        </w:tc>
        <w:tc>
          <w:tcPr>
            <w:tcW w:w="693" w:type="pct"/>
            <w:tcBorders>
              <w:top w:val="nil"/>
              <w:left w:val="nil"/>
              <w:bottom w:val="nil"/>
              <w:right w:val="nil"/>
            </w:tcBorders>
            <w:shd w:val="clear" w:color="auto" w:fill="auto"/>
            <w:vAlign w:val="bottom"/>
            <w:hideMark/>
          </w:tcPr>
          <w:p w14:paraId="19EA210E" w14:textId="478D6AA7" w:rsidR="004D4EB3" w:rsidRPr="004215EF" w:rsidRDefault="004D4EB3" w:rsidP="004D4EB3">
            <w:pPr>
              <w:jc w:val="right"/>
              <w:rPr>
                <w:rFonts w:ascii="Arial" w:hAnsi="Arial" w:cs="Arial"/>
                <w:b/>
                <w:szCs w:val="24"/>
              </w:rPr>
            </w:pPr>
            <w:r w:rsidRPr="004215EF">
              <w:rPr>
                <w:rFonts w:ascii="Arial" w:hAnsi="Arial" w:cs="Arial"/>
                <w:b/>
                <w:bCs/>
              </w:rPr>
              <w:t>(2</w:t>
            </w:r>
            <w:r w:rsidR="004F5E3C">
              <w:rPr>
                <w:rFonts w:ascii="Arial" w:hAnsi="Arial" w:cs="Arial"/>
                <w:b/>
                <w:bCs/>
              </w:rPr>
              <w:t>9</w:t>
            </w:r>
            <w:r w:rsidRPr="004215EF">
              <w:rPr>
                <w:rFonts w:ascii="Arial" w:hAnsi="Arial" w:cs="Arial"/>
                <w:b/>
                <w:bCs/>
              </w:rPr>
              <w:t>)</w:t>
            </w:r>
          </w:p>
        </w:tc>
        <w:tc>
          <w:tcPr>
            <w:tcW w:w="701" w:type="pct"/>
            <w:tcBorders>
              <w:top w:val="nil"/>
              <w:left w:val="nil"/>
              <w:bottom w:val="nil"/>
              <w:right w:val="nil"/>
            </w:tcBorders>
            <w:shd w:val="clear" w:color="auto" w:fill="auto"/>
            <w:vAlign w:val="bottom"/>
            <w:hideMark/>
          </w:tcPr>
          <w:p w14:paraId="4602E3A3" w14:textId="588771AF" w:rsidR="004D4EB3" w:rsidRPr="004215EF" w:rsidRDefault="004D4EB3" w:rsidP="004D4EB3">
            <w:pPr>
              <w:jc w:val="right"/>
              <w:rPr>
                <w:rFonts w:ascii="Arial" w:hAnsi="Arial" w:cs="Arial"/>
                <w:b/>
                <w:szCs w:val="24"/>
              </w:rPr>
            </w:pPr>
            <w:r w:rsidRPr="004215EF">
              <w:rPr>
                <w:rFonts w:ascii="Arial" w:hAnsi="Arial" w:cs="Arial"/>
                <w:b/>
                <w:bCs/>
              </w:rPr>
              <w:t>(1</w:t>
            </w:r>
            <w:r w:rsidR="00C9681C">
              <w:rPr>
                <w:rFonts w:ascii="Arial" w:hAnsi="Arial" w:cs="Arial"/>
                <w:b/>
                <w:bCs/>
              </w:rPr>
              <w:t>.3</w:t>
            </w:r>
            <w:r w:rsidRPr="004215EF">
              <w:rPr>
                <w:rFonts w:ascii="Arial" w:hAnsi="Arial" w:cs="Arial"/>
                <w:b/>
                <w:bCs/>
              </w:rPr>
              <w:t>)</w:t>
            </w:r>
          </w:p>
        </w:tc>
        <w:tc>
          <w:tcPr>
            <w:tcW w:w="627" w:type="pct"/>
            <w:shd w:val="clear" w:color="auto" w:fill="auto"/>
            <w:hideMark/>
          </w:tcPr>
          <w:p w14:paraId="77E3BDFA" w14:textId="4BC5D692" w:rsidR="004D4EB3" w:rsidRPr="009A2010" w:rsidRDefault="004D4EB3" w:rsidP="004D4EB3">
            <w:pPr>
              <w:jc w:val="right"/>
              <w:rPr>
                <w:rFonts w:ascii="Arial" w:hAnsi="Arial" w:cs="Arial"/>
                <w:szCs w:val="24"/>
              </w:rPr>
            </w:pPr>
            <w:r w:rsidRPr="009A2010">
              <w:rPr>
                <w:rFonts w:ascii="Arial" w:hAnsi="Arial" w:cs="Arial"/>
                <w:szCs w:val="24"/>
              </w:rPr>
              <w:t>7</w:t>
            </w:r>
          </w:p>
        </w:tc>
        <w:tc>
          <w:tcPr>
            <w:tcW w:w="700" w:type="pct"/>
            <w:shd w:val="clear" w:color="auto" w:fill="auto"/>
            <w:hideMark/>
          </w:tcPr>
          <w:p w14:paraId="76FC10E2" w14:textId="543CD29C" w:rsidR="004D4EB3" w:rsidRPr="009A2010" w:rsidRDefault="004D4EB3" w:rsidP="004D4EB3">
            <w:pPr>
              <w:jc w:val="right"/>
              <w:rPr>
                <w:rFonts w:ascii="Arial" w:hAnsi="Arial" w:cs="Arial"/>
                <w:szCs w:val="24"/>
              </w:rPr>
            </w:pPr>
            <w:r w:rsidRPr="009A2010">
              <w:rPr>
                <w:rFonts w:ascii="Arial" w:hAnsi="Arial" w:cs="Arial"/>
                <w:szCs w:val="24"/>
              </w:rPr>
              <w:t>0.3</w:t>
            </w:r>
          </w:p>
        </w:tc>
      </w:tr>
      <w:tr w:rsidR="004D4EB3" w:rsidRPr="007769BE" w14:paraId="6CA2F83B" w14:textId="77777777" w:rsidTr="004215EF">
        <w:tc>
          <w:tcPr>
            <w:tcW w:w="2279" w:type="pct"/>
            <w:vAlign w:val="bottom"/>
            <w:hideMark/>
          </w:tcPr>
          <w:p w14:paraId="645B719D" w14:textId="77777777" w:rsidR="004D4EB3" w:rsidRPr="00AC598B" w:rsidRDefault="004D4EB3" w:rsidP="004D4EB3">
            <w:pPr>
              <w:jc w:val="left"/>
              <w:rPr>
                <w:rFonts w:ascii="Arial" w:hAnsi="Arial" w:cs="Arial"/>
                <w:szCs w:val="24"/>
              </w:rPr>
            </w:pPr>
            <w:r w:rsidRPr="00AC598B">
              <w:rPr>
                <w:rFonts w:ascii="Arial" w:hAnsi="Arial" w:cs="Arial"/>
                <w:szCs w:val="24"/>
              </w:rPr>
              <w:t>Prior year tax items</w:t>
            </w:r>
          </w:p>
        </w:tc>
        <w:tc>
          <w:tcPr>
            <w:tcW w:w="693" w:type="pct"/>
            <w:tcBorders>
              <w:top w:val="nil"/>
              <w:left w:val="nil"/>
              <w:bottom w:val="nil"/>
              <w:right w:val="nil"/>
            </w:tcBorders>
            <w:shd w:val="clear" w:color="auto" w:fill="auto"/>
            <w:vAlign w:val="bottom"/>
            <w:hideMark/>
          </w:tcPr>
          <w:p w14:paraId="23228C86" w14:textId="085A63F5" w:rsidR="004D4EB3" w:rsidRPr="004215EF" w:rsidRDefault="004D4EB3" w:rsidP="004D4EB3">
            <w:pPr>
              <w:jc w:val="right"/>
              <w:rPr>
                <w:rFonts w:ascii="Arial" w:hAnsi="Arial" w:cs="Arial"/>
                <w:b/>
                <w:szCs w:val="24"/>
              </w:rPr>
            </w:pPr>
            <w:r w:rsidRPr="004215EF">
              <w:rPr>
                <w:rFonts w:ascii="Arial" w:hAnsi="Arial" w:cs="Arial"/>
                <w:b/>
                <w:bCs/>
              </w:rPr>
              <w:t>1</w:t>
            </w:r>
          </w:p>
        </w:tc>
        <w:tc>
          <w:tcPr>
            <w:tcW w:w="701" w:type="pct"/>
            <w:tcBorders>
              <w:top w:val="nil"/>
              <w:left w:val="nil"/>
              <w:bottom w:val="nil"/>
              <w:right w:val="nil"/>
            </w:tcBorders>
            <w:shd w:val="clear" w:color="auto" w:fill="auto"/>
            <w:vAlign w:val="bottom"/>
            <w:hideMark/>
          </w:tcPr>
          <w:p w14:paraId="7F75A726" w14:textId="0EB97557" w:rsidR="004D4EB3" w:rsidRPr="004215EF" w:rsidRDefault="004D4EB3" w:rsidP="004D4EB3">
            <w:pPr>
              <w:jc w:val="right"/>
              <w:rPr>
                <w:rFonts w:ascii="Arial" w:hAnsi="Arial" w:cs="Arial"/>
                <w:b/>
                <w:szCs w:val="24"/>
              </w:rPr>
            </w:pPr>
            <w:r w:rsidRPr="004215EF">
              <w:rPr>
                <w:rFonts w:ascii="Arial" w:hAnsi="Arial" w:cs="Arial"/>
                <w:b/>
                <w:bCs/>
              </w:rPr>
              <w:t>-</w:t>
            </w:r>
          </w:p>
        </w:tc>
        <w:tc>
          <w:tcPr>
            <w:tcW w:w="627" w:type="pct"/>
            <w:hideMark/>
          </w:tcPr>
          <w:p w14:paraId="5F9A5F07" w14:textId="124894E7" w:rsidR="004D4EB3" w:rsidRPr="009A2010" w:rsidRDefault="004D4EB3" w:rsidP="004D4EB3">
            <w:pPr>
              <w:jc w:val="right"/>
              <w:rPr>
                <w:rFonts w:ascii="Arial" w:hAnsi="Arial" w:cs="Arial"/>
                <w:szCs w:val="24"/>
              </w:rPr>
            </w:pPr>
            <w:r w:rsidRPr="009A2010">
              <w:rPr>
                <w:rFonts w:ascii="Arial" w:hAnsi="Arial" w:cs="Arial"/>
                <w:szCs w:val="24"/>
              </w:rPr>
              <w:t>-</w:t>
            </w:r>
          </w:p>
        </w:tc>
        <w:tc>
          <w:tcPr>
            <w:tcW w:w="700" w:type="pct"/>
            <w:vAlign w:val="bottom"/>
            <w:hideMark/>
          </w:tcPr>
          <w:p w14:paraId="403C840F" w14:textId="5C0BA6F3" w:rsidR="004D4EB3" w:rsidRPr="009A2010" w:rsidRDefault="004D4EB3" w:rsidP="004D4EB3">
            <w:pPr>
              <w:jc w:val="right"/>
              <w:rPr>
                <w:rFonts w:ascii="Arial" w:hAnsi="Arial" w:cs="Arial"/>
                <w:szCs w:val="24"/>
              </w:rPr>
            </w:pPr>
            <w:r w:rsidRPr="009A2010">
              <w:rPr>
                <w:rFonts w:ascii="Arial" w:hAnsi="Arial" w:cs="Arial"/>
                <w:szCs w:val="24"/>
              </w:rPr>
              <w:t>-</w:t>
            </w:r>
          </w:p>
        </w:tc>
      </w:tr>
      <w:tr w:rsidR="004D4EB3" w:rsidRPr="007769BE" w14:paraId="1360FC9E" w14:textId="77777777" w:rsidTr="004215EF">
        <w:trPr>
          <w:trHeight w:val="70"/>
        </w:trPr>
        <w:tc>
          <w:tcPr>
            <w:tcW w:w="2279" w:type="pct"/>
            <w:tcBorders>
              <w:top w:val="single" w:sz="4" w:space="0" w:color="auto"/>
              <w:left w:val="nil"/>
              <w:bottom w:val="single" w:sz="4" w:space="0" w:color="auto"/>
              <w:right w:val="nil"/>
            </w:tcBorders>
            <w:hideMark/>
          </w:tcPr>
          <w:p w14:paraId="779B8DFD" w14:textId="77777777" w:rsidR="004D4EB3" w:rsidRPr="00AC598B" w:rsidRDefault="004D4EB3" w:rsidP="004D4EB3">
            <w:pPr>
              <w:rPr>
                <w:rFonts w:ascii="Arial" w:hAnsi="Arial" w:cs="Arial"/>
                <w:b/>
                <w:szCs w:val="24"/>
              </w:rPr>
            </w:pPr>
            <w:r w:rsidRPr="00AC598B">
              <w:rPr>
                <w:rFonts w:ascii="Arial" w:hAnsi="Arial" w:cs="Arial"/>
                <w:b/>
                <w:szCs w:val="24"/>
              </w:rPr>
              <w:t>Basic earnings per share</w:t>
            </w:r>
          </w:p>
        </w:tc>
        <w:tc>
          <w:tcPr>
            <w:tcW w:w="693" w:type="pct"/>
            <w:tcBorders>
              <w:top w:val="single" w:sz="4" w:space="0" w:color="auto"/>
              <w:left w:val="nil"/>
              <w:bottom w:val="single" w:sz="4" w:space="0" w:color="auto"/>
              <w:right w:val="nil"/>
            </w:tcBorders>
            <w:shd w:val="clear" w:color="000000" w:fill="FFFFFF"/>
            <w:vAlign w:val="bottom"/>
            <w:hideMark/>
          </w:tcPr>
          <w:p w14:paraId="25A312EE" w14:textId="7A5440E2" w:rsidR="004D4EB3" w:rsidRPr="004215EF" w:rsidRDefault="004D4EB3" w:rsidP="004D4EB3">
            <w:pPr>
              <w:jc w:val="right"/>
              <w:rPr>
                <w:rFonts w:ascii="Arial" w:hAnsi="Arial" w:cs="Arial"/>
                <w:b/>
                <w:szCs w:val="24"/>
              </w:rPr>
            </w:pPr>
            <w:r w:rsidRPr="004215EF">
              <w:rPr>
                <w:rFonts w:ascii="Arial" w:hAnsi="Arial" w:cs="Arial"/>
                <w:b/>
                <w:bCs/>
              </w:rPr>
              <w:t>208</w:t>
            </w:r>
          </w:p>
        </w:tc>
        <w:tc>
          <w:tcPr>
            <w:tcW w:w="701" w:type="pct"/>
            <w:tcBorders>
              <w:top w:val="single" w:sz="4" w:space="0" w:color="auto"/>
              <w:left w:val="nil"/>
              <w:bottom w:val="single" w:sz="4" w:space="0" w:color="auto"/>
              <w:right w:val="nil"/>
            </w:tcBorders>
            <w:shd w:val="clear" w:color="auto" w:fill="auto"/>
            <w:vAlign w:val="bottom"/>
            <w:hideMark/>
          </w:tcPr>
          <w:p w14:paraId="7C19FD37" w14:textId="0D4A11A5" w:rsidR="004D4EB3" w:rsidRPr="004215EF" w:rsidRDefault="004D4EB3" w:rsidP="004D4EB3">
            <w:pPr>
              <w:jc w:val="right"/>
              <w:rPr>
                <w:rFonts w:ascii="Arial" w:hAnsi="Arial" w:cs="Arial"/>
                <w:b/>
                <w:szCs w:val="24"/>
              </w:rPr>
            </w:pPr>
            <w:r w:rsidRPr="004215EF">
              <w:rPr>
                <w:rFonts w:ascii="Arial" w:hAnsi="Arial" w:cs="Arial"/>
                <w:b/>
                <w:bCs/>
              </w:rPr>
              <w:t>9.7</w:t>
            </w:r>
          </w:p>
        </w:tc>
        <w:tc>
          <w:tcPr>
            <w:tcW w:w="627" w:type="pct"/>
            <w:tcBorders>
              <w:top w:val="single" w:sz="4" w:space="0" w:color="auto"/>
              <w:left w:val="nil"/>
              <w:bottom w:val="single" w:sz="4" w:space="0" w:color="auto"/>
              <w:right w:val="nil"/>
            </w:tcBorders>
            <w:hideMark/>
          </w:tcPr>
          <w:p w14:paraId="0C140F22" w14:textId="5EA6FBF7" w:rsidR="004D4EB3" w:rsidRPr="009A2010" w:rsidRDefault="004D4EB3" w:rsidP="004D4EB3">
            <w:pPr>
              <w:jc w:val="right"/>
              <w:rPr>
                <w:rFonts w:ascii="Arial" w:hAnsi="Arial" w:cs="Arial"/>
                <w:szCs w:val="24"/>
              </w:rPr>
            </w:pPr>
            <w:r w:rsidRPr="009A2010">
              <w:rPr>
                <w:rFonts w:ascii="Arial" w:hAnsi="Arial" w:cs="Arial"/>
                <w:szCs w:val="24"/>
              </w:rPr>
              <w:t>295</w:t>
            </w:r>
          </w:p>
        </w:tc>
        <w:tc>
          <w:tcPr>
            <w:tcW w:w="700" w:type="pct"/>
            <w:tcBorders>
              <w:top w:val="single" w:sz="4" w:space="0" w:color="auto"/>
              <w:left w:val="nil"/>
              <w:bottom w:val="single" w:sz="4" w:space="0" w:color="auto"/>
              <w:right w:val="nil"/>
            </w:tcBorders>
            <w:hideMark/>
          </w:tcPr>
          <w:p w14:paraId="78955168" w14:textId="40FF28A2" w:rsidR="004D4EB3" w:rsidRPr="009A2010" w:rsidRDefault="004D4EB3" w:rsidP="004D4EB3">
            <w:pPr>
              <w:jc w:val="right"/>
              <w:rPr>
                <w:rFonts w:ascii="Arial" w:hAnsi="Arial" w:cs="Arial"/>
                <w:szCs w:val="24"/>
              </w:rPr>
            </w:pPr>
            <w:r w:rsidRPr="009A2010">
              <w:rPr>
                <w:rFonts w:ascii="Arial" w:hAnsi="Arial" w:cs="Arial"/>
                <w:szCs w:val="24"/>
              </w:rPr>
              <w:t>13.3</w:t>
            </w:r>
          </w:p>
        </w:tc>
      </w:tr>
    </w:tbl>
    <w:p w14:paraId="0AC7FA5D" w14:textId="77777777" w:rsidR="00773A54" w:rsidRPr="00AC598B" w:rsidRDefault="00773A54" w:rsidP="00773A54">
      <w:pPr>
        <w:jc w:val="left"/>
        <w:rPr>
          <w:rFonts w:ascii="Arial" w:hAnsi="Arial" w:cs="Arial"/>
          <w:b/>
          <w:bCs/>
          <w:sz w:val="20"/>
          <w:szCs w:val="24"/>
          <w:highlight w:val="yellow"/>
        </w:rPr>
      </w:pPr>
    </w:p>
    <w:p w14:paraId="001F2D54" w14:textId="77777777" w:rsidR="005B7D1A" w:rsidRPr="00AC598B" w:rsidRDefault="005B7D1A" w:rsidP="005B7D1A">
      <w:pPr>
        <w:jc w:val="left"/>
        <w:rPr>
          <w:rFonts w:ascii="Arial" w:hAnsi="Arial" w:cs="Arial"/>
          <w:b/>
          <w:bCs/>
          <w:szCs w:val="24"/>
        </w:rPr>
      </w:pPr>
      <w:bookmarkStart w:id="71" w:name="_Hlk524457879"/>
      <w:r w:rsidRPr="00AC598B">
        <w:rPr>
          <w:rFonts w:ascii="Arial" w:hAnsi="Arial" w:cs="Arial"/>
          <w:b/>
          <w:bCs/>
          <w:szCs w:val="24"/>
        </w:rPr>
        <w:t>Dividends and capital returns</w:t>
      </w:r>
    </w:p>
    <w:p w14:paraId="471A9DF9" w14:textId="77777777" w:rsidR="005B7D1A" w:rsidRPr="00AC598B" w:rsidRDefault="005B7D1A" w:rsidP="005B7D1A">
      <w:pPr>
        <w:jc w:val="left"/>
        <w:rPr>
          <w:rFonts w:ascii="Arial" w:hAnsi="Arial" w:cs="Arial"/>
          <w:b/>
          <w:bCs/>
          <w:szCs w:val="24"/>
        </w:rPr>
      </w:pPr>
    </w:p>
    <w:p w14:paraId="632B249C" w14:textId="7FFF3292" w:rsidR="005B7D1A" w:rsidRPr="00AC598B" w:rsidRDefault="005B7D1A" w:rsidP="005B7D1A">
      <w:pPr>
        <w:jc w:val="left"/>
        <w:rPr>
          <w:rFonts w:ascii="Arial" w:hAnsi="Arial" w:cs="Arial"/>
          <w:szCs w:val="24"/>
          <w:highlight w:val="yellow"/>
        </w:rPr>
      </w:pPr>
      <w:bookmarkStart w:id="72" w:name="_Hlk493510373"/>
      <w:r w:rsidRPr="00AC598B">
        <w:rPr>
          <w:rFonts w:ascii="Arial" w:hAnsi="Arial" w:cs="Arial"/>
          <w:szCs w:val="24"/>
        </w:rPr>
        <w:t xml:space="preserve">The Board has declared an interim </w:t>
      </w:r>
      <w:r w:rsidRPr="00BF424C">
        <w:rPr>
          <w:rFonts w:ascii="Arial" w:hAnsi="Arial" w:cs="Arial"/>
          <w:szCs w:val="24"/>
        </w:rPr>
        <w:t xml:space="preserve">dividend of </w:t>
      </w:r>
      <w:r w:rsidR="00CF707E" w:rsidRPr="00F01C34">
        <w:rPr>
          <w:rFonts w:ascii="Arial" w:hAnsi="Arial" w:cs="Arial"/>
          <w:szCs w:val="24"/>
        </w:rPr>
        <w:t>3.</w:t>
      </w:r>
      <w:r w:rsidR="004F5E3C">
        <w:rPr>
          <w:rFonts w:ascii="Arial" w:hAnsi="Arial" w:cs="Arial"/>
          <w:szCs w:val="24"/>
        </w:rPr>
        <w:t>33</w:t>
      </w:r>
      <w:r w:rsidRPr="00BF424C">
        <w:rPr>
          <w:rFonts w:ascii="Arial" w:hAnsi="Arial" w:cs="Arial"/>
          <w:szCs w:val="24"/>
        </w:rPr>
        <w:t xml:space="preserve">p, </w:t>
      </w:r>
      <w:r w:rsidR="004F5E3C">
        <w:rPr>
          <w:rFonts w:ascii="Arial" w:hAnsi="Arial" w:cs="Arial"/>
          <w:szCs w:val="24"/>
        </w:rPr>
        <w:t>flat on last year</w:t>
      </w:r>
      <w:r w:rsidRPr="00561985">
        <w:rPr>
          <w:rFonts w:ascii="Arial" w:hAnsi="Arial" w:cs="Arial"/>
          <w:szCs w:val="24"/>
        </w:rPr>
        <w:t xml:space="preserve"> </w:t>
      </w:r>
      <w:r w:rsidRPr="00AC598B">
        <w:rPr>
          <w:rFonts w:ascii="Arial" w:hAnsi="Arial" w:cs="Arial"/>
          <w:szCs w:val="24"/>
        </w:rPr>
        <w:t>(201</w:t>
      </w:r>
      <w:r>
        <w:rPr>
          <w:rFonts w:ascii="Arial" w:hAnsi="Arial" w:cs="Arial"/>
          <w:szCs w:val="24"/>
        </w:rPr>
        <w:t>7</w:t>
      </w:r>
      <w:r w:rsidRPr="00AC598B">
        <w:rPr>
          <w:rFonts w:ascii="Arial" w:hAnsi="Arial" w:cs="Arial"/>
          <w:szCs w:val="24"/>
        </w:rPr>
        <w:t>/1</w:t>
      </w:r>
      <w:r>
        <w:rPr>
          <w:rFonts w:ascii="Arial" w:hAnsi="Arial" w:cs="Arial"/>
          <w:szCs w:val="24"/>
        </w:rPr>
        <w:t>8</w:t>
      </w:r>
      <w:r w:rsidRPr="00AC598B">
        <w:rPr>
          <w:rFonts w:ascii="Arial" w:hAnsi="Arial" w:cs="Arial"/>
          <w:szCs w:val="24"/>
        </w:rPr>
        <w:t>: 3.</w:t>
      </w:r>
      <w:r>
        <w:rPr>
          <w:rFonts w:ascii="Arial" w:hAnsi="Arial" w:cs="Arial"/>
          <w:szCs w:val="24"/>
        </w:rPr>
        <w:t>33</w:t>
      </w:r>
      <w:r w:rsidRPr="00AC598B">
        <w:rPr>
          <w:rFonts w:ascii="Arial" w:hAnsi="Arial" w:cs="Arial"/>
          <w:szCs w:val="24"/>
        </w:rPr>
        <w:t>p). We continue to be comfortable with medium term dividend cover in the range of 2.0 to 2.5 times based on adjusted basic earnings per share, a level the Board believes is prudent and consistent with the capital needs of the business.</w:t>
      </w:r>
    </w:p>
    <w:p w14:paraId="09286405" w14:textId="77777777" w:rsidR="005B7D1A" w:rsidRPr="00AC598B" w:rsidRDefault="005B7D1A" w:rsidP="005B7D1A">
      <w:pPr>
        <w:jc w:val="left"/>
        <w:rPr>
          <w:rFonts w:ascii="Arial" w:hAnsi="Arial" w:cs="Arial"/>
          <w:szCs w:val="24"/>
          <w:highlight w:val="yellow"/>
        </w:rPr>
      </w:pPr>
    </w:p>
    <w:p w14:paraId="6D91C425" w14:textId="731FB3C1" w:rsidR="005B7D1A" w:rsidRPr="00561985" w:rsidRDefault="005B7D1A" w:rsidP="005B7D1A">
      <w:pPr>
        <w:jc w:val="left"/>
        <w:rPr>
          <w:rFonts w:ascii="Arial" w:hAnsi="Arial" w:cs="Arial"/>
          <w:szCs w:val="24"/>
        </w:rPr>
      </w:pPr>
      <w:bookmarkStart w:id="73" w:name="_Hlk491350222"/>
      <w:r w:rsidRPr="00AC598B">
        <w:rPr>
          <w:rFonts w:ascii="Arial" w:hAnsi="Arial" w:cs="Arial"/>
          <w:szCs w:val="24"/>
        </w:rPr>
        <w:t xml:space="preserve">The interim </w:t>
      </w:r>
      <w:r w:rsidRPr="00561985">
        <w:rPr>
          <w:rFonts w:ascii="Arial" w:hAnsi="Arial" w:cs="Arial"/>
          <w:szCs w:val="24"/>
        </w:rPr>
        <w:t xml:space="preserve">dividend will be paid on </w:t>
      </w:r>
      <w:r w:rsidR="008C7169" w:rsidRPr="00F01C34">
        <w:rPr>
          <w:rFonts w:ascii="Arial" w:hAnsi="Arial" w:cs="Arial"/>
          <w:szCs w:val="24"/>
        </w:rPr>
        <w:t>9 November 2018</w:t>
      </w:r>
      <w:r w:rsidRPr="00F01C34">
        <w:rPr>
          <w:rFonts w:ascii="Arial" w:hAnsi="Arial" w:cs="Arial"/>
          <w:szCs w:val="24"/>
        </w:rPr>
        <w:t xml:space="preserve"> </w:t>
      </w:r>
      <w:r w:rsidRPr="00561985">
        <w:rPr>
          <w:rFonts w:ascii="Arial" w:hAnsi="Arial" w:cs="Arial"/>
          <w:szCs w:val="24"/>
        </w:rPr>
        <w:t xml:space="preserve">to shareholders on the register at close of business on </w:t>
      </w:r>
      <w:r w:rsidR="008C7169" w:rsidRPr="00F01C34">
        <w:rPr>
          <w:rFonts w:ascii="Arial" w:hAnsi="Arial" w:cs="Arial"/>
          <w:szCs w:val="24"/>
        </w:rPr>
        <w:t>5 October 2018</w:t>
      </w:r>
      <w:r w:rsidRPr="00561985">
        <w:rPr>
          <w:rFonts w:ascii="Arial" w:hAnsi="Arial" w:cs="Arial"/>
          <w:szCs w:val="24"/>
        </w:rPr>
        <w:t xml:space="preserve">. </w:t>
      </w:r>
      <w:bookmarkStart w:id="74" w:name="_Hlk524454400"/>
      <w:r w:rsidRPr="00561985">
        <w:rPr>
          <w:rFonts w:ascii="Arial" w:hAnsi="Arial" w:cs="Arial"/>
          <w:szCs w:val="24"/>
        </w:rPr>
        <w:t xml:space="preserve">A dividend reinvestment plan (DRIP) is available to shareholders who would prefer to invest their dividends in the shares of the Company. The shares will go ex-dividend on </w:t>
      </w:r>
      <w:r w:rsidR="008C7169" w:rsidRPr="00F01C34">
        <w:rPr>
          <w:rFonts w:ascii="Arial" w:hAnsi="Arial" w:cs="Arial"/>
          <w:szCs w:val="24"/>
        </w:rPr>
        <w:t>4 October 2018</w:t>
      </w:r>
      <w:r w:rsidRPr="00561985">
        <w:rPr>
          <w:rFonts w:ascii="Arial" w:hAnsi="Arial" w:cs="Arial"/>
          <w:szCs w:val="24"/>
        </w:rPr>
        <w:t xml:space="preserve">. For those shareholders electing to receive the DRIP the last date for receipt of election </w:t>
      </w:r>
      <w:r w:rsidR="004C27D8">
        <w:rPr>
          <w:rFonts w:ascii="Arial" w:hAnsi="Arial" w:cs="Arial"/>
          <w:szCs w:val="24"/>
        </w:rPr>
        <w:t xml:space="preserve">is </w:t>
      </w:r>
      <w:r w:rsidR="008C7169" w:rsidRPr="00F01C34">
        <w:rPr>
          <w:rFonts w:ascii="Arial" w:hAnsi="Arial" w:cs="Arial"/>
          <w:szCs w:val="24"/>
        </w:rPr>
        <w:t>19 October 2018</w:t>
      </w:r>
      <w:r w:rsidRPr="00561985">
        <w:rPr>
          <w:rFonts w:ascii="Arial" w:hAnsi="Arial" w:cs="Arial"/>
          <w:szCs w:val="24"/>
        </w:rPr>
        <w:t>.</w:t>
      </w:r>
      <w:bookmarkEnd w:id="74"/>
    </w:p>
    <w:bookmarkEnd w:id="73"/>
    <w:p w14:paraId="0C1E9F5A" w14:textId="77777777" w:rsidR="005B7D1A" w:rsidRPr="00AC598B" w:rsidRDefault="005B7D1A" w:rsidP="005B7D1A">
      <w:pPr>
        <w:jc w:val="left"/>
        <w:rPr>
          <w:rFonts w:ascii="Arial" w:hAnsi="Arial" w:cs="Arial"/>
          <w:szCs w:val="24"/>
        </w:rPr>
      </w:pPr>
    </w:p>
    <w:p w14:paraId="0DD4065B" w14:textId="59BF481F" w:rsidR="005B7D1A" w:rsidRPr="00AC598B" w:rsidRDefault="005B7D1A" w:rsidP="005B7D1A">
      <w:pPr>
        <w:jc w:val="left"/>
        <w:rPr>
          <w:rFonts w:ascii="Arial" w:hAnsi="Arial" w:cs="Arial"/>
          <w:szCs w:val="24"/>
        </w:rPr>
      </w:pPr>
      <w:r w:rsidRPr="00AC598B">
        <w:rPr>
          <w:rFonts w:ascii="Arial" w:hAnsi="Arial" w:cs="Arial"/>
          <w:szCs w:val="24"/>
        </w:rPr>
        <w:t>On 25 January 2016 Kingfisher announced its intention to return aroun</w:t>
      </w:r>
      <w:r>
        <w:rPr>
          <w:rFonts w:ascii="Arial" w:hAnsi="Arial" w:cs="Arial"/>
          <w:szCs w:val="24"/>
        </w:rPr>
        <w:t xml:space="preserve">d </w:t>
      </w:r>
      <w:r w:rsidRPr="00AC598B">
        <w:rPr>
          <w:rFonts w:ascii="Arial" w:hAnsi="Arial" w:cs="Arial"/>
          <w:szCs w:val="24"/>
        </w:rPr>
        <w:t xml:space="preserve">£600 million of surplus capital to shareholders </w:t>
      </w:r>
      <w:r>
        <w:rPr>
          <w:rFonts w:ascii="Arial" w:hAnsi="Arial" w:cs="Arial"/>
          <w:szCs w:val="24"/>
        </w:rPr>
        <w:t>in the following three financial years</w:t>
      </w:r>
      <w:r w:rsidRPr="00AC598B">
        <w:rPr>
          <w:rFonts w:ascii="Arial" w:hAnsi="Arial" w:cs="Arial"/>
          <w:szCs w:val="24"/>
        </w:rPr>
        <w:t xml:space="preserve">. </w:t>
      </w:r>
      <w:bookmarkStart w:id="75" w:name="_Hlk491352885"/>
      <w:r>
        <w:rPr>
          <w:rFonts w:ascii="Arial" w:hAnsi="Arial" w:cs="Arial"/>
          <w:szCs w:val="24"/>
        </w:rPr>
        <w:t>D</w:t>
      </w:r>
      <w:r w:rsidRPr="00AC598B">
        <w:rPr>
          <w:rFonts w:ascii="Arial" w:hAnsi="Arial" w:cs="Arial"/>
          <w:szCs w:val="24"/>
        </w:rPr>
        <w:t>uring H1 201</w:t>
      </w:r>
      <w:r>
        <w:rPr>
          <w:rFonts w:ascii="Arial" w:hAnsi="Arial" w:cs="Arial"/>
          <w:szCs w:val="24"/>
        </w:rPr>
        <w:t>8</w:t>
      </w:r>
      <w:r w:rsidRPr="00AC598B">
        <w:rPr>
          <w:rFonts w:ascii="Arial" w:hAnsi="Arial" w:cs="Arial"/>
          <w:szCs w:val="24"/>
        </w:rPr>
        <w:t>/1</w:t>
      </w:r>
      <w:r>
        <w:rPr>
          <w:rFonts w:ascii="Arial" w:hAnsi="Arial" w:cs="Arial"/>
          <w:szCs w:val="24"/>
        </w:rPr>
        <w:t>9</w:t>
      </w:r>
      <w:r w:rsidRPr="00AC598B">
        <w:rPr>
          <w:rFonts w:ascii="Arial" w:hAnsi="Arial" w:cs="Arial"/>
          <w:szCs w:val="24"/>
        </w:rPr>
        <w:t xml:space="preserve"> £</w:t>
      </w:r>
      <w:r w:rsidR="001D3508" w:rsidRPr="00F01C34">
        <w:rPr>
          <w:rFonts w:ascii="Arial" w:hAnsi="Arial" w:cs="Arial"/>
          <w:szCs w:val="24"/>
        </w:rPr>
        <w:t>90</w:t>
      </w:r>
      <w:r w:rsidRPr="00AC598B">
        <w:rPr>
          <w:rFonts w:ascii="Arial" w:hAnsi="Arial" w:cs="Arial"/>
          <w:szCs w:val="24"/>
        </w:rPr>
        <w:t xml:space="preserve"> </w:t>
      </w:r>
      <w:r w:rsidRPr="001064D3">
        <w:rPr>
          <w:rFonts w:ascii="Arial" w:hAnsi="Arial" w:cs="Arial"/>
          <w:szCs w:val="24"/>
        </w:rPr>
        <w:t>million</w:t>
      </w:r>
      <w:r>
        <w:rPr>
          <w:rFonts w:ascii="Arial" w:hAnsi="Arial" w:cs="Arial"/>
          <w:szCs w:val="24"/>
        </w:rPr>
        <w:t xml:space="preserve"> of shares </w:t>
      </w:r>
      <w:r w:rsidRPr="001064D3">
        <w:rPr>
          <w:rFonts w:ascii="Arial" w:hAnsi="Arial" w:cs="Arial"/>
          <w:szCs w:val="24"/>
        </w:rPr>
        <w:t>(</w:t>
      </w:r>
      <w:r w:rsidR="001D3508" w:rsidRPr="00F01C34">
        <w:rPr>
          <w:rFonts w:ascii="Arial" w:hAnsi="Arial" w:cs="Arial"/>
          <w:szCs w:val="24"/>
        </w:rPr>
        <w:t>30</w:t>
      </w:r>
      <w:r w:rsidRPr="001064D3">
        <w:rPr>
          <w:rFonts w:ascii="Arial" w:hAnsi="Arial" w:cs="Arial"/>
          <w:szCs w:val="24"/>
        </w:rPr>
        <w:t xml:space="preserve"> million</w:t>
      </w:r>
      <w:r w:rsidR="00545F2D">
        <w:rPr>
          <w:rFonts w:ascii="Arial" w:hAnsi="Arial" w:cs="Arial"/>
          <w:szCs w:val="24"/>
        </w:rPr>
        <w:t xml:space="preserve"> shares</w:t>
      </w:r>
      <w:r w:rsidRPr="00AC598B">
        <w:rPr>
          <w:rFonts w:ascii="Arial" w:hAnsi="Arial" w:cs="Arial"/>
          <w:szCs w:val="24"/>
        </w:rPr>
        <w:t>) w</w:t>
      </w:r>
      <w:r>
        <w:rPr>
          <w:rFonts w:ascii="Arial" w:hAnsi="Arial" w:cs="Arial"/>
          <w:szCs w:val="24"/>
        </w:rPr>
        <w:t>ere</w:t>
      </w:r>
      <w:r w:rsidRPr="00AC598B">
        <w:rPr>
          <w:rFonts w:ascii="Arial" w:hAnsi="Arial" w:cs="Arial"/>
          <w:szCs w:val="24"/>
        </w:rPr>
        <w:t xml:space="preserve"> re</w:t>
      </w:r>
      <w:r>
        <w:rPr>
          <w:rFonts w:ascii="Arial" w:hAnsi="Arial" w:cs="Arial"/>
          <w:szCs w:val="24"/>
        </w:rPr>
        <w:t>purchased</w:t>
      </w:r>
      <w:r w:rsidRPr="00AC598B">
        <w:rPr>
          <w:rFonts w:ascii="Arial" w:hAnsi="Arial" w:cs="Arial"/>
          <w:szCs w:val="24"/>
        </w:rPr>
        <w:t xml:space="preserve"> via share buyback</w:t>
      </w:r>
      <w:bookmarkEnd w:id="75"/>
      <w:r>
        <w:rPr>
          <w:rFonts w:ascii="Arial" w:hAnsi="Arial" w:cs="Arial"/>
          <w:szCs w:val="24"/>
        </w:rPr>
        <w:t>. Cumulatively therefore</w:t>
      </w:r>
      <w:r w:rsidRPr="00DD295E">
        <w:rPr>
          <w:rFonts w:ascii="Arial" w:hAnsi="Arial" w:cs="Arial"/>
          <w:szCs w:val="24"/>
        </w:rPr>
        <w:t xml:space="preserve">, </w:t>
      </w:r>
      <w:r w:rsidRPr="00C64D89">
        <w:rPr>
          <w:rFonts w:ascii="Arial" w:hAnsi="Arial" w:cs="Arial"/>
          <w:szCs w:val="24"/>
        </w:rPr>
        <w:t>£</w:t>
      </w:r>
      <w:r w:rsidR="00B823FD" w:rsidRPr="00F01C34">
        <w:rPr>
          <w:rFonts w:ascii="Arial" w:hAnsi="Arial" w:cs="Arial"/>
          <w:szCs w:val="24"/>
        </w:rPr>
        <w:t>550</w:t>
      </w:r>
      <w:r w:rsidRPr="00AC598B">
        <w:rPr>
          <w:rFonts w:ascii="Arial" w:hAnsi="Arial" w:cs="Arial"/>
          <w:szCs w:val="24"/>
        </w:rPr>
        <w:t xml:space="preserve"> million </w:t>
      </w:r>
      <w:r>
        <w:rPr>
          <w:rFonts w:ascii="Arial" w:hAnsi="Arial" w:cs="Arial"/>
          <w:szCs w:val="24"/>
        </w:rPr>
        <w:t xml:space="preserve">of </w:t>
      </w:r>
      <w:r w:rsidRPr="00DD295E">
        <w:rPr>
          <w:rFonts w:ascii="Arial" w:hAnsi="Arial" w:cs="Arial"/>
          <w:szCs w:val="24"/>
        </w:rPr>
        <w:t>shares (</w:t>
      </w:r>
      <w:r w:rsidR="001D3508" w:rsidRPr="00F01C34">
        <w:rPr>
          <w:rFonts w:ascii="Arial" w:hAnsi="Arial" w:cs="Arial"/>
          <w:szCs w:val="24"/>
        </w:rPr>
        <w:t>170</w:t>
      </w:r>
      <w:r w:rsidRPr="00AC598B">
        <w:rPr>
          <w:rFonts w:ascii="Arial" w:hAnsi="Arial" w:cs="Arial"/>
          <w:szCs w:val="24"/>
        </w:rPr>
        <w:t xml:space="preserve"> million</w:t>
      </w:r>
      <w:r w:rsidR="00253BE6">
        <w:rPr>
          <w:rFonts w:ascii="Arial" w:hAnsi="Arial" w:cs="Arial"/>
          <w:szCs w:val="24"/>
        </w:rPr>
        <w:t xml:space="preserve"> shares</w:t>
      </w:r>
      <w:r w:rsidRPr="00AC598B">
        <w:rPr>
          <w:rFonts w:ascii="Arial" w:hAnsi="Arial" w:cs="Arial"/>
          <w:szCs w:val="24"/>
        </w:rPr>
        <w:t xml:space="preserve">) have </w:t>
      </w:r>
      <w:r>
        <w:rPr>
          <w:rFonts w:ascii="Arial" w:hAnsi="Arial" w:cs="Arial"/>
          <w:szCs w:val="24"/>
        </w:rPr>
        <w:t xml:space="preserve">now </w:t>
      </w:r>
      <w:r w:rsidRPr="00AC598B">
        <w:rPr>
          <w:rFonts w:ascii="Arial" w:hAnsi="Arial" w:cs="Arial"/>
          <w:szCs w:val="24"/>
        </w:rPr>
        <w:t>been repurchased</w:t>
      </w:r>
      <w:r>
        <w:rPr>
          <w:rFonts w:ascii="Arial" w:hAnsi="Arial" w:cs="Arial"/>
          <w:szCs w:val="24"/>
        </w:rPr>
        <w:t xml:space="preserve">. </w:t>
      </w:r>
    </w:p>
    <w:bookmarkEnd w:id="72"/>
    <w:bookmarkEnd w:id="71"/>
    <w:p w14:paraId="4952FBF9" w14:textId="45E74D84" w:rsidR="005B7D1A" w:rsidRDefault="005B7D1A" w:rsidP="00773A54">
      <w:pPr>
        <w:jc w:val="left"/>
        <w:rPr>
          <w:rFonts w:ascii="Arial" w:hAnsi="Arial" w:cs="Arial"/>
          <w:b/>
          <w:szCs w:val="24"/>
        </w:rPr>
      </w:pPr>
    </w:p>
    <w:p w14:paraId="3AC9170E" w14:textId="2049CEB7" w:rsidR="002C29DB" w:rsidRPr="00AC598B" w:rsidRDefault="00773A54" w:rsidP="00773A54">
      <w:pPr>
        <w:jc w:val="left"/>
        <w:rPr>
          <w:rFonts w:ascii="Arial" w:hAnsi="Arial" w:cs="Arial"/>
          <w:b/>
          <w:szCs w:val="24"/>
        </w:rPr>
      </w:pPr>
      <w:r w:rsidRPr="00AC598B">
        <w:rPr>
          <w:rFonts w:ascii="Arial" w:hAnsi="Arial" w:cs="Arial"/>
          <w:b/>
          <w:szCs w:val="24"/>
        </w:rPr>
        <w:t xml:space="preserve">Free cash flow* </w:t>
      </w:r>
    </w:p>
    <w:p w14:paraId="7278E231" w14:textId="77777777" w:rsidR="00773A54" w:rsidRPr="00AC598B" w:rsidRDefault="00773A54" w:rsidP="00773A54">
      <w:pPr>
        <w:jc w:val="left"/>
        <w:rPr>
          <w:rFonts w:ascii="Arial" w:hAnsi="Arial" w:cs="Arial"/>
          <w:b/>
          <w:szCs w:val="24"/>
        </w:rPr>
      </w:pPr>
    </w:p>
    <w:p w14:paraId="228A6F9C" w14:textId="77777777" w:rsidR="00773A54" w:rsidRPr="00AC598B" w:rsidRDefault="00773A54" w:rsidP="00773A54">
      <w:pPr>
        <w:jc w:val="left"/>
        <w:rPr>
          <w:rFonts w:ascii="Arial" w:hAnsi="Arial" w:cs="Arial"/>
          <w:szCs w:val="24"/>
        </w:rPr>
      </w:pPr>
      <w:r w:rsidRPr="00AC598B">
        <w:rPr>
          <w:rFonts w:ascii="Arial" w:hAnsi="Arial" w:cs="Arial"/>
          <w:szCs w:val="24"/>
        </w:rPr>
        <w:t>A reconciliation of free cash flow is set out below:</w:t>
      </w:r>
    </w:p>
    <w:tbl>
      <w:tblPr>
        <w:tblW w:w="9508" w:type="dxa"/>
        <w:tblInd w:w="98" w:type="dxa"/>
        <w:tblLayout w:type="fixed"/>
        <w:tblLook w:val="0000" w:firstRow="0" w:lastRow="0" w:firstColumn="0" w:lastColumn="0" w:noHBand="0" w:noVBand="0"/>
      </w:tblPr>
      <w:tblGrid>
        <w:gridCol w:w="6531"/>
        <w:gridCol w:w="317"/>
        <w:gridCol w:w="1242"/>
        <w:gridCol w:w="1418"/>
      </w:tblGrid>
      <w:tr w:rsidR="00B06F28" w:rsidRPr="007769BE" w14:paraId="6292A232" w14:textId="77777777" w:rsidTr="00C64D89">
        <w:trPr>
          <w:trHeight w:val="555"/>
        </w:trPr>
        <w:tc>
          <w:tcPr>
            <w:tcW w:w="6531" w:type="dxa"/>
            <w:tcBorders>
              <w:bottom w:val="single" w:sz="4" w:space="0" w:color="auto"/>
            </w:tcBorders>
            <w:shd w:val="clear" w:color="auto" w:fill="auto"/>
            <w:vAlign w:val="bottom"/>
          </w:tcPr>
          <w:p w14:paraId="33E86640" w14:textId="77777777" w:rsidR="00B06F28" w:rsidRPr="00AC598B" w:rsidRDefault="00B06F28" w:rsidP="00C97687">
            <w:pPr>
              <w:jc w:val="left"/>
              <w:rPr>
                <w:rFonts w:ascii="Arial" w:hAnsi="Arial" w:cs="Arial"/>
                <w:bCs/>
                <w:szCs w:val="24"/>
              </w:rPr>
            </w:pPr>
          </w:p>
        </w:tc>
        <w:tc>
          <w:tcPr>
            <w:tcW w:w="1559" w:type="dxa"/>
            <w:gridSpan w:val="2"/>
            <w:tcBorders>
              <w:bottom w:val="single" w:sz="4" w:space="0" w:color="auto"/>
            </w:tcBorders>
          </w:tcPr>
          <w:p w14:paraId="75A77007" w14:textId="298EED23" w:rsidR="00B06F28" w:rsidRPr="00AC598B" w:rsidRDefault="00B06F28" w:rsidP="00C97687">
            <w:pPr>
              <w:jc w:val="right"/>
              <w:rPr>
                <w:rFonts w:ascii="Arial" w:hAnsi="Arial" w:cs="Arial"/>
                <w:b/>
                <w:bCs/>
                <w:szCs w:val="24"/>
              </w:rPr>
            </w:pPr>
            <w:r w:rsidRPr="00AC598B">
              <w:rPr>
                <w:rFonts w:ascii="Arial" w:hAnsi="Arial" w:cs="Arial"/>
                <w:b/>
                <w:bCs/>
                <w:szCs w:val="24"/>
              </w:rPr>
              <w:t>201</w:t>
            </w:r>
            <w:r w:rsidR="009A2010">
              <w:rPr>
                <w:rFonts w:ascii="Arial" w:hAnsi="Arial" w:cs="Arial"/>
                <w:b/>
                <w:bCs/>
                <w:szCs w:val="24"/>
              </w:rPr>
              <w:t>8</w:t>
            </w:r>
            <w:r w:rsidRPr="00AC598B">
              <w:rPr>
                <w:rFonts w:ascii="Arial" w:hAnsi="Arial" w:cs="Arial"/>
                <w:b/>
                <w:bCs/>
                <w:szCs w:val="24"/>
              </w:rPr>
              <w:t>/1</w:t>
            </w:r>
            <w:r w:rsidR="009A2010">
              <w:rPr>
                <w:rFonts w:ascii="Arial" w:hAnsi="Arial" w:cs="Arial"/>
                <w:b/>
                <w:bCs/>
                <w:szCs w:val="24"/>
              </w:rPr>
              <w:t>9</w:t>
            </w:r>
          </w:p>
          <w:p w14:paraId="3381A106" w14:textId="77777777" w:rsidR="00B06F28" w:rsidRPr="00AC598B" w:rsidRDefault="00B06F28" w:rsidP="00C97687">
            <w:pPr>
              <w:jc w:val="right"/>
              <w:rPr>
                <w:rFonts w:ascii="Arial" w:hAnsi="Arial" w:cs="Arial"/>
                <w:b/>
                <w:bCs/>
                <w:szCs w:val="24"/>
              </w:rPr>
            </w:pPr>
            <w:r w:rsidRPr="00AC598B">
              <w:rPr>
                <w:rFonts w:ascii="Arial" w:hAnsi="Arial" w:cs="Arial"/>
                <w:b/>
                <w:bCs/>
                <w:szCs w:val="24"/>
              </w:rPr>
              <w:t>£m</w:t>
            </w:r>
          </w:p>
        </w:tc>
        <w:tc>
          <w:tcPr>
            <w:tcW w:w="1418" w:type="dxa"/>
            <w:tcBorders>
              <w:bottom w:val="single" w:sz="4" w:space="0" w:color="auto"/>
            </w:tcBorders>
          </w:tcPr>
          <w:p w14:paraId="44B5E488" w14:textId="65EA0E18" w:rsidR="00B06F28" w:rsidRPr="00D40749" w:rsidRDefault="00B06F28" w:rsidP="00C97687">
            <w:pPr>
              <w:jc w:val="right"/>
              <w:rPr>
                <w:rFonts w:ascii="Arial" w:hAnsi="Arial" w:cs="Arial"/>
                <w:bCs/>
                <w:szCs w:val="24"/>
              </w:rPr>
            </w:pPr>
            <w:r w:rsidRPr="00D40749">
              <w:rPr>
                <w:rFonts w:ascii="Arial" w:hAnsi="Arial" w:cs="Arial"/>
                <w:bCs/>
                <w:szCs w:val="24"/>
              </w:rPr>
              <w:t>201</w:t>
            </w:r>
            <w:r w:rsidR="009A2010">
              <w:rPr>
                <w:rFonts w:ascii="Arial" w:hAnsi="Arial" w:cs="Arial"/>
                <w:bCs/>
                <w:szCs w:val="24"/>
              </w:rPr>
              <w:t>7</w:t>
            </w:r>
            <w:r w:rsidRPr="00D40749">
              <w:rPr>
                <w:rFonts w:ascii="Arial" w:hAnsi="Arial" w:cs="Arial"/>
                <w:bCs/>
                <w:szCs w:val="24"/>
              </w:rPr>
              <w:t>/1</w:t>
            </w:r>
            <w:r w:rsidR="009A2010">
              <w:rPr>
                <w:rFonts w:ascii="Arial" w:hAnsi="Arial" w:cs="Arial"/>
                <w:bCs/>
                <w:szCs w:val="24"/>
              </w:rPr>
              <w:t>8</w:t>
            </w:r>
          </w:p>
          <w:p w14:paraId="23BB1D85" w14:textId="110D02F6" w:rsidR="00B06F28" w:rsidRPr="008C15E8" w:rsidRDefault="00B06F28" w:rsidP="00C97687">
            <w:pPr>
              <w:jc w:val="right"/>
              <w:rPr>
                <w:rFonts w:ascii="Arial" w:hAnsi="Arial" w:cs="Arial"/>
                <w:bCs/>
                <w:szCs w:val="24"/>
              </w:rPr>
            </w:pPr>
            <w:r w:rsidRPr="00D40749">
              <w:rPr>
                <w:rFonts w:ascii="Arial" w:hAnsi="Arial" w:cs="Arial"/>
                <w:bCs/>
                <w:szCs w:val="24"/>
              </w:rPr>
              <w:t>£m</w:t>
            </w:r>
          </w:p>
        </w:tc>
      </w:tr>
      <w:tr w:rsidR="00D06AFD" w:rsidRPr="007769BE" w14:paraId="293A92FE" w14:textId="77777777" w:rsidTr="00CA1972">
        <w:trPr>
          <w:trHeight w:val="255"/>
        </w:trPr>
        <w:tc>
          <w:tcPr>
            <w:tcW w:w="6848" w:type="dxa"/>
            <w:gridSpan w:val="2"/>
            <w:tcBorders>
              <w:top w:val="single" w:sz="4" w:space="0" w:color="auto"/>
            </w:tcBorders>
            <w:shd w:val="clear" w:color="auto" w:fill="auto"/>
            <w:vAlign w:val="bottom"/>
          </w:tcPr>
          <w:p w14:paraId="3C5560A1" w14:textId="60734C66" w:rsidR="00D06AFD" w:rsidRPr="00AC598B" w:rsidRDefault="00D06AFD" w:rsidP="00D06AFD">
            <w:pPr>
              <w:rPr>
                <w:rFonts w:ascii="Arial" w:hAnsi="Arial" w:cs="Arial"/>
                <w:b/>
                <w:szCs w:val="24"/>
              </w:rPr>
            </w:pPr>
            <w:r>
              <w:rPr>
                <w:rFonts w:ascii="Arial" w:hAnsi="Arial" w:cs="Arial"/>
                <w:b/>
                <w:szCs w:val="24"/>
              </w:rPr>
              <w:t>Operating profit</w:t>
            </w:r>
          </w:p>
        </w:tc>
        <w:tc>
          <w:tcPr>
            <w:tcW w:w="1242" w:type="dxa"/>
            <w:tcBorders>
              <w:top w:val="single" w:sz="4" w:space="0" w:color="auto"/>
            </w:tcBorders>
          </w:tcPr>
          <w:p w14:paraId="3268C9C5" w14:textId="6D939E03" w:rsidR="00D06AFD" w:rsidRPr="004215EF" w:rsidRDefault="004D4EB3" w:rsidP="00D06AFD">
            <w:pPr>
              <w:jc w:val="right"/>
              <w:rPr>
                <w:rFonts w:ascii="Arial" w:hAnsi="Arial" w:cs="Arial"/>
                <w:b/>
                <w:szCs w:val="24"/>
              </w:rPr>
            </w:pPr>
            <w:r w:rsidRPr="004215EF">
              <w:rPr>
                <w:rFonts w:ascii="Arial" w:hAnsi="Arial" w:cs="Arial"/>
                <w:b/>
                <w:szCs w:val="24"/>
              </w:rPr>
              <w:t>284</w:t>
            </w:r>
          </w:p>
        </w:tc>
        <w:tc>
          <w:tcPr>
            <w:tcW w:w="1418" w:type="dxa"/>
            <w:tcBorders>
              <w:top w:val="single" w:sz="4" w:space="0" w:color="auto"/>
            </w:tcBorders>
            <w:vAlign w:val="bottom"/>
          </w:tcPr>
          <w:p w14:paraId="791156C4" w14:textId="41C77301" w:rsidR="00D06AFD" w:rsidRPr="009A2010" w:rsidRDefault="00D06AFD" w:rsidP="00D06AFD">
            <w:pPr>
              <w:jc w:val="right"/>
              <w:rPr>
                <w:rFonts w:ascii="Arial" w:hAnsi="Arial" w:cs="Arial"/>
                <w:szCs w:val="24"/>
              </w:rPr>
            </w:pPr>
            <w:r w:rsidRPr="009A2010">
              <w:rPr>
                <w:rFonts w:ascii="Arial" w:hAnsi="Arial" w:cs="Arial"/>
                <w:szCs w:val="24"/>
              </w:rPr>
              <w:t>401</w:t>
            </w:r>
          </w:p>
        </w:tc>
      </w:tr>
      <w:tr w:rsidR="00D06AFD" w:rsidRPr="00657422" w14:paraId="02F3600A" w14:textId="77777777" w:rsidTr="00CA1972">
        <w:trPr>
          <w:trHeight w:val="255"/>
        </w:trPr>
        <w:tc>
          <w:tcPr>
            <w:tcW w:w="6848" w:type="dxa"/>
            <w:gridSpan w:val="2"/>
            <w:shd w:val="clear" w:color="auto" w:fill="auto"/>
            <w:vAlign w:val="bottom"/>
          </w:tcPr>
          <w:p w14:paraId="3CE35A0E" w14:textId="5FA121A3" w:rsidR="00D06AFD" w:rsidRPr="00C64D89" w:rsidRDefault="00D06AFD" w:rsidP="00D06AFD">
            <w:pPr>
              <w:rPr>
                <w:rFonts w:ascii="Arial" w:hAnsi="Arial" w:cs="Arial"/>
                <w:szCs w:val="24"/>
              </w:rPr>
            </w:pPr>
            <w:r w:rsidRPr="00C64D89">
              <w:rPr>
                <w:rFonts w:ascii="Arial" w:hAnsi="Arial" w:cs="Arial"/>
                <w:szCs w:val="24"/>
              </w:rPr>
              <w:t>Exceptional items</w:t>
            </w:r>
          </w:p>
        </w:tc>
        <w:tc>
          <w:tcPr>
            <w:tcW w:w="1242" w:type="dxa"/>
          </w:tcPr>
          <w:p w14:paraId="79028D9E" w14:textId="0A451B73" w:rsidR="00D06AFD" w:rsidRPr="004215EF" w:rsidRDefault="004D4EB3" w:rsidP="00D06AFD">
            <w:pPr>
              <w:jc w:val="right"/>
              <w:rPr>
                <w:rFonts w:ascii="Arial" w:hAnsi="Arial" w:cs="Arial"/>
                <w:b/>
                <w:szCs w:val="24"/>
              </w:rPr>
            </w:pPr>
            <w:r w:rsidRPr="004215EF">
              <w:rPr>
                <w:rFonts w:ascii="Arial" w:hAnsi="Arial" w:cs="Arial"/>
                <w:b/>
                <w:szCs w:val="24"/>
              </w:rPr>
              <w:t>4</w:t>
            </w:r>
            <w:r w:rsidR="005F7A64">
              <w:rPr>
                <w:rFonts w:ascii="Arial" w:hAnsi="Arial" w:cs="Arial"/>
                <w:b/>
                <w:szCs w:val="24"/>
              </w:rPr>
              <w:t>2</w:t>
            </w:r>
          </w:p>
        </w:tc>
        <w:tc>
          <w:tcPr>
            <w:tcW w:w="1418" w:type="dxa"/>
            <w:vAlign w:val="bottom"/>
          </w:tcPr>
          <w:p w14:paraId="71FFF1FD" w14:textId="11C64B1D" w:rsidR="00D06AFD" w:rsidRPr="009A2010" w:rsidRDefault="00D06AFD" w:rsidP="00D06AFD">
            <w:pPr>
              <w:jc w:val="right"/>
              <w:rPr>
                <w:rFonts w:ascii="Arial" w:hAnsi="Arial" w:cs="Arial"/>
                <w:szCs w:val="24"/>
              </w:rPr>
            </w:pPr>
            <w:r w:rsidRPr="009A2010">
              <w:rPr>
                <w:rFonts w:ascii="Arial" w:hAnsi="Arial" w:cs="Arial"/>
                <w:szCs w:val="24"/>
              </w:rPr>
              <w:t>(8)</w:t>
            </w:r>
          </w:p>
        </w:tc>
      </w:tr>
      <w:tr w:rsidR="00D06AFD" w:rsidRPr="007769BE" w14:paraId="11C06CAF" w14:textId="77777777" w:rsidTr="00CA1972">
        <w:trPr>
          <w:trHeight w:val="255"/>
        </w:trPr>
        <w:tc>
          <w:tcPr>
            <w:tcW w:w="6848" w:type="dxa"/>
            <w:gridSpan w:val="2"/>
            <w:tcBorders>
              <w:top w:val="single" w:sz="4" w:space="0" w:color="auto"/>
            </w:tcBorders>
            <w:shd w:val="clear" w:color="auto" w:fill="auto"/>
            <w:vAlign w:val="bottom"/>
          </w:tcPr>
          <w:p w14:paraId="2E65494F" w14:textId="77777777" w:rsidR="00D06AFD" w:rsidRPr="00AC598B" w:rsidRDefault="00D06AFD" w:rsidP="00D06AFD">
            <w:pPr>
              <w:rPr>
                <w:rFonts w:ascii="Arial" w:hAnsi="Arial" w:cs="Arial"/>
                <w:b/>
                <w:szCs w:val="24"/>
              </w:rPr>
            </w:pPr>
            <w:r w:rsidRPr="00AC598B">
              <w:rPr>
                <w:rFonts w:ascii="Arial" w:hAnsi="Arial" w:cs="Arial"/>
                <w:b/>
                <w:szCs w:val="24"/>
              </w:rPr>
              <w:t>Operating profit (before exceptional items)</w:t>
            </w:r>
          </w:p>
        </w:tc>
        <w:tc>
          <w:tcPr>
            <w:tcW w:w="1242" w:type="dxa"/>
            <w:tcBorders>
              <w:top w:val="single" w:sz="4" w:space="0" w:color="auto"/>
            </w:tcBorders>
          </w:tcPr>
          <w:p w14:paraId="7EBA19D0" w14:textId="183ACAC5" w:rsidR="00D06AFD" w:rsidRPr="004215EF" w:rsidRDefault="004D4EB3" w:rsidP="00D06AFD">
            <w:pPr>
              <w:jc w:val="right"/>
              <w:rPr>
                <w:rFonts w:ascii="Arial" w:hAnsi="Arial" w:cs="Arial"/>
                <w:b/>
                <w:szCs w:val="24"/>
              </w:rPr>
            </w:pPr>
            <w:r w:rsidRPr="004215EF">
              <w:rPr>
                <w:rFonts w:ascii="Arial" w:hAnsi="Arial" w:cs="Arial"/>
                <w:b/>
                <w:szCs w:val="24"/>
              </w:rPr>
              <w:t>32</w:t>
            </w:r>
            <w:r w:rsidR="005F7A64">
              <w:rPr>
                <w:rFonts w:ascii="Arial" w:hAnsi="Arial" w:cs="Arial"/>
                <w:b/>
                <w:szCs w:val="24"/>
              </w:rPr>
              <w:t>6</w:t>
            </w:r>
          </w:p>
        </w:tc>
        <w:tc>
          <w:tcPr>
            <w:tcW w:w="1418" w:type="dxa"/>
            <w:tcBorders>
              <w:top w:val="single" w:sz="4" w:space="0" w:color="auto"/>
            </w:tcBorders>
            <w:vAlign w:val="bottom"/>
          </w:tcPr>
          <w:p w14:paraId="2332FFF0" w14:textId="4921AC39" w:rsidR="00D06AFD" w:rsidRPr="009A2010" w:rsidRDefault="00D06AFD" w:rsidP="00D06AFD">
            <w:pPr>
              <w:jc w:val="right"/>
              <w:rPr>
                <w:rFonts w:ascii="Arial" w:hAnsi="Arial" w:cs="Arial"/>
                <w:szCs w:val="24"/>
              </w:rPr>
            </w:pPr>
            <w:r w:rsidRPr="009A2010">
              <w:rPr>
                <w:rFonts w:ascii="Arial" w:hAnsi="Arial" w:cs="Arial"/>
                <w:szCs w:val="24"/>
              </w:rPr>
              <w:t>393</w:t>
            </w:r>
          </w:p>
        </w:tc>
      </w:tr>
      <w:tr w:rsidR="00D06AFD" w:rsidRPr="007769BE" w14:paraId="3C36A993" w14:textId="77777777" w:rsidTr="00CA1972">
        <w:trPr>
          <w:trHeight w:val="270"/>
        </w:trPr>
        <w:tc>
          <w:tcPr>
            <w:tcW w:w="6848" w:type="dxa"/>
            <w:gridSpan w:val="2"/>
            <w:shd w:val="clear" w:color="auto" w:fill="auto"/>
            <w:vAlign w:val="bottom"/>
          </w:tcPr>
          <w:p w14:paraId="1E162C46" w14:textId="77777777" w:rsidR="00D06AFD" w:rsidRPr="00AC598B" w:rsidRDefault="00D06AFD" w:rsidP="00D06AFD">
            <w:pPr>
              <w:rPr>
                <w:rFonts w:ascii="Arial" w:hAnsi="Arial" w:cs="Arial"/>
                <w:szCs w:val="24"/>
              </w:rPr>
            </w:pPr>
            <w:r w:rsidRPr="00AC598B">
              <w:rPr>
                <w:rFonts w:ascii="Arial" w:hAnsi="Arial" w:cs="Arial"/>
                <w:szCs w:val="24"/>
              </w:rPr>
              <w:t xml:space="preserve">Other non-cash </w:t>
            </w:r>
            <w:proofErr w:type="gramStart"/>
            <w:r w:rsidRPr="00AC598B">
              <w:rPr>
                <w:rFonts w:ascii="Arial" w:hAnsi="Arial" w:cs="Arial"/>
                <w:szCs w:val="24"/>
              </w:rPr>
              <w:t>items</w:t>
            </w:r>
            <w:r w:rsidRPr="00AC598B">
              <w:rPr>
                <w:rFonts w:ascii="Arial" w:hAnsi="Arial" w:cs="Arial"/>
                <w:sz w:val="18"/>
                <w:szCs w:val="20"/>
                <w:vertAlign w:val="superscript"/>
              </w:rPr>
              <w:t>(</w:t>
            </w:r>
            <w:proofErr w:type="gramEnd"/>
            <w:r w:rsidRPr="00AC598B">
              <w:rPr>
                <w:rFonts w:ascii="Arial" w:hAnsi="Arial" w:cs="Arial"/>
                <w:sz w:val="18"/>
                <w:szCs w:val="20"/>
                <w:vertAlign w:val="superscript"/>
              </w:rPr>
              <w:t>1)</w:t>
            </w:r>
          </w:p>
        </w:tc>
        <w:tc>
          <w:tcPr>
            <w:tcW w:w="1242" w:type="dxa"/>
          </w:tcPr>
          <w:p w14:paraId="53AD43D5" w14:textId="22819FB1" w:rsidR="00D06AFD" w:rsidRPr="004215EF" w:rsidRDefault="004D4EB3" w:rsidP="00D06AFD">
            <w:pPr>
              <w:jc w:val="right"/>
              <w:rPr>
                <w:rFonts w:ascii="Arial" w:hAnsi="Arial" w:cs="Arial"/>
                <w:b/>
                <w:szCs w:val="24"/>
              </w:rPr>
            </w:pPr>
            <w:r w:rsidRPr="004215EF">
              <w:rPr>
                <w:rFonts w:ascii="Arial" w:hAnsi="Arial" w:cs="Arial"/>
                <w:b/>
                <w:szCs w:val="24"/>
              </w:rPr>
              <w:t>15</w:t>
            </w:r>
            <w:r w:rsidR="005F7A64">
              <w:rPr>
                <w:rFonts w:ascii="Arial" w:hAnsi="Arial" w:cs="Arial"/>
                <w:b/>
                <w:szCs w:val="24"/>
              </w:rPr>
              <w:t>1</w:t>
            </w:r>
          </w:p>
        </w:tc>
        <w:tc>
          <w:tcPr>
            <w:tcW w:w="1418" w:type="dxa"/>
            <w:vAlign w:val="bottom"/>
          </w:tcPr>
          <w:p w14:paraId="41C468C1" w14:textId="3CAF0F90" w:rsidR="00D06AFD" w:rsidRPr="009A2010" w:rsidRDefault="00D06AFD" w:rsidP="00D06AFD">
            <w:pPr>
              <w:jc w:val="right"/>
              <w:rPr>
                <w:rFonts w:ascii="Arial" w:hAnsi="Arial" w:cs="Arial"/>
                <w:szCs w:val="24"/>
              </w:rPr>
            </w:pPr>
            <w:r w:rsidRPr="009A2010">
              <w:rPr>
                <w:rFonts w:ascii="Arial" w:hAnsi="Arial" w:cs="Arial"/>
                <w:szCs w:val="24"/>
              </w:rPr>
              <w:t>143</w:t>
            </w:r>
          </w:p>
        </w:tc>
      </w:tr>
      <w:tr w:rsidR="00D06AFD" w:rsidRPr="007769BE" w14:paraId="5F8E9A2A" w14:textId="77777777" w:rsidTr="00CA1972">
        <w:trPr>
          <w:trHeight w:val="247"/>
        </w:trPr>
        <w:tc>
          <w:tcPr>
            <w:tcW w:w="6848" w:type="dxa"/>
            <w:gridSpan w:val="2"/>
            <w:shd w:val="clear" w:color="auto" w:fill="auto"/>
            <w:vAlign w:val="bottom"/>
          </w:tcPr>
          <w:p w14:paraId="18143A2E" w14:textId="77777777" w:rsidR="00D06AFD" w:rsidRPr="00AC598B" w:rsidRDefault="00D06AFD" w:rsidP="00D06AFD">
            <w:pPr>
              <w:rPr>
                <w:rFonts w:ascii="Arial" w:hAnsi="Arial" w:cs="Arial"/>
                <w:szCs w:val="24"/>
              </w:rPr>
            </w:pPr>
            <w:r w:rsidRPr="00AC598B">
              <w:rPr>
                <w:rFonts w:ascii="Arial" w:hAnsi="Arial" w:cs="Arial"/>
                <w:szCs w:val="24"/>
              </w:rPr>
              <w:t>Change in working capital</w:t>
            </w:r>
          </w:p>
        </w:tc>
        <w:tc>
          <w:tcPr>
            <w:tcW w:w="1242" w:type="dxa"/>
          </w:tcPr>
          <w:p w14:paraId="5B08BF04" w14:textId="61D7FEA6" w:rsidR="00D06AFD" w:rsidRPr="00F01C34" w:rsidRDefault="00825079" w:rsidP="00D06AFD">
            <w:pPr>
              <w:jc w:val="right"/>
              <w:rPr>
                <w:rFonts w:ascii="Arial" w:hAnsi="Arial" w:cs="Arial"/>
                <w:b/>
                <w:szCs w:val="24"/>
              </w:rPr>
            </w:pPr>
            <w:r w:rsidRPr="00F01C34">
              <w:rPr>
                <w:rFonts w:ascii="Arial" w:hAnsi="Arial" w:cs="Arial"/>
                <w:b/>
                <w:szCs w:val="24"/>
              </w:rPr>
              <w:t>7</w:t>
            </w:r>
            <w:r w:rsidR="004215EF">
              <w:rPr>
                <w:rFonts w:ascii="Arial" w:hAnsi="Arial" w:cs="Arial"/>
                <w:b/>
                <w:szCs w:val="24"/>
              </w:rPr>
              <w:t>7</w:t>
            </w:r>
          </w:p>
        </w:tc>
        <w:tc>
          <w:tcPr>
            <w:tcW w:w="1418" w:type="dxa"/>
            <w:vAlign w:val="bottom"/>
          </w:tcPr>
          <w:p w14:paraId="68999B4F" w14:textId="27012BC2" w:rsidR="00D06AFD" w:rsidRPr="009A2010" w:rsidRDefault="00D06AFD" w:rsidP="00D06AFD">
            <w:pPr>
              <w:jc w:val="right"/>
              <w:rPr>
                <w:rFonts w:ascii="Arial" w:hAnsi="Arial" w:cs="Arial"/>
                <w:szCs w:val="24"/>
              </w:rPr>
            </w:pPr>
            <w:r w:rsidRPr="009A2010">
              <w:rPr>
                <w:rFonts w:ascii="Arial" w:hAnsi="Arial" w:cs="Arial"/>
                <w:szCs w:val="24"/>
              </w:rPr>
              <w:t>39</w:t>
            </w:r>
          </w:p>
        </w:tc>
      </w:tr>
      <w:tr w:rsidR="00D06AFD" w:rsidRPr="007769BE" w14:paraId="70BD61E3" w14:textId="77777777" w:rsidTr="00CA1972">
        <w:trPr>
          <w:trHeight w:val="255"/>
        </w:trPr>
        <w:tc>
          <w:tcPr>
            <w:tcW w:w="6848" w:type="dxa"/>
            <w:gridSpan w:val="2"/>
            <w:tcBorders>
              <w:bottom w:val="single" w:sz="4" w:space="0" w:color="auto"/>
            </w:tcBorders>
            <w:shd w:val="clear" w:color="auto" w:fill="auto"/>
            <w:vAlign w:val="bottom"/>
          </w:tcPr>
          <w:p w14:paraId="7CBD26FA" w14:textId="77777777" w:rsidR="00D06AFD" w:rsidRPr="00AC598B" w:rsidRDefault="00D06AFD" w:rsidP="00D06AFD">
            <w:pPr>
              <w:rPr>
                <w:rFonts w:ascii="Arial" w:hAnsi="Arial" w:cs="Arial"/>
                <w:szCs w:val="24"/>
              </w:rPr>
            </w:pPr>
            <w:r w:rsidRPr="00AC598B">
              <w:rPr>
                <w:rFonts w:ascii="Arial" w:hAnsi="Arial" w:cs="Arial"/>
                <w:szCs w:val="24"/>
              </w:rPr>
              <w:t>Pensions and provisions</w:t>
            </w:r>
          </w:p>
        </w:tc>
        <w:tc>
          <w:tcPr>
            <w:tcW w:w="1242" w:type="dxa"/>
            <w:tcBorders>
              <w:bottom w:val="single" w:sz="4" w:space="0" w:color="auto"/>
            </w:tcBorders>
          </w:tcPr>
          <w:p w14:paraId="7F8D5055" w14:textId="36510CBC" w:rsidR="00D06AFD" w:rsidRPr="00F01C34" w:rsidRDefault="00825079" w:rsidP="00D06AFD">
            <w:pPr>
              <w:jc w:val="right"/>
              <w:rPr>
                <w:rFonts w:ascii="Arial" w:hAnsi="Arial" w:cs="Arial"/>
                <w:b/>
                <w:szCs w:val="24"/>
              </w:rPr>
            </w:pPr>
            <w:r w:rsidRPr="00F01C34">
              <w:rPr>
                <w:rFonts w:ascii="Arial" w:hAnsi="Arial" w:cs="Arial"/>
                <w:b/>
                <w:szCs w:val="24"/>
              </w:rPr>
              <w:t>(</w:t>
            </w:r>
            <w:r w:rsidR="004215EF">
              <w:rPr>
                <w:rFonts w:ascii="Arial" w:hAnsi="Arial" w:cs="Arial"/>
                <w:b/>
                <w:szCs w:val="24"/>
              </w:rPr>
              <w:t>23</w:t>
            </w:r>
            <w:r w:rsidRPr="00F01C34">
              <w:rPr>
                <w:rFonts w:ascii="Arial" w:hAnsi="Arial" w:cs="Arial"/>
                <w:b/>
                <w:szCs w:val="24"/>
              </w:rPr>
              <w:t>)</w:t>
            </w:r>
          </w:p>
        </w:tc>
        <w:tc>
          <w:tcPr>
            <w:tcW w:w="1418" w:type="dxa"/>
            <w:tcBorders>
              <w:bottom w:val="single" w:sz="4" w:space="0" w:color="auto"/>
            </w:tcBorders>
            <w:vAlign w:val="bottom"/>
          </w:tcPr>
          <w:p w14:paraId="4FF1A15D" w14:textId="3EAD31A8" w:rsidR="00D06AFD" w:rsidRPr="009A2010" w:rsidRDefault="00D06AFD" w:rsidP="00D06AFD">
            <w:pPr>
              <w:jc w:val="right"/>
              <w:rPr>
                <w:rFonts w:ascii="Arial" w:hAnsi="Arial" w:cs="Arial"/>
                <w:szCs w:val="24"/>
              </w:rPr>
            </w:pPr>
            <w:r w:rsidRPr="009A2010">
              <w:rPr>
                <w:rFonts w:ascii="Arial" w:hAnsi="Arial" w:cs="Arial"/>
                <w:szCs w:val="24"/>
              </w:rPr>
              <w:t>(19)</w:t>
            </w:r>
          </w:p>
        </w:tc>
      </w:tr>
      <w:tr w:rsidR="00CA6BAE" w:rsidRPr="007769BE" w14:paraId="2F0F146E" w14:textId="77777777" w:rsidTr="004215EF">
        <w:trPr>
          <w:trHeight w:val="255"/>
        </w:trPr>
        <w:tc>
          <w:tcPr>
            <w:tcW w:w="6848" w:type="dxa"/>
            <w:gridSpan w:val="2"/>
            <w:tcBorders>
              <w:top w:val="single" w:sz="4" w:space="0" w:color="auto"/>
            </w:tcBorders>
            <w:shd w:val="clear" w:color="auto" w:fill="auto"/>
            <w:vAlign w:val="bottom"/>
          </w:tcPr>
          <w:p w14:paraId="2C614710" w14:textId="77777777" w:rsidR="00CA6BAE" w:rsidRPr="00F74468" w:rsidRDefault="00CA6BAE" w:rsidP="00CA6BAE">
            <w:pPr>
              <w:rPr>
                <w:rFonts w:ascii="Arial" w:hAnsi="Arial" w:cs="Arial"/>
                <w:b/>
                <w:szCs w:val="24"/>
              </w:rPr>
            </w:pPr>
            <w:r w:rsidRPr="00F74468">
              <w:rPr>
                <w:rFonts w:ascii="Arial" w:hAnsi="Arial" w:cs="Arial"/>
                <w:b/>
                <w:szCs w:val="24"/>
              </w:rPr>
              <w:t>Operating cash flow</w:t>
            </w:r>
          </w:p>
        </w:tc>
        <w:tc>
          <w:tcPr>
            <w:tcW w:w="1242" w:type="dxa"/>
            <w:tcBorders>
              <w:top w:val="single" w:sz="4" w:space="0" w:color="auto"/>
            </w:tcBorders>
          </w:tcPr>
          <w:p w14:paraId="2AF0058F" w14:textId="5E624763" w:rsidR="00CA6BAE" w:rsidRPr="00F01C34" w:rsidRDefault="00CA6BAE" w:rsidP="00CA6BAE">
            <w:pPr>
              <w:jc w:val="right"/>
              <w:rPr>
                <w:rFonts w:ascii="Arial" w:hAnsi="Arial" w:cs="Arial"/>
                <w:b/>
                <w:szCs w:val="24"/>
              </w:rPr>
            </w:pPr>
            <w:r w:rsidRPr="00F01C34">
              <w:rPr>
                <w:rFonts w:ascii="Arial" w:hAnsi="Arial" w:cs="Arial"/>
                <w:b/>
                <w:szCs w:val="24"/>
              </w:rPr>
              <w:t>53</w:t>
            </w:r>
            <w:r w:rsidR="004215EF">
              <w:rPr>
                <w:rFonts w:ascii="Arial" w:hAnsi="Arial" w:cs="Arial"/>
                <w:b/>
                <w:szCs w:val="24"/>
              </w:rPr>
              <w:t>1</w:t>
            </w:r>
          </w:p>
        </w:tc>
        <w:tc>
          <w:tcPr>
            <w:tcW w:w="1418" w:type="dxa"/>
            <w:tcBorders>
              <w:top w:val="single" w:sz="4" w:space="0" w:color="auto"/>
            </w:tcBorders>
          </w:tcPr>
          <w:p w14:paraId="38ED8FE5" w14:textId="6DE7A9FA" w:rsidR="00CA6BAE" w:rsidRPr="00CA6BAE" w:rsidRDefault="00CA6BAE" w:rsidP="00CA6BAE">
            <w:pPr>
              <w:jc w:val="right"/>
              <w:rPr>
                <w:rFonts w:ascii="Arial" w:hAnsi="Arial" w:cs="Arial"/>
                <w:szCs w:val="24"/>
              </w:rPr>
            </w:pPr>
            <w:r w:rsidRPr="004215EF">
              <w:rPr>
                <w:rFonts w:ascii="Arial" w:hAnsi="Arial" w:cs="Arial"/>
                <w:szCs w:val="24"/>
              </w:rPr>
              <w:t>5</w:t>
            </w:r>
            <w:r>
              <w:rPr>
                <w:rFonts w:ascii="Arial" w:hAnsi="Arial" w:cs="Arial"/>
                <w:szCs w:val="24"/>
              </w:rPr>
              <w:t>56</w:t>
            </w:r>
          </w:p>
        </w:tc>
      </w:tr>
      <w:tr w:rsidR="00CA6BAE" w:rsidRPr="00A52241" w14:paraId="512E97EC" w14:textId="77777777" w:rsidTr="004215EF">
        <w:trPr>
          <w:trHeight w:val="311"/>
        </w:trPr>
        <w:tc>
          <w:tcPr>
            <w:tcW w:w="6848" w:type="dxa"/>
            <w:gridSpan w:val="2"/>
            <w:shd w:val="clear" w:color="auto" w:fill="auto"/>
            <w:vAlign w:val="bottom"/>
          </w:tcPr>
          <w:p w14:paraId="708F9B12" w14:textId="77777777" w:rsidR="00CA6BAE" w:rsidRPr="00CA6BAE" w:rsidRDefault="00CA6BAE" w:rsidP="00CA6BAE">
            <w:pPr>
              <w:rPr>
                <w:rFonts w:ascii="Arial" w:hAnsi="Arial" w:cs="Arial"/>
                <w:szCs w:val="24"/>
              </w:rPr>
            </w:pPr>
            <w:r w:rsidRPr="00CA6BAE">
              <w:rPr>
                <w:rFonts w:ascii="Arial" w:hAnsi="Arial" w:cs="Arial"/>
                <w:szCs w:val="24"/>
              </w:rPr>
              <w:t>Net interest paid</w:t>
            </w:r>
          </w:p>
        </w:tc>
        <w:tc>
          <w:tcPr>
            <w:tcW w:w="1242" w:type="dxa"/>
          </w:tcPr>
          <w:p w14:paraId="503CFCF2" w14:textId="7B59788D" w:rsidR="00CA6BAE" w:rsidRPr="00CA6BAE" w:rsidRDefault="00CA6BAE" w:rsidP="00CA6BAE">
            <w:pPr>
              <w:jc w:val="right"/>
              <w:rPr>
                <w:rFonts w:ascii="Arial" w:hAnsi="Arial" w:cs="Arial"/>
                <w:b/>
                <w:szCs w:val="24"/>
              </w:rPr>
            </w:pPr>
            <w:r w:rsidRPr="00CA6BAE">
              <w:rPr>
                <w:rFonts w:ascii="Arial" w:hAnsi="Arial" w:cs="Arial"/>
                <w:b/>
                <w:szCs w:val="24"/>
              </w:rPr>
              <w:t>(</w:t>
            </w:r>
            <w:r w:rsidR="004215EF">
              <w:rPr>
                <w:rFonts w:ascii="Arial" w:hAnsi="Arial" w:cs="Arial"/>
                <w:b/>
                <w:szCs w:val="24"/>
              </w:rPr>
              <w:t>4</w:t>
            </w:r>
            <w:r w:rsidRPr="00CA6BAE">
              <w:rPr>
                <w:rFonts w:ascii="Arial" w:hAnsi="Arial" w:cs="Arial"/>
                <w:b/>
                <w:szCs w:val="24"/>
              </w:rPr>
              <w:t>)</w:t>
            </w:r>
          </w:p>
        </w:tc>
        <w:tc>
          <w:tcPr>
            <w:tcW w:w="1418" w:type="dxa"/>
          </w:tcPr>
          <w:p w14:paraId="42B91E6C" w14:textId="6B70C2D8" w:rsidR="00CA6BAE" w:rsidRPr="004215EF" w:rsidRDefault="00CA6BAE" w:rsidP="00CA6BAE">
            <w:pPr>
              <w:jc w:val="right"/>
              <w:rPr>
                <w:rFonts w:ascii="Arial" w:hAnsi="Arial" w:cs="Arial"/>
                <w:szCs w:val="24"/>
              </w:rPr>
            </w:pPr>
            <w:r w:rsidRPr="004215EF">
              <w:rPr>
                <w:rFonts w:ascii="Arial" w:hAnsi="Arial" w:cs="Arial"/>
                <w:szCs w:val="24"/>
              </w:rPr>
              <w:t>(</w:t>
            </w:r>
            <w:r>
              <w:rPr>
                <w:rFonts w:ascii="Arial" w:hAnsi="Arial" w:cs="Arial"/>
                <w:szCs w:val="24"/>
              </w:rPr>
              <w:t>1</w:t>
            </w:r>
            <w:r w:rsidRPr="004215EF">
              <w:rPr>
                <w:rFonts w:ascii="Arial" w:hAnsi="Arial" w:cs="Arial"/>
                <w:szCs w:val="24"/>
              </w:rPr>
              <w:t>)</w:t>
            </w:r>
          </w:p>
        </w:tc>
      </w:tr>
      <w:tr w:rsidR="00CA6BAE" w:rsidRPr="00A52241" w14:paraId="661ECCE5" w14:textId="77777777" w:rsidTr="004215EF">
        <w:trPr>
          <w:trHeight w:val="270"/>
        </w:trPr>
        <w:tc>
          <w:tcPr>
            <w:tcW w:w="6848" w:type="dxa"/>
            <w:gridSpan w:val="2"/>
            <w:shd w:val="clear" w:color="auto" w:fill="auto"/>
            <w:vAlign w:val="bottom"/>
          </w:tcPr>
          <w:p w14:paraId="0387113B" w14:textId="77777777" w:rsidR="00CA6BAE" w:rsidRPr="00AC598B" w:rsidRDefault="00CA6BAE" w:rsidP="00CA6BAE">
            <w:pPr>
              <w:rPr>
                <w:rFonts w:ascii="Arial" w:hAnsi="Arial" w:cs="Arial"/>
                <w:szCs w:val="24"/>
              </w:rPr>
            </w:pPr>
            <w:r w:rsidRPr="00AC598B">
              <w:rPr>
                <w:rFonts w:ascii="Arial" w:hAnsi="Arial" w:cs="Arial"/>
                <w:szCs w:val="24"/>
              </w:rPr>
              <w:t>Tax paid</w:t>
            </w:r>
          </w:p>
        </w:tc>
        <w:tc>
          <w:tcPr>
            <w:tcW w:w="1242" w:type="dxa"/>
          </w:tcPr>
          <w:p w14:paraId="6FACA566" w14:textId="0426588E" w:rsidR="00CA6BAE" w:rsidRPr="00F01C34" w:rsidRDefault="00CA6BAE" w:rsidP="00CA6BAE">
            <w:pPr>
              <w:jc w:val="right"/>
              <w:rPr>
                <w:rFonts w:ascii="Arial" w:hAnsi="Arial" w:cs="Arial"/>
                <w:b/>
                <w:szCs w:val="24"/>
              </w:rPr>
            </w:pPr>
            <w:r w:rsidRPr="00F01C34">
              <w:rPr>
                <w:rFonts w:ascii="Arial" w:hAnsi="Arial" w:cs="Arial"/>
                <w:b/>
                <w:szCs w:val="24"/>
              </w:rPr>
              <w:t>(77)</w:t>
            </w:r>
          </w:p>
        </w:tc>
        <w:tc>
          <w:tcPr>
            <w:tcW w:w="1418" w:type="dxa"/>
          </w:tcPr>
          <w:p w14:paraId="33CF84D1" w14:textId="5FEFCF61" w:rsidR="00CA6BAE" w:rsidRPr="00CA6BAE" w:rsidRDefault="00CA6BAE" w:rsidP="00CA6BAE">
            <w:pPr>
              <w:jc w:val="right"/>
              <w:rPr>
                <w:rFonts w:ascii="Arial" w:hAnsi="Arial" w:cs="Arial"/>
                <w:szCs w:val="24"/>
              </w:rPr>
            </w:pPr>
            <w:r w:rsidRPr="004215EF">
              <w:rPr>
                <w:rFonts w:ascii="Arial" w:hAnsi="Arial" w:cs="Arial"/>
                <w:szCs w:val="24"/>
              </w:rPr>
              <w:t>(</w:t>
            </w:r>
            <w:r>
              <w:rPr>
                <w:rFonts w:ascii="Arial" w:hAnsi="Arial" w:cs="Arial"/>
                <w:szCs w:val="24"/>
              </w:rPr>
              <w:t>99</w:t>
            </w:r>
            <w:r w:rsidRPr="004215EF">
              <w:rPr>
                <w:rFonts w:ascii="Arial" w:hAnsi="Arial" w:cs="Arial"/>
                <w:szCs w:val="24"/>
              </w:rPr>
              <w:t>)</w:t>
            </w:r>
          </w:p>
        </w:tc>
      </w:tr>
      <w:tr w:rsidR="00CA6BAE" w:rsidRPr="007769BE" w14:paraId="66C6BF37" w14:textId="77777777" w:rsidTr="004215EF">
        <w:trPr>
          <w:trHeight w:val="270"/>
        </w:trPr>
        <w:tc>
          <w:tcPr>
            <w:tcW w:w="6848" w:type="dxa"/>
            <w:gridSpan w:val="2"/>
            <w:shd w:val="clear" w:color="auto" w:fill="auto"/>
            <w:vAlign w:val="bottom"/>
          </w:tcPr>
          <w:p w14:paraId="46A758F0" w14:textId="77777777" w:rsidR="00CA6BAE" w:rsidRPr="00AC598B" w:rsidRDefault="00CA6BAE" w:rsidP="00CA6BAE">
            <w:pPr>
              <w:rPr>
                <w:rFonts w:ascii="Arial" w:hAnsi="Arial" w:cs="Arial"/>
                <w:szCs w:val="24"/>
              </w:rPr>
            </w:pPr>
            <w:r w:rsidRPr="00AC598B">
              <w:rPr>
                <w:rFonts w:ascii="Arial" w:hAnsi="Arial" w:cs="Arial"/>
                <w:szCs w:val="24"/>
              </w:rPr>
              <w:t xml:space="preserve">Gross capital expenditure </w:t>
            </w:r>
          </w:p>
        </w:tc>
        <w:tc>
          <w:tcPr>
            <w:tcW w:w="1242" w:type="dxa"/>
          </w:tcPr>
          <w:p w14:paraId="1D0BD0AC" w14:textId="4E1FF875" w:rsidR="00CA6BAE" w:rsidRPr="00F01C34" w:rsidRDefault="00CA6BAE" w:rsidP="00CA6BAE">
            <w:pPr>
              <w:jc w:val="right"/>
              <w:rPr>
                <w:rFonts w:ascii="Arial" w:hAnsi="Arial" w:cs="Arial"/>
                <w:b/>
                <w:szCs w:val="24"/>
              </w:rPr>
            </w:pPr>
            <w:r w:rsidRPr="00F01C34">
              <w:rPr>
                <w:rFonts w:ascii="Arial" w:hAnsi="Arial" w:cs="Arial"/>
                <w:b/>
                <w:szCs w:val="24"/>
              </w:rPr>
              <w:t>(165)</w:t>
            </w:r>
          </w:p>
        </w:tc>
        <w:tc>
          <w:tcPr>
            <w:tcW w:w="1418" w:type="dxa"/>
          </w:tcPr>
          <w:p w14:paraId="6700339D" w14:textId="0DF3A045" w:rsidR="00CA6BAE" w:rsidRPr="00CA6BAE" w:rsidRDefault="00CA6BAE" w:rsidP="00CA6BAE">
            <w:pPr>
              <w:jc w:val="right"/>
              <w:rPr>
                <w:rFonts w:ascii="Arial" w:hAnsi="Arial" w:cs="Arial"/>
                <w:szCs w:val="24"/>
              </w:rPr>
            </w:pPr>
            <w:r w:rsidRPr="004215EF">
              <w:rPr>
                <w:rFonts w:ascii="Arial" w:hAnsi="Arial" w:cs="Arial"/>
                <w:szCs w:val="24"/>
              </w:rPr>
              <w:t>(</w:t>
            </w:r>
            <w:r>
              <w:rPr>
                <w:rFonts w:ascii="Arial" w:hAnsi="Arial" w:cs="Arial"/>
                <w:szCs w:val="24"/>
              </w:rPr>
              <w:t>129</w:t>
            </w:r>
            <w:r w:rsidRPr="004215EF">
              <w:rPr>
                <w:rFonts w:ascii="Arial" w:hAnsi="Arial" w:cs="Arial"/>
                <w:szCs w:val="24"/>
              </w:rPr>
              <w:t>)</w:t>
            </w:r>
          </w:p>
        </w:tc>
      </w:tr>
      <w:tr w:rsidR="00D06AFD" w:rsidRPr="007769BE" w14:paraId="2439C98E" w14:textId="77777777" w:rsidTr="00CA1972">
        <w:trPr>
          <w:trHeight w:val="270"/>
        </w:trPr>
        <w:tc>
          <w:tcPr>
            <w:tcW w:w="6848" w:type="dxa"/>
            <w:gridSpan w:val="2"/>
            <w:tcBorders>
              <w:top w:val="single" w:sz="4" w:space="0" w:color="auto"/>
            </w:tcBorders>
            <w:shd w:val="clear" w:color="auto" w:fill="auto"/>
            <w:vAlign w:val="bottom"/>
          </w:tcPr>
          <w:p w14:paraId="71A2956B" w14:textId="77777777" w:rsidR="00D06AFD" w:rsidRPr="00AC598B" w:rsidRDefault="00D06AFD" w:rsidP="00D06AFD">
            <w:pPr>
              <w:rPr>
                <w:rFonts w:ascii="Arial" w:hAnsi="Arial" w:cs="Arial"/>
                <w:b/>
                <w:szCs w:val="24"/>
              </w:rPr>
            </w:pPr>
            <w:r w:rsidRPr="00AC598B">
              <w:rPr>
                <w:rFonts w:ascii="Arial" w:hAnsi="Arial" w:cs="Arial"/>
                <w:b/>
                <w:szCs w:val="24"/>
              </w:rPr>
              <w:t>Free cash flow</w:t>
            </w:r>
          </w:p>
        </w:tc>
        <w:tc>
          <w:tcPr>
            <w:tcW w:w="1242" w:type="dxa"/>
            <w:tcBorders>
              <w:top w:val="single" w:sz="4" w:space="0" w:color="auto"/>
            </w:tcBorders>
          </w:tcPr>
          <w:p w14:paraId="054B0E0E" w14:textId="3272C664" w:rsidR="00D06AFD" w:rsidRPr="00F01C34" w:rsidRDefault="00825079" w:rsidP="00D06AFD">
            <w:pPr>
              <w:jc w:val="right"/>
              <w:rPr>
                <w:rFonts w:ascii="Arial" w:hAnsi="Arial" w:cs="Arial"/>
                <w:b/>
                <w:szCs w:val="24"/>
              </w:rPr>
            </w:pPr>
            <w:r w:rsidRPr="00F01C34">
              <w:rPr>
                <w:rFonts w:ascii="Arial" w:hAnsi="Arial" w:cs="Arial"/>
                <w:b/>
                <w:szCs w:val="24"/>
              </w:rPr>
              <w:t>2</w:t>
            </w:r>
            <w:r w:rsidR="004215EF">
              <w:rPr>
                <w:rFonts w:ascii="Arial" w:hAnsi="Arial" w:cs="Arial"/>
                <w:b/>
                <w:szCs w:val="24"/>
              </w:rPr>
              <w:t>85</w:t>
            </w:r>
          </w:p>
        </w:tc>
        <w:tc>
          <w:tcPr>
            <w:tcW w:w="1418" w:type="dxa"/>
            <w:tcBorders>
              <w:top w:val="single" w:sz="4" w:space="0" w:color="auto"/>
            </w:tcBorders>
            <w:vAlign w:val="bottom"/>
          </w:tcPr>
          <w:p w14:paraId="73E69AD5" w14:textId="5105768F" w:rsidR="00D06AFD" w:rsidRPr="009A2010" w:rsidRDefault="00D06AFD" w:rsidP="00D06AFD">
            <w:pPr>
              <w:jc w:val="right"/>
              <w:rPr>
                <w:rFonts w:ascii="Arial" w:hAnsi="Arial" w:cs="Arial"/>
                <w:szCs w:val="24"/>
              </w:rPr>
            </w:pPr>
            <w:r w:rsidRPr="009A2010">
              <w:rPr>
                <w:rFonts w:ascii="Arial" w:hAnsi="Arial" w:cs="Arial"/>
                <w:szCs w:val="24"/>
              </w:rPr>
              <w:t>327</w:t>
            </w:r>
          </w:p>
        </w:tc>
      </w:tr>
      <w:tr w:rsidR="00D06AFD" w:rsidRPr="007769BE" w14:paraId="3A4E1D3E" w14:textId="77777777" w:rsidTr="00CA1972">
        <w:trPr>
          <w:trHeight w:val="270"/>
        </w:trPr>
        <w:tc>
          <w:tcPr>
            <w:tcW w:w="6848" w:type="dxa"/>
            <w:gridSpan w:val="2"/>
            <w:shd w:val="clear" w:color="auto" w:fill="auto"/>
            <w:vAlign w:val="bottom"/>
          </w:tcPr>
          <w:p w14:paraId="57F62407" w14:textId="77777777" w:rsidR="00D06AFD" w:rsidRPr="00AC598B" w:rsidRDefault="00D06AFD" w:rsidP="00D06AFD">
            <w:pPr>
              <w:rPr>
                <w:rFonts w:ascii="Arial" w:hAnsi="Arial" w:cs="Arial"/>
                <w:szCs w:val="24"/>
              </w:rPr>
            </w:pPr>
            <w:r w:rsidRPr="00AC598B">
              <w:rPr>
                <w:rFonts w:ascii="Arial" w:hAnsi="Arial" w:cs="Arial"/>
                <w:szCs w:val="24"/>
              </w:rPr>
              <w:t>Ordinary dividends paid</w:t>
            </w:r>
          </w:p>
        </w:tc>
        <w:tc>
          <w:tcPr>
            <w:tcW w:w="1242" w:type="dxa"/>
          </w:tcPr>
          <w:p w14:paraId="18D0F969" w14:textId="7831A5E5" w:rsidR="00D06AFD" w:rsidRPr="00F01C34" w:rsidRDefault="00825079" w:rsidP="00D06AFD">
            <w:pPr>
              <w:jc w:val="right"/>
              <w:rPr>
                <w:rFonts w:ascii="Arial" w:hAnsi="Arial" w:cs="Arial"/>
                <w:b/>
                <w:szCs w:val="24"/>
              </w:rPr>
            </w:pPr>
            <w:r w:rsidRPr="00F01C34">
              <w:rPr>
                <w:rFonts w:ascii="Arial" w:hAnsi="Arial" w:cs="Arial"/>
                <w:b/>
                <w:szCs w:val="24"/>
              </w:rPr>
              <w:t>(1</w:t>
            </w:r>
            <w:r w:rsidR="004215EF">
              <w:rPr>
                <w:rFonts w:ascii="Arial" w:hAnsi="Arial" w:cs="Arial"/>
                <w:b/>
                <w:szCs w:val="24"/>
              </w:rPr>
              <w:t>60</w:t>
            </w:r>
            <w:r w:rsidRPr="00F01C34">
              <w:rPr>
                <w:rFonts w:ascii="Arial" w:hAnsi="Arial" w:cs="Arial"/>
                <w:b/>
                <w:szCs w:val="24"/>
              </w:rPr>
              <w:t>)</w:t>
            </w:r>
          </w:p>
        </w:tc>
        <w:tc>
          <w:tcPr>
            <w:tcW w:w="1418" w:type="dxa"/>
            <w:vAlign w:val="bottom"/>
          </w:tcPr>
          <w:p w14:paraId="47ECD358" w14:textId="3F7066F3" w:rsidR="00D06AFD" w:rsidRPr="009A2010" w:rsidRDefault="00D06AFD" w:rsidP="00D06AFD">
            <w:pPr>
              <w:jc w:val="right"/>
              <w:rPr>
                <w:rFonts w:ascii="Arial" w:hAnsi="Arial" w:cs="Arial"/>
                <w:szCs w:val="24"/>
              </w:rPr>
            </w:pPr>
            <w:r w:rsidRPr="009A2010">
              <w:rPr>
                <w:rFonts w:ascii="Arial" w:hAnsi="Arial" w:cs="Arial"/>
                <w:szCs w:val="24"/>
              </w:rPr>
              <w:t>(159)</w:t>
            </w:r>
          </w:p>
        </w:tc>
      </w:tr>
      <w:tr w:rsidR="00D06AFD" w:rsidRPr="007769BE" w14:paraId="508759CF" w14:textId="77777777" w:rsidTr="00CA1972">
        <w:trPr>
          <w:trHeight w:val="270"/>
        </w:trPr>
        <w:tc>
          <w:tcPr>
            <w:tcW w:w="6848" w:type="dxa"/>
            <w:gridSpan w:val="2"/>
            <w:shd w:val="clear" w:color="auto" w:fill="auto"/>
            <w:vAlign w:val="bottom"/>
          </w:tcPr>
          <w:p w14:paraId="61C49CE0" w14:textId="77777777" w:rsidR="00D06AFD" w:rsidRPr="00AC598B" w:rsidRDefault="00D06AFD" w:rsidP="00D06AFD">
            <w:pPr>
              <w:rPr>
                <w:rFonts w:ascii="Arial" w:hAnsi="Arial" w:cs="Arial"/>
                <w:szCs w:val="24"/>
              </w:rPr>
            </w:pPr>
            <w:r w:rsidRPr="00AC598B">
              <w:rPr>
                <w:rFonts w:ascii="Arial" w:hAnsi="Arial" w:cs="Arial"/>
                <w:szCs w:val="24"/>
              </w:rPr>
              <w:t>Share buyback</w:t>
            </w:r>
          </w:p>
        </w:tc>
        <w:tc>
          <w:tcPr>
            <w:tcW w:w="1242" w:type="dxa"/>
          </w:tcPr>
          <w:p w14:paraId="4EC336E8" w14:textId="56580983" w:rsidR="00D06AFD" w:rsidRPr="00F01C34" w:rsidRDefault="00825079" w:rsidP="00D06AFD">
            <w:pPr>
              <w:jc w:val="right"/>
              <w:rPr>
                <w:rFonts w:ascii="Arial" w:hAnsi="Arial" w:cs="Arial"/>
                <w:b/>
                <w:szCs w:val="24"/>
              </w:rPr>
            </w:pPr>
            <w:r w:rsidRPr="00F01C34">
              <w:rPr>
                <w:rFonts w:ascii="Arial" w:hAnsi="Arial" w:cs="Arial"/>
                <w:b/>
                <w:szCs w:val="24"/>
              </w:rPr>
              <w:t>(90)</w:t>
            </w:r>
          </w:p>
        </w:tc>
        <w:tc>
          <w:tcPr>
            <w:tcW w:w="1418" w:type="dxa"/>
            <w:vAlign w:val="bottom"/>
          </w:tcPr>
          <w:p w14:paraId="115BE818" w14:textId="2DABFC75" w:rsidR="00D06AFD" w:rsidRPr="009A2010" w:rsidRDefault="00D06AFD" w:rsidP="00D06AFD">
            <w:pPr>
              <w:jc w:val="right"/>
              <w:rPr>
                <w:rFonts w:ascii="Arial" w:hAnsi="Arial" w:cs="Arial"/>
                <w:szCs w:val="24"/>
              </w:rPr>
            </w:pPr>
            <w:r w:rsidRPr="009A2010">
              <w:rPr>
                <w:rFonts w:ascii="Arial" w:hAnsi="Arial" w:cs="Arial"/>
                <w:szCs w:val="24"/>
              </w:rPr>
              <w:t>(149)</w:t>
            </w:r>
          </w:p>
        </w:tc>
      </w:tr>
      <w:tr w:rsidR="00D06AFD" w:rsidRPr="007769BE" w14:paraId="6344A0B5" w14:textId="77777777" w:rsidTr="00CA1972">
        <w:trPr>
          <w:trHeight w:val="270"/>
        </w:trPr>
        <w:tc>
          <w:tcPr>
            <w:tcW w:w="6848" w:type="dxa"/>
            <w:gridSpan w:val="2"/>
            <w:shd w:val="clear" w:color="auto" w:fill="auto"/>
            <w:vAlign w:val="bottom"/>
          </w:tcPr>
          <w:p w14:paraId="78300246" w14:textId="7792F1B9" w:rsidR="00D06AFD" w:rsidRPr="00AC598B" w:rsidRDefault="00D06AFD" w:rsidP="00D06AFD">
            <w:pPr>
              <w:rPr>
                <w:rFonts w:ascii="Arial" w:hAnsi="Arial" w:cs="Arial"/>
                <w:szCs w:val="24"/>
              </w:rPr>
            </w:pPr>
            <w:r w:rsidRPr="00AC598B">
              <w:rPr>
                <w:rFonts w:ascii="Arial" w:hAnsi="Arial" w:cs="Arial"/>
                <w:szCs w:val="24"/>
              </w:rPr>
              <w:t>Disposal of assets</w:t>
            </w:r>
            <w:r w:rsidRPr="00AC598B">
              <w:rPr>
                <w:rFonts w:ascii="Arial" w:hAnsi="Arial" w:cs="Arial"/>
                <w:szCs w:val="24"/>
                <w:vertAlign w:val="superscript"/>
              </w:rPr>
              <w:t xml:space="preserve"> </w:t>
            </w:r>
            <w:r w:rsidRPr="00AC598B">
              <w:rPr>
                <w:rFonts w:ascii="Arial" w:hAnsi="Arial" w:cs="Arial"/>
                <w:szCs w:val="24"/>
              </w:rPr>
              <w:t xml:space="preserve">and </w:t>
            </w:r>
            <w:proofErr w:type="gramStart"/>
            <w:r w:rsidRPr="00AC598B">
              <w:rPr>
                <w:rFonts w:ascii="Arial" w:hAnsi="Arial" w:cs="Arial"/>
                <w:szCs w:val="24"/>
              </w:rPr>
              <w:t>other</w:t>
            </w:r>
            <w:r w:rsidRPr="00AC598B">
              <w:rPr>
                <w:rFonts w:ascii="Arial" w:hAnsi="Arial" w:cs="Arial"/>
                <w:sz w:val="18"/>
                <w:szCs w:val="20"/>
                <w:vertAlign w:val="superscript"/>
              </w:rPr>
              <w:t>(</w:t>
            </w:r>
            <w:proofErr w:type="gramEnd"/>
            <w:r>
              <w:rPr>
                <w:rFonts w:ascii="Arial" w:hAnsi="Arial" w:cs="Arial"/>
                <w:sz w:val="18"/>
                <w:szCs w:val="20"/>
                <w:vertAlign w:val="superscript"/>
              </w:rPr>
              <w:t>2</w:t>
            </w:r>
            <w:r w:rsidRPr="00AC598B">
              <w:rPr>
                <w:rFonts w:ascii="Arial" w:hAnsi="Arial" w:cs="Arial"/>
                <w:sz w:val="18"/>
                <w:szCs w:val="20"/>
                <w:vertAlign w:val="superscript"/>
              </w:rPr>
              <w:t>)</w:t>
            </w:r>
          </w:p>
        </w:tc>
        <w:tc>
          <w:tcPr>
            <w:tcW w:w="1242" w:type="dxa"/>
          </w:tcPr>
          <w:p w14:paraId="64D43682" w14:textId="23B62B8B" w:rsidR="00D06AFD" w:rsidRPr="00F01C34" w:rsidRDefault="004215EF" w:rsidP="00D06AFD">
            <w:pPr>
              <w:jc w:val="right"/>
              <w:rPr>
                <w:rFonts w:ascii="Arial" w:hAnsi="Arial" w:cs="Arial"/>
                <w:b/>
                <w:szCs w:val="24"/>
              </w:rPr>
            </w:pPr>
            <w:r>
              <w:rPr>
                <w:rFonts w:ascii="Arial" w:hAnsi="Arial" w:cs="Arial"/>
                <w:b/>
                <w:szCs w:val="24"/>
              </w:rPr>
              <w:t>(17)</w:t>
            </w:r>
          </w:p>
        </w:tc>
        <w:tc>
          <w:tcPr>
            <w:tcW w:w="1418" w:type="dxa"/>
            <w:vAlign w:val="bottom"/>
          </w:tcPr>
          <w:p w14:paraId="4A6BBCFA" w14:textId="0C93894B" w:rsidR="00D06AFD" w:rsidRPr="009A2010" w:rsidRDefault="00D06AFD" w:rsidP="00D06AFD">
            <w:pPr>
              <w:jc w:val="right"/>
              <w:rPr>
                <w:rFonts w:ascii="Arial" w:hAnsi="Arial" w:cs="Arial"/>
                <w:szCs w:val="24"/>
              </w:rPr>
            </w:pPr>
            <w:r w:rsidRPr="009A2010">
              <w:rPr>
                <w:rFonts w:ascii="Arial" w:hAnsi="Arial" w:cs="Arial"/>
                <w:szCs w:val="24"/>
              </w:rPr>
              <w:t>(56)</w:t>
            </w:r>
          </w:p>
        </w:tc>
      </w:tr>
      <w:tr w:rsidR="00D06AFD" w:rsidRPr="007769BE" w14:paraId="2D580E41" w14:textId="77777777" w:rsidTr="00AC598B">
        <w:trPr>
          <w:trHeight w:val="270"/>
        </w:trPr>
        <w:tc>
          <w:tcPr>
            <w:tcW w:w="6848" w:type="dxa"/>
            <w:gridSpan w:val="2"/>
            <w:tcBorders>
              <w:top w:val="single" w:sz="4" w:space="0" w:color="auto"/>
            </w:tcBorders>
            <w:shd w:val="clear" w:color="auto" w:fill="auto"/>
            <w:vAlign w:val="bottom"/>
          </w:tcPr>
          <w:p w14:paraId="18635883" w14:textId="0BD62B94" w:rsidR="00D06AFD" w:rsidRPr="00AC598B" w:rsidRDefault="00D06AFD" w:rsidP="00D06AFD">
            <w:pPr>
              <w:rPr>
                <w:rFonts w:ascii="Arial" w:hAnsi="Arial" w:cs="Arial"/>
                <w:b/>
                <w:szCs w:val="24"/>
              </w:rPr>
            </w:pPr>
            <w:r w:rsidRPr="00AC598B">
              <w:rPr>
                <w:rFonts w:ascii="Arial" w:hAnsi="Arial" w:cs="Arial"/>
                <w:b/>
                <w:szCs w:val="24"/>
              </w:rPr>
              <w:t>Net cash flow</w:t>
            </w:r>
            <w:r w:rsidR="002D0435">
              <w:rPr>
                <w:rFonts w:ascii="Arial" w:hAnsi="Arial" w:cs="Arial"/>
                <w:b/>
                <w:szCs w:val="24"/>
              </w:rPr>
              <w:t>*</w:t>
            </w:r>
          </w:p>
        </w:tc>
        <w:tc>
          <w:tcPr>
            <w:tcW w:w="1242" w:type="dxa"/>
            <w:tcBorders>
              <w:top w:val="single" w:sz="4" w:space="0" w:color="auto"/>
            </w:tcBorders>
          </w:tcPr>
          <w:p w14:paraId="36474E6A" w14:textId="1EB135F6" w:rsidR="00D06AFD" w:rsidRPr="00F01C34" w:rsidRDefault="004215EF" w:rsidP="00D06AFD">
            <w:pPr>
              <w:jc w:val="right"/>
              <w:rPr>
                <w:rFonts w:ascii="Arial" w:hAnsi="Arial" w:cs="Arial"/>
                <w:b/>
                <w:szCs w:val="24"/>
              </w:rPr>
            </w:pPr>
            <w:r>
              <w:rPr>
                <w:rFonts w:ascii="Arial" w:hAnsi="Arial" w:cs="Arial"/>
                <w:b/>
                <w:szCs w:val="24"/>
              </w:rPr>
              <w:t>18</w:t>
            </w:r>
          </w:p>
        </w:tc>
        <w:tc>
          <w:tcPr>
            <w:tcW w:w="1418" w:type="dxa"/>
            <w:tcBorders>
              <w:top w:val="single" w:sz="4" w:space="0" w:color="auto"/>
            </w:tcBorders>
          </w:tcPr>
          <w:p w14:paraId="2F346224" w14:textId="05B53205" w:rsidR="00D06AFD" w:rsidRPr="009A2010" w:rsidRDefault="00D06AFD" w:rsidP="00D06AFD">
            <w:pPr>
              <w:jc w:val="right"/>
              <w:rPr>
                <w:rFonts w:ascii="Arial" w:hAnsi="Arial" w:cs="Arial"/>
                <w:szCs w:val="24"/>
              </w:rPr>
            </w:pPr>
            <w:r w:rsidRPr="009A2010">
              <w:rPr>
                <w:rFonts w:ascii="Arial" w:hAnsi="Arial" w:cs="Arial"/>
                <w:szCs w:val="24"/>
              </w:rPr>
              <w:t>(37)</w:t>
            </w:r>
          </w:p>
        </w:tc>
      </w:tr>
      <w:tr w:rsidR="00D06AFD" w:rsidRPr="007769BE" w14:paraId="24B1E1B0" w14:textId="77777777" w:rsidTr="00CA1972">
        <w:trPr>
          <w:trHeight w:val="270"/>
        </w:trPr>
        <w:tc>
          <w:tcPr>
            <w:tcW w:w="6848" w:type="dxa"/>
            <w:gridSpan w:val="2"/>
            <w:shd w:val="clear" w:color="auto" w:fill="auto"/>
            <w:vAlign w:val="bottom"/>
          </w:tcPr>
          <w:p w14:paraId="2627A895" w14:textId="77777777" w:rsidR="00D06AFD" w:rsidRPr="00AC598B" w:rsidRDefault="00D06AFD" w:rsidP="00D06AFD">
            <w:pPr>
              <w:rPr>
                <w:rFonts w:ascii="Arial" w:hAnsi="Arial" w:cs="Arial"/>
                <w:szCs w:val="24"/>
              </w:rPr>
            </w:pPr>
            <w:r w:rsidRPr="00AC598B">
              <w:rPr>
                <w:rFonts w:ascii="Arial" w:hAnsi="Arial" w:cs="Arial"/>
                <w:szCs w:val="24"/>
              </w:rPr>
              <w:t>Opening net cash</w:t>
            </w:r>
          </w:p>
        </w:tc>
        <w:tc>
          <w:tcPr>
            <w:tcW w:w="1242" w:type="dxa"/>
          </w:tcPr>
          <w:p w14:paraId="5A7B3538" w14:textId="6794CFED" w:rsidR="00D06AFD" w:rsidRPr="00F01C34" w:rsidRDefault="00825079" w:rsidP="00D06AFD">
            <w:pPr>
              <w:jc w:val="right"/>
              <w:rPr>
                <w:rFonts w:ascii="Arial" w:hAnsi="Arial" w:cs="Arial"/>
                <w:b/>
                <w:szCs w:val="24"/>
              </w:rPr>
            </w:pPr>
            <w:r w:rsidRPr="00F01C34">
              <w:rPr>
                <w:rFonts w:ascii="Arial" w:hAnsi="Arial" w:cs="Arial"/>
                <w:b/>
                <w:szCs w:val="24"/>
              </w:rPr>
              <w:t>68</w:t>
            </w:r>
          </w:p>
        </w:tc>
        <w:tc>
          <w:tcPr>
            <w:tcW w:w="1418" w:type="dxa"/>
            <w:vAlign w:val="bottom"/>
          </w:tcPr>
          <w:p w14:paraId="7BB6F822" w14:textId="7A60F8C3" w:rsidR="00D06AFD" w:rsidRPr="009A2010" w:rsidRDefault="00D06AFD" w:rsidP="00D06AFD">
            <w:pPr>
              <w:jc w:val="right"/>
              <w:rPr>
                <w:rFonts w:ascii="Arial" w:hAnsi="Arial" w:cs="Arial"/>
                <w:szCs w:val="24"/>
              </w:rPr>
            </w:pPr>
            <w:r w:rsidRPr="009A2010">
              <w:rPr>
                <w:rFonts w:ascii="Arial" w:hAnsi="Arial" w:cs="Arial"/>
                <w:szCs w:val="24"/>
              </w:rPr>
              <w:t>641</w:t>
            </w:r>
          </w:p>
        </w:tc>
      </w:tr>
      <w:tr w:rsidR="00D06AFD" w:rsidRPr="007769BE" w14:paraId="78BD4BEB" w14:textId="77777777" w:rsidTr="00CA1972">
        <w:trPr>
          <w:trHeight w:val="270"/>
        </w:trPr>
        <w:tc>
          <w:tcPr>
            <w:tcW w:w="6848" w:type="dxa"/>
            <w:gridSpan w:val="2"/>
            <w:tcBorders>
              <w:bottom w:val="single" w:sz="4" w:space="0" w:color="auto"/>
            </w:tcBorders>
            <w:shd w:val="clear" w:color="auto" w:fill="auto"/>
            <w:vAlign w:val="bottom"/>
          </w:tcPr>
          <w:p w14:paraId="572BE76A" w14:textId="77777777" w:rsidR="00D06AFD" w:rsidRPr="00AC598B" w:rsidRDefault="00D06AFD" w:rsidP="00D06AFD">
            <w:pPr>
              <w:rPr>
                <w:rFonts w:ascii="Arial" w:hAnsi="Arial" w:cs="Arial"/>
                <w:szCs w:val="24"/>
              </w:rPr>
            </w:pPr>
            <w:r w:rsidRPr="00AC598B">
              <w:rPr>
                <w:rFonts w:ascii="Arial" w:hAnsi="Arial" w:cs="Arial"/>
                <w:szCs w:val="24"/>
              </w:rPr>
              <w:t>Other movement including foreign exchange</w:t>
            </w:r>
          </w:p>
        </w:tc>
        <w:tc>
          <w:tcPr>
            <w:tcW w:w="1242" w:type="dxa"/>
            <w:tcBorders>
              <w:bottom w:val="single" w:sz="4" w:space="0" w:color="auto"/>
            </w:tcBorders>
          </w:tcPr>
          <w:p w14:paraId="4A59BC7A" w14:textId="0F6FD644" w:rsidR="00D06AFD" w:rsidRPr="00F01C34" w:rsidRDefault="00825079" w:rsidP="00D06AFD">
            <w:pPr>
              <w:jc w:val="right"/>
              <w:rPr>
                <w:rFonts w:ascii="Arial" w:hAnsi="Arial" w:cs="Arial"/>
                <w:b/>
                <w:szCs w:val="24"/>
              </w:rPr>
            </w:pPr>
            <w:r w:rsidRPr="00F01C34">
              <w:rPr>
                <w:rFonts w:ascii="Arial" w:hAnsi="Arial" w:cs="Arial"/>
                <w:b/>
                <w:szCs w:val="24"/>
              </w:rPr>
              <w:t>1</w:t>
            </w:r>
            <w:r w:rsidR="004215EF">
              <w:rPr>
                <w:rFonts w:ascii="Arial" w:hAnsi="Arial" w:cs="Arial"/>
                <w:b/>
                <w:szCs w:val="24"/>
              </w:rPr>
              <w:t>3</w:t>
            </w:r>
          </w:p>
        </w:tc>
        <w:tc>
          <w:tcPr>
            <w:tcW w:w="1418" w:type="dxa"/>
            <w:tcBorders>
              <w:bottom w:val="single" w:sz="4" w:space="0" w:color="auto"/>
            </w:tcBorders>
            <w:vAlign w:val="bottom"/>
          </w:tcPr>
          <w:p w14:paraId="5E9599E3" w14:textId="74A852A2" w:rsidR="00D06AFD" w:rsidRPr="009A2010" w:rsidRDefault="00D06AFD" w:rsidP="00D06AFD">
            <w:pPr>
              <w:jc w:val="right"/>
              <w:rPr>
                <w:rFonts w:ascii="Arial" w:hAnsi="Arial" w:cs="Arial"/>
                <w:szCs w:val="24"/>
              </w:rPr>
            </w:pPr>
            <w:r w:rsidRPr="009A2010">
              <w:rPr>
                <w:rFonts w:ascii="Arial" w:hAnsi="Arial" w:cs="Arial"/>
                <w:szCs w:val="24"/>
              </w:rPr>
              <w:t>46</w:t>
            </w:r>
          </w:p>
        </w:tc>
      </w:tr>
      <w:tr w:rsidR="00D06AFD" w:rsidRPr="007769BE" w14:paraId="2A381597" w14:textId="77777777" w:rsidTr="00CA1972">
        <w:trPr>
          <w:trHeight w:val="270"/>
        </w:trPr>
        <w:tc>
          <w:tcPr>
            <w:tcW w:w="6848" w:type="dxa"/>
            <w:gridSpan w:val="2"/>
            <w:tcBorders>
              <w:top w:val="single" w:sz="4" w:space="0" w:color="auto"/>
              <w:bottom w:val="single" w:sz="4" w:space="0" w:color="auto"/>
            </w:tcBorders>
            <w:shd w:val="clear" w:color="auto" w:fill="auto"/>
            <w:vAlign w:val="bottom"/>
          </w:tcPr>
          <w:p w14:paraId="11166199" w14:textId="77777777" w:rsidR="00D06AFD" w:rsidRPr="00AC598B" w:rsidRDefault="00D06AFD" w:rsidP="00D06AFD">
            <w:pPr>
              <w:rPr>
                <w:rFonts w:ascii="Arial" w:hAnsi="Arial" w:cs="Arial"/>
                <w:b/>
                <w:szCs w:val="24"/>
              </w:rPr>
            </w:pPr>
            <w:r w:rsidRPr="00AC598B">
              <w:rPr>
                <w:rFonts w:ascii="Arial" w:hAnsi="Arial" w:cs="Arial"/>
                <w:b/>
                <w:szCs w:val="24"/>
              </w:rPr>
              <w:t>Closing net cash</w:t>
            </w:r>
          </w:p>
        </w:tc>
        <w:tc>
          <w:tcPr>
            <w:tcW w:w="1242" w:type="dxa"/>
            <w:tcBorders>
              <w:top w:val="single" w:sz="4" w:space="0" w:color="auto"/>
              <w:bottom w:val="single" w:sz="4" w:space="0" w:color="auto"/>
            </w:tcBorders>
          </w:tcPr>
          <w:p w14:paraId="22AADB5D" w14:textId="2F8B05B8" w:rsidR="00D06AFD" w:rsidRPr="00F01C34" w:rsidRDefault="00825079" w:rsidP="00D06AFD">
            <w:pPr>
              <w:jc w:val="right"/>
              <w:rPr>
                <w:rFonts w:ascii="Arial" w:hAnsi="Arial" w:cs="Arial"/>
                <w:b/>
                <w:szCs w:val="24"/>
              </w:rPr>
            </w:pPr>
            <w:r w:rsidRPr="00F01C34">
              <w:rPr>
                <w:rFonts w:ascii="Arial" w:hAnsi="Arial" w:cs="Arial"/>
                <w:b/>
                <w:szCs w:val="24"/>
              </w:rPr>
              <w:t>99</w:t>
            </w:r>
          </w:p>
        </w:tc>
        <w:tc>
          <w:tcPr>
            <w:tcW w:w="1418" w:type="dxa"/>
            <w:tcBorders>
              <w:top w:val="single" w:sz="4" w:space="0" w:color="auto"/>
              <w:bottom w:val="single" w:sz="4" w:space="0" w:color="auto"/>
            </w:tcBorders>
            <w:vAlign w:val="bottom"/>
          </w:tcPr>
          <w:p w14:paraId="4C076E4F" w14:textId="0B998F0B" w:rsidR="00D06AFD" w:rsidRPr="009A2010" w:rsidRDefault="00D06AFD" w:rsidP="00D06AFD">
            <w:pPr>
              <w:jc w:val="right"/>
              <w:rPr>
                <w:rFonts w:ascii="Arial" w:hAnsi="Arial" w:cs="Arial"/>
                <w:szCs w:val="24"/>
              </w:rPr>
            </w:pPr>
            <w:r w:rsidRPr="009A2010">
              <w:rPr>
                <w:rFonts w:ascii="Arial" w:hAnsi="Arial" w:cs="Arial"/>
                <w:szCs w:val="24"/>
              </w:rPr>
              <w:t>650</w:t>
            </w:r>
          </w:p>
        </w:tc>
      </w:tr>
    </w:tbl>
    <w:p w14:paraId="6FED58A8" w14:textId="1A59AD8A" w:rsidR="00773A54" w:rsidRPr="00925EFB" w:rsidRDefault="00773A54" w:rsidP="00773A54">
      <w:pPr>
        <w:jc w:val="left"/>
        <w:rPr>
          <w:rFonts w:ascii="Arial" w:hAnsi="Arial" w:cs="Arial"/>
          <w:sz w:val="18"/>
          <w:szCs w:val="18"/>
        </w:rPr>
      </w:pPr>
      <w:bookmarkStart w:id="76" w:name="_Hlk493503261"/>
      <w:r w:rsidRPr="00925EFB">
        <w:rPr>
          <w:rFonts w:ascii="Arial" w:hAnsi="Arial" w:cs="Arial"/>
          <w:sz w:val="18"/>
          <w:szCs w:val="18"/>
          <w:vertAlign w:val="superscript"/>
        </w:rPr>
        <w:t>(1)</w:t>
      </w:r>
      <w:r w:rsidRPr="00925EFB">
        <w:rPr>
          <w:rFonts w:ascii="Arial" w:hAnsi="Arial" w:cs="Arial"/>
          <w:sz w:val="18"/>
          <w:szCs w:val="18"/>
        </w:rPr>
        <w:t xml:space="preserve"> Other non-cash items include depreciation and amortisation, share-based compensation charge, share of post-tax results of JVs and associates, pension operating cost and profit/loss on non-property disposals</w:t>
      </w:r>
    </w:p>
    <w:p w14:paraId="43C5DD3E" w14:textId="0F6F4DE5" w:rsidR="001278FB" w:rsidRDefault="00773A54" w:rsidP="00773A54">
      <w:pPr>
        <w:ind w:right="-368"/>
        <w:rPr>
          <w:rFonts w:ascii="Arial" w:hAnsi="Arial" w:cs="Arial"/>
          <w:sz w:val="18"/>
          <w:szCs w:val="18"/>
        </w:rPr>
      </w:pPr>
      <w:r w:rsidRPr="00925EFB">
        <w:rPr>
          <w:rFonts w:ascii="Arial" w:hAnsi="Arial" w:cs="Arial"/>
          <w:sz w:val="18"/>
          <w:szCs w:val="18"/>
          <w:vertAlign w:val="superscript"/>
        </w:rPr>
        <w:t>(</w:t>
      </w:r>
      <w:r w:rsidR="000F0033">
        <w:rPr>
          <w:rFonts w:ascii="Arial" w:hAnsi="Arial" w:cs="Arial"/>
          <w:sz w:val="18"/>
          <w:szCs w:val="18"/>
          <w:vertAlign w:val="superscript"/>
        </w:rPr>
        <w:t>2</w:t>
      </w:r>
      <w:r w:rsidRPr="00925EFB">
        <w:rPr>
          <w:rFonts w:ascii="Arial" w:hAnsi="Arial" w:cs="Arial"/>
          <w:sz w:val="18"/>
          <w:szCs w:val="18"/>
          <w:vertAlign w:val="superscript"/>
        </w:rPr>
        <w:t>)</w:t>
      </w:r>
      <w:r w:rsidRPr="00925EFB">
        <w:rPr>
          <w:rFonts w:ascii="Arial" w:hAnsi="Arial" w:cs="Arial"/>
          <w:sz w:val="18"/>
          <w:szCs w:val="18"/>
        </w:rPr>
        <w:t xml:space="preserve"> </w:t>
      </w:r>
      <w:r w:rsidR="001278FB" w:rsidRPr="003574DC">
        <w:rPr>
          <w:rFonts w:ascii="Arial" w:hAnsi="Arial" w:cs="Arial"/>
          <w:sz w:val="18"/>
          <w:szCs w:val="18"/>
        </w:rPr>
        <w:t>Includes exceptional</w:t>
      </w:r>
      <w:r w:rsidR="001278FB">
        <w:rPr>
          <w:rFonts w:ascii="Arial" w:hAnsi="Arial" w:cs="Arial"/>
          <w:sz w:val="18"/>
          <w:szCs w:val="18"/>
        </w:rPr>
        <w:t xml:space="preserve"> cash flow</w:t>
      </w:r>
      <w:r w:rsidR="001278FB" w:rsidRPr="003574DC">
        <w:rPr>
          <w:rFonts w:ascii="Arial" w:hAnsi="Arial" w:cs="Arial"/>
          <w:sz w:val="18"/>
          <w:szCs w:val="18"/>
        </w:rPr>
        <w:t xml:space="preserve"> items (excluding property disposals), principally </w:t>
      </w:r>
      <w:r w:rsidR="001278FB">
        <w:rPr>
          <w:rFonts w:ascii="Arial" w:hAnsi="Arial" w:cs="Arial"/>
          <w:sz w:val="18"/>
          <w:szCs w:val="18"/>
        </w:rPr>
        <w:t xml:space="preserve">relating to </w:t>
      </w:r>
      <w:r w:rsidR="001278FB" w:rsidRPr="003574DC">
        <w:rPr>
          <w:rFonts w:ascii="Arial" w:hAnsi="Arial" w:cs="Arial"/>
          <w:sz w:val="18"/>
          <w:szCs w:val="18"/>
        </w:rPr>
        <w:t>B&amp;Q closures</w:t>
      </w:r>
      <w:r w:rsidR="001278FB" w:rsidRPr="003574DC" w:rsidDel="003574DC">
        <w:rPr>
          <w:rFonts w:ascii="Arial" w:hAnsi="Arial" w:cs="Arial"/>
          <w:sz w:val="18"/>
          <w:szCs w:val="18"/>
        </w:rPr>
        <w:t xml:space="preserve"> </w:t>
      </w:r>
    </w:p>
    <w:bookmarkEnd w:id="76"/>
    <w:p w14:paraId="4CCC7438" w14:textId="77777777" w:rsidR="00773A54" w:rsidRPr="00A03549" w:rsidRDefault="00773A54" w:rsidP="00DC23B3">
      <w:pPr>
        <w:ind w:right="-368"/>
        <w:rPr>
          <w:rFonts w:ascii="Arial" w:hAnsi="Arial" w:cs="Arial"/>
          <w:b/>
          <w:sz w:val="24"/>
          <w:szCs w:val="24"/>
          <w:highlight w:val="yellow"/>
        </w:rPr>
      </w:pPr>
    </w:p>
    <w:p w14:paraId="431AEE38" w14:textId="29630382" w:rsidR="00CA6652" w:rsidRPr="00232507" w:rsidRDefault="00CA6652" w:rsidP="00CA6652">
      <w:pPr>
        <w:jc w:val="left"/>
        <w:rPr>
          <w:rFonts w:ascii="Arial" w:hAnsi="Arial" w:cs="Arial"/>
          <w:highlight w:val="yellow"/>
        </w:rPr>
      </w:pPr>
      <w:r w:rsidRPr="00FC41B5">
        <w:rPr>
          <w:rFonts w:ascii="Arial" w:hAnsi="Arial" w:cs="Arial"/>
        </w:rPr>
        <w:t>Net cash at the end of the period was £</w:t>
      </w:r>
      <w:r w:rsidR="00C31224">
        <w:rPr>
          <w:rFonts w:ascii="Arial" w:hAnsi="Arial" w:cs="Arial"/>
        </w:rPr>
        <w:t>99</w:t>
      </w:r>
      <w:r w:rsidR="00C31224" w:rsidRPr="00FC41B5">
        <w:rPr>
          <w:rFonts w:ascii="Arial" w:hAnsi="Arial" w:cs="Arial"/>
        </w:rPr>
        <w:t xml:space="preserve"> </w:t>
      </w:r>
      <w:r w:rsidRPr="00FC41B5">
        <w:rPr>
          <w:rFonts w:ascii="Arial" w:hAnsi="Arial" w:cs="Arial"/>
        </w:rPr>
        <w:t>million (2017</w:t>
      </w:r>
      <w:r>
        <w:rPr>
          <w:rFonts w:ascii="Arial" w:hAnsi="Arial" w:cs="Arial"/>
        </w:rPr>
        <w:t>/18</w:t>
      </w:r>
      <w:r w:rsidRPr="00FC41B5">
        <w:rPr>
          <w:rFonts w:ascii="Arial" w:hAnsi="Arial" w:cs="Arial"/>
        </w:rPr>
        <w:t>: £6</w:t>
      </w:r>
      <w:r>
        <w:rPr>
          <w:rFonts w:ascii="Arial" w:hAnsi="Arial" w:cs="Arial"/>
        </w:rPr>
        <w:t>50</w:t>
      </w:r>
      <w:r w:rsidRPr="00FC41B5" w:rsidDel="00F44930">
        <w:rPr>
          <w:rFonts w:ascii="Arial" w:hAnsi="Arial" w:cs="Arial"/>
        </w:rPr>
        <w:t xml:space="preserve"> </w:t>
      </w:r>
      <w:r w:rsidRPr="00FC41B5">
        <w:rPr>
          <w:rFonts w:ascii="Arial" w:hAnsi="Arial" w:cs="Arial"/>
        </w:rPr>
        <w:t xml:space="preserve">million). </w:t>
      </w:r>
    </w:p>
    <w:p w14:paraId="7B31B0A8" w14:textId="77777777" w:rsidR="00CA6652" w:rsidRDefault="00CA6652" w:rsidP="00CA6652">
      <w:pPr>
        <w:jc w:val="left"/>
        <w:rPr>
          <w:rFonts w:ascii="Arial" w:hAnsi="Arial" w:cs="Arial"/>
        </w:rPr>
      </w:pPr>
    </w:p>
    <w:p w14:paraId="2EA79EDC" w14:textId="68A8B911" w:rsidR="00CA6652" w:rsidRDefault="00CA6652" w:rsidP="00CA6652">
      <w:pPr>
        <w:jc w:val="left"/>
        <w:rPr>
          <w:rFonts w:ascii="Arial" w:hAnsi="Arial" w:cs="Arial"/>
        </w:rPr>
      </w:pPr>
      <w:r w:rsidRPr="00CA6BAE">
        <w:rPr>
          <w:rFonts w:ascii="Arial" w:hAnsi="Arial" w:cs="Arial"/>
        </w:rPr>
        <w:t xml:space="preserve">Operating profit </w:t>
      </w:r>
      <w:r w:rsidR="000A7BB5">
        <w:rPr>
          <w:rFonts w:ascii="Arial" w:hAnsi="Arial" w:cs="Arial"/>
        </w:rPr>
        <w:t>before</w:t>
      </w:r>
      <w:r w:rsidR="000A7BB5" w:rsidRPr="00CA6BAE">
        <w:rPr>
          <w:rFonts w:ascii="Arial" w:hAnsi="Arial" w:cs="Arial"/>
        </w:rPr>
        <w:t xml:space="preserve"> </w:t>
      </w:r>
      <w:r w:rsidRPr="00CA6BAE">
        <w:rPr>
          <w:rFonts w:ascii="Arial" w:hAnsi="Arial" w:cs="Arial"/>
        </w:rPr>
        <w:t xml:space="preserve">exceptional items was </w:t>
      </w:r>
      <w:r w:rsidRPr="004215EF">
        <w:rPr>
          <w:rFonts w:ascii="Arial" w:hAnsi="Arial" w:cs="Arial"/>
        </w:rPr>
        <w:t>£</w:t>
      </w:r>
      <w:r w:rsidR="007D2F1A" w:rsidRPr="004215EF">
        <w:rPr>
          <w:rFonts w:ascii="Arial" w:hAnsi="Arial" w:cs="Arial"/>
        </w:rPr>
        <w:t>6</w:t>
      </w:r>
      <w:r w:rsidR="000A7BB5">
        <w:rPr>
          <w:rFonts w:ascii="Arial" w:hAnsi="Arial" w:cs="Arial"/>
        </w:rPr>
        <w:t>7</w:t>
      </w:r>
      <w:r w:rsidR="007D2F1A" w:rsidRPr="004215EF">
        <w:rPr>
          <w:rFonts w:ascii="Arial" w:hAnsi="Arial" w:cs="Arial"/>
        </w:rPr>
        <w:t xml:space="preserve"> </w:t>
      </w:r>
      <w:r w:rsidRPr="004215EF">
        <w:rPr>
          <w:rFonts w:ascii="Arial" w:hAnsi="Arial" w:cs="Arial"/>
        </w:rPr>
        <w:t>million</w:t>
      </w:r>
      <w:r w:rsidRPr="00CA6BAE">
        <w:rPr>
          <w:rFonts w:ascii="Arial" w:hAnsi="Arial" w:cs="Arial"/>
        </w:rPr>
        <w:t xml:space="preserve"> lower than last year reflecting lower profits in</w:t>
      </w:r>
      <w:r w:rsidRPr="00AB52F3">
        <w:rPr>
          <w:rFonts w:ascii="Arial" w:hAnsi="Arial" w:cs="Arial"/>
        </w:rPr>
        <w:t xml:space="preserve"> France</w:t>
      </w:r>
      <w:r w:rsidR="00F3093B">
        <w:rPr>
          <w:rFonts w:ascii="Arial" w:hAnsi="Arial" w:cs="Arial"/>
        </w:rPr>
        <w:t xml:space="preserve"> and </w:t>
      </w:r>
      <w:r w:rsidR="00263F48">
        <w:rPr>
          <w:rFonts w:ascii="Arial" w:hAnsi="Arial" w:cs="Arial"/>
        </w:rPr>
        <w:t>Other International</w:t>
      </w:r>
      <w:r w:rsidRPr="00AB52F3">
        <w:rPr>
          <w:rFonts w:ascii="Arial" w:hAnsi="Arial" w:cs="Arial"/>
        </w:rPr>
        <w:t>.</w:t>
      </w:r>
      <w:r>
        <w:rPr>
          <w:rFonts w:ascii="Arial" w:hAnsi="Arial" w:cs="Arial"/>
        </w:rPr>
        <w:t xml:space="preserve"> </w:t>
      </w:r>
      <w:bookmarkStart w:id="77" w:name="_Hlk508799152"/>
      <w:r w:rsidRPr="00F01C34">
        <w:rPr>
          <w:rFonts w:ascii="Arial" w:hAnsi="Arial" w:cs="Arial"/>
        </w:rPr>
        <w:t xml:space="preserve">The working capital </w:t>
      </w:r>
      <w:r w:rsidR="00C31224" w:rsidRPr="006B1A1C">
        <w:rPr>
          <w:rFonts w:ascii="Arial" w:hAnsi="Arial" w:cs="Arial"/>
        </w:rPr>
        <w:t xml:space="preserve">inflow </w:t>
      </w:r>
      <w:r w:rsidRPr="006B1A1C">
        <w:rPr>
          <w:rFonts w:ascii="Arial" w:hAnsi="Arial" w:cs="Arial"/>
        </w:rPr>
        <w:t xml:space="preserve">of </w:t>
      </w:r>
      <w:r w:rsidRPr="00F74468">
        <w:rPr>
          <w:rFonts w:ascii="Arial" w:hAnsi="Arial" w:cs="Arial"/>
        </w:rPr>
        <w:t>£</w:t>
      </w:r>
      <w:r w:rsidR="00C31224" w:rsidRPr="00F74468">
        <w:rPr>
          <w:rFonts w:ascii="Arial" w:hAnsi="Arial" w:cs="Arial"/>
        </w:rPr>
        <w:t>7</w:t>
      </w:r>
      <w:r w:rsidR="006B1A1C" w:rsidRPr="00F74468">
        <w:rPr>
          <w:rFonts w:ascii="Arial" w:hAnsi="Arial" w:cs="Arial"/>
        </w:rPr>
        <w:t>7</w:t>
      </w:r>
      <w:r w:rsidRPr="00F74468">
        <w:rPr>
          <w:rFonts w:ascii="Arial" w:hAnsi="Arial" w:cs="Arial"/>
        </w:rPr>
        <w:t xml:space="preserve"> million </w:t>
      </w:r>
      <w:r w:rsidR="006F5E1F">
        <w:rPr>
          <w:rFonts w:ascii="Arial" w:hAnsi="Arial" w:cs="Arial"/>
        </w:rPr>
        <w:t xml:space="preserve">includes </w:t>
      </w:r>
      <w:r w:rsidR="00A52241" w:rsidRPr="00F74468">
        <w:rPr>
          <w:rFonts w:ascii="Arial" w:hAnsi="Arial" w:cs="Arial"/>
        </w:rPr>
        <w:t xml:space="preserve">a </w:t>
      </w:r>
      <w:r w:rsidR="009D375C">
        <w:rPr>
          <w:rFonts w:ascii="Arial" w:hAnsi="Arial" w:cs="Arial"/>
        </w:rPr>
        <w:t>c.</w:t>
      </w:r>
      <w:r w:rsidR="00A45F66" w:rsidRPr="00F74468">
        <w:rPr>
          <w:rFonts w:ascii="Arial" w:hAnsi="Arial" w:cs="Arial"/>
        </w:rPr>
        <w:t>£</w:t>
      </w:r>
      <w:r w:rsidR="009D375C">
        <w:rPr>
          <w:rFonts w:ascii="Arial" w:hAnsi="Arial" w:cs="Arial"/>
        </w:rPr>
        <w:t>90</w:t>
      </w:r>
      <w:r w:rsidR="00A45F66" w:rsidRPr="00F74468">
        <w:rPr>
          <w:rFonts w:ascii="Arial" w:hAnsi="Arial" w:cs="Arial"/>
        </w:rPr>
        <w:t xml:space="preserve">m </w:t>
      </w:r>
      <w:r w:rsidR="00C31224" w:rsidRPr="00F74468">
        <w:rPr>
          <w:rFonts w:ascii="Arial" w:hAnsi="Arial" w:cs="Arial"/>
        </w:rPr>
        <w:t>reduction in</w:t>
      </w:r>
      <w:r w:rsidR="00A52241" w:rsidRPr="00F74468">
        <w:rPr>
          <w:rFonts w:ascii="Arial" w:hAnsi="Arial" w:cs="Arial"/>
        </w:rPr>
        <w:t xml:space="preserve"> </w:t>
      </w:r>
      <w:r w:rsidR="00C31224" w:rsidRPr="00F74468">
        <w:rPr>
          <w:rFonts w:ascii="Arial" w:hAnsi="Arial" w:cs="Arial"/>
        </w:rPr>
        <w:t xml:space="preserve">mitigation </w:t>
      </w:r>
      <w:r w:rsidRPr="00F74468">
        <w:rPr>
          <w:rFonts w:ascii="Arial" w:hAnsi="Arial" w:cs="Arial"/>
        </w:rPr>
        <w:t>stock</w:t>
      </w:r>
      <w:r w:rsidR="0013714C" w:rsidRPr="00F74468">
        <w:rPr>
          <w:rFonts w:ascii="Arial" w:hAnsi="Arial" w:cs="Arial"/>
        </w:rPr>
        <w:t xml:space="preserve">, as planned, </w:t>
      </w:r>
      <w:r w:rsidR="005B7983" w:rsidRPr="00F74468">
        <w:rPr>
          <w:rFonts w:ascii="Arial" w:hAnsi="Arial" w:cs="Arial"/>
        </w:rPr>
        <w:t>and</w:t>
      </w:r>
      <w:r w:rsidR="0080676C" w:rsidRPr="00F74468">
        <w:rPr>
          <w:rFonts w:ascii="Arial" w:hAnsi="Arial" w:cs="Arial"/>
        </w:rPr>
        <w:t xml:space="preserve"> </w:t>
      </w:r>
      <w:r w:rsidR="006F5E1F">
        <w:rPr>
          <w:rFonts w:ascii="Arial" w:hAnsi="Arial" w:cs="Arial"/>
        </w:rPr>
        <w:t xml:space="preserve">a </w:t>
      </w:r>
      <w:r w:rsidR="0080676C" w:rsidRPr="00F74468">
        <w:rPr>
          <w:rFonts w:ascii="Arial" w:hAnsi="Arial" w:cs="Arial"/>
        </w:rPr>
        <w:t>decrease in receivables</w:t>
      </w:r>
      <w:r w:rsidRPr="006B1A1C">
        <w:rPr>
          <w:rFonts w:ascii="Arial" w:hAnsi="Arial" w:cs="Arial"/>
        </w:rPr>
        <w:t>.</w:t>
      </w:r>
      <w:r w:rsidRPr="00F01C34">
        <w:rPr>
          <w:rFonts w:ascii="Arial" w:hAnsi="Arial" w:cs="Arial"/>
        </w:rPr>
        <w:t xml:space="preserve"> </w:t>
      </w:r>
    </w:p>
    <w:bookmarkEnd w:id="77"/>
    <w:p w14:paraId="5F65AEDE" w14:textId="77777777" w:rsidR="00CA6652" w:rsidRDefault="00CA6652" w:rsidP="002E570E">
      <w:pPr>
        <w:jc w:val="left"/>
        <w:rPr>
          <w:rFonts w:ascii="Arial" w:hAnsi="Arial" w:cs="Arial"/>
          <w:szCs w:val="24"/>
        </w:rPr>
      </w:pPr>
    </w:p>
    <w:p w14:paraId="47432F0F" w14:textId="128B5919" w:rsidR="00536CE9" w:rsidRPr="00AC598B" w:rsidRDefault="00536CE9" w:rsidP="00536CE9">
      <w:pPr>
        <w:jc w:val="left"/>
        <w:rPr>
          <w:rFonts w:ascii="Arial" w:hAnsi="Arial" w:cs="Arial"/>
          <w:szCs w:val="24"/>
        </w:rPr>
      </w:pPr>
      <w:bookmarkStart w:id="78" w:name="_Hlk493509940"/>
      <w:r w:rsidRPr="00361167">
        <w:rPr>
          <w:rFonts w:ascii="Arial" w:hAnsi="Arial" w:cs="Arial"/>
          <w:szCs w:val="24"/>
        </w:rPr>
        <w:t xml:space="preserve">Gross capital expenditure for H1 was </w:t>
      </w:r>
      <w:r w:rsidRPr="003716FC">
        <w:rPr>
          <w:rFonts w:ascii="Arial" w:hAnsi="Arial" w:cs="Arial"/>
          <w:szCs w:val="24"/>
        </w:rPr>
        <w:t>£</w:t>
      </w:r>
      <w:r w:rsidR="00C31224" w:rsidRPr="003716FC">
        <w:rPr>
          <w:rFonts w:ascii="Arial" w:hAnsi="Arial" w:cs="Arial"/>
          <w:szCs w:val="24"/>
        </w:rPr>
        <w:t>165</w:t>
      </w:r>
      <w:r w:rsidR="00D06AFD" w:rsidRPr="00D06AFD">
        <w:rPr>
          <w:rFonts w:ascii="Arial" w:hAnsi="Arial" w:cs="Arial"/>
          <w:b/>
          <w:color w:val="C00000"/>
          <w:szCs w:val="24"/>
        </w:rPr>
        <w:t xml:space="preserve"> </w:t>
      </w:r>
      <w:r w:rsidRPr="00361167">
        <w:rPr>
          <w:rFonts w:ascii="Arial" w:hAnsi="Arial" w:cs="Arial"/>
          <w:szCs w:val="24"/>
        </w:rPr>
        <w:t>million (201</w:t>
      </w:r>
      <w:r w:rsidR="00DE34B3">
        <w:rPr>
          <w:rFonts w:ascii="Arial" w:hAnsi="Arial" w:cs="Arial"/>
          <w:szCs w:val="24"/>
        </w:rPr>
        <w:t>7/18</w:t>
      </w:r>
      <w:r w:rsidRPr="00361167">
        <w:rPr>
          <w:rFonts w:ascii="Arial" w:hAnsi="Arial" w:cs="Arial"/>
          <w:szCs w:val="24"/>
        </w:rPr>
        <w:t>: £</w:t>
      </w:r>
      <w:r w:rsidR="00D06AFD">
        <w:rPr>
          <w:rFonts w:ascii="Arial" w:hAnsi="Arial" w:cs="Arial"/>
          <w:szCs w:val="24"/>
        </w:rPr>
        <w:t>129</w:t>
      </w:r>
      <w:r w:rsidRPr="00361167">
        <w:rPr>
          <w:rFonts w:ascii="Arial" w:hAnsi="Arial" w:cs="Arial"/>
          <w:szCs w:val="24"/>
        </w:rPr>
        <w:t xml:space="preserve"> million). Of this </w:t>
      </w:r>
      <w:r w:rsidR="003B31AB">
        <w:rPr>
          <w:rFonts w:ascii="Arial" w:hAnsi="Arial" w:cs="Arial"/>
          <w:szCs w:val="24"/>
        </w:rPr>
        <w:t>32</w:t>
      </w:r>
      <w:r w:rsidRPr="00361167">
        <w:rPr>
          <w:rFonts w:ascii="Arial" w:hAnsi="Arial" w:cs="Arial"/>
          <w:szCs w:val="24"/>
        </w:rPr>
        <w:t>%</w:t>
      </w:r>
      <w:r w:rsidR="009B4BBC" w:rsidRPr="00361167">
        <w:rPr>
          <w:rFonts w:ascii="Arial" w:hAnsi="Arial" w:cs="Arial"/>
          <w:szCs w:val="24"/>
        </w:rPr>
        <w:t xml:space="preserve"> was invested</w:t>
      </w:r>
      <w:r w:rsidRPr="00361167">
        <w:rPr>
          <w:rFonts w:ascii="Arial" w:hAnsi="Arial" w:cs="Arial"/>
          <w:szCs w:val="24"/>
        </w:rPr>
        <w:t xml:space="preserve"> </w:t>
      </w:r>
      <w:r w:rsidR="009B4BBC" w:rsidRPr="00361167">
        <w:rPr>
          <w:rFonts w:ascii="Arial" w:hAnsi="Arial" w:cs="Arial"/>
          <w:szCs w:val="24"/>
        </w:rPr>
        <w:t xml:space="preserve">in </w:t>
      </w:r>
      <w:r w:rsidRPr="00361167">
        <w:rPr>
          <w:rFonts w:ascii="Arial" w:hAnsi="Arial" w:cs="Arial"/>
          <w:szCs w:val="24"/>
        </w:rPr>
        <w:t>refreshing and maintaining existing stores</w:t>
      </w:r>
      <w:r w:rsidR="000F3A45" w:rsidRPr="00361167">
        <w:rPr>
          <w:rFonts w:ascii="Arial" w:hAnsi="Arial" w:cs="Arial"/>
          <w:szCs w:val="24"/>
        </w:rPr>
        <w:t xml:space="preserve">, </w:t>
      </w:r>
      <w:r w:rsidR="003B31AB">
        <w:rPr>
          <w:rFonts w:ascii="Arial" w:hAnsi="Arial" w:cs="Arial"/>
          <w:szCs w:val="24"/>
        </w:rPr>
        <w:t>21</w:t>
      </w:r>
      <w:r w:rsidR="009B4BBC" w:rsidRPr="00361167">
        <w:rPr>
          <w:rFonts w:ascii="Arial" w:hAnsi="Arial" w:cs="Arial"/>
          <w:szCs w:val="24"/>
        </w:rPr>
        <w:t xml:space="preserve">% on new stores, </w:t>
      </w:r>
      <w:r w:rsidR="00C62DA2">
        <w:rPr>
          <w:rFonts w:ascii="Arial" w:hAnsi="Arial" w:cs="Arial"/>
          <w:szCs w:val="24"/>
        </w:rPr>
        <w:t>31</w:t>
      </w:r>
      <w:r w:rsidRPr="00361167">
        <w:rPr>
          <w:rFonts w:ascii="Arial" w:hAnsi="Arial" w:cs="Arial"/>
          <w:szCs w:val="24"/>
        </w:rPr>
        <w:t>% on IT and digital development</w:t>
      </w:r>
      <w:r w:rsidR="00B31A35">
        <w:rPr>
          <w:rFonts w:ascii="Arial" w:hAnsi="Arial" w:cs="Arial"/>
          <w:szCs w:val="24"/>
        </w:rPr>
        <w:t xml:space="preserve">, </w:t>
      </w:r>
      <w:r w:rsidR="00C62DA2">
        <w:rPr>
          <w:rFonts w:ascii="Arial" w:hAnsi="Arial" w:cs="Arial"/>
          <w:szCs w:val="24"/>
        </w:rPr>
        <w:t>13</w:t>
      </w:r>
      <w:r w:rsidR="000F3A45" w:rsidRPr="00361167">
        <w:rPr>
          <w:rFonts w:ascii="Arial" w:hAnsi="Arial" w:cs="Arial"/>
          <w:szCs w:val="24"/>
        </w:rPr>
        <w:t>% on the transformation</w:t>
      </w:r>
      <w:r w:rsidR="00B31A35">
        <w:rPr>
          <w:rFonts w:ascii="Arial" w:hAnsi="Arial" w:cs="Arial"/>
          <w:szCs w:val="24"/>
        </w:rPr>
        <w:t xml:space="preserve"> and 3</w:t>
      </w:r>
      <w:r w:rsidR="00C62DA2" w:rsidRPr="00C62DA2">
        <w:rPr>
          <w:rFonts w:ascii="Arial" w:hAnsi="Arial" w:cs="Arial"/>
          <w:szCs w:val="24"/>
        </w:rPr>
        <w:t>% on other areas including supply chain investment.</w:t>
      </w:r>
      <w:r w:rsidRPr="00AC598B">
        <w:rPr>
          <w:rFonts w:ascii="Arial" w:hAnsi="Arial" w:cs="Arial"/>
          <w:szCs w:val="24"/>
        </w:rPr>
        <w:t xml:space="preserve"> </w:t>
      </w:r>
    </w:p>
    <w:bookmarkEnd w:id="78"/>
    <w:p w14:paraId="23CB3F2C" w14:textId="77777777" w:rsidR="00536CE9" w:rsidRPr="00AC598B" w:rsidRDefault="00536CE9" w:rsidP="00773A54">
      <w:pPr>
        <w:jc w:val="left"/>
        <w:rPr>
          <w:rFonts w:ascii="Arial" w:hAnsi="Arial" w:cs="Arial"/>
          <w:szCs w:val="24"/>
        </w:rPr>
      </w:pPr>
    </w:p>
    <w:p w14:paraId="5D9A0B55" w14:textId="71A81E07" w:rsidR="00CA6652" w:rsidRDefault="00CA6652" w:rsidP="00CA6652">
      <w:pPr>
        <w:jc w:val="left"/>
        <w:rPr>
          <w:rFonts w:ascii="Arial" w:hAnsi="Arial" w:cs="Arial"/>
          <w:b/>
          <w:sz w:val="24"/>
          <w:szCs w:val="24"/>
        </w:rPr>
      </w:pPr>
      <w:r>
        <w:rPr>
          <w:rFonts w:ascii="Arial" w:hAnsi="Arial" w:cs="Arial"/>
        </w:rPr>
        <w:t>This resulted in f</w:t>
      </w:r>
      <w:r w:rsidRPr="00D978CF">
        <w:rPr>
          <w:rFonts w:ascii="Arial" w:hAnsi="Arial" w:cs="Arial"/>
        </w:rPr>
        <w:t>ree cash flow of £</w:t>
      </w:r>
      <w:r w:rsidR="00C31224">
        <w:rPr>
          <w:rFonts w:ascii="Arial" w:hAnsi="Arial" w:cs="Arial"/>
        </w:rPr>
        <w:t>2</w:t>
      </w:r>
      <w:r w:rsidR="000A7BB5">
        <w:rPr>
          <w:rFonts w:ascii="Arial" w:hAnsi="Arial" w:cs="Arial"/>
        </w:rPr>
        <w:t>85</w:t>
      </w:r>
      <w:r w:rsidRPr="00D978CF" w:rsidDel="00F44930">
        <w:rPr>
          <w:rFonts w:ascii="Arial" w:hAnsi="Arial" w:cs="Arial"/>
        </w:rPr>
        <w:t xml:space="preserve"> </w:t>
      </w:r>
      <w:r w:rsidRPr="00D978CF">
        <w:rPr>
          <w:rFonts w:ascii="Arial" w:hAnsi="Arial" w:cs="Arial"/>
        </w:rPr>
        <w:t>million</w:t>
      </w:r>
      <w:r w:rsidR="002D0435">
        <w:rPr>
          <w:rFonts w:ascii="Arial" w:hAnsi="Arial" w:cs="Arial"/>
        </w:rPr>
        <w:t xml:space="preserve"> </w:t>
      </w:r>
      <w:bookmarkStart w:id="79" w:name="_Hlk524974939"/>
      <w:r w:rsidR="002D0435">
        <w:rPr>
          <w:rFonts w:ascii="Arial" w:hAnsi="Arial" w:cs="Arial"/>
        </w:rPr>
        <w:t>(2017/18: £327 million)</w:t>
      </w:r>
      <w:bookmarkEnd w:id="79"/>
      <w:r w:rsidRPr="00D978CF">
        <w:rPr>
          <w:rFonts w:ascii="Arial" w:hAnsi="Arial" w:cs="Arial"/>
        </w:rPr>
        <w:t>.</w:t>
      </w:r>
      <w:r>
        <w:rPr>
          <w:rFonts w:ascii="Arial" w:hAnsi="Arial" w:cs="Arial"/>
        </w:rPr>
        <w:t xml:space="preserve"> </w:t>
      </w:r>
      <w:r w:rsidRPr="002146A2">
        <w:rPr>
          <w:rFonts w:ascii="Arial" w:hAnsi="Arial" w:cs="Arial"/>
        </w:rPr>
        <w:t>£</w:t>
      </w:r>
      <w:r w:rsidR="00C31224">
        <w:rPr>
          <w:rFonts w:ascii="Arial" w:hAnsi="Arial" w:cs="Arial"/>
        </w:rPr>
        <w:t>2</w:t>
      </w:r>
      <w:r w:rsidR="00A67C26">
        <w:rPr>
          <w:rFonts w:ascii="Arial" w:hAnsi="Arial" w:cs="Arial"/>
        </w:rPr>
        <w:t>50</w:t>
      </w:r>
      <w:r w:rsidR="00C31224" w:rsidRPr="002146A2">
        <w:rPr>
          <w:rFonts w:ascii="Arial" w:hAnsi="Arial" w:cs="Arial"/>
        </w:rPr>
        <w:t xml:space="preserve"> </w:t>
      </w:r>
      <w:r w:rsidRPr="002146A2">
        <w:rPr>
          <w:rFonts w:ascii="Arial" w:hAnsi="Arial" w:cs="Arial"/>
        </w:rPr>
        <w:t>million was returned to shareholders in the form of the ordinary dividend and share buybacks</w:t>
      </w:r>
      <w:r>
        <w:rPr>
          <w:rFonts w:ascii="Arial" w:hAnsi="Arial" w:cs="Arial"/>
        </w:rPr>
        <w:t>.</w:t>
      </w:r>
      <w:r w:rsidRPr="00686C6E">
        <w:rPr>
          <w:rFonts w:ascii="Arial" w:hAnsi="Arial" w:cs="Arial"/>
        </w:rPr>
        <w:t xml:space="preserve"> </w:t>
      </w:r>
    </w:p>
    <w:p w14:paraId="64B43DEF" w14:textId="77777777" w:rsidR="00773A54" w:rsidRPr="00AC598B" w:rsidRDefault="00773A54" w:rsidP="00773A54">
      <w:pPr>
        <w:jc w:val="left"/>
        <w:rPr>
          <w:rFonts w:ascii="Arial" w:hAnsi="Arial" w:cs="Arial"/>
          <w:b/>
          <w:szCs w:val="24"/>
        </w:rPr>
      </w:pPr>
    </w:p>
    <w:p w14:paraId="1988C200" w14:textId="0E7752B0" w:rsidR="002C29DB" w:rsidRPr="00AC598B" w:rsidRDefault="00773A54" w:rsidP="00773A54">
      <w:pPr>
        <w:jc w:val="left"/>
        <w:rPr>
          <w:rFonts w:ascii="Arial" w:hAnsi="Arial" w:cs="Arial"/>
          <w:b/>
          <w:szCs w:val="24"/>
        </w:rPr>
      </w:pPr>
      <w:bookmarkStart w:id="80" w:name="_Hlk493510550"/>
      <w:bookmarkStart w:id="81" w:name="_Hlk491329991"/>
      <w:r w:rsidRPr="00AC598B">
        <w:rPr>
          <w:rFonts w:ascii="Arial" w:hAnsi="Arial" w:cs="Arial"/>
          <w:b/>
          <w:szCs w:val="24"/>
        </w:rPr>
        <w:t>Management of balance sheet and liquidity risk and financing</w:t>
      </w:r>
    </w:p>
    <w:p w14:paraId="0B157BE8" w14:textId="77777777" w:rsidR="00773A54" w:rsidRPr="00AC598B" w:rsidRDefault="00773A54" w:rsidP="00773A54">
      <w:pPr>
        <w:jc w:val="left"/>
        <w:rPr>
          <w:rFonts w:ascii="Arial" w:hAnsi="Arial" w:cs="Arial"/>
          <w:b/>
        </w:rPr>
      </w:pPr>
    </w:p>
    <w:p w14:paraId="4BD8FDAF" w14:textId="32529140" w:rsidR="00DA0765" w:rsidRPr="00AC598B" w:rsidRDefault="00773A54" w:rsidP="00925EFB">
      <w:pPr>
        <w:jc w:val="left"/>
        <w:rPr>
          <w:rFonts w:ascii="Arial" w:hAnsi="Arial" w:cs="Arial"/>
          <w:szCs w:val="24"/>
        </w:rPr>
      </w:pPr>
      <w:r w:rsidRPr="00AC598B">
        <w:rPr>
          <w:rFonts w:ascii="Arial" w:hAnsi="Arial" w:cs="Arial"/>
          <w:szCs w:val="24"/>
        </w:rPr>
        <w:t xml:space="preserve">The Group finished the </w:t>
      </w:r>
      <w:r w:rsidR="000754C8" w:rsidRPr="00AC598B">
        <w:rPr>
          <w:rFonts w:ascii="Arial" w:hAnsi="Arial" w:cs="Arial"/>
          <w:szCs w:val="24"/>
        </w:rPr>
        <w:t>period</w:t>
      </w:r>
      <w:r w:rsidRPr="00AC598B">
        <w:rPr>
          <w:rFonts w:ascii="Arial" w:hAnsi="Arial" w:cs="Arial"/>
          <w:szCs w:val="24"/>
        </w:rPr>
        <w:t xml:space="preserve"> with </w:t>
      </w:r>
      <w:r w:rsidRPr="00561985">
        <w:rPr>
          <w:rFonts w:ascii="Arial" w:hAnsi="Arial" w:cs="Arial"/>
          <w:szCs w:val="24"/>
        </w:rPr>
        <w:t>£</w:t>
      </w:r>
      <w:r w:rsidR="001D3508" w:rsidRPr="004215EF">
        <w:rPr>
          <w:rFonts w:ascii="Arial" w:hAnsi="Arial" w:cs="Arial"/>
          <w:szCs w:val="24"/>
        </w:rPr>
        <w:t>99</w:t>
      </w:r>
      <w:r w:rsidRPr="00561985">
        <w:rPr>
          <w:rFonts w:ascii="Arial" w:hAnsi="Arial" w:cs="Arial"/>
          <w:szCs w:val="24"/>
        </w:rPr>
        <w:t xml:space="preserve"> million of net cash on the balance sheet. However</w:t>
      </w:r>
      <w:r w:rsidR="008C15E8" w:rsidRPr="00561985">
        <w:rPr>
          <w:rFonts w:ascii="Arial" w:hAnsi="Arial" w:cs="Arial"/>
          <w:szCs w:val="24"/>
        </w:rPr>
        <w:t>,</w:t>
      </w:r>
      <w:r w:rsidRPr="00561985">
        <w:rPr>
          <w:rFonts w:ascii="Arial" w:hAnsi="Arial" w:cs="Arial"/>
          <w:szCs w:val="24"/>
        </w:rPr>
        <w:t xml:space="preserve"> the Group’s overall leverage is more significant when including capitalised lease debt that in accordance with </w:t>
      </w:r>
      <w:r w:rsidR="00F52D02" w:rsidRPr="00561985">
        <w:rPr>
          <w:rFonts w:ascii="Arial" w:hAnsi="Arial" w:cs="Arial"/>
          <w:szCs w:val="24"/>
        </w:rPr>
        <w:t xml:space="preserve">current </w:t>
      </w:r>
      <w:r w:rsidRPr="00561985">
        <w:rPr>
          <w:rFonts w:ascii="Arial" w:hAnsi="Arial" w:cs="Arial"/>
          <w:szCs w:val="24"/>
        </w:rPr>
        <w:t>accounting standards does not appear on the balance sheet. The ratio of the Group’s lease adjusted net debt</w:t>
      </w:r>
      <w:r w:rsidR="002D0435">
        <w:rPr>
          <w:rFonts w:ascii="Arial" w:hAnsi="Arial" w:cs="Arial"/>
          <w:szCs w:val="24"/>
        </w:rPr>
        <w:t>*</w:t>
      </w:r>
      <w:r w:rsidRPr="00561985">
        <w:rPr>
          <w:rFonts w:ascii="Arial" w:hAnsi="Arial" w:cs="Arial"/>
          <w:szCs w:val="24"/>
        </w:rPr>
        <w:t xml:space="preserve"> (capitalising leases at 8 times annual rent) to EBITDAR</w:t>
      </w:r>
      <w:r w:rsidR="00461A73" w:rsidRPr="00561985">
        <w:rPr>
          <w:rFonts w:ascii="Arial" w:hAnsi="Arial" w:cs="Arial"/>
          <w:szCs w:val="24"/>
        </w:rPr>
        <w:t>*</w:t>
      </w:r>
      <w:r w:rsidRPr="00561985">
        <w:rPr>
          <w:rFonts w:ascii="Arial" w:hAnsi="Arial" w:cs="Arial"/>
          <w:szCs w:val="24"/>
        </w:rPr>
        <w:t xml:space="preserve"> on a moving annual total basis is </w:t>
      </w:r>
      <w:r w:rsidR="001D3508" w:rsidRPr="00F01C34">
        <w:rPr>
          <w:rFonts w:ascii="Arial" w:hAnsi="Arial" w:cs="Arial"/>
          <w:szCs w:val="24"/>
        </w:rPr>
        <w:t>2.5</w:t>
      </w:r>
      <w:r w:rsidR="00D06AFD" w:rsidRPr="00F01C34">
        <w:rPr>
          <w:rFonts w:ascii="Arial" w:hAnsi="Arial" w:cs="Arial"/>
          <w:szCs w:val="24"/>
        </w:rPr>
        <w:t xml:space="preserve"> </w:t>
      </w:r>
      <w:r w:rsidR="00DA0765" w:rsidRPr="00AC598B">
        <w:rPr>
          <w:rFonts w:ascii="Arial" w:hAnsi="Arial" w:cs="Arial"/>
          <w:szCs w:val="24"/>
        </w:rPr>
        <w:t>times as at 31 July 201</w:t>
      </w:r>
      <w:r w:rsidR="00D06AFD">
        <w:rPr>
          <w:rFonts w:ascii="Arial" w:hAnsi="Arial" w:cs="Arial"/>
          <w:szCs w:val="24"/>
        </w:rPr>
        <w:t>8</w:t>
      </w:r>
      <w:r w:rsidR="008355A5" w:rsidRPr="00AC598B">
        <w:rPr>
          <w:rFonts w:ascii="Arial" w:hAnsi="Arial" w:cs="Arial"/>
          <w:szCs w:val="24"/>
        </w:rPr>
        <w:t>.</w:t>
      </w:r>
      <w:r w:rsidR="00DA0765" w:rsidRPr="00AC598B">
        <w:rPr>
          <w:rFonts w:ascii="Arial" w:hAnsi="Arial" w:cs="Arial"/>
          <w:szCs w:val="24"/>
        </w:rPr>
        <w:t xml:space="preserve"> </w:t>
      </w:r>
      <w:r w:rsidR="0075688D">
        <w:rPr>
          <w:rFonts w:ascii="Arial" w:hAnsi="Arial" w:cs="Arial"/>
          <w:szCs w:val="24"/>
        </w:rPr>
        <w:t>A</w:t>
      </w:r>
      <w:r w:rsidR="00DA0765" w:rsidRPr="00AC598B">
        <w:rPr>
          <w:rFonts w:ascii="Arial" w:hAnsi="Arial" w:cs="Arial"/>
          <w:szCs w:val="24"/>
        </w:rPr>
        <w:t>t this level</w:t>
      </w:r>
      <w:r w:rsidR="00E009B3">
        <w:rPr>
          <w:rFonts w:ascii="Arial" w:hAnsi="Arial" w:cs="Arial"/>
          <w:szCs w:val="24"/>
        </w:rPr>
        <w:t xml:space="preserve">, </w:t>
      </w:r>
      <w:r w:rsidR="00DA0765" w:rsidRPr="00AC598B">
        <w:rPr>
          <w:rFonts w:ascii="Arial" w:hAnsi="Arial" w:cs="Arial"/>
          <w:szCs w:val="24"/>
        </w:rPr>
        <w:t>the Group has financial flexibility whilst retaining an efficient cost of capital.</w:t>
      </w:r>
    </w:p>
    <w:p w14:paraId="45582269" w14:textId="77777777" w:rsidR="007D2F2B" w:rsidRDefault="007D2F2B" w:rsidP="00773A54">
      <w:pPr>
        <w:jc w:val="left"/>
        <w:rPr>
          <w:rFonts w:ascii="Arial" w:hAnsi="Arial" w:cs="Arial"/>
          <w:szCs w:val="24"/>
        </w:rPr>
      </w:pPr>
    </w:p>
    <w:p w14:paraId="2FAC89F9" w14:textId="77777777" w:rsidR="0013714C" w:rsidRDefault="0013714C" w:rsidP="00773A54">
      <w:pPr>
        <w:jc w:val="left"/>
        <w:rPr>
          <w:rFonts w:ascii="Arial" w:hAnsi="Arial" w:cs="Arial"/>
          <w:szCs w:val="24"/>
        </w:rPr>
      </w:pPr>
    </w:p>
    <w:p w14:paraId="6149AFF2" w14:textId="45BA9976" w:rsidR="0013714C" w:rsidRDefault="0013714C" w:rsidP="00773A54">
      <w:pPr>
        <w:jc w:val="left"/>
        <w:rPr>
          <w:rFonts w:ascii="Arial" w:hAnsi="Arial" w:cs="Arial"/>
          <w:szCs w:val="24"/>
        </w:rPr>
      </w:pPr>
    </w:p>
    <w:p w14:paraId="229E20DB" w14:textId="38BBE849" w:rsidR="00FB7A01" w:rsidRDefault="00FB7A01" w:rsidP="00773A54">
      <w:pPr>
        <w:jc w:val="left"/>
        <w:rPr>
          <w:rFonts w:ascii="Arial" w:hAnsi="Arial" w:cs="Arial"/>
          <w:szCs w:val="24"/>
        </w:rPr>
      </w:pPr>
    </w:p>
    <w:p w14:paraId="1BCB0F5D" w14:textId="613605E8" w:rsidR="00FB7A01" w:rsidRDefault="00FB7A01" w:rsidP="00773A54">
      <w:pPr>
        <w:jc w:val="left"/>
        <w:rPr>
          <w:rFonts w:ascii="Arial" w:hAnsi="Arial" w:cs="Arial"/>
          <w:szCs w:val="24"/>
        </w:rPr>
      </w:pPr>
    </w:p>
    <w:p w14:paraId="12050937" w14:textId="0221EC7E" w:rsidR="0013714C" w:rsidRDefault="0013714C" w:rsidP="00773A54">
      <w:pPr>
        <w:jc w:val="left"/>
        <w:rPr>
          <w:rFonts w:ascii="Arial" w:hAnsi="Arial" w:cs="Arial"/>
          <w:szCs w:val="24"/>
        </w:rPr>
      </w:pPr>
    </w:p>
    <w:p w14:paraId="6A7A5D93" w14:textId="77777777" w:rsidR="001D5B48" w:rsidRDefault="001D5B48" w:rsidP="00773A54">
      <w:pPr>
        <w:jc w:val="left"/>
        <w:rPr>
          <w:rFonts w:ascii="Arial" w:hAnsi="Arial" w:cs="Arial"/>
          <w:szCs w:val="24"/>
        </w:rPr>
      </w:pPr>
    </w:p>
    <w:p w14:paraId="50B2CE84" w14:textId="77777777" w:rsidR="00EC4637" w:rsidRDefault="00EC4637" w:rsidP="00773A54">
      <w:pPr>
        <w:jc w:val="left"/>
        <w:rPr>
          <w:rFonts w:ascii="Arial" w:hAnsi="Arial" w:cs="Arial"/>
          <w:szCs w:val="24"/>
        </w:rPr>
      </w:pPr>
    </w:p>
    <w:p w14:paraId="4849CFE8" w14:textId="77777777" w:rsidR="0013714C" w:rsidRDefault="0013714C" w:rsidP="00773A54">
      <w:pPr>
        <w:jc w:val="left"/>
        <w:rPr>
          <w:rFonts w:ascii="Arial" w:hAnsi="Arial" w:cs="Arial"/>
          <w:szCs w:val="24"/>
        </w:rPr>
      </w:pPr>
    </w:p>
    <w:p w14:paraId="0A21FF9D" w14:textId="10D14B7E" w:rsidR="00773A54" w:rsidRPr="00AC598B" w:rsidRDefault="00773A54" w:rsidP="00773A54">
      <w:pPr>
        <w:jc w:val="left"/>
        <w:rPr>
          <w:rFonts w:ascii="Arial" w:hAnsi="Arial" w:cs="Arial"/>
          <w:szCs w:val="24"/>
        </w:rPr>
      </w:pPr>
      <w:r w:rsidRPr="00AC598B">
        <w:rPr>
          <w:rFonts w:ascii="Arial" w:hAnsi="Arial" w:cs="Arial"/>
          <w:szCs w:val="24"/>
        </w:rPr>
        <w:t>A reconciliation of lease adjusted net debt to EBITDAR is set out below:</w:t>
      </w:r>
    </w:p>
    <w:p w14:paraId="5557DCD6" w14:textId="77777777" w:rsidR="00773A54" w:rsidRPr="00AC598B" w:rsidRDefault="00773A54" w:rsidP="00773A54">
      <w:pPr>
        <w:jc w:val="left"/>
        <w:rPr>
          <w:rFonts w:ascii="Arial" w:hAnsi="Arial" w:cs="Arial"/>
          <w:szCs w:val="24"/>
          <w:highlight w:val="lightGray"/>
        </w:rPr>
      </w:pPr>
    </w:p>
    <w:tbl>
      <w:tblPr>
        <w:tblW w:w="8832" w:type="dxa"/>
        <w:tblInd w:w="98" w:type="dxa"/>
        <w:tblLayout w:type="fixed"/>
        <w:tblLook w:val="04A0" w:firstRow="1" w:lastRow="0" w:firstColumn="1" w:lastColumn="0" w:noHBand="0" w:noVBand="1"/>
      </w:tblPr>
      <w:tblGrid>
        <w:gridCol w:w="4722"/>
        <w:gridCol w:w="2551"/>
        <w:gridCol w:w="1559"/>
      </w:tblGrid>
      <w:tr w:rsidR="00773A54" w:rsidRPr="007769BE" w14:paraId="417A87A1" w14:textId="77777777" w:rsidTr="00CA6652">
        <w:trPr>
          <w:trHeight w:val="555"/>
        </w:trPr>
        <w:tc>
          <w:tcPr>
            <w:tcW w:w="4722" w:type="dxa"/>
            <w:tcBorders>
              <w:bottom w:val="single" w:sz="4" w:space="0" w:color="auto"/>
            </w:tcBorders>
            <w:vAlign w:val="bottom"/>
          </w:tcPr>
          <w:p w14:paraId="26BFDD6D" w14:textId="77777777" w:rsidR="00773A54" w:rsidRPr="00AC598B" w:rsidRDefault="00773A54" w:rsidP="00907EA8">
            <w:pPr>
              <w:jc w:val="left"/>
              <w:rPr>
                <w:rFonts w:ascii="Arial" w:hAnsi="Arial" w:cs="Arial"/>
                <w:bCs/>
                <w:szCs w:val="24"/>
              </w:rPr>
            </w:pPr>
          </w:p>
        </w:tc>
        <w:tc>
          <w:tcPr>
            <w:tcW w:w="2551" w:type="dxa"/>
            <w:tcBorders>
              <w:bottom w:val="single" w:sz="4" w:space="0" w:color="auto"/>
            </w:tcBorders>
            <w:vAlign w:val="bottom"/>
            <w:hideMark/>
          </w:tcPr>
          <w:p w14:paraId="299E76B7" w14:textId="05755071" w:rsidR="00773A54" w:rsidRPr="00AB52F3" w:rsidRDefault="00773A54" w:rsidP="00907EA8">
            <w:pPr>
              <w:jc w:val="right"/>
              <w:rPr>
                <w:rFonts w:ascii="Arial" w:hAnsi="Arial" w:cs="Arial"/>
                <w:b/>
                <w:bCs/>
                <w:szCs w:val="24"/>
              </w:rPr>
            </w:pPr>
            <w:r w:rsidRPr="00AB52F3">
              <w:rPr>
                <w:rFonts w:ascii="Arial" w:hAnsi="Arial" w:cs="Arial"/>
                <w:b/>
                <w:bCs/>
                <w:szCs w:val="24"/>
              </w:rPr>
              <w:t>201</w:t>
            </w:r>
            <w:r w:rsidR="00D06AFD" w:rsidRPr="00AB52F3">
              <w:rPr>
                <w:rFonts w:ascii="Arial" w:hAnsi="Arial" w:cs="Arial"/>
                <w:b/>
                <w:bCs/>
                <w:szCs w:val="24"/>
              </w:rPr>
              <w:t>8</w:t>
            </w:r>
            <w:r w:rsidRPr="00AB52F3">
              <w:rPr>
                <w:rFonts w:ascii="Arial" w:hAnsi="Arial" w:cs="Arial"/>
                <w:b/>
                <w:bCs/>
                <w:szCs w:val="24"/>
              </w:rPr>
              <w:t>/1</w:t>
            </w:r>
            <w:r w:rsidR="00D06AFD" w:rsidRPr="00AB52F3">
              <w:rPr>
                <w:rFonts w:ascii="Arial" w:hAnsi="Arial" w:cs="Arial"/>
                <w:b/>
                <w:bCs/>
                <w:szCs w:val="24"/>
              </w:rPr>
              <w:t>9</w:t>
            </w:r>
          </w:p>
          <w:p w14:paraId="3F3D1556" w14:textId="77777777" w:rsidR="00773A54" w:rsidRPr="00AB52F3" w:rsidRDefault="00773A54" w:rsidP="00907EA8">
            <w:pPr>
              <w:jc w:val="right"/>
              <w:rPr>
                <w:rFonts w:ascii="Arial" w:hAnsi="Arial" w:cs="Arial"/>
                <w:b/>
                <w:bCs/>
                <w:szCs w:val="24"/>
              </w:rPr>
            </w:pPr>
            <w:r w:rsidRPr="00AB52F3">
              <w:rPr>
                <w:rFonts w:ascii="Arial" w:hAnsi="Arial" w:cs="Arial"/>
                <w:b/>
                <w:bCs/>
                <w:szCs w:val="24"/>
              </w:rPr>
              <w:t>Moving annual total</w:t>
            </w:r>
          </w:p>
          <w:p w14:paraId="25684954" w14:textId="77777777" w:rsidR="00773A54" w:rsidRPr="00CC0C89" w:rsidRDefault="00773A54" w:rsidP="00907EA8">
            <w:pPr>
              <w:jc w:val="right"/>
              <w:rPr>
                <w:rFonts w:ascii="Arial" w:hAnsi="Arial" w:cs="Arial"/>
                <w:b/>
                <w:bCs/>
                <w:color w:val="C00000"/>
                <w:szCs w:val="24"/>
              </w:rPr>
            </w:pPr>
            <w:r w:rsidRPr="00AB52F3">
              <w:rPr>
                <w:rFonts w:ascii="Arial" w:hAnsi="Arial" w:cs="Arial"/>
                <w:b/>
                <w:bCs/>
                <w:szCs w:val="24"/>
              </w:rPr>
              <w:t>£m</w:t>
            </w:r>
          </w:p>
        </w:tc>
        <w:tc>
          <w:tcPr>
            <w:tcW w:w="1559" w:type="dxa"/>
            <w:tcBorders>
              <w:bottom w:val="single" w:sz="4" w:space="0" w:color="auto"/>
            </w:tcBorders>
            <w:vAlign w:val="bottom"/>
            <w:hideMark/>
          </w:tcPr>
          <w:p w14:paraId="2CD1E120" w14:textId="2DF7DAB8" w:rsidR="00773A54" w:rsidRPr="00D06AFD" w:rsidRDefault="00773A54" w:rsidP="00907EA8">
            <w:pPr>
              <w:jc w:val="right"/>
              <w:rPr>
                <w:rFonts w:ascii="Arial" w:hAnsi="Arial" w:cs="Arial"/>
                <w:bCs/>
                <w:szCs w:val="24"/>
                <w:vertAlign w:val="superscript"/>
              </w:rPr>
            </w:pPr>
            <w:r w:rsidRPr="00D06AFD">
              <w:rPr>
                <w:rFonts w:ascii="Arial" w:hAnsi="Arial" w:cs="Arial"/>
                <w:bCs/>
                <w:szCs w:val="24"/>
              </w:rPr>
              <w:t>201</w:t>
            </w:r>
            <w:r w:rsidR="00D06AFD" w:rsidRPr="00D06AFD">
              <w:rPr>
                <w:rFonts w:ascii="Arial" w:hAnsi="Arial" w:cs="Arial"/>
                <w:bCs/>
                <w:szCs w:val="24"/>
              </w:rPr>
              <w:t>7</w:t>
            </w:r>
            <w:r w:rsidR="008355A5" w:rsidRPr="00D06AFD">
              <w:rPr>
                <w:rFonts w:ascii="Arial" w:hAnsi="Arial" w:cs="Arial"/>
                <w:bCs/>
                <w:szCs w:val="24"/>
              </w:rPr>
              <w:t>/1</w:t>
            </w:r>
            <w:r w:rsidR="00D06AFD" w:rsidRPr="00D06AFD">
              <w:rPr>
                <w:rFonts w:ascii="Arial" w:hAnsi="Arial" w:cs="Arial"/>
                <w:bCs/>
                <w:szCs w:val="24"/>
              </w:rPr>
              <w:t>8</w:t>
            </w:r>
          </w:p>
          <w:p w14:paraId="0AB658A7" w14:textId="77777777" w:rsidR="00773A54" w:rsidRPr="00D06AFD" w:rsidRDefault="00773A54" w:rsidP="00907EA8">
            <w:pPr>
              <w:jc w:val="right"/>
              <w:rPr>
                <w:rFonts w:ascii="Arial" w:hAnsi="Arial" w:cs="Arial"/>
                <w:bCs/>
                <w:sz w:val="12"/>
                <w:szCs w:val="24"/>
              </w:rPr>
            </w:pPr>
            <w:r w:rsidRPr="00D06AFD">
              <w:rPr>
                <w:rFonts w:ascii="Arial" w:hAnsi="Arial" w:cs="Arial"/>
                <w:bCs/>
                <w:szCs w:val="24"/>
              </w:rPr>
              <w:t>Year end</w:t>
            </w:r>
          </w:p>
          <w:p w14:paraId="1073B1D9" w14:textId="77777777" w:rsidR="00773A54" w:rsidRPr="00D06AFD" w:rsidRDefault="00773A54" w:rsidP="00907EA8">
            <w:pPr>
              <w:jc w:val="right"/>
              <w:rPr>
                <w:rFonts w:ascii="Arial" w:hAnsi="Arial" w:cs="Arial"/>
                <w:bCs/>
                <w:szCs w:val="24"/>
              </w:rPr>
            </w:pPr>
            <w:r w:rsidRPr="00D06AFD">
              <w:rPr>
                <w:rFonts w:ascii="Arial" w:hAnsi="Arial" w:cs="Arial"/>
                <w:bCs/>
                <w:szCs w:val="24"/>
              </w:rPr>
              <w:t>£m</w:t>
            </w:r>
          </w:p>
        </w:tc>
      </w:tr>
      <w:tr w:rsidR="00CA6652" w:rsidRPr="007769BE" w14:paraId="67D801A1" w14:textId="77777777" w:rsidTr="00CA6652">
        <w:trPr>
          <w:trHeight w:val="255"/>
        </w:trPr>
        <w:tc>
          <w:tcPr>
            <w:tcW w:w="4722" w:type="dxa"/>
            <w:tcBorders>
              <w:top w:val="single" w:sz="4" w:space="0" w:color="auto"/>
              <w:left w:val="nil"/>
              <w:bottom w:val="nil"/>
              <w:right w:val="nil"/>
            </w:tcBorders>
            <w:vAlign w:val="bottom"/>
            <w:hideMark/>
          </w:tcPr>
          <w:p w14:paraId="14B2155D" w14:textId="16394FB3" w:rsidR="00CA6652" w:rsidRPr="004D4EB3" w:rsidRDefault="00CA6652" w:rsidP="00CA6652">
            <w:pPr>
              <w:rPr>
                <w:rFonts w:ascii="Arial" w:hAnsi="Arial" w:cs="Arial"/>
                <w:szCs w:val="24"/>
              </w:rPr>
            </w:pPr>
            <w:r w:rsidRPr="004D4EB3">
              <w:rPr>
                <w:rFonts w:ascii="Arial" w:hAnsi="Arial" w:cs="Arial"/>
              </w:rPr>
              <w:t xml:space="preserve">Retail </w:t>
            </w:r>
            <w:r w:rsidR="00253BE6">
              <w:rPr>
                <w:rFonts w:ascii="Arial" w:hAnsi="Arial" w:cs="Arial"/>
              </w:rPr>
              <w:t>p</w:t>
            </w:r>
            <w:r w:rsidRPr="004D4EB3">
              <w:rPr>
                <w:rFonts w:ascii="Arial" w:hAnsi="Arial" w:cs="Arial"/>
              </w:rPr>
              <w:t>rofit</w:t>
            </w:r>
          </w:p>
        </w:tc>
        <w:tc>
          <w:tcPr>
            <w:tcW w:w="2551" w:type="dxa"/>
            <w:tcBorders>
              <w:top w:val="single" w:sz="4" w:space="0" w:color="auto"/>
              <w:left w:val="nil"/>
              <w:bottom w:val="nil"/>
              <w:right w:val="nil"/>
            </w:tcBorders>
            <w:vAlign w:val="bottom"/>
          </w:tcPr>
          <w:p w14:paraId="0EEA5D84" w14:textId="18428F8B" w:rsidR="00CA6652" w:rsidRPr="004215EF" w:rsidRDefault="004D4EB3" w:rsidP="00CA6652">
            <w:pPr>
              <w:jc w:val="right"/>
              <w:rPr>
                <w:rFonts w:ascii="Arial" w:hAnsi="Arial" w:cs="Arial"/>
                <w:b/>
                <w:color w:val="C00000"/>
                <w:szCs w:val="24"/>
              </w:rPr>
            </w:pPr>
            <w:r w:rsidRPr="004215EF">
              <w:rPr>
                <w:rFonts w:ascii="Arial" w:hAnsi="Arial" w:cs="Arial"/>
                <w:b/>
              </w:rPr>
              <w:t>786</w:t>
            </w:r>
          </w:p>
        </w:tc>
        <w:tc>
          <w:tcPr>
            <w:tcW w:w="1559" w:type="dxa"/>
            <w:tcBorders>
              <w:top w:val="single" w:sz="4" w:space="0" w:color="auto"/>
              <w:left w:val="nil"/>
              <w:bottom w:val="nil"/>
              <w:right w:val="nil"/>
            </w:tcBorders>
            <w:vAlign w:val="bottom"/>
          </w:tcPr>
          <w:p w14:paraId="5012446E" w14:textId="60B324AD" w:rsidR="00CA6652" w:rsidRPr="00CA6652" w:rsidRDefault="00CA6652" w:rsidP="00CA6652">
            <w:pPr>
              <w:jc w:val="right"/>
              <w:rPr>
                <w:rFonts w:ascii="Arial" w:hAnsi="Arial" w:cs="Arial"/>
                <w:szCs w:val="24"/>
              </w:rPr>
            </w:pPr>
            <w:r w:rsidRPr="00CA6652">
              <w:rPr>
                <w:rFonts w:ascii="Arial" w:hAnsi="Arial" w:cs="Arial"/>
              </w:rPr>
              <w:t>849</w:t>
            </w:r>
          </w:p>
        </w:tc>
      </w:tr>
      <w:tr w:rsidR="00CA6652" w:rsidRPr="007769BE" w14:paraId="6A60D9EF" w14:textId="77777777" w:rsidTr="00CA6652">
        <w:trPr>
          <w:trHeight w:val="255"/>
        </w:trPr>
        <w:tc>
          <w:tcPr>
            <w:tcW w:w="4722" w:type="dxa"/>
            <w:tcBorders>
              <w:left w:val="nil"/>
              <w:right w:val="nil"/>
            </w:tcBorders>
            <w:vAlign w:val="bottom"/>
          </w:tcPr>
          <w:p w14:paraId="6044C077" w14:textId="3C7E6947" w:rsidR="00CA6652" w:rsidRPr="004D4EB3" w:rsidRDefault="00CA6652" w:rsidP="00CA6652">
            <w:pPr>
              <w:rPr>
                <w:rFonts w:ascii="Arial" w:hAnsi="Arial" w:cs="Arial"/>
                <w:szCs w:val="24"/>
              </w:rPr>
            </w:pPr>
            <w:r w:rsidRPr="004D4EB3">
              <w:rPr>
                <w:rFonts w:ascii="Arial" w:hAnsi="Arial" w:cs="Arial"/>
              </w:rPr>
              <w:t>Central costs</w:t>
            </w:r>
          </w:p>
        </w:tc>
        <w:tc>
          <w:tcPr>
            <w:tcW w:w="2551" w:type="dxa"/>
            <w:tcBorders>
              <w:left w:val="nil"/>
              <w:right w:val="nil"/>
            </w:tcBorders>
            <w:vAlign w:val="bottom"/>
          </w:tcPr>
          <w:p w14:paraId="48987A15" w14:textId="4C898FF4" w:rsidR="00CA6652" w:rsidRPr="004215EF" w:rsidRDefault="00CA6652" w:rsidP="00CA6652">
            <w:pPr>
              <w:jc w:val="right"/>
              <w:rPr>
                <w:rFonts w:ascii="Arial" w:hAnsi="Arial" w:cs="Arial"/>
                <w:b/>
                <w:color w:val="C00000"/>
                <w:szCs w:val="24"/>
              </w:rPr>
            </w:pPr>
            <w:r w:rsidRPr="004215EF">
              <w:rPr>
                <w:rFonts w:ascii="Arial" w:hAnsi="Arial" w:cs="Arial"/>
                <w:b/>
              </w:rPr>
              <w:t>(</w:t>
            </w:r>
            <w:r w:rsidR="004D4EB3" w:rsidRPr="004215EF">
              <w:rPr>
                <w:rFonts w:ascii="Arial" w:hAnsi="Arial" w:cs="Arial"/>
                <w:b/>
              </w:rPr>
              <w:t>45</w:t>
            </w:r>
            <w:r w:rsidRPr="004215EF">
              <w:rPr>
                <w:rFonts w:ascii="Arial" w:hAnsi="Arial" w:cs="Arial"/>
                <w:b/>
              </w:rPr>
              <w:t>)</w:t>
            </w:r>
          </w:p>
        </w:tc>
        <w:tc>
          <w:tcPr>
            <w:tcW w:w="1559" w:type="dxa"/>
            <w:tcBorders>
              <w:left w:val="nil"/>
              <w:right w:val="nil"/>
            </w:tcBorders>
            <w:vAlign w:val="bottom"/>
          </w:tcPr>
          <w:p w14:paraId="1C906434" w14:textId="459CCF6F" w:rsidR="00CA6652" w:rsidRPr="00CA6652" w:rsidRDefault="00CA6652" w:rsidP="00CA6652">
            <w:pPr>
              <w:jc w:val="right"/>
              <w:rPr>
                <w:rFonts w:ascii="Arial" w:hAnsi="Arial" w:cs="Arial"/>
                <w:szCs w:val="24"/>
              </w:rPr>
            </w:pPr>
            <w:r w:rsidRPr="00CA6652">
              <w:rPr>
                <w:rFonts w:ascii="Arial" w:hAnsi="Arial" w:cs="Arial"/>
              </w:rPr>
              <w:t>(46)</w:t>
            </w:r>
          </w:p>
        </w:tc>
      </w:tr>
      <w:tr w:rsidR="00CA6652" w:rsidRPr="007769BE" w14:paraId="22BB9C4D" w14:textId="77777777" w:rsidTr="00735F8F">
        <w:trPr>
          <w:trHeight w:val="255"/>
        </w:trPr>
        <w:tc>
          <w:tcPr>
            <w:tcW w:w="4722" w:type="dxa"/>
            <w:tcBorders>
              <w:left w:val="nil"/>
              <w:right w:val="nil"/>
            </w:tcBorders>
            <w:vAlign w:val="bottom"/>
          </w:tcPr>
          <w:p w14:paraId="43B2A21B" w14:textId="376106AF" w:rsidR="00CA6652" w:rsidRPr="004D4EB3" w:rsidRDefault="00CA6652" w:rsidP="00CA6652">
            <w:pPr>
              <w:rPr>
                <w:rFonts w:ascii="Arial" w:hAnsi="Arial" w:cs="Arial"/>
                <w:szCs w:val="24"/>
              </w:rPr>
            </w:pPr>
            <w:r w:rsidRPr="004D4EB3">
              <w:rPr>
                <w:rFonts w:ascii="Arial" w:hAnsi="Arial" w:cs="Arial"/>
              </w:rPr>
              <w:t>Transformation P&amp;L costs</w:t>
            </w:r>
          </w:p>
        </w:tc>
        <w:tc>
          <w:tcPr>
            <w:tcW w:w="2551" w:type="dxa"/>
            <w:tcBorders>
              <w:left w:val="nil"/>
              <w:right w:val="nil"/>
            </w:tcBorders>
            <w:vAlign w:val="bottom"/>
          </w:tcPr>
          <w:p w14:paraId="3701D168" w14:textId="54644FEB" w:rsidR="00CA6652" w:rsidRPr="004215EF" w:rsidRDefault="00CA6652" w:rsidP="00CA6652">
            <w:pPr>
              <w:jc w:val="right"/>
              <w:rPr>
                <w:rFonts w:ascii="Arial" w:hAnsi="Arial" w:cs="Arial"/>
                <w:b/>
                <w:color w:val="C00000"/>
                <w:szCs w:val="24"/>
              </w:rPr>
            </w:pPr>
            <w:r w:rsidRPr="004215EF">
              <w:rPr>
                <w:rFonts w:ascii="Arial" w:hAnsi="Arial" w:cs="Arial"/>
                <w:b/>
              </w:rPr>
              <w:t>(</w:t>
            </w:r>
            <w:r w:rsidR="004D4EB3" w:rsidRPr="004215EF">
              <w:rPr>
                <w:rFonts w:ascii="Arial" w:hAnsi="Arial" w:cs="Arial"/>
                <w:b/>
              </w:rPr>
              <w:t>120</w:t>
            </w:r>
            <w:r w:rsidRPr="004215EF">
              <w:rPr>
                <w:rFonts w:ascii="Arial" w:hAnsi="Arial" w:cs="Arial"/>
                <w:b/>
              </w:rPr>
              <w:t>)</w:t>
            </w:r>
          </w:p>
        </w:tc>
        <w:tc>
          <w:tcPr>
            <w:tcW w:w="1559" w:type="dxa"/>
            <w:tcBorders>
              <w:left w:val="nil"/>
              <w:right w:val="nil"/>
            </w:tcBorders>
            <w:vAlign w:val="bottom"/>
          </w:tcPr>
          <w:p w14:paraId="5BCB5653" w14:textId="3475E0AC" w:rsidR="00CA6652" w:rsidRPr="00CA6652" w:rsidRDefault="00CA6652" w:rsidP="00CA6652">
            <w:pPr>
              <w:jc w:val="right"/>
              <w:rPr>
                <w:rFonts w:ascii="Arial" w:hAnsi="Arial" w:cs="Arial"/>
                <w:szCs w:val="24"/>
              </w:rPr>
            </w:pPr>
            <w:r w:rsidRPr="00CA6652">
              <w:rPr>
                <w:rFonts w:ascii="Arial" w:hAnsi="Arial" w:cs="Arial"/>
              </w:rPr>
              <w:t>(114)</w:t>
            </w:r>
          </w:p>
        </w:tc>
      </w:tr>
      <w:tr w:rsidR="00CA6652" w:rsidRPr="007769BE" w14:paraId="22BCCE3B" w14:textId="77777777" w:rsidTr="00735F8F">
        <w:trPr>
          <w:trHeight w:val="255"/>
        </w:trPr>
        <w:tc>
          <w:tcPr>
            <w:tcW w:w="4722" w:type="dxa"/>
            <w:tcBorders>
              <w:left w:val="nil"/>
              <w:bottom w:val="single" w:sz="4" w:space="0" w:color="auto"/>
              <w:right w:val="nil"/>
            </w:tcBorders>
            <w:vAlign w:val="bottom"/>
          </w:tcPr>
          <w:p w14:paraId="63A7C35B" w14:textId="2FB34E2F" w:rsidR="00CA6652" w:rsidRPr="004D4EB3" w:rsidRDefault="00CA6652" w:rsidP="00CA6652">
            <w:pPr>
              <w:rPr>
                <w:rFonts w:ascii="Arial" w:hAnsi="Arial" w:cs="Arial"/>
                <w:szCs w:val="24"/>
              </w:rPr>
            </w:pPr>
            <w:r w:rsidRPr="004D4EB3">
              <w:rPr>
                <w:rFonts w:ascii="Arial" w:hAnsi="Arial" w:cs="Arial"/>
              </w:rPr>
              <w:t xml:space="preserve">Depreciation and </w:t>
            </w:r>
            <w:r w:rsidR="00253BE6">
              <w:rPr>
                <w:rFonts w:ascii="Arial" w:hAnsi="Arial" w:cs="Arial"/>
              </w:rPr>
              <w:t>a</w:t>
            </w:r>
            <w:r w:rsidRPr="004D4EB3">
              <w:rPr>
                <w:rFonts w:ascii="Arial" w:hAnsi="Arial" w:cs="Arial"/>
              </w:rPr>
              <w:t>mortisation</w:t>
            </w:r>
          </w:p>
        </w:tc>
        <w:tc>
          <w:tcPr>
            <w:tcW w:w="2551" w:type="dxa"/>
            <w:tcBorders>
              <w:left w:val="nil"/>
              <w:bottom w:val="single" w:sz="4" w:space="0" w:color="auto"/>
              <w:right w:val="nil"/>
            </w:tcBorders>
            <w:vAlign w:val="bottom"/>
          </w:tcPr>
          <w:p w14:paraId="35FE582B" w14:textId="275AC0C4" w:rsidR="00CA6652" w:rsidRPr="004215EF" w:rsidRDefault="004D4EB3" w:rsidP="00CA6652">
            <w:pPr>
              <w:jc w:val="right"/>
              <w:rPr>
                <w:rFonts w:ascii="Arial" w:hAnsi="Arial" w:cs="Arial"/>
                <w:b/>
                <w:color w:val="C00000"/>
                <w:szCs w:val="24"/>
              </w:rPr>
            </w:pPr>
            <w:r w:rsidRPr="004215EF">
              <w:rPr>
                <w:rFonts w:ascii="Arial" w:hAnsi="Arial" w:cs="Arial"/>
                <w:b/>
              </w:rPr>
              <w:t>264</w:t>
            </w:r>
          </w:p>
        </w:tc>
        <w:tc>
          <w:tcPr>
            <w:tcW w:w="1559" w:type="dxa"/>
            <w:tcBorders>
              <w:left w:val="nil"/>
              <w:bottom w:val="single" w:sz="4" w:space="0" w:color="auto"/>
              <w:right w:val="nil"/>
            </w:tcBorders>
            <w:vAlign w:val="bottom"/>
          </w:tcPr>
          <w:p w14:paraId="798948DA" w14:textId="06DA6F5A" w:rsidR="00CA6652" w:rsidRPr="00CA6652" w:rsidRDefault="00CA6652" w:rsidP="00CA6652">
            <w:pPr>
              <w:jc w:val="right"/>
              <w:rPr>
                <w:rFonts w:ascii="Arial" w:hAnsi="Arial" w:cs="Arial"/>
                <w:szCs w:val="24"/>
              </w:rPr>
            </w:pPr>
            <w:r w:rsidRPr="00CA6652">
              <w:rPr>
                <w:rFonts w:ascii="Arial" w:hAnsi="Arial" w:cs="Arial"/>
              </w:rPr>
              <w:t>254</w:t>
            </w:r>
          </w:p>
        </w:tc>
      </w:tr>
      <w:tr w:rsidR="00CA6652" w:rsidRPr="007769BE" w14:paraId="30F6FC85" w14:textId="77777777" w:rsidTr="00735F8F">
        <w:trPr>
          <w:trHeight w:val="255"/>
        </w:trPr>
        <w:tc>
          <w:tcPr>
            <w:tcW w:w="4722" w:type="dxa"/>
            <w:tcBorders>
              <w:top w:val="single" w:sz="4" w:space="0" w:color="auto"/>
              <w:left w:val="nil"/>
              <w:bottom w:val="nil"/>
              <w:right w:val="nil"/>
            </w:tcBorders>
            <w:vAlign w:val="bottom"/>
          </w:tcPr>
          <w:p w14:paraId="2D24EB67" w14:textId="4A9964EA" w:rsidR="00CA6652" w:rsidRPr="004D4EB3" w:rsidRDefault="00CA6652" w:rsidP="00CA6652">
            <w:pPr>
              <w:rPr>
                <w:rFonts w:ascii="Arial" w:hAnsi="Arial" w:cs="Arial"/>
                <w:szCs w:val="24"/>
              </w:rPr>
            </w:pPr>
            <w:r w:rsidRPr="004D4EB3">
              <w:rPr>
                <w:rFonts w:ascii="Arial" w:hAnsi="Arial" w:cs="Arial"/>
                <w:b/>
              </w:rPr>
              <w:t>EBITDA*</w:t>
            </w:r>
          </w:p>
        </w:tc>
        <w:tc>
          <w:tcPr>
            <w:tcW w:w="2551" w:type="dxa"/>
            <w:tcBorders>
              <w:top w:val="single" w:sz="4" w:space="0" w:color="auto"/>
              <w:left w:val="nil"/>
              <w:bottom w:val="nil"/>
              <w:right w:val="nil"/>
            </w:tcBorders>
            <w:vAlign w:val="bottom"/>
          </w:tcPr>
          <w:p w14:paraId="7C67912D" w14:textId="5FA1E33D" w:rsidR="00CA6652" w:rsidRPr="004215EF" w:rsidRDefault="001D3508" w:rsidP="00CA6652">
            <w:pPr>
              <w:jc w:val="right"/>
              <w:rPr>
                <w:rFonts w:ascii="Arial" w:hAnsi="Arial" w:cs="Arial"/>
                <w:b/>
                <w:color w:val="C00000"/>
                <w:szCs w:val="24"/>
              </w:rPr>
            </w:pPr>
            <w:r w:rsidRPr="004215EF">
              <w:rPr>
                <w:rFonts w:ascii="Arial" w:hAnsi="Arial" w:cs="Arial"/>
                <w:b/>
              </w:rPr>
              <w:t>88</w:t>
            </w:r>
            <w:r w:rsidR="004D4EB3" w:rsidRPr="004215EF">
              <w:rPr>
                <w:rFonts w:ascii="Arial" w:hAnsi="Arial" w:cs="Arial"/>
                <w:b/>
              </w:rPr>
              <w:t>5</w:t>
            </w:r>
          </w:p>
        </w:tc>
        <w:tc>
          <w:tcPr>
            <w:tcW w:w="1559" w:type="dxa"/>
            <w:tcBorders>
              <w:top w:val="single" w:sz="4" w:space="0" w:color="auto"/>
              <w:left w:val="nil"/>
              <w:bottom w:val="nil"/>
              <w:right w:val="nil"/>
            </w:tcBorders>
            <w:vAlign w:val="bottom"/>
          </w:tcPr>
          <w:p w14:paraId="2C39657B" w14:textId="4C05CDD9" w:rsidR="00CA6652" w:rsidRPr="00CA6652" w:rsidRDefault="00CA6652" w:rsidP="00CA6652">
            <w:pPr>
              <w:jc w:val="right"/>
              <w:rPr>
                <w:rFonts w:ascii="Arial" w:hAnsi="Arial" w:cs="Arial"/>
                <w:szCs w:val="24"/>
              </w:rPr>
            </w:pPr>
            <w:r w:rsidRPr="00CA6652">
              <w:rPr>
                <w:rFonts w:ascii="Arial" w:hAnsi="Arial" w:cs="Arial"/>
              </w:rPr>
              <w:t>943</w:t>
            </w:r>
          </w:p>
        </w:tc>
      </w:tr>
      <w:tr w:rsidR="00CA6652" w:rsidRPr="007769BE" w14:paraId="594A16D7" w14:textId="77777777" w:rsidTr="00907EA8">
        <w:trPr>
          <w:trHeight w:val="255"/>
        </w:trPr>
        <w:tc>
          <w:tcPr>
            <w:tcW w:w="4722" w:type="dxa"/>
            <w:tcBorders>
              <w:top w:val="nil"/>
              <w:left w:val="nil"/>
              <w:bottom w:val="single" w:sz="4" w:space="0" w:color="auto"/>
              <w:right w:val="nil"/>
            </w:tcBorders>
            <w:vAlign w:val="bottom"/>
            <w:hideMark/>
          </w:tcPr>
          <w:p w14:paraId="64C37D3D" w14:textId="77777777" w:rsidR="00CA6652" w:rsidRPr="004D4EB3" w:rsidRDefault="00CA6652" w:rsidP="00CA6652">
            <w:pPr>
              <w:rPr>
                <w:rFonts w:ascii="Arial" w:hAnsi="Arial" w:cs="Arial"/>
                <w:szCs w:val="24"/>
              </w:rPr>
            </w:pPr>
            <w:r w:rsidRPr="004D4EB3">
              <w:rPr>
                <w:rFonts w:ascii="Arial" w:hAnsi="Arial" w:cs="Arial"/>
                <w:szCs w:val="24"/>
              </w:rPr>
              <w:t>Property operating lease rentals</w:t>
            </w:r>
          </w:p>
        </w:tc>
        <w:tc>
          <w:tcPr>
            <w:tcW w:w="2551" w:type="dxa"/>
            <w:tcBorders>
              <w:top w:val="nil"/>
              <w:left w:val="nil"/>
              <w:bottom w:val="single" w:sz="4" w:space="0" w:color="auto"/>
              <w:right w:val="nil"/>
            </w:tcBorders>
            <w:vAlign w:val="bottom"/>
          </w:tcPr>
          <w:p w14:paraId="3AA881C0" w14:textId="0CCB37D8" w:rsidR="00CA6652" w:rsidRPr="004215EF" w:rsidRDefault="001D3508" w:rsidP="00CA6652">
            <w:pPr>
              <w:jc w:val="right"/>
              <w:rPr>
                <w:rFonts w:ascii="Arial" w:hAnsi="Arial" w:cs="Arial"/>
                <w:b/>
                <w:szCs w:val="24"/>
              </w:rPr>
            </w:pPr>
            <w:r w:rsidRPr="004215EF">
              <w:rPr>
                <w:rFonts w:ascii="Arial" w:hAnsi="Arial" w:cs="Arial"/>
                <w:b/>
                <w:szCs w:val="24"/>
              </w:rPr>
              <w:t>4</w:t>
            </w:r>
            <w:r w:rsidR="0003272B">
              <w:rPr>
                <w:rFonts w:ascii="Arial" w:hAnsi="Arial" w:cs="Arial"/>
                <w:b/>
                <w:szCs w:val="24"/>
              </w:rPr>
              <w:t>18</w:t>
            </w:r>
          </w:p>
        </w:tc>
        <w:tc>
          <w:tcPr>
            <w:tcW w:w="1559" w:type="dxa"/>
            <w:tcBorders>
              <w:top w:val="nil"/>
              <w:left w:val="nil"/>
              <w:bottom w:val="single" w:sz="4" w:space="0" w:color="auto"/>
              <w:right w:val="nil"/>
            </w:tcBorders>
            <w:vAlign w:val="bottom"/>
          </w:tcPr>
          <w:p w14:paraId="6D866E80" w14:textId="222C36C8" w:rsidR="00CA6652" w:rsidRPr="00CA6652" w:rsidRDefault="00CA6652" w:rsidP="00CA6652">
            <w:pPr>
              <w:jc w:val="right"/>
              <w:rPr>
                <w:rFonts w:ascii="Arial" w:hAnsi="Arial" w:cs="Arial"/>
                <w:szCs w:val="24"/>
              </w:rPr>
            </w:pPr>
            <w:r w:rsidRPr="00CA6652">
              <w:rPr>
                <w:rFonts w:ascii="Arial" w:hAnsi="Arial" w:cs="Arial"/>
              </w:rPr>
              <w:t>408</w:t>
            </w:r>
          </w:p>
        </w:tc>
      </w:tr>
      <w:tr w:rsidR="00CA6652" w:rsidRPr="007769BE" w14:paraId="677DAECA" w14:textId="77777777" w:rsidTr="00907EA8">
        <w:trPr>
          <w:trHeight w:val="255"/>
        </w:trPr>
        <w:tc>
          <w:tcPr>
            <w:tcW w:w="4722" w:type="dxa"/>
            <w:tcBorders>
              <w:top w:val="single" w:sz="4" w:space="0" w:color="auto"/>
              <w:left w:val="nil"/>
              <w:bottom w:val="single" w:sz="4" w:space="0" w:color="auto"/>
              <w:right w:val="nil"/>
            </w:tcBorders>
            <w:vAlign w:val="bottom"/>
            <w:hideMark/>
          </w:tcPr>
          <w:p w14:paraId="0A5B1724" w14:textId="77777777" w:rsidR="00CA6652" w:rsidRPr="004D4EB3" w:rsidRDefault="00CA6652" w:rsidP="00CA6652">
            <w:pPr>
              <w:rPr>
                <w:rFonts w:ascii="Arial" w:hAnsi="Arial" w:cs="Arial"/>
                <w:b/>
                <w:szCs w:val="24"/>
              </w:rPr>
            </w:pPr>
            <w:r w:rsidRPr="004D4EB3">
              <w:rPr>
                <w:rFonts w:ascii="Arial" w:hAnsi="Arial" w:cs="Arial"/>
                <w:b/>
                <w:szCs w:val="24"/>
              </w:rPr>
              <w:t>EBITDAR</w:t>
            </w:r>
          </w:p>
        </w:tc>
        <w:tc>
          <w:tcPr>
            <w:tcW w:w="2551" w:type="dxa"/>
            <w:tcBorders>
              <w:top w:val="single" w:sz="4" w:space="0" w:color="auto"/>
              <w:left w:val="nil"/>
              <w:bottom w:val="single" w:sz="4" w:space="0" w:color="auto"/>
              <w:right w:val="nil"/>
            </w:tcBorders>
            <w:vAlign w:val="bottom"/>
          </w:tcPr>
          <w:p w14:paraId="63937C2B" w14:textId="6B2A19FB" w:rsidR="00CA6652" w:rsidRPr="004215EF" w:rsidRDefault="001D3508" w:rsidP="00CA6652">
            <w:pPr>
              <w:jc w:val="right"/>
              <w:rPr>
                <w:rFonts w:ascii="Arial" w:hAnsi="Arial" w:cs="Arial"/>
                <w:b/>
                <w:szCs w:val="24"/>
              </w:rPr>
            </w:pPr>
            <w:r w:rsidRPr="004215EF">
              <w:rPr>
                <w:rFonts w:ascii="Arial" w:hAnsi="Arial" w:cs="Arial"/>
                <w:b/>
                <w:szCs w:val="24"/>
              </w:rPr>
              <w:t>1,30</w:t>
            </w:r>
            <w:r w:rsidR="0003272B">
              <w:rPr>
                <w:rFonts w:ascii="Arial" w:hAnsi="Arial" w:cs="Arial"/>
                <w:b/>
                <w:szCs w:val="24"/>
              </w:rPr>
              <w:t>3</w:t>
            </w:r>
          </w:p>
        </w:tc>
        <w:tc>
          <w:tcPr>
            <w:tcW w:w="1559" w:type="dxa"/>
            <w:tcBorders>
              <w:top w:val="single" w:sz="4" w:space="0" w:color="auto"/>
              <w:left w:val="nil"/>
              <w:bottom w:val="single" w:sz="4" w:space="0" w:color="auto"/>
              <w:right w:val="nil"/>
            </w:tcBorders>
            <w:vAlign w:val="bottom"/>
          </w:tcPr>
          <w:p w14:paraId="2C0F7163" w14:textId="11A90C49" w:rsidR="00CA6652" w:rsidRPr="00CA6652" w:rsidRDefault="00CA6652" w:rsidP="00CA6652">
            <w:pPr>
              <w:jc w:val="right"/>
              <w:rPr>
                <w:rFonts w:ascii="Arial" w:hAnsi="Arial" w:cs="Arial"/>
                <w:szCs w:val="24"/>
              </w:rPr>
            </w:pPr>
            <w:r w:rsidRPr="00CA6652">
              <w:rPr>
                <w:rFonts w:ascii="Arial" w:hAnsi="Arial" w:cs="Arial"/>
              </w:rPr>
              <w:t>1,351</w:t>
            </w:r>
          </w:p>
        </w:tc>
      </w:tr>
      <w:tr w:rsidR="00C97687" w:rsidRPr="007769BE" w14:paraId="2E3502E0" w14:textId="77777777" w:rsidTr="00907EA8">
        <w:trPr>
          <w:trHeight w:val="311"/>
        </w:trPr>
        <w:tc>
          <w:tcPr>
            <w:tcW w:w="4722" w:type="dxa"/>
            <w:tcBorders>
              <w:top w:val="single" w:sz="4" w:space="0" w:color="auto"/>
              <w:left w:val="nil"/>
              <w:bottom w:val="nil"/>
              <w:right w:val="nil"/>
            </w:tcBorders>
            <w:vAlign w:val="bottom"/>
            <w:hideMark/>
          </w:tcPr>
          <w:p w14:paraId="5BA774B1" w14:textId="04BFD140" w:rsidR="00C97687" w:rsidRPr="004D4EB3" w:rsidRDefault="00C97687" w:rsidP="00C97687">
            <w:pPr>
              <w:rPr>
                <w:rFonts w:ascii="Arial" w:hAnsi="Arial" w:cs="Arial"/>
                <w:szCs w:val="24"/>
              </w:rPr>
            </w:pPr>
            <w:r w:rsidRPr="004D4EB3">
              <w:rPr>
                <w:rFonts w:ascii="Arial" w:hAnsi="Arial" w:cs="Arial"/>
                <w:szCs w:val="24"/>
              </w:rPr>
              <w:t>Net cash</w:t>
            </w:r>
          </w:p>
        </w:tc>
        <w:tc>
          <w:tcPr>
            <w:tcW w:w="2551" w:type="dxa"/>
            <w:tcBorders>
              <w:top w:val="single" w:sz="4" w:space="0" w:color="auto"/>
              <w:left w:val="nil"/>
              <w:bottom w:val="nil"/>
              <w:right w:val="nil"/>
            </w:tcBorders>
            <w:vAlign w:val="bottom"/>
          </w:tcPr>
          <w:p w14:paraId="42348710" w14:textId="70599F2E" w:rsidR="00C97687" w:rsidRPr="004215EF" w:rsidRDefault="00C9681C" w:rsidP="00C97687">
            <w:pPr>
              <w:jc w:val="right"/>
              <w:rPr>
                <w:rFonts w:ascii="Arial" w:hAnsi="Arial" w:cs="Arial"/>
                <w:b/>
                <w:szCs w:val="24"/>
              </w:rPr>
            </w:pPr>
            <w:r>
              <w:rPr>
                <w:rFonts w:ascii="Arial" w:hAnsi="Arial" w:cs="Arial"/>
                <w:b/>
                <w:szCs w:val="24"/>
              </w:rPr>
              <w:t>(</w:t>
            </w:r>
            <w:r w:rsidR="001D3508" w:rsidRPr="004215EF">
              <w:rPr>
                <w:rFonts w:ascii="Arial" w:hAnsi="Arial" w:cs="Arial"/>
                <w:b/>
                <w:szCs w:val="24"/>
              </w:rPr>
              <w:t>99</w:t>
            </w:r>
            <w:r>
              <w:rPr>
                <w:rFonts w:ascii="Arial" w:hAnsi="Arial" w:cs="Arial"/>
                <w:b/>
                <w:szCs w:val="24"/>
              </w:rPr>
              <w:t>)</w:t>
            </w:r>
          </w:p>
        </w:tc>
        <w:tc>
          <w:tcPr>
            <w:tcW w:w="1559" w:type="dxa"/>
            <w:tcBorders>
              <w:top w:val="single" w:sz="4" w:space="0" w:color="auto"/>
              <w:left w:val="nil"/>
              <w:bottom w:val="nil"/>
              <w:right w:val="nil"/>
            </w:tcBorders>
            <w:vAlign w:val="bottom"/>
          </w:tcPr>
          <w:p w14:paraId="742E45B4" w14:textId="0A8C303B" w:rsidR="00C97687" w:rsidRPr="00D06AFD" w:rsidRDefault="00C97687" w:rsidP="00C97687">
            <w:pPr>
              <w:jc w:val="right"/>
              <w:rPr>
                <w:rFonts w:ascii="Arial" w:hAnsi="Arial" w:cs="Arial"/>
                <w:szCs w:val="24"/>
              </w:rPr>
            </w:pPr>
            <w:r w:rsidRPr="00D06AFD">
              <w:rPr>
                <w:rFonts w:ascii="Arial" w:hAnsi="Arial" w:cs="Arial"/>
                <w:szCs w:val="24"/>
              </w:rPr>
              <w:t>(</w:t>
            </w:r>
            <w:r w:rsidR="00D06AFD">
              <w:rPr>
                <w:rFonts w:ascii="Arial" w:hAnsi="Arial" w:cs="Arial"/>
                <w:szCs w:val="24"/>
              </w:rPr>
              <w:t>68</w:t>
            </w:r>
            <w:r w:rsidRPr="00D06AFD">
              <w:rPr>
                <w:rFonts w:ascii="Arial" w:hAnsi="Arial" w:cs="Arial"/>
                <w:szCs w:val="24"/>
              </w:rPr>
              <w:t>)</w:t>
            </w:r>
          </w:p>
        </w:tc>
      </w:tr>
      <w:tr w:rsidR="00C97687" w:rsidRPr="007769BE" w14:paraId="652E75C8" w14:textId="77777777" w:rsidTr="00907EA8">
        <w:trPr>
          <w:trHeight w:val="270"/>
        </w:trPr>
        <w:tc>
          <w:tcPr>
            <w:tcW w:w="4722" w:type="dxa"/>
            <w:tcBorders>
              <w:top w:val="nil"/>
              <w:left w:val="nil"/>
              <w:bottom w:val="single" w:sz="4" w:space="0" w:color="auto"/>
              <w:right w:val="nil"/>
            </w:tcBorders>
            <w:vAlign w:val="bottom"/>
            <w:hideMark/>
          </w:tcPr>
          <w:p w14:paraId="42BC2836" w14:textId="36E2C9D1" w:rsidR="00C97687" w:rsidRPr="004D4EB3" w:rsidRDefault="00C97687" w:rsidP="00C97687">
            <w:pPr>
              <w:rPr>
                <w:rFonts w:ascii="Arial" w:hAnsi="Arial" w:cs="Arial"/>
                <w:szCs w:val="24"/>
              </w:rPr>
            </w:pPr>
            <w:r w:rsidRPr="004D4EB3">
              <w:rPr>
                <w:rFonts w:ascii="Arial" w:hAnsi="Arial" w:cs="Arial"/>
                <w:szCs w:val="24"/>
              </w:rPr>
              <w:t>Property operating lease rentals (8</w:t>
            </w:r>
            <w:proofErr w:type="gramStart"/>
            <w:r w:rsidRPr="004D4EB3">
              <w:rPr>
                <w:rFonts w:ascii="Arial" w:hAnsi="Arial" w:cs="Arial"/>
                <w:szCs w:val="24"/>
              </w:rPr>
              <w:t>x)</w:t>
            </w:r>
            <w:r w:rsidRPr="004D4EB3">
              <w:rPr>
                <w:rFonts w:ascii="Arial" w:hAnsi="Arial" w:cs="Arial"/>
                <w:szCs w:val="24"/>
                <w:vertAlign w:val="superscript"/>
              </w:rPr>
              <w:t>(</w:t>
            </w:r>
            <w:proofErr w:type="gramEnd"/>
            <w:r w:rsidR="00D94ACD" w:rsidRPr="004D4EB3">
              <w:rPr>
                <w:rFonts w:ascii="Arial" w:hAnsi="Arial" w:cs="Arial"/>
                <w:szCs w:val="24"/>
                <w:vertAlign w:val="superscript"/>
              </w:rPr>
              <w:t>1</w:t>
            </w:r>
            <w:r w:rsidRPr="004D4EB3">
              <w:rPr>
                <w:rFonts w:ascii="Arial" w:hAnsi="Arial" w:cs="Arial"/>
                <w:szCs w:val="24"/>
                <w:vertAlign w:val="superscript"/>
              </w:rPr>
              <w:t>)</w:t>
            </w:r>
          </w:p>
        </w:tc>
        <w:tc>
          <w:tcPr>
            <w:tcW w:w="2551" w:type="dxa"/>
            <w:tcBorders>
              <w:top w:val="nil"/>
              <w:left w:val="nil"/>
              <w:bottom w:val="single" w:sz="4" w:space="0" w:color="auto"/>
              <w:right w:val="nil"/>
            </w:tcBorders>
            <w:vAlign w:val="bottom"/>
          </w:tcPr>
          <w:p w14:paraId="475F7B7B" w14:textId="49339B15" w:rsidR="00C97687" w:rsidRPr="004215EF" w:rsidRDefault="001D3508" w:rsidP="00C97687">
            <w:pPr>
              <w:jc w:val="right"/>
              <w:rPr>
                <w:rFonts w:ascii="Arial" w:hAnsi="Arial" w:cs="Arial"/>
                <w:b/>
                <w:szCs w:val="24"/>
              </w:rPr>
            </w:pPr>
            <w:r w:rsidRPr="004215EF">
              <w:rPr>
                <w:rFonts w:ascii="Arial" w:hAnsi="Arial" w:cs="Arial"/>
                <w:b/>
                <w:szCs w:val="24"/>
              </w:rPr>
              <w:t>3,3</w:t>
            </w:r>
            <w:r w:rsidR="0003272B">
              <w:rPr>
                <w:rFonts w:ascii="Arial" w:hAnsi="Arial" w:cs="Arial"/>
                <w:b/>
                <w:szCs w:val="24"/>
              </w:rPr>
              <w:t>44</w:t>
            </w:r>
          </w:p>
        </w:tc>
        <w:tc>
          <w:tcPr>
            <w:tcW w:w="1559" w:type="dxa"/>
            <w:tcBorders>
              <w:top w:val="nil"/>
              <w:left w:val="nil"/>
              <w:bottom w:val="single" w:sz="4" w:space="0" w:color="auto"/>
              <w:right w:val="nil"/>
            </w:tcBorders>
            <w:vAlign w:val="bottom"/>
          </w:tcPr>
          <w:p w14:paraId="3510EBAF" w14:textId="7D3684DB" w:rsidR="00C97687" w:rsidRPr="00D06AFD" w:rsidRDefault="00C97687" w:rsidP="00C97687">
            <w:pPr>
              <w:jc w:val="right"/>
              <w:rPr>
                <w:rFonts w:ascii="Arial" w:hAnsi="Arial" w:cs="Arial"/>
                <w:szCs w:val="24"/>
              </w:rPr>
            </w:pPr>
            <w:r w:rsidRPr="00D06AFD">
              <w:rPr>
                <w:rFonts w:ascii="Arial" w:hAnsi="Arial" w:cs="Arial"/>
                <w:szCs w:val="24"/>
              </w:rPr>
              <w:t>3,</w:t>
            </w:r>
            <w:r w:rsidR="00D06AFD">
              <w:rPr>
                <w:rFonts w:ascii="Arial" w:hAnsi="Arial" w:cs="Arial"/>
                <w:szCs w:val="24"/>
              </w:rPr>
              <w:t>264</w:t>
            </w:r>
          </w:p>
        </w:tc>
      </w:tr>
      <w:tr w:rsidR="00C97687" w:rsidRPr="007769BE" w14:paraId="07CE38D8" w14:textId="77777777" w:rsidTr="00907EA8">
        <w:trPr>
          <w:trHeight w:val="270"/>
        </w:trPr>
        <w:tc>
          <w:tcPr>
            <w:tcW w:w="4722" w:type="dxa"/>
            <w:tcBorders>
              <w:top w:val="single" w:sz="4" w:space="0" w:color="auto"/>
              <w:left w:val="nil"/>
              <w:bottom w:val="single" w:sz="4" w:space="0" w:color="auto"/>
              <w:right w:val="nil"/>
            </w:tcBorders>
            <w:vAlign w:val="bottom"/>
            <w:hideMark/>
          </w:tcPr>
          <w:p w14:paraId="4269785C" w14:textId="77777777" w:rsidR="00C97687" w:rsidRPr="004D4EB3" w:rsidRDefault="00C97687" w:rsidP="00C97687">
            <w:pPr>
              <w:rPr>
                <w:rFonts w:ascii="Arial" w:hAnsi="Arial" w:cs="Arial"/>
                <w:b/>
                <w:szCs w:val="24"/>
              </w:rPr>
            </w:pPr>
            <w:r w:rsidRPr="004D4EB3">
              <w:rPr>
                <w:rFonts w:ascii="Arial" w:hAnsi="Arial" w:cs="Arial"/>
                <w:b/>
                <w:szCs w:val="24"/>
              </w:rPr>
              <w:t>Lease adjusted net debt</w:t>
            </w:r>
          </w:p>
        </w:tc>
        <w:tc>
          <w:tcPr>
            <w:tcW w:w="2551" w:type="dxa"/>
            <w:tcBorders>
              <w:top w:val="single" w:sz="4" w:space="0" w:color="auto"/>
              <w:left w:val="nil"/>
              <w:bottom w:val="single" w:sz="4" w:space="0" w:color="auto"/>
              <w:right w:val="nil"/>
            </w:tcBorders>
            <w:vAlign w:val="bottom"/>
          </w:tcPr>
          <w:p w14:paraId="633B412E" w14:textId="5BD159DB" w:rsidR="00C97687" w:rsidRPr="004215EF" w:rsidRDefault="001D3508" w:rsidP="00C97687">
            <w:pPr>
              <w:jc w:val="right"/>
              <w:rPr>
                <w:rFonts w:ascii="Arial" w:hAnsi="Arial" w:cs="Arial"/>
                <w:b/>
                <w:szCs w:val="24"/>
              </w:rPr>
            </w:pPr>
            <w:r w:rsidRPr="004215EF">
              <w:rPr>
                <w:rFonts w:ascii="Arial" w:hAnsi="Arial" w:cs="Arial"/>
                <w:b/>
                <w:szCs w:val="24"/>
              </w:rPr>
              <w:t>3,2</w:t>
            </w:r>
            <w:r w:rsidR="0003272B">
              <w:rPr>
                <w:rFonts w:ascii="Arial" w:hAnsi="Arial" w:cs="Arial"/>
                <w:b/>
                <w:szCs w:val="24"/>
              </w:rPr>
              <w:t>45</w:t>
            </w:r>
          </w:p>
        </w:tc>
        <w:tc>
          <w:tcPr>
            <w:tcW w:w="1559" w:type="dxa"/>
            <w:tcBorders>
              <w:top w:val="single" w:sz="4" w:space="0" w:color="auto"/>
              <w:left w:val="nil"/>
              <w:bottom w:val="single" w:sz="4" w:space="0" w:color="auto"/>
              <w:right w:val="nil"/>
            </w:tcBorders>
            <w:vAlign w:val="bottom"/>
          </w:tcPr>
          <w:p w14:paraId="734060CB" w14:textId="0A94A7D5" w:rsidR="00C97687" w:rsidRPr="00D06AFD" w:rsidRDefault="00D06AFD" w:rsidP="00C97687">
            <w:pPr>
              <w:jc w:val="right"/>
              <w:rPr>
                <w:rFonts w:ascii="Arial" w:hAnsi="Arial" w:cs="Arial"/>
                <w:szCs w:val="24"/>
              </w:rPr>
            </w:pPr>
            <w:r>
              <w:rPr>
                <w:rFonts w:ascii="Arial" w:hAnsi="Arial" w:cs="Arial"/>
                <w:szCs w:val="24"/>
              </w:rPr>
              <w:t>3,196</w:t>
            </w:r>
          </w:p>
        </w:tc>
      </w:tr>
      <w:tr w:rsidR="00C97687" w:rsidRPr="007769BE" w14:paraId="25F88DFE" w14:textId="77777777" w:rsidTr="00907EA8">
        <w:trPr>
          <w:trHeight w:val="270"/>
        </w:trPr>
        <w:tc>
          <w:tcPr>
            <w:tcW w:w="4722" w:type="dxa"/>
            <w:tcBorders>
              <w:top w:val="single" w:sz="4" w:space="0" w:color="auto"/>
              <w:left w:val="nil"/>
              <w:bottom w:val="single" w:sz="4" w:space="0" w:color="auto"/>
              <w:right w:val="nil"/>
            </w:tcBorders>
            <w:vAlign w:val="bottom"/>
            <w:hideMark/>
          </w:tcPr>
          <w:p w14:paraId="0D677BEE" w14:textId="77777777" w:rsidR="00C97687" w:rsidRPr="004D4EB3" w:rsidRDefault="00C97687" w:rsidP="00C97687">
            <w:pPr>
              <w:rPr>
                <w:rFonts w:ascii="Arial" w:hAnsi="Arial" w:cs="Arial"/>
                <w:b/>
                <w:szCs w:val="24"/>
              </w:rPr>
            </w:pPr>
            <w:r w:rsidRPr="004D4EB3">
              <w:rPr>
                <w:rFonts w:ascii="Arial" w:hAnsi="Arial" w:cs="Arial"/>
                <w:b/>
                <w:szCs w:val="24"/>
              </w:rPr>
              <w:t>Lease adjusted net debt to EBITDAR</w:t>
            </w:r>
          </w:p>
        </w:tc>
        <w:tc>
          <w:tcPr>
            <w:tcW w:w="2551" w:type="dxa"/>
            <w:tcBorders>
              <w:top w:val="single" w:sz="4" w:space="0" w:color="auto"/>
              <w:left w:val="nil"/>
              <w:bottom w:val="single" w:sz="4" w:space="0" w:color="auto"/>
              <w:right w:val="nil"/>
            </w:tcBorders>
            <w:vAlign w:val="bottom"/>
          </w:tcPr>
          <w:p w14:paraId="560A1B8C" w14:textId="49D27B90" w:rsidR="00C97687" w:rsidRPr="004215EF" w:rsidRDefault="001D3508" w:rsidP="00C97687">
            <w:pPr>
              <w:jc w:val="right"/>
              <w:rPr>
                <w:rFonts w:ascii="Arial" w:hAnsi="Arial" w:cs="Arial"/>
                <w:b/>
                <w:szCs w:val="24"/>
              </w:rPr>
            </w:pPr>
            <w:r w:rsidRPr="004215EF">
              <w:rPr>
                <w:rFonts w:ascii="Arial" w:hAnsi="Arial" w:cs="Arial"/>
                <w:b/>
                <w:szCs w:val="24"/>
              </w:rPr>
              <w:t>2.5</w:t>
            </w:r>
          </w:p>
        </w:tc>
        <w:tc>
          <w:tcPr>
            <w:tcW w:w="1559" w:type="dxa"/>
            <w:tcBorders>
              <w:top w:val="single" w:sz="4" w:space="0" w:color="auto"/>
              <w:left w:val="nil"/>
              <w:bottom w:val="single" w:sz="4" w:space="0" w:color="auto"/>
              <w:right w:val="nil"/>
            </w:tcBorders>
            <w:vAlign w:val="bottom"/>
          </w:tcPr>
          <w:p w14:paraId="5CCFABA4" w14:textId="2A73DCD3" w:rsidR="00C97687" w:rsidRPr="00D06AFD" w:rsidRDefault="00D06AFD" w:rsidP="00C97687">
            <w:pPr>
              <w:tabs>
                <w:tab w:val="center" w:pos="671"/>
                <w:tab w:val="right" w:pos="1343"/>
              </w:tabs>
              <w:jc w:val="right"/>
              <w:rPr>
                <w:rFonts w:ascii="Arial" w:hAnsi="Arial" w:cs="Arial"/>
                <w:szCs w:val="24"/>
              </w:rPr>
            </w:pPr>
            <w:r>
              <w:rPr>
                <w:rFonts w:ascii="Arial" w:hAnsi="Arial" w:cs="Arial"/>
                <w:szCs w:val="24"/>
              </w:rPr>
              <w:t>2.4</w:t>
            </w:r>
          </w:p>
        </w:tc>
      </w:tr>
    </w:tbl>
    <w:p w14:paraId="472F25F3" w14:textId="7E321E5A" w:rsidR="00773A54" w:rsidRPr="00A03549" w:rsidRDefault="00D94ACD" w:rsidP="00773A54">
      <w:pPr>
        <w:ind w:right="-368"/>
        <w:jc w:val="left"/>
        <w:rPr>
          <w:rFonts w:ascii="Arial" w:hAnsi="Arial" w:cs="Arial"/>
          <w:sz w:val="18"/>
          <w:szCs w:val="18"/>
        </w:rPr>
      </w:pPr>
      <w:r w:rsidRPr="00A03549" w:rsidDel="00D94ACD">
        <w:rPr>
          <w:rFonts w:ascii="Arial" w:hAnsi="Arial" w:cs="Arial"/>
          <w:iCs/>
          <w:sz w:val="18"/>
          <w:szCs w:val="18"/>
          <w:vertAlign w:val="superscript"/>
        </w:rPr>
        <w:t xml:space="preserve"> </w:t>
      </w:r>
      <w:r w:rsidR="00773A54" w:rsidRPr="00A03549">
        <w:rPr>
          <w:rFonts w:ascii="Arial" w:hAnsi="Arial" w:cs="Arial"/>
          <w:iCs/>
          <w:sz w:val="18"/>
          <w:szCs w:val="18"/>
          <w:vertAlign w:val="superscript"/>
        </w:rPr>
        <w:t>(</w:t>
      </w:r>
      <w:r>
        <w:rPr>
          <w:rFonts w:ascii="Arial" w:hAnsi="Arial" w:cs="Arial"/>
          <w:iCs/>
          <w:sz w:val="18"/>
          <w:szCs w:val="18"/>
          <w:vertAlign w:val="superscript"/>
        </w:rPr>
        <w:t>1</w:t>
      </w:r>
      <w:r w:rsidR="00773A54" w:rsidRPr="00A03549">
        <w:rPr>
          <w:rFonts w:ascii="Arial" w:hAnsi="Arial" w:cs="Arial"/>
          <w:iCs/>
          <w:sz w:val="18"/>
          <w:szCs w:val="18"/>
          <w:vertAlign w:val="superscript"/>
        </w:rPr>
        <w:t>)</w:t>
      </w:r>
      <w:r w:rsidR="00773A54" w:rsidRPr="00A03549">
        <w:rPr>
          <w:rFonts w:ascii="Arial" w:hAnsi="Arial" w:cs="Arial"/>
          <w:iCs/>
          <w:sz w:val="18"/>
          <w:szCs w:val="18"/>
        </w:rPr>
        <w:t xml:space="preserve"> </w:t>
      </w:r>
      <w:r w:rsidR="00773A54" w:rsidRPr="00A03549">
        <w:rPr>
          <w:rFonts w:ascii="Arial" w:hAnsi="Arial" w:cs="Arial"/>
          <w:sz w:val="18"/>
          <w:szCs w:val="18"/>
        </w:rPr>
        <w:t>Kingfisher believes 8x is a reasonable industry standard for estimating the economic value of its leased assets</w:t>
      </w:r>
    </w:p>
    <w:p w14:paraId="76CFA9CD" w14:textId="77777777" w:rsidR="00773A54" w:rsidRPr="00A03549" w:rsidRDefault="00773A54" w:rsidP="00773A54">
      <w:pPr>
        <w:jc w:val="left"/>
        <w:rPr>
          <w:rFonts w:ascii="Arial" w:hAnsi="Arial" w:cs="Arial"/>
          <w:sz w:val="24"/>
          <w:szCs w:val="24"/>
          <w:highlight w:val="lightGray"/>
        </w:rPr>
      </w:pPr>
    </w:p>
    <w:p w14:paraId="17B2051A" w14:textId="68C922C3" w:rsidR="00773A54" w:rsidRPr="00AC598B" w:rsidRDefault="00773A54" w:rsidP="00773A54">
      <w:pPr>
        <w:jc w:val="left"/>
        <w:rPr>
          <w:rFonts w:ascii="Arial" w:hAnsi="Arial" w:cs="Arial"/>
          <w:szCs w:val="24"/>
        </w:rPr>
      </w:pPr>
      <w:bookmarkStart w:id="82" w:name="_Hlk492549258"/>
      <w:r w:rsidRPr="00AC598B">
        <w:rPr>
          <w:rFonts w:ascii="Arial" w:hAnsi="Arial" w:cs="Arial"/>
          <w:szCs w:val="24"/>
        </w:rPr>
        <w:t xml:space="preserve">Kingfisher holds a BBB credit rating with all three rating agencies. Kingfisher aims to maintain its solid investment grade credit rating whilst investing in the business where economic returns are attractive and paying a healthy annual dividend to shareholders. After satisfying these key aims and </w:t>
      </w:r>
      <w:proofErr w:type="gramStart"/>
      <w:r w:rsidRPr="00AC598B">
        <w:rPr>
          <w:rFonts w:ascii="Arial" w:hAnsi="Arial" w:cs="Arial"/>
          <w:szCs w:val="24"/>
        </w:rPr>
        <w:t>taking into account</w:t>
      </w:r>
      <w:proofErr w:type="gramEnd"/>
      <w:r w:rsidRPr="00AC598B">
        <w:rPr>
          <w:rFonts w:ascii="Arial" w:hAnsi="Arial" w:cs="Arial"/>
          <w:szCs w:val="24"/>
        </w:rPr>
        <w:t xml:space="preserve"> the economic and trading outlook, any surplus capital would be returned to shareholders.</w:t>
      </w:r>
      <w:r w:rsidR="00E009B3">
        <w:rPr>
          <w:rFonts w:ascii="Arial" w:hAnsi="Arial" w:cs="Arial"/>
          <w:szCs w:val="24"/>
        </w:rPr>
        <w:t xml:space="preserve"> On 25 January 2016, </w:t>
      </w:r>
      <w:r w:rsidR="00E009B3" w:rsidRPr="00AC598B">
        <w:rPr>
          <w:rFonts w:ascii="Arial" w:hAnsi="Arial" w:cs="Arial"/>
          <w:szCs w:val="24"/>
        </w:rPr>
        <w:t>Kingfisher announced its intention to return aroun</w:t>
      </w:r>
      <w:r w:rsidR="00E009B3">
        <w:rPr>
          <w:rFonts w:ascii="Arial" w:hAnsi="Arial" w:cs="Arial"/>
          <w:szCs w:val="24"/>
        </w:rPr>
        <w:t xml:space="preserve">d </w:t>
      </w:r>
      <w:r w:rsidR="00E009B3" w:rsidRPr="00AC598B">
        <w:rPr>
          <w:rFonts w:ascii="Arial" w:hAnsi="Arial" w:cs="Arial"/>
          <w:szCs w:val="24"/>
        </w:rPr>
        <w:t xml:space="preserve">£600 million of surplus capital to shareholders </w:t>
      </w:r>
      <w:r w:rsidR="00FB5009">
        <w:rPr>
          <w:rFonts w:ascii="Arial" w:hAnsi="Arial" w:cs="Arial"/>
          <w:szCs w:val="24"/>
        </w:rPr>
        <w:t>during the three years to FY 2018/19</w:t>
      </w:r>
      <w:r w:rsidR="00E009B3">
        <w:rPr>
          <w:rFonts w:ascii="Arial" w:hAnsi="Arial" w:cs="Arial"/>
          <w:szCs w:val="24"/>
        </w:rPr>
        <w:t>, of which £</w:t>
      </w:r>
      <w:r w:rsidR="00E56A1D" w:rsidRPr="00F01C34">
        <w:rPr>
          <w:rFonts w:ascii="Arial" w:hAnsi="Arial" w:cs="Arial"/>
          <w:szCs w:val="24"/>
        </w:rPr>
        <w:t>550</w:t>
      </w:r>
      <w:r w:rsidR="00E009B3">
        <w:rPr>
          <w:rFonts w:ascii="Arial" w:hAnsi="Arial" w:cs="Arial"/>
          <w:szCs w:val="24"/>
        </w:rPr>
        <w:t xml:space="preserve"> million ha</w:t>
      </w:r>
      <w:r w:rsidR="00FB5009">
        <w:rPr>
          <w:rFonts w:ascii="Arial" w:hAnsi="Arial" w:cs="Arial"/>
          <w:szCs w:val="24"/>
        </w:rPr>
        <w:t>s</w:t>
      </w:r>
      <w:r w:rsidR="00E009B3">
        <w:rPr>
          <w:rFonts w:ascii="Arial" w:hAnsi="Arial" w:cs="Arial"/>
          <w:szCs w:val="24"/>
        </w:rPr>
        <w:t xml:space="preserve"> </w:t>
      </w:r>
      <w:r w:rsidR="00E009B3" w:rsidRPr="003D4DBB">
        <w:rPr>
          <w:rFonts w:ascii="Arial" w:hAnsi="Arial" w:cs="Arial"/>
          <w:szCs w:val="24"/>
        </w:rPr>
        <w:t xml:space="preserve">now been </w:t>
      </w:r>
      <w:r w:rsidR="00FB5009" w:rsidRPr="003D4DBB">
        <w:rPr>
          <w:rFonts w:ascii="Arial" w:hAnsi="Arial" w:cs="Arial"/>
          <w:szCs w:val="24"/>
        </w:rPr>
        <w:t>returned</w:t>
      </w:r>
      <w:r w:rsidR="00E009B3" w:rsidRPr="003D4DBB">
        <w:rPr>
          <w:rFonts w:ascii="Arial" w:hAnsi="Arial" w:cs="Arial"/>
          <w:szCs w:val="24"/>
        </w:rPr>
        <w:t xml:space="preserve">. </w:t>
      </w:r>
    </w:p>
    <w:bookmarkEnd w:id="82"/>
    <w:p w14:paraId="237A7204" w14:textId="77777777" w:rsidR="00773A54" w:rsidRPr="00AC598B" w:rsidRDefault="00773A54" w:rsidP="00773A54">
      <w:pPr>
        <w:jc w:val="left"/>
        <w:rPr>
          <w:rFonts w:ascii="Arial" w:hAnsi="Arial" w:cs="Arial"/>
          <w:szCs w:val="24"/>
        </w:rPr>
      </w:pPr>
    </w:p>
    <w:p w14:paraId="39ED9F5D" w14:textId="50B2AF80" w:rsidR="00773A54" w:rsidRPr="00AC598B" w:rsidRDefault="00773A54" w:rsidP="00773A54">
      <w:pPr>
        <w:jc w:val="left"/>
        <w:rPr>
          <w:rFonts w:ascii="Arial" w:hAnsi="Arial" w:cs="Arial"/>
          <w:szCs w:val="24"/>
        </w:rPr>
      </w:pPr>
      <w:r w:rsidRPr="00AC598B">
        <w:rPr>
          <w:rFonts w:ascii="Arial" w:hAnsi="Arial" w:cs="Arial"/>
          <w:szCs w:val="24"/>
        </w:rPr>
        <w:t xml:space="preserve">Kingfisher regularly reviews the level of cash and debt facilities required to fund its activities. This involves preparing a prudent cash flow forecast for the </w:t>
      </w:r>
      <w:r w:rsidR="008355A5" w:rsidRPr="00AC598B">
        <w:rPr>
          <w:rFonts w:ascii="Arial" w:hAnsi="Arial" w:cs="Arial"/>
          <w:szCs w:val="24"/>
        </w:rPr>
        <w:t>medium term</w:t>
      </w:r>
      <w:r w:rsidRPr="00AC598B">
        <w:rPr>
          <w:rFonts w:ascii="Arial" w:hAnsi="Arial" w:cs="Arial"/>
          <w:szCs w:val="24"/>
        </w:rPr>
        <w:t xml:space="preserve">, determining the level of debt facilities required to fund the business, planning for repayments of debt at its maturity and identifying an appropriate amount of headroom to provide a reserve against unexpected outflows. </w:t>
      </w:r>
    </w:p>
    <w:p w14:paraId="720392DF" w14:textId="77777777" w:rsidR="00D94ACD" w:rsidRPr="00AC598B" w:rsidRDefault="00D94ACD" w:rsidP="00773A54">
      <w:pPr>
        <w:jc w:val="left"/>
        <w:rPr>
          <w:rFonts w:ascii="Arial" w:hAnsi="Arial" w:cs="Arial"/>
          <w:szCs w:val="24"/>
        </w:rPr>
      </w:pPr>
    </w:p>
    <w:p w14:paraId="5FC8A811" w14:textId="4A20E242" w:rsidR="008B6E0E" w:rsidRPr="00F01C34" w:rsidRDefault="008B6E0E" w:rsidP="008B6E0E">
      <w:pPr>
        <w:jc w:val="left"/>
        <w:rPr>
          <w:rFonts w:ascii="Arial" w:hAnsi="Arial" w:cs="Arial"/>
          <w:szCs w:val="24"/>
        </w:rPr>
      </w:pPr>
      <w:bookmarkStart w:id="83" w:name="_Hlk492039780"/>
      <w:r w:rsidRPr="00F01C34">
        <w:rPr>
          <w:rFonts w:ascii="Arial" w:hAnsi="Arial" w:cs="Arial"/>
          <w:szCs w:val="24"/>
        </w:rPr>
        <w:t xml:space="preserve">At 31 July 2018 the Group had two undrawn committed facilities: £400 million that </w:t>
      </w:r>
      <w:r w:rsidR="00C9681C">
        <w:rPr>
          <w:rFonts w:ascii="Arial" w:hAnsi="Arial" w:cs="Arial"/>
          <w:szCs w:val="24"/>
        </w:rPr>
        <w:t xml:space="preserve">was due to </w:t>
      </w:r>
      <w:r w:rsidRPr="00F01C34">
        <w:rPr>
          <w:rFonts w:ascii="Arial" w:hAnsi="Arial" w:cs="Arial"/>
          <w:szCs w:val="24"/>
        </w:rPr>
        <w:t xml:space="preserve">expire in November 2019 and £225 million that expires in March 2022. In August 2018 the Group completed an amendment and extension of the £400m revolving credit facility, increasing the size to £550m and the term to August 2021. </w:t>
      </w:r>
    </w:p>
    <w:p w14:paraId="2FE48F6F" w14:textId="77777777" w:rsidR="008B6E0E" w:rsidRPr="00F01C34" w:rsidRDefault="008B6E0E" w:rsidP="008B6E0E">
      <w:pPr>
        <w:jc w:val="left"/>
        <w:rPr>
          <w:rFonts w:ascii="Arial" w:hAnsi="Arial" w:cs="Arial"/>
          <w:szCs w:val="24"/>
        </w:rPr>
      </w:pPr>
    </w:p>
    <w:p w14:paraId="57D63C30" w14:textId="6417A8F4" w:rsidR="008B6E0E" w:rsidRDefault="008B6E0E">
      <w:pPr>
        <w:jc w:val="left"/>
        <w:rPr>
          <w:rFonts w:ascii="Arial" w:hAnsi="Arial" w:cs="Arial"/>
          <w:szCs w:val="24"/>
        </w:rPr>
      </w:pPr>
      <w:r w:rsidRPr="00F01C34">
        <w:rPr>
          <w:rFonts w:ascii="Arial" w:hAnsi="Arial" w:cs="Arial"/>
          <w:szCs w:val="24"/>
        </w:rPr>
        <w:t>In May 2018 the Group repaid its US Private Placement debt (notional value of $179 million)</w:t>
      </w:r>
      <w:r w:rsidR="0002361C">
        <w:rPr>
          <w:rFonts w:ascii="Arial" w:hAnsi="Arial" w:cs="Arial"/>
          <w:szCs w:val="24"/>
        </w:rPr>
        <w:t xml:space="preserve"> and also </w:t>
      </w:r>
      <w:r>
        <w:rPr>
          <w:rFonts w:ascii="Arial" w:hAnsi="Arial" w:cs="Arial"/>
          <w:szCs w:val="24"/>
        </w:rPr>
        <w:t xml:space="preserve">updated its €2.5bn European </w:t>
      </w:r>
      <w:proofErr w:type="gramStart"/>
      <w:r>
        <w:rPr>
          <w:rFonts w:ascii="Arial" w:hAnsi="Arial" w:cs="Arial"/>
          <w:szCs w:val="24"/>
        </w:rPr>
        <w:t>Medium Term</w:t>
      </w:r>
      <w:proofErr w:type="gramEnd"/>
      <w:r>
        <w:rPr>
          <w:rFonts w:ascii="Arial" w:hAnsi="Arial" w:cs="Arial"/>
          <w:szCs w:val="24"/>
        </w:rPr>
        <w:t xml:space="preserve"> Note (EMTN) programme. In July 2018, following a reverse enquiry, a €50m Floating Rate Note (FRN) was issued under the programme. The note matures in July 2020.</w:t>
      </w:r>
    </w:p>
    <w:bookmarkEnd w:id="83"/>
    <w:p w14:paraId="773D9838" w14:textId="77777777" w:rsidR="00773A54" w:rsidRPr="00AC598B" w:rsidRDefault="00773A54" w:rsidP="00773A54">
      <w:pPr>
        <w:jc w:val="left"/>
        <w:rPr>
          <w:rFonts w:ascii="Arial" w:hAnsi="Arial" w:cs="Arial"/>
          <w:szCs w:val="24"/>
          <w:highlight w:val="lightGray"/>
        </w:rPr>
      </w:pPr>
    </w:p>
    <w:p w14:paraId="11058E76" w14:textId="77777777" w:rsidR="00773A54" w:rsidRPr="00AC598B" w:rsidRDefault="00773A54" w:rsidP="00773A54">
      <w:pPr>
        <w:jc w:val="left"/>
        <w:rPr>
          <w:rStyle w:val="Hyperlink"/>
          <w:rFonts w:ascii="Arial" w:hAnsi="Arial" w:cs="Arial"/>
          <w:szCs w:val="24"/>
        </w:rPr>
      </w:pPr>
      <w:r w:rsidRPr="00AC598B">
        <w:rPr>
          <w:rFonts w:ascii="Arial" w:hAnsi="Arial" w:cs="Arial"/>
          <w:szCs w:val="24"/>
        </w:rPr>
        <w:t xml:space="preserve">The maturity profile of Kingfisher’s debt is illustrated at: </w:t>
      </w:r>
      <w:bookmarkStart w:id="84" w:name="_Hlk524705456"/>
      <w:r w:rsidRPr="00AC598B">
        <w:rPr>
          <w:rStyle w:val="Hyperlink"/>
          <w:rFonts w:ascii="Arial" w:hAnsi="Arial" w:cs="Arial"/>
          <w:szCs w:val="24"/>
        </w:rPr>
        <w:t>www.kingfisher.com/index.asp?pageid=74</w:t>
      </w:r>
      <w:bookmarkEnd w:id="84"/>
    </w:p>
    <w:bookmarkEnd w:id="80"/>
    <w:bookmarkEnd w:id="81"/>
    <w:p w14:paraId="2454D088" w14:textId="77777777" w:rsidR="00A441F9" w:rsidRPr="00AC598B" w:rsidRDefault="00A441F9" w:rsidP="00773A54">
      <w:pPr>
        <w:jc w:val="left"/>
        <w:rPr>
          <w:rFonts w:ascii="Arial" w:hAnsi="Arial" w:cs="Arial"/>
          <w:b/>
          <w:szCs w:val="24"/>
        </w:rPr>
      </w:pPr>
    </w:p>
    <w:p w14:paraId="2E7637CA" w14:textId="0568E639" w:rsidR="00773A54" w:rsidRPr="00AC598B" w:rsidRDefault="00773A54" w:rsidP="00773A54">
      <w:pPr>
        <w:jc w:val="left"/>
        <w:rPr>
          <w:rFonts w:ascii="Arial" w:hAnsi="Arial" w:cs="Arial"/>
          <w:b/>
          <w:szCs w:val="24"/>
        </w:rPr>
      </w:pPr>
      <w:bookmarkStart w:id="85" w:name="_Hlk491329674"/>
      <w:bookmarkStart w:id="86" w:name="_Hlk524455126"/>
      <w:r w:rsidRPr="00AC598B">
        <w:rPr>
          <w:rFonts w:ascii="Arial" w:hAnsi="Arial" w:cs="Arial"/>
          <w:b/>
          <w:szCs w:val="24"/>
        </w:rPr>
        <w:t>Pensions</w:t>
      </w:r>
    </w:p>
    <w:p w14:paraId="0846FB81" w14:textId="77777777" w:rsidR="00773A54" w:rsidRPr="00AC598B" w:rsidRDefault="00773A54" w:rsidP="00773A54">
      <w:pPr>
        <w:jc w:val="left"/>
        <w:rPr>
          <w:rFonts w:ascii="Arial" w:hAnsi="Arial" w:cs="Arial"/>
          <w:b/>
          <w:szCs w:val="24"/>
          <w:highlight w:val="lightGray"/>
        </w:rPr>
      </w:pPr>
    </w:p>
    <w:p w14:paraId="1BF4B8F3" w14:textId="5884AFB6" w:rsidR="00773A54" w:rsidRPr="00AC598B" w:rsidRDefault="00113504" w:rsidP="00773A54">
      <w:pPr>
        <w:jc w:val="left"/>
        <w:rPr>
          <w:rFonts w:ascii="Arial" w:hAnsi="Arial" w:cs="Arial"/>
          <w:szCs w:val="24"/>
          <w:highlight w:val="yellow"/>
        </w:rPr>
      </w:pPr>
      <w:r w:rsidRPr="00113504">
        <w:rPr>
          <w:rFonts w:ascii="Arial" w:hAnsi="Arial" w:cs="Arial"/>
          <w:szCs w:val="24"/>
        </w:rPr>
        <w:t>At the period end, the Group had a net surplus of £</w:t>
      </w:r>
      <w:r w:rsidR="004D4EB3" w:rsidRPr="004215EF">
        <w:rPr>
          <w:rFonts w:ascii="Arial" w:hAnsi="Arial" w:cs="Arial"/>
          <w:szCs w:val="24"/>
        </w:rPr>
        <w:t>196</w:t>
      </w:r>
      <w:r w:rsidR="00253BE6">
        <w:rPr>
          <w:rFonts w:ascii="Arial" w:hAnsi="Arial" w:cs="Arial"/>
          <w:szCs w:val="24"/>
        </w:rPr>
        <w:t xml:space="preserve"> </w:t>
      </w:r>
      <w:r w:rsidRPr="00113504">
        <w:rPr>
          <w:rFonts w:ascii="Arial" w:hAnsi="Arial" w:cs="Arial"/>
          <w:szCs w:val="24"/>
        </w:rPr>
        <w:t>million (£</w:t>
      </w:r>
      <w:r w:rsidR="0014399B" w:rsidRPr="0014399B">
        <w:rPr>
          <w:rFonts w:ascii="Arial" w:hAnsi="Arial" w:cs="Arial"/>
          <w:szCs w:val="24"/>
        </w:rPr>
        <w:t>99</w:t>
      </w:r>
      <w:r w:rsidR="00D06AFD">
        <w:rPr>
          <w:rFonts w:ascii="Arial" w:hAnsi="Arial" w:cs="Arial"/>
          <w:szCs w:val="24"/>
        </w:rPr>
        <w:t xml:space="preserve"> </w:t>
      </w:r>
      <w:r w:rsidRPr="00113504">
        <w:rPr>
          <w:rFonts w:ascii="Arial" w:hAnsi="Arial" w:cs="Arial"/>
          <w:szCs w:val="24"/>
        </w:rPr>
        <w:t>million net surplus at 31 January 201</w:t>
      </w:r>
      <w:r w:rsidR="0014399B">
        <w:rPr>
          <w:rFonts w:ascii="Arial" w:hAnsi="Arial" w:cs="Arial"/>
          <w:szCs w:val="24"/>
        </w:rPr>
        <w:t>8</w:t>
      </w:r>
      <w:r w:rsidRPr="00113504">
        <w:rPr>
          <w:rFonts w:ascii="Arial" w:hAnsi="Arial" w:cs="Arial"/>
          <w:szCs w:val="24"/>
        </w:rPr>
        <w:t xml:space="preserve">) in relation to defined benefit pension arrangements, of which a </w:t>
      </w:r>
      <w:r w:rsidRPr="004D4EB3">
        <w:rPr>
          <w:rFonts w:ascii="Arial" w:hAnsi="Arial" w:cs="Arial"/>
          <w:szCs w:val="24"/>
        </w:rPr>
        <w:t>£</w:t>
      </w:r>
      <w:r w:rsidR="004D4EB3" w:rsidRPr="004215EF">
        <w:rPr>
          <w:rFonts w:ascii="Arial" w:hAnsi="Arial" w:cs="Arial"/>
          <w:szCs w:val="24"/>
        </w:rPr>
        <w:t>318</w:t>
      </w:r>
      <w:r w:rsidRPr="004D4EB3">
        <w:rPr>
          <w:rFonts w:ascii="Arial" w:hAnsi="Arial" w:cs="Arial"/>
          <w:szCs w:val="24"/>
        </w:rPr>
        <w:t xml:space="preserve"> million </w:t>
      </w:r>
      <w:r w:rsidRPr="00113504">
        <w:rPr>
          <w:rFonts w:ascii="Arial" w:hAnsi="Arial" w:cs="Arial"/>
          <w:szCs w:val="24"/>
        </w:rPr>
        <w:t>surplus (£</w:t>
      </w:r>
      <w:r w:rsidR="004D4EB3">
        <w:rPr>
          <w:rFonts w:ascii="Arial" w:hAnsi="Arial" w:cs="Arial"/>
          <w:szCs w:val="24"/>
        </w:rPr>
        <w:t xml:space="preserve">214 </w:t>
      </w:r>
      <w:r w:rsidR="0014399B">
        <w:rPr>
          <w:rFonts w:ascii="Arial" w:hAnsi="Arial" w:cs="Arial"/>
          <w:szCs w:val="24"/>
        </w:rPr>
        <w:t>m</w:t>
      </w:r>
      <w:r w:rsidRPr="00113504">
        <w:rPr>
          <w:rFonts w:ascii="Arial" w:hAnsi="Arial" w:cs="Arial"/>
          <w:szCs w:val="24"/>
        </w:rPr>
        <w:t>illion surplus at 31 January 201</w:t>
      </w:r>
      <w:r w:rsidR="00D84FE9">
        <w:rPr>
          <w:rFonts w:ascii="Arial" w:hAnsi="Arial" w:cs="Arial"/>
          <w:szCs w:val="24"/>
        </w:rPr>
        <w:t>8</w:t>
      </w:r>
      <w:r w:rsidRPr="00113504">
        <w:rPr>
          <w:rFonts w:ascii="Arial" w:hAnsi="Arial" w:cs="Arial"/>
          <w:szCs w:val="24"/>
        </w:rPr>
        <w:t xml:space="preserve">) was in relation to the UK scheme. This accounting valuation is sensitive to </w:t>
      </w:r>
      <w:proofErr w:type="gramStart"/>
      <w:r w:rsidRPr="00113504">
        <w:rPr>
          <w:rFonts w:ascii="Arial" w:hAnsi="Arial" w:cs="Arial"/>
          <w:szCs w:val="24"/>
        </w:rPr>
        <w:t>a number of</w:t>
      </w:r>
      <w:proofErr w:type="gramEnd"/>
      <w:r w:rsidRPr="00113504">
        <w:rPr>
          <w:rFonts w:ascii="Arial" w:hAnsi="Arial" w:cs="Arial"/>
          <w:szCs w:val="24"/>
        </w:rPr>
        <w:t xml:space="preserve"> assumptions and market rates which are likely to fluctuate in the future.</w:t>
      </w:r>
      <w:r w:rsidRPr="00113504" w:rsidDel="00113504">
        <w:rPr>
          <w:rFonts w:ascii="Arial" w:hAnsi="Arial" w:cs="Arial"/>
          <w:szCs w:val="24"/>
        </w:rPr>
        <w:t xml:space="preserve"> </w:t>
      </w:r>
      <w:bookmarkEnd w:id="85"/>
    </w:p>
    <w:bookmarkEnd w:id="86"/>
    <w:p w14:paraId="3A3695C2" w14:textId="77777777" w:rsidR="00600B8D" w:rsidRDefault="00600B8D" w:rsidP="004B0C6D">
      <w:pPr>
        <w:jc w:val="left"/>
        <w:rPr>
          <w:rFonts w:ascii="Arial" w:hAnsi="Arial" w:cs="Arial"/>
          <w:b/>
          <w:szCs w:val="24"/>
        </w:rPr>
      </w:pPr>
    </w:p>
    <w:p w14:paraId="7ECA8D01" w14:textId="77777777" w:rsidR="0002361C" w:rsidRDefault="0002361C" w:rsidP="004B0C6D">
      <w:pPr>
        <w:jc w:val="left"/>
        <w:rPr>
          <w:rFonts w:ascii="Arial" w:hAnsi="Arial" w:cs="Arial"/>
          <w:b/>
          <w:szCs w:val="24"/>
        </w:rPr>
      </w:pPr>
    </w:p>
    <w:p w14:paraId="5D4064E1" w14:textId="77777777" w:rsidR="0002361C" w:rsidRDefault="0002361C" w:rsidP="004B0C6D">
      <w:pPr>
        <w:jc w:val="left"/>
        <w:rPr>
          <w:rFonts w:ascii="Arial" w:hAnsi="Arial" w:cs="Arial"/>
          <w:b/>
          <w:szCs w:val="24"/>
        </w:rPr>
      </w:pPr>
    </w:p>
    <w:p w14:paraId="34C38D21" w14:textId="77777777" w:rsidR="0002361C" w:rsidRDefault="0002361C" w:rsidP="004B0C6D">
      <w:pPr>
        <w:jc w:val="left"/>
        <w:rPr>
          <w:rFonts w:ascii="Arial" w:hAnsi="Arial" w:cs="Arial"/>
          <w:b/>
          <w:szCs w:val="24"/>
        </w:rPr>
      </w:pPr>
    </w:p>
    <w:p w14:paraId="42D2EF46" w14:textId="77777777" w:rsidR="0002361C" w:rsidRDefault="0002361C" w:rsidP="004B0C6D">
      <w:pPr>
        <w:jc w:val="left"/>
        <w:rPr>
          <w:rFonts w:ascii="Arial" w:hAnsi="Arial" w:cs="Arial"/>
          <w:b/>
          <w:szCs w:val="24"/>
        </w:rPr>
      </w:pPr>
    </w:p>
    <w:p w14:paraId="0ECF1AA6" w14:textId="0549AC6E" w:rsidR="0002361C" w:rsidRDefault="0002361C" w:rsidP="004B0C6D">
      <w:pPr>
        <w:jc w:val="left"/>
        <w:rPr>
          <w:rFonts w:ascii="Arial" w:hAnsi="Arial" w:cs="Arial"/>
          <w:b/>
          <w:szCs w:val="24"/>
        </w:rPr>
      </w:pPr>
    </w:p>
    <w:p w14:paraId="7668B70C" w14:textId="77777777" w:rsidR="00BF0239" w:rsidRDefault="00BF0239" w:rsidP="004B0C6D">
      <w:pPr>
        <w:jc w:val="left"/>
        <w:rPr>
          <w:rFonts w:ascii="Arial" w:hAnsi="Arial" w:cs="Arial"/>
          <w:b/>
          <w:szCs w:val="24"/>
        </w:rPr>
      </w:pPr>
    </w:p>
    <w:p w14:paraId="0E86DE6B" w14:textId="77777777" w:rsidR="003D4DBB" w:rsidRDefault="003D4DBB" w:rsidP="004B0C6D">
      <w:pPr>
        <w:jc w:val="left"/>
        <w:rPr>
          <w:rFonts w:ascii="Arial" w:hAnsi="Arial" w:cs="Arial"/>
          <w:b/>
          <w:szCs w:val="24"/>
        </w:rPr>
      </w:pPr>
    </w:p>
    <w:p w14:paraId="190B7986" w14:textId="093D8494" w:rsidR="000754C8" w:rsidRPr="00AC598B" w:rsidRDefault="000754C8" w:rsidP="004B0C6D">
      <w:pPr>
        <w:jc w:val="left"/>
        <w:rPr>
          <w:rFonts w:ascii="Arial" w:hAnsi="Arial" w:cs="Arial"/>
          <w:b/>
          <w:szCs w:val="24"/>
        </w:rPr>
      </w:pPr>
      <w:r w:rsidRPr="003F4016">
        <w:rPr>
          <w:rFonts w:ascii="Arial" w:hAnsi="Arial" w:cs="Arial"/>
          <w:b/>
          <w:szCs w:val="24"/>
        </w:rPr>
        <w:t>Risks</w:t>
      </w:r>
      <w:r w:rsidR="00600B8D">
        <w:rPr>
          <w:rFonts w:ascii="Arial" w:hAnsi="Arial" w:cs="Arial"/>
          <w:b/>
          <w:szCs w:val="24"/>
        </w:rPr>
        <w:t xml:space="preserve"> </w:t>
      </w:r>
    </w:p>
    <w:p w14:paraId="6841C9F7" w14:textId="77777777" w:rsidR="000754C8" w:rsidRPr="00AC598B" w:rsidRDefault="000754C8" w:rsidP="004B0C6D">
      <w:pPr>
        <w:jc w:val="left"/>
        <w:rPr>
          <w:rFonts w:ascii="Arial" w:hAnsi="Arial" w:cs="Arial"/>
          <w:szCs w:val="24"/>
        </w:rPr>
      </w:pPr>
    </w:p>
    <w:p w14:paraId="3E662C99" w14:textId="2CC6CF3C" w:rsidR="0028545D" w:rsidRPr="00F01C34" w:rsidRDefault="0060577B" w:rsidP="004B0C6D">
      <w:pPr>
        <w:pStyle w:val="Default"/>
        <w:rPr>
          <w:rFonts w:ascii="Arial" w:hAnsi="Arial" w:cs="Arial"/>
          <w:color w:val="auto"/>
          <w:sz w:val="20"/>
        </w:rPr>
      </w:pPr>
      <w:bookmarkStart w:id="87" w:name="_Hlk492042322"/>
      <w:bookmarkStart w:id="88" w:name="_Hlk491332538"/>
      <w:r w:rsidRPr="00F01C34">
        <w:rPr>
          <w:rFonts w:ascii="Arial" w:hAnsi="Arial" w:cs="Arial"/>
          <w:sz w:val="22"/>
        </w:rPr>
        <w:t xml:space="preserve">The principal risks and uncertainties have been reviewed as part of our half year procedures and are listed below: </w:t>
      </w:r>
      <w:bookmarkEnd w:id="87"/>
    </w:p>
    <w:p w14:paraId="04A0A5E2" w14:textId="77777777" w:rsidR="004B0C6D" w:rsidRPr="00F01C34" w:rsidRDefault="004B0C6D" w:rsidP="004B0C6D">
      <w:pPr>
        <w:tabs>
          <w:tab w:val="left" w:pos="2171"/>
        </w:tabs>
        <w:autoSpaceDE w:val="0"/>
        <w:autoSpaceDN w:val="0"/>
        <w:adjustRightInd w:val="0"/>
        <w:jc w:val="left"/>
        <w:rPr>
          <w:rFonts w:ascii="Arial" w:hAnsi="Arial" w:cs="Arial"/>
          <w:szCs w:val="24"/>
        </w:rPr>
      </w:pPr>
      <w:r w:rsidRPr="00F01C34">
        <w:rPr>
          <w:rFonts w:ascii="Arial" w:hAnsi="Arial" w:cs="Arial"/>
          <w:szCs w:val="24"/>
        </w:rPr>
        <w:tab/>
      </w:r>
    </w:p>
    <w:p w14:paraId="09003D30" w14:textId="77777777" w:rsidR="00263F48" w:rsidRPr="00F01C34" w:rsidRDefault="00263F48" w:rsidP="00263F48">
      <w:pPr>
        <w:tabs>
          <w:tab w:val="left" w:pos="2171"/>
        </w:tabs>
        <w:autoSpaceDE w:val="0"/>
        <w:autoSpaceDN w:val="0"/>
        <w:adjustRightInd w:val="0"/>
        <w:jc w:val="left"/>
        <w:rPr>
          <w:rFonts w:ascii="Arial" w:hAnsi="Arial" w:cs="Arial"/>
          <w:b/>
          <w:bCs/>
          <w:szCs w:val="24"/>
        </w:rPr>
      </w:pPr>
      <w:r w:rsidRPr="00F01C34">
        <w:rPr>
          <w:rFonts w:ascii="Arial" w:hAnsi="Arial" w:cs="Arial"/>
          <w:bCs/>
          <w:szCs w:val="24"/>
        </w:rPr>
        <w:t xml:space="preserve">Unifying our offer and processes: </w:t>
      </w:r>
      <w:r w:rsidRPr="0036275C">
        <w:rPr>
          <w:rFonts w:ascii="Arial" w:hAnsi="Arial" w:cs="Arial"/>
          <w:bCs/>
          <w:szCs w:val="24"/>
        </w:rPr>
        <w:t>We aim to offer customers a product range which is differentiated from that of our competitors through innovation and exclusivity. We are unifying our offer and standardising our activities and processes. This is a large and complex project therefore there is a risk of not delivering the projected benefits.</w:t>
      </w:r>
    </w:p>
    <w:p w14:paraId="47D42069" w14:textId="77777777" w:rsidR="00263F48" w:rsidRDefault="00263F48" w:rsidP="0036275C">
      <w:pPr>
        <w:tabs>
          <w:tab w:val="left" w:pos="2171"/>
        </w:tabs>
        <w:autoSpaceDE w:val="0"/>
        <w:autoSpaceDN w:val="0"/>
        <w:adjustRightInd w:val="0"/>
        <w:jc w:val="left"/>
        <w:rPr>
          <w:rFonts w:ascii="Arial" w:hAnsi="Arial" w:cs="Arial"/>
          <w:bCs/>
          <w:szCs w:val="24"/>
        </w:rPr>
      </w:pPr>
    </w:p>
    <w:p w14:paraId="65BED925" w14:textId="4773FD95" w:rsidR="0036275C" w:rsidRPr="0036275C" w:rsidRDefault="00D84FE9" w:rsidP="0036275C">
      <w:pPr>
        <w:tabs>
          <w:tab w:val="left" w:pos="2171"/>
        </w:tabs>
        <w:autoSpaceDE w:val="0"/>
        <w:autoSpaceDN w:val="0"/>
        <w:adjustRightInd w:val="0"/>
        <w:jc w:val="left"/>
        <w:rPr>
          <w:rFonts w:ascii="Arial" w:hAnsi="Arial" w:cs="Arial"/>
          <w:bCs/>
          <w:szCs w:val="24"/>
        </w:rPr>
      </w:pPr>
      <w:r w:rsidRPr="00BC42C8">
        <w:rPr>
          <w:rFonts w:ascii="Arial" w:hAnsi="Arial" w:cs="Arial"/>
          <w:bCs/>
          <w:szCs w:val="24"/>
        </w:rPr>
        <w:t>Technology Delivery</w:t>
      </w:r>
      <w:r>
        <w:rPr>
          <w:rFonts w:ascii="Arial" w:hAnsi="Arial" w:cs="Arial"/>
          <w:bCs/>
          <w:szCs w:val="24"/>
        </w:rPr>
        <w:t xml:space="preserve">: </w:t>
      </w:r>
      <w:r w:rsidR="0036275C" w:rsidRPr="0036275C">
        <w:rPr>
          <w:rFonts w:ascii="Arial" w:hAnsi="Arial" w:cs="Arial"/>
          <w:bCs/>
          <w:szCs w:val="24"/>
        </w:rPr>
        <w:t>Technology is key to enabling our strategy, meeting customer needs and growing the business. Our Unified IT platform is designed to deliver our requirements in line with the plan to support the strategy. Failure to do this may impact the anticipated benefits and disrupt the underlying business.</w:t>
      </w:r>
    </w:p>
    <w:p w14:paraId="659D5C25" w14:textId="77777777" w:rsidR="0036275C" w:rsidRPr="0036275C" w:rsidRDefault="0036275C" w:rsidP="0036275C">
      <w:pPr>
        <w:tabs>
          <w:tab w:val="left" w:pos="2171"/>
        </w:tabs>
        <w:autoSpaceDE w:val="0"/>
        <w:autoSpaceDN w:val="0"/>
        <w:adjustRightInd w:val="0"/>
        <w:jc w:val="left"/>
        <w:rPr>
          <w:rFonts w:ascii="Arial" w:hAnsi="Arial" w:cs="Arial"/>
          <w:bCs/>
          <w:szCs w:val="24"/>
        </w:rPr>
      </w:pPr>
    </w:p>
    <w:p w14:paraId="12FBFB8F" w14:textId="7366C615" w:rsidR="00263F48" w:rsidRDefault="00263F48" w:rsidP="00263F48">
      <w:pPr>
        <w:tabs>
          <w:tab w:val="left" w:pos="2171"/>
        </w:tabs>
        <w:autoSpaceDE w:val="0"/>
        <w:autoSpaceDN w:val="0"/>
        <w:adjustRightInd w:val="0"/>
        <w:jc w:val="left"/>
        <w:rPr>
          <w:rFonts w:ascii="Arial" w:hAnsi="Arial" w:cs="Arial"/>
          <w:bCs/>
          <w:szCs w:val="24"/>
        </w:rPr>
      </w:pPr>
      <w:r w:rsidRPr="00561985">
        <w:rPr>
          <w:rFonts w:ascii="Arial" w:hAnsi="Arial" w:cs="Arial"/>
          <w:bCs/>
          <w:szCs w:val="24"/>
        </w:rPr>
        <w:t>EU Referendum</w:t>
      </w:r>
      <w:r w:rsidRPr="00F01C34">
        <w:rPr>
          <w:rFonts w:ascii="Arial" w:hAnsi="Arial" w:cs="Arial"/>
          <w:bCs/>
          <w:szCs w:val="24"/>
        </w:rPr>
        <w:t xml:space="preserve">: </w:t>
      </w:r>
      <w:r w:rsidRPr="0036275C">
        <w:rPr>
          <w:rFonts w:ascii="Arial" w:hAnsi="Arial" w:cs="Arial"/>
          <w:bCs/>
          <w:szCs w:val="24"/>
        </w:rPr>
        <w:t>Following the decision to leave the EU we have seen increased economic uncertainty, exchange rate volatility and an impact on consumer confidence in the UK market. This is likely to continue until EU exit negotiations are complete. These negotiations may result in further changes to regulation and operational frameworks which may impact our ability to operate across our European businesses as we do today.</w:t>
      </w:r>
    </w:p>
    <w:p w14:paraId="48C9F69C" w14:textId="77777777" w:rsidR="00263F48" w:rsidRPr="0036275C" w:rsidRDefault="00263F48" w:rsidP="00263F48">
      <w:pPr>
        <w:tabs>
          <w:tab w:val="left" w:pos="2171"/>
        </w:tabs>
        <w:autoSpaceDE w:val="0"/>
        <w:autoSpaceDN w:val="0"/>
        <w:adjustRightInd w:val="0"/>
        <w:jc w:val="left"/>
        <w:rPr>
          <w:rFonts w:ascii="Arial" w:hAnsi="Arial" w:cs="Arial"/>
          <w:bCs/>
          <w:szCs w:val="24"/>
        </w:rPr>
      </w:pPr>
    </w:p>
    <w:p w14:paraId="28C397E5" w14:textId="77777777" w:rsidR="00263F48" w:rsidRPr="0036275C" w:rsidRDefault="00263F48" w:rsidP="00263F48">
      <w:pPr>
        <w:tabs>
          <w:tab w:val="left" w:pos="2171"/>
        </w:tabs>
        <w:autoSpaceDE w:val="0"/>
        <w:autoSpaceDN w:val="0"/>
        <w:adjustRightInd w:val="0"/>
        <w:jc w:val="left"/>
        <w:rPr>
          <w:rFonts w:ascii="Arial" w:hAnsi="Arial" w:cs="Arial"/>
          <w:bCs/>
          <w:szCs w:val="24"/>
        </w:rPr>
      </w:pPr>
      <w:r w:rsidRPr="00561985">
        <w:rPr>
          <w:rFonts w:ascii="Arial" w:hAnsi="Arial" w:cs="Arial"/>
          <w:bCs/>
          <w:szCs w:val="24"/>
        </w:rPr>
        <w:t>Macro-economic factors</w:t>
      </w:r>
      <w:r w:rsidRPr="00F01C34">
        <w:rPr>
          <w:rFonts w:ascii="Arial" w:hAnsi="Arial" w:cs="Arial"/>
          <w:bCs/>
          <w:szCs w:val="24"/>
        </w:rPr>
        <w:t xml:space="preserve">: </w:t>
      </w:r>
      <w:r w:rsidRPr="0036275C">
        <w:rPr>
          <w:rFonts w:ascii="Arial" w:hAnsi="Arial" w:cs="Arial"/>
          <w:bCs/>
          <w:szCs w:val="24"/>
        </w:rPr>
        <w:t>With continuing geopolitical uncertainty and market volatility across all the economies in which we operate, we are exposed to potential risks which may impact both consumer confidence and the long-term sustainability and capabilities of our supplier base.</w:t>
      </w:r>
    </w:p>
    <w:p w14:paraId="0E8DF114" w14:textId="77777777" w:rsidR="00263F48" w:rsidRDefault="00263F48" w:rsidP="0036275C">
      <w:pPr>
        <w:tabs>
          <w:tab w:val="left" w:pos="2171"/>
        </w:tabs>
        <w:autoSpaceDE w:val="0"/>
        <w:autoSpaceDN w:val="0"/>
        <w:adjustRightInd w:val="0"/>
        <w:jc w:val="left"/>
        <w:rPr>
          <w:rFonts w:ascii="Arial" w:hAnsi="Arial" w:cs="Arial"/>
          <w:bCs/>
          <w:szCs w:val="24"/>
        </w:rPr>
      </w:pPr>
    </w:p>
    <w:p w14:paraId="215656FF" w14:textId="7CA56F60" w:rsidR="00263F48" w:rsidRDefault="00263F48" w:rsidP="00263F48">
      <w:pPr>
        <w:tabs>
          <w:tab w:val="left" w:pos="2171"/>
        </w:tabs>
        <w:autoSpaceDE w:val="0"/>
        <w:autoSpaceDN w:val="0"/>
        <w:adjustRightInd w:val="0"/>
        <w:jc w:val="left"/>
        <w:rPr>
          <w:rFonts w:ascii="Arial" w:hAnsi="Arial" w:cs="Arial"/>
          <w:bCs/>
          <w:szCs w:val="24"/>
        </w:rPr>
      </w:pPr>
      <w:r w:rsidRPr="00561985">
        <w:rPr>
          <w:rFonts w:ascii="Arial" w:hAnsi="Arial" w:cs="Arial"/>
          <w:bCs/>
          <w:szCs w:val="24"/>
        </w:rPr>
        <w:t>Price Competitiveness</w:t>
      </w:r>
      <w:r w:rsidRPr="00F01C34">
        <w:rPr>
          <w:rFonts w:ascii="Arial" w:hAnsi="Arial" w:cs="Arial"/>
          <w:bCs/>
          <w:szCs w:val="24"/>
        </w:rPr>
        <w:t xml:space="preserve">: </w:t>
      </w:r>
      <w:r w:rsidRPr="0036275C">
        <w:rPr>
          <w:rFonts w:ascii="Arial" w:hAnsi="Arial" w:cs="Arial"/>
          <w:bCs/>
          <w:szCs w:val="24"/>
        </w:rPr>
        <w:t>We continue to face a broad range of competitors across our markets. A lack of actual or perceived price competitiveness, particularly when compared to more discount based or online competitors, would affect our ability to maintain market share or result in a loss of market share</w:t>
      </w:r>
      <w:r>
        <w:rPr>
          <w:rFonts w:ascii="Arial" w:hAnsi="Arial" w:cs="Arial"/>
          <w:bCs/>
          <w:szCs w:val="24"/>
        </w:rPr>
        <w:t>.</w:t>
      </w:r>
    </w:p>
    <w:p w14:paraId="71AEA60A" w14:textId="77777777" w:rsidR="00263F48" w:rsidRPr="0036275C" w:rsidRDefault="00263F48" w:rsidP="00263F48">
      <w:pPr>
        <w:tabs>
          <w:tab w:val="left" w:pos="2171"/>
        </w:tabs>
        <w:autoSpaceDE w:val="0"/>
        <w:autoSpaceDN w:val="0"/>
        <w:adjustRightInd w:val="0"/>
        <w:jc w:val="left"/>
        <w:rPr>
          <w:rFonts w:ascii="Arial" w:hAnsi="Arial" w:cs="Arial"/>
          <w:bCs/>
          <w:szCs w:val="24"/>
        </w:rPr>
      </w:pPr>
    </w:p>
    <w:p w14:paraId="2035EB60" w14:textId="7997DAA0" w:rsidR="0036275C" w:rsidRPr="0036275C" w:rsidRDefault="0036275C" w:rsidP="0036275C">
      <w:pPr>
        <w:tabs>
          <w:tab w:val="left" w:pos="2171"/>
        </w:tabs>
        <w:autoSpaceDE w:val="0"/>
        <w:autoSpaceDN w:val="0"/>
        <w:adjustRightInd w:val="0"/>
        <w:jc w:val="left"/>
        <w:rPr>
          <w:rFonts w:ascii="Arial" w:hAnsi="Arial" w:cs="Arial"/>
          <w:bCs/>
          <w:szCs w:val="24"/>
        </w:rPr>
      </w:pPr>
      <w:r w:rsidRPr="00561985">
        <w:rPr>
          <w:rFonts w:ascii="Arial" w:hAnsi="Arial" w:cs="Arial"/>
          <w:bCs/>
          <w:szCs w:val="24"/>
        </w:rPr>
        <w:t>Channel Development</w:t>
      </w:r>
      <w:r w:rsidR="00561985" w:rsidRPr="00F01C34">
        <w:rPr>
          <w:rFonts w:ascii="Arial" w:hAnsi="Arial" w:cs="Arial"/>
          <w:bCs/>
          <w:szCs w:val="24"/>
        </w:rPr>
        <w:t xml:space="preserve">: </w:t>
      </w:r>
      <w:r w:rsidRPr="0036275C">
        <w:rPr>
          <w:rFonts w:ascii="Arial" w:hAnsi="Arial" w:cs="Arial"/>
          <w:bCs/>
          <w:szCs w:val="24"/>
        </w:rPr>
        <w:t>As consumer preferences continue to change we must ensure we create a culture of innovation in our offer, format and digital channels that keeps pace with changing consumer behaviours and our competitors, to be able to stimulate spend and deliver the desired sales growth.</w:t>
      </w:r>
    </w:p>
    <w:p w14:paraId="4D6B05E5" w14:textId="77777777" w:rsidR="0036275C" w:rsidRPr="0036275C" w:rsidRDefault="0036275C" w:rsidP="0036275C">
      <w:pPr>
        <w:tabs>
          <w:tab w:val="left" w:pos="2171"/>
        </w:tabs>
        <w:autoSpaceDE w:val="0"/>
        <w:autoSpaceDN w:val="0"/>
        <w:adjustRightInd w:val="0"/>
        <w:jc w:val="left"/>
        <w:rPr>
          <w:rFonts w:ascii="Arial" w:hAnsi="Arial" w:cs="Arial"/>
          <w:bCs/>
          <w:szCs w:val="24"/>
        </w:rPr>
      </w:pPr>
    </w:p>
    <w:p w14:paraId="5A2F8DDB" w14:textId="5DD85BD0" w:rsidR="0036275C" w:rsidRPr="0036275C" w:rsidRDefault="0036275C" w:rsidP="0036275C">
      <w:pPr>
        <w:tabs>
          <w:tab w:val="left" w:pos="2171"/>
        </w:tabs>
        <w:autoSpaceDE w:val="0"/>
        <w:autoSpaceDN w:val="0"/>
        <w:adjustRightInd w:val="0"/>
        <w:jc w:val="left"/>
        <w:rPr>
          <w:rFonts w:ascii="Arial" w:hAnsi="Arial" w:cs="Arial"/>
          <w:bCs/>
          <w:szCs w:val="24"/>
        </w:rPr>
      </w:pPr>
      <w:r w:rsidRPr="00561985">
        <w:rPr>
          <w:rFonts w:ascii="Arial" w:hAnsi="Arial" w:cs="Arial"/>
          <w:bCs/>
          <w:szCs w:val="24"/>
        </w:rPr>
        <w:t>Investing in our People Capability</w:t>
      </w:r>
      <w:r w:rsidR="00561985" w:rsidRPr="00F01C34">
        <w:rPr>
          <w:rFonts w:ascii="Arial" w:hAnsi="Arial" w:cs="Arial"/>
          <w:bCs/>
          <w:szCs w:val="24"/>
        </w:rPr>
        <w:t xml:space="preserve">: </w:t>
      </w:r>
      <w:r w:rsidRPr="0036275C">
        <w:rPr>
          <w:rFonts w:ascii="Arial" w:hAnsi="Arial" w:cs="Arial"/>
          <w:bCs/>
          <w:szCs w:val="24"/>
        </w:rPr>
        <w:t>Our colleagues are critical to the successful delivery of our strategy and business. We must make the necessary investment in our people to ensure that we have the appropriate capacity, skills and experience.</w:t>
      </w:r>
    </w:p>
    <w:p w14:paraId="6D61FC86" w14:textId="77777777" w:rsidR="0036275C" w:rsidRPr="0036275C" w:rsidRDefault="0036275C" w:rsidP="0036275C">
      <w:pPr>
        <w:tabs>
          <w:tab w:val="left" w:pos="2171"/>
        </w:tabs>
        <w:autoSpaceDE w:val="0"/>
        <w:autoSpaceDN w:val="0"/>
        <w:adjustRightInd w:val="0"/>
        <w:jc w:val="left"/>
        <w:rPr>
          <w:rFonts w:ascii="Arial" w:hAnsi="Arial" w:cs="Arial"/>
          <w:bCs/>
          <w:szCs w:val="24"/>
        </w:rPr>
      </w:pPr>
    </w:p>
    <w:p w14:paraId="39CFC642" w14:textId="77777777" w:rsidR="002E1068" w:rsidRPr="002F05BF" w:rsidRDefault="002E1068" w:rsidP="002E1068">
      <w:pPr>
        <w:rPr>
          <w:sz w:val="20"/>
          <w:highlight w:val="yellow"/>
        </w:rPr>
      </w:pPr>
      <w:r w:rsidRPr="00561985">
        <w:rPr>
          <w:rFonts w:ascii="Arial" w:hAnsi="Arial" w:cs="Arial"/>
          <w:bCs/>
          <w:szCs w:val="24"/>
        </w:rPr>
        <w:t>Cyber and Data Security</w:t>
      </w:r>
      <w:r w:rsidRPr="00F01C34">
        <w:rPr>
          <w:rFonts w:ascii="Arial" w:hAnsi="Arial" w:cs="Arial"/>
          <w:bCs/>
          <w:szCs w:val="24"/>
        </w:rPr>
        <w:t xml:space="preserve">: </w:t>
      </w:r>
      <w:r w:rsidRPr="0036275C">
        <w:rPr>
          <w:rFonts w:ascii="Arial" w:hAnsi="Arial" w:cs="Arial"/>
          <w:bCs/>
          <w:szCs w:val="24"/>
        </w:rPr>
        <w:t xml:space="preserve">Cyber-attacks and security incidents have increased in recent years and the retail sector is now a target. There have been </w:t>
      </w:r>
      <w:proofErr w:type="gramStart"/>
      <w:r w:rsidRPr="0036275C">
        <w:rPr>
          <w:rFonts w:ascii="Arial" w:hAnsi="Arial" w:cs="Arial"/>
          <w:bCs/>
          <w:szCs w:val="24"/>
        </w:rPr>
        <w:t>a number of</w:t>
      </w:r>
      <w:proofErr w:type="gramEnd"/>
      <w:r w:rsidRPr="0036275C">
        <w:rPr>
          <w:rFonts w:ascii="Arial" w:hAnsi="Arial" w:cs="Arial"/>
          <w:bCs/>
          <w:szCs w:val="24"/>
        </w:rPr>
        <w:t xml:space="preserve"> high profile attacks in the sector in recent times that have had an impact on operations, profitability and reputation.</w:t>
      </w:r>
    </w:p>
    <w:p w14:paraId="219542E3" w14:textId="77777777" w:rsidR="0036275C" w:rsidRPr="0036275C" w:rsidRDefault="0036275C" w:rsidP="0036275C">
      <w:pPr>
        <w:tabs>
          <w:tab w:val="left" w:pos="2171"/>
        </w:tabs>
        <w:autoSpaceDE w:val="0"/>
        <w:autoSpaceDN w:val="0"/>
        <w:adjustRightInd w:val="0"/>
        <w:jc w:val="left"/>
        <w:rPr>
          <w:rFonts w:ascii="Arial" w:hAnsi="Arial" w:cs="Arial"/>
          <w:bCs/>
          <w:szCs w:val="24"/>
        </w:rPr>
      </w:pPr>
    </w:p>
    <w:p w14:paraId="38AB774F" w14:textId="0DC2CF2B" w:rsidR="0036275C" w:rsidRPr="0036275C" w:rsidRDefault="0036275C" w:rsidP="0036275C">
      <w:pPr>
        <w:tabs>
          <w:tab w:val="left" w:pos="2171"/>
        </w:tabs>
        <w:autoSpaceDE w:val="0"/>
        <w:autoSpaceDN w:val="0"/>
        <w:adjustRightInd w:val="0"/>
        <w:jc w:val="left"/>
        <w:rPr>
          <w:rFonts w:ascii="Arial" w:hAnsi="Arial" w:cs="Arial"/>
          <w:bCs/>
          <w:szCs w:val="24"/>
        </w:rPr>
      </w:pPr>
      <w:r w:rsidRPr="00561985">
        <w:rPr>
          <w:rFonts w:ascii="Arial" w:hAnsi="Arial" w:cs="Arial"/>
          <w:bCs/>
          <w:szCs w:val="24"/>
        </w:rPr>
        <w:t>Legal and Regulatory</w:t>
      </w:r>
      <w:r w:rsidR="00561985" w:rsidRPr="00F01C34">
        <w:rPr>
          <w:rFonts w:ascii="Arial" w:hAnsi="Arial" w:cs="Arial"/>
          <w:bCs/>
          <w:szCs w:val="24"/>
        </w:rPr>
        <w:t xml:space="preserve">: </w:t>
      </w:r>
      <w:r w:rsidRPr="0036275C">
        <w:rPr>
          <w:rFonts w:ascii="Arial" w:hAnsi="Arial" w:cs="Arial"/>
          <w:bCs/>
          <w:szCs w:val="24"/>
        </w:rPr>
        <w:t>The Group’s operations are subject to a broad range of regulatory requirements in the countries in which it operates. A major corporate issue or crisis, a significant corporate fraud or material non-compliance with legislative or regulatory requirements would impact Kingfisher’s brand and reputation.</w:t>
      </w:r>
    </w:p>
    <w:p w14:paraId="6022ECB7" w14:textId="77777777" w:rsidR="0036275C" w:rsidRDefault="0036275C" w:rsidP="004B0C6D">
      <w:pPr>
        <w:rPr>
          <w:rFonts w:ascii="Arial" w:hAnsi="Arial"/>
          <w:szCs w:val="24"/>
          <w:highlight w:val="yellow"/>
        </w:rPr>
      </w:pPr>
    </w:p>
    <w:p w14:paraId="444537C2" w14:textId="784B0567" w:rsidR="004B0C6D" w:rsidRPr="00AC598B" w:rsidRDefault="004B0C6D" w:rsidP="004B0C6D">
      <w:pPr>
        <w:rPr>
          <w:sz w:val="20"/>
        </w:rPr>
      </w:pPr>
      <w:r w:rsidRPr="00F01C34">
        <w:rPr>
          <w:rFonts w:ascii="Arial" w:hAnsi="Arial"/>
          <w:szCs w:val="24"/>
        </w:rPr>
        <w:t xml:space="preserve">Further details of the Group risks and risk management process can be found on pages </w:t>
      </w:r>
      <w:r w:rsidR="00344397" w:rsidRPr="00F01C34">
        <w:rPr>
          <w:rFonts w:ascii="Arial" w:hAnsi="Arial"/>
          <w:szCs w:val="24"/>
        </w:rPr>
        <w:t>40</w:t>
      </w:r>
      <w:r w:rsidRPr="00F01C34">
        <w:rPr>
          <w:rFonts w:ascii="Arial" w:hAnsi="Arial"/>
          <w:szCs w:val="24"/>
        </w:rPr>
        <w:t xml:space="preserve"> to </w:t>
      </w:r>
      <w:r w:rsidR="001C7175" w:rsidRPr="00F01C34">
        <w:rPr>
          <w:rFonts w:ascii="Arial" w:hAnsi="Arial"/>
          <w:szCs w:val="24"/>
        </w:rPr>
        <w:t>4</w:t>
      </w:r>
      <w:r w:rsidR="00344397" w:rsidRPr="00F01C34">
        <w:rPr>
          <w:rFonts w:ascii="Arial" w:hAnsi="Arial"/>
          <w:szCs w:val="24"/>
        </w:rPr>
        <w:t>7</w:t>
      </w:r>
      <w:r w:rsidRPr="00F01C34">
        <w:rPr>
          <w:rFonts w:ascii="Arial" w:hAnsi="Arial"/>
          <w:szCs w:val="24"/>
        </w:rPr>
        <w:t xml:space="preserve"> of the </w:t>
      </w:r>
      <w:r w:rsidR="00EF4B98" w:rsidRPr="00F01C34">
        <w:rPr>
          <w:rFonts w:ascii="Arial" w:hAnsi="Arial"/>
          <w:szCs w:val="24"/>
        </w:rPr>
        <w:t>2017/18</w:t>
      </w:r>
      <w:r w:rsidRPr="00F01C34">
        <w:rPr>
          <w:rFonts w:ascii="Arial" w:hAnsi="Arial"/>
          <w:szCs w:val="24"/>
        </w:rPr>
        <w:t xml:space="preserve"> Annual Report and Accounts.</w:t>
      </w:r>
    </w:p>
    <w:bookmarkEnd w:id="88"/>
    <w:p w14:paraId="016E5F3F" w14:textId="77777777" w:rsidR="00773A54" w:rsidRPr="00AC598B" w:rsidRDefault="00773A54">
      <w:pPr>
        <w:jc w:val="left"/>
        <w:rPr>
          <w:rFonts w:ascii="Arial" w:hAnsi="Arial" w:cs="Arial"/>
          <w:b/>
          <w:bCs/>
          <w:szCs w:val="24"/>
        </w:rPr>
      </w:pPr>
    </w:p>
    <w:p w14:paraId="02489250" w14:textId="77777777" w:rsidR="00773A54" w:rsidRPr="00AC598B" w:rsidRDefault="00773A54">
      <w:pPr>
        <w:jc w:val="left"/>
        <w:rPr>
          <w:rFonts w:ascii="Arial" w:hAnsi="Arial" w:cs="Arial"/>
          <w:b/>
          <w:bCs/>
          <w:szCs w:val="24"/>
        </w:rPr>
      </w:pPr>
    </w:p>
    <w:p w14:paraId="3521B0CD" w14:textId="77777777" w:rsidR="00773A54" w:rsidRPr="00AC598B" w:rsidRDefault="00773A54">
      <w:pPr>
        <w:jc w:val="left"/>
        <w:rPr>
          <w:rFonts w:ascii="Arial" w:hAnsi="Arial" w:cs="Arial"/>
          <w:b/>
          <w:bCs/>
          <w:szCs w:val="24"/>
        </w:rPr>
      </w:pPr>
    </w:p>
    <w:p w14:paraId="54F54495" w14:textId="77777777" w:rsidR="00773A54" w:rsidRPr="00AC598B" w:rsidRDefault="00773A54">
      <w:pPr>
        <w:jc w:val="left"/>
        <w:rPr>
          <w:rFonts w:ascii="Arial" w:hAnsi="Arial" w:cs="Arial"/>
          <w:b/>
          <w:bCs/>
          <w:szCs w:val="24"/>
        </w:rPr>
      </w:pPr>
    </w:p>
    <w:p w14:paraId="6054FBD1" w14:textId="77777777" w:rsidR="00773A54" w:rsidRPr="00AC598B" w:rsidRDefault="00773A54">
      <w:pPr>
        <w:jc w:val="left"/>
        <w:rPr>
          <w:rFonts w:ascii="Arial" w:hAnsi="Arial" w:cs="Arial"/>
          <w:b/>
          <w:bCs/>
          <w:szCs w:val="24"/>
        </w:rPr>
      </w:pPr>
    </w:p>
    <w:p w14:paraId="374D6C26" w14:textId="77777777" w:rsidR="00773A54" w:rsidRPr="00AC598B" w:rsidRDefault="00773A54">
      <w:pPr>
        <w:jc w:val="left"/>
        <w:rPr>
          <w:rFonts w:ascii="Arial" w:hAnsi="Arial" w:cs="Arial"/>
          <w:b/>
          <w:bCs/>
          <w:szCs w:val="24"/>
        </w:rPr>
      </w:pPr>
    </w:p>
    <w:p w14:paraId="6FE35BDA" w14:textId="77777777" w:rsidR="00632520" w:rsidRPr="00AC598B" w:rsidRDefault="00004848" w:rsidP="00632520">
      <w:pPr>
        <w:jc w:val="left"/>
        <w:rPr>
          <w:rFonts w:ascii="Arial" w:hAnsi="Arial" w:cs="Arial"/>
          <w:szCs w:val="24"/>
        </w:rPr>
      </w:pPr>
      <w:r>
        <w:rPr>
          <w:rFonts w:ascii="Arial" w:hAnsi="Arial" w:cs="Arial"/>
          <w:b/>
          <w:bCs/>
          <w:szCs w:val="24"/>
        </w:rPr>
        <w:br w:type="page"/>
      </w:r>
      <w:bookmarkStart w:id="89" w:name="FR"/>
      <w:bookmarkEnd w:id="89"/>
      <w:r w:rsidR="00632520" w:rsidRPr="00AC598B">
        <w:rPr>
          <w:rFonts w:ascii="Arial" w:hAnsi="Arial" w:cs="Arial"/>
          <w:b/>
          <w:bCs/>
          <w:szCs w:val="24"/>
        </w:rPr>
        <w:t>Section 5: Glossary (terms are listed in alphabetical order)</w:t>
      </w:r>
    </w:p>
    <w:tbl>
      <w:tblPr>
        <w:tblW w:w="9639" w:type="dxa"/>
        <w:tblLook w:val="04A0" w:firstRow="1" w:lastRow="0" w:firstColumn="1" w:lastColumn="0" w:noHBand="0" w:noVBand="1"/>
      </w:tblPr>
      <w:tblGrid>
        <w:gridCol w:w="9639"/>
      </w:tblGrid>
      <w:tr w:rsidR="00632520" w:rsidRPr="00EE21CA" w14:paraId="59651CA2" w14:textId="77777777" w:rsidTr="00632520">
        <w:trPr>
          <w:trHeight w:val="360"/>
        </w:trPr>
        <w:tc>
          <w:tcPr>
            <w:tcW w:w="9639" w:type="dxa"/>
            <w:tcBorders>
              <w:top w:val="nil"/>
              <w:left w:val="nil"/>
              <w:bottom w:val="nil"/>
              <w:right w:val="nil"/>
            </w:tcBorders>
            <w:shd w:val="clear" w:color="auto" w:fill="auto"/>
            <w:noWrap/>
            <w:vAlign w:val="bottom"/>
            <w:hideMark/>
          </w:tcPr>
          <w:p w14:paraId="0047B130" w14:textId="77777777" w:rsidR="00632520" w:rsidRPr="00EE21CA" w:rsidRDefault="00632520" w:rsidP="00632520">
            <w:pPr>
              <w:rPr>
                <w:rFonts w:ascii="Arial" w:eastAsia="Times New Roman" w:hAnsi="Arial" w:cs="Arial"/>
              </w:rPr>
            </w:pPr>
            <w:bookmarkStart w:id="90" w:name="_Hlk524461097"/>
          </w:p>
        </w:tc>
      </w:tr>
      <w:tr w:rsidR="00632520" w:rsidRPr="00EE21CA" w14:paraId="6F88F023" w14:textId="77777777" w:rsidTr="00632520">
        <w:trPr>
          <w:trHeight w:val="828"/>
        </w:trPr>
        <w:tc>
          <w:tcPr>
            <w:tcW w:w="9639"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1708546A" w14:textId="77777777" w:rsidR="00632520" w:rsidRPr="00EE21CA" w:rsidRDefault="00632520" w:rsidP="00632520">
            <w:pPr>
              <w:rPr>
                <w:rFonts w:ascii="Arial" w:eastAsia="Times New Roman" w:hAnsi="Arial" w:cs="Arial"/>
                <w:b/>
                <w:bCs/>
                <w:color w:val="000000"/>
              </w:rPr>
            </w:pPr>
          </w:p>
          <w:p w14:paraId="359B150A" w14:textId="77777777" w:rsidR="00632520" w:rsidRPr="00516348" w:rsidRDefault="00632520" w:rsidP="00632520">
            <w:pPr>
              <w:rPr>
                <w:rFonts w:ascii="Arial" w:eastAsia="Times New Roman" w:hAnsi="Arial" w:cs="Arial"/>
                <w:color w:val="000000"/>
                <w:u w:val="single"/>
              </w:rPr>
            </w:pPr>
            <w:r w:rsidRPr="00516348">
              <w:rPr>
                <w:rFonts w:ascii="Arial" w:eastAsia="Times New Roman" w:hAnsi="Arial" w:cs="Arial"/>
                <w:b/>
                <w:bCs/>
                <w:color w:val="000000"/>
                <w:u w:val="single"/>
              </w:rPr>
              <w:t>Alternative Performance Measures (APMs)</w:t>
            </w:r>
          </w:p>
          <w:p w14:paraId="1982F2C2" w14:textId="4BC19CEF"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In the reporting of financial information, the Directors have adopted various Alternative Performance Measures (APMs), also termed non-GAAP measures</w:t>
            </w:r>
            <w:r w:rsidR="00253BE6">
              <w:rPr>
                <w:rFonts w:ascii="Arial" w:eastAsia="Times New Roman" w:hAnsi="Arial" w:cs="Arial"/>
                <w:color w:val="000000"/>
              </w:rPr>
              <w:t>,</w:t>
            </w:r>
            <w:r w:rsidRPr="00EE21CA">
              <w:rPr>
                <w:rFonts w:ascii="Arial" w:eastAsia="Times New Roman" w:hAnsi="Arial" w:cs="Arial"/>
                <w:color w:val="000000"/>
              </w:rPr>
              <w:t xml:space="preserve"> of historical or future financial performance, position or cash flows other than those defined or specified under International Financial Reporting Standards (IFRS). These measures are not defined by IFRS and therefore may not be directly comparable with other companies’ APMs, including those used by other retailers. APMs should be considered in addition to, and are not intended to be a substitute for, or superior to, IFRS measurements.</w:t>
            </w:r>
          </w:p>
          <w:p w14:paraId="4FA7B2F3" w14:textId="77777777" w:rsidR="00632520" w:rsidRPr="00EE21CA" w:rsidRDefault="00632520" w:rsidP="00632520">
            <w:pPr>
              <w:rPr>
                <w:rFonts w:ascii="Arial" w:eastAsia="Times New Roman" w:hAnsi="Arial" w:cs="Arial"/>
                <w:color w:val="000000"/>
              </w:rPr>
            </w:pPr>
          </w:p>
        </w:tc>
      </w:tr>
      <w:bookmarkEnd w:id="90"/>
    </w:tbl>
    <w:p w14:paraId="73716313" w14:textId="77777777" w:rsidR="00632520" w:rsidRPr="00EE21CA" w:rsidRDefault="00632520" w:rsidP="00632520">
      <w:pPr>
        <w:jc w:val="left"/>
        <w:rPr>
          <w:rFonts w:ascii="Arial" w:hAnsi="Arial" w:cs="Arial"/>
          <w:b/>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696"/>
        <w:gridCol w:w="1619"/>
        <w:gridCol w:w="2086"/>
        <w:gridCol w:w="4228"/>
      </w:tblGrid>
      <w:tr w:rsidR="00632520" w:rsidRPr="00EE21CA" w14:paraId="745E2BE8" w14:textId="77777777" w:rsidTr="000A7BB5">
        <w:trPr>
          <w:trHeight w:val="885"/>
          <w:tblHeader/>
        </w:trPr>
        <w:tc>
          <w:tcPr>
            <w:tcW w:w="1696" w:type="dxa"/>
            <w:shd w:val="clear" w:color="auto" w:fill="auto"/>
            <w:vAlign w:val="bottom"/>
            <w:hideMark/>
          </w:tcPr>
          <w:p w14:paraId="5FF2D38D" w14:textId="77777777" w:rsidR="00632520" w:rsidRPr="00EE21CA" w:rsidRDefault="00632520" w:rsidP="00632520">
            <w:pPr>
              <w:jc w:val="left"/>
              <w:rPr>
                <w:rFonts w:ascii="Arial" w:eastAsia="Times New Roman" w:hAnsi="Arial" w:cs="Arial"/>
                <w:b/>
                <w:bCs/>
                <w:color w:val="000000"/>
              </w:rPr>
            </w:pPr>
            <w:r w:rsidRPr="00EE21CA">
              <w:rPr>
                <w:rFonts w:ascii="Arial" w:eastAsia="Times New Roman" w:hAnsi="Arial" w:cs="Arial"/>
                <w:b/>
                <w:bCs/>
                <w:color w:val="000000"/>
              </w:rPr>
              <w:t xml:space="preserve">APM </w:t>
            </w:r>
          </w:p>
        </w:tc>
        <w:tc>
          <w:tcPr>
            <w:tcW w:w="1619" w:type="dxa"/>
            <w:shd w:val="clear" w:color="auto" w:fill="auto"/>
            <w:vAlign w:val="bottom"/>
            <w:hideMark/>
          </w:tcPr>
          <w:p w14:paraId="01AAA79C" w14:textId="77777777" w:rsidR="00632520" w:rsidRPr="00EE21CA" w:rsidRDefault="00632520" w:rsidP="00632520">
            <w:pPr>
              <w:jc w:val="left"/>
              <w:rPr>
                <w:rFonts w:ascii="Arial" w:eastAsia="Times New Roman" w:hAnsi="Arial" w:cs="Arial"/>
                <w:b/>
                <w:bCs/>
                <w:color w:val="000000"/>
              </w:rPr>
            </w:pPr>
            <w:r w:rsidRPr="00EE21CA">
              <w:rPr>
                <w:rFonts w:ascii="Arial" w:eastAsia="Times New Roman" w:hAnsi="Arial" w:cs="Arial"/>
                <w:b/>
                <w:bCs/>
                <w:color w:val="000000"/>
              </w:rPr>
              <w:t xml:space="preserve">Closest equivalent IFRS measure </w:t>
            </w:r>
          </w:p>
        </w:tc>
        <w:tc>
          <w:tcPr>
            <w:tcW w:w="2086" w:type="dxa"/>
            <w:shd w:val="clear" w:color="auto" w:fill="auto"/>
            <w:vAlign w:val="bottom"/>
            <w:hideMark/>
          </w:tcPr>
          <w:p w14:paraId="0AECC7EB" w14:textId="77777777" w:rsidR="00632520" w:rsidRPr="00EE21CA" w:rsidRDefault="00632520" w:rsidP="00632520">
            <w:pPr>
              <w:jc w:val="left"/>
              <w:rPr>
                <w:rFonts w:ascii="Arial" w:eastAsia="Times New Roman" w:hAnsi="Arial" w:cs="Arial"/>
                <w:b/>
                <w:bCs/>
                <w:color w:val="000000"/>
              </w:rPr>
            </w:pPr>
            <w:r w:rsidRPr="00EE21CA">
              <w:rPr>
                <w:rFonts w:ascii="Arial" w:eastAsia="Times New Roman" w:hAnsi="Arial" w:cs="Arial"/>
                <w:b/>
                <w:bCs/>
                <w:color w:val="000000"/>
              </w:rPr>
              <w:t xml:space="preserve">Reconciling items to IFRS measure </w:t>
            </w:r>
          </w:p>
        </w:tc>
        <w:tc>
          <w:tcPr>
            <w:tcW w:w="4228" w:type="dxa"/>
            <w:shd w:val="clear" w:color="auto" w:fill="auto"/>
            <w:vAlign w:val="bottom"/>
            <w:hideMark/>
          </w:tcPr>
          <w:p w14:paraId="38BE3759" w14:textId="77777777" w:rsidR="00632520" w:rsidRPr="00EE21CA" w:rsidRDefault="00632520" w:rsidP="00632520">
            <w:pPr>
              <w:jc w:val="left"/>
              <w:rPr>
                <w:rFonts w:ascii="Arial" w:eastAsia="Times New Roman" w:hAnsi="Arial" w:cs="Arial"/>
                <w:b/>
                <w:bCs/>
                <w:color w:val="000000"/>
              </w:rPr>
            </w:pPr>
            <w:r w:rsidRPr="00EE21CA">
              <w:rPr>
                <w:rFonts w:ascii="Arial" w:eastAsia="Times New Roman" w:hAnsi="Arial" w:cs="Arial"/>
                <w:b/>
                <w:bCs/>
                <w:color w:val="000000"/>
              </w:rPr>
              <w:t xml:space="preserve">Definition and purpose </w:t>
            </w:r>
          </w:p>
        </w:tc>
      </w:tr>
      <w:tr w:rsidR="00632520" w:rsidRPr="00EE21CA" w14:paraId="4C9BC0C0" w14:textId="77777777" w:rsidTr="000A7BB5">
        <w:trPr>
          <w:trHeight w:val="1305"/>
        </w:trPr>
        <w:tc>
          <w:tcPr>
            <w:tcW w:w="1696" w:type="dxa"/>
            <w:shd w:val="clear" w:color="auto" w:fill="auto"/>
            <w:hideMark/>
          </w:tcPr>
          <w:p w14:paraId="5BC76B5A"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Adjusted basic earnings per share </w:t>
            </w:r>
          </w:p>
        </w:tc>
        <w:tc>
          <w:tcPr>
            <w:tcW w:w="1619" w:type="dxa"/>
            <w:shd w:val="clear" w:color="auto" w:fill="auto"/>
            <w:hideMark/>
          </w:tcPr>
          <w:p w14:paraId="0C6E3025"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Basic earnings per share</w:t>
            </w:r>
          </w:p>
        </w:tc>
        <w:tc>
          <w:tcPr>
            <w:tcW w:w="2086" w:type="dxa"/>
            <w:shd w:val="clear" w:color="auto" w:fill="auto"/>
            <w:hideMark/>
          </w:tcPr>
          <w:p w14:paraId="7A39A3C0" w14:textId="73A0BDEF"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adjusted basic earnings per share is included in the Financial Review (Section 4) and note 8</w:t>
            </w:r>
            <w:r w:rsidR="000A7BB5">
              <w:rPr>
                <w:rFonts w:ascii="Arial" w:eastAsia="Times New Roman" w:hAnsi="Arial" w:cs="Arial"/>
                <w:color w:val="000000"/>
              </w:rPr>
              <w:t xml:space="preserve"> of the condensed financial statements</w:t>
            </w:r>
          </w:p>
        </w:tc>
        <w:tc>
          <w:tcPr>
            <w:tcW w:w="4228" w:type="dxa"/>
            <w:shd w:val="clear" w:color="auto" w:fill="auto"/>
            <w:hideMark/>
          </w:tcPr>
          <w:p w14:paraId="104BF251" w14:textId="68B056E4"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Adjusted basic earnings per share represents profit after tax attributable to the owners of the parent, before the impact of exceptional items, </w:t>
            </w:r>
            <w:r w:rsidR="002D0435">
              <w:rPr>
                <w:rFonts w:ascii="Arial" w:eastAsia="Times New Roman" w:hAnsi="Arial" w:cs="Arial"/>
                <w:color w:val="000000"/>
              </w:rPr>
              <w:t xml:space="preserve">FFVR, </w:t>
            </w:r>
            <w:r w:rsidRPr="00EE21CA">
              <w:rPr>
                <w:rFonts w:ascii="Arial" w:eastAsia="Times New Roman" w:hAnsi="Arial" w:cs="Arial"/>
                <w:color w:val="000000"/>
              </w:rPr>
              <w:t xml:space="preserve">related tax items and tax on prior year items, divided by the weighted average number of shares in issue during the </w:t>
            </w:r>
            <w:r w:rsidR="0005091E">
              <w:rPr>
                <w:rFonts w:ascii="Arial" w:eastAsia="Times New Roman" w:hAnsi="Arial" w:cs="Arial"/>
                <w:color w:val="000000"/>
              </w:rPr>
              <w:t>period</w:t>
            </w:r>
            <w:r w:rsidRPr="00EE21CA">
              <w:rPr>
                <w:rFonts w:ascii="Arial" w:eastAsia="Times New Roman" w:hAnsi="Arial" w:cs="Arial"/>
                <w:color w:val="000000"/>
              </w:rPr>
              <w:t xml:space="preserve">. </w:t>
            </w:r>
          </w:p>
        </w:tc>
      </w:tr>
      <w:tr w:rsidR="00632520" w:rsidRPr="00EE21CA" w14:paraId="5E6CA90C" w14:textId="77777777" w:rsidTr="000A7BB5">
        <w:trPr>
          <w:trHeight w:val="1425"/>
        </w:trPr>
        <w:tc>
          <w:tcPr>
            <w:tcW w:w="1696" w:type="dxa"/>
            <w:shd w:val="clear" w:color="auto" w:fill="auto"/>
            <w:hideMark/>
          </w:tcPr>
          <w:p w14:paraId="0E3E6FDA" w14:textId="77777777" w:rsidR="00632520" w:rsidRPr="00EE21CA" w:rsidRDefault="00632520" w:rsidP="00632520">
            <w:pPr>
              <w:jc w:val="left"/>
              <w:rPr>
                <w:rFonts w:ascii="Arial" w:eastAsia="Times New Roman" w:hAnsi="Arial" w:cs="Arial"/>
                <w:color w:val="000000"/>
              </w:rPr>
            </w:pPr>
            <w:bookmarkStart w:id="91" w:name="_Hlk524461079"/>
            <w:r w:rsidRPr="00EE21CA">
              <w:rPr>
                <w:rFonts w:ascii="Arial" w:eastAsia="Times New Roman" w:hAnsi="Arial" w:cs="Arial"/>
                <w:color w:val="000000"/>
              </w:rPr>
              <w:t>Adjusted effective tax rate</w:t>
            </w:r>
          </w:p>
        </w:tc>
        <w:tc>
          <w:tcPr>
            <w:tcW w:w="1619" w:type="dxa"/>
            <w:shd w:val="clear" w:color="auto" w:fill="auto"/>
            <w:hideMark/>
          </w:tcPr>
          <w:p w14:paraId="0C55B978"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Effective tax rate</w:t>
            </w:r>
          </w:p>
        </w:tc>
        <w:tc>
          <w:tcPr>
            <w:tcW w:w="2086" w:type="dxa"/>
            <w:shd w:val="clear" w:color="auto" w:fill="auto"/>
            <w:hideMark/>
          </w:tcPr>
          <w:p w14:paraId="4FB8D7B5"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to the overall tax rate is set out in the Financial Review (Section 4)</w:t>
            </w:r>
          </w:p>
        </w:tc>
        <w:tc>
          <w:tcPr>
            <w:tcW w:w="4228" w:type="dxa"/>
            <w:shd w:val="clear" w:color="auto" w:fill="auto"/>
            <w:hideMark/>
          </w:tcPr>
          <w:p w14:paraId="01380D8E"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Adjusted effective tax rate is calculated as continuing income tax expense excluding tax on exceptional items and adjustments in respect of prior years and the impact of changes in tax rates on deferred tax, divided by continuing profit before taxation excluding exceptional items. The exclusion of items relating to prior years and those not in the ordinary course of business helps provide a better indication of the Group's ongoing tax rate. </w:t>
            </w:r>
          </w:p>
        </w:tc>
      </w:tr>
      <w:bookmarkEnd w:id="91"/>
      <w:tr w:rsidR="00632520" w:rsidRPr="00EE21CA" w14:paraId="74FDEB97" w14:textId="77777777" w:rsidTr="000A7BB5">
        <w:trPr>
          <w:trHeight w:val="1200"/>
        </w:trPr>
        <w:tc>
          <w:tcPr>
            <w:tcW w:w="1696" w:type="dxa"/>
            <w:shd w:val="clear" w:color="auto" w:fill="auto"/>
            <w:hideMark/>
          </w:tcPr>
          <w:p w14:paraId="099E0E80"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Adjusted pre-tax profit </w:t>
            </w:r>
          </w:p>
        </w:tc>
        <w:tc>
          <w:tcPr>
            <w:tcW w:w="1619" w:type="dxa"/>
            <w:shd w:val="clear" w:color="auto" w:fill="auto"/>
            <w:hideMark/>
          </w:tcPr>
          <w:p w14:paraId="0F9EFAFA"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hideMark/>
          </w:tcPr>
          <w:p w14:paraId="610EFE51" w14:textId="2B561763"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A reconciliation of adjusted pre-tax profit is set out in the Financial Review (Section 4) and </w:t>
            </w:r>
            <w:r w:rsidR="000A7BB5">
              <w:rPr>
                <w:rFonts w:ascii="Arial" w:eastAsia="Times New Roman" w:hAnsi="Arial" w:cs="Arial"/>
                <w:color w:val="000000"/>
              </w:rPr>
              <w:t xml:space="preserve">the </w:t>
            </w:r>
            <w:r w:rsidRPr="00EE21CA">
              <w:rPr>
                <w:rFonts w:ascii="Arial" w:eastAsia="Times New Roman" w:hAnsi="Arial" w:cs="Arial"/>
                <w:color w:val="000000"/>
              </w:rPr>
              <w:t>consolidated income statement</w:t>
            </w:r>
            <w:r w:rsidR="000A7BB5">
              <w:rPr>
                <w:rFonts w:ascii="Arial" w:eastAsia="Times New Roman" w:hAnsi="Arial" w:cs="Arial"/>
                <w:color w:val="000000"/>
              </w:rPr>
              <w:t xml:space="preserve"> of the condensed financial statements</w:t>
            </w:r>
          </w:p>
        </w:tc>
        <w:tc>
          <w:tcPr>
            <w:tcW w:w="4228" w:type="dxa"/>
            <w:shd w:val="clear" w:color="auto" w:fill="auto"/>
            <w:hideMark/>
          </w:tcPr>
          <w:p w14:paraId="173F5DCB" w14:textId="4208B63F"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Adjusted pre-tax profit is used to report the performance of the business at a Group level including both the benefits of our transformation programme and the associated costs. This is stated before exceptional items</w:t>
            </w:r>
            <w:r w:rsidR="00BF4B6F">
              <w:rPr>
                <w:rFonts w:ascii="Arial" w:eastAsia="Times New Roman" w:hAnsi="Arial" w:cs="Arial"/>
                <w:color w:val="000000"/>
              </w:rPr>
              <w:t xml:space="preserve"> and FFVR</w:t>
            </w:r>
            <w:r w:rsidRPr="00EE21CA">
              <w:rPr>
                <w:rFonts w:ascii="Arial" w:eastAsia="Times New Roman" w:hAnsi="Arial" w:cs="Arial"/>
                <w:color w:val="000000"/>
              </w:rPr>
              <w:t>. The exclusion of exceptional items</w:t>
            </w:r>
            <w:r w:rsidR="00BF4B6F">
              <w:rPr>
                <w:rFonts w:ascii="Arial" w:eastAsia="Times New Roman" w:hAnsi="Arial" w:cs="Arial"/>
                <w:color w:val="000000"/>
              </w:rPr>
              <w:t xml:space="preserve"> and FFVR</w:t>
            </w:r>
            <w:r w:rsidRPr="00EE21CA">
              <w:rPr>
                <w:rFonts w:ascii="Arial" w:eastAsia="Times New Roman" w:hAnsi="Arial" w:cs="Arial"/>
                <w:color w:val="000000"/>
              </w:rPr>
              <w:t xml:space="preserve"> helps provide an indication of the Group's ongoing business performance. </w:t>
            </w:r>
          </w:p>
        </w:tc>
      </w:tr>
      <w:tr w:rsidR="001C7D4C" w:rsidRPr="00EE21CA" w14:paraId="1E997443" w14:textId="77777777" w:rsidTr="00F74468">
        <w:trPr>
          <w:trHeight w:val="505"/>
        </w:trPr>
        <w:tc>
          <w:tcPr>
            <w:tcW w:w="1696" w:type="dxa"/>
            <w:shd w:val="clear" w:color="auto" w:fill="auto"/>
          </w:tcPr>
          <w:p w14:paraId="0310F13B" w14:textId="2A6475E0" w:rsidR="001C7D4C" w:rsidRPr="00EE21CA" w:rsidRDefault="001C7D4C" w:rsidP="00632520">
            <w:pPr>
              <w:jc w:val="left"/>
              <w:rPr>
                <w:rFonts w:ascii="Arial" w:eastAsia="Times New Roman" w:hAnsi="Arial" w:cs="Arial"/>
                <w:color w:val="000000"/>
              </w:rPr>
            </w:pPr>
            <w:r>
              <w:rPr>
                <w:rFonts w:ascii="Arial" w:eastAsia="Times New Roman" w:hAnsi="Arial" w:cs="Arial"/>
                <w:color w:val="000000"/>
              </w:rPr>
              <w:t>Constant currency</w:t>
            </w:r>
          </w:p>
        </w:tc>
        <w:tc>
          <w:tcPr>
            <w:tcW w:w="1619" w:type="dxa"/>
            <w:shd w:val="clear" w:color="auto" w:fill="auto"/>
          </w:tcPr>
          <w:p w14:paraId="3C031836" w14:textId="27C8B861" w:rsidR="001C7D4C" w:rsidRPr="00EE21CA" w:rsidRDefault="001C7D4C" w:rsidP="00632520">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shd w:val="clear" w:color="auto" w:fill="auto"/>
          </w:tcPr>
          <w:p w14:paraId="5DC496CD" w14:textId="26920BD5" w:rsidR="001C7D4C" w:rsidRPr="00EE21CA" w:rsidRDefault="001C7D4C" w:rsidP="00632520">
            <w:pPr>
              <w:jc w:val="left"/>
              <w:rPr>
                <w:rFonts w:ascii="Arial" w:eastAsia="Times New Roman" w:hAnsi="Arial" w:cs="Arial"/>
                <w:color w:val="000000"/>
              </w:rPr>
            </w:pPr>
            <w:r>
              <w:rPr>
                <w:rFonts w:ascii="Arial" w:eastAsia="Times New Roman" w:hAnsi="Arial" w:cs="Arial"/>
                <w:color w:val="000000"/>
              </w:rPr>
              <w:t>Not applicable</w:t>
            </w:r>
          </w:p>
        </w:tc>
        <w:tc>
          <w:tcPr>
            <w:tcW w:w="4228" w:type="dxa"/>
            <w:shd w:val="clear" w:color="auto" w:fill="auto"/>
          </w:tcPr>
          <w:p w14:paraId="59DA1661" w14:textId="288B208F" w:rsidR="001C7D4C" w:rsidRPr="00EE21CA" w:rsidRDefault="001C7D4C" w:rsidP="00632520">
            <w:pPr>
              <w:jc w:val="left"/>
              <w:rPr>
                <w:rFonts w:ascii="Arial" w:eastAsia="Times New Roman" w:hAnsi="Arial" w:cs="Arial"/>
                <w:color w:val="000000"/>
              </w:rPr>
            </w:pPr>
            <w:r w:rsidRPr="001C7D4C">
              <w:rPr>
                <w:rFonts w:ascii="Arial" w:eastAsia="Times New Roman" w:hAnsi="Arial" w:cs="Arial"/>
                <w:color w:val="000000"/>
              </w:rPr>
              <w:t>Constant currency changes in total sales, LFL sales</w:t>
            </w:r>
            <w:r>
              <w:rPr>
                <w:rFonts w:ascii="Arial" w:eastAsia="Times New Roman" w:hAnsi="Arial" w:cs="Arial"/>
                <w:color w:val="000000"/>
              </w:rPr>
              <w:t>, gross margin</w:t>
            </w:r>
            <w:r w:rsidRPr="001C7D4C">
              <w:rPr>
                <w:rFonts w:ascii="Arial" w:eastAsia="Times New Roman" w:hAnsi="Arial" w:cs="Arial"/>
                <w:color w:val="000000"/>
              </w:rPr>
              <w:t xml:space="preserve"> and retail profit reflect the year on year movements after translating the prior year comparatives at the current year’s average exchange rates. These are presented to eliminate the effects of exchange rate fluctuation</w:t>
            </w:r>
            <w:r w:rsidR="00453321">
              <w:rPr>
                <w:rFonts w:ascii="Arial" w:eastAsia="Times New Roman" w:hAnsi="Arial" w:cs="Arial"/>
                <w:color w:val="000000"/>
              </w:rPr>
              <w:t>s</w:t>
            </w:r>
            <w:r w:rsidRPr="001C7D4C">
              <w:rPr>
                <w:rFonts w:ascii="Arial" w:eastAsia="Times New Roman" w:hAnsi="Arial" w:cs="Arial"/>
                <w:color w:val="000000"/>
              </w:rPr>
              <w:t xml:space="preserve"> on the reported results.</w:t>
            </w:r>
          </w:p>
        </w:tc>
      </w:tr>
      <w:tr w:rsidR="00632520" w:rsidRPr="00EE21CA" w14:paraId="2FF9E0C5" w14:textId="77777777" w:rsidTr="000A7BB5">
        <w:trPr>
          <w:trHeight w:val="1200"/>
        </w:trPr>
        <w:tc>
          <w:tcPr>
            <w:tcW w:w="1696" w:type="dxa"/>
            <w:shd w:val="clear" w:color="auto" w:fill="auto"/>
          </w:tcPr>
          <w:p w14:paraId="4C43FE8F"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EBITDA</w:t>
            </w:r>
          </w:p>
        </w:tc>
        <w:tc>
          <w:tcPr>
            <w:tcW w:w="1619" w:type="dxa"/>
            <w:shd w:val="clear" w:color="auto" w:fill="auto"/>
          </w:tcPr>
          <w:p w14:paraId="678993C8"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tcPr>
          <w:p w14:paraId="23F745B6"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EBITDA is set out in the Financial Review (Section 4)</w:t>
            </w:r>
          </w:p>
        </w:tc>
        <w:tc>
          <w:tcPr>
            <w:tcW w:w="4228" w:type="dxa"/>
            <w:shd w:val="clear" w:color="auto" w:fill="auto"/>
          </w:tcPr>
          <w:p w14:paraId="603A19BA"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EBITDA (earnings before interest, tax, depreciation and amortisation) is calculated as retail profit less central and transformation P&amp;L costs and before depreciation and amortisation. It is a measure of operating performance.</w:t>
            </w:r>
          </w:p>
        </w:tc>
      </w:tr>
      <w:tr w:rsidR="00632520" w:rsidRPr="00EE21CA" w14:paraId="79713049" w14:textId="77777777" w:rsidTr="000A7BB5">
        <w:trPr>
          <w:trHeight w:val="1350"/>
        </w:trPr>
        <w:tc>
          <w:tcPr>
            <w:tcW w:w="1696" w:type="dxa"/>
            <w:shd w:val="clear" w:color="auto" w:fill="auto"/>
            <w:hideMark/>
          </w:tcPr>
          <w:p w14:paraId="2030A422"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EBITDAR</w:t>
            </w:r>
          </w:p>
        </w:tc>
        <w:tc>
          <w:tcPr>
            <w:tcW w:w="1619" w:type="dxa"/>
            <w:shd w:val="clear" w:color="auto" w:fill="auto"/>
            <w:hideMark/>
          </w:tcPr>
          <w:p w14:paraId="05157988"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hideMark/>
          </w:tcPr>
          <w:p w14:paraId="23E40D55"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EBITDAR is set out in the Financial Review (Section 4)</w:t>
            </w:r>
          </w:p>
        </w:tc>
        <w:tc>
          <w:tcPr>
            <w:tcW w:w="4228" w:type="dxa"/>
            <w:shd w:val="clear" w:color="auto" w:fill="auto"/>
            <w:hideMark/>
          </w:tcPr>
          <w:p w14:paraId="7EE02ED2"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EBITDAR (earnings before interest, tax, depreciation, amortisation and property operating lease rentals) is calculated as retail profit less central and transformation P&amp;L costs, before depreciation and amortisation and property operating lease rentals. This measure is used in calculating the ratio of lease adjusted net debt to EBITDAR, to reflect the Group's leverage including capitalised leases which in accordance with current accounting standards do not appear on the balance sheet. </w:t>
            </w:r>
          </w:p>
        </w:tc>
      </w:tr>
      <w:tr w:rsidR="00632520" w:rsidRPr="009F52AF" w14:paraId="778518F4"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656666C"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Exceptional items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3BA3E120"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190062B1"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ED6E084"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Exceptional items are certain types of income or cost that are excluded </w:t>
            </w:r>
            <w:proofErr w:type="gramStart"/>
            <w:r w:rsidRPr="00EE21CA">
              <w:rPr>
                <w:rFonts w:ascii="Arial" w:eastAsia="Times New Roman" w:hAnsi="Arial" w:cs="Arial"/>
                <w:color w:val="000000"/>
              </w:rPr>
              <w:t>by virtue of</w:t>
            </w:r>
            <w:proofErr w:type="gramEnd"/>
            <w:r w:rsidRPr="00EE21CA">
              <w:rPr>
                <w:rFonts w:ascii="Arial" w:eastAsia="Times New Roman" w:hAnsi="Arial" w:cs="Arial"/>
                <w:color w:val="000000"/>
              </w:rPr>
              <w:t xml:space="preserve"> their size and nature in order to reflect management's view of the performance of the Group.</w:t>
            </w:r>
          </w:p>
          <w:p w14:paraId="546FF4FA" w14:textId="77777777" w:rsidR="00632520" w:rsidRPr="00EE21CA" w:rsidRDefault="00632520" w:rsidP="00632520">
            <w:pPr>
              <w:jc w:val="left"/>
              <w:rPr>
                <w:rFonts w:ascii="Arial" w:eastAsia="Times New Roman" w:hAnsi="Arial" w:cs="Arial"/>
                <w:color w:val="000000"/>
              </w:rPr>
            </w:pPr>
          </w:p>
          <w:p w14:paraId="66161088" w14:textId="7E521D1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The principal exceptional items are: non-trading items included in operating profit such as profits and losses on the disposal, closure or impairment of subsidiaries, joint ventures, associates and investments which do not form part of the Group’s trading activities; profits and losses on the disposal of properties and impairment losses on non-operational assets; and the costs of significant restructuring, including certain restructuring costs of the Group’s five year transformation plan launched in 2016/17</w:t>
            </w:r>
            <w:r w:rsidR="0003272B">
              <w:rPr>
                <w:rFonts w:ascii="Arial" w:eastAsia="Times New Roman" w:hAnsi="Arial" w:cs="Arial"/>
                <w:color w:val="000000"/>
              </w:rPr>
              <w:t xml:space="preserve"> (‘transformation exceptional costs’)</w:t>
            </w:r>
            <w:r w:rsidRPr="00EE21CA">
              <w:rPr>
                <w:rFonts w:ascii="Arial" w:eastAsia="Times New Roman" w:hAnsi="Arial" w:cs="Arial"/>
                <w:color w:val="000000"/>
              </w:rPr>
              <w:t>, and incremental acquisition integration costs.</w:t>
            </w:r>
          </w:p>
        </w:tc>
      </w:tr>
      <w:tr w:rsidR="00632520" w:rsidRPr="009F52AF" w14:paraId="2001C66A"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481B49E4"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FFVR</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9EE9667"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310CE0CF" w14:textId="4F374245"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Included within net finance costs </w:t>
            </w:r>
            <w:r w:rsidR="0003272B">
              <w:rPr>
                <w:rFonts w:ascii="Arial" w:eastAsia="Times New Roman" w:hAnsi="Arial" w:cs="Arial"/>
                <w:color w:val="000000"/>
              </w:rPr>
              <w:t xml:space="preserve">in </w:t>
            </w:r>
            <w:r w:rsidR="00453321">
              <w:rPr>
                <w:rFonts w:ascii="Arial" w:eastAsia="Times New Roman" w:hAnsi="Arial" w:cs="Arial"/>
                <w:color w:val="000000"/>
              </w:rPr>
              <w:t>n</w:t>
            </w:r>
            <w:r w:rsidRPr="00EE21CA">
              <w:rPr>
                <w:rFonts w:ascii="Arial" w:eastAsia="Times New Roman" w:hAnsi="Arial" w:cs="Arial"/>
                <w:color w:val="000000"/>
              </w:rPr>
              <w:t xml:space="preserve">ote 6 </w:t>
            </w:r>
            <w:r w:rsidR="000A7BB5">
              <w:rPr>
                <w:rFonts w:ascii="Arial" w:eastAsia="Times New Roman" w:hAnsi="Arial" w:cs="Arial"/>
                <w:color w:val="000000"/>
              </w:rPr>
              <w:t>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5619348C"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FFVR (financing fair value remeasurements) represent fair value fluctuations from financial instruments.</w:t>
            </w:r>
          </w:p>
        </w:tc>
      </w:tr>
      <w:tr w:rsidR="00632520" w:rsidRPr="009F52AF" w14:paraId="005B3A9A"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7F258507"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Free cash flow</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D6D6A68"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9980434"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free cash flow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7E6125C"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Free cash flow represents cash generated from operations (excluding exceptional items) less the amount spent on interest, tax and capital expenditure during the year (excluding business acquisitions and disposals and asset disposals).</w:t>
            </w:r>
            <w:r w:rsidRPr="00EE21CA">
              <w:rPr>
                <w:rFonts w:ascii="Arial" w:eastAsia="Times New Roman" w:hAnsi="Arial" w:cs="Arial"/>
                <w:color w:val="000000"/>
              </w:rPr>
              <w:br/>
              <w:t>This provides a measure of how much cash the business generates that can be used for expansion, capital returns and other purposes.</w:t>
            </w:r>
          </w:p>
        </w:tc>
      </w:tr>
      <w:tr w:rsidR="00632520" w:rsidRPr="009F52AF" w14:paraId="79760062"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46E3DDFE"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Gross margin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2EC82E05"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509A4863"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Refer to definition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49D7DE3F"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Gross margin represents sales from the supply of home improvement products and services (excluding VAT), less the associated cost of those sales. It is a measure of profit margin.</w:t>
            </w:r>
          </w:p>
        </w:tc>
      </w:tr>
      <w:tr w:rsidR="00632520" w:rsidRPr="009F52AF" w14:paraId="638958D9"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3EF9A637"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Lease adjusted net debt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0A6A5424"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2C2A997C"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lease adjusted net debt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794EEA8F"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Lease adjusted net debt represents net cash plus capitalised property operating lease rentals. The measure is used in calculating the ratio of lease adjusted net debt to EBITDAR to provide an indication of the Group’s overall leverage.</w:t>
            </w:r>
          </w:p>
        </w:tc>
      </w:tr>
      <w:tr w:rsidR="00632520" w:rsidRPr="009F52AF" w14:paraId="1F3F0514"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27226210"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LFL</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6D18C27F"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Sales</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69EA754D"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Refer to definition</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2A2EBDA" w14:textId="78A365DE"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LFL (</w:t>
            </w:r>
            <w:r w:rsidR="000A7BB5">
              <w:rPr>
                <w:rFonts w:ascii="Arial" w:eastAsia="Times New Roman" w:hAnsi="Arial" w:cs="Arial"/>
                <w:color w:val="000000"/>
              </w:rPr>
              <w:t>l</w:t>
            </w:r>
            <w:r w:rsidRPr="00EE21CA">
              <w:rPr>
                <w:rFonts w:ascii="Arial" w:eastAsia="Times New Roman" w:hAnsi="Arial" w:cs="Arial"/>
                <w:color w:val="000000"/>
              </w:rPr>
              <w:t>ike-for-like) sales growth represents the constant currency, year on year sales growth for stores that have been open for more than one year. It is a measure to reflect the Group's performance on a comparable basis.</w:t>
            </w:r>
          </w:p>
        </w:tc>
      </w:tr>
      <w:tr w:rsidR="00632520" w:rsidRPr="009F52AF" w14:paraId="7952EF13"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4FB2A5E8"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Net cash</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1393A6BA"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226FE133" w14:textId="2F87F328"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this measure is provided in note 15</w:t>
            </w:r>
            <w:r w:rsidR="000A7BB5">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91F1AC6" w14:textId="15F63673"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Net cash comprises cash and cash equivalents and </w:t>
            </w:r>
            <w:proofErr w:type="gramStart"/>
            <w:r w:rsidRPr="00EE21CA">
              <w:rPr>
                <w:rFonts w:ascii="Arial" w:eastAsia="Times New Roman" w:hAnsi="Arial" w:cs="Arial"/>
                <w:color w:val="000000"/>
              </w:rPr>
              <w:t>short term</w:t>
            </w:r>
            <w:proofErr w:type="gramEnd"/>
            <w:r w:rsidRPr="00EE21CA">
              <w:rPr>
                <w:rFonts w:ascii="Arial" w:eastAsia="Times New Roman" w:hAnsi="Arial" w:cs="Arial"/>
                <w:color w:val="000000"/>
              </w:rPr>
              <w:t xml:space="preserve"> deposits, less borrowings and financing derivatives (excluding accrued interest).</w:t>
            </w:r>
          </w:p>
        </w:tc>
      </w:tr>
      <w:tr w:rsidR="00632520" w:rsidRPr="009F52AF" w14:paraId="308EBBAF"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7DAAA13D"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Net cash flow</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15F88C63"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7B2E62BD"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net cash flow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D8EF661" w14:textId="0D88029A"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Net cash flow represents the total movement in the net cash balance during the year excluding foreign exchange and other non-cash movements.</w:t>
            </w:r>
          </w:p>
        </w:tc>
      </w:tr>
      <w:tr w:rsidR="00632520" w:rsidRPr="009F52AF" w14:paraId="7CF51C84"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B7E6849"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Retail profit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0B7364F5"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64F4B377" w14:textId="2193840A"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to profit before taxation is set out in the Financial Review (Section 4</w:t>
            </w:r>
            <w:r w:rsidR="0003272B">
              <w:rPr>
                <w:rFonts w:ascii="Arial" w:eastAsia="Times New Roman" w:hAnsi="Arial" w:cs="Arial"/>
                <w:color w:val="000000"/>
              </w:rPr>
              <w:t>) and note 4</w:t>
            </w:r>
            <w:r w:rsidR="000A7BB5">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1A95B95E" w14:textId="593F96F0"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Retail profit is stated before central costs, transformation </w:t>
            </w:r>
            <w:r w:rsidR="00AA1225">
              <w:rPr>
                <w:rFonts w:ascii="Arial" w:eastAsia="Times New Roman" w:hAnsi="Arial" w:cs="Arial"/>
                <w:color w:val="000000"/>
              </w:rPr>
              <w:t xml:space="preserve">P&amp;L </w:t>
            </w:r>
            <w:r w:rsidRPr="00EE21CA">
              <w:rPr>
                <w:rFonts w:ascii="Arial" w:eastAsia="Times New Roman" w:hAnsi="Arial" w:cs="Arial"/>
                <w:color w:val="000000"/>
              </w:rPr>
              <w:t xml:space="preserve">costs, exceptional items and the Group's share of interest and tax of JVs and associates. This is the Group's operating profit measure used to report the underlying performance of our retail businesses including the sustainable benefits of our transformation plan. </w:t>
            </w:r>
          </w:p>
        </w:tc>
      </w:tr>
      <w:tr w:rsidR="00632520" w:rsidRPr="009F52AF" w14:paraId="0297C702"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6253FE32"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Transformation costs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4B4BA2F3"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2FB71580"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1DC0A572" w14:textId="333D3831"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Transformation costs represent the additional costs of the ONE Kingfisher transformation programme launched in 2016/17. They comprise 'transformation exceptional costs', 'transformation P&amp;L costs' (i.e. non-exceptional items) and 'transformation capex' (capital expenditure).</w:t>
            </w:r>
          </w:p>
        </w:tc>
      </w:tr>
      <w:tr w:rsidR="00632520" w:rsidRPr="009F52AF" w14:paraId="29A73625"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13BA3ADF"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Transformation P&amp;L costs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6A7137C1"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1474E78B"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3E37FB5"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Transformation P&amp;L costs represent the additional costs that arise only </w:t>
            </w:r>
            <w:proofErr w:type="gramStart"/>
            <w:r w:rsidRPr="00EE21CA">
              <w:rPr>
                <w:rFonts w:ascii="Arial" w:eastAsia="Times New Roman" w:hAnsi="Arial" w:cs="Arial"/>
                <w:color w:val="000000"/>
              </w:rPr>
              <w:t>as a result of</w:t>
            </w:r>
            <w:proofErr w:type="gramEnd"/>
            <w:r w:rsidRPr="00EE21CA">
              <w:rPr>
                <w:rFonts w:ascii="Arial" w:eastAsia="Times New Roman" w:hAnsi="Arial" w:cs="Arial"/>
                <w:color w:val="000000"/>
              </w:rPr>
              <w:t xml:space="preserve"> the transformation plan launched in 2016/17. These costs principally relate to the unified and unique offer range implementation and the digital strategic initiative. </w:t>
            </w:r>
          </w:p>
        </w:tc>
      </w:tr>
      <w:tr w:rsidR="00632520" w:rsidRPr="009F52AF" w14:paraId="1D982CD2"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ED4F8CB"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Underlying pre-tax profit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1B5944F0"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Profit before taxation </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AB65FB6" w14:textId="578908CB"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A reconciliation to statutory pre-tax profit is set out in the Financial Review (Section 4) and </w:t>
            </w:r>
            <w:r w:rsidR="000A7BB5">
              <w:rPr>
                <w:rFonts w:ascii="Arial" w:eastAsia="Times New Roman" w:hAnsi="Arial" w:cs="Arial"/>
                <w:color w:val="000000"/>
              </w:rPr>
              <w:t xml:space="preserve">the </w:t>
            </w:r>
            <w:r w:rsidRPr="00EE21CA">
              <w:rPr>
                <w:rFonts w:ascii="Arial" w:eastAsia="Times New Roman" w:hAnsi="Arial" w:cs="Arial"/>
                <w:color w:val="000000"/>
              </w:rPr>
              <w:t>consolidated income statement</w:t>
            </w:r>
            <w:r w:rsidR="000A7BB5">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5182AF9E" w14:textId="2C711080"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Underlying pre-tax profit is stated before transformation P&amp;L costs</w:t>
            </w:r>
            <w:r w:rsidR="00BF4B6F">
              <w:rPr>
                <w:rFonts w:ascii="Arial" w:eastAsia="Times New Roman" w:hAnsi="Arial" w:cs="Arial"/>
                <w:color w:val="000000"/>
              </w:rPr>
              <w:t>,</w:t>
            </w:r>
            <w:r w:rsidR="002841D8">
              <w:rPr>
                <w:rFonts w:ascii="Arial" w:eastAsia="Times New Roman" w:hAnsi="Arial" w:cs="Arial"/>
                <w:color w:val="000000"/>
              </w:rPr>
              <w:t xml:space="preserve"> </w:t>
            </w:r>
            <w:r w:rsidRPr="00EE21CA">
              <w:rPr>
                <w:rFonts w:ascii="Arial" w:eastAsia="Times New Roman" w:hAnsi="Arial" w:cs="Arial"/>
                <w:color w:val="000000"/>
              </w:rPr>
              <w:t>exceptional items</w:t>
            </w:r>
            <w:r w:rsidR="00BF4B6F">
              <w:rPr>
                <w:rFonts w:ascii="Arial" w:eastAsia="Times New Roman" w:hAnsi="Arial" w:cs="Arial"/>
                <w:color w:val="000000"/>
              </w:rPr>
              <w:t xml:space="preserve"> and FFVR</w:t>
            </w:r>
            <w:r w:rsidRPr="00EE21CA">
              <w:rPr>
                <w:rFonts w:ascii="Arial" w:eastAsia="Times New Roman" w:hAnsi="Arial" w:cs="Arial"/>
                <w:color w:val="000000"/>
              </w:rPr>
              <w:t>. The exclusion of transformation P&amp;L costs (in addition to exceptional items</w:t>
            </w:r>
            <w:r w:rsidR="00BF4B6F">
              <w:rPr>
                <w:rFonts w:ascii="Arial" w:eastAsia="Times New Roman" w:hAnsi="Arial" w:cs="Arial"/>
                <w:color w:val="000000"/>
              </w:rPr>
              <w:t xml:space="preserve"> and FFVR</w:t>
            </w:r>
            <w:r w:rsidRPr="00EE21CA">
              <w:rPr>
                <w:rFonts w:ascii="Arial" w:eastAsia="Times New Roman" w:hAnsi="Arial" w:cs="Arial"/>
                <w:color w:val="000000"/>
              </w:rPr>
              <w:t xml:space="preserve">) helps provide an indication of the Group's underlying business performance, which includes the sustainable benefits of the transformation plan. </w:t>
            </w:r>
          </w:p>
        </w:tc>
      </w:tr>
      <w:tr w:rsidR="00632520" w:rsidRPr="009F52AF" w14:paraId="5A41261C" w14:textId="77777777" w:rsidTr="000A7BB5">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71FC47C2"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Underlying basic earnings per share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7659C4A6" w14:textId="77777777"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Basic earnings per share</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6CDA1926" w14:textId="4E207B73"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A reconciliation of underlying earnings per share is included in the Financial Review (</w:t>
            </w:r>
            <w:r w:rsidR="000A7BB5">
              <w:rPr>
                <w:rFonts w:ascii="Arial" w:eastAsia="Times New Roman" w:hAnsi="Arial" w:cs="Arial"/>
                <w:color w:val="000000"/>
              </w:rPr>
              <w:t>S</w:t>
            </w:r>
            <w:r w:rsidRPr="00EE21CA">
              <w:rPr>
                <w:rFonts w:ascii="Arial" w:eastAsia="Times New Roman" w:hAnsi="Arial" w:cs="Arial"/>
                <w:color w:val="000000"/>
              </w:rPr>
              <w:t>ection 4) and note 8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0603C8F6" w14:textId="0406B96E" w:rsidR="00632520" w:rsidRPr="00EE21CA" w:rsidRDefault="00632520" w:rsidP="00632520">
            <w:pPr>
              <w:jc w:val="left"/>
              <w:rPr>
                <w:rFonts w:ascii="Arial" w:eastAsia="Times New Roman" w:hAnsi="Arial" w:cs="Arial"/>
                <w:color w:val="000000"/>
              </w:rPr>
            </w:pPr>
            <w:r w:rsidRPr="00EE21CA">
              <w:rPr>
                <w:rFonts w:ascii="Arial" w:eastAsia="Times New Roman" w:hAnsi="Arial" w:cs="Arial"/>
                <w:color w:val="000000"/>
              </w:rPr>
              <w:t xml:space="preserve">Underlying basic earnings per share represents profit after tax attributable to the owners of the parent, before the impact of </w:t>
            </w:r>
            <w:r w:rsidR="006F5E1F" w:rsidRPr="00EE21CA">
              <w:rPr>
                <w:rFonts w:ascii="Arial" w:eastAsia="Times New Roman" w:hAnsi="Arial" w:cs="Arial"/>
                <w:color w:val="000000"/>
              </w:rPr>
              <w:t>transformation P&amp;L costs</w:t>
            </w:r>
            <w:r w:rsidR="006F5E1F">
              <w:rPr>
                <w:rFonts w:ascii="Arial" w:eastAsia="Times New Roman" w:hAnsi="Arial" w:cs="Arial"/>
                <w:color w:val="000000"/>
              </w:rPr>
              <w:t>,</w:t>
            </w:r>
            <w:r w:rsidR="006F5E1F" w:rsidRPr="00EE21CA">
              <w:rPr>
                <w:rFonts w:ascii="Arial" w:eastAsia="Times New Roman" w:hAnsi="Arial" w:cs="Arial"/>
                <w:color w:val="000000"/>
              </w:rPr>
              <w:t xml:space="preserve"> </w:t>
            </w:r>
            <w:r w:rsidRPr="00EE21CA">
              <w:rPr>
                <w:rFonts w:ascii="Arial" w:eastAsia="Times New Roman" w:hAnsi="Arial" w:cs="Arial"/>
                <w:color w:val="000000"/>
              </w:rPr>
              <w:t>exceptional items,</w:t>
            </w:r>
            <w:r w:rsidR="00BF4B6F">
              <w:rPr>
                <w:rFonts w:ascii="Arial" w:eastAsia="Times New Roman" w:hAnsi="Arial" w:cs="Arial"/>
                <w:color w:val="000000"/>
              </w:rPr>
              <w:t xml:space="preserve"> FFVR,</w:t>
            </w:r>
            <w:r w:rsidRPr="00EE21CA">
              <w:rPr>
                <w:rFonts w:ascii="Arial" w:eastAsia="Times New Roman" w:hAnsi="Arial" w:cs="Arial"/>
                <w:color w:val="000000"/>
              </w:rPr>
              <w:t xml:space="preserve"> related tax items and tax on prior year items, divided by the weighted average number of shares in issue during the </w:t>
            </w:r>
            <w:r w:rsidR="0005091E">
              <w:rPr>
                <w:rFonts w:ascii="Arial" w:eastAsia="Times New Roman" w:hAnsi="Arial" w:cs="Arial"/>
                <w:color w:val="000000"/>
              </w:rPr>
              <w:t>period</w:t>
            </w:r>
            <w:r w:rsidRPr="00EE21CA">
              <w:rPr>
                <w:rFonts w:ascii="Arial" w:eastAsia="Times New Roman" w:hAnsi="Arial" w:cs="Arial"/>
                <w:color w:val="000000"/>
              </w:rPr>
              <w:t>.</w:t>
            </w:r>
          </w:p>
        </w:tc>
      </w:tr>
    </w:tbl>
    <w:p w14:paraId="105FE87A" w14:textId="77777777" w:rsidR="00632520" w:rsidRDefault="00632520" w:rsidP="00632520">
      <w:pPr>
        <w:jc w:val="left"/>
        <w:rPr>
          <w:rFonts w:ascii="Arial" w:hAnsi="Arial" w:cs="Arial"/>
          <w:b/>
          <w:szCs w:val="24"/>
        </w:rPr>
      </w:pPr>
    </w:p>
    <w:p w14:paraId="5B604CCB" w14:textId="77777777" w:rsidR="00632520" w:rsidRPr="00A845B7" w:rsidRDefault="00632520" w:rsidP="00632520">
      <w:pPr>
        <w:jc w:val="left"/>
        <w:rPr>
          <w:rFonts w:ascii="Arial" w:hAnsi="Arial" w:cs="Arial"/>
          <w:iCs/>
        </w:rPr>
      </w:pPr>
      <w:r w:rsidRPr="00A845B7">
        <w:rPr>
          <w:rFonts w:ascii="Arial" w:hAnsi="Arial" w:cs="Arial"/>
          <w:b/>
          <w:iCs/>
        </w:rPr>
        <w:t xml:space="preserve">Banque de France </w:t>
      </w:r>
      <w:r w:rsidRPr="00A845B7">
        <w:rPr>
          <w:rFonts w:ascii="Arial" w:hAnsi="Arial" w:cs="Arial"/>
          <w:iCs/>
        </w:rPr>
        <w:t xml:space="preserve">data includes relocated and extended stores. </w:t>
      </w:r>
    </w:p>
    <w:p w14:paraId="186EDE5E" w14:textId="77777777" w:rsidR="00632520" w:rsidRPr="00A845B7" w:rsidRDefault="00982E49" w:rsidP="00632520">
      <w:pPr>
        <w:jc w:val="left"/>
        <w:rPr>
          <w:rFonts w:ascii="Arial" w:hAnsi="Arial" w:cs="Arial"/>
          <w:iCs/>
        </w:rPr>
      </w:pPr>
      <w:hyperlink r:id="rId9" w:history="1">
        <w:r w:rsidR="00632520" w:rsidRPr="00A845B7">
          <w:rPr>
            <w:rStyle w:val="Hyperlink"/>
            <w:rFonts w:ascii="Arial" w:hAnsi="Arial" w:cs="Arial"/>
            <w:iCs/>
          </w:rPr>
          <w:t>http://webstat.banque-france.fr/en/browse.do?node=5384326</w:t>
        </w:r>
      </w:hyperlink>
    </w:p>
    <w:p w14:paraId="70556EB9" w14:textId="77777777" w:rsidR="00632520" w:rsidRPr="00A845B7" w:rsidRDefault="00632520" w:rsidP="00632520">
      <w:pPr>
        <w:rPr>
          <w:rFonts w:ascii="Arial" w:hAnsi="Arial" w:cs="Arial"/>
          <w:b/>
          <w:iCs/>
        </w:rPr>
      </w:pPr>
    </w:p>
    <w:p w14:paraId="205F6709" w14:textId="77777777" w:rsidR="00632520" w:rsidRPr="007135F2" w:rsidRDefault="00632520" w:rsidP="00632520">
      <w:pPr>
        <w:jc w:val="left"/>
        <w:rPr>
          <w:rFonts w:ascii="Arial" w:hAnsi="Arial" w:cs="Arial"/>
          <w:iCs/>
        </w:rPr>
      </w:pPr>
      <w:r>
        <w:rPr>
          <w:rFonts w:ascii="Arial" w:hAnsi="Arial" w:cs="Arial"/>
          <w:b/>
          <w:iCs/>
        </w:rPr>
        <w:t xml:space="preserve">CPR </w:t>
      </w:r>
      <w:r>
        <w:rPr>
          <w:rFonts w:ascii="Arial" w:hAnsi="Arial" w:cs="Arial"/>
          <w:iCs/>
        </w:rPr>
        <w:t>(cost price reduction) refers to the savings made on cost of goods sold.</w:t>
      </w:r>
    </w:p>
    <w:p w14:paraId="07008BAE" w14:textId="77777777" w:rsidR="00632520" w:rsidRDefault="00632520" w:rsidP="00632520">
      <w:pPr>
        <w:jc w:val="left"/>
        <w:rPr>
          <w:rFonts w:ascii="Arial" w:hAnsi="Arial" w:cs="Arial"/>
          <w:b/>
          <w:iCs/>
        </w:rPr>
      </w:pPr>
    </w:p>
    <w:p w14:paraId="3AFB49A9" w14:textId="0902F07A" w:rsidR="00632520" w:rsidRDefault="00632520" w:rsidP="00632520">
      <w:pPr>
        <w:jc w:val="left"/>
        <w:rPr>
          <w:rFonts w:ascii="Arial" w:hAnsi="Arial" w:cs="Arial"/>
          <w:iCs/>
        </w:rPr>
      </w:pPr>
      <w:r w:rsidRPr="00A845B7">
        <w:rPr>
          <w:rFonts w:ascii="Arial" w:hAnsi="Arial" w:cs="Arial"/>
          <w:b/>
          <w:iCs/>
        </w:rPr>
        <w:t xml:space="preserve">Digital sales </w:t>
      </w:r>
      <w:r w:rsidRPr="00A845B7">
        <w:rPr>
          <w:rFonts w:ascii="Arial" w:hAnsi="Arial" w:cs="Arial"/>
          <w:iCs/>
        </w:rPr>
        <w:t>are</w:t>
      </w:r>
      <w:r w:rsidRPr="00A845B7">
        <w:rPr>
          <w:rFonts w:ascii="Arial" w:hAnsi="Arial" w:cs="Arial"/>
          <w:b/>
          <w:iCs/>
        </w:rPr>
        <w:t xml:space="preserve"> </w:t>
      </w:r>
      <w:r w:rsidRPr="00A845B7">
        <w:rPr>
          <w:rFonts w:ascii="Arial" w:hAnsi="Arial" w:cs="Arial"/>
          <w:iCs/>
        </w:rPr>
        <w:t>sales derived from online transactions, including click &amp; collect. This includes sales transacted on any device, however not sales through a call centre.</w:t>
      </w:r>
    </w:p>
    <w:p w14:paraId="50D01DB5" w14:textId="5B109B18" w:rsidR="00453321" w:rsidRDefault="00453321" w:rsidP="00632520">
      <w:pPr>
        <w:jc w:val="left"/>
        <w:rPr>
          <w:rFonts w:ascii="Arial" w:hAnsi="Arial" w:cs="Arial"/>
          <w:iCs/>
        </w:rPr>
      </w:pPr>
    </w:p>
    <w:p w14:paraId="271AC89A" w14:textId="602555EC" w:rsidR="00453321" w:rsidRPr="00453321" w:rsidRDefault="00453321" w:rsidP="00632520">
      <w:pPr>
        <w:jc w:val="left"/>
        <w:rPr>
          <w:rFonts w:ascii="Arial" w:hAnsi="Arial" w:cs="Arial"/>
          <w:iCs/>
        </w:rPr>
      </w:pPr>
      <w:r>
        <w:rPr>
          <w:rFonts w:ascii="Arial" w:hAnsi="Arial" w:cs="Arial"/>
          <w:b/>
          <w:iCs/>
        </w:rPr>
        <w:t>EDLP</w:t>
      </w:r>
      <w:r>
        <w:rPr>
          <w:rFonts w:ascii="Arial" w:hAnsi="Arial" w:cs="Arial"/>
          <w:iCs/>
        </w:rPr>
        <w:t xml:space="preserve"> refers to everyday low prices</w:t>
      </w:r>
      <w:r w:rsidR="002A2630">
        <w:rPr>
          <w:rFonts w:ascii="Arial" w:hAnsi="Arial" w:cs="Arial"/>
          <w:iCs/>
        </w:rPr>
        <w:t>.</w:t>
      </w:r>
    </w:p>
    <w:p w14:paraId="55459BC1" w14:textId="77777777" w:rsidR="00632520" w:rsidRDefault="00632520" w:rsidP="00632520">
      <w:pPr>
        <w:jc w:val="left"/>
        <w:rPr>
          <w:rFonts w:ascii="Arial" w:hAnsi="Arial" w:cs="Arial"/>
          <w:b/>
          <w:iCs/>
        </w:rPr>
      </w:pPr>
    </w:p>
    <w:p w14:paraId="6A752044" w14:textId="77777777" w:rsidR="00632520" w:rsidRPr="00A845B7" w:rsidRDefault="00632520" w:rsidP="00632520">
      <w:pPr>
        <w:jc w:val="left"/>
        <w:rPr>
          <w:rFonts w:ascii="Arial" w:hAnsi="Arial" w:cs="Arial"/>
          <w:iCs/>
        </w:rPr>
      </w:pPr>
      <w:r w:rsidRPr="00A845B7">
        <w:rPr>
          <w:rFonts w:ascii="Arial" w:hAnsi="Arial" w:cs="Arial"/>
          <w:b/>
          <w:iCs/>
        </w:rPr>
        <w:t>France</w:t>
      </w:r>
      <w:r w:rsidRPr="00A845B7">
        <w:rPr>
          <w:rFonts w:ascii="Arial" w:hAnsi="Arial" w:cs="Arial"/>
          <w:iCs/>
        </w:rPr>
        <w:t xml:space="preserve"> consists of Castorama France and Brico </w:t>
      </w:r>
      <w:proofErr w:type="spellStart"/>
      <w:r w:rsidRPr="00A845B7">
        <w:rPr>
          <w:rFonts w:ascii="Arial" w:hAnsi="Arial" w:cs="Arial"/>
          <w:iCs/>
        </w:rPr>
        <w:t>Dépôt</w:t>
      </w:r>
      <w:proofErr w:type="spellEnd"/>
      <w:r w:rsidRPr="00A845B7">
        <w:rPr>
          <w:rFonts w:ascii="Arial" w:hAnsi="Arial" w:cs="Arial"/>
          <w:iCs/>
        </w:rPr>
        <w:t xml:space="preserve"> France.</w:t>
      </w:r>
    </w:p>
    <w:p w14:paraId="2A63B2C9" w14:textId="77777777" w:rsidR="00632520" w:rsidRPr="00A845B7" w:rsidRDefault="00632520" w:rsidP="00632520">
      <w:pPr>
        <w:jc w:val="left"/>
        <w:rPr>
          <w:rFonts w:ascii="Arial" w:hAnsi="Arial" w:cs="Arial"/>
          <w:iCs/>
        </w:rPr>
      </w:pPr>
    </w:p>
    <w:p w14:paraId="4DCE99F1" w14:textId="77777777" w:rsidR="00632520" w:rsidRPr="00A845B7" w:rsidRDefault="00632520" w:rsidP="00632520">
      <w:pPr>
        <w:jc w:val="left"/>
        <w:rPr>
          <w:rFonts w:ascii="Arial" w:hAnsi="Arial" w:cs="Arial"/>
          <w:b/>
          <w:iCs/>
        </w:rPr>
      </w:pPr>
      <w:r w:rsidRPr="00A845B7">
        <w:rPr>
          <w:rFonts w:ascii="Arial" w:hAnsi="Arial" w:cs="Arial"/>
          <w:b/>
          <w:iCs/>
        </w:rPr>
        <w:t xml:space="preserve">GNFR </w:t>
      </w:r>
      <w:r w:rsidRPr="00A845B7">
        <w:rPr>
          <w:rFonts w:ascii="Arial" w:hAnsi="Arial" w:cs="Arial"/>
          <w:iCs/>
        </w:rPr>
        <w:t xml:space="preserve">(Goods Not </w:t>
      </w:r>
      <w:proofErr w:type="gramStart"/>
      <w:r w:rsidRPr="00A845B7">
        <w:rPr>
          <w:rFonts w:ascii="Arial" w:hAnsi="Arial" w:cs="Arial"/>
          <w:iCs/>
        </w:rPr>
        <w:t>For</w:t>
      </w:r>
      <w:proofErr w:type="gramEnd"/>
      <w:r w:rsidRPr="00A845B7">
        <w:rPr>
          <w:rFonts w:ascii="Arial" w:hAnsi="Arial" w:cs="Arial"/>
          <w:iCs/>
        </w:rPr>
        <w:t xml:space="preserve"> Resale) covers the procurement of all goods and services a retailer consumes (including media buying, mechanical handling equipment, printing &amp; paper).</w:t>
      </w:r>
    </w:p>
    <w:p w14:paraId="09F492FD" w14:textId="77777777" w:rsidR="00632520" w:rsidRPr="00A845B7" w:rsidRDefault="00632520" w:rsidP="00632520">
      <w:pPr>
        <w:jc w:val="left"/>
        <w:rPr>
          <w:rFonts w:ascii="Arial" w:hAnsi="Arial" w:cs="Arial"/>
          <w:b/>
          <w:iCs/>
        </w:rPr>
      </w:pPr>
    </w:p>
    <w:p w14:paraId="06B79EA0" w14:textId="1C23AE1A" w:rsidR="00632520" w:rsidRPr="00D32338" w:rsidRDefault="00632520" w:rsidP="00632520">
      <w:pPr>
        <w:tabs>
          <w:tab w:val="left" w:pos="357"/>
        </w:tabs>
        <w:ind w:right="-282"/>
        <w:jc w:val="left"/>
        <w:rPr>
          <w:rFonts w:ascii="Arial" w:hAnsi="Arial" w:cs="Arial"/>
        </w:rPr>
      </w:pPr>
      <w:bookmarkStart w:id="92" w:name="_Hlk524460820"/>
      <w:r w:rsidRPr="00D32338">
        <w:rPr>
          <w:rFonts w:ascii="Arial" w:hAnsi="Arial" w:cs="Arial"/>
          <w:b/>
        </w:rPr>
        <w:t>Iberia</w:t>
      </w:r>
      <w:r w:rsidRPr="00D32338">
        <w:rPr>
          <w:rFonts w:ascii="Arial" w:hAnsi="Arial" w:cs="Arial"/>
        </w:rPr>
        <w:t xml:space="preserve"> consists of Brico </w:t>
      </w:r>
      <w:proofErr w:type="spellStart"/>
      <w:r w:rsidRPr="00A845B7">
        <w:rPr>
          <w:rFonts w:ascii="Arial" w:hAnsi="Arial" w:cs="Arial"/>
        </w:rPr>
        <w:t>Dépôt</w:t>
      </w:r>
      <w:proofErr w:type="spellEnd"/>
      <w:r w:rsidRPr="00D32338">
        <w:rPr>
          <w:rFonts w:ascii="Arial" w:hAnsi="Arial" w:cs="Arial"/>
        </w:rPr>
        <w:t xml:space="preserve"> Spain and Brico </w:t>
      </w:r>
      <w:proofErr w:type="spellStart"/>
      <w:r w:rsidRPr="00A845B7">
        <w:rPr>
          <w:rFonts w:ascii="Arial" w:hAnsi="Arial" w:cs="Arial"/>
        </w:rPr>
        <w:t>Dépôt</w:t>
      </w:r>
      <w:proofErr w:type="spellEnd"/>
      <w:r w:rsidRPr="00D32338">
        <w:rPr>
          <w:rFonts w:ascii="Arial" w:hAnsi="Arial" w:cs="Arial"/>
        </w:rPr>
        <w:t xml:space="preserve"> Portugal</w:t>
      </w:r>
      <w:r w:rsidR="002A2630">
        <w:rPr>
          <w:rFonts w:ascii="Arial" w:hAnsi="Arial" w:cs="Arial"/>
        </w:rPr>
        <w:t>.</w:t>
      </w:r>
    </w:p>
    <w:bookmarkEnd w:id="92"/>
    <w:p w14:paraId="4D4D01C4" w14:textId="77777777" w:rsidR="00632520" w:rsidRPr="00A845B7" w:rsidRDefault="00632520" w:rsidP="00632520">
      <w:pPr>
        <w:jc w:val="left"/>
        <w:rPr>
          <w:rFonts w:ascii="Arial" w:hAnsi="Arial" w:cs="Arial"/>
          <w:b/>
          <w:iCs/>
        </w:rPr>
      </w:pPr>
    </w:p>
    <w:p w14:paraId="1E49AB66" w14:textId="50FC092B" w:rsidR="00632520" w:rsidRPr="00A845B7" w:rsidRDefault="00632520" w:rsidP="00632520">
      <w:pPr>
        <w:jc w:val="left"/>
        <w:rPr>
          <w:rFonts w:ascii="Arial" w:hAnsi="Arial" w:cs="Arial"/>
          <w:iCs/>
        </w:rPr>
      </w:pPr>
      <w:r w:rsidRPr="00A845B7">
        <w:rPr>
          <w:rFonts w:ascii="Arial" w:hAnsi="Arial" w:cs="Arial"/>
          <w:b/>
          <w:iCs/>
        </w:rPr>
        <w:t>Other International</w:t>
      </w:r>
      <w:r w:rsidRPr="00A845B7">
        <w:rPr>
          <w:rFonts w:ascii="Arial" w:hAnsi="Arial" w:cs="Arial"/>
          <w:iCs/>
        </w:rPr>
        <w:t xml:space="preserve"> consists of Poland,</w:t>
      </w:r>
      <w:r w:rsidR="005E757F">
        <w:rPr>
          <w:rFonts w:ascii="Arial" w:hAnsi="Arial" w:cs="Arial"/>
          <w:iCs/>
        </w:rPr>
        <w:t xml:space="preserve"> Iberia,</w:t>
      </w:r>
      <w:r w:rsidRPr="00A845B7">
        <w:rPr>
          <w:rFonts w:ascii="Arial" w:hAnsi="Arial" w:cs="Arial"/>
          <w:iCs/>
        </w:rPr>
        <w:t xml:space="preserve"> Romania, Russia, Screwfix </w:t>
      </w:r>
      <w:r w:rsidR="006B1A1C">
        <w:rPr>
          <w:rFonts w:ascii="Arial" w:hAnsi="Arial" w:cs="Arial"/>
          <w:iCs/>
        </w:rPr>
        <w:t>Germany</w:t>
      </w:r>
      <w:r w:rsidR="006B1A1C" w:rsidRPr="00A845B7">
        <w:rPr>
          <w:rFonts w:ascii="Arial" w:hAnsi="Arial" w:cs="Arial"/>
          <w:iCs/>
        </w:rPr>
        <w:t xml:space="preserve"> </w:t>
      </w:r>
      <w:r w:rsidRPr="00A845B7">
        <w:rPr>
          <w:rFonts w:ascii="Arial" w:hAnsi="Arial" w:cs="Arial"/>
          <w:iCs/>
        </w:rPr>
        <w:t>and Turkey (</w:t>
      </w:r>
      <w:proofErr w:type="spellStart"/>
      <w:r w:rsidRPr="00A845B7">
        <w:rPr>
          <w:rFonts w:ascii="Arial" w:hAnsi="Arial" w:cs="Arial"/>
          <w:iCs/>
        </w:rPr>
        <w:t>Koçtaş</w:t>
      </w:r>
      <w:proofErr w:type="spellEnd"/>
      <w:r w:rsidRPr="00A845B7">
        <w:rPr>
          <w:rFonts w:ascii="Arial" w:hAnsi="Arial" w:cs="Arial"/>
          <w:iCs/>
        </w:rPr>
        <w:t xml:space="preserve"> JV).</w:t>
      </w:r>
    </w:p>
    <w:p w14:paraId="0B4130D0" w14:textId="77777777" w:rsidR="00632520" w:rsidRPr="00A845B7" w:rsidRDefault="00632520" w:rsidP="00632520">
      <w:pPr>
        <w:jc w:val="left"/>
        <w:rPr>
          <w:rFonts w:ascii="Arial" w:hAnsi="Arial" w:cs="Arial"/>
          <w:iCs/>
        </w:rPr>
      </w:pPr>
    </w:p>
    <w:p w14:paraId="5EFA5D59" w14:textId="77777777" w:rsidR="00632520" w:rsidRPr="00A845B7" w:rsidRDefault="00632520" w:rsidP="00632520">
      <w:pPr>
        <w:tabs>
          <w:tab w:val="left" w:pos="357"/>
        </w:tabs>
        <w:ind w:right="-282"/>
        <w:jc w:val="left"/>
        <w:rPr>
          <w:rFonts w:ascii="Arial" w:hAnsi="Arial" w:cs="Arial"/>
          <w:iCs/>
        </w:rPr>
      </w:pPr>
      <w:r>
        <w:rPr>
          <w:rFonts w:ascii="Arial" w:hAnsi="Arial" w:cs="Arial"/>
          <w:b/>
        </w:rPr>
        <w:t>S</w:t>
      </w:r>
      <w:r w:rsidRPr="00A845B7">
        <w:rPr>
          <w:rFonts w:ascii="Arial" w:hAnsi="Arial" w:cs="Arial"/>
          <w:b/>
        </w:rPr>
        <w:t>ales</w:t>
      </w:r>
      <w:r w:rsidRPr="00A845B7">
        <w:rPr>
          <w:rFonts w:ascii="Arial" w:hAnsi="Arial" w:cs="Arial"/>
          <w:iCs/>
        </w:rPr>
        <w:t xml:space="preserve"> </w:t>
      </w:r>
      <w:r>
        <w:rPr>
          <w:rFonts w:ascii="Arial" w:hAnsi="Arial" w:cs="Arial"/>
          <w:iCs/>
        </w:rPr>
        <w:t>refer to</w:t>
      </w:r>
      <w:r w:rsidRPr="00A845B7">
        <w:rPr>
          <w:rFonts w:ascii="Arial" w:hAnsi="Arial" w:cs="Arial"/>
          <w:iCs/>
        </w:rPr>
        <w:t xml:space="preserve"> Group sales exclud</w:t>
      </w:r>
      <w:r>
        <w:rPr>
          <w:rFonts w:ascii="Arial" w:hAnsi="Arial" w:cs="Arial"/>
          <w:iCs/>
        </w:rPr>
        <w:t>ing</w:t>
      </w:r>
      <w:r w:rsidRPr="00A845B7">
        <w:rPr>
          <w:rFonts w:ascii="Arial" w:hAnsi="Arial" w:cs="Arial"/>
          <w:iCs/>
        </w:rPr>
        <w:t xml:space="preserve"> Joint Venture (</w:t>
      </w:r>
      <w:proofErr w:type="spellStart"/>
      <w:r w:rsidRPr="00A845B7">
        <w:rPr>
          <w:rFonts w:ascii="Arial" w:hAnsi="Arial" w:cs="Arial"/>
          <w:iCs/>
        </w:rPr>
        <w:t>Koçtaş</w:t>
      </w:r>
      <w:proofErr w:type="spellEnd"/>
      <w:r w:rsidRPr="00A845B7">
        <w:rPr>
          <w:rFonts w:ascii="Arial" w:hAnsi="Arial" w:cs="Arial"/>
          <w:iCs/>
        </w:rPr>
        <w:t xml:space="preserve"> JV) sales.</w:t>
      </w:r>
    </w:p>
    <w:p w14:paraId="45DC0B9A" w14:textId="77777777" w:rsidR="00632520" w:rsidRPr="00A845B7" w:rsidRDefault="00632520" w:rsidP="00632520">
      <w:pPr>
        <w:tabs>
          <w:tab w:val="left" w:pos="357"/>
        </w:tabs>
        <w:ind w:right="-282"/>
        <w:jc w:val="left"/>
        <w:rPr>
          <w:rFonts w:ascii="Arial" w:hAnsi="Arial" w:cs="Arial"/>
          <w:iCs/>
        </w:rPr>
      </w:pPr>
    </w:p>
    <w:p w14:paraId="25B5FED8" w14:textId="77777777" w:rsidR="00632520" w:rsidRPr="00A845B7" w:rsidRDefault="00632520" w:rsidP="00632520">
      <w:pPr>
        <w:tabs>
          <w:tab w:val="left" w:pos="357"/>
        </w:tabs>
        <w:ind w:right="-282"/>
        <w:jc w:val="left"/>
        <w:rPr>
          <w:rFonts w:ascii="Arial" w:hAnsi="Arial" w:cs="Arial"/>
          <w:iCs/>
        </w:rPr>
      </w:pPr>
      <w:r w:rsidRPr="00A845B7">
        <w:rPr>
          <w:rFonts w:ascii="Arial" w:hAnsi="Arial" w:cs="Arial"/>
          <w:b/>
          <w:iCs/>
        </w:rPr>
        <w:t xml:space="preserve">SKU </w:t>
      </w:r>
      <w:r w:rsidRPr="00A845B7">
        <w:rPr>
          <w:rFonts w:ascii="Arial" w:hAnsi="Arial" w:cs="Arial"/>
          <w:iCs/>
        </w:rPr>
        <w:t>(Stock Keeping Unit)</w:t>
      </w:r>
      <w:r w:rsidRPr="00A845B7">
        <w:rPr>
          <w:rFonts w:ascii="Arial" w:hAnsi="Arial" w:cs="Arial"/>
          <w:b/>
          <w:iCs/>
        </w:rPr>
        <w:t xml:space="preserve"> </w:t>
      </w:r>
      <w:r>
        <w:rPr>
          <w:rFonts w:ascii="Arial" w:hAnsi="Arial" w:cs="Arial"/>
          <w:iCs/>
        </w:rPr>
        <w:t>is defined as</w:t>
      </w:r>
      <w:r w:rsidRPr="00A845B7">
        <w:rPr>
          <w:rFonts w:ascii="Arial" w:hAnsi="Arial" w:cs="Arial"/>
          <w:iCs/>
        </w:rPr>
        <w:t xml:space="preserve">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51FE6D86" w14:textId="77777777" w:rsidR="00632520" w:rsidRPr="00A845B7" w:rsidRDefault="00632520" w:rsidP="00632520">
      <w:pPr>
        <w:rPr>
          <w:rFonts w:ascii="Arial" w:hAnsi="Arial" w:cs="Arial"/>
          <w:b/>
          <w:iCs/>
        </w:rPr>
      </w:pPr>
    </w:p>
    <w:p w14:paraId="39F05D19" w14:textId="77777777" w:rsidR="00632520" w:rsidRPr="00A845B7" w:rsidRDefault="00632520" w:rsidP="00632520">
      <w:pPr>
        <w:jc w:val="left"/>
        <w:rPr>
          <w:rFonts w:ascii="Arial" w:hAnsi="Arial" w:cs="Arial"/>
          <w:b/>
          <w:bCs/>
        </w:rPr>
      </w:pPr>
      <w:r w:rsidRPr="00A845B7">
        <w:rPr>
          <w:rFonts w:ascii="Arial" w:hAnsi="Arial" w:cs="Arial"/>
          <w:b/>
          <w:iCs/>
        </w:rPr>
        <w:t>UK &amp; Ireland</w:t>
      </w:r>
      <w:r w:rsidRPr="00A845B7">
        <w:rPr>
          <w:rFonts w:ascii="Arial" w:hAnsi="Arial" w:cs="Arial"/>
          <w:iCs/>
        </w:rPr>
        <w:t xml:space="preserve"> consists of B&amp;Q in the UK &amp; Ireland and Screwfix UK.</w:t>
      </w:r>
    </w:p>
    <w:p w14:paraId="55306B5D" w14:textId="77777777" w:rsidR="00632520" w:rsidRPr="00AC598B" w:rsidRDefault="00632520" w:rsidP="00632520">
      <w:pPr>
        <w:jc w:val="left"/>
        <w:rPr>
          <w:rFonts w:ascii="Arial" w:hAnsi="Arial" w:cs="Arial"/>
          <w:b/>
          <w:bCs/>
          <w:szCs w:val="24"/>
          <w:highlight w:val="yellow"/>
        </w:rPr>
      </w:pPr>
    </w:p>
    <w:p w14:paraId="3D93B31D" w14:textId="77777777" w:rsidR="00632520" w:rsidRPr="00AC598B" w:rsidRDefault="00632520" w:rsidP="00632520">
      <w:pPr>
        <w:jc w:val="left"/>
        <w:rPr>
          <w:rFonts w:ascii="Arial" w:hAnsi="Arial" w:cs="Arial"/>
          <w:b/>
          <w:bCs/>
          <w:szCs w:val="24"/>
          <w:highlight w:val="yellow"/>
        </w:rPr>
      </w:pPr>
    </w:p>
    <w:p w14:paraId="69CC803A" w14:textId="77777777" w:rsidR="000265B9" w:rsidRPr="00AC598B" w:rsidRDefault="000265B9" w:rsidP="00632520">
      <w:pPr>
        <w:jc w:val="left"/>
        <w:rPr>
          <w:rFonts w:ascii="Arial" w:hAnsi="Arial" w:cs="Arial"/>
          <w:b/>
          <w:bCs/>
          <w:szCs w:val="24"/>
        </w:rPr>
      </w:pPr>
    </w:p>
    <w:p w14:paraId="32E5436B" w14:textId="77777777" w:rsidR="000265B9" w:rsidRPr="00AC598B" w:rsidRDefault="000265B9" w:rsidP="000265B9">
      <w:pPr>
        <w:rPr>
          <w:rFonts w:ascii="Arial" w:hAnsi="Arial" w:cs="Arial"/>
          <w:b/>
          <w:bCs/>
          <w:szCs w:val="24"/>
          <w:highlight w:val="yellow"/>
        </w:rPr>
      </w:pPr>
    </w:p>
    <w:p w14:paraId="39BC0394" w14:textId="77777777" w:rsidR="008E3FF2" w:rsidRPr="00AC598B" w:rsidRDefault="008E3FF2">
      <w:pPr>
        <w:jc w:val="left"/>
        <w:rPr>
          <w:rFonts w:ascii="Arial" w:hAnsi="Arial" w:cs="Arial"/>
          <w:b/>
          <w:bCs/>
          <w:szCs w:val="24"/>
          <w:highlight w:val="yellow"/>
        </w:rPr>
      </w:pPr>
      <w:r w:rsidRPr="00AC598B">
        <w:rPr>
          <w:rFonts w:ascii="Arial" w:hAnsi="Arial" w:cs="Arial"/>
          <w:b/>
          <w:bCs/>
          <w:szCs w:val="24"/>
          <w:highlight w:val="yellow"/>
        </w:rPr>
        <w:br w:type="page"/>
      </w:r>
    </w:p>
    <w:p w14:paraId="6A68225A" w14:textId="6FAFD820" w:rsidR="003A298D" w:rsidRPr="00977A3C" w:rsidRDefault="003A298D" w:rsidP="00272A5E">
      <w:pPr>
        <w:rPr>
          <w:rFonts w:ascii="Arial" w:hAnsi="Arial" w:cs="Arial"/>
          <w:b/>
          <w:caps/>
          <w:sz w:val="20"/>
        </w:rPr>
      </w:pPr>
      <w:bookmarkStart w:id="93" w:name="_Hlk524454561"/>
      <w:r w:rsidRPr="00977A3C">
        <w:rPr>
          <w:rFonts w:ascii="Arial" w:hAnsi="Arial" w:cs="Arial"/>
          <w:b/>
          <w:bCs/>
          <w:szCs w:val="24"/>
        </w:rPr>
        <w:t xml:space="preserve">Section </w:t>
      </w:r>
      <w:r w:rsidR="00DD4F01" w:rsidRPr="00977A3C">
        <w:rPr>
          <w:rFonts w:ascii="Arial" w:hAnsi="Arial" w:cs="Arial"/>
          <w:b/>
          <w:bCs/>
          <w:szCs w:val="24"/>
        </w:rPr>
        <w:t>6</w:t>
      </w:r>
      <w:r w:rsidRPr="00977A3C">
        <w:rPr>
          <w:rFonts w:ascii="Arial" w:hAnsi="Arial" w:cs="Arial"/>
          <w:b/>
          <w:bCs/>
          <w:szCs w:val="24"/>
        </w:rPr>
        <w:t xml:space="preserve">: </w:t>
      </w:r>
      <w:r w:rsidRPr="00977A3C">
        <w:rPr>
          <w:rFonts w:ascii="Arial" w:hAnsi="Arial" w:cs="Arial"/>
          <w:b/>
          <w:szCs w:val="24"/>
        </w:rPr>
        <w:t>Forward-looking statements</w:t>
      </w:r>
    </w:p>
    <w:p w14:paraId="37FAC5F7" w14:textId="77777777" w:rsidR="003A298D" w:rsidRPr="00977A3C" w:rsidRDefault="003A298D" w:rsidP="003A298D">
      <w:pPr>
        <w:jc w:val="left"/>
        <w:rPr>
          <w:rFonts w:ascii="Arial" w:hAnsi="Arial" w:cs="Arial"/>
          <w:szCs w:val="24"/>
        </w:rPr>
      </w:pPr>
    </w:p>
    <w:p w14:paraId="3E7F906E" w14:textId="77777777" w:rsidR="006C3B09" w:rsidRPr="00977A3C" w:rsidRDefault="006C3B09" w:rsidP="006C3B09">
      <w:pPr>
        <w:jc w:val="left"/>
        <w:rPr>
          <w:rFonts w:ascii="Arial" w:hAnsi="Arial" w:cs="Arial"/>
          <w:szCs w:val="24"/>
        </w:rPr>
      </w:pPr>
      <w:r w:rsidRPr="00977A3C">
        <w:rPr>
          <w:rFonts w:ascii="Arial" w:hAnsi="Arial" w:cs="Arial"/>
          <w:szCs w:val="24"/>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3ED496AA" w14:textId="77777777" w:rsidR="006C3B09" w:rsidRPr="00977A3C" w:rsidRDefault="006C3B09" w:rsidP="006C3B09">
      <w:pPr>
        <w:jc w:val="left"/>
        <w:rPr>
          <w:rFonts w:ascii="Arial" w:hAnsi="Arial" w:cs="Arial"/>
          <w:szCs w:val="24"/>
        </w:rPr>
      </w:pPr>
    </w:p>
    <w:p w14:paraId="7CA4D544" w14:textId="58397A74" w:rsidR="006C3B09" w:rsidRPr="00977A3C" w:rsidRDefault="006C3B09" w:rsidP="006C3B09">
      <w:pPr>
        <w:jc w:val="left"/>
        <w:rPr>
          <w:rFonts w:ascii="Arial" w:hAnsi="Arial" w:cs="Arial"/>
          <w:szCs w:val="24"/>
        </w:rPr>
      </w:pPr>
      <w:r w:rsidRPr="00977A3C">
        <w:rPr>
          <w:rFonts w:ascii="Arial" w:hAnsi="Arial" w:cs="Arial"/>
          <w:szCs w:val="24"/>
        </w:rPr>
        <w:t xml:space="preserve">This announcement has been prepared in relation to the financial results for the </w:t>
      </w:r>
      <w:r w:rsidR="00A767B9" w:rsidRPr="00977A3C">
        <w:rPr>
          <w:rFonts w:ascii="Arial" w:hAnsi="Arial" w:cs="Arial"/>
          <w:szCs w:val="24"/>
        </w:rPr>
        <w:t xml:space="preserve">Half Year </w:t>
      </w:r>
      <w:r w:rsidRPr="00977A3C">
        <w:rPr>
          <w:rFonts w:ascii="Arial" w:hAnsi="Arial" w:cs="Arial"/>
          <w:szCs w:val="24"/>
        </w:rPr>
        <w:t>ended 31 July 201</w:t>
      </w:r>
      <w:r w:rsidR="00977A3C" w:rsidRPr="00977A3C">
        <w:rPr>
          <w:rFonts w:ascii="Arial" w:hAnsi="Arial" w:cs="Arial"/>
          <w:szCs w:val="24"/>
        </w:rPr>
        <w:t>8</w:t>
      </w:r>
      <w:r w:rsidRPr="00977A3C">
        <w:rPr>
          <w:rFonts w:ascii="Arial" w:hAnsi="Arial" w:cs="Arial"/>
          <w:szCs w:val="24"/>
        </w:rPr>
        <w:t xml:space="preserve">. The financial information referenced in this announcement is not audited and does not contain sufficient detail to allow a full understanding of the results of the </w:t>
      </w:r>
      <w:r w:rsidR="00910D65">
        <w:rPr>
          <w:rFonts w:ascii="Arial" w:hAnsi="Arial" w:cs="Arial"/>
          <w:szCs w:val="24"/>
        </w:rPr>
        <w:t>G</w:t>
      </w:r>
      <w:r w:rsidR="00910D65" w:rsidRPr="00977A3C">
        <w:rPr>
          <w:rFonts w:ascii="Arial" w:hAnsi="Arial" w:cs="Arial"/>
          <w:szCs w:val="24"/>
        </w:rPr>
        <w:t>roup</w:t>
      </w:r>
      <w:r w:rsidRPr="00977A3C">
        <w:rPr>
          <w:rFonts w:ascii="Arial" w:hAnsi="Arial" w:cs="Arial"/>
          <w:szCs w:val="24"/>
        </w:rPr>
        <w:t xml:space="preserve">. Nothing in this announcement should be construed as either an offer or invitation to sell or any offering of securities or any invitation or inducement to any person to underwrite, subscribe for or otherwise acquire securities in any company within the </w:t>
      </w:r>
      <w:r w:rsidR="00910D65">
        <w:rPr>
          <w:rFonts w:ascii="Arial" w:hAnsi="Arial" w:cs="Arial"/>
          <w:szCs w:val="24"/>
        </w:rPr>
        <w:t>G</w:t>
      </w:r>
      <w:r w:rsidR="00910D65" w:rsidRPr="00977A3C">
        <w:rPr>
          <w:rFonts w:ascii="Arial" w:hAnsi="Arial" w:cs="Arial"/>
          <w:szCs w:val="24"/>
        </w:rPr>
        <w:t xml:space="preserve">roup </w:t>
      </w:r>
      <w:r w:rsidRPr="00977A3C">
        <w:rPr>
          <w:rFonts w:ascii="Arial" w:hAnsi="Arial" w:cs="Arial"/>
          <w:szCs w:val="24"/>
        </w:rPr>
        <w:t>or an invitation or inducement to engage in investment activity under section 21 of the Financial Services and Markets Act 2000 (as amended).</w:t>
      </w:r>
    </w:p>
    <w:p w14:paraId="5A9685EA" w14:textId="77777777" w:rsidR="006C3B09" w:rsidRPr="00977A3C" w:rsidRDefault="006C3B09" w:rsidP="006C3B09">
      <w:pPr>
        <w:jc w:val="left"/>
        <w:rPr>
          <w:rFonts w:ascii="Arial" w:hAnsi="Arial" w:cs="Arial"/>
          <w:szCs w:val="24"/>
        </w:rPr>
      </w:pPr>
    </w:p>
    <w:p w14:paraId="5B9C57B8" w14:textId="77777777" w:rsidR="006C3B09" w:rsidRPr="00977A3C" w:rsidRDefault="006C3B09" w:rsidP="006C3B09">
      <w:pPr>
        <w:jc w:val="left"/>
        <w:rPr>
          <w:rFonts w:ascii="Arial" w:hAnsi="Arial" w:cs="Arial"/>
          <w:szCs w:val="24"/>
        </w:rPr>
      </w:pPr>
      <w:r w:rsidRPr="00977A3C">
        <w:rPr>
          <w:rFonts w:ascii="Arial" w:hAnsi="Arial" w:cs="Arial"/>
          <w:szCs w:val="24"/>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global or regional trade conditions, 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17DE1566" w14:textId="77777777" w:rsidR="006C3B09" w:rsidRPr="00977A3C" w:rsidRDefault="006C3B09" w:rsidP="006C3B09">
      <w:pPr>
        <w:jc w:val="left"/>
        <w:rPr>
          <w:rFonts w:ascii="Arial" w:hAnsi="Arial" w:cs="Arial"/>
          <w:szCs w:val="24"/>
        </w:rPr>
      </w:pPr>
    </w:p>
    <w:p w14:paraId="13A61595" w14:textId="6EC78953" w:rsidR="003A298D" w:rsidRPr="00977A3C" w:rsidRDefault="006C3B09" w:rsidP="003A298D">
      <w:pPr>
        <w:jc w:val="left"/>
        <w:rPr>
          <w:rFonts w:ascii="Arial" w:hAnsi="Arial" w:cs="Arial"/>
          <w:szCs w:val="24"/>
        </w:rPr>
      </w:pPr>
      <w:r w:rsidRPr="00977A3C">
        <w:rPr>
          <w:rFonts w:ascii="Arial" w:hAnsi="Arial" w:cs="Arial"/>
          <w:szCs w:val="24"/>
        </w:rPr>
        <w:t>The Company does not undertake any obligation to update or revise any forward-looking statement to reflect any change in circumstances or in the Company's expectations.</w:t>
      </w:r>
    </w:p>
    <w:p w14:paraId="6596C021" w14:textId="77777777" w:rsidR="003A298D" w:rsidRPr="00977A3C" w:rsidRDefault="003A298D" w:rsidP="003A298D">
      <w:pPr>
        <w:spacing w:after="240"/>
        <w:jc w:val="left"/>
        <w:rPr>
          <w:rFonts w:cs="Times New Roman"/>
          <w:szCs w:val="24"/>
        </w:rPr>
      </w:pPr>
    </w:p>
    <w:bookmarkEnd w:id="93"/>
    <w:p w14:paraId="3AE69977" w14:textId="29ACCEE7" w:rsidR="00181E03" w:rsidRPr="00AC598B" w:rsidRDefault="00403B70" w:rsidP="003A298D">
      <w:pPr>
        <w:jc w:val="left"/>
        <w:rPr>
          <w:rFonts w:cs="Times New Roman"/>
          <w:szCs w:val="24"/>
        </w:rPr>
      </w:pPr>
      <w:r>
        <w:rPr>
          <w:rFonts w:cs="Times New Roman"/>
          <w:szCs w:val="24"/>
        </w:rPr>
        <w:t xml:space="preserve"> </w:t>
      </w:r>
    </w:p>
    <w:sectPr w:rsidR="00181E03" w:rsidRPr="00AC598B" w:rsidSect="004C0B61">
      <w:headerReference w:type="default" r:id="rId10"/>
      <w:footerReference w:type="default" r:id="rId11"/>
      <w:type w:val="continuous"/>
      <w:pgSz w:w="11909" w:h="16834" w:code="9"/>
      <w:pgMar w:top="1077" w:right="1021" w:bottom="720" w:left="1021"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0C95" w14:textId="77777777" w:rsidR="00F91A51" w:rsidRDefault="00F91A51">
      <w:pPr>
        <w:rPr>
          <w:rFonts w:cs="Times New Roman"/>
        </w:rPr>
      </w:pPr>
      <w:r>
        <w:rPr>
          <w:rFonts w:cs="Times New Roman"/>
        </w:rPr>
        <w:separator/>
      </w:r>
    </w:p>
  </w:endnote>
  <w:endnote w:type="continuationSeparator" w:id="0">
    <w:p w14:paraId="631BFBCB" w14:textId="77777777" w:rsidR="00F91A51" w:rsidRDefault="00F91A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57898"/>
      <w:docPartObj>
        <w:docPartGallery w:val="Page Numbers (Bottom of Page)"/>
        <w:docPartUnique/>
      </w:docPartObj>
    </w:sdtPr>
    <w:sdtEndPr>
      <w:rPr>
        <w:noProof/>
      </w:rPr>
    </w:sdtEndPr>
    <w:sdtContent>
      <w:p w14:paraId="458AAD36" w14:textId="3CB99819" w:rsidR="00F91A51" w:rsidRDefault="00F91A51">
        <w:pPr>
          <w:pStyle w:val="Footer"/>
          <w:jc w:val="right"/>
        </w:pPr>
        <w:r>
          <w:fldChar w:fldCharType="begin"/>
        </w:r>
        <w:r>
          <w:instrText xml:space="preserve"> PAGE   \* MERGEFORMAT </w:instrText>
        </w:r>
        <w:r>
          <w:fldChar w:fldCharType="separate"/>
        </w:r>
        <w:r w:rsidR="00982E49">
          <w:rPr>
            <w:noProof/>
          </w:rPr>
          <w:t>1</w:t>
        </w:r>
        <w:r>
          <w:rPr>
            <w:noProof/>
          </w:rPr>
          <w:fldChar w:fldCharType="end"/>
        </w:r>
      </w:p>
    </w:sdtContent>
  </w:sdt>
  <w:p w14:paraId="7423D219" w14:textId="77777777" w:rsidR="00F91A51" w:rsidRPr="00930C11" w:rsidRDefault="00F91A51"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C184" w14:textId="77777777" w:rsidR="00F91A51" w:rsidRDefault="00F91A51">
      <w:pPr>
        <w:rPr>
          <w:rFonts w:cs="Times New Roman"/>
        </w:rPr>
      </w:pPr>
      <w:r>
        <w:rPr>
          <w:rFonts w:cs="Times New Roman"/>
        </w:rPr>
        <w:separator/>
      </w:r>
    </w:p>
  </w:footnote>
  <w:footnote w:type="continuationSeparator" w:id="0">
    <w:p w14:paraId="5B14619C" w14:textId="77777777" w:rsidR="00F91A51" w:rsidRDefault="00F91A5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9458" w14:textId="082A93A4" w:rsidR="00F91A51" w:rsidRPr="00341E1C" w:rsidRDefault="00F91A51" w:rsidP="006E1748">
    <w:pPr>
      <w:pStyle w:val="Header"/>
      <w:jc w:val="center"/>
    </w:pPr>
    <w:r>
      <w:rPr>
        <w:noProof/>
      </w:rPr>
      <w:drawing>
        <wp:inline distT="0" distB="0" distL="0" distR="0" wp14:anchorId="7D377ADA" wp14:editId="5FA8AC83">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AA09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241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1E1E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5A04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F45C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6" w15:restartNumberingAfterBreak="0">
    <w:nsid w:val="FFFFFF82"/>
    <w:multiLevelType w:val="singleLevel"/>
    <w:tmpl w:val="5BF2CB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ED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AE77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F6A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404"/>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106264"/>
    <w:multiLevelType w:val="hybridMultilevel"/>
    <w:tmpl w:val="C92C29CE"/>
    <w:lvl w:ilvl="0" w:tplc="21008480">
      <w:start w:val="1"/>
      <w:numFmt w:val="bullet"/>
      <w:lvlText w:val=""/>
      <w:lvlJc w:val="left"/>
      <w:pPr>
        <w:tabs>
          <w:tab w:val="num" w:pos="720"/>
        </w:tabs>
        <w:ind w:left="720" w:hanging="360"/>
      </w:pPr>
      <w:rPr>
        <w:rFonts w:ascii="Wingdings" w:hAnsi="Wingdings" w:hint="default"/>
      </w:rPr>
    </w:lvl>
    <w:lvl w:ilvl="1" w:tplc="965E0032" w:tentative="1">
      <w:start w:val="1"/>
      <w:numFmt w:val="bullet"/>
      <w:lvlText w:val=""/>
      <w:lvlJc w:val="left"/>
      <w:pPr>
        <w:tabs>
          <w:tab w:val="num" w:pos="1440"/>
        </w:tabs>
        <w:ind w:left="1440" w:hanging="360"/>
      </w:pPr>
      <w:rPr>
        <w:rFonts w:ascii="Wingdings" w:hAnsi="Wingdings" w:hint="default"/>
      </w:rPr>
    </w:lvl>
    <w:lvl w:ilvl="2" w:tplc="D546743E" w:tentative="1">
      <w:start w:val="1"/>
      <w:numFmt w:val="bullet"/>
      <w:lvlText w:val=""/>
      <w:lvlJc w:val="left"/>
      <w:pPr>
        <w:tabs>
          <w:tab w:val="num" w:pos="2160"/>
        </w:tabs>
        <w:ind w:left="2160" w:hanging="360"/>
      </w:pPr>
      <w:rPr>
        <w:rFonts w:ascii="Wingdings" w:hAnsi="Wingdings" w:hint="default"/>
      </w:rPr>
    </w:lvl>
    <w:lvl w:ilvl="3" w:tplc="D4EAC0F4" w:tentative="1">
      <w:start w:val="1"/>
      <w:numFmt w:val="bullet"/>
      <w:lvlText w:val=""/>
      <w:lvlJc w:val="left"/>
      <w:pPr>
        <w:tabs>
          <w:tab w:val="num" w:pos="2880"/>
        </w:tabs>
        <w:ind w:left="2880" w:hanging="360"/>
      </w:pPr>
      <w:rPr>
        <w:rFonts w:ascii="Wingdings" w:hAnsi="Wingdings" w:hint="default"/>
      </w:rPr>
    </w:lvl>
    <w:lvl w:ilvl="4" w:tplc="D9F63188" w:tentative="1">
      <w:start w:val="1"/>
      <w:numFmt w:val="bullet"/>
      <w:lvlText w:val=""/>
      <w:lvlJc w:val="left"/>
      <w:pPr>
        <w:tabs>
          <w:tab w:val="num" w:pos="3600"/>
        </w:tabs>
        <w:ind w:left="3600" w:hanging="360"/>
      </w:pPr>
      <w:rPr>
        <w:rFonts w:ascii="Wingdings" w:hAnsi="Wingdings" w:hint="default"/>
      </w:rPr>
    </w:lvl>
    <w:lvl w:ilvl="5" w:tplc="AADC5B32" w:tentative="1">
      <w:start w:val="1"/>
      <w:numFmt w:val="bullet"/>
      <w:lvlText w:val=""/>
      <w:lvlJc w:val="left"/>
      <w:pPr>
        <w:tabs>
          <w:tab w:val="num" w:pos="4320"/>
        </w:tabs>
        <w:ind w:left="4320" w:hanging="360"/>
      </w:pPr>
      <w:rPr>
        <w:rFonts w:ascii="Wingdings" w:hAnsi="Wingdings" w:hint="default"/>
      </w:rPr>
    </w:lvl>
    <w:lvl w:ilvl="6" w:tplc="F260CDB8" w:tentative="1">
      <w:start w:val="1"/>
      <w:numFmt w:val="bullet"/>
      <w:lvlText w:val=""/>
      <w:lvlJc w:val="left"/>
      <w:pPr>
        <w:tabs>
          <w:tab w:val="num" w:pos="5040"/>
        </w:tabs>
        <w:ind w:left="5040" w:hanging="360"/>
      </w:pPr>
      <w:rPr>
        <w:rFonts w:ascii="Wingdings" w:hAnsi="Wingdings" w:hint="default"/>
      </w:rPr>
    </w:lvl>
    <w:lvl w:ilvl="7" w:tplc="8944681E" w:tentative="1">
      <w:start w:val="1"/>
      <w:numFmt w:val="bullet"/>
      <w:lvlText w:val=""/>
      <w:lvlJc w:val="left"/>
      <w:pPr>
        <w:tabs>
          <w:tab w:val="num" w:pos="5760"/>
        </w:tabs>
        <w:ind w:left="5760" w:hanging="360"/>
      </w:pPr>
      <w:rPr>
        <w:rFonts w:ascii="Wingdings" w:hAnsi="Wingdings" w:hint="default"/>
      </w:rPr>
    </w:lvl>
    <w:lvl w:ilvl="8" w:tplc="D4D205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6A77ED"/>
    <w:multiLevelType w:val="hybridMultilevel"/>
    <w:tmpl w:val="FFD65E5A"/>
    <w:lvl w:ilvl="0" w:tplc="31DE82B8">
      <w:start w:val="1"/>
      <w:numFmt w:val="decimal"/>
      <w:lvlText w:val="%1."/>
      <w:lvlJc w:val="left"/>
      <w:pPr>
        <w:tabs>
          <w:tab w:val="num" w:pos="720"/>
        </w:tabs>
        <w:ind w:left="720" w:hanging="360"/>
      </w:pPr>
    </w:lvl>
    <w:lvl w:ilvl="1" w:tplc="39B2CCF8" w:tentative="1">
      <w:start w:val="1"/>
      <w:numFmt w:val="decimal"/>
      <w:lvlText w:val="%2."/>
      <w:lvlJc w:val="left"/>
      <w:pPr>
        <w:tabs>
          <w:tab w:val="num" w:pos="1440"/>
        </w:tabs>
        <w:ind w:left="1440" w:hanging="360"/>
      </w:pPr>
    </w:lvl>
    <w:lvl w:ilvl="2" w:tplc="C0889E46" w:tentative="1">
      <w:start w:val="1"/>
      <w:numFmt w:val="decimal"/>
      <w:lvlText w:val="%3."/>
      <w:lvlJc w:val="left"/>
      <w:pPr>
        <w:tabs>
          <w:tab w:val="num" w:pos="2160"/>
        </w:tabs>
        <w:ind w:left="2160" w:hanging="360"/>
      </w:pPr>
    </w:lvl>
    <w:lvl w:ilvl="3" w:tplc="524A5BAE" w:tentative="1">
      <w:start w:val="1"/>
      <w:numFmt w:val="decimal"/>
      <w:lvlText w:val="%4."/>
      <w:lvlJc w:val="left"/>
      <w:pPr>
        <w:tabs>
          <w:tab w:val="num" w:pos="2880"/>
        </w:tabs>
        <w:ind w:left="2880" w:hanging="360"/>
      </w:pPr>
    </w:lvl>
    <w:lvl w:ilvl="4" w:tplc="7BB89F6A" w:tentative="1">
      <w:start w:val="1"/>
      <w:numFmt w:val="decimal"/>
      <w:lvlText w:val="%5."/>
      <w:lvlJc w:val="left"/>
      <w:pPr>
        <w:tabs>
          <w:tab w:val="num" w:pos="3600"/>
        </w:tabs>
        <w:ind w:left="3600" w:hanging="360"/>
      </w:pPr>
    </w:lvl>
    <w:lvl w:ilvl="5" w:tplc="296A1180" w:tentative="1">
      <w:start w:val="1"/>
      <w:numFmt w:val="decimal"/>
      <w:lvlText w:val="%6."/>
      <w:lvlJc w:val="left"/>
      <w:pPr>
        <w:tabs>
          <w:tab w:val="num" w:pos="4320"/>
        </w:tabs>
        <w:ind w:left="4320" w:hanging="360"/>
      </w:pPr>
    </w:lvl>
    <w:lvl w:ilvl="6" w:tplc="A3183C4E" w:tentative="1">
      <w:start w:val="1"/>
      <w:numFmt w:val="decimal"/>
      <w:lvlText w:val="%7."/>
      <w:lvlJc w:val="left"/>
      <w:pPr>
        <w:tabs>
          <w:tab w:val="num" w:pos="5040"/>
        </w:tabs>
        <w:ind w:left="5040" w:hanging="360"/>
      </w:pPr>
    </w:lvl>
    <w:lvl w:ilvl="7" w:tplc="F63874DA" w:tentative="1">
      <w:start w:val="1"/>
      <w:numFmt w:val="decimal"/>
      <w:lvlText w:val="%8."/>
      <w:lvlJc w:val="left"/>
      <w:pPr>
        <w:tabs>
          <w:tab w:val="num" w:pos="5760"/>
        </w:tabs>
        <w:ind w:left="5760" w:hanging="360"/>
      </w:pPr>
    </w:lvl>
    <w:lvl w:ilvl="8" w:tplc="44E20630" w:tentative="1">
      <w:start w:val="1"/>
      <w:numFmt w:val="decimal"/>
      <w:lvlText w:val="%9."/>
      <w:lvlJc w:val="left"/>
      <w:pPr>
        <w:tabs>
          <w:tab w:val="num" w:pos="6480"/>
        </w:tabs>
        <w:ind w:left="6480" w:hanging="360"/>
      </w:pPr>
    </w:lvl>
  </w:abstractNum>
  <w:abstractNum w:abstractNumId="13" w15:restartNumberingAfterBreak="0">
    <w:nsid w:val="042D6DE8"/>
    <w:multiLevelType w:val="hybridMultilevel"/>
    <w:tmpl w:val="3F84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2F6DCB"/>
    <w:multiLevelType w:val="hybridMultilevel"/>
    <w:tmpl w:val="133E8994"/>
    <w:lvl w:ilvl="0" w:tplc="5F6065B2">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150DA8"/>
    <w:multiLevelType w:val="hybridMultilevel"/>
    <w:tmpl w:val="2B68A0C8"/>
    <w:lvl w:ilvl="0" w:tplc="6010DA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4D6B5F"/>
    <w:multiLevelType w:val="hybridMultilevel"/>
    <w:tmpl w:val="C6C0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0E0D19"/>
    <w:multiLevelType w:val="hybridMultilevel"/>
    <w:tmpl w:val="33E8AE6E"/>
    <w:lvl w:ilvl="0" w:tplc="5C06D814">
      <w:start w:val="1"/>
      <w:numFmt w:val="bullet"/>
      <w:lvlText w:val="•"/>
      <w:lvlJc w:val="left"/>
      <w:pPr>
        <w:tabs>
          <w:tab w:val="num" w:pos="720"/>
        </w:tabs>
        <w:ind w:left="720" w:hanging="360"/>
      </w:pPr>
      <w:rPr>
        <w:rFonts w:ascii="Arial" w:hAnsi="Arial" w:hint="default"/>
      </w:rPr>
    </w:lvl>
    <w:lvl w:ilvl="1" w:tplc="033C5D50" w:tentative="1">
      <w:start w:val="1"/>
      <w:numFmt w:val="bullet"/>
      <w:lvlText w:val="•"/>
      <w:lvlJc w:val="left"/>
      <w:pPr>
        <w:tabs>
          <w:tab w:val="num" w:pos="1440"/>
        </w:tabs>
        <w:ind w:left="1440" w:hanging="360"/>
      </w:pPr>
      <w:rPr>
        <w:rFonts w:ascii="Arial" w:hAnsi="Arial" w:hint="default"/>
      </w:rPr>
    </w:lvl>
    <w:lvl w:ilvl="2" w:tplc="38569E78" w:tentative="1">
      <w:start w:val="1"/>
      <w:numFmt w:val="bullet"/>
      <w:lvlText w:val="•"/>
      <w:lvlJc w:val="left"/>
      <w:pPr>
        <w:tabs>
          <w:tab w:val="num" w:pos="2160"/>
        </w:tabs>
        <w:ind w:left="2160" w:hanging="360"/>
      </w:pPr>
      <w:rPr>
        <w:rFonts w:ascii="Arial" w:hAnsi="Arial" w:hint="default"/>
      </w:rPr>
    </w:lvl>
    <w:lvl w:ilvl="3" w:tplc="F00A72D0" w:tentative="1">
      <w:start w:val="1"/>
      <w:numFmt w:val="bullet"/>
      <w:lvlText w:val="•"/>
      <w:lvlJc w:val="left"/>
      <w:pPr>
        <w:tabs>
          <w:tab w:val="num" w:pos="2880"/>
        </w:tabs>
        <w:ind w:left="2880" w:hanging="360"/>
      </w:pPr>
      <w:rPr>
        <w:rFonts w:ascii="Arial" w:hAnsi="Arial" w:hint="default"/>
      </w:rPr>
    </w:lvl>
    <w:lvl w:ilvl="4" w:tplc="0AB061FA" w:tentative="1">
      <w:start w:val="1"/>
      <w:numFmt w:val="bullet"/>
      <w:lvlText w:val="•"/>
      <w:lvlJc w:val="left"/>
      <w:pPr>
        <w:tabs>
          <w:tab w:val="num" w:pos="3600"/>
        </w:tabs>
        <w:ind w:left="3600" w:hanging="360"/>
      </w:pPr>
      <w:rPr>
        <w:rFonts w:ascii="Arial" w:hAnsi="Arial" w:hint="default"/>
      </w:rPr>
    </w:lvl>
    <w:lvl w:ilvl="5" w:tplc="1548D0C8" w:tentative="1">
      <w:start w:val="1"/>
      <w:numFmt w:val="bullet"/>
      <w:lvlText w:val="•"/>
      <w:lvlJc w:val="left"/>
      <w:pPr>
        <w:tabs>
          <w:tab w:val="num" w:pos="4320"/>
        </w:tabs>
        <w:ind w:left="4320" w:hanging="360"/>
      </w:pPr>
      <w:rPr>
        <w:rFonts w:ascii="Arial" w:hAnsi="Arial" w:hint="default"/>
      </w:rPr>
    </w:lvl>
    <w:lvl w:ilvl="6" w:tplc="33581DD6" w:tentative="1">
      <w:start w:val="1"/>
      <w:numFmt w:val="bullet"/>
      <w:lvlText w:val="•"/>
      <w:lvlJc w:val="left"/>
      <w:pPr>
        <w:tabs>
          <w:tab w:val="num" w:pos="5040"/>
        </w:tabs>
        <w:ind w:left="5040" w:hanging="360"/>
      </w:pPr>
      <w:rPr>
        <w:rFonts w:ascii="Arial" w:hAnsi="Arial" w:hint="default"/>
      </w:rPr>
    </w:lvl>
    <w:lvl w:ilvl="7" w:tplc="F640B056" w:tentative="1">
      <w:start w:val="1"/>
      <w:numFmt w:val="bullet"/>
      <w:lvlText w:val="•"/>
      <w:lvlJc w:val="left"/>
      <w:pPr>
        <w:tabs>
          <w:tab w:val="num" w:pos="5760"/>
        </w:tabs>
        <w:ind w:left="5760" w:hanging="360"/>
      </w:pPr>
      <w:rPr>
        <w:rFonts w:ascii="Arial" w:hAnsi="Arial" w:hint="default"/>
      </w:rPr>
    </w:lvl>
    <w:lvl w:ilvl="8" w:tplc="6D828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C36B01"/>
    <w:multiLevelType w:val="hybridMultilevel"/>
    <w:tmpl w:val="2A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D054F9"/>
    <w:multiLevelType w:val="hybridMultilevel"/>
    <w:tmpl w:val="378C6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45F3C2C"/>
    <w:multiLevelType w:val="hybridMultilevel"/>
    <w:tmpl w:val="2C925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48014C7"/>
    <w:multiLevelType w:val="hybridMultilevel"/>
    <w:tmpl w:val="734211C8"/>
    <w:lvl w:ilvl="0" w:tplc="8806E79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C2135F"/>
    <w:multiLevelType w:val="hybridMultilevel"/>
    <w:tmpl w:val="C90C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FC4C39"/>
    <w:multiLevelType w:val="hybridMultilevel"/>
    <w:tmpl w:val="B8004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D55372"/>
    <w:multiLevelType w:val="hybridMultilevel"/>
    <w:tmpl w:val="1796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92442CC"/>
    <w:multiLevelType w:val="hybridMultilevel"/>
    <w:tmpl w:val="F080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B1E1499"/>
    <w:multiLevelType w:val="hybridMultilevel"/>
    <w:tmpl w:val="BAB8B0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EB2E51"/>
    <w:multiLevelType w:val="hybridMultilevel"/>
    <w:tmpl w:val="1CC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EE38B1"/>
    <w:multiLevelType w:val="hybridMultilevel"/>
    <w:tmpl w:val="59EC1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FDA2A9B"/>
    <w:multiLevelType w:val="hybridMultilevel"/>
    <w:tmpl w:val="9350D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0A76177"/>
    <w:multiLevelType w:val="hybridMultilevel"/>
    <w:tmpl w:val="B53A011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0E5359B"/>
    <w:multiLevelType w:val="hybridMultilevel"/>
    <w:tmpl w:val="82882746"/>
    <w:lvl w:ilvl="0" w:tplc="29669A02">
      <w:start w:val="1"/>
      <w:numFmt w:val="bullet"/>
      <w:lvlText w:val="•"/>
      <w:lvlJc w:val="left"/>
      <w:pPr>
        <w:tabs>
          <w:tab w:val="num" w:pos="720"/>
        </w:tabs>
        <w:ind w:left="720" w:hanging="360"/>
      </w:pPr>
      <w:rPr>
        <w:rFonts w:ascii="Arial" w:hAnsi="Arial" w:hint="default"/>
      </w:rPr>
    </w:lvl>
    <w:lvl w:ilvl="1" w:tplc="ECC00E7E">
      <w:start w:val="1"/>
      <w:numFmt w:val="bullet"/>
      <w:lvlText w:val="•"/>
      <w:lvlJc w:val="left"/>
      <w:pPr>
        <w:tabs>
          <w:tab w:val="num" w:pos="1440"/>
        </w:tabs>
        <w:ind w:left="1440" w:hanging="360"/>
      </w:pPr>
      <w:rPr>
        <w:rFonts w:ascii="Arial" w:hAnsi="Arial" w:hint="default"/>
      </w:rPr>
    </w:lvl>
    <w:lvl w:ilvl="2" w:tplc="683A1004" w:tentative="1">
      <w:start w:val="1"/>
      <w:numFmt w:val="bullet"/>
      <w:lvlText w:val="•"/>
      <w:lvlJc w:val="left"/>
      <w:pPr>
        <w:tabs>
          <w:tab w:val="num" w:pos="2160"/>
        </w:tabs>
        <w:ind w:left="2160" w:hanging="360"/>
      </w:pPr>
      <w:rPr>
        <w:rFonts w:ascii="Arial" w:hAnsi="Arial" w:hint="default"/>
      </w:rPr>
    </w:lvl>
    <w:lvl w:ilvl="3" w:tplc="D730E624" w:tentative="1">
      <w:start w:val="1"/>
      <w:numFmt w:val="bullet"/>
      <w:lvlText w:val="•"/>
      <w:lvlJc w:val="left"/>
      <w:pPr>
        <w:tabs>
          <w:tab w:val="num" w:pos="2880"/>
        </w:tabs>
        <w:ind w:left="2880" w:hanging="360"/>
      </w:pPr>
      <w:rPr>
        <w:rFonts w:ascii="Arial" w:hAnsi="Arial" w:hint="default"/>
      </w:rPr>
    </w:lvl>
    <w:lvl w:ilvl="4" w:tplc="7A7692B0" w:tentative="1">
      <w:start w:val="1"/>
      <w:numFmt w:val="bullet"/>
      <w:lvlText w:val="•"/>
      <w:lvlJc w:val="left"/>
      <w:pPr>
        <w:tabs>
          <w:tab w:val="num" w:pos="3600"/>
        </w:tabs>
        <w:ind w:left="3600" w:hanging="360"/>
      </w:pPr>
      <w:rPr>
        <w:rFonts w:ascii="Arial" w:hAnsi="Arial" w:hint="default"/>
      </w:rPr>
    </w:lvl>
    <w:lvl w:ilvl="5" w:tplc="035AFF02" w:tentative="1">
      <w:start w:val="1"/>
      <w:numFmt w:val="bullet"/>
      <w:lvlText w:val="•"/>
      <w:lvlJc w:val="left"/>
      <w:pPr>
        <w:tabs>
          <w:tab w:val="num" w:pos="4320"/>
        </w:tabs>
        <w:ind w:left="4320" w:hanging="360"/>
      </w:pPr>
      <w:rPr>
        <w:rFonts w:ascii="Arial" w:hAnsi="Arial" w:hint="default"/>
      </w:rPr>
    </w:lvl>
    <w:lvl w:ilvl="6" w:tplc="A7586CC2" w:tentative="1">
      <w:start w:val="1"/>
      <w:numFmt w:val="bullet"/>
      <w:lvlText w:val="•"/>
      <w:lvlJc w:val="left"/>
      <w:pPr>
        <w:tabs>
          <w:tab w:val="num" w:pos="5040"/>
        </w:tabs>
        <w:ind w:left="5040" w:hanging="360"/>
      </w:pPr>
      <w:rPr>
        <w:rFonts w:ascii="Arial" w:hAnsi="Arial" w:hint="default"/>
      </w:rPr>
    </w:lvl>
    <w:lvl w:ilvl="7" w:tplc="CE9CC640" w:tentative="1">
      <w:start w:val="1"/>
      <w:numFmt w:val="bullet"/>
      <w:lvlText w:val="•"/>
      <w:lvlJc w:val="left"/>
      <w:pPr>
        <w:tabs>
          <w:tab w:val="num" w:pos="5760"/>
        </w:tabs>
        <w:ind w:left="5760" w:hanging="360"/>
      </w:pPr>
      <w:rPr>
        <w:rFonts w:ascii="Arial" w:hAnsi="Arial" w:hint="default"/>
      </w:rPr>
    </w:lvl>
    <w:lvl w:ilvl="8" w:tplc="16E6F6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D4619F"/>
    <w:multiLevelType w:val="hybridMultilevel"/>
    <w:tmpl w:val="33CA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BE61CD"/>
    <w:multiLevelType w:val="hybridMultilevel"/>
    <w:tmpl w:val="84D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324A67"/>
    <w:multiLevelType w:val="hybridMultilevel"/>
    <w:tmpl w:val="98B4B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EF1F3F"/>
    <w:multiLevelType w:val="hybridMultilevel"/>
    <w:tmpl w:val="C30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6B72F5"/>
    <w:multiLevelType w:val="hybridMultilevel"/>
    <w:tmpl w:val="E4C6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8555B0"/>
    <w:multiLevelType w:val="hybridMultilevel"/>
    <w:tmpl w:val="2D405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EAE7997"/>
    <w:multiLevelType w:val="hybridMultilevel"/>
    <w:tmpl w:val="EA78A52C"/>
    <w:lvl w:ilvl="0" w:tplc="882C9C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FE52A26"/>
    <w:multiLevelType w:val="hybridMultilevel"/>
    <w:tmpl w:val="E0B40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AD097F"/>
    <w:multiLevelType w:val="hybridMultilevel"/>
    <w:tmpl w:val="189E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A35FB"/>
    <w:multiLevelType w:val="hybridMultilevel"/>
    <w:tmpl w:val="1A24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BF2BAD"/>
    <w:multiLevelType w:val="hybridMultilevel"/>
    <w:tmpl w:val="AD2638EA"/>
    <w:lvl w:ilvl="0" w:tplc="801A0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70C06D6"/>
    <w:multiLevelType w:val="hybridMultilevel"/>
    <w:tmpl w:val="6DF8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A37218"/>
    <w:multiLevelType w:val="hybridMultilevel"/>
    <w:tmpl w:val="8DF6B16E"/>
    <w:lvl w:ilvl="0" w:tplc="360A9410">
      <w:start w:val="1"/>
      <w:numFmt w:val="bullet"/>
      <w:lvlText w:val="•"/>
      <w:lvlJc w:val="left"/>
      <w:pPr>
        <w:tabs>
          <w:tab w:val="num" w:pos="720"/>
        </w:tabs>
        <w:ind w:left="720" w:hanging="360"/>
      </w:pPr>
      <w:rPr>
        <w:rFonts w:ascii="Arial" w:hAnsi="Arial" w:hint="default"/>
      </w:rPr>
    </w:lvl>
    <w:lvl w:ilvl="1" w:tplc="D00AB86C" w:tentative="1">
      <w:start w:val="1"/>
      <w:numFmt w:val="bullet"/>
      <w:lvlText w:val="•"/>
      <w:lvlJc w:val="left"/>
      <w:pPr>
        <w:tabs>
          <w:tab w:val="num" w:pos="1440"/>
        </w:tabs>
        <w:ind w:left="1440" w:hanging="360"/>
      </w:pPr>
      <w:rPr>
        <w:rFonts w:ascii="Arial" w:hAnsi="Arial" w:hint="default"/>
      </w:rPr>
    </w:lvl>
    <w:lvl w:ilvl="2" w:tplc="AA809D30" w:tentative="1">
      <w:start w:val="1"/>
      <w:numFmt w:val="bullet"/>
      <w:lvlText w:val="•"/>
      <w:lvlJc w:val="left"/>
      <w:pPr>
        <w:tabs>
          <w:tab w:val="num" w:pos="2160"/>
        </w:tabs>
        <w:ind w:left="2160" w:hanging="360"/>
      </w:pPr>
      <w:rPr>
        <w:rFonts w:ascii="Arial" w:hAnsi="Arial" w:hint="default"/>
      </w:rPr>
    </w:lvl>
    <w:lvl w:ilvl="3" w:tplc="CF7A188C" w:tentative="1">
      <w:start w:val="1"/>
      <w:numFmt w:val="bullet"/>
      <w:lvlText w:val="•"/>
      <w:lvlJc w:val="left"/>
      <w:pPr>
        <w:tabs>
          <w:tab w:val="num" w:pos="2880"/>
        </w:tabs>
        <w:ind w:left="2880" w:hanging="360"/>
      </w:pPr>
      <w:rPr>
        <w:rFonts w:ascii="Arial" w:hAnsi="Arial" w:hint="default"/>
      </w:rPr>
    </w:lvl>
    <w:lvl w:ilvl="4" w:tplc="0592018A" w:tentative="1">
      <w:start w:val="1"/>
      <w:numFmt w:val="bullet"/>
      <w:lvlText w:val="•"/>
      <w:lvlJc w:val="left"/>
      <w:pPr>
        <w:tabs>
          <w:tab w:val="num" w:pos="3600"/>
        </w:tabs>
        <w:ind w:left="3600" w:hanging="360"/>
      </w:pPr>
      <w:rPr>
        <w:rFonts w:ascii="Arial" w:hAnsi="Arial" w:hint="default"/>
      </w:rPr>
    </w:lvl>
    <w:lvl w:ilvl="5" w:tplc="6D164E28" w:tentative="1">
      <w:start w:val="1"/>
      <w:numFmt w:val="bullet"/>
      <w:lvlText w:val="•"/>
      <w:lvlJc w:val="left"/>
      <w:pPr>
        <w:tabs>
          <w:tab w:val="num" w:pos="4320"/>
        </w:tabs>
        <w:ind w:left="4320" w:hanging="360"/>
      </w:pPr>
      <w:rPr>
        <w:rFonts w:ascii="Arial" w:hAnsi="Arial" w:hint="default"/>
      </w:rPr>
    </w:lvl>
    <w:lvl w:ilvl="6" w:tplc="AAA4E6CC" w:tentative="1">
      <w:start w:val="1"/>
      <w:numFmt w:val="bullet"/>
      <w:lvlText w:val="•"/>
      <w:lvlJc w:val="left"/>
      <w:pPr>
        <w:tabs>
          <w:tab w:val="num" w:pos="5040"/>
        </w:tabs>
        <w:ind w:left="5040" w:hanging="360"/>
      </w:pPr>
      <w:rPr>
        <w:rFonts w:ascii="Arial" w:hAnsi="Arial" w:hint="default"/>
      </w:rPr>
    </w:lvl>
    <w:lvl w:ilvl="7" w:tplc="DF2AD0F6" w:tentative="1">
      <w:start w:val="1"/>
      <w:numFmt w:val="bullet"/>
      <w:lvlText w:val="•"/>
      <w:lvlJc w:val="left"/>
      <w:pPr>
        <w:tabs>
          <w:tab w:val="num" w:pos="5760"/>
        </w:tabs>
        <w:ind w:left="5760" w:hanging="360"/>
      </w:pPr>
      <w:rPr>
        <w:rFonts w:ascii="Arial" w:hAnsi="Arial" w:hint="default"/>
      </w:rPr>
    </w:lvl>
    <w:lvl w:ilvl="8" w:tplc="1BA880C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8E90545"/>
    <w:multiLevelType w:val="hybridMultilevel"/>
    <w:tmpl w:val="08B0C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9675C19"/>
    <w:multiLevelType w:val="hybridMultilevel"/>
    <w:tmpl w:val="EDB60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9EE1A4A"/>
    <w:multiLevelType w:val="hybridMultilevel"/>
    <w:tmpl w:val="658C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A88392C"/>
    <w:multiLevelType w:val="hybridMultilevel"/>
    <w:tmpl w:val="FE1E5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B32381D"/>
    <w:multiLevelType w:val="hybridMultilevel"/>
    <w:tmpl w:val="CD6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4F5960"/>
    <w:multiLevelType w:val="hybridMultilevel"/>
    <w:tmpl w:val="2940D406"/>
    <w:lvl w:ilvl="0" w:tplc="08090001">
      <w:start w:val="1"/>
      <w:numFmt w:val="bullet"/>
      <w:lvlText w:val=""/>
      <w:lvlJc w:val="left"/>
      <w:pPr>
        <w:ind w:left="720" w:hanging="360"/>
      </w:pPr>
      <w:rPr>
        <w:rFonts w:ascii="Symbol" w:hAnsi="Symbo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BE6105"/>
    <w:multiLevelType w:val="hybridMultilevel"/>
    <w:tmpl w:val="C8A88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E33A7A"/>
    <w:multiLevelType w:val="hybridMultilevel"/>
    <w:tmpl w:val="ED86DA54"/>
    <w:lvl w:ilvl="0" w:tplc="E8826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044D9E"/>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0000FF6"/>
    <w:multiLevelType w:val="hybridMultilevel"/>
    <w:tmpl w:val="088C6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25B56CD"/>
    <w:multiLevelType w:val="hybridMultilevel"/>
    <w:tmpl w:val="4830D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35C67CE"/>
    <w:multiLevelType w:val="hybridMultilevel"/>
    <w:tmpl w:val="17EE54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1452FE"/>
    <w:multiLevelType w:val="hybridMultilevel"/>
    <w:tmpl w:val="565E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51E573B"/>
    <w:multiLevelType w:val="hybridMultilevel"/>
    <w:tmpl w:val="7BEE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1372E7"/>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83447BD"/>
    <w:multiLevelType w:val="hybridMultilevel"/>
    <w:tmpl w:val="E41A48BE"/>
    <w:lvl w:ilvl="0" w:tplc="8C88B2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5" w15:restartNumberingAfterBreak="0">
    <w:nsid w:val="48F81838"/>
    <w:multiLevelType w:val="hybridMultilevel"/>
    <w:tmpl w:val="C130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4F1D7F"/>
    <w:multiLevelType w:val="hybridMultilevel"/>
    <w:tmpl w:val="7E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A6548F"/>
    <w:multiLevelType w:val="hybridMultilevel"/>
    <w:tmpl w:val="7910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3167AF"/>
    <w:multiLevelType w:val="multilevel"/>
    <w:tmpl w:val="06F05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F803A5C"/>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12003E0"/>
    <w:multiLevelType w:val="hybridMultilevel"/>
    <w:tmpl w:val="EE82A3BC"/>
    <w:lvl w:ilvl="0" w:tplc="DE1ED0F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26F34D4"/>
    <w:multiLevelType w:val="hybridMultilevel"/>
    <w:tmpl w:val="3C642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5A61864"/>
    <w:multiLevelType w:val="hybridMultilevel"/>
    <w:tmpl w:val="0F36DEAC"/>
    <w:lvl w:ilvl="0" w:tplc="E820BD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61E0A65"/>
    <w:multiLevelType w:val="hybridMultilevel"/>
    <w:tmpl w:val="724C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692612D"/>
    <w:multiLevelType w:val="hybridMultilevel"/>
    <w:tmpl w:val="76E4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7" w15:restartNumberingAfterBreak="0">
    <w:nsid w:val="57326D66"/>
    <w:multiLevelType w:val="hybridMultilevel"/>
    <w:tmpl w:val="4144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643212"/>
    <w:multiLevelType w:val="hybridMultilevel"/>
    <w:tmpl w:val="416ACE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8823DC3"/>
    <w:multiLevelType w:val="hybridMultilevel"/>
    <w:tmpl w:val="37A2A2D8"/>
    <w:lvl w:ilvl="0" w:tplc="E578C244">
      <w:start w:val="1"/>
      <w:numFmt w:val="decimal"/>
      <w:lvlText w:val="%1."/>
      <w:lvlJc w:val="left"/>
      <w:pPr>
        <w:ind w:left="360" w:hanging="360"/>
      </w:pPr>
      <w:rPr>
        <w:rFonts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80" w15:restartNumberingAfterBreak="0">
    <w:nsid w:val="59A55947"/>
    <w:multiLevelType w:val="hybridMultilevel"/>
    <w:tmpl w:val="836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D670A12"/>
    <w:multiLevelType w:val="hybridMultilevel"/>
    <w:tmpl w:val="E580F74C"/>
    <w:lvl w:ilvl="0" w:tplc="E1784E96">
      <w:start w:val="1"/>
      <w:numFmt w:val="bullet"/>
      <w:lvlText w:val="•"/>
      <w:lvlJc w:val="left"/>
      <w:pPr>
        <w:tabs>
          <w:tab w:val="num" w:pos="720"/>
        </w:tabs>
        <w:ind w:left="720" w:hanging="360"/>
      </w:pPr>
      <w:rPr>
        <w:rFonts w:ascii="Arial" w:hAnsi="Arial" w:hint="default"/>
      </w:rPr>
    </w:lvl>
    <w:lvl w:ilvl="1" w:tplc="3C2CC39C">
      <w:start w:val="1"/>
      <w:numFmt w:val="bullet"/>
      <w:lvlText w:val="•"/>
      <w:lvlJc w:val="left"/>
      <w:pPr>
        <w:tabs>
          <w:tab w:val="num" w:pos="1440"/>
        </w:tabs>
        <w:ind w:left="1440" w:hanging="360"/>
      </w:pPr>
      <w:rPr>
        <w:rFonts w:ascii="Arial" w:hAnsi="Arial" w:hint="default"/>
      </w:rPr>
    </w:lvl>
    <w:lvl w:ilvl="2" w:tplc="D1B8F52E">
      <w:start w:val="49"/>
      <w:numFmt w:val="bullet"/>
      <w:lvlText w:val="•"/>
      <w:lvlJc w:val="left"/>
      <w:pPr>
        <w:tabs>
          <w:tab w:val="num" w:pos="2160"/>
        </w:tabs>
        <w:ind w:left="2160" w:hanging="360"/>
      </w:pPr>
      <w:rPr>
        <w:rFonts w:ascii="Arial" w:hAnsi="Arial" w:hint="default"/>
      </w:rPr>
    </w:lvl>
    <w:lvl w:ilvl="3" w:tplc="A488880A">
      <w:start w:val="49"/>
      <w:numFmt w:val="bullet"/>
      <w:lvlText w:val="•"/>
      <w:lvlJc w:val="left"/>
      <w:pPr>
        <w:tabs>
          <w:tab w:val="num" w:pos="2880"/>
        </w:tabs>
        <w:ind w:left="2880" w:hanging="360"/>
      </w:pPr>
      <w:rPr>
        <w:rFonts w:ascii="Arial" w:hAnsi="Arial" w:hint="default"/>
      </w:rPr>
    </w:lvl>
    <w:lvl w:ilvl="4" w:tplc="4CCECCF8" w:tentative="1">
      <w:start w:val="1"/>
      <w:numFmt w:val="bullet"/>
      <w:lvlText w:val="•"/>
      <w:lvlJc w:val="left"/>
      <w:pPr>
        <w:tabs>
          <w:tab w:val="num" w:pos="3600"/>
        </w:tabs>
        <w:ind w:left="3600" w:hanging="360"/>
      </w:pPr>
      <w:rPr>
        <w:rFonts w:ascii="Arial" w:hAnsi="Arial" w:hint="default"/>
      </w:rPr>
    </w:lvl>
    <w:lvl w:ilvl="5" w:tplc="C7CA2988" w:tentative="1">
      <w:start w:val="1"/>
      <w:numFmt w:val="bullet"/>
      <w:lvlText w:val="•"/>
      <w:lvlJc w:val="left"/>
      <w:pPr>
        <w:tabs>
          <w:tab w:val="num" w:pos="4320"/>
        </w:tabs>
        <w:ind w:left="4320" w:hanging="360"/>
      </w:pPr>
      <w:rPr>
        <w:rFonts w:ascii="Arial" w:hAnsi="Arial" w:hint="default"/>
      </w:rPr>
    </w:lvl>
    <w:lvl w:ilvl="6" w:tplc="A516E890" w:tentative="1">
      <w:start w:val="1"/>
      <w:numFmt w:val="bullet"/>
      <w:lvlText w:val="•"/>
      <w:lvlJc w:val="left"/>
      <w:pPr>
        <w:tabs>
          <w:tab w:val="num" w:pos="5040"/>
        </w:tabs>
        <w:ind w:left="5040" w:hanging="360"/>
      </w:pPr>
      <w:rPr>
        <w:rFonts w:ascii="Arial" w:hAnsi="Arial" w:hint="default"/>
      </w:rPr>
    </w:lvl>
    <w:lvl w:ilvl="7" w:tplc="9AA080D2" w:tentative="1">
      <w:start w:val="1"/>
      <w:numFmt w:val="bullet"/>
      <w:lvlText w:val="•"/>
      <w:lvlJc w:val="left"/>
      <w:pPr>
        <w:tabs>
          <w:tab w:val="num" w:pos="5760"/>
        </w:tabs>
        <w:ind w:left="5760" w:hanging="360"/>
      </w:pPr>
      <w:rPr>
        <w:rFonts w:ascii="Arial" w:hAnsi="Arial" w:hint="default"/>
      </w:rPr>
    </w:lvl>
    <w:lvl w:ilvl="8" w:tplc="8532435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DD92096"/>
    <w:multiLevelType w:val="hybridMultilevel"/>
    <w:tmpl w:val="B6D8E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F1A365A"/>
    <w:multiLevelType w:val="hybridMultilevel"/>
    <w:tmpl w:val="BB044230"/>
    <w:lvl w:ilvl="0" w:tplc="650C128A">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62301D28"/>
    <w:multiLevelType w:val="hybridMultilevel"/>
    <w:tmpl w:val="98B0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6F46E15"/>
    <w:multiLevelType w:val="hybridMultilevel"/>
    <w:tmpl w:val="C5CEF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67481386"/>
    <w:multiLevelType w:val="hybridMultilevel"/>
    <w:tmpl w:val="EDB60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75566E9"/>
    <w:multiLevelType w:val="hybridMultilevel"/>
    <w:tmpl w:val="AA7C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80304C2"/>
    <w:multiLevelType w:val="hybridMultilevel"/>
    <w:tmpl w:val="580C4636"/>
    <w:lvl w:ilvl="0" w:tplc="D4F0A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80A04AE"/>
    <w:multiLevelType w:val="hybridMultilevel"/>
    <w:tmpl w:val="7A743BBE"/>
    <w:lvl w:ilvl="0" w:tplc="600079A8">
      <w:start w:val="1"/>
      <w:numFmt w:val="bullet"/>
      <w:lvlText w:val=""/>
      <w:lvlJc w:val="left"/>
      <w:pPr>
        <w:tabs>
          <w:tab w:val="num" w:pos="720"/>
        </w:tabs>
        <w:ind w:left="720" w:hanging="360"/>
      </w:pPr>
      <w:rPr>
        <w:rFonts w:ascii="Wingdings" w:hAnsi="Wingdings" w:hint="default"/>
      </w:rPr>
    </w:lvl>
    <w:lvl w:ilvl="1" w:tplc="B0CCF282">
      <w:start w:val="1"/>
      <w:numFmt w:val="bullet"/>
      <w:lvlText w:val=""/>
      <w:lvlJc w:val="left"/>
      <w:pPr>
        <w:tabs>
          <w:tab w:val="num" w:pos="1440"/>
        </w:tabs>
        <w:ind w:left="1440" w:hanging="360"/>
      </w:pPr>
      <w:rPr>
        <w:rFonts w:ascii="Wingdings" w:hAnsi="Wingdings" w:hint="default"/>
      </w:rPr>
    </w:lvl>
    <w:lvl w:ilvl="2" w:tplc="F022F782" w:tentative="1">
      <w:start w:val="1"/>
      <w:numFmt w:val="bullet"/>
      <w:lvlText w:val=""/>
      <w:lvlJc w:val="left"/>
      <w:pPr>
        <w:tabs>
          <w:tab w:val="num" w:pos="2160"/>
        </w:tabs>
        <w:ind w:left="2160" w:hanging="360"/>
      </w:pPr>
      <w:rPr>
        <w:rFonts w:ascii="Wingdings" w:hAnsi="Wingdings" w:hint="default"/>
      </w:rPr>
    </w:lvl>
    <w:lvl w:ilvl="3" w:tplc="BF98CEFC" w:tentative="1">
      <w:start w:val="1"/>
      <w:numFmt w:val="bullet"/>
      <w:lvlText w:val=""/>
      <w:lvlJc w:val="left"/>
      <w:pPr>
        <w:tabs>
          <w:tab w:val="num" w:pos="2880"/>
        </w:tabs>
        <w:ind w:left="2880" w:hanging="360"/>
      </w:pPr>
      <w:rPr>
        <w:rFonts w:ascii="Wingdings" w:hAnsi="Wingdings" w:hint="default"/>
      </w:rPr>
    </w:lvl>
    <w:lvl w:ilvl="4" w:tplc="19BA3BC2" w:tentative="1">
      <w:start w:val="1"/>
      <w:numFmt w:val="bullet"/>
      <w:lvlText w:val=""/>
      <w:lvlJc w:val="left"/>
      <w:pPr>
        <w:tabs>
          <w:tab w:val="num" w:pos="3600"/>
        </w:tabs>
        <w:ind w:left="3600" w:hanging="360"/>
      </w:pPr>
      <w:rPr>
        <w:rFonts w:ascii="Wingdings" w:hAnsi="Wingdings" w:hint="default"/>
      </w:rPr>
    </w:lvl>
    <w:lvl w:ilvl="5" w:tplc="01ACA206" w:tentative="1">
      <w:start w:val="1"/>
      <w:numFmt w:val="bullet"/>
      <w:lvlText w:val=""/>
      <w:lvlJc w:val="left"/>
      <w:pPr>
        <w:tabs>
          <w:tab w:val="num" w:pos="4320"/>
        </w:tabs>
        <w:ind w:left="4320" w:hanging="360"/>
      </w:pPr>
      <w:rPr>
        <w:rFonts w:ascii="Wingdings" w:hAnsi="Wingdings" w:hint="default"/>
      </w:rPr>
    </w:lvl>
    <w:lvl w:ilvl="6" w:tplc="446EAD1E" w:tentative="1">
      <w:start w:val="1"/>
      <w:numFmt w:val="bullet"/>
      <w:lvlText w:val=""/>
      <w:lvlJc w:val="left"/>
      <w:pPr>
        <w:tabs>
          <w:tab w:val="num" w:pos="5040"/>
        </w:tabs>
        <w:ind w:left="5040" w:hanging="360"/>
      </w:pPr>
      <w:rPr>
        <w:rFonts w:ascii="Wingdings" w:hAnsi="Wingdings" w:hint="default"/>
      </w:rPr>
    </w:lvl>
    <w:lvl w:ilvl="7" w:tplc="DEC820F4" w:tentative="1">
      <w:start w:val="1"/>
      <w:numFmt w:val="bullet"/>
      <w:lvlText w:val=""/>
      <w:lvlJc w:val="left"/>
      <w:pPr>
        <w:tabs>
          <w:tab w:val="num" w:pos="5760"/>
        </w:tabs>
        <w:ind w:left="5760" w:hanging="360"/>
      </w:pPr>
      <w:rPr>
        <w:rFonts w:ascii="Wingdings" w:hAnsi="Wingdings" w:hint="default"/>
      </w:rPr>
    </w:lvl>
    <w:lvl w:ilvl="8" w:tplc="8224343E"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746B20"/>
    <w:multiLevelType w:val="hybridMultilevel"/>
    <w:tmpl w:val="928C90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8B005C1"/>
    <w:multiLevelType w:val="hybridMultilevel"/>
    <w:tmpl w:val="C206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6F7D67"/>
    <w:multiLevelType w:val="hybridMultilevel"/>
    <w:tmpl w:val="64FA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AD778AD"/>
    <w:multiLevelType w:val="hybridMultilevel"/>
    <w:tmpl w:val="C8A88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2C35CC"/>
    <w:multiLevelType w:val="hybridMultilevel"/>
    <w:tmpl w:val="21AC382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6" w15:restartNumberingAfterBreak="0">
    <w:nsid w:val="6B5E4057"/>
    <w:multiLevelType w:val="hybridMultilevel"/>
    <w:tmpl w:val="AD2638EA"/>
    <w:lvl w:ilvl="0" w:tplc="801A0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C647F83"/>
    <w:multiLevelType w:val="hybridMultilevel"/>
    <w:tmpl w:val="AD2638EA"/>
    <w:lvl w:ilvl="0" w:tplc="801A0D8A">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8" w15:restartNumberingAfterBreak="0">
    <w:nsid w:val="70A35E6F"/>
    <w:multiLevelType w:val="hybridMultilevel"/>
    <w:tmpl w:val="3C642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4802F44"/>
    <w:multiLevelType w:val="hybridMultilevel"/>
    <w:tmpl w:val="F9C0D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5CA07E4"/>
    <w:multiLevelType w:val="hybridMultilevel"/>
    <w:tmpl w:val="CE0A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6E164B8"/>
    <w:multiLevelType w:val="hybridMultilevel"/>
    <w:tmpl w:val="EE2A531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AA02A09"/>
    <w:multiLevelType w:val="hybridMultilevel"/>
    <w:tmpl w:val="B526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512058"/>
    <w:multiLevelType w:val="hybridMultilevel"/>
    <w:tmpl w:val="EDB60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DD05AAC"/>
    <w:multiLevelType w:val="hybridMultilevel"/>
    <w:tmpl w:val="835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34"/>
  </w:num>
  <w:num w:numId="3">
    <w:abstractNumId w:val="5"/>
  </w:num>
  <w:num w:numId="4">
    <w:abstractNumId w:val="19"/>
  </w:num>
  <w:num w:numId="5">
    <w:abstractNumId w:val="104"/>
  </w:num>
  <w:num w:numId="6">
    <w:abstractNumId w:val="12"/>
  </w:num>
  <w:num w:numId="7">
    <w:abstractNumId w:val="41"/>
  </w:num>
  <w:num w:numId="8">
    <w:abstractNumId w:val="37"/>
  </w:num>
  <w:num w:numId="9">
    <w:abstractNumId w:val="53"/>
  </w:num>
  <w:num w:numId="10">
    <w:abstractNumId w:val="84"/>
  </w:num>
  <w:num w:numId="11">
    <w:abstractNumId w:val="64"/>
  </w:num>
  <w:num w:numId="12">
    <w:abstractNumId w:val="46"/>
  </w:num>
  <w:num w:numId="13">
    <w:abstractNumId w:val="24"/>
  </w:num>
  <w:num w:numId="14">
    <w:abstractNumId w:val="20"/>
  </w:num>
  <w:num w:numId="15">
    <w:abstractNumId w:val="25"/>
  </w:num>
  <w:num w:numId="16">
    <w:abstractNumId w:val="11"/>
  </w:num>
  <w:num w:numId="17">
    <w:abstractNumId w:val="86"/>
  </w:num>
  <w:num w:numId="18">
    <w:abstractNumId w:val="80"/>
  </w:num>
  <w:num w:numId="19">
    <w:abstractNumId w:val="51"/>
  </w:num>
  <w:num w:numId="20">
    <w:abstractNumId w:val="78"/>
  </w:num>
  <w:num w:numId="21">
    <w:abstractNumId w:val="33"/>
  </w:num>
  <w:num w:numId="22">
    <w:abstractNumId w:val="81"/>
  </w:num>
  <w:num w:numId="23">
    <w:abstractNumId w:val="23"/>
  </w:num>
  <w:num w:numId="24">
    <w:abstractNumId w:val="101"/>
  </w:num>
  <w:num w:numId="25">
    <w:abstractNumId w:val="65"/>
  </w:num>
  <w:num w:numId="26">
    <w:abstractNumId w:val="36"/>
  </w:num>
  <w:num w:numId="27">
    <w:abstractNumId w:val="90"/>
  </w:num>
  <w:num w:numId="28">
    <w:abstractNumId w:val="91"/>
  </w:num>
  <w:num w:numId="29">
    <w:abstractNumId w:val="27"/>
  </w:num>
  <w:num w:numId="30">
    <w:abstractNumId w:val="74"/>
  </w:num>
  <w:num w:numId="31">
    <w:abstractNumId w:val="14"/>
  </w:num>
  <w:num w:numId="32">
    <w:abstractNumId w:val="93"/>
  </w:num>
  <w:num w:numId="33">
    <w:abstractNumId w:val="30"/>
  </w:num>
  <w:num w:numId="34">
    <w:abstractNumId w:val="49"/>
  </w:num>
  <w:num w:numId="35">
    <w:abstractNumId w:val="57"/>
  </w:num>
  <w:num w:numId="36">
    <w:abstractNumId w:val="40"/>
  </w:num>
  <w:num w:numId="37">
    <w:abstractNumId w:val="54"/>
  </w:num>
  <w:num w:numId="38">
    <w:abstractNumId w:val="97"/>
  </w:num>
  <w:num w:numId="39">
    <w:abstractNumId w:val="96"/>
  </w:num>
  <w:num w:numId="40">
    <w:abstractNumId w:val="21"/>
  </w:num>
  <w:num w:numId="41">
    <w:abstractNumId w:val="89"/>
  </w:num>
  <w:num w:numId="42">
    <w:abstractNumId w:val="10"/>
  </w:num>
  <w:num w:numId="43">
    <w:abstractNumId w:val="42"/>
  </w:num>
  <w:num w:numId="44">
    <w:abstractNumId w:val="62"/>
  </w:num>
  <w:num w:numId="45">
    <w:abstractNumId w:val="56"/>
  </w:num>
  <w:num w:numId="46">
    <w:abstractNumId w:val="70"/>
  </w:num>
  <w:num w:numId="47">
    <w:abstractNumId w:val="55"/>
  </w:num>
  <w:num w:numId="48">
    <w:abstractNumId w:val="63"/>
  </w:num>
  <w:num w:numId="49">
    <w:abstractNumId w:val="73"/>
  </w:num>
  <w:num w:numId="50">
    <w:abstractNumId w:val="94"/>
  </w:num>
  <w:num w:numId="51">
    <w:abstractNumId w:val="83"/>
  </w:num>
  <w:num w:numId="52">
    <w:abstractNumId w:val="16"/>
  </w:num>
  <w:num w:numId="53">
    <w:abstractNumId w:val="32"/>
  </w:num>
  <w:num w:numId="54">
    <w:abstractNumId w:val="19"/>
  </w:num>
  <w:num w:numId="55">
    <w:abstractNumId w:val="98"/>
  </w:num>
  <w:num w:numId="56">
    <w:abstractNumId w:val="47"/>
  </w:num>
  <w:num w:numId="57">
    <w:abstractNumId w:val="69"/>
  </w:num>
  <w:num w:numId="58">
    <w:abstractNumId w:val="87"/>
  </w:num>
  <w:num w:numId="59">
    <w:abstractNumId w:val="103"/>
  </w:num>
  <w:num w:numId="60">
    <w:abstractNumId w:val="28"/>
  </w:num>
  <w:num w:numId="61">
    <w:abstractNumId w:val="75"/>
  </w:num>
  <w:num w:numId="62">
    <w:abstractNumId w:val="59"/>
  </w:num>
  <w:num w:numId="63">
    <w:abstractNumId w:val="45"/>
  </w:num>
  <w:num w:numId="64">
    <w:abstractNumId w:val="72"/>
  </w:num>
  <w:num w:numId="65">
    <w:abstractNumId w:val="50"/>
  </w:num>
  <w:num w:numId="66">
    <w:abstractNumId w:val="79"/>
  </w:num>
  <w:num w:numId="67">
    <w:abstractNumId w:val="68"/>
  </w:num>
  <w:num w:numId="68">
    <w:abstractNumId w:val="13"/>
  </w:num>
  <w:num w:numId="69">
    <w:abstractNumId w:val="58"/>
  </w:num>
  <w:num w:numId="70">
    <w:abstractNumId w:val="44"/>
  </w:num>
  <w:num w:numId="71">
    <w:abstractNumId w:val="15"/>
  </w:num>
  <w:num w:numId="72">
    <w:abstractNumId w:val="22"/>
  </w:num>
  <w:num w:numId="73">
    <w:abstractNumId w:val="31"/>
  </w:num>
  <w:num w:numId="74">
    <w:abstractNumId w:val="99"/>
  </w:num>
  <w:num w:numId="75">
    <w:abstractNumId w:val="18"/>
  </w:num>
  <w:num w:numId="76">
    <w:abstractNumId w:val="82"/>
  </w:num>
  <w:num w:numId="77">
    <w:abstractNumId w:val="60"/>
  </w:num>
  <w:num w:numId="78">
    <w:abstractNumId w:val="66"/>
  </w:num>
  <w:num w:numId="79">
    <w:abstractNumId w:val="48"/>
  </w:num>
  <w:num w:numId="80">
    <w:abstractNumId w:val="67"/>
  </w:num>
  <w:num w:numId="81">
    <w:abstractNumId w:val="88"/>
  </w:num>
  <w:num w:numId="82">
    <w:abstractNumId w:val="43"/>
  </w:num>
  <w:num w:numId="83">
    <w:abstractNumId w:val="92"/>
  </w:num>
  <w:num w:numId="84">
    <w:abstractNumId w:val="102"/>
  </w:num>
  <w:num w:numId="85">
    <w:abstractNumId w:val="9"/>
  </w:num>
  <w:num w:numId="86">
    <w:abstractNumId w:val="7"/>
  </w:num>
  <w:num w:numId="87">
    <w:abstractNumId w:val="6"/>
  </w:num>
  <w:num w:numId="88">
    <w:abstractNumId w:val="4"/>
  </w:num>
  <w:num w:numId="89">
    <w:abstractNumId w:val="8"/>
  </w:num>
  <w:num w:numId="90">
    <w:abstractNumId w:val="3"/>
  </w:num>
  <w:num w:numId="91">
    <w:abstractNumId w:val="2"/>
  </w:num>
  <w:num w:numId="92">
    <w:abstractNumId w:val="1"/>
  </w:num>
  <w:num w:numId="93">
    <w:abstractNumId w:val="0"/>
  </w:num>
  <w:num w:numId="94">
    <w:abstractNumId w:val="58"/>
  </w:num>
  <w:num w:numId="95">
    <w:abstractNumId w:val="100"/>
  </w:num>
  <w:num w:numId="96">
    <w:abstractNumId w:val="85"/>
  </w:num>
  <w:num w:numId="97">
    <w:abstractNumId w:val="26"/>
  </w:num>
  <w:num w:numId="98">
    <w:abstractNumId w:val="61"/>
  </w:num>
  <w:num w:numId="99">
    <w:abstractNumId w:val="39"/>
  </w:num>
  <w:num w:numId="100">
    <w:abstractNumId w:val="35"/>
  </w:num>
  <w:num w:numId="101">
    <w:abstractNumId w:val="52"/>
  </w:num>
  <w:num w:numId="102">
    <w:abstractNumId w:val="29"/>
  </w:num>
  <w:num w:numId="103">
    <w:abstractNumId w:val="77"/>
  </w:num>
  <w:num w:numId="104">
    <w:abstractNumId w:val="38"/>
  </w:num>
  <w:num w:numId="105">
    <w:abstractNumId w:val="95"/>
  </w:num>
  <w:num w:numId="106">
    <w:abstractNumId w:val="71"/>
  </w:num>
  <w:num w:numId="107">
    <w:abstractNumId w:val="38"/>
  </w:num>
  <w:num w:numId="108">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393"/>
    <w:rsid w:val="0000047F"/>
    <w:rsid w:val="000006D2"/>
    <w:rsid w:val="00000FE7"/>
    <w:rsid w:val="000012DD"/>
    <w:rsid w:val="0000154D"/>
    <w:rsid w:val="000015BF"/>
    <w:rsid w:val="00001E1A"/>
    <w:rsid w:val="000026D0"/>
    <w:rsid w:val="00002818"/>
    <w:rsid w:val="00002DFA"/>
    <w:rsid w:val="00002F27"/>
    <w:rsid w:val="0000303B"/>
    <w:rsid w:val="000034A6"/>
    <w:rsid w:val="00003A9F"/>
    <w:rsid w:val="00003FF5"/>
    <w:rsid w:val="0000423D"/>
    <w:rsid w:val="00004335"/>
    <w:rsid w:val="000043AB"/>
    <w:rsid w:val="000045F9"/>
    <w:rsid w:val="000047E4"/>
    <w:rsid w:val="00004848"/>
    <w:rsid w:val="00005607"/>
    <w:rsid w:val="00006863"/>
    <w:rsid w:val="00006B3B"/>
    <w:rsid w:val="00006C01"/>
    <w:rsid w:val="00006F66"/>
    <w:rsid w:val="00007058"/>
    <w:rsid w:val="000071ED"/>
    <w:rsid w:val="000077C7"/>
    <w:rsid w:val="00007BD0"/>
    <w:rsid w:val="0001042A"/>
    <w:rsid w:val="00010672"/>
    <w:rsid w:val="000109D7"/>
    <w:rsid w:val="00010EC9"/>
    <w:rsid w:val="00011156"/>
    <w:rsid w:val="00011491"/>
    <w:rsid w:val="000119D5"/>
    <w:rsid w:val="00012085"/>
    <w:rsid w:val="000125AC"/>
    <w:rsid w:val="00012C17"/>
    <w:rsid w:val="00012C99"/>
    <w:rsid w:val="00012FF2"/>
    <w:rsid w:val="00013088"/>
    <w:rsid w:val="00013174"/>
    <w:rsid w:val="000138C0"/>
    <w:rsid w:val="00013A12"/>
    <w:rsid w:val="00013AD9"/>
    <w:rsid w:val="00013BFF"/>
    <w:rsid w:val="00014458"/>
    <w:rsid w:val="00014608"/>
    <w:rsid w:val="0001473A"/>
    <w:rsid w:val="000147F4"/>
    <w:rsid w:val="00014AB9"/>
    <w:rsid w:val="00014C8E"/>
    <w:rsid w:val="00014F94"/>
    <w:rsid w:val="00015283"/>
    <w:rsid w:val="000156C2"/>
    <w:rsid w:val="00015952"/>
    <w:rsid w:val="00015B14"/>
    <w:rsid w:val="00016040"/>
    <w:rsid w:val="00016C9C"/>
    <w:rsid w:val="00016E58"/>
    <w:rsid w:val="0001743F"/>
    <w:rsid w:val="00017592"/>
    <w:rsid w:val="00020047"/>
    <w:rsid w:val="000206F6"/>
    <w:rsid w:val="00020713"/>
    <w:rsid w:val="00020B7F"/>
    <w:rsid w:val="00020DCF"/>
    <w:rsid w:val="00020E33"/>
    <w:rsid w:val="00020E6F"/>
    <w:rsid w:val="0002185E"/>
    <w:rsid w:val="00021ADE"/>
    <w:rsid w:val="00021E77"/>
    <w:rsid w:val="00021FC5"/>
    <w:rsid w:val="00021FCA"/>
    <w:rsid w:val="00022100"/>
    <w:rsid w:val="000221CC"/>
    <w:rsid w:val="00022456"/>
    <w:rsid w:val="00022DA1"/>
    <w:rsid w:val="00023169"/>
    <w:rsid w:val="000232E9"/>
    <w:rsid w:val="000234FE"/>
    <w:rsid w:val="0002361C"/>
    <w:rsid w:val="000238EB"/>
    <w:rsid w:val="0002395F"/>
    <w:rsid w:val="00023E6F"/>
    <w:rsid w:val="00024CBC"/>
    <w:rsid w:val="00025399"/>
    <w:rsid w:val="0002565A"/>
    <w:rsid w:val="00025774"/>
    <w:rsid w:val="00025A11"/>
    <w:rsid w:val="000261CC"/>
    <w:rsid w:val="000265B9"/>
    <w:rsid w:val="00026714"/>
    <w:rsid w:val="00026977"/>
    <w:rsid w:val="00027085"/>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1E2E"/>
    <w:rsid w:val="0003213B"/>
    <w:rsid w:val="00032390"/>
    <w:rsid w:val="0003272B"/>
    <w:rsid w:val="00032A99"/>
    <w:rsid w:val="00032C17"/>
    <w:rsid w:val="00033259"/>
    <w:rsid w:val="00033342"/>
    <w:rsid w:val="00033473"/>
    <w:rsid w:val="0003393C"/>
    <w:rsid w:val="00033A05"/>
    <w:rsid w:val="00033A74"/>
    <w:rsid w:val="00033D2D"/>
    <w:rsid w:val="00033D3C"/>
    <w:rsid w:val="00033D68"/>
    <w:rsid w:val="000341AB"/>
    <w:rsid w:val="000344B3"/>
    <w:rsid w:val="000346AA"/>
    <w:rsid w:val="0003491C"/>
    <w:rsid w:val="000349E8"/>
    <w:rsid w:val="00034CB7"/>
    <w:rsid w:val="00034CC9"/>
    <w:rsid w:val="00034DDC"/>
    <w:rsid w:val="000359DA"/>
    <w:rsid w:val="00035B51"/>
    <w:rsid w:val="00035FDA"/>
    <w:rsid w:val="00036114"/>
    <w:rsid w:val="00036C2F"/>
    <w:rsid w:val="00037404"/>
    <w:rsid w:val="0003744D"/>
    <w:rsid w:val="00037641"/>
    <w:rsid w:val="00037997"/>
    <w:rsid w:val="00037A15"/>
    <w:rsid w:val="00037AEB"/>
    <w:rsid w:val="00040085"/>
    <w:rsid w:val="00040303"/>
    <w:rsid w:val="0004034D"/>
    <w:rsid w:val="000407D5"/>
    <w:rsid w:val="00040C08"/>
    <w:rsid w:val="000413C4"/>
    <w:rsid w:val="00041831"/>
    <w:rsid w:val="00041D18"/>
    <w:rsid w:val="0004258A"/>
    <w:rsid w:val="0004288F"/>
    <w:rsid w:val="00042926"/>
    <w:rsid w:val="00042B30"/>
    <w:rsid w:val="00043801"/>
    <w:rsid w:val="00043BA4"/>
    <w:rsid w:val="00043CDA"/>
    <w:rsid w:val="00044165"/>
    <w:rsid w:val="0004430A"/>
    <w:rsid w:val="0004443C"/>
    <w:rsid w:val="00044627"/>
    <w:rsid w:val="000446E4"/>
    <w:rsid w:val="000448DF"/>
    <w:rsid w:val="00044BCA"/>
    <w:rsid w:val="00044C1B"/>
    <w:rsid w:val="00044F13"/>
    <w:rsid w:val="000457B5"/>
    <w:rsid w:val="00045E54"/>
    <w:rsid w:val="0004608E"/>
    <w:rsid w:val="00046120"/>
    <w:rsid w:val="00046B2D"/>
    <w:rsid w:val="00046BDE"/>
    <w:rsid w:val="000471A5"/>
    <w:rsid w:val="0004773B"/>
    <w:rsid w:val="0004782C"/>
    <w:rsid w:val="000478E9"/>
    <w:rsid w:val="00050886"/>
    <w:rsid w:val="0005091E"/>
    <w:rsid w:val="00050BDB"/>
    <w:rsid w:val="00050CE5"/>
    <w:rsid w:val="0005114B"/>
    <w:rsid w:val="00051573"/>
    <w:rsid w:val="00051EBF"/>
    <w:rsid w:val="00052140"/>
    <w:rsid w:val="0005238F"/>
    <w:rsid w:val="000523F7"/>
    <w:rsid w:val="000526A4"/>
    <w:rsid w:val="0005276B"/>
    <w:rsid w:val="00052A6C"/>
    <w:rsid w:val="00052C44"/>
    <w:rsid w:val="000533AE"/>
    <w:rsid w:val="000537E2"/>
    <w:rsid w:val="0005394A"/>
    <w:rsid w:val="000539A9"/>
    <w:rsid w:val="00053DE2"/>
    <w:rsid w:val="00054194"/>
    <w:rsid w:val="0005420F"/>
    <w:rsid w:val="00054A32"/>
    <w:rsid w:val="00054D9E"/>
    <w:rsid w:val="00054DE9"/>
    <w:rsid w:val="00054FD6"/>
    <w:rsid w:val="000550AF"/>
    <w:rsid w:val="00055787"/>
    <w:rsid w:val="000559AD"/>
    <w:rsid w:val="000561C7"/>
    <w:rsid w:val="00056513"/>
    <w:rsid w:val="000568B5"/>
    <w:rsid w:val="00056BAD"/>
    <w:rsid w:val="00056CA7"/>
    <w:rsid w:val="00056F7A"/>
    <w:rsid w:val="0005739A"/>
    <w:rsid w:val="00057892"/>
    <w:rsid w:val="000578D4"/>
    <w:rsid w:val="0005796C"/>
    <w:rsid w:val="00060482"/>
    <w:rsid w:val="000604E7"/>
    <w:rsid w:val="0006063A"/>
    <w:rsid w:val="00060679"/>
    <w:rsid w:val="00060680"/>
    <w:rsid w:val="000606BF"/>
    <w:rsid w:val="00060B8A"/>
    <w:rsid w:val="00060E8F"/>
    <w:rsid w:val="000617D7"/>
    <w:rsid w:val="000621F1"/>
    <w:rsid w:val="000622E7"/>
    <w:rsid w:val="00062381"/>
    <w:rsid w:val="000625E4"/>
    <w:rsid w:val="000629AB"/>
    <w:rsid w:val="00062AB6"/>
    <w:rsid w:val="0006315F"/>
    <w:rsid w:val="000634B6"/>
    <w:rsid w:val="00063EB2"/>
    <w:rsid w:val="000643D9"/>
    <w:rsid w:val="000645AA"/>
    <w:rsid w:val="00064E7C"/>
    <w:rsid w:val="00065198"/>
    <w:rsid w:val="00065824"/>
    <w:rsid w:val="0006589E"/>
    <w:rsid w:val="0006596C"/>
    <w:rsid w:val="00065A51"/>
    <w:rsid w:val="00065AA7"/>
    <w:rsid w:val="00065E95"/>
    <w:rsid w:val="00065F74"/>
    <w:rsid w:val="0006601F"/>
    <w:rsid w:val="00066649"/>
    <w:rsid w:val="00066EAB"/>
    <w:rsid w:val="00066FEB"/>
    <w:rsid w:val="0006717E"/>
    <w:rsid w:val="0006778C"/>
    <w:rsid w:val="00067B95"/>
    <w:rsid w:val="00070120"/>
    <w:rsid w:val="0007033F"/>
    <w:rsid w:val="00070779"/>
    <w:rsid w:val="00070A63"/>
    <w:rsid w:val="00070D5F"/>
    <w:rsid w:val="00070F3E"/>
    <w:rsid w:val="00071152"/>
    <w:rsid w:val="00071858"/>
    <w:rsid w:val="00071F89"/>
    <w:rsid w:val="00072063"/>
    <w:rsid w:val="000722A5"/>
    <w:rsid w:val="000723A4"/>
    <w:rsid w:val="00072489"/>
    <w:rsid w:val="000728CF"/>
    <w:rsid w:val="00072B44"/>
    <w:rsid w:val="000734F4"/>
    <w:rsid w:val="000735D9"/>
    <w:rsid w:val="00073851"/>
    <w:rsid w:val="00073EFC"/>
    <w:rsid w:val="00074103"/>
    <w:rsid w:val="00074233"/>
    <w:rsid w:val="00074312"/>
    <w:rsid w:val="00074443"/>
    <w:rsid w:val="0007468C"/>
    <w:rsid w:val="0007470C"/>
    <w:rsid w:val="00074BF9"/>
    <w:rsid w:val="00074C40"/>
    <w:rsid w:val="00074C6A"/>
    <w:rsid w:val="000754C8"/>
    <w:rsid w:val="000754CF"/>
    <w:rsid w:val="00075A92"/>
    <w:rsid w:val="000761DC"/>
    <w:rsid w:val="0007631F"/>
    <w:rsid w:val="00076513"/>
    <w:rsid w:val="00076530"/>
    <w:rsid w:val="00076649"/>
    <w:rsid w:val="000770A2"/>
    <w:rsid w:val="000770D6"/>
    <w:rsid w:val="0007726C"/>
    <w:rsid w:val="000773CF"/>
    <w:rsid w:val="00077704"/>
    <w:rsid w:val="00077F5C"/>
    <w:rsid w:val="00080311"/>
    <w:rsid w:val="00080538"/>
    <w:rsid w:val="00080DD2"/>
    <w:rsid w:val="00080E39"/>
    <w:rsid w:val="00080F1A"/>
    <w:rsid w:val="000810B7"/>
    <w:rsid w:val="0008111F"/>
    <w:rsid w:val="00081216"/>
    <w:rsid w:val="00081230"/>
    <w:rsid w:val="0008136D"/>
    <w:rsid w:val="00081417"/>
    <w:rsid w:val="000814F6"/>
    <w:rsid w:val="000819DF"/>
    <w:rsid w:val="00081CC8"/>
    <w:rsid w:val="00082B7C"/>
    <w:rsid w:val="00083039"/>
    <w:rsid w:val="000840E2"/>
    <w:rsid w:val="0008484C"/>
    <w:rsid w:val="00084CB8"/>
    <w:rsid w:val="00084E72"/>
    <w:rsid w:val="00085149"/>
    <w:rsid w:val="00085179"/>
    <w:rsid w:val="000861D8"/>
    <w:rsid w:val="00086349"/>
    <w:rsid w:val="000863D8"/>
    <w:rsid w:val="00087019"/>
    <w:rsid w:val="00087315"/>
    <w:rsid w:val="00087C26"/>
    <w:rsid w:val="00087D55"/>
    <w:rsid w:val="00087E41"/>
    <w:rsid w:val="0009025C"/>
    <w:rsid w:val="00090A60"/>
    <w:rsid w:val="00090AE2"/>
    <w:rsid w:val="00090B4C"/>
    <w:rsid w:val="00090B70"/>
    <w:rsid w:val="00090CF9"/>
    <w:rsid w:val="000910B9"/>
    <w:rsid w:val="000913CA"/>
    <w:rsid w:val="000918E1"/>
    <w:rsid w:val="00091980"/>
    <w:rsid w:val="00091FD4"/>
    <w:rsid w:val="00092194"/>
    <w:rsid w:val="000923E0"/>
    <w:rsid w:val="000924F7"/>
    <w:rsid w:val="00092DF5"/>
    <w:rsid w:val="00093029"/>
    <w:rsid w:val="00093517"/>
    <w:rsid w:val="000937B3"/>
    <w:rsid w:val="00093C1A"/>
    <w:rsid w:val="00093F7F"/>
    <w:rsid w:val="00094964"/>
    <w:rsid w:val="00094F50"/>
    <w:rsid w:val="00095120"/>
    <w:rsid w:val="000952F8"/>
    <w:rsid w:val="00095327"/>
    <w:rsid w:val="0009560E"/>
    <w:rsid w:val="000959E8"/>
    <w:rsid w:val="00096816"/>
    <w:rsid w:val="0009684E"/>
    <w:rsid w:val="00096E5E"/>
    <w:rsid w:val="000971B9"/>
    <w:rsid w:val="000975F7"/>
    <w:rsid w:val="00097698"/>
    <w:rsid w:val="00097D37"/>
    <w:rsid w:val="00097DD9"/>
    <w:rsid w:val="000A0129"/>
    <w:rsid w:val="000A0209"/>
    <w:rsid w:val="000A02C6"/>
    <w:rsid w:val="000A02EF"/>
    <w:rsid w:val="000A0CAC"/>
    <w:rsid w:val="000A0EFF"/>
    <w:rsid w:val="000A107E"/>
    <w:rsid w:val="000A1234"/>
    <w:rsid w:val="000A14C5"/>
    <w:rsid w:val="000A17AE"/>
    <w:rsid w:val="000A224A"/>
    <w:rsid w:val="000A23C5"/>
    <w:rsid w:val="000A25C5"/>
    <w:rsid w:val="000A2C95"/>
    <w:rsid w:val="000A2E03"/>
    <w:rsid w:val="000A2E55"/>
    <w:rsid w:val="000A3006"/>
    <w:rsid w:val="000A3152"/>
    <w:rsid w:val="000A3330"/>
    <w:rsid w:val="000A35D3"/>
    <w:rsid w:val="000A37A0"/>
    <w:rsid w:val="000A3A1C"/>
    <w:rsid w:val="000A3AC5"/>
    <w:rsid w:val="000A4351"/>
    <w:rsid w:val="000A45C8"/>
    <w:rsid w:val="000A466B"/>
    <w:rsid w:val="000A4B7D"/>
    <w:rsid w:val="000A4D5A"/>
    <w:rsid w:val="000A4D8C"/>
    <w:rsid w:val="000A4EE0"/>
    <w:rsid w:val="000A51C2"/>
    <w:rsid w:val="000A60E5"/>
    <w:rsid w:val="000A616F"/>
    <w:rsid w:val="000A6215"/>
    <w:rsid w:val="000A66C7"/>
    <w:rsid w:val="000A695D"/>
    <w:rsid w:val="000A761B"/>
    <w:rsid w:val="000A7BB5"/>
    <w:rsid w:val="000A7C3E"/>
    <w:rsid w:val="000B0535"/>
    <w:rsid w:val="000B09FC"/>
    <w:rsid w:val="000B0B47"/>
    <w:rsid w:val="000B0CB0"/>
    <w:rsid w:val="000B0F79"/>
    <w:rsid w:val="000B1C32"/>
    <w:rsid w:val="000B1C55"/>
    <w:rsid w:val="000B25D8"/>
    <w:rsid w:val="000B266B"/>
    <w:rsid w:val="000B2C8D"/>
    <w:rsid w:val="000B32F7"/>
    <w:rsid w:val="000B34A0"/>
    <w:rsid w:val="000B3A3E"/>
    <w:rsid w:val="000B3DB1"/>
    <w:rsid w:val="000B3FD3"/>
    <w:rsid w:val="000B430F"/>
    <w:rsid w:val="000B4470"/>
    <w:rsid w:val="000B4EFA"/>
    <w:rsid w:val="000B53D0"/>
    <w:rsid w:val="000B5C0B"/>
    <w:rsid w:val="000B5CAD"/>
    <w:rsid w:val="000B61C5"/>
    <w:rsid w:val="000B641C"/>
    <w:rsid w:val="000B67C0"/>
    <w:rsid w:val="000B6AD0"/>
    <w:rsid w:val="000B71EB"/>
    <w:rsid w:val="000B76FF"/>
    <w:rsid w:val="000B7CF2"/>
    <w:rsid w:val="000C0248"/>
    <w:rsid w:val="000C05C9"/>
    <w:rsid w:val="000C0AFD"/>
    <w:rsid w:val="000C10EC"/>
    <w:rsid w:val="000C1266"/>
    <w:rsid w:val="000C1FD6"/>
    <w:rsid w:val="000C30BC"/>
    <w:rsid w:val="000C33C3"/>
    <w:rsid w:val="000C347E"/>
    <w:rsid w:val="000C382A"/>
    <w:rsid w:val="000C395E"/>
    <w:rsid w:val="000C3C41"/>
    <w:rsid w:val="000C3DF2"/>
    <w:rsid w:val="000C431F"/>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AA1"/>
    <w:rsid w:val="000C6B2E"/>
    <w:rsid w:val="000C6C27"/>
    <w:rsid w:val="000C7415"/>
    <w:rsid w:val="000C7426"/>
    <w:rsid w:val="000C7A93"/>
    <w:rsid w:val="000D0336"/>
    <w:rsid w:val="000D07E5"/>
    <w:rsid w:val="000D0A03"/>
    <w:rsid w:val="000D0D12"/>
    <w:rsid w:val="000D0DCD"/>
    <w:rsid w:val="000D16B8"/>
    <w:rsid w:val="000D1772"/>
    <w:rsid w:val="000D21AF"/>
    <w:rsid w:val="000D2867"/>
    <w:rsid w:val="000D2B97"/>
    <w:rsid w:val="000D2F02"/>
    <w:rsid w:val="000D30A7"/>
    <w:rsid w:val="000D381E"/>
    <w:rsid w:val="000D3AE7"/>
    <w:rsid w:val="000D432E"/>
    <w:rsid w:val="000D49CD"/>
    <w:rsid w:val="000D4BE1"/>
    <w:rsid w:val="000D4DD5"/>
    <w:rsid w:val="000D503E"/>
    <w:rsid w:val="000D55BB"/>
    <w:rsid w:val="000D569F"/>
    <w:rsid w:val="000D5F1B"/>
    <w:rsid w:val="000D645B"/>
    <w:rsid w:val="000D67DC"/>
    <w:rsid w:val="000D723D"/>
    <w:rsid w:val="000D7D54"/>
    <w:rsid w:val="000E0314"/>
    <w:rsid w:val="000E03E0"/>
    <w:rsid w:val="000E0BFB"/>
    <w:rsid w:val="000E0D80"/>
    <w:rsid w:val="000E0EB7"/>
    <w:rsid w:val="000E1109"/>
    <w:rsid w:val="000E1462"/>
    <w:rsid w:val="000E155B"/>
    <w:rsid w:val="000E1C7B"/>
    <w:rsid w:val="000E1D6E"/>
    <w:rsid w:val="000E1F6A"/>
    <w:rsid w:val="000E2049"/>
    <w:rsid w:val="000E2220"/>
    <w:rsid w:val="000E22DF"/>
    <w:rsid w:val="000E2675"/>
    <w:rsid w:val="000E3241"/>
    <w:rsid w:val="000E329D"/>
    <w:rsid w:val="000E330A"/>
    <w:rsid w:val="000E3683"/>
    <w:rsid w:val="000E37CA"/>
    <w:rsid w:val="000E3AA8"/>
    <w:rsid w:val="000E3B62"/>
    <w:rsid w:val="000E3BC6"/>
    <w:rsid w:val="000E43AB"/>
    <w:rsid w:val="000E4433"/>
    <w:rsid w:val="000E487C"/>
    <w:rsid w:val="000E4D33"/>
    <w:rsid w:val="000E4D3A"/>
    <w:rsid w:val="000E4ED4"/>
    <w:rsid w:val="000E50AD"/>
    <w:rsid w:val="000E51EF"/>
    <w:rsid w:val="000E5636"/>
    <w:rsid w:val="000E566A"/>
    <w:rsid w:val="000E5899"/>
    <w:rsid w:val="000E5924"/>
    <w:rsid w:val="000E5933"/>
    <w:rsid w:val="000E66AC"/>
    <w:rsid w:val="000E6720"/>
    <w:rsid w:val="000E693E"/>
    <w:rsid w:val="000E695E"/>
    <w:rsid w:val="000E6AA6"/>
    <w:rsid w:val="000E6B76"/>
    <w:rsid w:val="000E6BB6"/>
    <w:rsid w:val="000E6C79"/>
    <w:rsid w:val="000E6DE6"/>
    <w:rsid w:val="000E7097"/>
    <w:rsid w:val="000E74CA"/>
    <w:rsid w:val="000E792C"/>
    <w:rsid w:val="000E7C80"/>
    <w:rsid w:val="000E7CBF"/>
    <w:rsid w:val="000E7DA1"/>
    <w:rsid w:val="000E7DD2"/>
    <w:rsid w:val="000F0033"/>
    <w:rsid w:val="000F00F9"/>
    <w:rsid w:val="000F03E3"/>
    <w:rsid w:val="000F06B1"/>
    <w:rsid w:val="000F07BB"/>
    <w:rsid w:val="000F105E"/>
    <w:rsid w:val="000F10A7"/>
    <w:rsid w:val="000F1261"/>
    <w:rsid w:val="000F14C3"/>
    <w:rsid w:val="000F14C6"/>
    <w:rsid w:val="000F14D4"/>
    <w:rsid w:val="000F1B86"/>
    <w:rsid w:val="000F2115"/>
    <w:rsid w:val="000F2179"/>
    <w:rsid w:val="000F2813"/>
    <w:rsid w:val="000F3278"/>
    <w:rsid w:val="000F36CC"/>
    <w:rsid w:val="000F3A45"/>
    <w:rsid w:val="000F3B5F"/>
    <w:rsid w:val="000F3BA5"/>
    <w:rsid w:val="000F3BA7"/>
    <w:rsid w:val="000F3EF1"/>
    <w:rsid w:val="000F4496"/>
    <w:rsid w:val="000F45CE"/>
    <w:rsid w:val="000F480A"/>
    <w:rsid w:val="000F4BB3"/>
    <w:rsid w:val="000F4C2D"/>
    <w:rsid w:val="000F4E80"/>
    <w:rsid w:val="000F5397"/>
    <w:rsid w:val="000F5400"/>
    <w:rsid w:val="000F547C"/>
    <w:rsid w:val="000F593D"/>
    <w:rsid w:val="000F5D2A"/>
    <w:rsid w:val="000F5ECE"/>
    <w:rsid w:val="000F6944"/>
    <w:rsid w:val="000F6A44"/>
    <w:rsid w:val="000F6F92"/>
    <w:rsid w:val="000F752B"/>
    <w:rsid w:val="000F7781"/>
    <w:rsid w:val="000F7E4C"/>
    <w:rsid w:val="000F7FC4"/>
    <w:rsid w:val="001003DE"/>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2D4"/>
    <w:rsid w:val="0010539C"/>
    <w:rsid w:val="00105632"/>
    <w:rsid w:val="00105890"/>
    <w:rsid w:val="00105A25"/>
    <w:rsid w:val="00105DCF"/>
    <w:rsid w:val="00105DD3"/>
    <w:rsid w:val="0010640D"/>
    <w:rsid w:val="001064D3"/>
    <w:rsid w:val="00106539"/>
    <w:rsid w:val="001065CC"/>
    <w:rsid w:val="00106815"/>
    <w:rsid w:val="001068E7"/>
    <w:rsid w:val="00106BDC"/>
    <w:rsid w:val="00106E6B"/>
    <w:rsid w:val="001075FB"/>
    <w:rsid w:val="0010761C"/>
    <w:rsid w:val="00107924"/>
    <w:rsid w:val="00107DC8"/>
    <w:rsid w:val="001100B3"/>
    <w:rsid w:val="00110FD8"/>
    <w:rsid w:val="001113B5"/>
    <w:rsid w:val="00112117"/>
    <w:rsid w:val="0011220C"/>
    <w:rsid w:val="001123D6"/>
    <w:rsid w:val="0011248C"/>
    <w:rsid w:val="001125A1"/>
    <w:rsid w:val="00112D48"/>
    <w:rsid w:val="001132B5"/>
    <w:rsid w:val="00113504"/>
    <w:rsid w:val="00113FDA"/>
    <w:rsid w:val="00114781"/>
    <w:rsid w:val="00114869"/>
    <w:rsid w:val="0011509F"/>
    <w:rsid w:val="00115135"/>
    <w:rsid w:val="00115399"/>
    <w:rsid w:val="001156D0"/>
    <w:rsid w:val="00115731"/>
    <w:rsid w:val="0011658F"/>
    <w:rsid w:val="00116CA5"/>
    <w:rsid w:val="001172A6"/>
    <w:rsid w:val="001174B7"/>
    <w:rsid w:val="001176F2"/>
    <w:rsid w:val="001177E6"/>
    <w:rsid w:val="001178CC"/>
    <w:rsid w:val="001179F4"/>
    <w:rsid w:val="00117BBF"/>
    <w:rsid w:val="00117F2C"/>
    <w:rsid w:val="0012027D"/>
    <w:rsid w:val="00120567"/>
    <w:rsid w:val="00121339"/>
    <w:rsid w:val="001214EC"/>
    <w:rsid w:val="0012195C"/>
    <w:rsid w:val="00121D1E"/>
    <w:rsid w:val="00121D2D"/>
    <w:rsid w:val="00121D66"/>
    <w:rsid w:val="00121EB0"/>
    <w:rsid w:val="00122311"/>
    <w:rsid w:val="0012259D"/>
    <w:rsid w:val="00122998"/>
    <w:rsid w:val="0012310C"/>
    <w:rsid w:val="001238A3"/>
    <w:rsid w:val="00123FB3"/>
    <w:rsid w:val="00124093"/>
    <w:rsid w:val="001241B9"/>
    <w:rsid w:val="001243F8"/>
    <w:rsid w:val="0012450C"/>
    <w:rsid w:val="001248E5"/>
    <w:rsid w:val="00124A9D"/>
    <w:rsid w:val="00125011"/>
    <w:rsid w:val="00125156"/>
    <w:rsid w:val="001254D4"/>
    <w:rsid w:val="001255A5"/>
    <w:rsid w:val="00125606"/>
    <w:rsid w:val="00125621"/>
    <w:rsid w:val="0012567F"/>
    <w:rsid w:val="001258AE"/>
    <w:rsid w:val="00125FF5"/>
    <w:rsid w:val="00126394"/>
    <w:rsid w:val="0012667F"/>
    <w:rsid w:val="001267F5"/>
    <w:rsid w:val="00126A7C"/>
    <w:rsid w:val="00126C3C"/>
    <w:rsid w:val="00126DDD"/>
    <w:rsid w:val="0012761F"/>
    <w:rsid w:val="00127688"/>
    <w:rsid w:val="00127849"/>
    <w:rsid w:val="001278FB"/>
    <w:rsid w:val="00127950"/>
    <w:rsid w:val="001279C4"/>
    <w:rsid w:val="00127D81"/>
    <w:rsid w:val="001306D8"/>
    <w:rsid w:val="00130825"/>
    <w:rsid w:val="00130A12"/>
    <w:rsid w:val="00131339"/>
    <w:rsid w:val="0013193D"/>
    <w:rsid w:val="00132109"/>
    <w:rsid w:val="00132365"/>
    <w:rsid w:val="001323D4"/>
    <w:rsid w:val="00132841"/>
    <w:rsid w:val="00132C25"/>
    <w:rsid w:val="00132DA1"/>
    <w:rsid w:val="00132E7F"/>
    <w:rsid w:val="0013374D"/>
    <w:rsid w:val="00133ED6"/>
    <w:rsid w:val="00134379"/>
    <w:rsid w:val="00134488"/>
    <w:rsid w:val="001346A9"/>
    <w:rsid w:val="001346F4"/>
    <w:rsid w:val="00134B83"/>
    <w:rsid w:val="00134C67"/>
    <w:rsid w:val="001350EA"/>
    <w:rsid w:val="00135512"/>
    <w:rsid w:val="001367DD"/>
    <w:rsid w:val="00136898"/>
    <w:rsid w:val="001368E3"/>
    <w:rsid w:val="00136BEE"/>
    <w:rsid w:val="00136C20"/>
    <w:rsid w:val="00136DE8"/>
    <w:rsid w:val="0013714C"/>
    <w:rsid w:val="00137504"/>
    <w:rsid w:val="00137696"/>
    <w:rsid w:val="00137A9B"/>
    <w:rsid w:val="00137D76"/>
    <w:rsid w:val="00137F69"/>
    <w:rsid w:val="001406FE"/>
    <w:rsid w:val="00140960"/>
    <w:rsid w:val="001409EC"/>
    <w:rsid w:val="00140B2F"/>
    <w:rsid w:val="00140DDA"/>
    <w:rsid w:val="0014117E"/>
    <w:rsid w:val="0014142D"/>
    <w:rsid w:val="001414FB"/>
    <w:rsid w:val="00141725"/>
    <w:rsid w:val="001419E6"/>
    <w:rsid w:val="00141F58"/>
    <w:rsid w:val="00142342"/>
    <w:rsid w:val="00142A02"/>
    <w:rsid w:val="00143087"/>
    <w:rsid w:val="001430D1"/>
    <w:rsid w:val="00143169"/>
    <w:rsid w:val="00143242"/>
    <w:rsid w:val="00143717"/>
    <w:rsid w:val="001437C2"/>
    <w:rsid w:val="0014399B"/>
    <w:rsid w:val="00143F8A"/>
    <w:rsid w:val="001440B0"/>
    <w:rsid w:val="00144266"/>
    <w:rsid w:val="00144881"/>
    <w:rsid w:val="00144892"/>
    <w:rsid w:val="00144DA6"/>
    <w:rsid w:val="00144DF2"/>
    <w:rsid w:val="00145253"/>
    <w:rsid w:val="001459A8"/>
    <w:rsid w:val="00145B45"/>
    <w:rsid w:val="001463FD"/>
    <w:rsid w:val="00146976"/>
    <w:rsid w:val="00147033"/>
    <w:rsid w:val="00147242"/>
    <w:rsid w:val="00147529"/>
    <w:rsid w:val="00147604"/>
    <w:rsid w:val="00147758"/>
    <w:rsid w:val="00147B4B"/>
    <w:rsid w:val="00147D09"/>
    <w:rsid w:val="00147E0E"/>
    <w:rsid w:val="00147F2A"/>
    <w:rsid w:val="001500FF"/>
    <w:rsid w:val="00151602"/>
    <w:rsid w:val="00151CB3"/>
    <w:rsid w:val="00151DE3"/>
    <w:rsid w:val="00151E36"/>
    <w:rsid w:val="001521BF"/>
    <w:rsid w:val="00152970"/>
    <w:rsid w:val="001530C9"/>
    <w:rsid w:val="001530E5"/>
    <w:rsid w:val="00153546"/>
    <w:rsid w:val="00153759"/>
    <w:rsid w:val="00154498"/>
    <w:rsid w:val="00154569"/>
    <w:rsid w:val="001545E7"/>
    <w:rsid w:val="00154BD5"/>
    <w:rsid w:val="00154E06"/>
    <w:rsid w:val="00155091"/>
    <w:rsid w:val="001550F0"/>
    <w:rsid w:val="0015554A"/>
    <w:rsid w:val="00155560"/>
    <w:rsid w:val="001555BA"/>
    <w:rsid w:val="001559A1"/>
    <w:rsid w:val="00155BA5"/>
    <w:rsid w:val="00155BF2"/>
    <w:rsid w:val="00155E46"/>
    <w:rsid w:val="001561D8"/>
    <w:rsid w:val="0015666B"/>
    <w:rsid w:val="00156680"/>
    <w:rsid w:val="00156BCF"/>
    <w:rsid w:val="00157321"/>
    <w:rsid w:val="0015740A"/>
    <w:rsid w:val="0015753E"/>
    <w:rsid w:val="00157A7A"/>
    <w:rsid w:val="00157AF0"/>
    <w:rsid w:val="00157D7C"/>
    <w:rsid w:val="0016009C"/>
    <w:rsid w:val="00160179"/>
    <w:rsid w:val="00160253"/>
    <w:rsid w:val="001603A4"/>
    <w:rsid w:val="001618DA"/>
    <w:rsid w:val="00161BD1"/>
    <w:rsid w:val="00161C36"/>
    <w:rsid w:val="00161FB0"/>
    <w:rsid w:val="00162253"/>
    <w:rsid w:val="00162348"/>
    <w:rsid w:val="0016260A"/>
    <w:rsid w:val="0016285F"/>
    <w:rsid w:val="00162CED"/>
    <w:rsid w:val="00162ED2"/>
    <w:rsid w:val="00162F7E"/>
    <w:rsid w:val="00163576"/>
    <w:rsid w:val="00163CD6"/>
    <w:rsid w:val="00163CE5"/>
    <w:rsid w:val="00163F65"/>
    <w:rsid w:val="001642CA"/>
    <w:rsid w:val="001645BA"/>
    <w:rsid w:val="00164990"/>
    <w:rsid w:val="00164E76"/>
    <w:rsid w:val="001657B6"/>
    <w:rsid w:val="00165942"/>
    <w:rsid w:val="00165F09"/>
    <w:rsid w:val="001663A2"/>
    <w:rsid w:val="00166698"/>
    <w:rsid w:val="001668C9"/>
    <w:rsid w:val="00166D70"/>
    <w:rsid w:val="00166E91"/>
    <w:rsid w:val="00167400"/>
    <w:rsid w:val="00167502"/>
    <w:rsid w:val="00167897"/>
    <w:rsid w:val="00167E65"/>
    <w:rsid w:val="001702A2"/>
    <w:rsid w:val="00170B1B"/>
    <w:rsid w:val="00170F08"/>
    <w:rsid w:val="0017169D"/>
    <w:rsid w:val="001717DD"/>
    <w:rsid w:val="00171828"/>
    <w:rsid w:val="00171FC9"/>
    <w:rsid w:val="0017212B"/>
    <w:rsid w:val="001728D4"/>
    <w:rsid w:val="00172940"/>
    <w:rsid w:val="00172D06"/>
    <w:rsid w:val="00172E5D"/>
    <w:rsid w:val="00172F2D"/>
    <w:rsid w:val="00173093"/>
    <w:rsid w:val="00173180"/>
    <w:rsid w:val="0017367D"/>
    <w:rsid w:val="0017384D"/>
    <w:rsid w:val="001740EC"/>
    <w:rsid w:val="001744CB"/>
    <w:rsid w:val="00174B61"/>
    <w:rsid w:val="00174C13"/>
    <w:rsid w:val="00174E37"/>
    <w:rsid w:val="001756D9"/>
    <w:rsid w:val="00175763"/>
    <w:rsid w:val="001759EF"/>
    <w:rsid w:val="001760E8"/>
    <w:rsid w:val="00176254"/>
    <w:rsid w:val="001773CE"/>
    <w:rsid w:val="00177B0B"/>
    <w:rsid w:val="00180355"/>
    <w:rsid w:val="001804FE"/>
    <w:rsid w:val="00180574"/>
    <w:rsid w:val="00180729"/>
    <w:rsid w:val="001807FA"/>
    <w:rsid w:val="00180AAA"/>
    <w:rsid w:val="0018100A"/>
    <w:rsid w:val="001817D5"/>
    <w:rsid w:val="001818B7"/>
    <w:rsid w:val="001819B5"/>
    <w:rsid w:val="00181D50"/>
    <w:rsid w:val="00181D91"/>
    <w:rsid w:val="00181E03"/>
    <w:rsid w:val="00182416"/>
    <w:rsid w:val="00182848"/>
    <w:rsid w:val="0018289C"/>
    <w:rsid w:val="00182A58"/>
    <w:rsid w:val="00182DC2"/>
    <w:rsid w:val="001832FA"/>
    <w:rsid w:val="001833EF"/>
    <w:rsid w:val="001834B9"/>
    <w:rsid w:val="0018372E"/>
    <w:rsid w:val="0018398E"/>
    <w:rsid w:val="001844E0"/>
    <w:rsid w:val="001847AC"/>
    <w:rsid w:val="001847F0"/>
    <w:rsid w:val="001848CB"/>
    <w:rsid w:val="00184DF4"/>
    <w:rsid w:val="001851E5"/>
    <w:rsid w:val="00185741"/>
    <w:rsid w:val="00185D09"/>
    <w:rsid w:val="00185D0E"/>
    <w:rsid w:val="00185E72"/>
    <w:rsid w:val="001863A8"/>
    <w:rsid w:val="0018667C"/>
    <w:rsid w:val="00186CF0"/>
    <w:rsid w:val="00186FB0"/>
    <w:rsid w:val="001903E1"/>
    <w:rsid w:val="00190730"/>
    <w:rsid w:val="001907D6"/>
    <w:rsid w:val="00190AA9"/>
    <w:rsid w:val="00190E69"/>
    <w:rsid w:val="00190FA4"/>
    <w:rsid w:val="00191239"/>
    <w:rsid w:val="001920B5"/>
    <w:rsid w:val="0019224E"/>
    <w:rsid w:val="00192DE9"/>
    <w:rsid w:val="00193BD3"/>
    <w:rsid w:val="00193ED2"/>
    <w:rsid w:val="00193EF4"/>
    <w:rsid w:val="0019409B"/>
    <w:rsid w:val="001941E7"/>
    <w:rsid w:val="001949E2"/>
    <w:rsid w:val="00194E55"/>
    <w:rsid w:val="00195201"/>
    <w:rsid w:val="00195B4C"/>
    <w:rsid w:val="00195C53"/>
    <w:rsid w:val="00196317"/>
    <w:rsid w:val="001963AA"/>
    <w:rsid w:val="00196439"/>
    <w:rsid w:val="00197094"/>
    <w:rsid w:val="0019717A"/>
    <w:rsid w:val="00197495"/>
    <w:rsid w:val="00197597"/>
    <w:rsid w:val="00197611"/>
    <w:rsid w:val="00197636"/>
    <w:rsid w:val="001A00C5"/>
    <w:rsid w:val="001A096E"/>
    <w:rsid w:val="001A0C15"/>
    <w:rsid w:val="001A0D20"/>
    <w:rsid w:val="001A0E63"/>
    <w:rsid w:val="001A1C02"/>
    <w:rsid w:val="001A208F"/>
    <w:rsid w:val="001A210B"/>
    <w:rsid w:val="001A210E"/>
    <w:rsid w:val="001A2467"/>
    <w:rsid w:val="001A24CD"/>
    <w:rsid w:val="001A262A"/>
    <w:rsid w:val="001A2641"/>
    <w:rsid w:val="001A2711"/>
    <w:rsid w:val="001A2812"/>
    <w:rsid w:val="001A2A64"/>
    <w:rsid w:val="001A2AE7"/>
    <w:rsid w:val="001A2CFD"/>
    <w:rsid w:val="001A2E65"/>
    <w:rsid w:val="001A31DE"/>
    <w:rsid w:val="001A32E2"/>
    <w:rsid w:val="001A33EB"/>
    <w:rsid w:val="001A3654"/>
    <w:rsid w:val="001A3734"/>
    <w:rsid w:val="001A38A9"/>
    <w:rsid w:val="001A3D04"/>
    <w:rsid w:val="001A46A3"/>
    <w:rsid w:val="001A4EB0"/>
    <w:rsid w:val="001A5124"/>
    <w:rsid w:val="001A5347"/>
    <w:rsid w:val="001A5A94"/>
    <w:rsid w:val="001A5B46"/>
    <w:rsid w:val="001A5DAF"/>
    <w:rsid w:val="001A6658"/>
    <w:rsid w:val="001A666F"/>
    <w:rsid w:val="001A6B97"/>
    <w:rsid w:val="001A6E11"/>
    <w:rsid w:val="001A7079"/>
    <w:rsid w:val="001A7725"/>
    <w:rsid w:val="001A786D"/>
    <w:rsid w:val="001A7C96"/>
    <w:rsid w:val="001B03A4"/>
    <w:rsid w:val="001B0660"/>
    <w:rsid w:val="001B09B8"/>
    <w:rsid w:val="001B0BE4"/>
    <w:rsid w:val="001B0DE1"/>
    <w:rsid w:val="001B10B5"/>
    <w:rsid w:val="001B157F"/>
    <w:rsid w:val="001B1D8A"/>
    <w:rsid w:val="001B22FA"/>
    <w:rsid w:val="001B2A81"/>
    <w:rsid w:val="001B2D85"/>
    <w:rsid w:val="001B30B2"/>
    <w:rsid w:val="001B32DB"/>
    <w:rsid w:val="001B36A0"/>
    <w:rsid w:val="001B38B3"/>
    <w:rsid w:val="001B3B55"/>
    <w:rsid w:val="001B3CC2"/>
    <w:rsid w:val="001B40F9"/>
    <w:rsid w:val="001B4454"/>
    <w:rsid w:val="001B4529"/>
    <w:rsid w:val="001B4B71"/>
    <w:rsid w:val="001B4B8A"/>
    <w:rsid w:val="001B5062"/>
    <w:rsid w:val="001B551E"/>
    <w:rsid w:val="001B5BEC"/>
    <w:rsid w:val="001B5D4F"/>
    <w:rsid w:val="001B616C"/>
    <w:rsid w:val="001B61AE"/>
    <w:rsid w:val="001B63A5"/>
    <w:rsid w:val="001B64A1"/>
    <w:rsid w:val="001B728E"/>
    <w:rsid w:val="001C0410"/>
    <w:rsid w:val="001C05A0"/>
    <w:rsid w:val="001C0A2B"/>
    <w:rsid w:val="001C0C20"/>
    <w:rsid w:val="001C14B2"/>
    <w:rsid w:val="001C1AD9"/>
    <w:rsid w:val="001C1B4B"/>
    <w:rsid w:val="001C1FD6"/>
    <w:rsid w:val="001C2236"/>
    <w:rsid w:val="001C236D"/>
    <w:rsid w:val="001C3A3B"/>
    <w:rsid w:val="001C3B57"/>
    <w:rsid w:val="001C3FF6"/>
    <w:rsid w:val="001C41B3"/>
    <w:rsid w:val="001C43C3"/>
    <w:rsid w:val="001C495A"/>
    <w:rsid w:val="001C54E4"/>
    <w:rsid w:val="001C576D"/>
    <w:rsid w:val="001C5B77"/>
    <w:rsid w:val="001C61AF"/>
    <w:rsid w:val="001C6248"/>
    <w:rsid w:val="001C637E"/>
    <w:rsid w:val="001C644B"/>
    <w:rsid w:val="001C68F7"/>
    <w:rsid w:val="001C6B19"/>
    <w:rsid w:val="001C7175"/>
    <w:rsid w:val="001C7239"/>
    <w:rsid w:val="001C7372"/>
    <w:rsid w:val="001C74EC"/>
    <w:rsid w:val="001C7824"/>
    <w:rsid w:val="001C7ABB"/>
    <w:rsid w:val="001C7B9C"/>
    <w:rsid w:val="001C7D4C"/>
    <w:rsid w:val="001D0081"/>
    <w:rsid w:val="001D03E1"/>
    <w:rsid w:val="001D0858"/>
    <w:rsid w:val="001D0C2E"/>
    <w:rsid w:val="001D0F76"/>
    <w:rsid w:val="001D0FD4"/>
    <w:rsid w:val="001D10B9"/>
    <w:rsid w:val="001D11D3"/>
    <w:rsid w:val="001D19CC"/>
    <w:rsid w:val="001D209D"/>
    <w:rsid w:val="001D2341"/>
    <w:rsid w:val="001D3508"/>
    <w:rsid w:val="001D3670"/>
    <w:rsid w:val="001D3D6A"/>
    <w:rsid w:val="001D3FF2"/>
    <w:rsid w:val="001D40C4"/>
    <w:rsid w:val="001D4CA3"/>
    <w:rsid w:val="001D4F4F"/>
    <w:rsid w:val="001D5B48"/>
    <w:rsid w:val="001D6431"/>
    <w:rsid w:val="001D6E75"/>
    <w:rsid w:val="001D7300"/>
    <w:rsid w:val="001D750C"/>
    <w:rsid w:val="001D7D5D"/>
    <w:rsid w:val="001D7DCF"/>
    <w:rsid w:val="001D7F11"/>
    <w:rsid w:val="001E02A2"/>
    <w:rsid w:val="001E030A"/>
    <w:rsid w:val="001E032B"/>
    <w:rsid w:val="001E05CB"/>
    <w:rsid w:val="001E0B77"/>
    <w:rsid w:val="001E0CF3"/>
    <w:rsid w:val="001E0F90"/>
    <w:rsid w:val="001E0F97"/>
    <w:rsid w:val="001E0F9A"/>
    <w:rsid w:val="001E0FB3"/>
    <w:rsid w:val="001E167F"/>
    <w:rsid w:val="001E1B55"/>
    <w:rsid w:val="001E22FD"/>
    <w:rsid w:val="001E23D7"/>
    <w:rsid w:val="001E25DC"/>
    <w:rsid w:val="001E26A5"/>
    <w:rsid w:val="001E29C6"/>
    <w:rsid w:val="001E2FB2"/>
    <w:rsid w:val="001E3374"/>
    <w:rsid w:val="001E35B4"/>
    <w:rsid w:val="001E3907"/>
    <w:rsid w:val="001E3970"/>
    <w:rsid w:val="001E3E62"/>
    <w:rsid w:val="001E44C2"/>
    <w:rsid w:val="001E49DC"/>
    <w:rsid w:val="001E4AA8"/>
    <w:rsid w:val="001E4B6A"/>
    <w:rsid w:val="001E4B8F"/>
    <w:rsid w:val="001E4FF1"/>
    <w:rsid w:val="001E51D1"/>
    <w:rsid w:val="001E5224"/>
    <w:rsid w:val="001E5448"/>
    <w:rsid w:val="001E549F"/>
    <w:rsid w:val="001E5FE6"/>
    <w:rsid w:val="001E612D"/>
    <w:rsid w:val="001E6632"/>
    <w:rsid w:val="001E6722"/>
    <w:rsid w:val="001E69BA"/>
    <w:rsid w:val="001E6AFC"/>
    <w:rsid w:val="001E6C2E"/>
    <w:rsid w:val="001E7DAF"/>
    <w:rsid w:val="001E7E51"/>
    <w:rsid w:val="001F02E4"/>
    <w:rsid w:val="001F052B"/>
    <w:rsid w:val="001F058F"/>
    <w:rsid w:val="001F0815"/>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811"/>
    <w:rsid w:val="001F4B82"/>
    <w:rsid w:val="001F4E9A"/>
    <w:rsid w:val="001F4FD9"/>
    <w:rsid w:val="001F5390"/>
    <w:rsid w:val="001F56B2"/>
    <w:rsid w:val="001F62BE"/>
    <w:rsid w:val="001F6476"/>
    <w:rsid w:val="001F64C9"/>
    <w:rsid w:val="001F678F"/>
    <w:rsid w:val="001F68BC"/>
    <w:rsid w:val="001F6CD3"/>
    <w:rsid w:val="001F717E"/>
    <w:rsid w:val="001F73BC"/>
    <w:rsid w:val="001F73F4"/>
    <w:rsid w:val="001F74B0"/>
    <w:rsid w:val="001F74E8"/>
    <w:rsid w:val="001F7951"/>
    <w:rsid w:val="001F7F62"/>
    <w:rsid w:val="002000C7"/>
    <w:rsid w:val="002004B5"/>
    <w:rsid w:val="0020069F"/>
    <w:rsid w:val="00200789"/>
    <w:rsid w:val="00200984"/>
    <w:rsid w:val="002009E5"/>
    <w:rsid w:val="00201642"/>
    <w:rsid w:val="00201908"/>
    <w:rsid w:val="00201A93"/>
    <w:rsid w:val="00201B7D"/>
    <w:rsid w:val="0020209B"/>
    <w:rsid w:val="00202469"/>
    <w:rsid w:val="00202558"/>
    <w:rsid w:val="002025ED"/>
    <w:rsid w:val="00202B2B"/>
    <w:rsid w:val="00202DE9"/>
    <w:rsid w:val="00203083"/>
    <w:rsid w:val="00204026"/>
    <w:rsid w:val="00204CC6"/>
    <w:rsid w:val="002053C1"/>
    <w:rsid w:val="00205885"/>
    <w:rsid w:val="00205974"/>
    <w:rsid w:val="00205DE3"/>
    <w:rsid w:val="0020685A"/>
    <w:rsid w:val="00206D7A"/>
    <w:rsid w:val="00206EA1"/>
    <w:rsid w:val="0020716C"/>
    <w:rsid w:val="0020782F"/>
    <w:rsid w:val="0020786D"/>
    <w:rsid w:val="00207A9C"/>
    <w:rsid w:val="00207DB9"/>
    <w:rsid w:val="00210466"/>
    <w:rsid w:val="0021080E"/>
    <w:rsid w:val="00210A4F"/>
    <w:rsid w:val="00210C30"/>
    <w:rsid w:val="00210C5B"/>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175"/>
    <w:rsid w:val="002143ED"/>
    <w:rsid w:val="00215200"/>
    <w:rsid w:val="00216069"/>
    <w:rsid w:val="00216651"/>
    <w:rsid w:val="00216772"/>
    <w:rsid w:val="0021682C"/>
    <w:rsid w:val="00216902"/>
    <w:rsid w:val="00216B3D"/>
    <w:rsid w:val="002174C6"/>
    <w:rsid w:val="00217643"/>
    <w:rsid w:val="0021776A"/>
    <w:rsid w:val="0021781B"/>
    <w:rsid w:val="00217A57"/>
    <w:rsid w:val="00217AE1"/>
    <w:rsid w:val="00217BA0"/>
    <w:rsid w:val="00217BC0"/>
    <w:rsid w:val="00217F26"/>
    <w:rsid w:val="00220117"/>
    <w:rsid w:val="00220559"/>
    <w:rsid w:val="00220AFB"/>
    <w:rsid w:val="00220E0D"/>
    <w:rsid w:val="00220F00"/>
    <w:rsid w:val="002214BA"/>
    <w:rsid w:val="0022150B"/>
    <w:rsid w:val="00221D83"/>
    <w:rsid w:val="00221DAD"/>
    <w:rsid w:val="00221EEC"/>
    <w:rsid w:val="00221F1D"/>
    <w:rsid w:val="002224B8"/>
    <w:rsid w:val="00222677"/>
    <w:rsid w:val="00222907"/>
    <w:rsid w:val="002236FA"/>
    <w:rsid w:val="00223701"/>
    <w:rsid w:val="00223745"/>
    <w:rsid w:val="002237C2"/>
    <w:rsid w:val="00224235"/>
    <w:rsid w:val="0022459D"/>
    <w:rsid w:val="00224D71"/>
    <w:rsid w:val="00224DF3"/>
    <w:rsid w:val="00224FE9"/>
    <w:rsid w:val="00225554"/>
    <w:rsid w:val="0022587A"/>
    <w:rsid w:val="00225A73"/>
    <w:rsid w:val="00225C77"/>
    <w:rsid w:val="0022616B"/>
    <w:rsid w:val="00226281"/>
    <w:rsid w:val="002268B8"/>
    <w:rsid w:val="00226B44"/>
    <w:rsid w:val="0022714E"/>
    <w:rsid w:val="0022756D"/>
    <w:rsid w:val="00227A27"/>
    <w:rsid w:val="00227A42"/>
    <w:rsid w:val="0023055D"/>
    <w:rsid w:val="002305B6"/>
    <w:rsid w:val="00230CDB"/>
    <w:rsid w:val="00230F47"/>
    <w:rsid w:val="00230F98"/>
    <w:rsid w:val="002311BB"/>
    <w:rsid w:val="002315AF"/>
    <w:rsid w:val="002316B2"/>
    <w:rsid w:val="00231DE7"/>
    <w:rsid w:val="0023201E"/>
    <w:rsid w:val="00232125"/>
    <w:rsid w:val="00232433"/>
    <w:rsid w:val="00232566"/>
    <w:rsid w:val="00232DF6"/>
    <w:rsid w:val="0023327C"/>
    <w:rsid w:val="00233E21"/>
    <w:rsid w:val="00234ACC"/>
    <w:rsid w:val="00234B68"/>
    <w:rsid w:val="00234C19"/>
    <w:rsid w:val="00234F66"/>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7"/>
    <w:rsid w:val="00240E0C"/>
    <w:rsid w:val="00240F3E"/>
    <w:rsid w:val="002410F3"/>
    <w:rsid w:val="0024124E"/>
    <w:rsid w:val="0024127A"/>
    <w:rsid w:val="00241539"/>
    <w:rsid w:val="00241592"/>
    <w:rsid w:val="00241697"/>
    <w:rsid w:val="00241F07"/>
    <w:rsid w:val="00242044"/>
    <w:rsid w:val="002426BF"/>
    <w:rsid w:val="002427BB"/>
    <w:rsid w:val="00242856"/>
    <w:rsid w:val="002428ED"/>
    <w:rsid w:val="00242EEA"/>
    <w:rsid w:val="00242F12"/>
    <w:rsid w:val="00243175"/>
    <w:rsid w:val="00243A8E"/>
    <w:rsid w:val="00244016"/>
    <w:rsid w:val="002442E0"/>
    <w:rsid w:val="00244E28"/>
    <w:rsid w:val="00244F3A"/>
    <w:rsid w:val="00244FA0"/>
    <w:rsid w:val="00245E5D"/>
    <w:rsid w:val="002461B0"/>
    <w:rsid w:val="002462B5"/>
    <w:rsid w:val="002468B9"/>
    <w:rsid w:val="00246F58"/>
    <w:rsid w:val="00247602"/>
    <w:rsid w:val="00247C2C"/>
    <w:rsid w:val="00247DF8"/>
    <w:rsid w:val="00250000"/>
    <w:rsid w:val="00250A7A"/>
    <w:rsid w:val="00250AB1"/>
    <w:rsid w:val="00250E3C"/>
    <w:rsid w:val="00251194"/>
    <w:rsid w:val="00251EB0"/>
    <w:rsid w:val="00252063"/>
    <w:rsid w:val="002520A3"/>
    <w:rsid w:val="00252245"/>
    <w:rsid w:val="0025268D"/>
    <w:rsid w:val="002527B3"/>
    <w:rsid w:val="00252BA1"/>
    <w:rsid w:val="002530C8"/>
    <w:rsid w:val="00253209"/>
    <w:rsid w:val="00253618"/>
    <w:rsid w:val="00253707"/>
    <w:rsid w:val="0025382B"/>
    <w:rsid w:val="00253898"/>
    <w:rsid w:val="0025390B"/>
    <w:rsid w:val="00253A2D"/>
    <w:rsid w:val="00253BE6"/>
    <w:rsid w:val="0025400C"/>
    <w:rsid w:val="0025420C"/>
    <w:rsid w:val="002545D0"/>
    <w:rsid w:val="002547A7"/>
    <w:rsid w:val="002552C7"/>
    <w:rsid w:val="0025575D"/>
    <w:rsid w:val="002559A5"/>
    <w:rsid w:val="002559B4"/>
    <w:rsid w:val="0025641A"/>
    <w:rsid w:val="00256589"/>
    <w:rsid w:val="0025676F"/>
    <w:rsid w:val="00256A04"/>
    <w:rsid w:val="00257085"/>
    <w:rsid w:val="00257167"/>
    <w:rsid w:val="00257330"/>
    <w:rsid w:val="00257522"/>
    <w:rsid w:val="00257ABF"/>
    <w:rsid w:val="00257BE5"/>
    <w:rsid w:val="002600D2"/>
    <w:rsid w:val="0026099B"/>
    <w:rsid w:val="00260A45"/>
    <w:rsid w:val="00260B50"/>
    <w:rsid w:val="00260E7F"/>
    <w:rsid w:val="0026145B"/>
    <w:rsid w:val="0026182A"/>
    <w:rsid w:val="0026186D"/>
    <w:rsid w:val="002618DF"/>
    <w:rsid w:val="00261C09"/>
    <w:rsid w:val="00261FA5"/>
    <w:rsid w:val="002620BE"/>
    <w:rsid w:val="0026281D"/>
    <w:rsid w:val="00262B01"/>
    <w:rsid w:val="00262E5E"/>
    <w:rsid w:val="00262E81"/>
    <w:rsid w:val="00263073"/>
    <w:rsid w:val="0026331C"/>
    <w:rsid w:val="0026334B"/>
    <w:rsid w:val="00263422"/>
    <w:rsid w:val="00263A9D"/>
    <w:rsid w:val="00263B3A"/>
    <w:rsid w:val="00263F48"/>
    <w:rsid w:val="00264215"/>
    <w:rsid w:val="00264277"/>
    <w:rsid w:val="0026532B"/>
    <w:rsid w:val="0026543C"/>
    <w:rsid w:val="00265513"/>
    <w:rsid w:val="00265815"/>
    <w:rsid w:val="0026599C"/>
    <w:rsid w:val="00265D4C"/>
    <w:rsid w:val="002662A2"/>
    <w:rsid w:val="0026633C"/>
    <w:rsid w:val="0026648B"/>
    <w:rsid w:val="00266730"/>
    <w:rsid w:val="00267128"/>
    <w:rsid w:val="00267361"/>
    <w:rsid w:val="002678E4"/>
    <w:rsid w:val="00267DE7"/>
    <w:rsid w:val="00267F24"/>
    <w:rsid w:val="00267F41"/>
    <w:rsid w:val="00270132"/>
    <w:rsid w:val="002704E7"/>
    <w:rsid w:val="00270D26"/>
    <w:rsid w:val="00270DC3"/>
    <w:rsid w:val="00270F04"/>
    <w:rsid w:val="002712F3"/>
    <w:rsid w:val="00271502"/>
    <w:rsid w:val="002715F0"/>
    <w:rsid w:val="00271869"/>
    <w:rsid w:val="00271C02"/>
    <w:rsid w:val="00271CF2"/>
    <w:rsid w:val="00271DBF"/>
    <w:rsid w:val="00271F95"/>
    <w:rsid w:val="00272183"/>
    <w:rsid w:val="0027277E"/>
    <w:rsid w:val="00272937"/>
    <w:rsid w:val="00272A5E"/>
    <w:rsid w:val="00272C73"/>
    <w:rsid w:val="00273005"/>
    <w:rsid w:val="0027300D"/>
    <w:rsid w:val="00273314"/>
    <w:rsid w:val="00273430"/>
    <w:rsid w:val="00273477"/>
    <w:rsid w:val="0027369E"/>
    <w:rsid w:val="00274209"/>
    <w:rsid w:val="002742F1"/>
    <w:rsid w:val="00274313"/>
    <w:rsid w:val="0027498B"/>
    <w:rsid w:val="002749FB"/>
    <w:rsid w:val="00274C29"/>
    <w:rsid w:val="00274E3C"/>
    <w:rsid w:val="00274F2B"/>
    <w:rsid w:val="00275065"/>
    <w:rsid w:val="002750F2"/>
    <w:rsid w:val="00275539"/>
    <w:rsid w:val="00275949"/>
    <w:rsid w:val="00275B89"/>
    <w:rsid w:val="00276B89"/>
    <w:rsid w:val="00276D77"/>
    <w:rsid w:val="00277052"/>
    <w:rsid w:val="0027721D"/>
    <w:rsid w:val="00277DC8"/>
    <w:rsid w:val="00277ECC"/>
    <w:rsid w:val="00280042"/>
    <w:rsid w:val="00280296"/>
    <w:rsid w:val="00280659"/>
    <w:rsid w:val="0028139B"/>
    <w:rsid w:val="00281C9C"/>
    <w:rsid w:val="00282067"/>
    <w:rsid w:val="00282130"/>
    <w:rsid w:val="00282177"/>
    <w:rsid w:val="002821BE"/>
    <w:rsid w:val="0028228F"/>
    <w:rsid w:val="00282502"/>
    <w:rsid w:val="00282800"/>
    <w:rsid w:val="002841D8"/>
    <w:rsid w:val="00284592"/>
    <w:rsid w:val="0028461B"/>
    <w:rsid w:val="00284889"/>
    <w:rsid w:val="00284D28"/>
    <w:rsid w:val="0028512B"/>
    <w:rsid w:val="0028545D"/>
    <w:rsid w:val="00285D1A"/>
    <w:rsid w:val="00285F60"/>
    <w:rsid w:val="0028616A"/>
    <w:rsid w:val="002864DA"/>
    <w:rsid w:val="00286B83"/>
    <w:rsid w:val="00286D70"/>
    <w:rsid w:val="002873DC"/>
    <w:rsid w:val="00287449"/>
    <w:rsid w:val="00287573"/>
    <w:rsid w:val="00287B80"/>
    <w:rsid w:val="00287F41"/>
    <w:rsid w:val="00290146"/>
    <w:rsid w:val="00290517"/>
    <w:rsid w:val="002908E9"/>
    <w:rsid w:val="00291095"/>
    <w:rsid w:val="002910BD"/>
    <w:rsid w:val="0029137E"/>
    <w:rsid w:val="002914DE"/>
    <w:rsid w:val="0029183E"/>
    <w:rsid w:val="0029193E"/>
    <w:rsid w:val="00291BBE"/>
    <w:rsid w:val="00291E13"/>
    <w:rsid w:val="0029216A"/>
    <w:rsid w:val="00292592"/>
    <w:rsid w:val="002929E2"/>
    <w:rsid w:val="00292A9C"/>
    <w:rsid w:val="00292E9C"/>
    <w:rsid w:val="00292FDF"/>
    <w:rsid w:val="002938BD"/>
    <w:rsid w:val="00293C10"/>
    <w:rsid w:val="00294032"/>
    <w:rsid w:val="00294126"/>
    <w:rsid w:val="002945DC"/>
    <w:rsid w:val="00294947"/>
    <w:rsid w:val="00294A44"/>
    <w:rsid w:val="00294A6C"/>
    <w:rsid w:val="00294D87"/>
    <w:rsid w:val="002952BA"/>
    <w:rsid w:val="0029539A"/>
    <w:rsid w:val="002959B8"/>
    <w:rsid w:val="00295D2C"/>
    <w:rsid w:val="00295D85"/>
    <w:rsid w:val="00296819"/>
    <w:rsid w:val="00296C91"/>
    <w:rsid w:val="0029725A"/>
    <w:rsid w:val="002972DC"/>
    <w:rsid w:val="00297530"/>
    <w:rsid w:val="002978F8"/>
    <w:rsid w:val="00297B4B"/>
    <w:rsid w:val="002A009D"/>
    <w:rsid w:val="002A05B5"/>
    <w:rsid w:val="002A0831"/>
    <w:rsid w:val="002A094A"/>
    <w:rsid w:val="002A0A6C"/>
    <w:rsid w:val="002A2133"/>
    <w:rsid w:val="002A254E"/>
    <w:rsid w:val="002A2630"/>
    <w:rsid w:val="002A28D5"/>
    <w:rsid w:val="002A2BF6"/>
    <w:rsid w:val="002A2FCD"/>
    <w:rsid w:val="002A3337"/>
    <w:rsid w:val="002A414F"/>
    <w:rsid w:val="002A42D4"/>
    <w:rsid w:val="002A431F"/>
    <w:rsid w:val="002A447C"/>
    <w:rsid w:val="002A482E"/>
    <w:rsid w:val="002A4B25"/>
    <w:rsid w:val="002A4C6F"/>
    <w:rsid w:val="002A4D46"/>
    <w:rsid w:val="002A4F73"/>
    <w:rsid w:val="002A4FF0"/>
    <w:rsid w:val="002A5005"/>
    <w:rsid w:val="002A56B9"/>
    <w:rsid w:val="002A58A9"/>
    <w:rsid w:val="002A5DD1"/>
    <w:rsid w:val="002A60B3"/>
    <w:rsid w:val="002A60E0"/>
    <w:rsid w:val="002A6143"/>
    <w:rsid w:val="002A6209"/>
    <w:rsid w:val="002A67F5"/>
    <w:rsid w:val="002A68AA"/>
    <w:rsid w:val="002A6CB7"/>
    <w:rsid w:val="002A79FF"/>
    <w:rsid w:val="002A7FB8"/>
    <w:rsid w:val="002B0726"/>
    <w:rsid w:val="002B078D"/>
    <w:rsid w:val="002B088B"/>
    <w:rsid w:val="002B08ED"/>
    <w:rsid w:val="002B0937"/>
    <w:rsid w:val="002B0BE1"/>
    <w:rsid w:val="002B1626"/>
    <w:rsid w:val="002B17E5"/>
    <w:rsid w:val="002B18CF"/>
    <w:rsid w:val="002B1A71"/>
    <w:rsid w:val="002B1C75"/>
    <w:rsid w:val="002B2071"/>
    <w:rsid w:val="002B2226"/>
    <w:rsid w:val="002B226D"/>
    <w:rsid w:val="002B26AC"/>
    <w:rsid w:val="002B26D8"/>
    <w:rsid w:val="002B2E28"/>
    <w:rsid w:val="002B2E9B"/>
    <w:rsid w:val="002B30CD"/>
    <w:rsid w:val="002B310B"/>
    <w:rsid w:val="002B3284"/>
    <w:rsid w:val="002B34E6"/>
    <w:rsid w:val="002B3EBF"/>
    <w:rsid w:val="002B3FF3"/>
    <w:rsid w:val="002B42FC"/>
    <w:rsid w:val="002B46B6"/>
    <w:rsid w:val="002B48A6"/>
    <w:rsid w:val="002B4CED"/>
    <w:rsid w:val="002B5199"/>
    <w:rsid w:val="002B5358"/>
    <w:rsid w:val="002B53D5"/>
    <w:rsid w:val="002B5AF4"/>
    <w:rsid w:val="002B5FB2"/>
    <w:rsid w:val="002B6637"/>
    <w:rsid w:val="002B6725"/>
    <w:rsid w:val="002B69AA"/>
    <w:rsid w:val="002B6BB5"/>
    <w:rsid w:val="002B6BD1"/>
    <w:rsid w:val="002B7140"/>
    <w:rsid w:val="002B72A6"/>
    <w:rsid w:val="002B731A"/>
    <w:rsid w:val="002B7495"/>
    <w:rsid w:val="002B7600"/>
    <w:rsid w:val="002B7721"/>
    <w:rsid w:val="002B78B6"/>
    <w:rsid w:val="002B7A7E"/>
    <w:rsid w:val="002B7D6B"/>
    <w:rsid w:val="002B7DBE"/>
    <w:rsid w:val="002C020D"/>
    <w:rsid w:val="002C0288"/>
    <w:rsid w:val="002C0ADD"/>
    <w:rsid w:val="002C10A3"/>
    <w:rsid w:val="002C1177"/>
    <w:rsid w:val="002C1526"/>
    <w:rsid w:val="002C1697"/>
    <w:rsid w:val="002C169D"/>
    <w:rsid w:val="002C1874"/>
    <w:rsid w:val="002C1898"/>
    <w:rsid w:val="002C18B3"/>
    <w:rsid w:val="002C18DA"/>
    <w:rsid w:val="002C1926"/>
    <w:rsid w:val="002C1B33"/>
    <w:rsid w:val="002C1B97"/>
    <w:rsid w:val="002C200F"/>
    <w:rsid w:val="002C26CF"/>
    <w:rsid w:val="002C2876"/>
    <w:rsid w:val="002C2914"/>
    <w:rsid w:val="002C29DB"/>
    <w:rsid w:val="002C36EF"/>
    <w:rsid w:val="002C3A51"/>
    <w:rsid w:val="002C408D"/>
    <w:rsid w:val="002C457F"/>
    <w:rsid w:val="002C4729"/>
    <w:rsid w:val="002C4A8A"/>
    <w:rsid w:val="002C4B2A"/>
    <w:rsid w:val="002C5038"/>
    <w:rsid w:val="002C54D8"/>
    <w:rsid w:val="002C57E8"/>
    <w:rsid w:val="002C5CD5"/>
    <w:rsid w:val="002C5E09"/>
    <w:rsid w:val="002C5F40"/>
    <w:rsid w:val="002C6749"/>
    <w:rsid w:val="002C6A27"/>
    <w:rsid w:val="002C7040"/>
    <w:rsid w:val="002C7078"/>
    <w:rsid w:val="002C721A"/>
    <w:rsid w:val="002C75DE"/>
    <w:rsid w:val="002C7AC8"/>
    <w:rsid w:val="002C7C60"/>
    <w:rsid w:val="002C7E9A"/>
    <w:rsid w:val="002D01E7"/>
    <w:rsid w:val="002D0337"/>
    <w:rsid w:val="002D042F"/>
    <w:rsid w:val="002D0435"/>
    <w:rsid w:val="002D0B4C"/>
    <w:rsid w:val="002D0C07"/>
    <w:rsid w:val="002D1012"/>
    <w:rsid w:val="002D1185"/>
    <w:rsid w:val="002D15F7"/>
    <w:rsid w:val="002D1709"/>
    <w:rsid w:val="002D180D"/>
    <w:rsid w:val="002D18EA"/>
    <w:rsid w:val="002D2375"/>
    <w:rsid w:val="002D24D5"/>
    <w:rsid w:val="002D2823"/>
    <w:rsid w:val="002D2CC0"/>
    <w:rsid w:val="002D2D9D"/>
    <w:rsid w:val="002D2FE9"/>
    <w:rsid w:val="002D3100"/>
    <w:rsid w:val="002D361C"/>
    <w:rsid w:val="002D427A"/>
    <w:rsid w:val="002D4402"/>
    <w:rsid w:val="002D4A60"/>
    <w:rsid w:val="002D4E61"/>
    <w:rsid w:val="002D5207"/>
    <w:rsid w:val="002D531F"/>
    <w:rsid w:val="002D541F"/>
    <w:rsid w:val="002D5BA7"/>
    <w:rsid w:val="002D6187"/>
    <w:rsid w:val="002D62CB"/>
    <w:rsid w:val="002D7583"/>
    <w:rsid w:val="002D7796"/>
    <w:rsid w:val="002D7815"/>
    <w:rsid w:val="002D7B68"/>
    <w:rsid w:val="002D7BCB"/>
    <w:rsid w:val="002E0088"/>
    <w:rsid w:val="002E03CF"/>
    <w:rsid w:val="002E04A3"/>
    <w:rsid w:val="002E05B3"/>
    <w:rsid w:val="002E1068"/>
    <w:rsid w:val="002E12A5"/>
    <w:rsid w:val="002E159F"/>
    <w:rsid w:val="002E15F2"/>
    <w:rsid w:val="002E1699"/>
    <w:rsid w:val="002E1A65"/>
    <w:rsid w:val="002E1BA5"/>
    <w:rsid w:val="002E1C49"/>
    <w:rsid w:val="002E24BE"/>
    <w:rsid w:val="002E261F"/>
    <w:rsid w:val="002E2CED"/>
    <w:rsid w:val="002E32B2"/>
    <w:rsid w:val="002E34F6"/>
    <w:rsid w:val="002E35F8"/>
    <w:rsid w:val="002E39D6"/>
    <w:rsid w:val="002E4587"/>
    <w:rsid w:val="002E4648"/>
    <w:rsid w:val="002E46EB"/>
    <w:rsid w:val="002E4AA6"/>
    <w:rsid w:val="002E501D"/>
    <w:rsid w:val="002E5203"/>
    <w:rsid w:val="002E554A"/>
    <w:rsid w:val="002E55DD"/>
    <w:rsid w:val="002E560A"/>
    <w:rsid w:val="002E570E"/>
    <w:rsid w:val="002E5D72"/>
    <w:rsid w:val="002E62C3"/>
    <w:rsid w:val="002E669A"/>
    <w:rsid w:val="002E7046"/>
    <w:rsid w:val="002E707A"/>
    <w:rsid w:val="002F01C0"/>
    <w:rsid w:val="002F05BF"/>
    <w:rsid w:val="002F1560"/>
    <w:rsid w:val="002F16C7"/>
    <w:rsid w:val="002F1ABE"/>
    <w:rsid w:val="002F1F0F"/>
    <w:rsid w:val="002F23F5"/>
    <w:rsid w:val="002F2502"/>
    <w:rsid w:val="002F2556"/>
    <w:rsid w:val="002F25D1"/>
    <w:rsid w:val="002F2F2E"/>
    <w:rsid w:val="002F2FAB"/>
    <w:rsid w:val="002F3169"/>
    <w:rsid w:val="002F321F"/>
    <w:rsid w:val="002F3483"/>
    <w:rsid w:val="002F34AA"/>
    <w:rsid w:val="002F35FE"/>
    <w:rsid w:val="002F3897"/>
    <w:rsid w:val="002F3946"/>
    <w:rsid w:val="002F4045"/>
    <w:rsid w:val="002F421C"/>
    <w:rsid w:val="002F4384"/>
    <w:rsid w:val="002F4662"/>
    <w:rsid w:val="002F532B"/>
    <w:rsid w:val="002F5458"/>
    <w:rsid w:val="002F54E4"/>
    <w:rsid w:val="002F5C91"/>
    <w:rsid w:val="002F5C9B"/>
    <w:rsid w:val="002F5D64"/>
    <w:rsid w:val="002F619E"/>
    <w:rsid w:val="002F65D9"/>
    <w:rsid w:val="002F6E24"/>
    <w:rsid w:val="002F73FE"/>
    <w:rsid w:val="002F75B6"/>
    <w:rsid w:val="002F7839"/>
    <w:rsid w:val="002F7C45"/>
    <w:rsid w:val="0030015E"/>
    <w:rsid w:val="003004E6"/>
    <w:rsid w:val="00300D1C"/>
    <w:rsid w:val="00301624"/>
    <w:rsid w:val="0030180A"/>
    <w:rsid w:val="00301851"/>
    <w:rsid w:val="0030198A"/>
    <w:rsid w:val="00301EA3"/>
    <w:rsid w:val="003022D1"/>
    <w:rsid w:val="00302318"/>
    <w:rsid w:val="003024F1"/>
    <w:rsid w:val="00302553"/>
    <w:rsid w:val="00302626"/>
    <w:rsid w:val="00302ADC"/>
    <w:rsid w:val="00303155"/>
    <w:rsid w:val="00303364"/>
    <w:rsid w:val="0030381D"/>
    <w:rsid w:val="00303BD0"/>
    <w:rsid w:val="00303C17"/>
    <w:rsid w:val="0030452F"/>
    <w:rsid w:val="003049FA"/>
    <w:rsid w:val="00304A8F"/>
    <w:rsid w:val="00304ADD"/>
    <w:rsid w:val="00304B68"/>
    <w:rsid w:val="00304C3E"/>
    <w:rsid w:val="00304EF1"/>
    <w:rsid w:val="003055DB"/>
    <w:rsid w:val="003056F3"/>
    <w:rsid w:val="0030578B"/>
    <w:rsid w:val="00306B43"/>
    <w:rsid w:val="003072F6"/>
    <w:rsid w:val="00307402"/>
    <w:rsid w:val="00307878"/>
    <w:rsid w:val="00307E4B"/>
    <w:rsid w:val="0031026D"/>
    <w:rsid w:val="0031044C"/>
    <w:rsid w:val="00310945"/>
    <w:rsid w:val="0031095C"/>
    <w:rsid w:val="00310C83"/>
    <w:rsid w:val="00310DFA"/>
    <w:rsid w:val="003111A9"/>
    <w:rsid w:val="00311566"/>
    <w:rsid w:val="00311A91"/>
    <w:rsid w:val="00311D38"/>
    <w:rsid w:val="00312A17"/>
    <w:rsid w:val="00312A5D"/>
    <w:rsid w:val="00312DC6"/>
    <w:rsid w:val="003130EE"/>
    <w:rsid w:val="00313306"/>
    <w:rsid w:val="00313324"/>
    <w:rsid w:val="003146E2"/>
    <w:rsid w:val="003147F8"/>
    <w:rsid w:val="00314E82"/>
    <w:rsid w:val="00315200"/>
    <w:rsid w:val="003152E6"/>
    <w:rsid w:val="00315B25"/>
    <w:rsid w:val="003160EE"/>
    <w:rsid w:val="0031622A"/>
    <w:rsid w:val="003163E5"/>
    <w:rsid w:val="0031695E"/>
    <w:rsid w:val="003169D4"/>
    <w:rsid w:val="00316CF3"/>
    <w:rsid w:val="003170E4"/>
    <w:rsid w:val="00317387"/>
    <w:rsid w:val="0031747B"/>
    <w:rsid w:val="00317708"/>
    <w:rsid w:val="00317918"/>
    <w:rsid w:val="00317B02"/>
    <w:rsid w:val="00317C77"/>
    <w:rsid w:val="00317EDE"/>
    <w:rsid w:val="003204FB"/>
    <w:rsid w:val="0032067A"/>
    <w:rsid w:val="00320771"/>
    <w:rsid w:val="00320919"/>
    <w:rsid w:val="00320B71"/>
    <w:rsid w:val="00321260"/>
    <w:rsid w:val="00321A64"/>
    <w:rsid w:val="00321E6A"/>
    <w:rsid w:val="00321E6E"/>
    <w:rsid w:val="0032210D"/>
    <w:rsid w:val="00322163"/>
    <w:rsid w:val="00322474"/>
    <w:rsid w:val="0032264B"/>
    <w:rsid w:val="00322B58"/>
    <w:rsid w:val="00322BF0"/>
    <w:rsid w:val="00323224"/>
    <w:rsid w:val="00323C46"/>
    <w:rsid w:val="0032411D"/>
    <w:rsid w:val="003248EF"/>
    <w:rsid w:val="00324C0C"/>
    <w:rsid w:val="003254BC"/>
    <w:rsid w:val="003255F5"/>
    <w:rsid w:val="00325BF5"/>
    <w:rsid w:val="00325F22"/>
    <w:rsid w:val="003261A1"/>
    <w:rsid w:val="00326CDE"/>
    <w:rsid w:val="00326DF5"/>
    <w:rsid w:val="00326F0A"/>
    <w:rsid w:val="003276DA"/>
    <w:rsid w:val="00327804"/>
    <w:rsid w:val="00327A82"/>
    <w:rsid w:val="00327C39"/>
    <w:rsid w:val="0033015D"/>
    <w:rsid w:val="003303A6"/>
    <w:rsid w:val="003305F3"/>
    <w:rsid w:val="003307BC"/>
    <w:rsid w:val="003307C5"/>
    <w:rsid w:val="0033091A"/>
    <w:rsid w:val="00330AA1"/>
    <w:rsid w:val="00330D2D"/>
    <w:rsid w:val="00331159"/>
    <w:rsid w:val="00331557"/>
    <w:rsid w:val="00331D37"/>
    <w:rsid w:val="00331E8F"/>
    <w:rsid w:val="00332A96"/>
    <w:rsid w:val="00332AA3"/>
    <w:rsid w:val="00332C39"/>
    <w:rsid w:val="00332F21"/>
    <w:rsid w:val="00332FD3"/>
    <w:rsid w:val="00333F06"/>
    <w:rsid w:val="003344AC"/>
    <w:rsid w:val="00334E78"/>
    <w:rsid w:val="00335128"/>
    <w:rsid w:val="00335273"/>
    <w:rsid w:val="003353D8"/>
    <w:rsid w:val="00335566"/>
    <w:rsid w:val="00335B8C"/>
    <w:rsid w:val="00335E11"/>
    <w:rsid w:val="003363CA"/>
    <w:rsid w:val="00336822"/>
    <w:rsid w:val="00336BEA"/>
    <w:rsid w:val="00336E31"/>
    <w:rsid w:val="00336FF8"/>
    <w:rsid w:val="003375B0"/>
    <w:rsid w:val="003375B9"/>
    <w:rsid w:val="003379E0"/>
    <w:rsid w:val="00337F91"/>
    <w:rsid w:val="00337FBB"/>
    <w:rsid w:val="00340291"/>
    <w:rsid w:val="00340B57"/>
    <w:rsid w:val="00340EF0"/>
    <w:rsid w:val="00340F94"/>
    <w:rsid w:val="003410A8"/>
    <w:rsid w:val="0034180B"/>
    <w:rsid w:val="00341E1C"/>
    <w:rsid w:val="003424E1"/>
    <w:rsid w:val="00342F25"/>
    <w:rsid w:val="00343147"/>
    <w:rsid w:val="003431EE"/>
    <w:rsid w:val="003437E5"/>
    <w:rsid w:val="003438D6"/>
    <w:rsid w:val="00343BEE"/>
    <w:rsid w:val="00344397"/>
    <w:rsid w:val="003445C3"/>
    <w:rsid w:val="0034489E"/>
    <w:rsid w:val="003448A0"/>
    <w:rsid w:val="0034492B"/>
    <w:rsid w:val="00344CBB"/>
    <w:rsid w:val="00344E56"/>
    <w:rsid w:val="00345676"/>
    <w:rsid w:val="00345954"/>
    <w:rsid w:val="00345C19"/>
    <w:rsid w:val="00345CAF"/>
    <w:rsid w:val="00345CB5"/>
    <w:rsid w:val="00345DD4"/>
    <w:rsid w:val="003464B5"/>
    <w:rsid w:val="003465BA"/>
    <w:rsid w:val="00346779"/>
    <w:rsid w:val="00346CD5"/>
    <w:rsid w:val="00346DB7"/>
    <w:rsid w:val="00346ECB"/>
    <w:rsid w:val="00346F79"/>
    <w:rsid w:val="00346F7D"/>
    <w:rsid w:val="00347018"/>
    <w:rsid w:val="00347808"/>
    <w:rsid w:val="00347A6F"/>
    <w:rsid w:val="00347DB1"/>
    <w:rsid w:val="003500DE"/>
    <w:rsid w:val="0035035B"/>
    <w:rsid w:val="003509E5"/>
    <w:rsid w:val="003510FB"/>
    <w:rsid w:val="003516AA"/>
    <w:rsid w:val="0035187F"/>
    <w:rsid w:val="00351935"/>
    <w:rsid w:val="00351970"/>
    <w:rsid w:val="00351BD6"/>
    <w:rsid w:val="003520CA"/>
    <w:rsid w:val="0035230C"/>
    <w:rsid w:val="00352523"/>
    <w:rsid w:val="003525D9"/>
    <w:rsid w:val="00352BDA"/>
    <w:rsid w:val="003531AA"/>
    <w:rsid w:val="00353542"/>
    <w:rsid w:val="003536BB"/>
    <w:rsid w:val="003536D4"/>
    <w:rsid w:val="003537BD"/>
    <w:rsid w:val="003539C5"/>
    <w:rsid w:val="00353AC0"/>
    <w:rsid w:val="00353B5A"/>
    <w:rsid w:val="00354A9E"/>
    <w:rsid w:val="00354CD5"/>
    <w:rsid w:val="003550B1"/>
    <w:rsid w:val="00355753"/>
    <w:rsid w:val="00355C45"/>
    <w:rsid w:val="00356010"/>
    <w:rsid w:val="003562A6"/>
    <w:rsid w:val="003570FA"/>
    <w:rsid w:val="003572CA"/>
    <w:rsid w:val="003574DC"/>
    <w:rsid w:val="003577E0"/>
    <w:rsid w:val="00357915"/>
    <w:rsid w:val="00357F39"/>
    <w:rsid w:val="0036007D"/>
    <w:rsid w:val="00360422"/>
    <w:rsid w:val="00360995"/>
    <w:rsid w:val="00360AAC"/>
    <w:rsid w:val="00361167"/>
    <w:rsid w:val="00361345"/>
    <w:rsid w:val="00361718"/>
    <w:rsid w:val="003622F2"/>
    <w:rsid w:val="0036275C"/>
    <w:rsid w:val="0036279F"/>
    <w:rsid w:val="003632E0"/>
    <w:rsid w:val="003639D6"/>
    <w:rsid w:val="003639F0"/>
    <w:rsid w:val="00363F7C"/>
    <w:rsid w:val="00364734"/>
    <w:rsid w:val="00364D8E"/>
    <w:rsid w:val="00364E33"/>
    <w:rsid w:val="0036518A"/>
    <w:rsid w:val="0036570B"/>
    <w:rsid w:val="00365752"/>
    <w:rsid w:val="0036583C"/>
    <w:rsid w:val="00365B2C"/>
    <w:rsid w:val="00365E32"/>
    <w:rsid w:val="00365F16"/>
    <w:rsid w:val="003664BB"/>
    <w:rsid w:val="003665CB"/>
    <w:rsid w:val="003666D3"/>
    <w:rsid w:val="00366833"/>
    <w:rsid w:val="00367006"/>
    <w:rsid w:val="00367110"/>
    <w:rsid w:val="0036719C"/>
    <w:rsid w:val="0036777F"/>
    <w:rsid w:val="003677DE"/>
    <w:rsid w:val="003678C1"/>
    <w:rsid w:val="0036794A"/>
    <w:rsid w:val="00367EE5"/>
    <w:rsid w:val="003702A2"/>
    <w:rsid w:val="00370C48"/>
    <w:rsid w:val="00370E7C"/>
    <w:rsid w:val="00371182"/>
    <w:rsid w:val="003716BE"/>
    <w:rsid w:val="003716FC"/>
    <w:rsid w:val="00371E6A"/>
    <w:rsid w:val="00372217"/>
    <w:rsid w:val="00372302"/>
    <w:rsid w:val="00372886"/>
    <w:rsid w:val="00372FA8"/>
    <w:rsid w:val="00372FF1"/>
    <w:rsid w:val="003735B7"/>
    <w:rsid w:val="003739DE"/>
    <w:rsid w:val="00373C86"/>
    <w:rsid w:val="00373E56"/>
    <w:rsid w:val="00374041"/>
    <w:rsid w:val="0037475F"/>
    <w:rsid w:val="00375646"/>
    <w:rsid w:val="003757EC"/>
    <w:rsid w:val="00375A4F"/>
    <w:rsid w:val="00375E3F"/>
    <w:rsid w:val="003761C7"/>
    <w:rsid w:val="00376203"/>
    <w:rsid w:val="00376255"/>
    <w:rsid w:val="00376788"/>
    <w:rsid w:val="00376A7D"/>
    <w:rsid w:val="00376C53"/>
    <w:rsid w:val="00376E50"/>
    <w:rsid w:val="00377045"/>
    <w:rsid w:val="0037705B"/>
    <w:rsid w:val="003773F9"/>
    <w:rsid w:val="00377708"/>
    <w:rsid w:val="00377934"/>
    <w:rsid w:val="00377B17"/>
    <w:rsid w:val="00377CEE"/>
    <w:rsid w:val="00377F1B"/>
    <w:rsid w:val="003801C7"/>
    <w:rsid w:val="003803A5"/>
    <w:rsid w:val="0038053F"/>
    <w:rsid w:val="0038068E"/>
    <w:rsid w:val="0038093C"/>
    <w:rsid w:val="003814F5"/>
    <w:rsid w:val="00381719"/>
    <w:rsid w:val="00381760"/>
    <w:rsid w:val="0038176E"/>
    <w:rsid w:val="003817A7"/>
    <w:rsid w:val="00381C1A"/>
    <w:rsid w:val="00381F34"/>
    <w:rsid w:val="00382193"/>
    <w:rsid w:val="00382355"/>
    <w:rsid w:val="00382473"/>
    <w:rsid w:val="0038260D"/>
    <w:rsid w:val="003828F1"/>
    <w:rsid w:val="00382F1B"/>
    <w:rsid w:val="00383F78"/>
    <w:rsid w:val="00384060"/>
    <w:rsid w:val="003840E9"/>
    <w:rsid w:val="00384C21"/>
    <w:rsid w:val="00384DD9"/>
    <w:rsid w:val="00384FC0"/>
    <w:rsid w:val="0038502C"/>
    <w:rsid w:val="003850DC"/>
    <w:rsid w:val="00385718"/>
    <w:rsid w:val="003864AD"/>
    <w:rsid w:val="00386651"/>
    <w:rsid w:val="0038668D"/>
    <w:rsid w:val="00386E10"/>
    <w:rsid w:val="003871E2"/>
    <w:rsid w:val="00387496"/>
    <w:rsid w:val="00387E98"/>
    <w:rsid w:val="003907B0"/>
    <w:rsid w:val="00390866"/>
    <w:rsid w:val="00390E01"/>
    <w:rsid w:val="00390F42"/>
    <w:rsid w:val="00391C05"/>
    <w:rsid w:val="00391F32"/>
    <w:rsid w:val="00392367"/>
    <w:rsid w:val="00392595"/>
    <w:rsid w:val="00392C3A"/>
    <w:rsid w:val="00392F37"/>
    <w:rsid w:val="00393E7C"/>
    <w:rsid w:val="00393FBA"/>
    <w:rsid w:val="00394033"/>
    <w:rsid w:val="00394079"/>
    <w:rsid w:val="003943C8"/>
    <w:rsid w:val="003943FD"/>
    <w:rsid w:val="00394A23"/>
    <w:rsid w:val="00394D4C"/>
    <w:rsid w:val="00394EE4"/>
    <w:rsid w:val="003954A4"/>
    <w:rsid w:val="003954FA"/>
    <w:rsid w:val="003956CC"/>
    <w:rsid w:val="00396099"/>
    <w:rsid w:val="003960EA"/>
    <w:rsid w:val="0039672B"/>
    <w:rsid w:val="0039678E"/>
    <w:rsid w:val="00396F15"/>
    <w:rsid w:val="0039724B"/>
    <w:rsid w:val="0039782F"/>
    <w:rsid w:val="003A0D23"/>
    <w:rsid w:val="003A137B"/>
    <w:rsid w:val="003A179E"/>
    <w:rsid w:val="003A18A0"/>
    <w:rsid w:val="003A1DC8"/>
    <w:rsid w:val="003A23E0"/>
    <w:rsid w:val="003A24DF"/>
    <w:rsid w:val="003A298D"/>
    <w:rsid w:val="003A32C1"/>
    <w:rsid w:val="003A34BD"/>
    <w:rsid w:val="003A35D2"/>
    <w:rsid w:val="003A3716"/>
    <w:rsid w:val="003A394C"/>
    <w:rsid w:val="003A43B1"/>
    <w:rsid w:val="003A4588"/>
    <w:rsid w:val="003A4D48"/>
    <w:rsid w:val="003A4E1C"/>
    <w:rsid w:val="003A5261"/>
    <w:rsid w:val="003A588B"/>
    <w:rsid w:val="003A5D6A"/>
    <w:rsid w:val="003A5EC5"/>
    <w:rsid w:val="003A6656"/>
    <w:rsid w:val="003A6689"/>
    <w:rsid w:val="003A6965"/>
    <w:rsid w:val="003A6C6A"/>
    <w:rsid w:val="003A748E"/>
    <w:rsid w:val="003A7885"/>
    <w:rsid w:val="003A7B31"/>
    <w:rsid w:val="003A7CEC"/>
    <w:rsid w:val="003A7D7C"/>
    <w:rsid w:val="003B04B8"/>
    <w:rsid w:val="003B0512"/>
    <w:rsid w:val="003B06F1"/>
    <w:rsid w:val="003B0ADC"/>
    <w:rsid w:val="003B0C14"/>
    <w:rsid w:val="003B0D78"/>
    <w:rsid w:val="003B1F01"/>
    <w:rsid w:val="003B2552"/>
    <w:rsid w:val="003B2736"/>
    <w:rsid w:val="003B2E71"/>
    <w:rsid w:val="003B31AB"/>
    <w:rsid w:val="003B3335"/>
    <w:rsid w:val="003B41A5"/>
    <w:rsid w:val="003B456F"/>
    <w:rsid w:val="003B4647"/>
    <w:rsid w:val="003B570F"/>
    <w:rsid w:val="003B5713"/>
    <w:rsid w:val="003B5A2D"/>
    <w:rsid w:val="003B5CDA"/>
    <w:rsid w:val="003B5EEF"/>
    <w:rsid w:val="003B6486"/>
    <w:rsid w:val="003B64D6"/>
    <w:rsid w:val="003B65DD"/>
    <w:rsid w:val="003B6F0E"/>
    <w:rsid w:val="003B72BB"/>
    <w:rsid w:val="003B736B"/>
    <w:rsid w:val="003B7467"/>
    <w:rsid w:val="003B7625"/>
    <w:rsid w:val="003B7D7F"/>
    <w:rsid w:val="003C0742"/>
    <w:rsid w:val="003C0B1C"/>
    <w:rsid w:val="003C0F37"/>
    <w:rsid w:val="003C14CA"/>
    <w:rsid w:val="003C1551"/>
    <w:rsid w:val="003C15B9"/>
    <w:rsid w:val="003C1BEA"/>
    <w:rsid w:val="003C1CE9"/>
    <w:rsid w:val="003C1F8C"/>
    <w:rsid w:val="003C250B"/>
    <w:rsid w:val="003C278C"/>
    <w:rsid w:val="003C304F"/>
    <w:rsid w:val="003C3085"/>
    <w:rsid w:val="003C3E6A"/>
    <w:rsid w:val="003C3EAC"/>
    <w:rsid w:val="003C41D6"/>
    <w:rsid w:val="003C424F"/>
    <w:rsid w:val="003C4456"/>
    <w:rsid w:val="003C4657"/>
    <w:rsid w:val="003C4989"/>
    <w:rsid w:val="003C4FFB"/>
    <w:rsid w:val="003C58D7"/>
    <w:rsid w:val="003C6173"/>
    <w:rsid w:val="003C6D67"/>
    <w:rsid w:val="003C6DEA"/>
    <w:rsid w:val="003C6F8F"/>
    <w:rsid w:val="003C7210"/>
    <w:rsid w:val="003C759A"/>
    <w:rsid w:val="003C75BF"/>
    <w:rsid w:val="003C7887"/>
    <w:rsid w:val="003C7EE1"/>
    <w:rsid w:val="003D04F6"/>
    <w:rsid w:val="003D0830"/>
    <w:rsid w:val="003D095E"/>
    <w:rsid w:val="003D0DF2"/>
    <w:rsid w:val="003D132C"/>
    <w:rsid w:val="003D1572"/>
    <w:rsid w:val="003D16A4"/>
    <w:rsid w:val="003D1DC2"/>
    <w:rsid w:val="003D21AF"/>
    <w:rsid w:val="003D235F"/>
    <w:rsid w:val="003D37B0"/>
    <w:rsid w:val="003D3821"/>
    <w:rsid w:val="003D39B7"/>
    <w:rsid w:val="003D3A55"/>
    <w:rsid w:val="003D411B"/>
    <w:rsid w:val="003D4545"/>
    <w:rsid w:val="003D4DBB"/>
    <w:rsid w:val="003D4EB0"/>
    <w:rsid w:val="003D5005"/>
    <w:rsid w:val="003D560B"/>
    <w:rsid w:val="003D5AB1"/>
    <w:rsid w:val="003D5D63"/>
    <w:rsid w:val="003D6348"/>
    <w:rsid w:val="003D642E"/>
    <w:rsid w:val="003D644B"/>
    <w:rsid w:val="003D6732"/>
    <w:rsid w:val="003D6CD7"/>
    <w:rsid w:val="003D79DC"/>
    <w:rsid w:val="003D7E43"/>
    <w:rsid w:val="003D7EA8"/>
    <w:rsid w:val="003D7F0E"/>
    <w:rsid w:val="003D7F3E"/>
    <w:rsid w:val="003D7FFA"/>
    <w:rsid w:val="003E05CB"/>
    <w:rsid w:val="003E0858"/>
    <w:rsid w:val="003E0F26"/>
    <w:rsid w:val="003E148F"/>
    <w:rsid w:val="003E1A6B"/>
    <w:rsid w:val="003E26CF"/>
    <w:rsid w:val="003E26ED"/>
    <w:rsid w:val="003E2B26"/>
    <w:rsid w:val="003E2E6B"/>
    <w:rsid w:val="003E30AD"/>
    <w:rsid w:val="003E3617"/>
    <w:rsid w:val="003E37B2"/>
    <w:rsid w:val="003E3841"/>
    <w:rsid w:val="003E39DE"/>
    <w:rsid w:val="003E3C5C"/>
    <w:rsid w:val="003E3FEF"/>
    <w:rsid w:val="003E41A4"/>
    <w:rsid w:val="003E439A"/>
    <w:rsid w:val="003E47D2"/>
    <w:rsid w:val="003E4860"/>
    <w:rsid w:val="003E4933"/>
    <w:rsid w:val="003E4A7C"/>
    <w:rsid w:val="003E4D08"/>
    <w:rsid w:val="003E4D57"/>
    <w:rsid w:val="003E568A"/>
    <w:rsid w:val="003E60BC"/>
    <w:rsid w:val="003E6298"/>
    <w:rsid w:val="003E63A2"/>
    <w:rsid w:val="003E6906"/>
    <w:rsid w:val="003E6D82"/>
    <w:rsid w:val="003F0811"/>
    <w:rsid w:val="003F08D3"/>
    <w:rsid w:val="003F08E8"/>
    <w:rsid w:val="003F09F3"/>
    <w:rsid w:val="003F0AF7"/>
    <w:rsid w:val="003F0C90"/>
    <w:rsid w:val="003F0F9D"/>
    <w:rsid w:val="003F1B69"/>
    <w:rsid w:val="003F20FA"/>
    <w:rsid w:val="003F22D7"/>
    <w:rsid w:val="003F2725"/>
    <w:rsid w:val="003F2937"/>
    <w:rsid w:val="003F2D13"/>
    <w:rsid w:val="003F359B"/>
    <w:rsid w:val="003F4016"/>
    <w:rsid w:val="003F4319"/>
    <w:rsid w:val="003F45F2"/>
    <w:rsid w:val="003F4664"/>
    <w:rsid w:val="003F4A49"/>
    <w:rsid w:val="003F4AD0"/>
    <w:rsid w:val="003F5035"/>
    <w:rsid w:val="003F5673"/>
    <w:rsid w:val="003F5B6F"/>
    <w:rsid w:val="003F6658"/>
    <w:rsid w:val="003F6B1B"/>
    <w:rsid w:val="003F6DDB"/>
    <w:rsid w:val="003F6F54"/>
    <w:rsid w:val="003F78C3"/>
    <w:rsid w:val="003F7B37"/>
    <w:rsid w:val="003F7CFC"/>
    <w:rsid w:val="004002B1"/>
    <w:rsid w:val="00400731"/>
    <w:rsid w:val="00400799"/>
    <w:rsid w:val="00400BAB"/>
    <w:rsid w:val="00401614"/>
    <w:rsid w:val="00401BE3"/>
    <w:rsid w:val="00401C3D"/>
    <w:rsid w:val="00401CD8"/>
    <w:rsid w:val="00401D29"/>
    <w:rsid w:val="00401D56"/>
    <w:rsid w:val="00401E3B"/>
    <w:rsid w:val="00401EEE"/>
    <w:rsid w:val="00401FAB"/>
    <w:rsid w:val="004029C5"/>
    <w:rsid w:val="00402BBF"/>
    <w:rsid w:val="0040320E"/>
    <w:rsid w:val="004035AE"/>
    <w:rsid w:val="00403B70"/>
    <w:rsid w:val="00403B9A"/>
    <w:rsid w:val="00403C33"/>
    <w:rsid w:val="00403DE1"/>
    <w:rsid w:val="004048A7"/>
    <w:rsid w:val="00404927"/>
    <w:rsid w:val="00404AB9"/>
    <w:rsid w:val="0040525C"/>
    <w:rsid w:val="00405270"/>
    <w:rsid w:val="0040576B"/>
    <w:rsid w:val="00405C0A"/>
    <w:rsid w:val="00405E64"/>
    <w:rsid w:val="004061F9"/>
    <w:rsid w:val="004066FC"/>
    <w:rsid w:val="0040679D"/>
    <w:rsid w:val="00406B79"/>
    <w:rsid w:val="00407079"/>
    <w:rsid w:val="004071D7"/>
    <w:rsid w:val="00407204"/>
    <w:rsid w:val="004072E4"/>
    <w:rsid w:val="00407551"/>
    <w:rsid w:val="0040768B"/>
    <w:rsid w:val="004079C3"/>
    <w:rsid w:val="00407B0F"/>
    <w:rsid w:val="00407B52"/>
    <w:rsid w:val="00407BDF"/>
    <w:rsid w:val="0041028C"/>
    <w:rsid w:val="00410307"/>
    <w:rsid w:val="0041163C"/>
    <w:rsid w:val="004117C3"/>
    <w:rsid w:val="004119B4"/>
    <w:rsid w:val="00411F1B"/>
    <w:rsid w:val="00412110"/>
    <w:rsid w:val="004123DC"/>
    <w:rsid w:val="00412AF0"/>
    <w:rsid w:val="0041325F"/>
    <w:rsid w:val="00413495"/>
    <w:rsid w:val="00413B28"/>
    <w:rsid w:val="00413BE0"/>
    <w:rsid w:val="0041417B"/>
    <w:rsid w:val="0041435D"/>
    <w:rsid w:val="00414645"/>
    <w:rsid w:val="004149E7"/>
    <w:rsid w:val="00414C67"/>
    <w:rsid w:val="00414D03"/>
    <w:rsid w:val="00414E7A"/>
    <w:rsid w:val="00415174"/>
    <w:rsid w:val="00415182"/>
    <w:rsid w:val="004153FD"/>
    <w:rsid w:val="00415458"/>
    <w:rsid w:val="0041570D"/>
    <w:rsid w:val="00415889"/>
    <w:rsid w:val="00415A1C"/>
    <w:rsid w:val="00415C38"/>
    <w:rsid w:val="004164DD"/>
    <w:rsid w:val="0041657F"/>
    <w:rsid w:val="0041662F"/>
    <w:rsid w:val="00416AE8"/>
    <w:rsid w:val="00416F3F"/>
    <w:rsid w:val="00417215"/>
    <w:rsid w:val="00417245"/>
    <w:rsid w:val="00417A9B"/>
    <w:rsid w:val="00420465"/>
    <w:rsid w:val="004204D7"/>
    <w:rsid w:val="00420754"/>
    <w:rsid w:val="004208A3"/>
    <w:rsid w:val="00420946"/>
    <w:rsid w:val="00420AA6"/>
    <w:rsid w:val="00420F18"/>
    <w:rsid w:val="0042140A"/>
    <w:rsid w:val="004215E6"/>
    <w:rsid w:val="004215EF"/>
    <w:rsid w:val="00421716"/>
    <w:rsid w:val="0042190E"/>
    <w:rsid w:val="00421A9F"/>
    <w:rsid w:val="00421C36"/>
    <w:rsid w:val="00421D36"/>
    <w:rsid w:val="00421ED6"/>
    <w:rsid w:val="00421FDF"/>
    <w:rsid w:val="004221B6"/>
    <w:rsid w:val="00422269"/>
    <w:rsid w:val="004229D5"/>
    <w:rsid w:val="00422A38"/>
    <w:rsid w:val="00422B92"/>
    <w:rsid w:val="00422CE2"/>
    <w:rsid w:val="00423669"/>
    <w:rsid w:val="00423701"/>
    <w:rsid w:val="0042371C"/>
    <w:rsid w:val="0042374E"/>
    <w:rsid w:val="00423B1E"/>
    <w:rsid w:val="0042420D"/>
    <w:rsid w:val="004247D7"/>
    <w:rsid w:val="00424FC2"/>
    <w:rsid w:val="00425170"/>
    <w:rsid w:val="00425705"/>
    <w:rsid w:val="004257B4"/>
    <w:rsid w:val="00426054"/>
    <w:rsid w:val="00426693"/>
    <w:rsid w:val="004271AE"/>
    <w:rsid w:val="00427370"/>
    <w:rsid w:val="00427799"/>
    <w:rsid w:val="00427A74"/>
    <w:rsid w:val="00427EF3"/>
    <w:rsid w:val="00427F95"/>
    <w:rsid w:val="00430224"/>
    <w:rsid w:val="004302BC"/>
    <w:rsid w:val="0043060F"/>
    <w:rsid w:val="00430AB7"/>
    <w:rsid w:val="004310C2"/>
    <w:rsid w:val="00431136"/>
    <w:rsid w:val="00432342"/>
    <w:rsid w:val="00432463"/>
    <w:rsid w:val="00432A3A"/>
    <w:rsid w:val="00432AFC"/>
    <w:rsid w:val="00432B79"/>
    <w:rsid w:val="004335BA"/>
    <w:rsid w:val="004343A1"/>
    <w:rsid w:val="00434F06"/>
    <w:rsid w:val="00435274"/>
    <w:rsid w:val="00435570"/>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CE5"/>
    <w:rsid w:val="00437EED"/>
    <w:rsid w:val="0044060E"/>
    <w:rsid w:val="00440A54"/>
    <w:rsid w:val="00440A8B"/>
    <w:rsid w:val="00440B16"/>
    <w:rsid w:val="00440EA5"/>
    <w:rsid w:val="0044113D"/>
    <w:rsid w:val="00441535"/>
    <w:rsid w:val="00441B42"/>
    <w:rsid w:val="00441E17"/>
    <w:rsid w:val="00442129"/>
    <w:rsid w:val="00442956"/>
    <w:rsid w:val="00442D67"/>
    <w:rsid w:val="00442ED1"/>
    <w:rsid w:val="00442EDC"/>
    <w:rsid w:val="00442F0E"/>
    <w:rsid w:val="004430B4"/>
    <w:rsid w:val="00443A2D"/>
    <w:rsid w:val="00443D9D"/>
    <w:rsid w:val="00443F45"/>
    <w:rsid w:val="0044410A"/>
    <w:rsid w:val="004441D9"/>
    <w:rsid w:val="00444919"/>
    <w:rsid w:val="00444ADE"/>
    <w:rsid w:val="00444C30"/>
    <w:rsid w:val="00444EF4"/>
    <w:rsid w:val="0044545A"/>
    <w:rsid w:val="00445793"/>
    <w:rsid w:val="00445875"/>
    <w:rsid w:val="00446BC6"/>
    <w:rsid w:val="00446CB8"/>
    <w:rsid w:val="004474B4"/>
    <w:rsid w:val="004504A1"/>
    <w:rsid w:val="00450624"/>
    <w:rsid w:val="004506E7"/>
    <w:rsid w:val="004509F0"/>
    <w:rsid w:val="004509FF"/>
    <w:rsid w:val="00450BDF"/>
    <w:rsid w:val="00450C97"/>
    <w:rsid w:val="0045126A"/>
    <w:rsid w:val="00451994"/>
    <w:rsid w:val="00451C40"/>
    <w:rsid w:val="00451C5A"/>
    <w:rsid w:val="0045216E"/>
    <w:rsid w:val="0045217B"/>
    <w:rsid w:val="004521D1"/>
    <w:rsid w:val="004530A8"/>
    <w:rsid w:val="00453172"/>
    <w:rsid w:val="00453321"/>
    <w:rsid w:val="004533CA"/>
    <w:rsid w:val="004535F3"/>
    <w:rsid w:val="00453AB5"/>
    <w:rsid w:val="00453F2E"/>
    <w:rsid w:val="00454158"/>
    <w:rsid w:val="00454FEB"/>
    <w:rsid w:val="004554DD"/>
    <w:rsid w:val="00455ACD"/>
    <w:rsid w:val="00455C11"/>
    <w:rsid w:val="00455F1A"/>
    <w:rsid w:val="004565CF"/>
    <w:rsid w:val="004567F1"/>
    <w:rsid w:val="0045691F"/>
    <w:rsid w:val="00456A0C"/>
    <w:rsid w:val="00456E39"/>
    <w:rsid w:val="00456F9F"/>
    <w:rsid w:val="004575D7"/>
    <w:rsid w:val="004576DA"/>
    <w:rsid w:val="004576F5"/>
    <w:rsid w:val="00457EA9"/>
    <w:rsid w:val="00457FC2"/>
    <w:rsid w:val="0046067B"/>
    <w:rsid w:val="00460AE5"/>
    <w:rsid w:val="004617ED"/>
    <w:rsid w:val="00461A73"/>
    <w:rsid w:val="00461AEC"/>
    <w:rsid w:val="00461BB5"/>
    <w:rsid w:val="0046215A"/>
    <w:rsid w:val="0046218A"/>
    <w:rsid w:val="0046251F"/>
    <w:rsid w:val="00462793"/>
    <w:rsid w:val="004629C2"/>
    <w:rsid w:val="004629FB"/>
    <w:rsid w:val="00462CCF"/>
    <w:rsid w:val="00462D69"/>
    <w:rsid w:val="00462DA9"/>
    <w:rsid w:val="00462F04"/>
    <w:rsid w:val="004634EA"/>
    <w:rsid w:val="0046357C"/>
    <w:rsid w:val="00463B6E"/>
    <w:rsid w:val="00463C88"/>
    <w:rsid w:val="00463E25"/>
    <w:rsid w:val="0046477E"/>
    <w:rsid w:val="00464AC3"/>
    <w:rsid w:val="00465174"/>
    <w:rsid w:val="0046573D"/>
    <w:rsid w:val="00465E70"/>
    <w:rsid w:val="00465E88"/>
    <w:rsid w:val="00466B4B"/>
    <w:rsid w:val="00466E20"/>
    <w:rsid w:val="00466F1B"/>
    <w:rsid w:val="00467059"/>
    <w:rsid w:val="0046712E"/>
    <w:rsid w:val="00467201"/>
    <w:rsid w:val="00467621"/>
    <w:rsid w:val="00467AE8"/>
    <w:rsid w:val="00467C4F"/>
    <w:rsid w:val="00467E08"/>
    <w:rsid w:val="00467F21"/>
    <w:rsid w:val="00470066"/>
    <w:rsid w:val="0047012C"/>
    <w:rsid w:val="0047012D"/>
    <w:rsid w:val="0047032F"/>
    <w:rsid w:val="004708A1"/>
    <w:rsid w:val="004708C3"/>
    <w:rsid w:val="00470DA1"/>
    <w:rsid w:val="00471146"/>
    <w:rsid w:val="0047127B"/>
    <w:rsid w:val="004715F6"/>
    <w:rsid w:val="00471603"/>
    <w:rsid w:val="004718E8"/>
    <w:rsid w:val="0047191C"/>
    <w:rsid w:val="00471CAC"/>
    <w:rsid w:val="00471F27"/>
    <w:rsid w:val="00472543"/>
    <w:rsid w:val="00472783"/>
    <w:rsid w:val="00472877"/>
    <w:rsid w:val="00472924"/>
    <w:rsid w:val="00472BA8"/>
    <w:rsid w:val="00473234"/>
    <w:rsid w:val="00473B7E"/>
    <w:rsid w:val="00473E1F"/>
    <w:rsid w:val="004741A0"/>
    <w:rsid w:val="00474B48"/>
    <w:rsid w:val="004752D0"/>
    <w:rsid w:val="0047568E"/>
    <w:rsid w:val="00475E3C"/>
    <w:rsid w:val="00475FAA"/>
    <w:rsid w:val="004763E6"/>
    <w:rsid w:val="00476680"/>
    <w:rsid w:val="00476AC0"/>
    <w:rsid w:val="00476D0D"/>
    <w:rsid w:val="0047756B"/>
    <w:rsid w:val="0047785F"/>
    <w:rsid w:val="00477894"/>
    <w:rsid w:val="004779B2"/>
    <w:rsid w:val="00477A93"/>
    <w:rsid w:val="00477C36"/>
    <w:rsid w:val="00477C5D"/>
    <w:rsid w:val="00477CCF"/>
    <w:rsid w:val="00477D6E"/>
    <w:rsid w:val="00477DC9"/>
    <w:rsid w:val="00480359"/>
    <w:rsid w:val="0048052F"/>
    <w:rsid w:val="00480BFA"/>
    <w:rsid w:val="00480EE4"/>
    <w:rsid w:val="00480FA8"/>
    <w:rsid w:val="004810CD"/>
    <w:rsid w:val="00481BBF"/>
    <w:rsid w:val="00481E51"/>
    <w:rsid w:val="00482382"/>
    <w:rsid w:val="004824BB"/>
    <w:rsid w:val="00482539"/>
    <w:rsid w:val="00482E98"/>
    <w:rsid w:val="00483958"/>
    <w:rsid w:val="0048414D"/>
    <w:rsid w:val="004841D4"/>
    <w:rsid w:val="00484232"/>
    <w:rsid w:val="004842DA"/>
    <w:rsid w:val="0048447B"/>
    <w:rsid w:val="004846B3"/>
    <w:rsid w:val="00484EB7"/>
    <w:rsid w:val="004854B4"/>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CAB"/>
    <w:rsid w:val="00487D43"/>
    <w:rsid w:val="00490349"/>
    <w:rsid w:val="00490421"/>
    <w:rsid w:val="0049057B"/>
    <w:rsid w:val="00490A55"/>
    <w:rsid w:val="00490D00"/>
    <w:rsid w:val="00490D5F"/>
    <w:rsid w:val="00490D64"/>
    <w:rsid w:val="00490F9A"/>
    <w:rsid w:val="0049118E"/>
    <w:rsid w:val="004913BE"/>
    <w:rsid w:val="004916C9"/>
    <w:rsid w:val="00491924"/>
    <w:rsid w:val="00491EEB"/>
    <w:rsid w:val="00491F89"/>
    <w:rsid w:val="004920CC"/>
    <w:rsid w:val="004923F7"/>
    <w:rsid w:val="004924BD"/>
    <w:rsid w:val="0049363D"/>
    <w:rsid w:val="00493C9E"/>
    <w:rsid w:val="00493F3B"/>
    <w:rsid w:val="00493F9E"/>
    <w:rsid w:val="0049482E"/>
    <w:rsid w:val="004948B3"/>
    <w:rsid w:val="00494A20"/>
    <w:rsid w:val="00494EF5"/>
    <w:rsid w:val="004950FA"/>
    <w:rsid w:val="00495418"/>
    <w:rsid w:val="00495FD9"/>
    <w:rsid w:val="004965B3"/>
    <w:rsid w:val="004966C1"/>
    <w:rsid w:val="00496DB7"/>
    <w:rsid w:val="00497669"/>
    <w:rsid w:val="004978EE"/>
    <w:rsid w:val="00497920"/>
    <w:rsid w:val="00497CEA"/>
    <w:rsid w:val="004A018C"/>
    <w:rsid w:val="004A04DB"/>
    <w:rsid w:val="004A07AC"/>
    <w:rsid w:val="004A0E96"/>
    <w:rsid w:val="004A0F7F"/>
    <w:rsid w:val="004A12D4"/>
    <w:rsid w:val="004A1D3F"/>
    <w:rsid w:val="004A2212"/>
    <w:rsid w:val="004A22F4"/>
    <w:rsid w:val="004A273E"/>
    <w:rsid w:val="004A2E68"/>
    <w:rsid w:val="004A2E69"/>
    <w:rsid w:val="004A30A1"/>
    <w:rsid w:val="004A33AC"/>
    <w:rsid w:val="004A3689"/>
    <w:rsid w:val="004A3CBC"/>
    <w:rsid w:val="004A49D1"/>
    <w:rsid w:val="004A5017"/>
    <w:rsid w:val="004A5124"/>
    <w:rsid w:val="004A515B"/>
    <w:rsid w:val="004A517F"/>
    <w:rsid w:val="004A5482"/>
    <w:rsid w:val="004A574C"/>
    <w:rsid w:val="004A5E10"/>
    <w:rsid w:val="004A5EE7"/>
    <w:rsid w:val="004A6706"/>
    <w:rsid w:val="004A6A71"/>
    <w:rsid w:val="004A6B29"/>
    <w:rsid w:val="004A6DD9"/>
    <w:rsid w:val="004A6E1D"/>
    <w:rsid w:val="004A7148"/>
    <w:rsid w:val="004A75E4"/>
    <w:rsid w:val="004B0132"/>
    <w:rsid w:val="004B027E"/>
    <w:rsid w:val="004B0611"/>
    <w:rsid w:val="004B07DC"/>
    <w:rsid w:val="004B0950"/>
    <w:rsid w:val="004B0B09"/>
    <w:rsid w:val="004B0B20"/>
    <w:rsid w:val="004B0C6D"/>
    <w:rsid w:val="004B0DCF"/>
    <w:rsid w:val="004B0FDA"/>
    <w:rsid w:val="004B12F0"/>
    <w:rsid w:val="004B1697"/>
    <w:rsid w:val="004B16E3"/>
    <w:rsid w:val="004B173A"/>
    <w:rsid w:val="004B1D16"/>
    <w:rsid w:val="004B2265"/>
    <w:rsid w:val="004B22DD"/>
    <w:rsid w:val="004B2621"/>
    <w:rsid w:val="004B2635"/>
    <w:rsid w:val="004B287F"/>
    <w:rsid w:val="004B31FF"/>
    <w:rsid w:val="004B32F1"/>
    <w:rsid w:val="004B344B"/>
    <w:rsid w:val="004B36D9"/>
    <w:rsid w:val="004B376D"/>
    <w:rsid w:val="004B3D63"/>
    <w:rsid w:val="004B3EE6"/>
    <w:rsid w:val="004B463A"/>
    <w:rsid w:val="004B52E1"/>
    <w:rsid w:val="004B5F8E"/>
    <w:rsid w:val="004B5FEE"/>
    <w:rsid w:val="004B6415"/>
    <w:rsid w:val="004B6A42"/>
    <w:rsid w:val="004B6C74"/>
    <w:rsid w:val="004B75DC"/>
    <w:rsid w:val="004B7717"/>
    <w:rsid w:val="004B77ED"/>
    <w:rsid w:val="004B7872"/>
    <w:rsid w:val="004B7CE8"/>
    <w:rsid w:val="004C0A97"/>
    <w:rsid w:val="004C0B61"/>
    <w:rsid w:val="004C0CC8"/>
    <w:rsid w:val="004C1194"/>
    <w:rsid w:val="004C1438"/>
    <w:rsid w:val="004C155C"/>
    <w:rsid w:val="004C17A6"/>
    <w:rsid w:val="004C1C35"/>
    <w:rsid w:val="004C27BD"/>
    <w:rsid w:val="004C27D8"/>
    <w:rsid w:val="004C2A24"/>
    <w:rsid w:val="004C2DD2"/>
    <w:rsid w:val="004C2DFE"/>
    <w:rsid w:val="004C317C"/>
    <w:rsid w:val="004C341E"/>
    <w:rsid w:val="004C349F"/>
    <w:rsid w:val="004C36D6"/>
    <w:rsid w:val="004C3893"/>
    <w:rsid w:val="004C390A"/>
    <w:rsid w:val="004C3EC9"/>
    <w:rsid w:val="004C4075"/>
    <w:rsid w:val="004C4415"/>
    <w:rsid w:val="004C44C6"/>
    <w:rsid w:val="004C4609"/>
    <w:rsid w:val="004C4742"/>
    <w:rsid w:val="004C4933"/>
    <w:rsid w:val="004C52FE"/>
    <w:rsid w:val="004C5B2B"/>
    <w:rsid w:val="004C5BEA"/>
    <w:rsid w:val="004C60BD"/>
    <w:rsid w:val="004C6197"/>
    <w:rsid w:val="004C6280"/>
    <w:rsid w:val="004C705A"/>
    <w:rsid w:val="004C7229"/>
    <w:rsid w:val="004C74A4"/>
    <w:rsid w:val="004C7820"/>
    <w:rsid w:val="004C7CE2"/>
    <w:rsid w:val="004D003D"/>
    <w:rsid w:val="004D0044"/>
    <w:rsid w:val="004D01A5"/>
    <w:rsid w:val="004D0363"/>
    <w:rsid w:val="004D08F4"/>
    <w:rsid w:val="004D0929"/>
    <w:rsid w:val="004D0AA7"/>
    <w:rsid w:val="004D0E9F"/>
    <w:rsid w:val="004D0F20"/>
    <w:rsid w:val="004D13B5"/>
    <w:rsid w:val="004D13E7"/>
    <w:rsid w:val="004D1BE9"/>
    <w:rsid w:val="004D1C10"/>
    <w:rsid w:val="004D20BA"/>
    <w:rsid w:val="004D215C"/>
    <w:rsid w:val="004D242A"/>
    <w:rsid w:val="004D27EA"/>
    <w:rsid w:val="004D3559"/>
    <w:rsid w:val="004D3797"/>
    <w:rsid w:val="004D38A3"/>
    <w:rsid w:val="004D39BF"/>
    <w:rsid w:val="004D3F8B"/>
    <w:rsid w:val="004D4177"/>
    <w:rsid w:val="004D4A74"/>
    <w:rsid w:val="004D4AD8"/>
    <w:rsid w:val="004D4ADD"/>
    <w:rsid w:val="004D4E0A"/>
    <w:rsid w:val="004D4EB3"/>
    <w:rsid w:val="004D4F17"/>
    <w:rsid w:val="004D59CE"/>
    <w:rsid w:val="004D5A88"/>
    <w:rsid w:val="004D5CF0"/>
    <w:rsid w:val="004D607D"/>
    <w:rsid w:val="004D62F2"/>
    <w:rsid w:val="004D686A"/>
    <w:rsid w:val="004D7565"/>
    <w:rsid w:val="004D7805"/>
    <w:rsid w:val="004D7CC9"/>
    <w:rsid w:val="004E06A0"/>
    <w:rsid w:val="004E0A90"/>
    <w:rsid w:val="004E11F4"/>
    <w:rsid w:val="004E1203"/>
    <w:rsid w:val="004E1464"/>
    <w:rsid w:val="004E1B62"/>
    <w:rsid w:val="004E205D"/>
    <w:rsid w:val="004E20B2"/>
    <w:rsid w:val="004E2E1C"/>
    <w:rsid w:val="004E30C2"/>
    <w:rsid w:val="004E30E4"/>
    <w:rsid w:val="004E3575"/>
    <w:rsid w:val="004E4167"/>
    <w:rsid w:val="004E42CA"/>
    <w:rsid w:val="004E4586"/>
    <w:rsid w:val="004E4ECE"/>
    <w:rsid w:val="004E525D"/>
    <w:rsid w:val="004E53F7"/>
    <w:rsid w:val="004E58F2"/>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1BF"/>
    <w:rsid w:val="004F03E8"/>
    <w:rsid w:val="004F099A"/>
    <w:rsid w:val="004F09B3"/>
    <w:rsid w:val="004F0AA0"/>
    <w:rsid w:val="004F103F"/>
    <w:rsid w:val="004F1059"/>
    <w:rsid w:val="004F1471"/>
    <w:rsid w:val="004F1839"/>
    <w:rsid w:val="004F19D2"/>
    <w:rsid w:val="004F1A97"/>
    <w:rsid w:val="004F1D61"/>
    <w:rsid w:val="004F1E21"/>
    <w:rsid w:val="004F1ED6"/>
    <w:rsid w:val="004F1F7B"/>
    <w:rsid w:val="004F228A"/>
    <w:rsid w:val="004F22E9"/>
    <w:rsid w:val="004F24B0"/>
    <w:rsid w:val="004F2739"/>
    <w:rsid w:val="004F28E7"/>
    <w:rsid w:val="004F2DCA"/>
    <w:rsid w:val="004F32A6"/>
    <w:rsid w:val="004F3476"/>
    <w:rsid w:val="004F38EE"/>
    <w:rsid w:val="004F3D20"/>
    <w:rsid w:val="004F4325"/>
    <w:rsid w:val="004F4426"/>
    <w:rsid w:val="004F4461"/>
    <w:rsid w:val="004F460E"/>
    <w:rsid w:val="004F4692"/>
    <w:rsid w:val="004F4BB9"/>
    <w:rsid w:val="004F4BCA"/>
    <w:rsid w:val="004F5601"/>
    <w:rsid w:val="004F5D22"/>
    <w:rsid w:val="004F5E3C"/>
    <w:rsid w:val="004F63B9"/>
    <w:rsid w:val="004F69CC"/>
    <w:rsid w:val="004F6F2C"/>
    <w:rsid w:val="004F6F8A"/>
    <w:rsid w:val="004F7506"/>
    <w:rsid w:val="004F762E"/>
    <w:rsid w:val="004F7785"/>
    <w:rsid w:val="004F79C5"/>
    <w:rsid w:val="004F7E8C"/>
    <w:rsid w:val="00500015"/>
    <w:rsid w:val="005004BC"/>
    <w:rsid w:val="00500731"/>
    <w:rsid w:val="00500A74"/>
    <w:rsid w:val="00500AA8"/>
    <w:rsid w:val="00500E4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604A"/>
    <w:rsid w:val="00506D26"/>
    <w:rsid w:val="00507656"/>
    <w:rsid w:val="00507B19"/>
    <w:rsid w:val="00507C25"/>
    <w:rsid w:val="00507CD6"/>
    <w:rsid w:val="00507FA9"/>
    <w:rsid w:val="00510126"/>
    <w:rsid w:val="005102CF"/>
    <w:rsid w:val="00510345"/>
    <w:rsid w:val="0051060F"/>
    <w:rsid w:val="0051064D"/>
    <w:rsid w:val="0051093E"/>
    <w:rsid w:val="00510ABD"/>
    <w:rsid w:val="00510D12"/>
    <w:rsid w:val="00511253"/>
    <w:rsid w:val="005113D0"/>
    <w:rsid w:val="00511755"/>
    <w:rsid w:val="00511A39"/>
    <w:rsid w:val="00511BAD"/>
    <w:rsid w:val="00511D9E"/>
    <w:rsid w:val="00512862"/>
    <w:rsid w:val="00512BF0"/>
    <w:rsid w:val="00512D3F"/>
    <w:rsid w:val="00512F23"/>
    <w:rsid w:val="005132E4"/>
    <w:rsid w:val="005140E8"/>
    <w:rsid w:val="005142CF"/>
    <w:rsid w:val="005145A9"/>
    <w:rsid w:val="005147A0"/>
    <w:rsid w:val="0051543B"/>
    <w:rsid w:val="0051676F"/>
    <w:rsid w:val="00516C0D"/>
    <w:rsid w:val="00516E41"/>
    <w:rsid w:val="00516EF7"/>
    <w:rsid w:val="00517090"/>
    <w:rsid w:val="0051783C"/>
    <w:rsid w:val="00517A78"/>
    <w:rsid w:val="005201F1"/>
    <w:rsid w:val="0052035E"/>
    <w:rsid w:val="005209D5"/>
    <w:rsid w:val="00521386"/>
    <w:rsid w:val="00522480"/>
    <w:rsid w:val="005228AC"/>
    <w:rsid w:val="00522A41"/>
    <w:rsid w:val="00522EA4"/>
    <w:rsid w:val="00523183"/>
    <w:rsid w:val="00523408"/>
    <w:rsid w:val="00523F9C"/>
    <w:rsid w:val="005244D9"/>
    <w:rsid w:val="005245DF"/>
    <w:rsid w:val="005255F3"/>
    <w:rsid w:val="0052562F"/>
    <w:rsid w:val="00525B67"/>
    <w:rsid w:val="00525B7C"/>
    <w:rsid w:val="00526292"/>
    <w:rsid w:val="005263DF"/>
    <w:rsid w:val="005264A7"/>
    <w:rsid w:val="00526D9D"/>
    <w:rsid w:val="00527249"/>
    <w:rsid w:val="00527B73"/>
    <w:rsid w:val="00527CA8"/>
    <w:rsid w:val="0053060D"/>
    <w:rsid w:val="00530E0B"/>
    <w:rsid w:val="005312F9"/>
    <w:rsid w:val="0053135F"/>
    <w:rsid w:val="005315F9"/>
    <w:rsid w:val="00531E7A"/>
    <w:rsid w:val="00532936"/>
    <w:rsid w:val="00532B5C"/>
    <w:rsid w:val="00532D7A"/>
    <w:rsid w:val="00532FB1"/>
    <w:rsid w:val="00533922"/>
    <w:rsid w:val="00533CE2"/>
    <w:rsid w:val="005341EE"/>
    <w:rsid w:val="005342FB"/>
    <w:rsid w:val="005343DB"/>
    <w:rsid w:val="005346A4"/>
    <w:rsid w:val="0053471E"/>
    <w:rsid w:val="00534893"/>
    <w:rsid w:val="00534A26"/>
    <w:rsid w:val="00534D4F"/>
    <w:rsid w:val="00534E59"/>
    <w:rsid w:val="00535362"/>
    <w:rsid w:val="00536306"/>
    <w:rsid w:val="00536382"/>
    <w:rsid w:val="00536CE9"/>
    <w:rsid w:val="00536E44"/>
    <w:rsid w:val="00536E81"/>
    <w:rsid w:val="00536EAF"/>
    <w:rsid w:val="00540129"/>
    <w:rsid w:val="00540515"/>
    <w:rsid w:val="00540522"/>
    <w:rsid w:val="0054080A"/>
    <w:rsid w:val="00540987"/>
    <w:rsid w:val="00540A1F"/>
    <w:rsid w:val="00541199"/>
    <w:rsid w:val="00541268"/>
    <w:rsid w:val="00541913"/>
    <w:rsid w:val="00541A01"/>
    <w:rsid w:val="00541C7E"/>
    <w:rsid w:val="005423E8"/>
    <w:rsid w:val="00542A98"/>
    <w:rsid w:val="00543473"/>
    <w:rsid w:val="00543ACD"/>
    <w:rsid w:val="00543CAA"/>
    <w:rsid w:val="00543CFA"/>
    <w:rsid w:val="00543F21"/>
    <w:rsid w:val="00543FB9"/>
    <w:rsid w:val="0054418D"/>
    <w:rsid w:val="005447EB"/>
    <w:rsid w:val="00544A05"/>
    <w:rsid w:val="00544A19"/>
    <w:rsid w:val="00544CB7"/>
    <w:rsid w:val="0054503F"/>
    <w:rsid w:val="0054509B"/>
    <w:rsid w:val="0054517F"/>
    <w:rsid w:val="005453ED"/>
    <w:rsid w:val="00545581"/>
    <w:rsid w:val="00545CC4"/>
    <w:rsid w:val="00545D72"/>
    <w:rsid w:val="00545E4C"/>
    <w:rsid w:val="00545F2D"/>
    <w:rsid w:val="0054624C"/>
    <w:rsid w:val="005466D7"/>
    <w:rsid w:val="0054671A"/>
    <w:rsid w:val="00546856"/>
    <w:rsid w:val="00546A62"/>
    <w:rsid w:val="00546BAE"/>
    <w:rsid w:val="00546D54"/>
    <w:rsid w:val="0054731D"/>
    <w:rsid w:val="005474B5"/>
    <w:rsid w:val="00547899"/>
    <w:rsid w:val="00547C86"/>
    <w:rsid w:val="00547DF8"/>
    <w:rsid w:val="00550163"/>
    <w:rsid w:val="00550170"/>
    <w:rsid w:val="005505B9"/>
    <w:rsid w:val="005505E1"/>
    <w:rsid w:val="005508C6"/>
    <w:rsid w:val="00550CA7"/>
    <w:rsid w:val="00550FCE"/>
    <w:rsid w:val="005516C9"/>
    <w:rsid w:val="00551952"/>
    <w:rsid w:val="00551A04"/>
    <w:rsid w:val="00551FE5"/>
    <w:rsid w:val="00552387"/>
    <w:rsid w:val="00552487"/>
    <w:rsid w:val="00552592"/>
    <w:rsid w:val="00552A43"/>
    <w:rsid w:val="00552EEB"/>
    <w:rsid w:val="00553810"/>
    <w:rsid w:val="00553829"/>
    <w:rsid w:val="005538FA"/>
    <w:rsid w:val="00553A7E"/>
    <w:rsid w:val="005545A3"/>
    <w:rsid w:val="00554B2F"/>
    <w:rsid w:val="00555203"/>
    <w:rsid w:val="0055537E"/>
    <w:rsid w:val="0055548D"/>
    <w:rsid w:val="00555542"/>
    <w:rsid w:val="00555C48"/>
    <w:rsid w:val="00555D6D"/>
    <w:rsid w:val="005561BD"/>
    <w:rsid w:val="005563A5"/>
    <w:rsid w:val="005568D0"/>
    <w:rsid w:val="00556E1F"/>
    <w:rsid w:val="00557141"/>
    <w:rsid w:val="005571ED"/>
    <w:rsid w:val="0055730A"/>
    <w:rsid w:val="005573CA"/>
    <w:rsid w:val="00557B0E"/>
    <w:rsid w:val="00557FFB"/>
    <w:rsid w:val="005604A6"/>
    <w:rsid w:val="005604B8"/>
    <w:rsid w:val="005604E8"/>
    <w:rsid w:val="00560CC1"/>
    <w:rsid w:val="0056112F"/>
    <w:rsid w:val="0056126C"/>
    <w:rsid w:val="0056127A"/>
    <w:rsid w:val="005614C1"/>
    <w:rsid w:val="00561985"/>
    <w:rsid w:val="0056200D"/>
    <w:rsid w:val="005623CE"/>
    <w:rsid w:val="00562B32"/>
    <w:rsid w:val="005631E0"/>
    <w:rsid w:val="00563230"/>
    <w:rsid w:val="00563267"/>
    <w:rsid w:val="005634EE"/>
    <w:rsid w:val="0056355B"/>
    <w:rsid w:val="005635F1"/>
    <w:rsid w:val="005646D1"/>
    <w:rsid w:val="00564CED"/>
    <w:rsid w:val="005650B9"/>
    <w:rsid w:val="00565E59"/>
    <w:rsid w:val="00565EBC"/>
    <w:rsid w:val="00565FCA"/>
    <w:rsid w:val="00566267"/>
    <w:rsid w:val="0056628A"/>
    <w:rsid w:val="005662F4"/>
    <w:rsid w:val="00566566"/>
    <w:rsid w:val="00566696"/>
    <w:rsid w:val="00566E90"/>
    <w:rsid w:val="00566FAF"/>
    <w:rsid w:val="0056705A"/>
    <w:rsid w:val="005670E2"/>
    <w:rsid w:val="0056735A"/>
    <w:rsid w:val="0056783F"/>
    <w:rsid w:val="005704AB"/>
    <w:rsid w:val="0057078F"/>
    <w:rsid w:val="005708AA"/>
    <w:rsid w:val="005708AD"/>
    <w:rsid w:val="005709B5"/>
    <w:rsid w:val="00570A9E"/>
    <w:rsid w:val="00570D58"/>
    <w:rsid w:val="005711E2"/>
    <w:rsid w:val="0057124B"/>
    <w:rsid w:val="005714B2"/>
    <w:rsid w:val="00571632"/>
    <w:rsid w:val="00571662"/>
    <w:rsid w:val="0057185C"/>
    <w:rsid w:val="00571C19"/>
    <w:rsid w:val="00571C1E"/>
    <w:rsid w:val="005721EA"/>
    <w:rsid w:val="005729D2"/>
    <w:rsid w:val="00573249"/>
    <w:rsid w:val="0057327E"/>
    <w:rsid w:val="00573396"/>
    <w:rsid w:val="00573B96"/>
    <w:rsid w:val="0057404A"/>
    <w:rsid w:val="00574242"/>
    <w:rsid w:val="00574353"/>
    <w:rsid w:val="005746A2"/>
    <w:rsid w:val="0057471E"/>
    <w:rsid w:val="00574DE8"/>
    <w:rsid w:val="005753E5"/>
    <w:rsid w:val="0057592F"/>
    <w:rsid w:val="00576132"/>
    <w:rsid w:val="00576557"/>
    <w:rsid w:val="00577024"/>
    <w:rsid w:val="0057739D"/>
    <w:rsid w:val="0057796F"/>
    <w:rsid w:val="005779C2"/>
    <w:rsid w:val="00577A8E"/>
    <w:rsid w:val="005807BA"/>
    <w:rsid w:val="00580CE9"/>
    <w:rsid w:val="0058124A"/>
    <w:rsid w:val="0058132D"/>
    <w:rsid w:val="00581337"/>
    <w:rsid w:val="00581772"/>
    <w:rsid w:val="005830DE"/>
    <w:rsid w:val="00583234"/>
    <w:rsid w:val="00583754"/>
    <w:rsid w:val="00583DA8"/>
    <w:rsid w:val="005845FD"/>
    <w:rsid w:val="0058494D"/>
    <w:rsid w:val="00584CDC"/>
    <w:rsid w:val="00585CDB"/>
    <w:rsid w:val="00585D6D"/>
    <w:rsid w:val="00585F9F"/>
    <w:rsid w:val="005863E9"/>
    <w:rsid w:val="0058650E"/>
    <w:rsid w:val="005867D6"/>
    <w:rsid w:val="00586962"/>
    <w:rsid w:val="00586A6A"/>
    <w:rsid w:val="00586DB2"/>
    <w:rsid w:val="0058735E"/>
    <w:rsid w:val="005874FB"/>
    <w:rsid w:val="0058765E"/>
    <w:rsid w:val="00587CA4"/>
    <w:rsid w:val="00587E09"/>
    <w:rsid w:val="00587E6C"/>
    <w:rsid w:val="00587EBE"/>
    <w:rsid w:val="005901D4"/>
    <w:rsid w:val="00590201"/>
    <w:rsid w:val="00590707"/>
    <w:rsid w:val="00590A2E"/>
    <w:rsid w:val="00590A83"/>
    <w:rsid w:val="00590C5D"/>
    <w:rsid w:val="00590CD5"/>
    <w:rsid w:val="005911A1"/>
    <w:rsid w:val="005917A8"/>
    <w:rsid w:val="00591F02"/>
    <w:rsid w:val="00592209"/>
    <w:rsid w:val="0059232C"/>
    <w:rsid w:val="00592628"/>
    <w:rsid w:val="00592D01"/>
    <w:rsid w:val="005930BC"/>
    <w:rsid w:val="005932E5"/>
    <w:rsid w:val="00593350"/>
    <w:rsid w:val="0059369D"/>
    <w:rsid w:val="00593A8E"/>
    <w:rsid w:val="00593C81"/>
    <w:rsid w:val="00593DE5"/>
    <w:rsid w:val="00593F42"/>
    <w:rsid w:val="00594118"/>
    <w:rsid w:val="00594857"/>
    <w:rsid w:val="00594CA5"/>
    <w:rsid w:val="005958A8"/>
    <w:rsid w:val="00595B35"/>
    <w:rsid w:val="005961BD"/>
    <w:rsid w:val="00596399"/>
    <w:rsid w:val="00596491"/>
    <w:rsid w:val="00596718"/>
    <w:rsid w:val="00596826"/>
    <w:rsid w:val="00596958"/>
    <w:rsid w:val="00596A60"/>
    <w:rsid w:val="00596BD3"/>
    <w:rsid w:val="005970DE"/>
    <w:rsid w:val="0059764B"/>
    <w:rsid w:val="00597978"/>
    <w:rsid w:val="00597A2D"/>
    <w:rsid w:val="005A04B9"/>
    <w:rsid w:val="005A08FE"/>
    <w:rsid w:val="005A0B0D"/>
    <w:rsid w:val="005A1540"/>
    <w:rsid w:val="005A1911"/>
    <w:rsid w:val="005A1A8A"/>
    <w:rsid w:val="005A21EB"/>
    <w:rsid w:val="005A2354"/>
    <w:rsid w:val="005A267E"/>
    <w:rsid w:val="005A296C"/>
    <w:rsid w:val="005A3063"/>
    <w:rsid w:val="005A392D"/>
    <w:rsid w:val="005A3B55"/>
    <w:rsid w:val="005A3B72"/>
    <w:rsid w:val="005A3E3B"/>
    <w:rsid w:val="005A3F20"/>
    <w:rsid w:val="005A41F0"/>
    <w:rsid w:val="005A4202"/>
    <w:rsid w:val="005A42ED"/>
    <w:rsid w:val="005A491A"/>
    <w:rsid w:val="005A5798"/>
    <w:rsid w:val="005A5940"/>
    <w:rsid w:val="005A598C"/>
    <w:rsid w:val="005A5998"/>
    <w:rsid w:val="005A5F32"/>
    <w:rsid w:val="005A60AF"/>
    <w:rsid w:val="005A6356"/>
    <w:rsid w:val="005A6493"/>
    <w:rsid w:val="005A64D4"/>
    <w:rsid w:val="005A67E1"/>
    <w:rsid w:val="005A6B13"/>
    <w:rsid w:val="005A6D9C"/>
    <w:rsid w:val="005A7722"/>
    <w:rsid w:val="005A7A82"/>
    <w:rsid w:val="005A7F59"/>
    <w:rsid w:val="005B012E"/>
    <w:rsid w:val="005B01DD"/>
    <w:rsid w:val="005B0283"/>
    <w:rsid w:val="005B0506"/>
    <w:rsid w:val="005B07FA"/>
    <w:rsid w:val="005B0DC7"/>
    <w:rsid w:val="005B0F50"/>
    <w:rsid w:val="005B0F7A"/>
    <w:rsid w:val="005B0FE8"/>
    <w:rsid w:val="005B11DD"/>
    <w:rsid w:val="005B170E"/>
    <w:rsid w:val="005B19F2"/>
    <w:rsid w:val="005B1A1E"/>
    <w:rsid w:val="005B1C58"/>
    <w:rsid w:val="005B1D91"/>
    <w:rsid w:val="005B2678"/>
    <w:rsid w:val="005B2BF9"/>
    <w:rsid w:val="005B2C78"/>
    <w:rsid w:val="005B35FB"/>
    <w:rsid w:val="005B36DB"/>
    <w:rsid w:val="005B3792"/>
    <w:rsid w:val="005B37E4"/>
    <w:rsid w:val="005B3F58"/>
    <w:rsid w:val="005B40DF"/>
    <w:rsid w:val="005B414A"/>
    <w:rsid w:val="005B4153"/>
    <w:rsid w:val="005B4303"/>
    <w:rsid w:val="005B4611"/>
    <w:rsid w:val="005B4D0C"/>
    <w:rsid w:val="005B5483"/>
    <w:rsid w:val="005B5904"/>
    <w:rsid w:val="005B59E6"/>
    <w:rsid w:val="005B5AA3"/>
    <w:rsid w:val="005B5B54"/>
    <w:rsid w:val="005B5D55"/>
    <w:rsid w:val="005B6B0F"/>
    <w:rsid w:val="005B6EE0"/>
    <w:rsid w:val="005B73C1"/>
    <w:rsid w:val="005B7509"/>
    <w:rsid w:val="005B752C"/>
    <w:rsid w:val="005B7983"/>
    <w:rsid w:val="005B7D08"/>
    <w:rsid w:val="005B7D1A"/>
    <w:rsid w:val="005B7FE7"/>
    <w:rsid w:val="005C014C"/>
    <w:rsid w:val="005C037F"/>
    <w:rsid w:val="005C04B5"/>
    <w:rsid w:val="005C065C"/>
    <w:rsid w:val="005C0CFF"/>
    <w:rsid w:val="005C0ECE"/>
    <w:rsid w:val="005C1258"/>
    <w:rsid w:val="005C1694"/>
    <w:rsid w:val="005C1859"/>
    <w:rsid w:val="005C189F"/>
    <w:rsid w:val="005C19AF"/>
    <w:rsid w:val="005C1C2E"/>
    <w:rsid w:val="005C240B"/>
    <w:rsid w:val="005C2775"/>
    <w:rsid w:val="005C295D"/>
    <w:rsid w:val="005C2CB3"/>
    <w:rsid w:val="005C35A3"/>
    <w:rsid w:val="005C35CF"/>
    <w:rsid w:val="005C39C0"/>
    <w:rsid w:val="005C3C80"/>
    <w:rsid w:val="005C3F62"/>
    <w:rsid w:val="005C3F79"/>
    <w:rsid w:val="005C417E"/>
    <w:rsid w:val="005C4200"/>
    <w:rsid w:val="005C42A5"/>
    <w:rsid w:val="005C4BB1"/>
    <w:rsid w:val="005C4C76"/>
    <w:rsid w:val="005C4CBD"/>
    <w:rsid w:val="005C4DA4"/>
    <w:rsid w:val="005C4FED"/>
    <w:rsid w:val="005C522B"/>
    <w:rsid w:val="005C52B9"/>
    <w:rsid w:val="005C5663"/>
    <w:rsid w:val="005C5799"/>
    <w:rsid w:val="005C59BA"/>
    <w:rsid w:val="005C6160"/>
    <w:rsid w:val="005C6367"/>
    <w:rsid w:val="005C6BAB"/>
    <w:rsid w:val="005C6D58"/>
    <w:rsid w:val="005C71FC"/>
    <w:rsid w:val="005C7670"/>
    <w:rsid w:val="005C7D50"/>
    <w:rsid w:val="005C7E11"/>
    <w:rsid w:val="005C7F78"/>
    <w:rsid w:val="005D00C0"/>
    <w:rsid w:val="005D086C"/>
    <w:rsid w:val="005D0B7D"/>
    <w:rsid w:val="005D0B9F"/>
    <w:rsid w:val="005D13BE"/>
    <w:rsid w:val="005D1724"/>
    <w:rsid w:val="005D1A14"/>
    <w:rsid w:val="005D1B64"/>
    <w:rsid w:val="005D1C86"/>
    <w:rsid w:val="005D1E53"/>
    <w:rsid w:val="005D21C0"/>
    <w:rsid w:val="005D3666"/>
    <w:rsid w:val="005D3A29"/>
    <w:rsid w:val="005D40DC"/>
    <w:rsid w:val="005D49A4"/>
    <w:rsid w:val="005D50BB"/>
    <w:rsid w:val="005D5187"/>
    <w:rsid w:val="005D518B"/>
    <w:rsid w:val="005D57A4"/>
    <w:rsid w:val="005D5A63"/>
    <w:rsid w:val="005D5C2D"/>
    <w:rsid w:val="005D5EAE"/>
    <w:rsid w:val="005D625B"/>
    <w:rsid w:val="005D664C"/>
    <w:rsid w:val="005D694F"/>
    <w:rsid w:val="005D696F"/>
    <w:rsid w:val="005D6E0A"/>
    <w:rsid w:val="005D704B"/>
    <w:rsid w:val="005D70ED"/>
    <w:rsid w:val="005D74EE"/>
    <w:rsid w:val="005D7B06"/>
    <w:rsid w:val="005D7EF3"/>
    <w:rsid w:val="005E0480"/>
    <w:rsid w:val="005E0644"/>
    <w:rsid w:val="005E0A52"/>
    <w:rsid w:val="005E0A90"/>
    <w:rsid w:val="005E0EDB"/>
    <w:rsid w:val="005E0FCB"/>
    <w:rsid w:val="005E13C5"/>
    <w:rsid w:val="005E17CE"/>
    <w:rsid w:val="005E188F"/>
    <w:rsid w:val="005E1B4E"/>
    <w:rsid w:val="005E24D5"/>
    <w:rsid w:val="005E24E7"/>
    <w:rsid w:val="005E2623"/>
    <w:rsid w:val="005E2BEA"/>
    <w:rsid w:val="005E2EFA"/>
    <w:rsid w:val="005E3508"/>
    <w:rsid w:val="005E3680"/>
    <w:rsid w:val="005E3930"/>
    <w:rsid w:val="005E3A16"/>
    <w:rsid w:val="005E3B04"/>
    <w:rsid w:val="005E4144"/>
    <w:rsid w:val="005E436E"/>
    <w:rsid w:val="005E438F"/>
    <w:rsid w:val="005E454F"/>
    <w:rsid w:val="005E4866"/>
    <w:rsid w:val="005E4A3B"/>
    <w:rsid w:val="005E4BA4"/>
    <w:rsid w:val="005E5118"/>
    <w:rsid w:val="005E5149"/>
    <w:rsid w:val="005E5192"/>
    <w:rsid w:val="005E62DF"/>
    <w:rsid w:val="005E634E"/>
    <w:rsid w:val="005E6A21"/>
    <w:rsid w:val="005E6C6D"/>
    <w:rsid w:val="005E6DAD"/>
    <w:rsid w:val="005E732F"/>
    <w:rsid w:val="005E74D7"/>
    <w:rsid w:val="005E757F"/>
    <w:rsid w:val="005E758C"/>
    <w:rsid w:val="005E79C6"/>
    <w:rsid w:val="005F0031"/>
    <w:rsid w:val="005F02F0"/>
    <w:rsid w:val="005F0454"/>
    <w:rsid w:val="005F0570"/>
    <w:rsid w:val="005F0693"/>
    <w:rsid w:val="005F081C"/>
    <w:rsid w:val="005F0A5B"/>
    <w:rsid w:val="005F0C2C"/>
    <w:rsid w:val="005F0D3B"/>
    <w:rsid w:val="005F1101"/>
    <w:rsid w:val="005F1237"/>
    <w:rsid w:val="005F1A8E"/>
    <w:rsid w:val="005F1B34"/>
    <w:rsid w:val="005F1B8B"/>
    <w:rsid w:val="005F2E64"/>
    <w:rsid w:val="005F2EF7"/>
    <w:rsid w:val="005F309B"/>
    <w:rsid w:val="005F31C9"/>
    <w:rsid w:val="005F34A8"/>
    <w:rsid w:val="005F39FE"/>
    <w:rsid w:val="005F3A0E"/>
    <w:rsid w:val="005F3BA5"/>
    <w:rsid w:val="005F3CDC"/>
    <w:rsid w:val="005F3E1E"/>
    <w:rsid w:val="005F4497"/>
    <w:rsid w:val="005F453B"/>
    <w:rsid w:val="005F4A72"/>
    <w:rsid w:val="005F4CBF"/>
    <w:rsid w:val="005F505A"/>
    <w:rsid w:val="005F572A"/>
    <w:rsid w:val="005F5CCB"/>
    <w:rsid w:val="005F5F24"/>
    <w:rsid w:val="005F63F2"/>
    <w:rsid w:val="005F641C"/>
    <w:rsid w:val="005F6436"/>
    <w:rsid w:val="005F6568"/>
    <w:rsid w:val="005F699C"/>
    <w:rsid w:val="005F6BEF"/>
    <w:rsid w:val="005F6C43"/>
    <w:rsid w:val="005F6E1A"/>
    <w:rsid w:val="005F711B"/>
    <w:rsid w:val="005F71FA"/>
    <w:rsid w:val="005F720D"/>
    <w:rsid w:val="005F73AB"/>
    <w:rsid w:val="005F784F"/>
    <w:rsid w:val="005F7A64"/>
    <w:rsid w:val="005F7AF1"/>
    <w:rsid w:val="005F7E54"/>
    <w:rsid w:val="005F7F62"/>
    <w:rsid w:val="005F7FCE"/>
    <w:rsid w:val="00600397"/>
    <w:rsid w:val="00600604"/>
    <w:rsid w:val="00600993"/>
    <w:rsid w:val="00600B8D"/>
    <w:rsid w:val="00600D24"/>
    <w:rsid w:val="00600E12"/>
    <w:rsid w:val="00601311"/>
    <w:rsid w:val="0060177C"/>
    <w:rsid w:val="006017F9"/>
    <w:rsid w:val="00601BCE"/>
    <w:rsid w:val="0060226C"/>
    <w:rsid w:val="006024F7"/>
    <w:rsid w:val="0060293C"/>
    <w:rsid w:val="00602C94"/>
    <w:rsid w:val="00603048"/>
    <w:rsid w:val="006030FD"/>
    <w:rsid w:val="00603116"/>
    <w:rsid w:val="00603278"/>
    <w:rsid w:val="0060380C"/>
    <w:rsid w:val="00603AA0"/>
    <w:rsid w:val="00603AF1"/>
    <w:rsid w:val="006040A0"/>
    <w:rsid w:val="006042D8"/>
    <w:rsid w:val="00604442"/>
    <w:rsid w:val="00604B5E"/>
    <w:rsid w:val="00604D35"/>
    <w:rsid w:val="00604D3F"/>
    <w:rsid w:val="00605107"/>
    <w:rsid w:val="0060577B"/>
    <w:rsid w:val="006058FA"/>
    <w:rsid w:val="00605A7F"/>
    <w:rsid w:val="00605B19"/>
    <w:rsid w:val="00605B9F"/>
    <w:rsid w:val="00605EF3"/>
    <w:rsid w:val="00606309"/>
    <w:rsid w:val="0060671F"/>
    <w:rsid w:val="006069DA"/>
    <w:rsid w:val="00606BEC"/>
    <w:rsid w:val="00606D2D"/>
    <w:rsid w:val="00607721"/>
    <w:rsid w:val="0060787B"/>
    <w:rsid w:val="006100DA"/>
    <w:rsid w:val="006105D3"/>
    <w:rsid w:val="006105D6"/>
    <w:rsid w:val="00610C3B"/>
    <w:rsid w:val="00610F5E"/>
    <w:rsid w:val="006117E3"/>
    <w:rsid w:val="0061190D"/>
    <w:rsid w:val="0061279E"/>
    <w:rsid w:val="00612825"/>
    <w:rsid w:val="00612978"/>
    <w:rsid w:val="00612CB1"/>
    <w:rsid w:val="00612FC2"/>
    <w:rsid w:val="00613210"/>
    <w:rsid w:val="006133A7"/>
    <w:rsid w:val="0061357D"/>
    <w:rsid w:val="00613701"/>
    <w:rsid w:val="006137AC"/>
    <w:rsid w:val="00613D84"/>
    <w:rsid w:val="006149BB"/>
    <w:rsid w:val="00614AE1"/>
    <w:rsid w:val="00615012"/>
    <w:rsid w:val="00615255"/>
    <w:rsid w:val="00615542"/>
    <w:rsid w:val="00615740"/>
    <w:rsid w:val="00615796"/>
    <w:rsid w:val="006158A7"/>
    <w:rsid w:val="0061590B"/>
    <w:rsid w:val="00615D1B"/>
    <w:rsid w:val="006160C7"/>
    <w:rsid w:val="006163AC"/>
    <w:rsid w:val="00616A26"/>
    <w:rsid w:val="00616B9B"/>
    <w:rsid w:val="00616C00"/>
    <w:rsid w:val="00616DB8"/>
    <w:rsid w:val="00616E46"/>
    <w:rsid w:val="00616E83"/>
    <w:rsid w:val="00617A23"/>
    <w:rsid w:val="00617A8A"/>
    <w:rsid w:val="00617BDF"/>
    <w:rsid w:val="00617DCB"/>
    <w:rsid w:val="00620C5E"/>
    <w:rsid w:val="00620E13"/>
    <w:rsid w:val="006212BA"/>
    <w:rsid w:val="006214E2"/>
    <w:rsid w:val="00621C61"/>
    <w:rsid w:val="00621ED0"/>
    <w:rsid w:val="00622159"/>
    <w:rsid w:val="0062221F"/>
    <w:rsid w:val="0062254F"/>
    <w:rsid w:val="0062268A"/>
    <w:rsid w:val="00622C97"/>
    <w:rsid w:val="00623357"/>
    <w:rsid w:val="006233D0"/>
    <w:rsid w:val="00623681"/>
    <w:rsid w:val="00623CA6"/>
    <w:rsid w:val="00624144"/>
    <w:rsid w:val="00624ACF"/>
    <w:rsid w:val="00624B42"/>
    <w:rsid w:val="00624CA6"/>
    <w:rsid w:val="00625C1A"/>
    <w:rsid w:val="00625E6C"/>
    <w:rsid w:val="006261D0"/>
    <w:rsid w:val="006264D8"/>
    <w:rsid w:val="00626783"/>
    <w:rsid w:val="00627633"/>
    <w:rsid w:val="0062792E"/>
    <w:rsid w:val="00627A41"/>
    <w:rsid w:val="00627AEF"/>
    <w:rsid w:val="00630434"/>
    <w:rsid w:val="00630B33"/>
    <w:rsid w:val="00630C6B"/>
    <w:rsid w:val="00630CA6"/>
    <w:rsid w:val="00630E1A"/>
    <w:rsid w:val="00630EE8"/>
    <w:rsid w:val="0063107F"/>
    <w:rsid w:val="00631823"/>
    <w:rsid w:val="0063185E"/>
    <w:rsid w:val="00632009"/>
    <w:rsid w:val="0063201D"/>
    <w:rsid w:val="00632211"/>
    <w:rsid w:val="00632520"/>
    <w:rsid w:val="00632538"/>
    <w:rsid w:val="00632672"/>
    <w:rsid w:val="0063270F"/>
    <w:rsid w:val="006329B5"/>
    <w:rsid w:val="00633288"/>
    <w:rsid w:val="00633601"/>
    <w:rsid w:val="00633648"/>
    <w:rsid w:val="00633BE2"/>
    <w:rsid w:val="00633D90"/>
    <w:rsid w:val="006352E8"/>
    <w:rsid w:val="006356E5"/>
    <w:rsid w:val="006359CA"/>
    <w:rsid w:val="00635B94"/>
    <w:rsid w:val="00635B98"/>
    <w:rsid w:val="00636498"/>
    <w:rsid w:val="006365A0"/>
    <w:rsid w:val="00636669"/>
    <w:rsid w:val="00636790"/>
    <w:rsid w:val="00637054"/>
    <w:rsid w:val="00637280"/>
    <w:rsid w:val="006374FD"/>
    <w:rsid w:val="00637505"/>
    <w:rsid w:val="0063753C"/>
    <w:rsid w:val="00637B1E"/>
    <w:rsid w:val="00637B9B"/>
    <w:rsid w:val="00637FAE"/>
    <w:rsid w:val="006400DB"/>
    <w:rsid w:val="00640422"/>
    <w:rsid w:val="006408CD"/>
    <w:rsid w:val="006413F4"/>
    <w:rsid w:val="00641B70"/>
    <w:rsid w:val="00641D29"/>
    <w:rsid w:val="00642633"/>
    <w:rsid w:val="006427DC"/>
    <w:rsid w:val="00642921"/>
    <w:rsid w:val="00642B1D"/>
    <w:rsid w:val="00642EE2"/>
    <w:rsid w:val="00643624"/>
    <w:rsid w:val="00643994"/>
    <w:rsid w:val="00643F33"/>
    <w:rsid w:val="006448BB"/>
    <w:rsid w:val="00644C12"/>
    <w:rsid w:val="00644CA0"/>
    <w:rsid w:val="0064505B"/>
    <w:rsid w:val="006450E0"/>
    <w:rsid w:val="0064522A"/>
    <w:rsid w:val="00645284"/>
    <w:rsid w:val="0064567A"/>
    <w:rsid w:val="00645DC4"/>
    <w:rsid w:val="00646514"/>
    <w:rsid w:val="006466D3"/>
    <w:rsid w:val="00646955"/>
    <w:rsid w:val="00646978"/>
    <w:rsid w:val="00646BD3"/>
    <w:rsid w:val="00646C2D"/>
    <w:rsid w:val="00647350"/>
    <w:rsid w:val="00647960"/>
    <w:rsid w:val="00647A86"/>
    <w:rsid w:val="00647EB6"/>
    <w:rsid w:val="00650857"/>
    <w:rsid w:val="00650B75"/>
    <w:rsid w:val="00651705"/>
    <w:rsid w:val="00651FBA"/>
    <w:rsid w:val="0065238B"/>
    <w:rsid w:val="00652585"/>
    <w:rsid w:val="00652651"/>
    <w:rsid w:val="006530B2"/>
    <w:rsid w:val="006532F9"/>
    <w:rsid w:val="00653C89"/>
    <w:rsid w:val="0065418A"/>
    <w:rsid w:val="0065486A"/>
    <w:rsid w:val="00654A04"/>
    <w:rsid w:val="00654AA7"/>
    <w:rsid w:val="00655168"/>
    <w:rsid w:val="006555BA"/>
    <w:rsid w:val="006556B4"/>
    <w:rsid w:val="006557A9"/>
    <w:rsid w:val="0065597A"/>
    <w:rsid w:val="00656532"/>
    <w:rsid w:val="00657162"/>
    <w:rsid w:val="00657208"/>
    <w:rsid w:val="00657422"/>
    <w:rsid w:val="006578C8"/>
    <w:rsid w:val="0065794F"/>
    <w:rsid w:val="006579DD"/>
    <w:rsid w:val="00657B3E"/>
    <w:rsid w:val="00660151"/>
    <w:rsid w:val="00660AC8"/>
    <w:rsid w:val="00660C40"/>
    <w:rsid w:val="00660E70"/>
    <w:rsid w:val="006611C8"/>
    <w:rsid w:val="00661868"/>
    <w:rsid w:val="00661C46"/>
    <w:rsid w:val="00662A7A"/>
    <w:rsid w:val="00662CF1"/>
    <w:rsid w:val="006631F5"/>
    <w:rsid w:val="006637DF"/>
    <w:rsid w:val="0066381D"/>
    <w:rsid w:val="00663C5D"/>
    <w:rsid w:val="00664020"/>
    <w:rsid w:val="0066460E"/>
    <w:rsid w:val="00664BEF"/>
    <w:rsid w:val="0066509D"/>
    <w:rsid w:val="00665141"/>
    <w:rsid w:val="006654FC"/>
    <w:rsid w:val="0066551C"/>
    <w:rsid w:val="00665A97"/>
    <w:rsid w:val="00665E84"/>
    <w:rsid w:val="0066611C"/>
    <w:rsid w:val="0066634E"/>
    <w:rsid w:val="006666B7"/>
    <w:rsid w:val="00666D74"/>
    <w:rsid w:val="00667A28"/>
    <w:rsid w:val="00667AB6"/>
    <w:rsid w:val="00667BCD"/>
    <w:rsid w:val="00667C8E"/>
    <w:rsid w:val="0067000D"/>
    <w:rsid w:val="00670424"/>
    <w:rsid w:val="006708DB"/>
    <w:rsid w:val="00670A41"/>
    <w:rsid w:val="00670B06"/>
    <w:rsid w:val="00670E82"/>
    <w:rsid w:val="00670EFD"/>
    <w:rsid w:val="00670F37"/>
    <w:rsid w:val="00671021"/>
    <w:rsid w:val="006710C3"/>
    <w:rsid w:val="006716AA"/>
    <w:rsid w:val="00671CB9"/>
    <w:rsid w:val="00671EC3"/>
    <w:rsid w:val="0067206B"/>
    <w:rsid w:val="00672718"/>
    <w:rsid w:val="0067283A"/>
    <w:rsid w:val="00672B57"/>
    <w:rsid w:val="00672D2C"/>
    <w:rsid w:val="0067360F"/>
    <w:rsid w:val="00673662"/>
    <w:rsid w:val="006737FD"/>
    <w:rsid w:val="0067394E"/>
    <w:rsid w:val="00673A48"/>
    <w:rsid w:val="00674077"/>
    <w:rsid w:val="006743B1"/>
    <w:rsid w:val="006743C0"/>
    <w:rsid w:val="006744B1"/>
    <w:rsid w:val="00674632"/>
    <w:rsid w:val="0067468D"/>
    <w:rsid w:val="00674B56"/>
    <w:rsid w:val="00674C99"/>
    <w:rsid w:val="00674F6D"/>
    <w:rsid w:val="00675469"/>
    <w:rsid w:val="0067546C"/>
    <w:rsid w:val="006756B0"/>
    <w:rsid w:val="006758B5"/>
    <w:rsid w:val="00675C6D"/>
    <w:rsid w:val="00675C7E"/>
    <w:rsid w:val="00675C80"/>
    <w:rsid w:val="00676379"/>
    <w:rsid w:val="006763F5"/>
    <w:rsid w:val="00676684"/>
    <w:rsid w:val="00676722"/>
    <w:rsid w:val="00676A4C"/>
    <w:rsid w:val="00676ABB"/>
    <w:rsid w:val="00676D35"/>
    <w:rsid w:val="006770F7"/>
    <w:rsid w:val="006774E2"/>
    <w:rsid w:val="00677652"/>
    <w:rsid w:val="00677A8B"/>
    <w:rsid w:val="00677BF1"/>
    <w:rsid w:val="00677F0E"/>
    <w:rsid w:val="006801A1"/>
    <w:rsid w:val="0068032A"/>
    <w:rsid w:val="0068050C"/>
    <w:rsid w:val="0068072B"/>
    <w:rsid w:val="00680882"/>
    <w:rsid w:val="00680D0E"/>
    <w:rsid w:val="00681086"/>
    <w:rsid w:val="00681A94"/>
    <w:rsid w:val="00681C26"/>
    <w:rsid w:val="00681D2B"/>
    <w:rsid w:val="00681E98"/>
    <w:rsid w:val="00681F79"/>
    <w:rsid w:val="00682647"/>
    <w:rsid w:val="00682687"/>
    <w:rsid w:val="006828DE"/>
    <w:rsid w:val="00683106"/>
    <w:rsid w:val="006833C2"/>
    <w:rsid w:val="00683719"/>
    <w:rsid w:val="006838F2"/>
    <w:rsid w:val="006839FD"/>
    <w:rsid w:val="00683AB1"/>
    <w:rsid w:val="00683B13"/>
    <w:rsid w:val="00683CFF"/>
    <w:rsid w:val="006847CC"/>
    <w:rsid w:val="00684A1A"/>
    <w:rsid w:val="00684B6F"/>
    <w:rsid w:val="00684C33"/>
    <w:rsid w:val="00684D38"/>
    <w:rsid w:val="00684F85"/>
    <w:rsid w:val="00685114"/>
    <w:rsid w:val="0068519D"/>
    <w:rsid w:val="006851BD"/>
    <w:rsid w:val="0068583C"/>
    <w:rsid w:val="00685D32"/>
    <w:rsid w:val="00686158"/>
    <w:rsid w:val="006862B3"/>
    <w:rsid w:val="006862CD"/>
    <w:rsid w:val="006864A4"/>
    <w:rsid w:val="0068651F"/>
    <w:rsid w:val="00686549"/>
    <w:rsid w:val="00686C0A"/>
    <w:rsid w:val="00686C56"/>
    <w:rsid w:val="00686DE1"/>
    <w:rsid w:val="00687BA0"/>
    <w:rsid w:val="00687F81"/>
    <w:rsid w:val="00687F8D"/>
    <w:rsid w:val="00687FD4"/>
    <w:rsid w:val="00690777"/>
    <w:rsid w:val="0069079C"/>
    <w:rsid w:val="00690B4F"/>
    <w:rsid w:val="00690E2F"/>
    <w:rsid w:val="00691388"/>
    <w:rsid w:val="006913CD"/>
    <w:rsid w:val="00691444"/>
    <w:rsid w:val="0069169E"/>
    <w:rsid w:val="006916A9"/>
    <w:rsid w:val="0069194C"/>
    <w:rsid w:val="00691D3A"/>
    <w:rsid w:val="00692284"/>
    <w:rsid w:val="0069260C"/>
    <w:rsid w:val="0069269B"/>
    <w:rsid w:val="00692831"/>
    <w:rsid w:val="006937CF"/>
    <w:rsid w:val="00693B42"/>
    <w:rsid w:val="00694221"/>
    <w:rsid w:val="0069427F"/>
    <w:rsid w:val="0069464D"/>
    <w:rsid w:val="00694B5D"/>
    <w:rsid w:val="00695A27"/>
    <w:rsid w:val="00695BC8"/>
    <w:rsid w:val="00695D4D"/>
    <w:rsid w:val="00695E47"/>
    <w:rsid w:val="0069600C"/>
    <w:rsid w:val="00696214"/>
    <w:rsid w:val="00696494"/>
    <w:rsid w:val="00697178"/>
    <w:rsid w:val="00697269"/>
    <w:rsid w:val="0069756A"/>
    <w:rsid w:val="00697636"/>
    <w:rsid w:val="0069770E"/>
    <w:rsid w:val="00697FEB"/>
    <w:rsid w:val="006A0121"/>
    <w:rsid w:val="006A04C7"/>
    <w:rsid w:val="006A06E8"/>
    <w:rsid w:val="006A0810"/>
    <w:rsid w:val="006A0ED4"/>
    <w:rsid w:val="006A11B8"/>
    <w:rsid w:val="006A14F3"/>
    <w:rsid w:val="006A17A8"/>
    <w:rsid w:val="006A21E0"/>
    <w:rsid w:val="006A2252"/>
    <w:rsid w:val="006A22F2"/>
    <w:rsid w:val="006A23DF"/>
    <w:rsid w:val="006A27F9"/>
    <w:rsid w:val="006A2C70"/>
    <w:rsid w:val="006A3659"/>
    <w:rsid w:val="006A3A22"/>
    <w:rsid w:val="006A3AF7"/>
    <w:rsid w:val="006A3C1F"/>
    <w:rsid w:val="006A3C26"/>
    <w:rsid w:val="006A42CA"/>
    <w:rsid w:val="006A48CD"/>
    <w:rsid w:val="006A4A3B"/>
    <w:rsid w:val="006A552A"/>
    <w:rsid w:val="006A5BAF"/>
    <w:rsid w:val="006A671A"/>
    <w:rsid w:val="006A69E2"/>
    <w:rsid w:val="006A6BD2"/>
    <w:rsid w:val="006A6D86"/>
    <w:rsid w:val="006A75C8"/>
    <w:rsid w:val="006A75E1"/>
    <w:rsid w:val="006A7718"/>
    <w:rsid w:val="006A7978"/>
    <w:rsid w:val="006A7D66"/>
    <w:rsid w:val="006A7E73"/>
    <w:rsid w:val="006B02CB"/>
    <w:rsid w:val="006B0B5C"/>
    <w:rsid w:val="006B0B98"/>
    <w:rsid w:val="006B0ECA"/>
    <w:rsid w:val="006B1626"/>
    <w:rsid w:val="006B1A1C"/>
    <w:rsid w:val="006B2B14"/>
    <w:rsid w:val="006B319B"/>
    <w:rsid w:val="006B35C9"/>
    <w:rsid w:val="006B36D3"/>
    <w:rsid w:val="006B3949"/>
    <w:rsid w:val="006B3B48"/>
    <w:rsid w:val="006B3E63"/>
    <w:rsid w:val="006B4564"/>
    <w:rsid w:val="006B4A10"/>
    <w:rsid w:val="006B5002"/>
    <w:rsid w:val="006B580B"/>
    <w:rsid w:val="006B5B62"/>
    <w:rsid w:val="006B6138"/>
    <w:rsid w:val="006B64D4"/>
    <w:rsid w:val="006B654A"/>
    <w:rsid w:val="006B6641"/>
    <w:rsid w:val="006B66EF"/>
    <w:rsid w:val="006B67FF"/>
    <w:rsid w:val="006B6CBD"/>
    <w:rsid w:val="006B6D18"/>
    <w:rsid w:val="006B6DCB"/>
    <w:rsid w:val="006B7548"/>
    <w:rsid w:val="006B77EA"/>
    <w:rsid w:val="006B789C"/>
    <w:rsid w:val="006B7CBA"/>
    <w:rsid w:val="006B7D52"/>
    <w:rsid w:val="006C0679"/>
    <w:rsid w:val="006C06C6"/>
    <w:rsid w:val="006C0BDB"/>
    <w:rsid w:val="006C0F30"/>
    <w:rsid w:val="006C14E7"/>
    <w:rsid w:val="006C1919"/>
    <w:rsid w:val="006C1D1B"/>
    <w:rsid w:val="006C1D2F"/>
    <w:rsid w:val="006C1DDE"/>
    <w:rsid w:val="006C1E5A"/>
    <w:rsid w:val="006C1EE5"/>
    <w:rsid w:val="006C213C"/>
    <w:rsid w:val="006C22E8"/>
    <w:rsid w:val="006C2C39"/>
    <w:rsid w:val="006C2ED5"/>
    <w:rsid w:val="006C30B8"/>
    <w:rsid w:val="006C30C7"/>
    <w:rsid w:val="006C3379"/>
    <w:rsid w:val="006C3892"/>
    <w:rsid w:val="006C3B09"/>
    <w:rsid w:val="006C46DD"/>
    <w:rsid w:val="006C4A18"/>
    <w:rsid w:val="006C4F4D"/>
    <w:rsid w:val="006C517B"/>
    <w:rsid w:val="006C586F"/>
    <w:rsid w:val="006C5D6B"/>
    <w:rsid w:val="006C5F03"/>
    <w:rsid w:val="006C628E"/>
    <w:rsid w:val="006C6D23"/>
    <w:rsid w:val="006C79CB"/>
    <w:rsid w:val="006C7ADC"/>
    <w:rsid w:val="006C7B32"/>
    <w:rsid w:val="006C7D9E"/>
    <w:rsid w:val="006D0116"/>
    <w:rsid w:val="006D011A"/>
    <w:rsid w:val="006D016E"/>
    <w:rsid w:val="006D0698"/>
    <w:rsid w:val="006D0C7B"/>
    <w:rsid w:val="006D1237"/>
    <w:rsid w:val="006D14FE"/>
    <w:rsid w:val="006D150B"/>
    <w:rsid w:val="006D1575"/>
    <w:rsid w:val="006D1677"/>
    <w:rsid w:val="006D1BEC"/>
    <w:rsid w:val="006D1D26"/>
    <w:rsid w:val="006D1DE5"/>
    <w:rsid w:val="006D201B"/>
    <w:rsid w:val="006D2062"/>
    <w:rsid w:val="006D213C"/>
    <w:rsid w:val="006D235A"/>
    <w:rsid w:val="006D3C22"/>
    <w:rsid w:val="006D3DD1"/>
    <w:rsid w:val="006D4060"/>
    <w:rsid w:val="006D4243"/>
    <w:rsid w:val="006D4638"/>
    <w:rsid w:val="006D46E2"/>
    <w:rsid w:val="006D4B63"/>
    <w:rsid w:val="006D513D"/>
    <w:rsid w:val="006D517E"/>
    <w:rsid w:val="006D51FC"/>
    <w:rsid w:val="006D5386"/>
    <w:rsid w:val="006D53B8"/>
    <w:rsid w:val="006D54A0"/>
    <w:rsid w:val="006D56BC"/>
    <w:rsid w:val="006D5783"/>
    <w:rsid w:val="006D5815"/>
    <w:rsid w:val="006D59DA"/>
    <w:rsid w:val="006D5B46"/>
    <w:rsid w:val="006D5BEB"/>
    <w:rsid w:val="006D5E25"/>
    <w:rsid w:val="006D5E4B"/>
    <w:rsid w:val="006D5F51"/>
    <w:rsid w:val="006D60FF"/>
    <w:rsid w:val="006D6235"/>
    <w:rsid w:val="006D653F"/>
    <w:rsid w:val="006D65E6"/>
    <w:rsid w:val="006D6B5D"/>
    <w:rsid w:val="006D6C31"/>
    <w:rsid w:val="006D6EA2"/>
    <w:rsid w:val="006D78E3"/>
    <w:rsid w:val="006D7993"/>
    <w:rsid w:val="006D7C38"/>
    <w:rsid w:val="006D7C59"/>
    <w:rsid w:val="006D7E0D"/>
    <w:rsid w:val="006E0D80"/>
    <w:rsid w:val="006E1122"/>
    <w:rsid w:val="006E121F"/>
    <w:rsid w:val="006E162F"/>
    <w:rsid w:val="006E1690"/>
    <w:rsid w:val="006E1748"/>
    <w:rsid w:val="006E17EC"/>
    <w:rsid w:val="006E1952"/>
    <w:rsid w:val="006E19B8"/>
    <w:rsid w:val="006E1AC2"/>
    <w:rsid w:val="006E1B74"/>
    <w:rsid w:val="006E278A"/>
    <w:rsid w:val="006E2847"/>
    <w:rsid w:val="006E2A49"/>
    <w:rsid w:val="006E2E01"/>
    <w:rsid w:val="006E2F6F"/>
    <w:rsid w:val="006E3131"/>
    <w:rsid w:val="006E32E3"/>
    <w:rsid w:val="006E347C"/>
    <w:rsid w:val="006E396B"/>
    <w:rsid w:val="006E3A7F"/>
    <w:rsid w:val="006E3B27"/>
    <w:rsid w:val="006E3B41"/>
    <w:rsid w:val="006E3BFA"/>
    <w:rsid w:val="006E44A7"/>
    <w:rsid w:val="006E4ECA"/>
    <w:rsid w:val="006E508D"/>
    <w:rsid w:val="006E52BD"/>
    <w:rsid w:val="006E55D8"/>
    <w:rsid w:val="006E589D"/>
    <w:rsid w:val="006E60BD"/>
    <w:rsid w:val="006E66B7"/>
    <w:rsid w:val="006F073B"/>
    <w:rsid w:val="006F0C68"/>
    <w:rsid w:val="006F1141"/>
    <w:rsid w:val="006F1304"/>
    <w:rsid w:val="006F1B67"/>
    <w:rsid w:val="006F1BFD"/>
    <w:rsid w:val="006F208C"/>
    <w:rsid w:val="006F2581"/>
    <w:rsid w:val="006F2AC1"/>
    <w:rsid w:val="006F2CAB"/>
    <w:rsid w:val="006F320D"/>
    <w:rsid w:val="006F32C3"/>
    <w:rsid w:val="006F33BE"/>
    <w:rsid w:val="006F353B"/>
    <w:rsid w:val="006F37DA"/>
    <w:rsid w:val="006F3BAC"/>
    <w:rsid w:val="006F3BE2"/>
    <w:rsid w:val="006F3CE8"/>
    <w:rsid w:val="006F3E77"/>
    <w:rsid w:val="006F3FC6"/>
    <w:rsid w:val="006F402F"/>
    <w:rsid w:val="006F4260"/>
    <w:rsid w:val="006F47B9"/>
    <w:rsid w:val="006F4AAE"/>
    <w:rsid w:val="006F4B5F"/>
    <w:rsid w:val="006F56CE"/>
    <w:rsid w:val="006F5E1F"/>
    <w:rsid w:val="006F5F97"/>
    <w:rsid w:val="006F6857"/>
    <w:rsid w:val="006F6A12"/>
    <w:rsid w:val="006F6D98"/>
    <w:rsid w:val="006F6DF7"/>
    <w:rsid w:val="006F6FFB"/>
    <w:rsid w:val="006F7BCC"/>
    <w:rsid w:val="00700470"/>
    <w:rsid w:val="0070058A"/>
    <w:rsid w:val="00700DD1"/>
    <w:rsid w:val="00700E2D"/>
    <w:rsid w:val="00700E8E"/>
    <w:rsid w:val="00700F23"/>
    <w:rsid w:val="00701368"/>
    <w:rsid w:val="00701506"/>
    <w:rsid w:val="00701810"/>
    <w:rsid w:val="0070183B"/>
    <w:rsid w:val="007018F4"/>
    <w:rsid w:val="0070190E"/>
    <w:rsid w:val="00701C34"/>
    <w:rsid w:val="00701EEA"/>
    <w:rsid w:val="00702384"/>
    <w:rsid w:val="007029F5"/>
    <w:rsid w:val="00702A86"/>
    <w:rsid w:val="00702F20"/>
    <w:rsid w:val="00702F35"/>
    <w:rsid w:val="00702FE2"/>
    <w:rsid w:val="0070301D"/>
    <w:rsid w:val="007031A9"/>
    <w:rsid w:val="0070423F"/>
    <w:rsid w:val="00704347"/>
    <w:rsid w:val="0070448F"/>
    <w:rsid w:val="007046BE"/>
    <w:rsid w:val="007046F2"/>
    <w:rsid w:val="00705011"/>
    <w:rsid w:val="0070504B"/>
    <w:rsid w:val="00705542"/>
    <w:rsid w:val="00706487"/>
    <w:rsid w:val="00706827"/>
    <w:rsid w:val="007068C9"/>
    <w:rsid w:val="00706F8F"/>
    <w:rsid w:val="0070706A"/>
    <w:rsid w:val="00707205"/>
    <w:rsid w:val="007072BB"/>
    <w:rsid w:val="007073DB"/>
    <w:rsid w:val="00707B6A"/>
    <w:rsid w:val="00707CA4"/>
    <w:rsid w:val="0071021C"/>
    <w:rsid w:val="0071048B"/>
    <w:rsid w:val="007105CB"/>
    <w:rsid w:val="00710661"/>
    <w:rsid w:val="00710770"/>
    <w:rsid w:val="00710FFF"/>
    <w:rsid w:val="007110AC"/>
    <w:rsid w:val="007112E5"/>
    <w:rsid w:val="00711573"/>
    <w:rsid w:val="007116B5"/>
    <w:rsid w:val="00711845"/>
    <w:rsid w:val="007119DD"/>
    <w:rsid w:val="00711A36"/>
    <w:rsid w:val="00711AD2"/>
    <w:rsid w:val="00712137"/>
    <w:rsid w:val="007122ED"/>
    <w:rsid w:val="00712315"/>
    <w:rsid w:val="00712927"/>
    <w:rsid w:val="00712B76"/>
    <w:rsid w:val="00712C24"/>
    <w:rsid w:val="0071308E"/>
    <w:rsid w:val="007133B6"/>
    <w:rsid w:val="00714258"/>
    <w:rsid w:val="00714260"/>
    <w:rsid w:val="007145A9"/>
    <w:rsid w:val="0071489C"/>
    <w:rsid w:val="00714C34"/>
    <w:rsid w:val="007150F6"/>
    <w:rsid w:val="007157EF"/>
    <w:rsid w:val="00715BDB"/>
    <w:rsid w:val="00715D23"/>
    <w:rsid w:val="00715E07"/>
    <w:rsid w:val="00716338"/>
    <w:rsid w:val="0071640E"/>
    <w:rsid w:val="00716520"/>
    <w:rsid w:val="00716D4C"/>
    <w:rsid w:val="00717158"/>
    <w:rsid w:val="00717237"/>
    <w:rsid w:val="007173BD"/>
    <w:rsid w:val="00717432"/>
    <w:rsid w:val="0071760B"/>
    <w:rsid w:val="00717704"/>
    <w:rsid w:val="007177AE"/>
    <w:rsid w:val="0071795A"/>
    <w:rsid w:val="007204FA"/>
    <w:rsid w:val="007208DA"/>
    <w:rsid w:val="007209B6"/>
    <w:rsid w:val="00720C57"/>
    <w:rsid w:val="00720C74"/>
    <w:rsid w:val="00720D56"/>
    <w:rsid w:val="00721073"/>
    <w:rsid w:val="00721347"/>
    <w:rsid w:val="00721B48"/>
    <w:rsid w:val="00721C9B"/>
    <w:rsid w:val="00721F8F"/>
    <w:rsid w:val="00722239"/>
    <w:rsid w:val="007222F5"/>
    <w:rsid w:val="00722562"/>
    <w:rsid w:val="00722862"/>
    <w:rsid w:val="00722DBE"/>
    <w:rsid w:val="007238BE"/>
    <w:rsid w:val="00723C21"/>
    <w:rsid w:val="00723CCB"/>
    <w:rsid w:val="00723F78"/>
    <w:rsid w:val="00724007"/>
    <w:rsid w:val="007244F5"/>
    <w:rsid w:val="00724877"/>
    <w:rsid w:val="00724F32"/>
    <w:rsid w:val="007255B2"/>
    <w:rsid w:val="00725805"/>
    <w:rsid w:val="00726532"/>
    <w:rsid w:val="00726652"/>
    <w:rsid w:val="00726B79"/>
    <w:rsid w:val="0072710D"/>
    <w:rsid w:val="007271E5"/>
    <w:rsid w:val="00727400"/>
    <w:rsid w:val="00727404"/>
    <w:rsid w:val="0072765C"/>
    <w:rsid w:val="007308C3"/>
    <w:rsid w:val="0073096D"/>
    <w:rsid w:val="00730C55"/>
    <w:rsid w:val="00731247"/>
    <w:rsid w:val="00731352"/>
    <w:rsid w:val="007313B6"/>
    <w:rsid w:val="007314FB"/>
    <w:rsid w:val="00731A16"/>
    <w:rsid w:val="00731E9A"/>
    <w:rsid w:val="00732DBA"/>
    <w:rsid w:val="00733153"/>
    <w:rsid w:val="007332D3"/>
    <w:rsid w:val="00733580"/>
    <w:rsid w:val="00733582"/>
    <w:rsid w:val="00733642"/>
    <w:rsid w:val="007337BA"/>
    <w:rsid w:val="007341CC"/>
    <w:rsid w:val="007341EF"/>
    <w:rsid w:val="00734210"/>
    <w:rsid w:val="007345E8"/>
    <w:rsid w:val="007347F0"/>
    <w:rsid w:val="0073504B"/>
    <w:rsid w:val="0073539E"/>
    <w:rsid w:val="007354B1"/>
    <w:rsid w:val="0073563E"/>
    <w:rsid w:val="007356C2"/>
    <w:rsid w:val="00735A89"/>
    <w:rsid w:val="00735AC7"/>
    <w:rsid w:val="00735ED1"/>
    <w:rsid w:val="00735F8F"/>
    <w:rsid w:val="00736679"/>
    <w:rsid w:val="007367AB"/>
    <w:rsid w:val="00736946"/>
    <w:rsid w:val="0073697D"/>
    <w:rsid w:val="00736E5E"/>
    <w:rsid w:val="0073779C"/>
    <w:rsid w:val="00737812"/>
    <w:rsid w:val="00737F83"/>
    <w:rsid w:val="007403BB"/>
    <w:rsid w:val="00740D12"/>
    <w:rsid w:val="00740D1D"/>
    <w:rsid w:val="00740D99"/>
    <w:rsid w:val="00742390"/>
    <w:rsid w:val="00742660"/>
    <w:rsid w:val="0074278D"/>
    <w:rsid w:val="00742872"/>
    <w:rsid w:val="0074289E"/>
    <w:rsid w:val="007428A6"/>
    <w:rsid w:val="00742F4C"/>
    <w:rsid w:val="007433A8"/>
    <w:rsid w:val="00743BA0"/>
    <w:rsid w:val="00743D7E"/>
    <w:rsid w:val="007440B2"/>
    <w:rsid w:val="0074461C"/>
    <w:rsid w:val="00744957"/>
    <w:rsid w:val="00744BF8"/>
    <w:rsid w:val="00744C1A"/>
    <w:rsid w:val="00744FCF"/>
    <w:rsid w:val="00745283"/>
    <w:rsid w:val="00745354"/>
    <w:rsid w:val="00745698"/>
    <w:rsid w:val="00745727"/>
    <w:rsid w:val="00745844"/>
    <w:rsid w:val="00745C19"/>
    <w:rsid w:val="0074649E"/>
    <w:rsid w:val="00746705"/>
    <w:rsid w:val="00746B7C"/>
    <w:rsid w:val="00746E22"/>
    <w:rsid w:val="0074742F"/>
    <w:rsid w:val="00747EEC"/>
    <w:rsid w:val="00750275"/>
    <w:rsid w:val="0075047A"/>
    <w:rsid w:val="00750502"/>
    <w:rsid w:val="0075059C"/>
    <w:rsid w:val="007508D2"/>
    <w:rsid w:val="00750FA5"/>
    <w:rsid w:val="007510DF"/>
    <w:rsid w:val="007512D0"/>
    <w:rsid w:val="007513D7"/>
    <w:rsid w:val="007514A8"/>
    <w:rsid w:val="00751F30"/>
    <w:rsid w:val="0075238A"/>
    <w:rsid w:val="00752392"/>
    <w:rsid w:val="00752703"/>
    <w:rsid w:val="00752899"/>
    <w:rsid w:val="007528A9"/>
    <w:rsid w:val="00752D54"/>
    <w:rsid w:val="00752D98"/>
    <w:rsid w:val="00752F1E"/>
    <w:rsid w:val="007533F8"/>
    <w:rsid w:val="007537C3"/>
    <w:rsid w:val="00753A3D"/>
    <w:rsid w:val="00754581"/>
    <w:rsid w:val="007547D0"/>
    <w:rsid w:val="00754A07"/>
    <w:rsid w:val="00754BAF"/>
    <w:rsid w:val="00754F37"/>
    <w:rsid w:val="00755191"/>
    <w:rsid w:val="00755ACA"/>
    <w:rsid w:val="00755E60"/>
    <w:rsid w:val="0075630B"/>
    <w:rsid w:val="0075639F"/>
    <w:rsid w:val="00756497"/>
    <w:rsid w:val="0075688D"/>
    <w:rsid w:val="0075689E"/>
    <w:rsid w:val="007568A1"/>
    <w:rsid w:val="0075695B"/>
    <w:rsid w:val="00756CA9"/>
    <w:rsid w:val="00757024"/>
    <w:rsid w:val="00757055"/>
    <w:rsid w:val="007574B1"/>
    <w:rsid w:val="00760285"/>
    <w:rsid w:val="00760655"/>
    <w:rsid w:val="00760678"/>
    <w:rsid w:val="0076069A"/>
    <w:rsid w:val="00760A5C"/>
    <w:rsid w:val="00760E29"/>
    <w:rsid w:val="0076169B"/>
    <w:rsid w:val="00761874"/>
    <w:rsid w:val="00761BF7"/>
    <w:rsid w:val="00761CC8"/>
    <w:rsid w:val="00761D0A"/>
    <w:rsid w:val="00762974"/>
    <w:rsid w:val="0076334B"/>
    <w:rsid w:val="0076359F"/>
    <w:rsid w:val="0076399E"/>
    <w:rsid w:val="00763E5E"/>
    <w:rsid w:val="00764696"/>
    <w:rsid w:val="00764E45"/>
    <w:rsid w:val="00764E9F"/>
    <w:rsid w:val="00765675"/>
    <w:rsid w:val="0076567B"/>
    <w:rsid w:val="0076582C"/>
    <w:rsid w:val="007658EF"/>
    <w:rsid w:val="00765F87"/>
    <w:rsid w:val="0076611E"/>
    <w:rsid w:val="007666AE"/>
    <w:rsid w:val="00766881"/>
    <w:rsid w:val="00766891"/>
    <w:rsid w:val="00766B91"/>
    <w:rsid w:val="00766C88"/>
    <w:rsid w:val="00766FEB"/>
    <w:rsid w:val="0076772C"/>
    <w:rsid w:val="007678AD"/>
    <w:rsid w:val="00767958"/>
    <w:rsid w:val="00767BEE"/>
    <w:rsid w:val="00767D8A"/>
    <w:rsid w:val="00770176"/>
    <w:rsid w:val="007701C0"/>
    <w:rsid w:val="00770853"/>
    <w:rsid w:val="00770969"/>
    <w:rsid w:val="00770E79"/>
    <w:rsid w:val="00771258"/>
    <w:rsid w:val="0077161B"/>
    <w:rsid w:val="007717AB"/>
    <w:rsid w:val="00771892"/>
    <w:rsid w:val="00771AC1"/>
    <w:rsid w:val="00771E1A"/>
    <w:rsid w:val="00771EF7"/>
    <w:rsid w:val="00771F2B"/>
    <w:rsid w:val="00772500"/>
    <w:rsid w:val="007726D3"/>
    <w:rsid w:val="00772E9C"/>
    <w:rsid w:val="007732D4"/>
    <w:rsid w:val="00773483"/>
    <w:rsid w:val="007734FE"/>
    <w:rsid w:val="00773548"/>
    <w:rsid w:val="00773832"/>
    <w:rsid w:val="0077385F"/>
    <w:rsid w:val="00773A54"/>
    <w:rsid w:val="0077416B"/>
    <w:rsid w:val="00774F4C"/>
    <w:rsid w:val="00774F8E"/>
    <w:rsid w:val="00775307"/>
    <w:rsid w:val="007753E9"/>
    <w:rsid w:val="00775B9D"/>
    <w:rsid w:val="007769BE"/>
    <w:rsid w:val="00776B79"/>
    <w:rsid w:val="00776C41"/>
    <w:rsid w:val="00776E3A"/>
    <w:rsid w:val="007774C9"/>
    <w:rsid w:val="007777B8"/>
    <w:rsid w:val="00777B03"/>
    <w:rsid w:val="00780107"/>
    <w:rsid w:val="00780159"/>
    <w:rsid w:val="007803D3"/>
    <w:rsid w:val="0078041A"/>
    <w:rsid w:val="00780595"/>
    <w:rsid w:val="0078071C"/>
    <w:rsid w:val="00781544"/>
    <w:rsid w:val="00781A59"/>
    <w:rsid w:val="00781C5B"/>
    <w:rsid w:val="00782368"/>
    <w:rsid w:val="00782840"/>
    <w:rsid w:val="00782A32"/>
    <w:rsid w:val="00782E22"/>
    <w:rsid w:val="00782F98"/>
    <w:rsid w:val="0078333C"/>
    <w:rsid w:val="007837D6"/>
    <w:rsid w:val="00784BE3"/>
    <w:rsid w:val="007853A6"/>
    <w:rsid w:val="00785548"/>
    <w:rsid w:val="007860EE"/>
    <w:rsid w:val="007861AB"/>
    <w:rsid w:val="00786767"/>
    <w:rsid w:val="0078687B"/>
    <w:rsid w:val="00786E10"/>
    <w:rsid w:val="00786E1D"/>
    <w:rsid w:val="00786FDF"/>
    <w:rsid w:val="00787293"/>
    <w:rsid w:val="0078733D"/>
    <w:rsid w:val="0078764E"/>
    <w:rsid w:val="007876C4"/>
    <w:rsid w:val="00787928"/>
    <w:rsid w:val="00787ADA"/>
    <w:rsid w:val="00787D59"/>
    <w:rsid w:val="00787E7F"/>
    <w:rsid w:val="00787F56"/>
    <w:rsid w:val="00790034"/>
    <w:rsid w:val="007900C4"/>
    <w:rsid w:val="007902C8"/>
    <w:rsid w:val="00790367"/>
    <w:rsid w:val="00790902"/>
    <w:rsid w:val="00790E5A"/>
    <w:rsid w:val="00791199"/>
    <w:rsid w:val="00791255"/>
    <w:rsid w:val="00791383"/>
    <w:rsid w:val="007914CC"/>
    <w:rsid w:val="007914EB"/>
    <w:rsid w:val="00791559"/>
    <w:rsid w:val="00791A78"/>
    <w:rsid w:val="00791B66"/>
    <w:rsid w:val="00791C7A"/>
    <w:rsid w:val="00791F3C"/>
    <w:rsid w:val="00792754"/>
    <w:rsid w:val="0079291C"/>
    <w:rsid w:val="00792DC9"/>
    <w:rsid w:val="007933D8"/>
    <w:rsid w:val="00793CF3"/>
    <w:rsid w:val="00793F84"/>
    <w:rsid w:val="0079497E"/>
    <w:rsid w:val="00794E16"/>
    <w:rsid w:val="00795AA8"/>
    <w:rsid w:val="00796963"/>
    <w:rsid w:val="00797E7C"/>
    <w:rsid w:val="007A013D"/>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334A"/>
    <w:rsid w:val="007A3FBB"/>
    <w:rsid w:val="007A44D8"/>
    <w:rsid w:val="007A45DB"/>
    <w:rsid w:val="007A532F"/>
    <w:rsid w:val="007A544D"/>
    <w:rsid w:val="007A5D81"/>
    <w:rsid w:val="007A5E76"/>
    <w:rsid w:val="007A61E5"/>
    <w:rsid w:val="007A63FF"/>
    <w:rsid w:val="007A7AE1"/>
    <w:rsid w:val="007A7BCA"/>
    <w:rsid w:val="007B0131"/>
    <w:rsid w:val="007B015F"/>
    <w:rsid w:val="007B035F"/>
    <w:rsid w:val="007B03FE"/>
    <w:rsid w:val="007B0583"/>
    <w:rsid w:val="007B09D2"/>
    <w:rsid w:val="007B0CB0"/>
    <w:rsid w:val="007B0CE6"/>
    <w:rsid w:val="007B0DA7"/>
    <w:rsid w:val="007B11AD"/>
    <w:rsid w:val="007B131A"/>
    <w:rsid w:val="007B1B20"/>
    <w:rsid w:val="007B1C81"/>
    <w:rsid w:val="007B1D8D"/>
    <w:rsid w:val="007B24D9"/>
    <w:rsid w:val="007B25CB"/>
    <w:rsid w:val="007B29A2"/>
    <w:rsid w:val="007B306A"/>
    <w:rsid w:val="007B3341"/>
    <w:rsid w:val="007B355D"/>
    <w:rsid w:val="007B3AFC"/>
    <w:rsid w:val="007B4035"/>
    <w:rsid w:val="007B5110"/>
    <w:rsid w:val="007B5134"/>
    <w:rsid w:val="007B53A3"/>
    <w:rsid w:val="007B596F"/>
    <w:rsid w:val="007B5EF3"/>
    <w:rsid w:val="007B5FF2"/>
    <w:rsid w:val="007B6133"/>
    <w:rsid w:val="007B629A"/>
    <w:rsid w:val="007B6452"/>
    <w:rsid w:val="007B6B76"/>
    <w:rsid w:val="007B6CD5"/>
    <w:rsid w:val="007B7168"/>
    <w:rsid w:val="007B718C"/>
    <w:rsid w:val="007C00FC"/>
    <w:rsid w:val="007C03E4"/>
    <w:rsid w:val="007C051A"/>
    <w:rsid w:val="007C0B82"/>
    <w:rsid w:val="007C0CF7"/>
    <w:rsid w:val="007C17D6"/>
    <w:rsid w:val="007C17FA"/>
    <w:rsid w:val="007C1B6B"/>
    <w:rsid w:val="007C228C"/>
    <w:rsid w:val="007C23F3"/>
    <w:rsid w:val="007C27CF"/>
    <w:rsid w:val="007C3506"/>
    <w:rsid w:val="007C378A"/>
    <w:rsid w:val="007C39DA"/>
    <w:rsid w:val="007C3B43"/>
    <w:rsid w:val="007C3F02"/>
    <w:rsid w:val="007C41BB"/>
    <w:rsid w:val="007C4328"/>
    <w:rsid w:val="007C47AE"/>
    <w:rsid w:val="007C4A12"/>
    <w:rsid w:val="007C4C5E"/>
    <w:rsid w:val="007C4E55"/>
    <w:rsid w:val="007C4F78"/>
    <w:rsid w:val="007C5DFE"/>
    <w:rsid w:val="007C63B2"/>
    <w:rsid w:val="007C6550"/>
    <w:rsid w:val="007C6FC5"/>
    <w:rsid w:val="007C7074"/>
    <w:rsid w:val="007C742B"/>
    <w:rsid w:val="007C7C2C"/>
    <w:rsid w:val="007D0045"/>
    <w:rsid w:val="007D03F7"/>
    <w:rsid w:val="007D052A"/>
    <w:rsid w:val="007D0941"/>
    <w:rsid w:val="007D0A1E"/>
    <w:rsid w:val="007D132A"/>
    <w:rsid w:val="007D13AD"/>
    <w:rsid w:val="007D15FF"/>
    <w:rsid w:val="007D1C36"/>
    <w:rsid w:val="007D2034"/>
    <w:rsid w:val="007D220F"/>
    <w:rsid w:val="007D297B"/>
    <w:rsid w:val="007D2AFC"/>
    <w:rsid w:val="007D2C20"/>
    <w:rsid w:val="007D2F1A"/>
    <w:rsid w:val="007D2F2B"/>
    <w:rsid w:val="007D308D"/>
    <w:rsid w:val="007D30E7"/>
    <w:rsid w:val="007D3DB2"/>
    <w:rsid w:val="007D43ED"/>
    <w:rsid w:val="007D4620"/>
    <w:rsid w:val="007D468F"/>
    <w:rsid w:val="007D4867"/>
    <w:rsid w:val="007D4BA6"/>
    <w:rsid w:val="007D500C"/>
    <w:rsid w:val="007D567F"/>
    <w:rsid w:val="007D5B3B"/>
    <w:rsid w:val="007D68AF"/>
    <w:rsid w:val="007D6C94"/>
    <w:rsid w:val="007D71B5"/>
    <w:rsid w:val="007D7E6A"/>
    <w:rsid w:val="007D7F3E"/>
    <w:rsid w:val="007E025C"/>
    <w:rsid w:val="007E038D"/>
    <w:rsid w:val="007E1441"/>
    <w:rsid w:val="007E1636"/>
    <w:rsid w:val="007E1D4F"/>
    <w:rsid w:val="007E2299"/>
    <w:rsid w:val="007E2427"/>
    <w:rsid w:val="007E2F63"/>
    <w:rsid w:val="007E353A"/>
    <w:rsid w:val="007E39BE"/>
    <w:rsid w:val="007E43E0"/>
    <w:rsid w:val="007E4D8F"/>
    <w:rsid w:val="007E5323"/>
    <w:rsid w:val="007E532F"/>
    <w:rsid w:val="007E5414"/>
    <w:rsid w:val="007E5B46"/>
    <w:rsid w:val="007E5B5D"/>
    <w:rsid w:val="007E5D23"/>
    <w:rsid w:val="007E5D69"/>
    <w:rsid w:val="007E62C5"/>
    <w:rsid w:val="007E659A"/>
    <w:rsid w:val="007E69FD"/>
    <w:rsid w:val="007E6E27"/>
    <w:rsid w:val="007E7360"/>
    <w:rsid w:val="007E7642"/>
    <w:rsid w:val="007F009A"/>
    <w:rsid w:val="007F00EC"/>
    <w:rsid w:val="007F0130"/>
    <w:rsid w:val="007F014D"/>
    <w:rsid w:val="007F0213"/>
    <w:rsid w:val="007F02C0"/>
    <w:rsid w:val="007F02FC"/>
    <w:rsid w:val="007F0396"/>
    <w:rsid w:val="007F075E"/>
    <w:rsid w:val="007F114E"/>
    <w:rsid w:val="007F1CD4"/>
    <w:rsid w:val="007F21E6"/>
    <w:rsid w:val="007F2C8D"/>
    <w:rsid w:val="007F2CDE"/>
    <w:rsid w:val="007F2E2B"/>
    <w:rsid w:val="007F2E5C"/>
    <w:rsid w:val="007F32F2"/>
    <w:rsid w:val="007F33CA"/>
    <w:rsid w:val="007F34C9"/>
    <w:rsid w:val="007F39D8"/>
    <w:rsid w:val="007F3C3D"/>
    <w:rsid w:val="007F3C5D"/>
    <w:rsid w:val="007F444D"/>
    <w:rsid w:val="007F4562"/>
    <w:rsid w:val="007F469F"/>
    <w:rsid w:val="007F478C"/>
    <w:rsid w:val="007F4AD6"/>
    <w:rsid w:val="007F4EF6"/>
    <w:rsid w:val="007F51E1"/>
    <w:rsid w:val="007F5570"/>
    <w:rsid w:val="007F5863"/>
    <w:rsid w:val="007F591E"/>
    <w:rsid w:val="007F65BF"/>
    <w:rsid w:val="007F65C8"/>
    <w:rsid w:val="007F66C2"/>
    <w:rsid w:val="007F6C57"/>
    <w:rsid w:val="007F6F88"/>
    <w:rsid w:val="007F73B2"/>
    <w:rsid w:val="007F74B5"/>
    <w:rsid w:val="007F75AB"/>
    <w:rsid w:val="007F7895"/>
    <w:rsid w:val="007F7AC9"/>
    <w:rsid w:val="007F7FFA"/>
    <w:rsid w:val="00800230"/>
    <w:rsid w:val="008011DB"/>
    <w:rsid w:val="008013F4"/>
    <w:rsid w:val="00801879"/>
    <w:rsid w:val="00801E74"/>
    <w:rsid w:val="00801EF1"/>
    <w:rsid w:val="008020CC"/>
    <w:rsid w:val="008021DA"/>
    <w:rsid w:val="0080256C"/>
    <w:rsid w:val="008026EF"/>
    <w:rsid w:val="0080349D"/>
    <w:rsid w:val="00803513"/>
    <w:rsid w:val="008038FF"/>
    <w:rsid w:val="00803989"/>
    <w:rsid w:val="008039A6"/>
    <w:rsid w:val="00803C43"/>
    <w:rsid w:val="00803C85"/>
    <w:rsid w:val="0080413D"/>
    <w:rsid w:val="0080417F"/>
    <w:rsid w:val="0080497E"/>
    <w:rsid w:val="00804E0D"/>
    <w:rsid w:val="00804E59"/>
    <w:rsid w:val="00805371"/>
    <w:rsid w:val="00806153"/>
    <w:rsid w:val="008066A9"/>
    <w:rsid w:val="0080676C"/>
    <w:rsid w:val="00806A5C"/>
    <w:rsid w:val="0080708F"/>
    <w:rsid w:val="008070C0"/>
    <w:rsid w:val="008070FD"/>
    <w:rsid w:val="008072BC"/>
    <w:rsid w:val="008073AF"/>
    <w:rsid w:val="00807B62"/>
    <w:rsid w:val="00807E2D"/>
    <w:rsid w:val="00810693"/>
    <w:rsid w:val="008107FD"/>
    <w:rsid w:val="0081081E"/>
    <w:rsid w:val="00811A2B"/>
    <w:rsid w:val="00811D3A"/>
    <w:rsid w:val="00812A23"/>
    <w:rsid w:val="00812A37"/>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F7A"/>
    <w:rsid w:val="008172B0"/>
    <w:rsid w:val="008178A9"/>
    <w:rsid w:val="00817BCE"/>
    <w:rsid w:val="0082076D"/>
    <w:rsid w:val="008207D6"/>
    <w:rsid w:val="00820B95"/>
    <w:rsid w:val="008214D8"/>
    <w:rsid w:val="00821727"/>
    <w:rsid w:val="008218C0"/>
    <w:rsid w:val="00821FA9"/>
    <w:rsid w:val="00822054"/>
    <w:rsid w:val="00822297"/>
    <w:rsid w:val="0082268B"/>
    <w:rsid w:val="00822B9C"/>
    <w:rsid w:val="00822C0C"/>
    <w:rsid w:val="00822DB1"/>
    <w:rsid w:val="0082320F"/>
    <w:rsid w:val="00823D6B"/>
    <w:rsid w:val="00823DBE"/>
    <w:rsid w:val="00823F78"/>
    <w:rsid w:val="0082418E"/>
    <w:rsid w:val="00824608"/>
    <w:rsid w:val="00824959"/>
    <w:rsid w:val="00824F2F"/>
    <w:rsid w:val="00825029"/>
    <w:rsid w:val="00825079"/>
    <w:rsid w:val="008250A9"/>
    <w:rsid w:val="008251CE"/>
    <w:rsid w:val="0082568D"/>
    <w:rsid w:val="008259CB"/>
    <w:rsid w:val="00825B03"/>
    <w:rsid w:val="008268A4"/>
    <w:rsid w:val="00827733"/>
    <w:rsid w:val="00827B0A"/>
    <w:rsid w:val="0083039A"/>
    <w:rsid w:val="008303E2"/>
    <w:rsid w:val="008309F6"/>
    <w:rsid w:val="00830A88"/>
    <w:rsid w:val="00830EB6"/>
    <w:rsid w:val="00831433"/>
    <w:rsid w:val="00831473"/>
    <w:rsid w:val="00831AA0"/>
    <w:rsid w:val="00832483"/>
    <w:rsid w:val="0083285B"/>
    <w:rsid w:val="00833094"/>
    <w:rsid w:val="008332E9"/>
    <w:rsid w:val="00833775"/>
    <w:rsid w:val="0083379C"/>
    <w:rsid w:val="00833B9B"/>
    <w:rsid w:val="00833D09"/>
    <w:rsid w:val="0083450A"/>
    <w:rsid w:val="0083475E"/>
    <w:rsid w:val="00834BFC"/>
    <w:rsid w:val="00834DEE"/>
    <w:rsid w:val="00835160"/>
    <w:rsid w:val="008352E2"/>
    <w:rsid w:val="00835521"/>
    <w:rsid w:val="008355A5"/>
    <w:rsid w:val="008356FD"/>
    <w:rsid w:val="00835ECD"/>
    <w:rsid w:val="0083638A"/>
    <w:rsid w:val="0083656F"/>
    <w:rsid w:val="008366D7"/>
    <w:rsid w:val="00836F15"/>
    <w:rsid w:val="008370FD"/>
    <w:rsid w:val="008372B5"/>
    <w:rsid w:val="00840071"/>
    <w:rsid w:val="008405D5"/>
    <w:rsid w:val="008407D7"/>
    <w:rsid w:val="0084080C"/>
    <w:rsid w:val="00840BD2"/>
    <w:rsid w:val="00840C6F"/>
    <w:rsid w:val="00840D3A"/>
    <w:rsid w:val="00840EBE"/>
    <w:rsid w:val="008411FC"/>
    <w:rsid w:val="008414A2"/>
    <w:rsid w:val="008414CF"/>
    <w:rsid w:val="00841D63"/>
    <w:rsid w:val="00841D9A"/>
    <w:rsid w:val="008424B4"/>
    <w:rsid w:val="0084263F"/>
    <w:rsid w:val="0084279A"/>
    <w:rsid w:val="00842931"/>
    <w:rsid w:val="00842F7C"/>
    <w:rsid w:val="0084320D"/>
    <w:rsid w:val="00843257"/>
    <w:rsid w:val="008433B9"/>
    <w:rsid w:val="00843553"/>
    <w:rsid w:val="00843D12"/>
    <w:rsid w:val="008440E2"/>
    <w:rsid w:val="00844677"/>
    <w:rsid w:val="00844733"/>
    <w:rsid w:val="00844759"/>
    <w:rsid w:val="00844963"/>
    <w:rsid w:val="00844A91"/>
    <w:rsid w:val="00844C2C"/>
    <w:rsid w:val="00845268"/>
    <w:rsid w:val="008454CD"/>
    <w:rsid w:val="0084566E"/>
    <w:rsid w:val="0084648F"/>
    <w:rsid w:val="00846666"/>
    <w:rsid w:val="00846777"/>
    <w:rsid w:val="008467EA"/>
    <w:rsid w:val="008468A8"/>
    <w:rsid w:val="00846F5B"/>
    <w:rsid w:val="00846F6C"/>
    <w:rsid w:val="008473EB"/>
    <w:rsid w:val="0084740E"/>
    <w:rsid w:val="00847743"/>
    <w:rsid w:val="00847B2F"/>
    <w:rsid w:val="00847BE7"/>
    <w:rsid w:val="00847DA6"/>
    <w:rsid w:val="00847F4B"/>
    <w:rsid w:val="00850001"/>
    <w:rsid w:val="00850217"/>
    <w:rsid w:val="008502F9"/>
    <w:rsid w:val="008506A2"/>
    <w:rsid w:val="008507FB"/>
    <w:rsid w:val="00850A53"/>
    <w:rsid w:val="00851292"/>
    <w:rsid w:val="008515A1"/>
    <w:rsid w:val="008517D6"/>
    <w:rsid w:val="00851B42"/>
    <w:rsid w:val="00851BD4"/>
    <w:rsid w:val="00851DA8"/>
    <w:rsid w:val="00852083"/>
    <w:rsid w:val="00853289"/>
    <w:rsid w:val="008536B5"/>
    <w:rsid w:val="008536C9"/>
    <w:rsid w:val="00853E80"/>
    <w:rsid w:val="00853FEC"/>
    <w:rsid w:val="0085402B"/>
    <w:rsid w:val="00854249"/>
    <w:rsid w:val="00854512"/>
    <w:rsid w:val="0085455D"/>
    <w:rsid w:val="008546EB"/>
    <w:rsid w:val="00854F50"/>
    <w:rsid w:val="00855760"/>
    <w:rsid w:val="00855A6A"/>
    <w:rsid w:val="00856099"/>
    <w:rsid w:val="008560AB"/>
    <w:rsid w:val="008562FF"/>
    <w:rsid w:val="008566FB"/>
    <w:rsid w:val="00856806"/>
    <w:rsid w:val="008572F7"/>
    <w:rsid w:val="0085730C"/>
    <w:rsid w:val="008601EC"/>
    <w:rsid w:val="008606E9"/>
    <w:rsid w:val="00860EF3"/>
    <w:rsid w:val="00860F31"/>
    <w:rsid w:val="00861CB3"/>
    <w:rsid w:val="008622BC"/>
    <w:rsid w:val="0086269D"/>
    <w:rsid w:val="00862CC5"/>
    <w:rsid w:val="00862DBC"/>
    <w:rsid w:val="0086328D"/>
    <w:rsid w:val="008635BD"/>
    <w:rsid w:val="00863BF2"/>
    <w:rsid w:val="00863C40"/>
    <w:rsid w:val="00863D1C"/>
    <w:rsid w:val="00863E24"/>
    <w:rsid w:val="008640DB"/>
    <w:rsid w:val="00864730"/>
    <w:rsid w:val="00864737"/>
    <w:rsid w:val="00864B00"/>
    <w:rsid w:val="00864C85"/>
    <w:rsid w:val="0086508C"/>
    <w:rsid w:val="008655F2"/>
    <w:rsid w:val="008657C6"/>
    <w:rsid w:val="00865EFF"/>
    <w:rsid w:val="008661D5"/>
    <w:rsid w:val="00866751"/>
    <w:rsid w:val="008669E9"/>
    <w:rsid w:val="00866A4E"/>
    <w:rsid w:val="00866ADF"/>
    <w:rsid w:val="00866B13"/>
    <w:rsid w:val="008670F0"/>
    <w:rsid w:val="00867544"/>
    <w:rsid w:val="0086796B"/>
    <w:rsid w:val="0086798A"/>
    <w:rsid w:val="00867EA2"/>
    <w:rsid w:val="00867F9E"/>
    <w:rsid w:val="008707A1"/>
    <w:rsid w:val="00870949"/>
    <w:rsid w:val="0087116E"/>
    <w:rsid w:val="00871650"/>
    <w:rsid w:val="008718FD"/>
    <w:rsid w:val="00871D4C"/>
    <w:rsid w:val="00871E23"/>
    <w:rsid w:val="00871E59"/>
    <w:rsid w:val="00872525"/>
    <w:rsid w:val="00872A10"/>
    <w:rsid w:val="00872CC4"/>
    <w:rsid w:val="008738E9"/>
    <w:rsid w:val="00873C76"/>
    <w:rsid w:val="00874242"/>
    <w:rsid w:val="0087434D"/>
    <w:rsid w:val="008746BB"/>
    <w:rsid w:val="008748A4"/>
    <w:rsid w:val="00874C9B"/>
    <w:rsid w:val="00874E7C"/>
    <w:rsid w:val="008757E1"/>
    <w:rsid w:val="00875921"/>
    <w:rsid w:val="008759E3"/>
    <w:rsid w:val="00875A76"/>
    <w:rsid w:val="00875B59"/>
    <w:rsid w:val="00875F9A"/>
    <w:rsid w:val="00875FF7"/>
    <w:rsid w:val="0087667E"/>
    <w:rsid w:val="008767E5"/>
    <w:rsid w:val="00876837"/>
    <w:rsid w:val="00876926"/>
    <w:rsid w:val="00876FD6"/>
    <w:rsid w:val="008771D2"/>
    <w:rsid w:val="0087773C"/>
    <w:rsid w:val="008778C9"/>
    <w:rsid w:val="00877A96"/>
    <w:rsid w:val="00877D8C"/>
    <w:rsid w:val="00877E09"/>
    <w:rsid w:val="0088017A"/>
    <w:rsid w:val="0088089A"/>
    <w:rsid w:val="008808D8"/>
    <w:rsid w:val="00880D9A"/>
    <w:rsid w:val="00880E5E"/>
    <w:rsid w:val="0088126D"/>
    <w:rsid w:val="0088151D"/>
    <w:rsid w:val="00881ACE"/>
    <w:rsid w:val="00881F41"/>
    <w:rsid w:val="00881F59"/>
    <w:rsid w:val="008822E1"/>
    <w:rsid w:val="008829B0"/>
    <w:rsid w:val="00882AE3"/>
    <w:rsid w:val="0088355F"/>
    <w:rsid w:val="008837F1"/>
    <w:rsid w:val="00883882"/>
    <w:rsid w:val="00883B46"/>
    <w:rsid w:val="00883C7C"/>
    <w:rsid w:val="00883F29"/>
    <w:rsid w:val="00884702"/>
    <w:rsid w:val="00884A21"/>
    <w:rsid w:val="00884C50"/>
    <w:rsid w:val="00885179"/>
    <w:rsid w:val="0088534A"/>
    <w:rsid w:val="00885924"/>
    <w:rsid w:val="00885AA8"/>
    <w:rsid w:val="00885AF7"/>
    <w:rsid w:val="00886412"/>
    <w:rsid w:val="00886A40"/>
    <w:rsid w:val="00886E5C"/>
    <w:rsid w:val="00887193"/>
    <w:rsid w:val="008875FE"/>
    <w:rsid w:val="008876D4"/>
    <w:rsid w:val="00887894"/>
    <w:rsid w:val="0088795C"/>
    <w:rsid w:val="00887A3C"/>
    <w:rsid w:val="00887E9F"/>
    <w:rsid w:val="00887ECC"/>
    <w:rsid w:val="008901DE"/>
    <w:rsid w:val="00890ABA"/>
    <w:rsid w:val="00890BD6"/>
    <w:rsid w:val="00891762"/>
    <w:rsid w:val="00891CFE"/>
    <w:rsid w:val="00892136"/>
    <w:rsid w:val="008921F8"/>
    <w:rsid w:val="008932B1"/>
    <w:rsid w:val="00893355"/>
    <w:rsid w:val="008933E6"/>
    <w:rsid w:val="008934F3"/>
    <w:rsid w:val="0089408C"/>
    <w:rsid w:val="00894178"/>
    <w:rsid w:val="00894229"/>
    <w:rsid w:val="00894596"/>
    <w:rsid w:val="00894959"/>
    <w:rsid w:val="00894FB8"/>
    <w:rsid w:val="00894FDF"/>
    <w:rsid w:val="0089577A"/>
    <w:rsid w:val="00895A8A"/>
    <w:rsid w:val="00895AD8"/>
    <w:rsid w:val="008961F3"/>
    <w:rsid w:val="0089693D"/>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2ED7"/>
    <w:rsid w:val="008A3630"/>
    <w:rsid w:val="008A39DB"/>
    <w:rsid w:val="008A3FD6"/>
    <w:rsid w:val="008A41F7"/>
    <w:rsid w:val="008A42AB"/>
    <w:rsid w:val="008A4358"/>
    <w:rsid w:val="008A488A"/>
    <w:rsid w:val="008A4D64"/>
    <w:rsid w:val="008A5405"/>
    <w:rsid w:val="008A5660"/>
    <w:rsid w:val="008A59EA"/>
    <w:rsid w:val="008A5F80"/>
    <w:rsid w:val="008A61A7"/>
    <w:rsid w:val="008A6A4B"/>
    <w:rsid w:val="008A794D"/>
    <w:rsid w:val="008A7A70"/>
    <w:rsid w:val="008A7B91"/>
    <w:rsid w:val="008B0070"/>
    <w:rsid w:val="008B015B"/>
    <w:rsid w:val="008B01C1"/>
    <w:rsid w:val="008B07B6"/>
    <w:rsid w:val="008B0B4E"/>
    <w:rsid w:val="008B0BF3"/>
    <w:rsid w:val="008B0CA6"/>
    <w:rsid w:val="008B1159"/>
    <w:rsid w:val="008B11A3"/>
    <w:rsid w:val="008B1236"/>
    <w:rsid w:val="008B12EA"/>
    <w:rsid w:val="008B15BE"/>
    <w:rsid w:val="008B162E"/>
    <w:rsid w:val="008B252C"/>
    <w:rsid w:val="008B2804"/>
    <w:rsid w:val="008B2EB2"/>
    <w:rsid w:val="008B30D8"/>
    <w:rsid w:val="008B31B8"/>
    <w:rsid w:val="008B3278"/>
    <w:rsid w:val="008B352B"/>
    <w:rsid w:val="008B3909"/>
    <w:rsid w:val="008B3EBE"/>
    <w:rsid w:val="008B3F82"/>
    <w:rsid w:val="008B440F"/>
    <w:rsid w:val="008B48C2"/>
    <w:rsid w:val="008B48CF"/>
    <w:rsid w:val="008B4EEC"/>
    <w:rsid w:val="008B54AF"/>
    <w:rsid w:val="008B5528"/>
    <w:rsid w:val="008B5995"/>
    <w:rsid w:val="008B5C1E"/>
    <w:rsid w:val="008B5D7E"/>
    <w:rsid w:val="008B5F22"/>
    <w:rsid w:val="008B5FA5"/>
    <w:rsid w:val="008B6E0E"/>
    <w:rsid w:val="008B70FB"/>
    <w:rsid w:val="008B718B"/>
    <w:rsid w:val="008B78EA"/>
    <w:rsid w:val="008B7BC1"/>
    <w:rsid w:val="008B7F6D"/>
    <w:rsid w:val="008C05A8"/>
    <w:rsid w:val="008C0632"/>
    <w:rsid w:val="008C0BC2"/>
    <w:rsid w:val="008C0CE4"/>
    <w:rsid w:val="008C0EEE"/>
    <w:rsid w:val="008C10BC"/>
    <w:rsid w:val="008C13D2"/>
    <w:rsid w:val="008C15E8"/>
    <w:rsid w:val="008C16B2"/>
    <w:rsid w:val="008C1A68"/>
    <w:rsid w:val="008C1C7C"/>
    <w:rsid w:val="008C1D57"/>
    <w:rsid w:val="008C1FAB"/>
    <w:rsid w:val="008C20C1"/>
    <w:rsid w:val="008C2C5C"/>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545"/>
    <w:rsid w:val="008C5746"/>
    <w:rsid w:val="008C5B02"/>
    <w:rsid w:val="008C5C4B"/>
    <w:rsid w:val="008C5F02"/>
    <w:rsid w:val="008C6348"/>
    <w:rsid w:val="008C6942"/>
    <w:rsid w:val="008C69EC"/>
    <w:rsid w:val="008C6ACD"/>
    <w:rsid w:val="008C6B30"/>
    <w:rsid w:val="008C7169"/>
    <w:rsid w:val="008C788B"/>
    <w:rsid w:val="008C7949"/>
    <w:rsid w:val="008C7A06"/>
    <w:rsid w:val="008C7E49"/>
    <w:rsid w:val="008C7FE9"/>
    <w:rsid w:val="008D056A"/>
    <w:rsid w:val="008D0789"/>
    <w:rsid w:val="008D1193"/>
    <w:rsid w:val="008D1333"/>
    <w:rsid w:val="008D1A6B"/>
    <w:rsid w:val="008D1C17"/>
    <w:rsid w:val="008D22AF"/>
    <w:rsid w:val="008D23F7"/>
    <w:rsid w:val="008D2913"/>
    <w:rsid w:val="008D2C5C"/>
    <w:rsid w:val="008D2FBA"/>
    <w:rsid w:val="008D311E"/>
    <w:rsid w:val="008D335E"/>
    <w:rsid w:val="008D351C"/>
    <w:rsid w:val="008D3785"/>
    <w:rsid w:val="008D379B"/>
    <w:rsid w:val="008D399A"/>
    <w:rsid w:val="008D3F40"/>
    <w:rsid w:val="008D4535"/>
    <w:rsid w:val="008D4847"/>
    <w:rsid w:val="008D4C46"/>
    <w:rsid w:val="008D5C58"/>
    <w:rsid w:val="008D5DA1"/>
    <w:rsid w:val="008D6182"/>
    <w:rsid w:val="008D63AA"/>
    <w:rsid w:val="008D6E70"/>
    <w:rsid w:val="008D79CB"/>
    <w:rsid w:val="008D7A41"/>
    <w:rsid w:val="008D7AE5"/>
    <w:rsid w:val="008D7C50"/>
    <w:rsid w:val="008D7E66"/>
    <w:rsid w:val="008D7F95"/>
    <w:rsid w:val="008E0059"/>
    <w:rsid w:val="008E022A"/>
    <w:rsid w:val="008E0CF5"/>
    <w:rsid w:val="008E1658"/>
    <w:rsid w:val="008E17B0"/>
    <w:rsid w:val="008E18C8"/>
    <w:rsid w:val="008E1985"/>
    <w:rsid w:val="008E3324"/>
    <w:rsid w:val="008E3FF2"/>
    <w:rsid w:val="008E40C6"/>
    <w:rsid w:val="008E44D1"/>
    <w:rsid w:val="008E49A9"/>
    <w:rsid w:val="008E4B49"/>
    <w:rsid w:val="008E4B5A"/>
    <w:rsid w:val="008E5180"/>
    <w:rsid w:val="008E5501"/>
    <w:rsid w:val="008E5638"/>
    <w:rsid w:val="008E5ACD"/>
    <w:rsid w:val="008E5D33"/>
    <w:rsid w:val="008E5F0D"/>
    <w:rsid w:val="008E5F62"/>
    <w:rsid w:val="008E6314"/>
    <w:rsid w:val="008E65C2"/>
    <w:rsid w:val="008E6BB0"/>
    <w:rsid w:val="008E6C24"/>
    <w:rsid w:val="008E6D54"/>
    <w:rsid w:val="008E6D73"/>
    <w:rsid w:val="008E6E22"/>
    <w:rsid w:val="008E6FA5"/>
    <w:rsid w:val="008E7383"/>
    <w:rsid w:val="008E76D5"/>
    <w:rsid w:val="008E79AE"/>
    <w:rsid w:val="008E7A67"/>
    <w:rsid w:val="008E7ABE"/>
    <w:rsid w:val="008F0061"/>
    <w:rsid w:val="008F0DCF"/>
    <w:rsid w:val="008F1877"/>
    <w:rsid w:val="008F18DA"/>
    <w:rsid w:val="008F1929"/>
    <w:rsid w:val="008F1AC8"/>
    <w:rsid w:val="008F1B94"/>
    <w:rsid w:val="008F2940"/>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444"/>
    <w:rsid w:val="008F6565"/>
    <w:rsid w:val="008F66CE"/>
    <w:rsid w:val="008F6A01"/>
    <w:rsid w:val="008F7363"/>
    <w:rsid w:val="008F7675"/>
    <w:rsid w:val="008F7AC8"/>
    <w:rsid w:val="008F7BE3"/>
    <w:rsid w:val="008F7CE8"/>
    <w:rsid w:val="008F7FD2"/>
    <w:rsid w:val="00900880"/>
    <w:rsid w:val="009014DF"/>
    <w:rsid w:val="00902195"/>
    <w:rsid w:val="00902CE0"/>
    <w:rsid w:val="00903140"/>
    <w:rsid w:val="0090329C"/>
    <w:rsid w:val="0090381E"/>
    <w:rsid w:val="009047AB"/>
    <w:rsid w:val="00904C62"/>
    <w:rsid w:val="009051DE"/>
    <w:rsid w:val="009051EB"/>
    <w:rsid w:val="0090564C"/>
    <w:rsid w:val="00905689"/>
    <w:rsid w:val="00905B68"/>
    <w:rsid w:val="00906486"/>
    <w:rsid w:val="009067DE"/>
    <w:rsid w:val="00906BBD"/>
    <w:rsid w:val="00906D92"/>
    <w:rsid w:val="00907647"/>
    <w:rsid w:val="009076E6"/>
    <w:rsid w:val="00907EA8"/>
    <w:rsid w:val="009100C3"/>
    <w:rsid w:val="00910D65"/>
    <w:rsid w:val="00910FF2"/>
    <w:rsid w:val="009111C2"/>
    <w:rsid w:val="009112E4"/>
    <w:rsid w:val="009112ED"/>
    <w:rsid w:val="00911553"/>
    <w:rsid w:val="00911695"/>
    <w:rsid w:val="00911DC1"/>
    <w:rsid w:val="00911DCE"/>
    <w:rsid w:val="009120C2"/>
    <w:rsid w:val="0091243D"/>
    <w:rsid w:val="0091293D"/>
    <w:rsid w:val="00912B38"/>
    <w:rsid w:val="00912CCA"/>
    <w:rsid w:val="00912D47"/>
    <w:rsid w:val="00912E89"/>
    <w:rsid w:val="00913271"/>
    <w:rsid w:val="00913601"/>
    <w:rsid w:val="00913E0B"/>
    <w:rsid w:val="00914052"/>
    <w:rsid w:val="00914B18"/>
    <w:rsid w:val="00914B26"/>
    <w:rsid w:val="00914C00"/>
    <w:rsid w:val="009155CE"/>
    <w:rsid w:val="009159A9"/>
    <w:rsid w:val="009163CE"/>
    <w:rsid w:val="00916626"/>
    <w:rsid w:val="00916A29"/>
    <w:rsid w:val="0091738D"/>
    <w:rsid w:val="00917D39"/>
    <w:rsid w:val="00920127"/>
    <w:rsid w:val="0092012D"/>
    <w:rsid w:val="009201B3"/>
    <w:rsid w:val="0092034D"/>
    <w:rsid w:val="009206C8"/>
    <w:rsid w:val="009209D7"/>
    <w:rsid w:val="00920DE1"/>
    <w:rsid w:val="00921092"/>
    <w:rsid w:val="009216CE"/>
    <w:rsid w:val="00921FFC"/>
    <w:rsid w:val="009226A6"/>
    <w:rsid w:val="009229FA"/>
    <w:rsid w:val="00922D32"/>
    <w:rsid w:val="009230A5"/>
    <w:rsid w:val="009234D7"/>
    <w:rsid w:val="009236DC"/>
    <w:rsid w:val="009236F1"/>
    <w:rsid w:val="00924627"/>
    <w:rsid w:val="00924D44"/>
    <w:rsid w:val="00924E1F"/>
    <w:rsid w:val="00925037"/>
    <w:rsid w:val="00925259"/>
    <w:rsid w:val="00925574"/>
    <w:rsid w:val="00925970"/>
    <w:rsid w:val="00925A30"/>
    <w:rsid w:val="00925C48"/>
    <w:rsid w:val="00925CBE"/>
    <w:rsid w:val="00925D05"/>
    <w:rsid w:val="00925E57"/>
    <w:rsid w:val="00925EFB"/>
    <w:rsid w:val="00925F5D"/>
    <w:rsid w:val="00925F64"/>
    <w:rsid w:val="00926216"/>
    <w:rsid w:val="0092647E"/>
    <w:rsid w:val="00926654"/>
    <w:rsid w:val="00926779"/>
    <w:rsid w:val="00926AC4"/>
    <w:rsid w:val="00926D0D"/>
    <w:rsid w:val="00926ED0"/>
    <w:rsid w:val="00926FC5"/>
    <w:rsid w:val="00927AFF"/>
    <w:rsid w:val="009301CD"/>
    <w:rsid w:val="0093044B"/>
    <w:rsid w:val="00930457"/>
    <w:rsid w:val="009307A2"/>
    <w:rsid w:val="00930C11"/>
    <w:rsid w:val="00930D94"/>
    <w:rsid w:val="009311CE"/>
    <w:rsid w:val="00931630"/>
    <w:rsid w:val="00931942"/>
    <w:rsid w:val="00931A00"/>
    <w:rsid w:val="00931F07"/>
    <w:rsid w:val="009321A8"/>
    <w:rsid w:val="00932217"/>
    <w:rsid w:val="009325A3"/>
    <w:rsid w:val="0093265E"/>
    <w:rsid w:val="00932D95"/>
    <w:rsid w:val="00932F2E"/>
    <w:rsid w:val="00933F19"/>
    <w:rsid w:val="0093472D"/>
    <w:rsid w:val="0093487C"/>
    <w:rsid w:val="00934BF1"/>
    <w:rsid w:val="00934F59"/>
    <w:rsid w:val="00934FA0"/>
    <w:rsid w:val="00935E7A"/>
    <w:rsid w:val="00935E8A"/>
    <w:rsid w:val="00936186"/>
    <w:rsid w:val="00936610"/>
    <w:rsid w:val="009367A8"/>
    <w:rsid w:val="00936AE2"/>
    <w:rsid w:val="00936D94"/>
    <w:rsid w:val="00936EA5"/>
    <w:rsid w:val="00936F31"/>
    <w:rsid w:val="009371B0"/>
    <w:rsid w:val="0093767E"/>
    <w:rsid w:val="00937688"/>
    <w:rsid w:val="0093770F"/>
    <w:rsid w:val="00937988"/>
    <w:rsid w:val="00937B07"/>
    <w:rsid w:val="00937B31"/>
    <w:rsid w:val="00940386"/>
    <w:rsid w:val="009403D6"/>
    <w:rsid w:val="009404DD"/>
    <w:rsid w:val="009404F6"/>
    <w:rsid w:val="00940E19"/>
    <w:rsid w:val="00940EA3"/>
    <w:rsid w:val="009411BC"/>
    <w:rsid w:val="0094146E"/>
    <w:rsid w:val="009414DB"/>
    <w:rsid w:val="00941678"/>
    <w:rsid w:val="0094242A"/>
    <w:rsid w:val="00943148"/>
    <w:rsid w:val="0094324E"/>
    <w:rsid w:val="009437D1"/>
    <w:rsid w:val="0094440C"/>
    <w:rsid w:val="00945344"/>
    <w:rsid w:val="00945768"/>
    <w:rsid w:val="009457C0"/>
    <w:rsid w:val="00945B54"/>
    <w:rsid w:val="00945F53"/>
    <w:rsid w:val="009462CA"/>
    <w:rsid w:val="0094659E"/>
    <w:rsid w:val="00946C39"/>
    <w:rsid w:val="0094756F"/>
    <w:rsid w:val="0094776D"/>
    <w:rsid w:val="009477CA"/>
    <w:rsid w:val="00947887"/>
    <w:rsid w:val="00947D66"/>
    <w:rsid w:val="00950094"/>
    <w:rsid w:val="009516AD"/>
    <w:rsid w:val="009517D4"/>
    <w:rsid w:val="00951D1B"/>
    <w:rsid w:val="00951DAE"/>
    <w:rsid w:val="009522AA"/>
    <w:rsid w:val="009522C2"/>
    <w:rsid w:val="0095239A"/>
    <w:rsid w:val="0095270B"/>
    <w:rsid w:val="00952810"/>
    <w:rsid w:val="00952845"/>
    <w:rsid w:val="00953666"/>
    <w:rsid w:val="0095371D"/>
    <w:rsid w:val="00954D40"/>
    <w:rsid w:val="009550DC"/>
    <w:rsid w:val="0095518B"/>
    <w:rsid w:val="009551F9"/>
    <w:rsid w:val="00955581"/>
    <w:rsid w:val="00955973"/>
    <w:rsid w:val="00955AD4"/>
    <w:rsid w:val="00955F74"/>
    <w:rsid w:val="009561DB"/>
    <w:rsid w:val="009561F9"/>
    <w:rsid w:val="009569BE"/>
    <w:rsid w:val="009569EE"/>
    <w:rsid w:val="00956B5B"/>
    <w:rsid w:val="00956FAD"/>
    <w:rsid w:val="009570FC"/>
    <w:rsid w:val="00957196"/>
    <w:rsid w:val="00957560"/>
    <w:rsid w:val="00957D35"/>
    <w:rsid w:val="00957F28"/>
    <w:rsid w:val="00957FD7"/>
    <w:rsid w:val="009605EE"/>
    <w:rsid w:val="00961387"/>
    <w:rsid w:val="0096151E"/>
    <w:rsid w:val="0096164C"/>
    <w:rsid w:val="009617E3"/>
    <w:rsid w:val="009618C2"/>
    <w:rsid w:val="00961B25"/>
    <w:rsid w:val="00961D53"/>
    <w:rsid w:val="00961F25"/>
    <w:rsid w:val="0096216A"/>
    <w:rsid w:val="00962170"/>
    <w:rsid w:val="009622A0"/>
    <w:rsid w:val="009622CB"/>
    <w:rsid w:val="009630F5"/>
    <w:rsid w:val="0096316A"/>
    <w:rsid w:val="009631EE"/>
    <w:rsid w:val="00963768"/>
    <w:rsid w:val="00963DA6"/>
    <w:rsid w:val="00963DAD"/>
    <w:rsid w:val="00964046"/>
    <w:rsid w:val="0096467A"/>
    <w:rsid w:val="00964A3C"/>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D82"/>
    <w:rsid w:val="009707FB"/>
    <w:rsid w:val="00970B72"/>
    <w:rsid w:val="00970BF4"/>
    <w:rsid w:val="00970E5C"/>
    <w:rsid w:val="00971952"/>
    <w:rsid w:val="00971FAD"/>
    <w:rsid w:val="009722F9"/>
    <w:rsid w:val="0097239B"/>
    <w:rsid w:val="009723D0"/>
    <w:rsid w:val="00972688"/>
    <w:rsid w:val="009726BE"/>
    <w:rsid w:val="00972911"/>
    <w:rsid w:val="00972B11"/>
    <w:rsid w:val="00972D30"/>
    <w:rsid w:val="009730B3"/>
    <w:rsid w:val="00973C3A"/>
    <w:rsid w:val="00973D65"/>
    <w:rsid w:val="00974015"/>
    <w:rsid w:val="00974046"/>
    <w:rsid w:val="0097410D"/>
    <w:rsid w:val="009745FE"/>
    <w:rsid w:val="009749C2"/>
    <w:rsid w:val="00975011"/>
    <w:rsid w:val="00975862"/>
    <w:rsid w:val="009758DE"/>
    <w:rsid w:val="00975B6A"/>
    <w:rsid w:val="00975D6F"/>
    <w:rsid w:val="009761A4"/>
    <w:rsid w:val="009762BD"/>
    <w:rsid w:val="00976414"/>
    <w:rsid w:val="00976463"/>
    <w:rsid w:val="00976BDB"/>
    <w:rsid w:val="00976DB2"/>
    <w:rsid w:val="00977300"/>
    <w:rsid w:val="009774E5"/>
    <w:rsid w:val="00977A3C"/>
    <w:rsid w:val="00977A8C"/>
    <w:rsid w:val="00980200"/>
    <w:rsid w:val="009804C5"/>
    <w:rsid w:val="00980B29"/>
    <w:rsid w:val="00981341"/>
    <w:rsid w:val="0098151E"/>
    <w:rsid w:val="00981588"/>
    <w:rsid w:val="00981B59"/>
    <w:rsid w:val="00981D76"/>
    <w:rsid w:val="00981D79"/>
    <w:rsid w:val="00981EF5"/>
    <w:rsid w:val="00981F56"/>
    <w:rsid w:val="00982D12"/>
    <w:rsid w:val="00982D62"/>
    <w:rsid w:val="00982E49"/>
    <w:rsid w:val="00982F91"/>
    <w:rsid w:val="00983269"/>
    <w:rsid w:val="00983574"/>
    <w:rsid w:val="00983DBB"/>
    <w:rsid w:val="00983EC1"/>
    <w:rsid w:val="009841A4"/>
    <w:rsid w:val="00984A0A"/>
    <w:rsid w:val="00985F2A"/>
    <w:rsid w:val="0098665F"/>
    <w:rsid w:val="00986BF7"/>
    <w:rsid w:val="00987B60"/>
    <w:rsid w:val="00987FCD"/>
    <w:rsid w:val="0099021C"/>
    <w:rsid w:val="00990226"/>
    <w:rsid w:val="009903D7"/>
    <w:rsid w:val="0099040C"/>
    <w:rsid w:val="009905E4"/>
    <w:rsid w:val="009905F5"/>
    <w:rsid w:val="0099063A"/>
    <w:rsid w:val="009908B8"/>
    <w:rsid w:val="009911D2"/>
    <w:rsid w:val="009912B3"/>
    <w:rsid w:val="009914CC"/>
    <w:rsid w:val="009914E4"/>
    <w:rsid w:val="00991792"/>
    <w:rsid w:val="009917AB"/>
    <w:rsid w:val="00991B6C"/>
    <w:rsid w:val="00991C6B"/>
    <w:rsid w:val="009922F3"/>
    <w:rsid w:val="00992B44"/>
    <w:rsid w:val="00992D40"/>
    <w:rsid w:val="0099325E"/>
    <w:rsid w:val="00993A76"/>
    <w:rsid w:val="00994030"/>
    <w:rsid w:val="009940A8"/>
    <w:rsid w:val="00994186"/>
    <w:rsid w:val="0099469B"/>
    <w:rsid w:val="009946EF"/>
    <w:rsid w:val="00994A45"/>
    <w:rsid w:val="00994BD6"/>
    <w:rsid w:val="00994FF8"/>
    <w:rsid w:val="00995156"/>
    <w:rsid w:val="00995BF9"/>
    <w:rsid w:val="00995E5E"/>
    <w:rsid w:val="00995E90"/>
    <w:rsid w:val="00995ECD"/>
    <w:rsid w:val="00996075"/>
    <w:rsid w:val="0099648B"/>
    <w:rsid w:val="00996711"/>
    <w:rsid w:val="00997013"/>
    <w:rsid w:val="009970AD"/>
    <w:rsid w:val="009972D1"/>
    <w:rsid w:val="00997917"/>
    <w:rsid w:val="009979ED"/>
    <w:rsid w:val="00997B0A"/>
    <w:rsid w:val="00997B60"/>
    <w:rsid w:val="00997EBE"/>
    <w:rsid w:val="009A06BE"/>
    <w:rsid w:val="009A0795"/>
    <w:rsid w:val="009A0B1C"/>
    <w:rsid w:val="009A0DEA"/>
    <w:rsid w:val="009A18CD"/>
    <w:rsid w:val="009A1F29"/>
    <w:rsid w:val="009A200E"/>
    <w:rsid w:val="009A2010"/>
    <w:rsid w:val="009A20B2"/>
    <w:rsid w:val="009A214F"/>
    <w:rsid w:val="009A3A69"/>
    <w:rsid w:val="009A3F58"/>
    <w:rsid w:val="009A4329"/>
    <w:rsid w:val="009A4431"/>
    <w:rsid w:val="009A468D"/>
    <w:rsid w:val="009A4C7C"/>
    <w:rsid w:val="009A4D67"/>
    <w:rsid w:val="009A501F"/>
    <w:rsid w:val="009A5304"/>
    <w:rsid w:val="009A5A54"/>
    <w:rsid w:val="009A5B13"/>
    <w:rsid w:val="009A5B4F"/>
    <w:rsid w:val="009A5F21"/>
    <w:rsid w:val="009A5F71"/>
    <w:rsid w:val="009A66A7"/>
    <w:rsid w:val="009A6A62"/>
    <w:rsid w:val="009A6F26"/>
    <w:rsid w:val="009A76D6"/>
    <w:rsid w:val="009A799A"/>
    <w:rsid w:val="009A79E7"/>
    <w:rsid w:val="009A7B49"/>
    <w:rsid w:val="009A7C7F"/>
    <w:rsid w:val="009A7F69"/>
    <w:rsid w:val="009B09C5"/>
    <w:rsid w:val="009B0A8D"/>
    <w:rsid w:val="009B16BE"/>
    <w:rsid w:val="009B179C"/>
    <w:rsid w:val="009B18DC"/>
    <w:rsid w:val="009B19A6"/>
    <w:rsid w:val="009B1BA9"/>
    <w:rsid w:val="009B1FD5"/>
    <w:rsid w:val="009B2588"/>
    <w:rsid w:val="009B298E"/>
    <w:rsid w:val="009B2EEF"/>
    <w:rsid w:val="009B393E"/>
    <w:rsid w:val="009B39BA"/>
    <w:rsid w:val="009B3B32"/>
    <w:rsid w:val="009B3BC2"/>
    <w:rsid w:val="009B3E30"/>
    <w:rsid w:val="009B4BBC"/>
    <w:rsid w:val="009B4C36"/>
    <w:rsid w:val="009B4DB4"/>
    <w:rsid w:val="009B4F0E"/>
    <w:rsid w:val="009B4F9A"/>
    <w:rsid w:val="009B537F"/>
    <w:rsid w:val="009B55E2"/>
    <w:rsid w:val="009B5C02"/>
    <w:rsid w:val="009B6367"/>
    <w:rsid w:val="009B6718"/>
    <w:rsid w:val="009B6844"/>
    <w:rsid w:val="009B6896"/>
    <w:rsid w:val="009B6EE2"/>
    <w:rsid w:val="009C0441"/>
    <w:rsid w:val="009C0A91"/>
    <w:rsid w:val="009C0B5A"/>
    <w:rsid w:val="009C0C89"/>
    <w:rsid w:val="009C1092"/>
    <w:rsid w:val="009C11FF"/>
    <w:rsid w:val="009C139B"/>
    <w:rsid w:val="009C13DB"/>
    <w:rsid w:val="009C18B1"/>
    <w:rsid w:val="009C1A55"/>
    <w:rsid w:val="009C1D89"/>
    <w:rsid w:val="009C1DA2"/>
    <w:rsid w:val="009C24EB"/>
    <w:rsid w:val="009C2EFA"/>
    <w:rsid w:val="009C2FF5"/>
    <w:rsid w:val="009C3105"/>
    <w:rsid w:val="009C321D"/>
    <w:rsid w:val="009C35D2"/>
    <w:rsid w:val="009C37C1"/>
    <w:rsid w:val="009C38F3"/>
    <w:rsid w:val="009C3E45"/>
    <w:rsid w:val="009C426F"/>
    <w:rsid w:val="009C457F"/>
    <w:rsid w:val="009C4904"/>
    <w:rsid w:val="009C4BB8"/>
    <w:rsid w:val="009C4BB9"/>
    <w:rsid w:val="009C4C49"/>
    <w:rsid w:val="009C4C53"/>
    <w:rsid w:val="009C4D9A"/>
    <w:rsid w:val="009C4DCB"/>
    <w:rsid w:val="009C5050"/>
    <w:rsid w:val="009C546D"/>
    <w:rsid w:val="009C56F2"/>
    <w:rsid w:val="009C5C6E"/>
    <w:rsid w:val="009C62A4"/>
    <w:rsid w:val="009C63E5"/>
    <w:rsid w:val="009C6430"/>
    <w:rsid w:val="009C6546"/>
    <w:rsid w:val="009C65D6"/>
    <w:rsid w:val="009C6B50"/>
    <w:rsid w:val="009C6FA5"/>
    <w:rsid w:val="009C7858"/>
    <w:rsid w:val="009C78B1"/>
    <w:rsid w:val="009C78BD"/>
    <w:rsid w:val="009C79BE"/>
    <w:rsid w:val="009C7AA7"/>
    <w:rsid w:val="009C7C98"/>
    <w:rsid w:val="009C7E3B"/>
    <w:rsid w:val="009D02AE"/>
    <w:rsid w:val="009D0702"/>
    <w:rsid w:val="009D07FE"/>
    <w:rsid w:val="009D0A47"/>
    <w:rsid w:val="009D0C70"/>
    <w:rsid w:val="009D1060"/>
    <w:rsid w:val="009D1168"/>
    <w:rsid w:val="009D2302"/>
    <w:rsid w:val="009D2716"/>
    <w:rsid w:val="009D2D7F"/>
    <w:rsid w:val="009D31E0"/>
    <w:rsid w:val="009D375C"/>
    <w:rsid w:val="009D4602"/>
    <w:rsid w:val="009D4F50"/>
    <w:rsid w:val="009D5122"/>
    <w:rsid w:val="009D5483"/>
    <w:rsid w:val="009D5555"/>
    <w:rsid w:val="009D561D"/>
    <w:rsid w:val="009D56EB"/>
    <w:rsid w:val="009D56ED"/>
    <w:rsid w:val="009D5AB3"/>
    <w:rsid w:val="009D5D63"/>
    <w:rsid w:val="009D612C"/>
    <w:rsid w:val="009D638E"/>
    <w:rsid w:val="009D673A"/>
    <w:rsid w:val="009D6CA6"/>
    <w:rsid w:val="009D72DD"/>
    <w:rsid w:val="009D7659"/>
    <w:rsid w:val="009D7691"/>
    <w:rsid w:val="009D7B78"/>
    <w:rsid w:val="009D7D4C"/>
    <w:rsid w:val="009D7DE0"/>
    <w:rsid w:val="009E0259"/>
    <w:rsid w:val="009E0347"/>
    <w:rsid w:val="009E0561"/>
    <w:rsid w:val="009E057F"/>
    <w:rsid w:val="009E062A"/>
    <w:rsid w:val="009E0C81"/>
    <w:rsid w:val="009E1A69"/>
    <w:rsid w:val="009E1D6F"/>
    <w:rsid w:val="009E1D84"/>
    <w:rsid w:val="009E1DB0"/>
    <w:rsid w:val="009E2269"/>
    <w:rsid w:val="009E22B9"/>
    <w:rsid w:val="009E2CE2"/>
    <w:rsid w:val="009E3010"/>
    <w:rsid w:val="009E3E79"/>
    <w:rsid w:val="009E484E"/>
    <w:rsid w:val="009E4CA5"/>
    <w:rsid w:val="009E4CBE"/>
    <w:rsid w:val="009E4E5E"/>
    <w:rsid w:val="009E5220"/>
    <w:rsid w:val="009E52DA"/>
    <w:rsid w:val="009E5538"/>
    <w:rsid w:val="009E5556"/>
    <w:rsid w:val="009E579F"/>
    <w:rsid w:val="009E589A"/>
    <w:rsid w:val="009E58D6"/>
    <w:rsid w:val="009E5D4B"/>
    <w:rsid w:val="009E5D4D"/>
    <w:rsid w:val="009E5D7C"/>
    <w:rsid w:val="009E5FD7"/>
    <w:rsid w:val="009E66CE"/>
    <w:rsid w:val="009E6791"/>
    <w:rsid w:val="009E70F6"/>
    <w:rsid w:val="009E71B8"/>
    <w:rsid w:val="009E71FD"/>
    <w:rsid w:val="009E7733"/>
    <w:rsid w:val="009E776C"/>
    <w:rsid w:val="009E78DE"/>
    <w:rsid w:val="009E7999"/>
    <w:rsid w:val="009E79F9"/>
    <w:rsid w:val="009E7D20"/>
    <w:rsid w:val="009E7D48"/>
    <w:rsid w:val="009E7E37"/>
    <w:rsid w:val="009F052D"/>
    <w:rsid w:val="009F0602"/>
    <w:rsid w:val="009F0B65"/>
    <w:rsid w:val="009F0D42"/>
    <w:rsid w:val="009F1475"/>
    <w:rsid w:val="009F1BFE"/>
    <w:rsid w:val="009F1CB7"/>
    <w:rsid w:val="009F21D3"/>
    <w:rsid w:val="009F2916"/>
    <w:rsid w:val="009F2D2D"/>
    <w:rsid w:val="009F2EAC"/>
    <w:rsid w:val="009F4745"/>
    <w:rsid w:val="009F48CA"/>
    <w:rsid w:val="009F4F0A"/>
    <w:rsid w:val="009F4F52"/>
    <w:rsid w:val="009F4FC3"/>
    <w:rsid w:val="009F54BC"/>
    <w:rsid w:val="009F55A9"/>
    <w:rsid w:val="009F585A"/>
    <w:rsid w:val="009F5B4D"/>
    <w:rsid w:val="009F5D69"/>
    <w:rsid w:val="009F6759"/>
    <w:rsid w:val="009F6778"/>
    <w:rsid w:val="009F6B7F"/>
    <w:rsid w:val="009F6BCC"/>
    <w:rsid w:val="009F6C7F"/>
    <w:rsid w:val="00A000BB"/>
    <w:rsid w:val="00A00214"/>
    <w:rsid w:val="00A002D4"/>
    <w:rsid w:val="00A003A8"/>
    <w:rsid w:val="00A01BBD"/>
    <w:rsid w:val="00A01C06"/>
    <w:rsid w:val="00A01C2E"/>
    <w:rsid w:val="00A01F89"/>
    <w:rsid w:val="00A0203D"/>
    <w:rsid w:val="00A022BF"/>
    <w:rsid w:val="00A023D1"/>
    <w:rsid w:val="00A0289E"/>
    <w:rsid w:val="00A02A1B"/>
    <w:rsid w:val="00A02C2D"/>
    <w:rsid w:val="00A02ECD"/>
    <w:rsid w:val="00A02FD8"/>
    <w:rsid w:val="00A0370C"/>
    <w:rsid w:val="00A03A2A"/>
    <w:rsid w:val="00A03AEC"/>
    <w:rsid w:val="00A03C36"/>
    <w:rsid w:val="00A03F76"/>
    <w:rsid w:val="00A04186"/>
    <w:rsid w:val="00A0425F"/>
    <w:rsid w:val="00A042EA"/>
    <w:rsid w:val="00A04F15"/>
    <w:rsid w:val="00A04F85"/>
    <w:rsid w:val="00A0510D"/>
    <w:rsid w:val="00A053D6"/>
    <w:rsid w:val="00A05583"/>
    <w:rsid w:val="00A05953"/>
    <w:rsid w:val="00A05DB1"/>
    <w:rsid w:val="00A06091"/>
    <w:rsid w:val="00A060B1"/>
    <w:rsid w:val="00A06696"/>
    <w:rsid w:val="00A0671A"/>
    <w:rsid w:val="00A067E0"/>
    <w:rsid w:val="00A06C66"/>
    <w:rsid w:val="00A074CF"/>
    <w:rsid w:val="00A075A0"/>
    <w:rsid w:val="00A0768A"/>
    <w:rsid w:val="00A07728"/>
    <w:rsid w:val="00A07E1F"/>
    <w:rsid w:val="00A107A1"/>
    <w:rsid w:val="00A10F13"/>
    <w:rsid w:val="00A1105F"/>
    <w:rsid w:val="00A1138B"/>
    <w:rsid w:val="00A115E5"/>
    <w:rsid w:val="00A11776"/>
    <w:rsid w:val="00A11BB7"/>
    <w:rsid w:val="00A11EA2"/>
    <w:rsid w:val="00A121E0"/>
    <w:rsid w:val="00A122E0"/>
    <w:rsid w:val="00A124D0"/>
    <w:rsid w:val="00A125B6"/>
    <w:rsid w:val="00A127A2"/>
    <w:rsid w:val="00A12D04"/>
    <w:rsid w:val="00A12DAC"/>
    <w:rsid w:val="00A135CA"/>
    <w:rsid w:val="00A1370E"/>
    <w:rsid w:val="00A13DB5"/>
    <w:rsid w:val="00A13E04"/>
    <w:rsid w:val="00A14062"/>
    <w:rsid w:val="00A14164"/>
    <w:rsid w:val="00A141EB"/>
    <w:rsid w:val="00A1426F"/>
    <w:rsid w:val="00A1436B"/>
    <w:rsid w:val="00A1444B"/>
    <w:rsid w:val="00A14B0F"/>
    <w:rsid w:val="00A14C99"/>
    <w:rsid w:val="00A1519E"/>
    <w:rsid w:val="00A153CC"/>
    <w:rsid w:val="00A15519"/>
    <w:rsid w:val="00A1555D"/>
    <w:rsid w:val="00A16192"/>
    <w:rsid w:val="00A16595"/>
    <w:rsid w:val="00A166A8"/>
    <w:rsid w:val="00A169D6"/>
    <w:rsid w:val="00A16A45"/>
    <w:rsid w:val="00A16B43"/>
    <w:rsid w:val="00A171AD"/>
    <w:rsid w:val="00A172C0"/>
    <w:rsid w:val="00A17397"/>
    <w:rsid w:val="00A176DE"/>
    <w:rsid w:val="00A17792"/>
    <w:rsid w:val="00A17CC8"/>
    <w:rsid w:val="00A17F04"/>
    <w:rsid w:val="00A2041B"/>
    <w:rsid w:val="00A209DE"/>
    <w:rsid w:val="00A20D90"/>
    <w:rsid w:val="00A20DBD"/>
    <w:rsid w:val="00A210EA"/>
    <w:rsid w:val="00A216B5"/>
    <w:rsid w:val="00A22391"/>
    <w:rsid w:val="00A22743"/>
    <w:rsid w:val="00A22C7A"/>
    <w:rsid w:val="00A23074"/>
    <w:rsid w:val="00A23199"/>
    <w:rsid w:val="00A237BA"/>
    <w:rsid w:val="00A2388B"/>
    <w:rsid w:val="00A23C09"/>
    <w:rsid w:val="00A23DC6"/>
    <w:rsid w:val="00A24194"/>
    <w:rsid w:val="00A24514"/>
    <w:rsid w:val="00A24520"/>
    <w:rsid w:val="00A2464E"/>
    <w:rsid w:val="00A249C9"/>
    <w:rsid w:val="00A24D06"/>
    <w:rsid w:val="00A252DA"/>
    <w:rsid w:val="00A254DD"/>
    <w:rsid w:val="00A25585"/>
    <w:rsid w:val="00A258C7"/>
    <w:rsid w:val="00A26556"/>
    <w:rsid w:val="00A2661C"/>
    <w:rsid w:val="00A2695B"/>
    <w:rsid w:val="00A269C8"/>
    <w:rsid w:val="00A26B16"/>
    <w:rsid w:val="00A2712B"/>
    <w:rsid w:val="00A274A2"/>
    <w:rsid w:val="00A27605"/>
    <w:rsid w:val="00A27650"/>
    <w:rsid w:val="00A27D35"/>
    <w:rsid w:val="00A30652"/>
    <w:rsid w:val="00A3069F"/>
    <w:rsid w:val="00A30738"/>
    <w:rsid w:val="00A30991"/>
    <w:rsid w:val="00A30AB8"/>
    <w:rsid w:val="00A30ABB"/>
    <w:rsid w:val="00A30BFC"/>
    <w:rsid w:val="00A30E75"/>
    <w:rsid w:val="00A317A2"/>
    <w:rsid w:val="00A31AF3"/>
    <w:rsid w:val="00A31EA7"/>
    <w:rsid w:val="00A323D3"/>
    <w:rsid w:val="00A325DB"/>
    <w:rsid w:val="00A327A0"/>
    <w:rsid w:val="00A32B18"/>
    <w:rsid w:val="00A32C1B"/>
    <w:rsid w:val="00A32E99"/>
    <w:rsid w:val="00A33956"/>
    <w:rsid w:val="00A33D31"/>
    <w:rsid w:val="00A33F34"/>
    <w:rsid w:val="00A33F74"/>
    <w:rsid w:val="00A3443D"/>
    <w:rsid w:val="00A345DE"/>
    <w:rsid w:val="00A34A6C"/>
    <w:rsid w:val="00A34FAC"/>
    <w:rsid w:val="00A350EB"/>
    <w:rsid w:val="00A3514D"/>
    <w:rsid w:val="00A359EE"/>
    <w:rsid w:val="00A35E7C"/>
    <w:rsid w:val="00A364FB"/>
    <w:rsid w:val="00A366AF"/>
    <w:rsid w:val="00A36758"/>
    <w:rsid w:val="00A36B74"/>
    <w:rsid w:val="00A36BC4"/>
    <w:rsid w:val="00A36CEA"/>
    <w:rsid w:val="00A36F3E"/>
    <w:rsid w:val="00A37251"/>
    <w:rsid w:val="00A375B4"/>
    <w:rsid w:val="00A40546"/>
    <w:rsid w:val="00A40B40"/>
    <w:rsid w:val="00A41B1B"/>
    <w:rsid w:val="00A41C31"/>
    <w:rsid w:val="00A41C51"/>
    <w:rsid w:val="00A42162"/>
    <w:rsid w:val="00A424BD"/>
    <w:rsid w:val="00A426A9"/>
    <w:rsid w:val="00A42C6B"/>
    <w:rsid w:val="00A42D02"/>
    <w:rsid w:val="00A42EB7"/>
    <w:rsid w:val="00A42EB9"/>
    <w:rsid w:val="00A42FBF"/>
    <w:rsid w:val="00A439A9"/>
    <w:rsid w:val="00A43A57"/>
    <w:rsid w:val="00A43CF5"/>
    <w:rsid w:val="00A44047"/>
    <w:rsid w:val="00A441F9"/>
    <w:rsid w:val="00A45362"/>
    <w:rsid w:val="00A454BB"/>
    <w:rsid w:val="00A4558B"/>
    <w:rsid w:val="00A455A7"/>
    <w:rsid w:val="00A456EE"/>
    <w:rsid w:val="00A459DB"/>
    <w:rsid w:val="00A45F1D"/>
    <w:rsid w:val="00A45F66"/>
    <w:rsid w:val="00A46CEE"/>
    <w:rsid w:val="00A472AD"/>
    <w:rsid w:val="00A47384"/>
    <w:rsid w:val="00A47CA0"/>
    <w:rsid w:val="00A47D35"/>
    <w:rsid w:val="00A47D47"/>
    <w:rsid w:val="00A504A9"/>
    <w:rsid w:val="00A5052D"/>
    <w:rsid w:val="00A50DDD"/>
    <w:rsid w:val="00A50F81"/>
    <w:rsid w:val="00A5115F"/>
    <w:rsid w:val="00A511F0"/>
    <w:rsid w:val="00A51FB7"/>
    <w:rsid w:val="00A521C1"/>
    <w:rsid w:val="00A52241"/>
    <w:rsid w:val="00A528B5"/>
    <w:rsid w:val="00A52BBE"/>
    <w:rsid w:val="00A5304E"/>
    <w:rsid w:val="00A53668"/>
    <w:rsid w:val="00A53BB2"/>
    <w:rsid w:val="00A53CFB"/>
    <w:rsid w:val="00A53D23"/>
    <w:rsid w:val="00A53D25"/>
    <w:rsid w:val="00A54957"/>
    <w:rsid w:val="00A54BD3"/>
    <w:rsid w:val="00A54FD5"/>
    <w:rsid w:val="00A554A5"/>
    <w:rsid w:val="00A554CB"/>
    <w:rsid w:val="00A55A3C"/>
    <w:rsid w:val="00A55A89"/>
    <w:rsid w:val="00A55B5D"/>
    <w:rsid w:val="00A55B77"/>
    <w:rsid w:val="00A55C2A"/>
    <w:rsid w:val="00A55C5D"/>
    <w:rsid w:val="00A56255"/>
    <w:rsid w:val="00A56614"/>
    <w:rsid w:val="00A56F17"/>
    <w:rsid w:val="00A57395"/>
    <w:rsid w:val="00A579FF"/>
    <w:rsid w:val="00A57BB5"/>
    <w:rsid w:val="00A602A0"/>
    <w:rsid w:val="00A604B0"/>
    <w:rsid w:val="00A605C0"/>
    <w:rsid w:val="00A607B1"/>
    <w:rsid w:val="00A60976"/>
    <w:rsid w:val="00A60C76"/>
    <w:rsid w:val="00A60FE8"/>
    <w:rsid w:val="00A61475"/>
    <w:rsid w:val="00A619F0"/>
    <w:rsid w:val="00A61D9E"/>
    <w:rsid w:val="00A623EC"/>
    <w:rsid w:val="00A625AD"/>
    <w:rsid w:val="00A625BC"/>
    <w:rsid w:val="00A62F24"/>
    <w:rsid w:val="00A63258"/>
    <w:rsid w:val="00A63FD2"/>
    <w:rsid w:val="00A647E9"/>
    <w:rsid w:val="00A64865"/>
    <w:rsid w:val="00A64D40"/>
    <w:rsid w:val="00A6519A"/>
    <w:rsid w:val="00A651B6"/>
    <w:rsid w:val="00A65700"/>
    <w:rsid w:val="00A659C8"/>
    <w:rsid w:val="00A65A03"/>
    <w:rsid w:val="00A65C96"/>
    <w:rsid w:val="00A66135"/>
    <w:rsid w:val="00A666A2"/>
    <w:rsid w:val="00A667A7"/>
    <w:rsid w:val="00A6702C"/>
    <w:rsid w:val="00A6717D"/>
    <w:rsid w:val="00A677F3"/>
    <w:rsid w:val="00A67A8B"/>
    <w:rsid w:val="00A67C26"/>
    <w:rsid w:val="00A67C49"/>
    <w:rsid w:val="00A67F44"/>
    <w:rsid w:val="00A70E81"/>
    <w:rsid w:val="00A71101"/>
    <w:rsid w:val="00A7113E"/>
    <w:rsid w:val="00A7134A"/>
    <w:rsid w:val="00A714E6"/>
    <w:rsid w:val="00A71977"/>
    <w:rsid w:val="00A71C1F"/>
    <w:rsid w:val="00A71E23"/>
    <w:rsid w:val="00A7221D"/>
    <w:rsid w:val="00A7352B"/>
    <w:rsid w:val="00A73586"/>
    <w:rsid w:val="00A736FF"/>
    <w:rsid w:val="00A739AF"/>
    <w:rsid w:val="00A739B8"/>
    <w:rsid w:val="00A73F44"/>
    <w:rsid w:val="00A74621"/>
    <w:rsid w:val="00A74813"/>
    <w:rsid w:val="00A749C1"/>
    <w:rsid w:val="00A749C4"/>
    <w:rsid w:val="00A74F77"/>
    <w:rsid w:val="00A75614"/>
    <w:rsid w:val="00A75655"/>
    <w:rsid w:val="00A75916"/>
    <w:rsid w:val="00A75CAB"/>
    <w:rsid w:val="00A75E65"/>
    <w:rsid w:val="00A75EB2"/>
    <w:rsid w:val="00A76722"/>
    <w:rsid w:val="00A76730"/>
    <w:rsid w:val="00A767B9"/>
    <w:rsid w:val="00A76AEA"/>
    <w:rsid w:val="00A76D2D"/>
    <w:rsid w:val="00A76DC2"/>
    <w:rsid w:val="00A76FA2"/>
    <w:rsid w:val="00A76FDC"/>
    <w:rsid w:val="00A7711C"/>
    <w:rsid w:val="00A771E6"/>
    <w:rsid w:val="00A77248"/>
    <w:rsid w:val="00A773B5"/>
    <w:rsid w:val="00A774E3"/>
    <w:rsid w:val="00A77594"/>
    <w:rsid w:val="00A775CF"/>
    <w:rsid w:val="00A77802"/>
    <w:rsid w:val="00A77AD9"/>
    <w:rsid w:val="00A77D26"/>
    <w:rsid w:val="00A77E8F"/>
    <w:rsid w:val="00A800DF"/>
    <w:rsid w:val="00A800EF"/>
    <w:rsid w:val="00A808A4"/>
    <w:rsid w:val="00A81421"/>
    <w:rsid w:val="00A815D0"/>
    <w:rsid w:val="00A81686"/>
    <w:rsid w:val="00A81B8B"/>
    <w:rsid w:val="00A8268E"/>
    <w:rsid w:val="00A835D3"/>
    <w:rsid w:val="00A83692"/>
    <w:rsid w:val="00A837CF"/>
    <w:rsid w:val="00A83846"/>
    <w:rsid w:val="00A83A46"/>
    <w:rsid w:val="00A83AB1"/>
    <w:rsid w:val="00A845C6"/>
    <w:rsid w:val="00A8491B"/>
    <w:rsid w:val="00A84A77"/>
    <w:rsid w:val="00A84B6A"/>
    <w:rsid w:val="00A84D71"/>
    <w:rsid w:val="00A84F75"/>
    <w:rsid w:val="00A85C09"/>
    <w:rsid w:val="00A86604"/>
    <w:rsid w:val="00A86E5D"/>
    <w:rsid w:val="00A86EA2"/>
    <w:rsid w:val="00A87073"/>
    <w:rsid w:val="00A87409"/>
    <w:rsid w:val="00A8756C"/>
    <w:rsid w:val="00A875DE"/>
    <w:rsid w:val="00A876FC"/>
    <w:rsid w:val="00A87D00"/>
    <w:rsid w:val="00A87FC0"/>
    <w:rsid w:val="00A906C2"/>
    <w:rsid w:val="00A9079F"/>
    <w:rsid w:val="00A9081A"/>
    <w:rsid w:val="00A90A8A"/>
    <w:rsid w:val="00A90C9F"/>
    <w:rsid w:val="00A90F81"/>
    <w:rsid w:val="00A9110E"/>
    <w:rsid w:val="00A91629"/>
    <w:rsid w:val="00A91B24"/>
    <w:rsid w:val="00A91CA6"/>
    <w:rsid w:val="00A91D72"/>
    <w:rsid w:val="00A92794"/>
    <w:rsid w:val="00A92965"/>
    <w:rsid w:val="00A92B7B"/>
    <w:rsid w:val="00A92B7E"/>
    <w:rsid w:val="00A92CA0"/>
    <w:rsid w:val="00A93153"/>
    <w:rsid w:val="00A93953"/>
    <w:rsid w:val="00A93D2E"/>
    <w:rsid w:val="00A93DD2"/>
    <w:rsid w:val="00A93E15"/>
    <w:rsid w:val="00A941BE"/>
    <w:rsid w:val="00A94D1B"/>
    <w:rsid w:val="00A9568C"/>
    <w:rsid w:val="00A95A0B"/>
    <w:rsid w:val="00A95B30"/>
    <w:rsid w:val="00A95E14"/>
    <w:rsid w:val="00A95FC4"/>
    <w:rsid w:val="00A962D8"/>
    <w:rsid w:val="00A963E4"/>
    <w:rsid w:val="00A967E3"/>
    <w:rsid w:val="00A96E14"/>
    <w:rsid w:val="00A96E94"/>
    <w:rsid w:val="00A96FF3"/>
    <w:rsid w:val="00A97F3D"/>
    <w:rsid w:val="00A97F8B"/>
    <w:rsid w:val="00AA0109"/>
    <w:rsid w:val="00AA054C"/>
    <w:rsid w:val="00AA0586"/>
    <w:rsid w:val="00AA1106"/>
    <w:rsid w:val="00AA1225"/>
    <w:rsid w:val="00AA13CD"/>
    <w:rsid w:val="00AA1626"/>
    <w:rsid w:val="00AA1924"/>
    <w:rsid w:val="00AA1928"/>
    <w:rsid w:val="00AA1B3E"/>
    <w:rsid w:val="00AA22A5"/>
    <w:rsid w:val="00AA23A3"/>
    <w:rsid w:val="00AA253D"/>
    <w:rsid w:val="00AA2B79"/>
    <w:rsid w:val="00AA2E55"/>
    <w:rsid w:val="00AA2FA8"/>
    <w:rsid w:val="00AA3130"/>
    <w:rsid w:val="00AA34D0"/>
    <w:rsid w:val="00AA3A4C"/>
    <w:rsid w:val="00AA3B99"/>
    <w:rsid w:val="00AA3FAF"/>
    <w:rsid w:val="00AA4240"/>
    <w:rsid w:val="00AA4425"/>
    <w:rsid w:val="00AA470F"/>
    <w:rsid w:val="00AA4BD1"/>
    <w:rsid w:val="00AA5101"/>
    <w:rsid w:val="00AA59C0"/>
    <w:rsid w:val="00AA5A3F"/>
    <w:rsid w:val="00AA5F33"/>
    <w:rsid w:val="00AA6133"/>
    <w:rsid w:val="00AA61BF"/>
    <w:rsid w:val="00AA62A7"/>
    <w:rsid w:val="00AA64B2"/>
    <w:rsid w:val="00AA66FA"/>
    <w:rsid w:val="00AA6B61"/>
    <w:rsid w:val="00AA74EC"/>
    <w:rsid w:val="00AA7761"/>
    <w:rsid w:val="00AA7834"/>
    <w:rsid w:val="00AA788C"/>
    <w:rsid w:val="00AA7C8B"/>
    <w:rsid w:val="00AA7EFB"/>
    <w:rsid w:val="00AB042A"/>
    <w:rsid w:val="00AB087F"/>
    <w:rsid w:val="00AB0F54"/>
    <w:rsid w:val="00AB0FF0"/>
    <w:rsid w:val="00AB10CC"/>
    <w:rsid w:val="00AB19C4"/>
    <w:rsid w:val="00AB1A5F"/>
    <w:rsid w:val="00AB1B9D"/>
    <w:rsid w:val="00AB2557"/>
    <w:rsid w:val="00AB2F9E"/>
    <w:rsid w:val="00AB395B"/>
    <w:rsid w:val="00AB3A3F"/>
    <w:rsid w:val="00AB3CCA"/>
    <w:rsid w:val="00AB3F07"/>
    <w:rsid w:val="00AB40AD"/>
    <w:rsid w:val="00AB43C5"/>
    <w:rsid w:val="00AB46DE"/>
    <w:rsid w:val="00AB4792"/>
    <w:rsid w:val="00AB4D48"/>
    <w:rsid w:val="00AB4DE1"/>
    <w:rsid w:val="00AB4EA9"/>
    <w:rsid w:val="00AB52F3"/>
    <w:rsid w:val="00AB5638"/>
    <w:rsid w:val="00AB5786"/>
    <w:rsid w:val="00AB57D0"/>
    <w:rsid w:val="00AB5E55"/>
    <w:rsid w:val="00AB5F99"/>
    <w:rsid w:val="00AB6451"/>
    <w:rsid w:val="00AB694C"/>
    <w:rsid w:val="00AB6AFC"/>
    <w:rsid w:val="00AB6EC0"/>
    <w:rsid w:val="00AB7A37"/>
    <w:rsid w:val="00AC02E8"/>
    <w:rsid w:val="00AC03AC"/>
    <w:rsid w:val="00AC0426"/>
    <w:rsid w:val="00AC0466"/>
    <w:rsid w:val="00AC04D1"/>
    <w:rsid w:val="00AC0576"/>
    <w:rsid w:val="00AC0D6F"/>
    <w:rsid w:val="00AC0E2A"/>
    <w:rsid w:val="00AC12B7"/>
    <w:rsid w:val="00AC12BF"/>
    <w:rsid w:val="00AC163F"/>
    <w:rsid w:val="00AC19B7"/>
    <w:rsid w:val="00AC1C63"/>
    <w:rsid w:val="00AC2022"/>
    <w:rsid w:val="00AC213C"/>
    <w:rsid w:val="00AC2362"/>
    <w:rsid w:val="00AC2A46"/>
    <w:rsid w:val="00AC2B0B"/>
    <w:rsid w:val="00AC2D47"/>
    <w:rsid w:val="00AC3486"/>
    <w:rsid w:val="00AC3D2C"/>
    <w:rsid w:val="00AC430B"/>
    <w:rsid w:val="00AC454C"/>
    <w:rsid w:val="00AC4823"/>
    <w:rsid w:val="00AC5413"/>
    <w:rsid w:val="00AC5547"/>
    <w:rsid w:val="00AC5745"/>
    <w:rsid w:val="00AC598B"/>
    <w:rsid w:val="00AC5AFF"/>
    <w:rsid w:val="00AC5C62"/>
    <w:rsid w:val="00AC624B"/>
    <w:rsid w:val="00AC64C7"/>
    <w:rsid w:val="00AC6A0A"/>
    <w:rsid w:val="00AC6BF6"/>
    <w:rsid w:val="00AC6DA0"/>
    <w:rsid w:val="00AC7046"/>
    <w:rsid w:val="00AC7416"/>
    <w:rsid w:val="00AC761A"/>
    <w:rsid w:val="00AC7675"/>
    <w:rsid w:val="00AC77FB"/>
    <w:rsid w:val="00AC79CA"/>
    <w:rsid w:val="00AC7C25"/>
    <w:rsid w:val="00AC7F78"/>
    <w:rsid w:val="00AD09D5"/>
    <w:rsid w:val="00AD09FB"/>
    <w:rsid w:val="00AD0D65"/>
    <w:rsid w:val="00AD1269"/>
    <w:rsid w:val="00AD1366"/>
    <w:rsid w:val="00AD1A1D"/>
    <w:rsid w:val="00AD22F3"/>
    <w:rsid w:val="00AD23AD"/>
    <w:rsid w:val="00AD2A4D"/>
    <w:rsid w:val="00AD3484"/>
    <w:rsid w:val="00AD39A0"/>
    <w:rsid w:val="00AD3BB6"/>
    <w:rsid w:val="00AD3C97"/>
    <w:rsid w:val="00AD3ED4"/>
    <w:rsid w:val="00AD4500"/>
    <w:rsid w:val="00AD47A4"/>
    <w:rsid w:val="00AD4D06"/>
    <w:rsid w:val="00AD4E6B"/>
    <w:rsid w:val="00AD4E98"/>
    <w:rsid w:val="00AD515E"/>
    <w:rsid w:val="00AD519B"/>
    <w:rsid w:val="00AD5289"/>
    <w:rsid w:val="00AD545E"/>
    <w:rsid w:val="00AD5657"/>
    <w:rsid w:val="00AD5BF9"/>
    <w:rsid w:val="00AD5DF8"/>
    <w:rsid w:val="00AD5EDA"/>
    <w:rsid w:val="00AD66B0"/>
    <w:rsid w:val="00AD7536"/>
    <w:rsid w:val="00AD7996"/>
    <w:rsid w:val="00AD7FEA"/>
    <w:rsid w:val="00AE006B"/>
    <w:rsid w:val="00AE0A09"/>
    <w:rsid w:val="00AE0E6C"/>
    <w:rsid w:val="00AE0F23"/>
    <w:rsid w:val="00AE1692"/>
    <w:rsid w:val="00AE19F0"/>
    <w:rsid w:val="00AE30FC"/>
    <w:rsid w:val="00AE3AAB"/>
    <w:rsid w:val="00AE3BA9"/>
    <w:rsid w:val="00AE3C64"/>
    <w:rsid w:val="00AE488A"/>
    <w:rsid w:val="00AE4BC2"/>
    <w:rsid w:val="00AE5080"/>
    <w:rsid w:val="00AE515D"/>
    <w:rsid w:val="00AE532F"/>
    <w:rsid w:val="00AE5394"/>
    <w:rsid w:val="00AE557D"/>
    <w:rsid w:val="00AE55B7"/>
    <w:rsid w:val="00AE56EF"/>
    <w:rsid w:val="00AE5A41"/>
    <w:rsid w:val="00AE5BC3"/>
    <w:rsid w:val="00AE601D"/>
    <w:rsid w:val="00AE60F7"/>
    <w:rsid w:val="00AE6498"/>
    <w:rsid w:val="00AE68E2"/>
    <w:rsid w:val="00AE6BB4"/>
    <w:rsid w:val="00AE6F00"/>
    <w:rsid w:val="00AE70AE"/>
    <w:rsid w:val="00AE758A"/>
    <w:rsid w:val="00AE7937"/>
    <w:rsid w:val="00AE7B5C"/>
    <w:rsid w:val="00AF0459"/>
    <w:rsid w:val="00AF11F7"/>
    <w:rsid w:val="00AF13D5"/>
    <w:rsid w:val="00AF1467"/>
    <w:rsid w:val="00AF1662"/>
    <w:rsid w:val="00AF1DA5"/>
    <w:rsid w:val="00AF1E0C"/>
    <w:rsid w:val="00AF1E22"/>
    <w:rsid w:val="00AF1FB1"/>
    <w:rsid w:val="00AF2198"/>
    <w:rsid w:val="00AF2D07"/>
    <w:rsid w:val="00AF30B9"/>
    <w:rsid w:val="00AF3171"/>
    <w:rsid w:val="00AF3255"/>
    <w:rsid w:val="00AF3719"/>
    <w:rsid w:val="00AF3AD0"/>
    <w:rsid w:val="00AF417D"/>
    <w:rsid w:val="00AF4366"/>
    <w:rsid w:val="00AF43FA"/>
    <w:rsid w:val="00AF4DDB"/>
    <w:rsid w:val="00AF55C7"/>
    <w:rsid w:val="00AF57EA"/>
    <w:rsid w:val="00AF5CF3"/>
    <w:rsid w:val="00AF6A5B"/>
    <w:rsid w:val="00AF725C"/>
    <w:rsid w:val="00AF7550"/>
    <w:rsid w:val="00AF7C82"/>
    <w:rsid w:val="00AF7E1A"/>
    <w:rsid w:val="00AF7ED8"/>
    <w:rsid w:val="00AF7F22"/>
    <w:rsid w:val="00AF7F5F"/>
    <w:rsid w:val="00B00270"/>
    <w:rsid w:val="00B005F5"/>
    <w:rsid w:val="00B019A1"/>
    <w:rsid w:val="00B01C2D"/>
    <w:rsid w:val="00B01F70"/>
    <w:rsid w:val="00B02230"/>
    <w:rsid w:val="00B023FD"/>
    <w:rsid w:val="00B02528"/>
    <w:rsid w:val="00B0295F"/>
    <w:rsid w:val="00B02F4C"/>
    <w:rsid w:val="00B03066"/>
    <w:rsid w:val="00B03C15"/>
    <w:rsid w:val="00B03C69"/>
    <w:rsid w:val="00B03FA5"/>
    <w:rsid w:val="00B04019"/>
    <w:rsid w:val="00B047D7"/>
    <w:rsid w:val="00B04822"/>
    <w:rsid w:val="00B048E9"/>
    <w:rsid w:val="00B04BF4"/>
    <w:rsid w:val="00B04E1A"/>
    <w:rsid w:val="00B04E2A"/>
    <w:rsid w:val="00B051A5"/>
    <w:rsid w:val="00B057B4"/>
    <w:rsid w:val="00B05E25"/>
    <w:rsid w:val="00B05FBD"/>
    <w:rsid w:val="00B060B1"/>
    <w:rsid w:val="00B062DD"/>
    <w:rsid w:val="00B063B4"/>
    <w:rsid w:val="00B06851"/>
    <w:rsid w:val="00B068AA"/>
    <w:rsid w:val="00B068D7"/>
    <w:rsid w:val="00B06DDE"/>
    <w:rsid w:val="00B06EC0"/>
    <w:rsid w:val="00B06F28"/>
    <w:rsid w:val="00B0713C"/>
    <w:rsid w:val="00B07264"/>
    <w:rsid w:val="00B0743B"/>
    <w:rsid w:val="00B0767E"/>
    <w:rsid w:val="00B076F0"/>
    <w:rsid w:val="00B07C2E"/>
    <w:rsid w:val="00B10582"/>
    <w:rsid w:val="00B10772"/>
    <w:rsid w:val="00B110CA"/>
    <w:rsid w:val="00B111DF"/>
    <w:rsid w:val="00B11212"/>
    <w:rsid w:val="00B11B25"/>
    <w:rsid w:val="00B11BBF"/>
    <w:rsid w:val="00B11D2D"/>
    <w:rsid w:val="00B1203A"/>
    <w:rsid w:val="00B12286"/>
    <w:rsid w:val="00B12307"/>
    <w:rsid w:val="00B1250E"/>
    <w:rsid w:val="00B126A2"/>
    <w:rsid w:val="00B129B4"/>
    <w:rsid w:val="00B12C69"/>
    <w:rsid w:val="00B12F69"/>
    <w:rsid w:val="00B12F7F"/>
    <w:rsid w:val="00B12FB1"/>
    <w:rsid w:val="00B13234"/>
    <w:rsid w:val="00B13A5A"/>
    <w:rsid w:val="00B13D19"/>
    <w:rsid w:val="00B13D1C"/>
    <w:rsid w:val="00B13D56"/>
    <w:rsid w:val="00B1437B"/>
    <w:rsid w:val="00B14826"/>
    <w:rsid w:val="00B14982"/>
    <w:rsid w:val="00B14AF3"/>
    <w:rsid w:val="00B14C86"/>
    <w:rsid w:val="00B14DA0"/>
    <w:rsid w:val="00B152DA"/>
    <w:rsid w:val="00B15F57"/>
    <w:rsid w:val="00B16204"/>
    <w:rsid w:val="00B1664F"/>
    <w:rsid w:val="00B16666"/>
    <w:rsid w:val="00B16854"/>
    <w:rsid w:val="00B16B21"/>
    <w:rsid w:val="00B17011"/>
    <w:rsid w:val="00B173A5"/>
    <w:rsid w:val="00B17961"/>
    <w:rsid w:val="00B17C3C"/>
    <w:rsid w:val="00B20036"/>
    <w:rsid w:val="00B205ED"/>
    <w:rsid w:val="00B208D1"/>
    <w:rsid w:val="00B20F4A"/>
    <w:rsid w:val="00B21279"/>
    <w:rsid w:val="00B21524"/>
    <w:rsid w:val="00B217D7"/>
    <w:rsid w:val="00B2258B"/>
    <w:rsid w:val="00B225A2"/>
    <w:rsid w:val="00B2260E"/>
    <w:rsid w:val="00B229D9"/>
    <w:rsid w:val="00B22A44"/>
    <w:rsid w:val="00B22B35"/>
    <w:rsid w:val="00B22C36"/>
    <w:rsid w:val="00B23AEE"/>
    <w:rsid w:val="00B23CF4"/>
    <w:rsid w:val="00B23E0B"/>
    <w:rsid w:val="00B24372"/>
    <w:rsid w:val="00B2474C"/>
    <w:rsid w:val="00B2480B"/>
    <w:rsid w:val="00B24BC2"/>
    <w:rsid w:val="00B24CC0"/>
    <w:rsid w:val="00B24E07"/>
    <w:rsid w:val="00B24FB6"/>
    <w:rsid w:val="00B2553D"/>
    <w:rsid w:val="00B259F5"/>
    <w:rsid w:val="00B25A17"/>
    <w:rsid w:val="00B25B51"/>
    <w:rsid w:val="00B26206"/>
    <w:rsid w:val="00B262AA"/>
    <w:rsid w:val="00B263E1"/>
    <w:rsid w:val="00B2652F"/>
    <w:rsid w:val="00B2667D"/>
    <w:rsid w:val="00B267EE"/>
    <w:rsid w:val="00B26BA1"/>
    <w:rsid w:val="00B27E55"/>
    <w:rsid w:val="00B30022"/>
    <w:rsid w:val="00B30279"/>
    <w:rsid w:val="00B30561"/>
    <w:rsid w:val="00B3067D"/>
    <w:rsid w:val="00B30A6F"/>
    <w:rsid w:val="00B30AAB"/>
    <w:rsid w:val="00B30C68"/>
    <w:rsid w:val="00B312FA"/>
    <w:rsid w:val="00B31A35"/>
    <w:rsid w:val="00B31C38"/>
    <w:rsid w:val="00B320ED"/>
    <w:rsid w:val="00B32380"/>
    <w:rsid w:val="00B32448"/>
    <w:rsid w:val="00B326C5"/>
    <w:rsid w:val="00B3292E"/>
    <w:rsid w:val="00B32A6E"/>
    <w:rsid w:val="00B32BAA"/>
    <w:rsid w:val="00B32D50"/>
    <w:rsid w:val="00B32EB0"/>
    <w:rsid w:val="00B331A6"/>
    <w:rsid w:val="00B335D7"/>
    <w:rsid w:val="00B33C08"/>
    <w:rsid w:val="00B33CBA"/>
    <w:rsid w:val="00B34ABB"/>
    <w:rsid w:val="00B34EEA"/>
    <w:rsid w:val="00B35073"/>
    <w:rsid w:val="00B35241"/>
    <w:rsid w:val="00B35520"/>
    <w:rsid w:val="00B35BC2"/>
    <w:rsid w:val="00B35D71"/>
    <w:rsid w:val="00B361B3"/>
    <w:rsid w:val="00B36454"/>
    <w:rsid w:val="00B36669"/>
    <w:rsid w:val="00B36CB4"/>
    <w:rsid w:val="00B3743E"/>
    <w:rsid w:val="00B37F85"/>
    <w:rsid w:val="00B400D2"/>
    <w:rsid w:val="00B400E8"/>
    <w:rsid w:val="00B401BF"/>
    <w:rsid w:val="00B40255"/>
    <w:rsid w:val="00B4066D"/>
    <w:rsid w:val="00B40879"/>
    <w:rsid w:val="00B40E0B"/>
    <w:rsid w:val="00B4184A"/>
    <w:rsid w:val="00B41875"/>
    <w:rsid w:val="00B41B89"/>
    <w:rsid w:val="00B41F3E"/>
    <w:rsid w:val="00B42735"/>
    <w:rsid w:val="00B431F3"/>
    <w:rsid w:val="00B433AC"/>
    <w:rsid w:val="00B433EB"/>
    <w:rsid w:val="00B4384E"/>
    <w:rsid w:val="00B43B2F"/>
    <w:rsid w:val="00B43CD0"/>
    <w:rsid w:val="00B43D0D"/>
    <w:rsid w:val="00B442F1"/>
    <w:rsid w:val="00B445BC"/>
    <w:rsid w:val="00B451DA"/>
    <w:rsid w:val="00B45C3C"/>
    <w:rsid w:val="00B45FA1"/>
    <w:rsid w:val="00B4610E"/>
    <w:rsid w:val="00B461D8"/>
    <w:rsid w:val="00B4624C"/>
    <w:rsid w:val="00B46354"/>
    <w:rsid w:val="00B4718A"/>
    <w:rsid w:val="00B47431"/>
    <w:rsid w:val="00B47727"/>
    <w:rsid w:val="00B47968"/>
    <w:rsid w:val="00B47AA5"/>
    <w:rsid w:val="00B47BF6"/>
    <w:rsid w:val="00B47ED7"/>
    <w:rsid w:val="00B501B6"/>
    <w:rsid w:val="00B502D8"/>
    <w:rsid w:val="00B50605"/>
    <w:rsid w:val="00B5078B"/>
    <w:rsid w:val="00B50D6D"/>
    <w:rsid w:val="00B514CE"/>
    <w:rsid w:val="00B5229B"/>
    <w:rsid w:val="00B527CA"/>
    <w:rsid w:val="00B52A57"/>
    <w:rsid w:val="00B52DAF"/>
    <w:rsid w:val="00B52DE0"/>
    <w:rsid w:val="00B53210"/>
    <w:rsid w:val="00B5338A"/>
    <w:rsid w:val="00B5389F"/>
    <w:rsid w:val="00B539DB"/>
    <w:rsid w:val="00B53AE9"/>
    <w:rsid w:val="00B53F01"/>
    <w:rsid w:val="00B54073"/>
    <w:rsid w:val="00B5425E"/>
    <w:rsid w:val="00B545E6"/>
    <w:rsid w:val="00B5471E"/>
    <w:rsid w:val="00B549EA"/>
    <w:rsid w:val="00B54C09"/>
    <w:rsid w:val="00B553E3"/>
    <w:rsid w:val="00B55AC3"/>
    <w:rsid w:val="00B55C1A"/>
    <w:rsid w:val="00B565D3"/>
    <w:rsid w:val="00B56DD7"/>
    <w:rsid w:val="00B57298"/>
    <w:rsid w:val="00B576F7"/>
    <w:rsid w:val="00B57702"/>
    <w:rsid w:val="00B577E3"/>
    <w:rsid w:val="00B602D9"/>
    <w:rsid w:val="00B60ECD"/>
    <w:rsid w:val="00B60EDE"/>
    <w:rsid w:val="00B611C2"/>
    <w:rsid w:val="00B6158A"/>
    <w:rsid w:val="00B6207B"/>
    <w:rsid w:val="00B62445"/>
    <w:rsid w:val="00B62807"/>
    <w:rsid w:val="00B63941"/>
    <w:rsid w:val="00B63B5B"/>
    <w:rsid w:val="00B63F20"/>
    <w:rsid w:val="00B643D2"/>
    <w:rsid w:val="00B6470F"/>
    <w:rsid w:val="00B648C9"/>
    <w:rsid w:val="00B64B0D"/>
    <w:rsid w:val="00B6500E"/>
    <w:rsid w:val="00B650B1"/>
    <w:rsid w:val="00B65391"/>
    <w:rsid w:val="00B65A57"/>
    <w:rsid w:val="00B65CEE"/>
    <w:rsid w:val="00B6606D"/>
    <w:rsid w:val="00B66141"/>
    <w:rsid w:val="00B66273"/>
    <w:rsid w:val="00B663CC"/>
    <w:rsid w:val="00B66BBE"/>
    <w:rsid w:val="00B66BE1"/>
    <w:rsid w:val="00B67189"/>
    <w:rsid w:val="00B672B2"/>
    <w:rsid w:val="00B70065"/>
    <w:rsid w:val="00B70759"/>
    <w:rsid w:val="00B70A2C"/>
    <w:rsid w:val="00B70BF4"/>
    <w:rsid w:val="00B70FCD"/>
    <w:rsid w:val="00B71236"/>
    <w:rsid w:val="00B717C0"/>
    <w:rsid w:val="00B7180D"/>
    <w:rsid w:val="00B71950"/>
    <w:rsid w:val="00B719AE"/>
    <w:rsid w:val="00B71E65"/>
    <w:rsid w:val="00B71E90"/>
    <w:rsid w:val="00B7252B"/>
    <w:rsid w:val="00B72E5C"/>
    <w:rsid w:val="00B73197"/>
    <w:rsid w:val="00B733ED"/>
    <w:rsid w:val="00B735E8"/>
    <w:rsid w:val="00B73CFD"/>
    <w:rsid w:val="00B73EF4"/>
    <w:rsid w:val="00B743DC"/>
    <w:rsid w:val="00B74D72"/>
    <w:rsid w:val="00B74EFF"/>
    <w:rsid w:val="00B74F8E"/>
    <w:rsid w:val="00B752DD"/>
    <w:rsid w:val="00B756B8"/>
    <w:rsid w:val="00B76549"/>
    <w:rsid w:val="00B766CB"/>
    <w:rsid w:val="00B767C4"/>
    <w:rsid w:val="00B76BCE"/>
    <w:rsid w:val="00B76F8A"/>
    <w:rsid w:val="00B772F2"/>
    <w:rsid w:val="00B77449"/>
    <w:rsid w:val="00B77B0C"/>
    <w:rsid w:val="00B77C0D"/>
    <w:rsid w:val="00B77C4D"/>
    <w:rsid w:val="00B77F41"/>
    <w:rsid w:val="00B807D7"/>
    <w:rsid w:val="00B80ADD"/>
    <w:rsid w:val="00B80DB1"/>
    <w:rsid w:val="00B8118E"/>
    <w:rsid w:val="00B81551"/>
    <w:rsid w:val="00B81C7F"/>
    <w:rsid w:val="00B81E79"/>
    <w:rsid w:val="00B81F8D"/>
    <w:rsid w:val="00B8207A"/>
    <w:rsid w:val="00B82080"/>
    <w:rsid w:val="00B823FD"/>
    <w:rsid w:val="00B82456"/>
    <w:rsid w:val="00B827AE"/>
    <w:rsid w:val="00B82B09"/>
    <w:rsid w:val="00B82B3B"/>
    <w:rsid w:val="00B82BA9"/>
    <w:rsid w:val="00B82D66"/>
    <w:rsid w:val="00B82DCB"/>
    <w:rsid w:val="00B835BF"/>
    <w:rsid w:val="00B836A6"/>
    <w:rsid w:val="00B840D5"/>
    <w:rsid w:val="00B8430A"/>
    <w:rsid w:val="00B84988"/>
    <w:rsid w:val="00B84A2E"/>
    <w:rsid w:val="00B84AA0"/>
    <w:rsid w:val="00B84C8D"/>
    <w:rsid w:val="00B84EE9"/>
    <w:rsid w:val="00B85274"/>
    <w:rsid w:val="00B85740"/>
    <w:rsid w:val="00B857C7"/>
    <w:rsid w:val="00B85D21"/>
    <w:rsid w:val="00B86056"/>
    <w:rsid w:val="00B8611D"/>
    <w:rsid w:val="00B864F1"/>
    <w:rsid w:val="00B86EF2"/>
    <w:rsid w:val="00B8776C"/>
    <w:rsid w:val="00B8777B"/>
    <w:rsid w:val="00B87BB5"/>
    <w:rsid w:val="00B9004E"/>
    <w:rsid w:val="00B903FE"/>
    <w:rsid w:val="00B906AB"/>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A1E"/>
    <w:rsid w:val="00B94BBA"/>
    <w:rsid w:val="00B94E6B"/>
    <w:rsid w:val="00B95822"/>
    <w:rsid w:val="00B95EC5"/>
    <w:rsid w:val="00B95ED9"/>
    <w:rsid w:val="00B96291"/>
    <w:rsid w:val="00B9637F"/>
    <w:rsid w:val="00B96DD5"/>
    <w:rsid w:val="00B96E18"/>
    <w:rsid w:val="00B972F1"/>
    <w:rsid w:val="00B974B6"/>
    <w:rsid w:val="00B977EE"/>
    <w:rsid w:val="00B979B3"/>
    <w:rsid w:val="00B97D53"/>
    <w:rsid w:val="00BA0189"/>
    <w:rsid w:val="00BA121A"/>
    <w:rsid w:val="00BA126D"/>
    <w:rsid w:val="00BA174F"/>
    <w:rsid w:val="00BA1857"/>
    <w:rsid w:val="00BA1AA0"/>
    <w:rsid w:val="00BA1F1E"/>
    <w:rsid w:val="00BA23C7"/>
    <w:rsid w:val="00BA26A4"/>
    <w:rsid w:val="00BA2B16"/>
    <w:rsid w:val="00BA2EC9"/>
    <w:rsid w:val="00BA322E"/>
    <w:rsid w:val="00BA358F"/>
    <w:rsid w:val="00BA3B8C"/>
    <w:rsid w:val="00BA3C2C"/>
    <w:rsid w:val="00BA3DDC"/>
    <w:rsid w:val="00BA3E49"/>
    <w:rsid w:val="00BA4383"/>
    <w:rsid w:val="00BA43D9"/>
    <w:rsid w:val="00BA4620"/>
    <w:rsid w:val="00BA4708"/>
    <w:rsid w:val="00BA4A58"/>
    <w:rsid w:val="00BA4C96"/>
    <w:rsid w:val="00BA51DA"/>
    <w:rsid w:val="00BA59B2"/>
    <w:rsid w:val="00BA5CDF"/>
    <w:rsid w:val="00BA64CA"/>
    <w:rsid w:val="00BA6703"/>
    <w:rsid w:val="00BA672A"/>
    <w:rsid w:val="00BA6823"/>
    <w:rsid w:val="00BA6848"/>
    <w:rsid w:val="00BA69CB"/>
    <w:rsid w:val="00BA6BD9"/>
    <w:rsid w:val="00BA7376"/>
    <w:rsid w:val="00BA7919"/>
    <w:rsid w:val="00BA7BE4"/>
    <w:rsid w:val="00BA7FCD"/>
    <w:rsid w:val="00BB0151"/>
    <w:rsid w:val="00BB1DA5"/>
    <w:rsid w:val="00BB1E82"/>
    <w:rsid w:val="00BB1F2E"/>
    <w:rsid w:val="00BB2611"/>
    <w:rsid w:val="00BB2BB6"/>
    <w:rsid w:val="00BB2C0D"/>
    <w:rsid w:val="00BB2E28"/>
    <w:rsid w:val="00BB3458"/>
    <w:rsid w:val="00BB38AE"/>
    <w:rsid w:val="00BB38E0"/>
    <w:rsid w:val="00BB3D68"/>
    <w:rsid w:val="00BB4AB2"/>
    <w:rsid w:val="00BB4C68"/>
    <w:rsid w:val="00BB4C9F"/>
    <w:rsid w:val="00BB50CD"/>
    <w:rsid w:val="00BB51A1"/>
    <w:rsid w:val="00BB5305"/>
    <w:rsid w:val="00BB544C"/>
    <w:rsid w:val="00BB55C9"/>
    <w:rsid w:val="00BB564C"/>
    <w:rsid w:val="00BB57FB"/>
    <w:rsid w:val="00BB5B31"/>
    <w:rsid w:val="00BB68E9"/>
    <w:rsid w:val="00BB7281"/>
    <w:rsid w:val="00BB74AF"/>
    <w:rsid w:val="00BB7B10"/>
    <w:rsid w:val="00BB7C53"/>
    <w:rsid w:val="00BB7FDF"/>
    <w:rsid w:val="00BC00CF"/>
    <w:rsid w:val="00BC059C"/>
    <w:rsid w:val="00BC06FE"/>
    <w:rsid w:val="00BC0F8D"/>
    <w:rsid w:val="00BC12F1"/>
    <w:rsid w:val="00BC159F"/>
    <w:rsid w:val="00BC1E53"/>
    <w:rsid w:val="00BC216E"/>
    <w:rsid w:val="00BC2CAB"/>
    <w:rsid w:val="00BC3A58"/>
    <w:rsid w:val="00BC3B0B"/>
    <w:rsid w:val="00BC3B7C"/>
    <w:rsid w:val="00BC3BE1"/>
    <w:rsid w:val="00BC3D69"/>
    <w:rsid w:val="00BC3F2B"/>
    <w:rsid w:val="00BC4447"/>
    <w:rsid w:val="00BC4B10"/>
    <w:rsid w:val="00BC53EA"/>
    <w:rsid w:val="00BC5418"/>
    <w:rsid w:val="00BC5848"/>
    <w:rsid w:val="00BC61A6"/>
    <w:rsid w:val="00BC6546"/>
    <w:rsid w:val="00BC6D76"/>
    <w:rsid w:val="00BC70DD"/>
    <w:rsid w:val="00BC7334"/>
    <w:rsid w:val="00BC740D"/>
    <w:rsid w:val="00BC7493"/>
    <w:rsid w:val="00BC74E2"/>
    <w:rsid w:val="00BC770E"/>
    <w:rsid w:val="00BC7831"/>
    <w:rsid w:val="00BC7D0A"/>
    <w:rsid w:val="00BD01F7"/>
    <w:rsid w:val="00BD036D"/>
    <w:rsid w:val="00BD04FE"/>
    <w:rsid w:val="00BD06A9"/>
    <w:rsid w:val="00BD0710"/>
    <w:rsid w:val="00BD0D03"/>
    <w:rsid w:val="00BD110A"/>
    <w:rsid w:val="00BD1276"/>
    <w:rsid w:val="00BD12C2"/>
    <w:rsid w:val="00BD13F0"/>
    <w:rsid w:val="00BD1444"/>
    <w:rsid w:val="00BD1956"/>
    <w:rsid w:val="00BD1C06"/>
    <w:rsid w:val="00BD1E87"/>
    <w:rsid w:val="00BD20D4"/>
    <w:rsid w:val="00BD216A"/>
    <w:rsid w:val="00BD2580"/>
    <w:rsid w:val="00BD2DF8"/>
    <w:rsid w:val="00BD35EC"/>
    <w:rsid w:val="00BD36C6"/>
    <w:rsid w:val="00BD3A93"/>
    <w:rsid w:val="00BD4182"/>
    <w:rsid w:val="00BD426D"/>
    <w:rsid w:val="00BD46D1"/>
    <w:rsid w:val="00BD490B"/>
    <w:rsid w:val="00BD4B3D"/>
    <w:rsid w:val="00BD56DA"/>
    <w:rsid w:val="00BD5B20"/>
    <w:rsid w:val="00BD5D04"/>
    <w:rsid w:val="00BD5DDD"/>
    <w:rsid w:val="00BD6048"/>
    <w:rsid w:val="00BD6184"/>
    <w:rsid w:val="00BD67DB"/>
    <w:rsid w:val="00BD69AD"/>
    <w:rsid w:val="00BD6AE3"/>
    <w:rsid w:val="00BD6BD5"/>
    <w:rsid w:val="00BD7368"/>
    <w:rsid w:val="00BD7446"/>
    <w:rsid w:val="00BD770A"/>
    <w:rsid w:val="00BD7B8E"/>
    <w:rsid w:val="00BD7BCB"/>
    <w:rsid w:val="00BE033F"/>
    <w:rsid w:val="00BE0412"/>
    <w:rsid w:val="00BE0633"/>
    <w:rsid w:val="00BE07B8"/>
    <w:rsid w:val="00BE08F9"/>
    <w:rsid w:val="00BE0AD6"/>
    <w:rsid w:val="00BE0F87"/>
    <w:rsid w:val="00BE11FA"/>
    <w:rsid w:val="00BE14E7"/>
    <w:rsid w:val="00BE16A5"/>
    <w:rsid w:val="00BE16C5"/>
    <w:rsid w:val="00BE1799"/>
    <w:rsid w:val="00BE1F37"/>
    <w:rsid w:val="00BE20E7"/>
    <w:rsid w:val="00BE2247"/>
    <w:rsid w:val="00BE23CA"/>
    <w:rsid w:val="00BE2DBE"/>
    <w:rsid w:val="00BE314C"/>
    <w:rsid w:val="00BE3A0C"/>
    <w:rsid w:val="00BE3A8B"/>
    <w:rsid w:val="00BE3AEC"/>
    <w:rsid w:val="00BE3C11"/>
    <w:rsid w:val="00BE40EE"/>
    <w:rsid w:val="00BE4854"/>
    <w:rsid w:val="00BE4899"/>
    <w:rsid w:val="00BE4B0B"/>
    <w:rsid w:val="00BE4B59"/>
    <w:rsid w:val="00BE4DEA"/>
    <w:rsid w:val="00BE4F86"/>
    <w:rsid w:val="00BE4FDE"/>
    <w:rsid w:val="00BE56A8"/>
    <w:rsid w:val="00BE587C"/>
    <w:rsid w:val="00BE59DD"/>
    <w:rsid w:val="00BE5E4B"/>
    <w:rsid w:val="00BE6394"/>
    <w:rsid w:val="00BE6890"/>
    <w:rsid w:val="00BE68AF"/>
    <w:rsid w:val="00BE7560"/>
    <w:rsid w:val="00BE77F1"/>
    <w:rsid w:val="00BE7965"/>
    <w:rsid w:val="00BE7C0D"/>
    <w:rsid w:val="00BE7D2C"/>
    <w:rsid w:val="00BF0232"/>
    <w:rsid w:val="00BF0239"/>
    <w:rsid w:val="00BF03A6"/>
    <w:rsid w:val="00BF0801"/>
    <w:rsid w:val="00BF0805"/>
    <w:rsid w:val="00BF0912"/>
    <w:rsid w:val="00BF092B"/>
    <w:rsid w:val="00BF0A10"/>
    <w:rsid w:val="00BF0AFF"/>
    <w:rsid w:val="00BF1362"/>
    <w:rsid w:val="00BF19B6"/>
    <w:rsid w:val="00BF1A13"/>
    <w:rsid w:val="00BF1B89"/>
    <w:rsid w:val="00BF2050"/>
    <w:rsid w:val="00BF213E"/>
    <w:rsid w:val="00BF23E5"/>
    <w:rsid w:val="00BF24D7"/>
    <w:rsid w:val="00BF251D"/>
    <w:rsid w:val="00BF3123"/>
    <w:rsid w:val="00BF31AA"/>
    <w:rsid w:val="00BF32B2"/>
    <w:rsid w:val="00BF3335"/>
    <w:rsid w:val="00BF33FD"/>
    <w:rsid w:val="00BF3611"/>
    <w:rsid w:val="00BF388B"/>
    <w:rsid w:val="00BF3DAD"/>
    <w:rsid w:val="00BF424C"/>
    <w:rsid w:val="00BF45AF"/>
    <w:rsid w:val="00BF47E7"/>
    <w:rsid w:val="00BF48A3"/>
    <w:rsid w:val="00BF4B6F"/>
    <w:rsid w:val="00BF4F11"/>
    <w:rsid w:val="00BF5455"/>
    <w:rsid w:val="00BF5A5B"/>
    <w:rsid w:val="00BF5ECA"/>
    <w:rsid w:val="00BF5F98"/>
    <w:rsid w:val="00BF63D0"/>
    <w:rsid w:val="00BF63E1"/>
    <w:rsid w:val="00BF661B"/>
    <w:rsid w:val="00BF671F"/>
    <w:rsid w:val="00BF68CF"/>
    <w:rsid w:val="00BF6B56"/>
    <w:rsid w:val="00BF6F4C"/>
    <w:rsid w:val="00BF7104"/>
    <w:rsid w:val="00BF790E"/>
    <w:rsid w:val="00BF7990"/>
    <w:rsid w:val="00BF7CFA"/>
    <w:rsid w:val="00C000FC"/>
    <w:rsid w:val="00C00597"/>
    <w:rsid w:val="00C01594"/>
    <w:rsid w:val="00C01BAD"/>
    <w:rsid w:val="00C01C56"/>
    <w:rsid w:val="00C01D9A"/>
    <w:rsid w:val="00C0236B"/>
    <w:rsid w:val="00C023E5"/>
    <w:rsid w:val="00C02798"/>
    <w:rsid w:val="00C02D5D"/>
    <w:rsid w:val="00C02E76"/>
    <w:rsid w:val="00C02FEB"/>
    <w:rsid w:val="00C030F1"/>
    <w:rsid w:val="00C031EA"/>
    <w:rsid w:val="00C0353A"/>
    <w:rsid w:val="00C03ADC"/>
    <w:rsid w:val="00C0407B"/>
    <w:rsid w:val="00C04483"/>
    <w:rsid w:val="00C04975"/>
    <w:rsid w:val="00C04A24"/>
    <w:rsid w:val="00C04DC9"/>
    <w:rsid w:val="00C050BA"/>
    <w:rsid w:val="00C051C0"/>
    <w:rsid w:val="00C0527F"/>
    <w:rsid w:val="00C05454"/>
    <w:rsid w:val="00C05956"/>
    <w:rsid w:val="00C05BAA"/>
    <w:rsid w:val="00C0606D"/>
    <w:rsid w:val="00C06326"/>
    <w:rsid w:val="00C0665A"/>
    <w:rsid w:val="00C06CD1"/>
    <w:rsid w:val="00C06D12"/>
    <w:rsid w:val="00C06DE4"/>
    <w:rsid w:val="00C06E9F"/>
    <w:rsid w:val="00C06F32"/>
    <w:rsid w:val="00C0717D"/>
    <w:rsid w:val="00C07258"/>
    <w:rsid w:val="00C072F7"/>
    <w:rsid w:val="00C07737"/>
    <w:rsid w:val="00C07AAF"/>
    <w:rsid w:val="00C07D1E"/>
    <w:rsid w:val="00C109A3"/>
    <w:rsid w:val="00C11809"/>
    <w:rsid w:val="00C11B6A"/>
    <w:rsid w:val="00C124A4"/>
    <w:rsid w:val="00C1256C"/>
    <w:rsid w:val="00C127A8"/>
    <w:rsid w:val="00C12C72"/>
    <w:rsid w:val="00C13096"/>
    <w:rsid w:val="00C130E4"/>
    <w:rsid w:val="00C13149"/>
    <w:rsid w:val="00C137D0"/>
    <w:rsid w:val="00C139E0"/>
    <w:rsid w:val="00C13A6C"/>
    <w:rsid w:val="00C13C01"/>
    <w:rsid w:val="00C142B2"/>
    <w:rsid w:val="00C143E2"/>
    <w:rsid w:val="00C149B4"/>
    <w:rsid w:val="00C14ADD"/>
    <w:rsid w:val="00C14E5D"/>
    <w:rsid w:val="00C152C8"/>
    <w:rsid w:val="00C1560F"/>
    <w:rsid w:val="00C1578B"/>
    <w:rsid w:val="00C15FBD"/>
    <w:rsid w:val="00C16111"/>
    <w:rsid w:val="00C16565"/>
    <w:rsid w:val="00C16692"/>
    <w:rsid w:val="00C16798"/>
    <w:rsid w:val="00C16BFD"/>
    <w:rsid w:val="00C16ED3"/>
    <w:rsid w:val="00C170B0"/>
    <w:rsid w:val="00C173E9"/>
    <w:rsid w:val="00C17433"/>
    <w:rsid w:val="00C176E2"/>
    <w:rsid w:val="00C17A06"/>
    <w:rsid w:val="00C17B45"/>
    <w:rsid w:val="00C17B89"/>
    <w:rsid w:val="00C2005B"/>
    <w:rsid w:val="00C20122"/>
    <w:rsid w:val="00C201DF"/>
    <w:rsid w:val="00C206FD"/>
    <w:rsid w:val="00C209BF"/>
    <w:rsid w:val="00C21029"/>
    <w:rsid w:val="00C2158D"/>
    <w:rsid w:val="00C215DC"/>
    <w:rsid w:val="00C217D9"/>
    <w:rsid w:val="00C2181D"/>
    <w:rsid w:val="00C21C9C"/>
    <w:rsid w:val="00C21D6E"/>
    <w:rsid w:val="00C22107"/>
    <w:rsid w:val="00C221FE"/>
    <w:rsid w:val="00C22CD4"/>
    <w:rsid w:val="00C23196"/>
    <w:rsid w:val="00C234C7"/>
    <w:rsid w:val="00C23E1B"/>
    <w:rsid w:val="00C240DA"/>
    <w:rsid w:val="00C2445E"/>
    <w:rsid w:val="00C24912"/>
    <w:rsid w:val="00C24D6A"/>
    <w:rsid w:val="00C24DDF"/>
    <w:rsid w:val="00C24E33"/>
    <w:rsid w:val="00C25003"/>
    <w:rsid w:val="00C25191"/>
    <w:rsid w:val="00C25337"/>
    <w:rsid w:val="00C25381"/>
    <w:rsid w:val="00C25B7B"/>
    <w:rsid w:val="00C25D15"/>
    <w:rsid w:val="00C26188"/>
    <w:rsid w:val="00C2678B"/>
    <w:rsid w:val="00C268FB"/>
    <w:rsid w:val="00C27123"/>
    <w:rsid w:val="00C2727C"/>
    <w:rsid w:val="00C27CA3"/>
    <w:rsid w:val="00C3002A"/>
    <w:rsid w:val="00C30789"/>
    <w:rsid w:val="00C30B98"/>
    <w:rsid w:val="00C30BF5"/>
    <w:rsid w:val="00C30DAB"/>
    <w:rsid w:val="00C3113C"/>
    <w:rsid w:val="00C31224"/>
    <w:rsid w:val="00C313C4"/>
    <w:rsid w:val="00C31562"/>
    <w:rsid w:val="00C31768"/>
    <w:rsid w:val="00C31CFF"/>
    <w:rsid w:val="00C320E1"/>
    <w:rsid w:val="00C32282"/>
    <w:rsid w:val="00C3236E"/>
    <w:rsid w:val="00C324A1"/>
    <w:rsid w:val="00C3263C"/>
    <w:rsid w:val="00C32B59"/>
    <w:rsid w:val="00C32C9B"/>
    <w:rsid w:val="00C32CEF"/>
    <w:rsid w:val="00C330B4"/>
    <w:rsid w:val="00C330FE"/>
    <w:rsid w:val="00C3315A"/>
    <w:rsid w:val="00C3333C"/>
    <w:rsid w:val="00C33540"/>
    <w:rsid w:val="00C33556"/>
    <w:rsid w:val="00C3384C"/>
    <w:rsid w:val="00C3386D"/>
    <w:rsid w:val="00C339C0"/>
    <w:rsid w:val="00C33A0F"/>
    <w:rsid w:val="00C33B3F"/>
    <w:rsid w:val="00C3428D"/>
    <w:rsid w:val="00C344C8"/>
    <w:rsid w:val="00C345A8"/>
    <w:rsid w:val="00C346FB"/>
    <w:rsid w:val="00C34874"/>
    <w:rsid w:val="00C34BD7"/>
    <w:rsid w:val="00C34F2D"/>
    <w:rsid w:val="00C35096"/>
    <w:rsid w:val="00C35373"/>
    <w:rsid w:val="00C35DD2"/>
    <w:rsid w:val="00C369BF"/>
    <w:rsid w:val="00C3758A"/>
    <w:rsid w:val="00C37A32"/>
    <w:rsid w:val="00C37A63"/>
    <w:rsid w:val="00C37AE7"/>
    <w:rsid w:val="00C37D40"/>
    <w:rsid w:val="00C37F72"/>
    <w:rsid w:val="00C40887"/>
    <w:rsid w:val="00C409E5"/>
    <w:rsid w:val="00C40CA0"/>
    <w:rsid w:val="00C40E8D"/>
    <w:rsid w:val="00C412D9"/>
    <w:rsid w:val="00C413D0"/>
    <w:rsid w:val="00C418DC"/>
    <w:rsid w:val="00C41C1F"/>
    <w:rsid w:val="00C425DF"/>
    <w:rsid w:val="00C42C19"/>
    <w:rsid w:val="00C42DF6"/>
    <w:rsid w:val="00C4319F"/>
    <w:rsid w:val="00C43846"/>
    <w:rsid w:val="00C440EB"/>
    <w:rsid w:val="00C4480C"/>
    <w:rsid w:val="00C4481A"/>
    <w:rsid w:val="00C449AA"/>
    <w:rsid w:val="00C44BED"/>
    <w:rsid w:val="00C4527D"/>
    <w:rsid w:val="00C45303"/>
    <w:rsid w:val="00C4546E"/>
    <w:rsid w:val="00C45636"/>
    <w:rsid w:val="00C463D6"/>
    <w:rsid w:val="00C46744"/>
    <w:rsid w:val="00C46943"/>
    <w:rsid w:val="00C469FC"/>
    <w:rsid w:val="00C46B0B"/>
    <w:rsid w:val="00C46C1F"/>
    <w:rsid w:val="00C4706F"/>
    <w:rsid w:val="00C470C7"/>
    <w:rsid w:val="00C474AE"/>
    <w:rsid w:val="00C4760F"/>
    <w:rsid w:val="00C47C5D"/>
    <w:rsid w:val="00C47DD4"/>
    <w:rsid w:val="00C502E1"/>
    <w:rsid w:val="00C505FE"/>
    <w:rsid w:val="00C50D1C"/>
    <w:rsid w:val="00C50E28"/>
    <w:rsid w:val="00C50F25"/>
    <w:rsid w:val="00C51098"/>
    <w:rsid w:val="00C51D91"/>
    <w:rsid w:val="00C51ED1"/>
    <w:rsid w:val="00C523E9"/>
    <w:rsid w:val="00C52584"/>
    <w:rsid w:val="00C529EA"/>
    <w:rsid w:val="00C52F33"/>
    <w:rsid w:val="00C534F3"/>
    <w:rsid w:val="00C53550"/>
    <w:rsid w:val="00C5357D"/>
    <w:rsid w:val="00C5359B"/>
    <w:rsid w:val="00C536EA"/>
    <w:rsid w:val="00C53AC9"/>
    <w:rsid w:val="00C53BA1"/>
    <w:rsid w:val="00C540E5"/>
    <w:rsid w:val="00C545DA"/>
    <w:rsid w:val="00C54DC8"/>
    <w:rsid w:val="00C5525B"/>
    <w:rsid w:val="00C554F3"/>
    <w:rsid w:val="00C55689"/>
    <w:rsid w:val="00C556D9"/>
    <w:rsid w:val="00C556E4"/>
    <w:rsid w:val="00C5592A"/>
    <w:rsid w:val="00C55B1E"/>
    <w:rsid w:val="00C55F90"/>
    <w:rsid w:val="00C55FEE"/>
    <w:rsid w:val="00C56137"/>
    <w:rsid w:val="00C5615B"/>
    <w:rsid w:val="00C563C1"/>
    <w:rsid w:val="00C56C07"/>
    <w:rsid w:val="00C5701E"/>
    <w:rsid w:val="00C57073"/>
    <w:rsid w:val="00C60008"/>
    <w:rsid w:val="00C618F9"/>
    <w:rsid w:val="00C61989"/>
    <w:rsid w:val="00C61BAA"/>
    <w:rsid w:val="00C6230B"/>
    <w:rsid w:val="00C62542"/>
    <w:rsid w:val="00C62DA2"/>
    <w:rsid w:val="00C6300D"/>
    <w:rsid w:val="00C630CA"/>
    <w:rsid w:val="00C6368A"/>
    <w:rsid w:val="00C63AD6"/>
    <w:rsid w:val="00C64370"/>
    <w:rsid w:val="00C646EB"/>
    <w:rsid w:val="00C64B0F"/>
    <w:rsid w:val="00C64D89"/>
    <w:rsid w:val="00C6505D"/>
    <w:rsid w:val="00C6528E"/>
    <w:rsid w:val="00C659A8"/>
    <w:rsid w:val="00C65B6C"/>
    <w:rsid w:val="00C65B79"/>
    <w:rsid w:val="00C65C02"/>
    <w:rsid w:val="00C65D05"/>
    <w:rsid w:val="00C661D7"/>
    <w:rsid w:val="00C662F0"/>
    <w:rsid w:val="00C663F0"/>
    <w:rsid w:val="00C66B59"/>
    <w:rsid w:val="00C675C6"/>
    <w:rsid w:val="00C67632"/>
    <w:rsid w:val="00C67B4D"/>
    <w:rsid w:val="00C67D27"/>
    <w:rsid w:val="00C67FB0"/>
    <w:rsid w:val="00C7011E"/>
    <w:rsid w:val="00C70501"/>
    <w:rsid w:val="00C70B05"/>
    <w:rsid w:val="00C70B4E"/>
    <w:rsid w:val="00C70D22"/>
    <w:rsid w:val="00C70F74"/>
    <w:rsid w:val="00C70FE8"/>
    <w:rsid w:val="00C7130B"/>
    <w:rsid w:val="00C71375"/>
    <w:rsid w:val="00C71412"/>
    <w:rsid w:val="00C715AF"/>
    <w:rsid w:val="00C71A51"/>
    <w:rsid w:val="00C71C7F"/>
    <w:rsid w:val="00C71FC3"/>
    <w:rsid w:val="00C7212A"/>
    <w:rsid w:val="00C72405"/>
    <w:rsid w:val="00C72AEB"/>
    <w:rsid w:val="00C73332"/>
    <w:rsid w:val="00C733D5"/>
    <w:rsid w:val="00C73A78"/>
    <w:rsid w:val="00C73A89"/>
    <w:rsid w:val="00C73E43"/>
    <w:rsid w:val="00C744B4"/>
    <w:rsid w:val="00C74A95"/>
    <w:rsid w:val="00C75338"/>
    <w:rsid w:val="00C758C8"/>
    <w:rsid w:val="00C75A92"/>
    <w:rsid w:val="00C75DFC"/>
    <w:rsid w:val="00C760BE"/>
    <w:rsid w:val="00C765A4"/>
    <w:rsid w:val="00C767BD"/>
    <w:rsid w:val="00C76CE5"/>
    <w:rsid w:val="00C7713E"/>
    <w:rsid w:val="00C774BF"/>
    <w:rsid w:val="00C774FB"/>
    <w:rsid w:val="00C779EC"/>
    <w:rsid w:val="00C77D02"/>
    <w:rsid w:val="00C802E0"/>
    <w:rsid w:val="00C807EE"/>
    <w:rsid w:val="00C808D3"/>
    <w:rsid w:val="00C80BFD"/>
    <w:rsid w:val="00C81441"/>
    <w:rsid w:val="00C814F9"/>
    <w:rsid w:val="00C815F2"/>
    <w:rsid w:val="00C819C5"/>
    <w:rsid w:val="00C81D66"/>
    <w:rsid w:val="00C82742"/>
    <w:rsid w:val="00C82BFF"/>
    <w:rsid w:val="00C82E2A"/>
    <w:rsid w:val="00C82E98"/>
    <w:rsid w:val="00C82F88"/>
    <w:rsid w:val="00C8334C"/>
    <w:rsid w:val="00C8375A"/>
    <w:rsid w:val="00C8380E"/>
    <w:rsid w:val="00C838B4"/>
    <w:rsid w:val="00C83B57"/>
    <w:rsid w:val="00C8402F"/>
    <w:rsid w:val="00C84675"/>
    <w:rsid w:val="00C8483D"/>
    <w:rsid w:val="00C84DCF"/>
    <w:rsid w:val="00C8534C"/>
    <w:rsid w:val="00C85637"/>
    <w:rsid w:val="00C85723"/>
    <w:rsid w:val="00C85CC6"/>
    <w:rsid w:val="00C85CF9"/>
    <w:rsid w:val="00C85DB3"/>
    <w:rsid w:val="00C85E85"/>
    <w:rsid w:val="00C8613B"/>
    <w:rsid w:val="00C86A42"/>
    <w:rsid w:val="00C86E11"/>
    <w:rsid w:val="00C870FE"/>
    <w:rsid w:val="00C8719D"/>
    <w:rsid w:val="00C871FB"/>
    <w:rsid w:val="00C87303"/>
    <w:rsid w:val="00C8754F"/>
    <w:rsid w:val="00C877FA"/>
    <w:rsid w:val="00C879C6"/>
    <w:rsid w:val="00C87C7F"/>
    <w:rsid w:val="00C87D04"/>
    <w:rsid w:val="00C904FC"/>
    <w:rsid w:val="00C90F20"/>
    <w:rsid w:val="00C913DE"/>
    <w:rsid w:val="00C91449"/>
    <w:rsid w:val="00C914D6"/>
    <w:rsid w:val="00C91BD9"/>
    <w:rsid w:val="00C91C55"/>
    <w:rsid w:val="00C91D0D"/>
    <w:rsid w:val="00C92105"/>
    <w:rsid w:val="00C92423"/>
    <w:rsid w:val="00C927C4"/>
    <w:rsid w:val="00C928AA"/>
    <w:rsid w:val="00C92A47"/>
    <w:rsid w:val="00C93635"/>
    <w:rsid w:val="00C93D34"/>
    <w:rsid w:val="00C940C9"/>
    <w:rsid w:val="00C941B7"/>
    <w:rsid w:val="00C942D9"/>
    <w:rsid w:val="00C9435A"/>
    <w:rsid w:val="00C943C9"/>
    <w:rsid w:val="00C94876"/>
    <w:rsid w:val="00C94AEC"/>
    <w:rsid w:val="00C94D5C"/>
    <w:rsid w:val="00C94E20"/>
    <w:rsid w:val="00C95291"/>
    <w:rsid w:val="00C95486"/>
    <w:rsid w:val="00C95619"/>
    <w:rsid w:val="00C95686"/>
    <w:rsid w:val="00C957D2"/>
    <w:rsid w:val="00C95BF8"/>
    <w:rsid w:val="00C95CBC"/>
    <w:rsid w:val="00C960C7"/>
    <w:rsid w:val="00C9681C"/>
    <w:rsid w:val="00C96E57"/>
    <w:rsid w:val="00C96E88"/>
    <w:rsid w:val="00C971C9"/>
    <w:rsid w:val="00C972A1"/>
    <w:rsid w:val="00C9732A"/>
    <w:rsid w:val="00C97687"/>
    <w:rsid w:val="00C9768F"/>
    <w:rsid w:val="00C97C1C"/>
    <w:rsid w:val="00C97F3B"/>
    <w:rsid w:val="00CA00FB"/>
    <w:rsid w:val="00CA025C"/>
    <w:rsid w:val="00CA0D19"/>
    <w:rsid w:val="00CA0D49"/>
    <w:rsid w:val="00CA0F5E"/>
    <w:rsid w:val="00CA1884"/>
    <w:rsid w:val="00CA1972"/>
    <w:rsid w:val="00CA19D3"/>
    <w:rsid w:val="00CA20D7"/>
    <w:rsid w:val="00CA268F"/>
    <w:rsid w:val="00CA29E6"/>
    <w:rsid w:val="00CA2EA9"/>
    <w:rsid w:val="00CA31DE"/>
    <w:rsid w:val="00CA3A97"/>
    <w:rsid w:val="00CA4063"/>
    <w:rsid w:val="00CA4512"/>
    <w:rsid w:val="00CA45E0"/>
    <w:rsid w:val="00CA4C70"/>
    <w:rsid w:val="00CA4CAD"/>
    <w:rsid w:val="00CA4E63"/>
    <w:rsid w:val="00CA5164"/>
    <w:rsid w:val="00CA51D5"/>
    <w:rsid w:val="00CA5396"/>
    <w:rsid w:val="00CA5421"/>
    <w:rsid w:val="00CA542E"/>
    <w:rsid w:val="00CA589D"/>
    <w:rsid w:val="00CA5C15"/>
    <w:rsid w:val="00CA618B"/>
    <w:rsid w:val="00CA661C"/>
    <w:rsid w:val="00CA6652"/>
    <w:rsid w:val="00CA68C2"/>
    <w:rsid w:val="00CA6BAE"/>
    <w:rsid w:val="00CA6E9C"/>
    <w:rsid w:val="00CA6F36"/>
    <w:rsid w:val="00CA7142"/>
    <w:rsid w:val="00CA7363"/>
    <w:rsid w:val="00CA74C7"/>
    <w:rsid w:val="00CA75E4"/>
    <w:rsid w:val="00CA7709"/>
    <w:rsid w:val="00CA7880"/>
    <w:rsid w:val="00CA7BBD"/>
    <w:rsid w:val="00CA7C72"/>
    <w:rsid w:val="00CB0273"/>
    <w:rsid w:val="00CB0352"/>
    <w:rsid w:val="00CB05F5"/>
    <w:rsid w:val="00CB0A48"/>
    <w:rsid w:val="00CB0B84"/>
    <w:rsid w:val="00CB10F9"/>
    <w:rsid w:val="00CB1686"/>
    <w:rsid w:val="00CB1694"/>
    <w:rsid w:val="00CB1793"/>
    <w:rsid w:val="00CB1B2F"/>
    <w:rsid w:val="00CB2668"/>
    <w:rsid w:val="00CB2827"/>
    <w:rsid w:val="00CB29EF"/>
    <w:rsid w:val="00CB2ED9"/>
    <w:rsid w:val="00CB2FE9"/>
    <w:rsid w:val="00CB33CA"/>
    <w:rsid w:val="00CB3439"/>
    <w:rsid w:val="00CB4056"/>
    <w:rsid w:val="00CB407B"/>
    <w:rsid w:val="00CB44B7"/>
    <w:rsid w:val="00CB450F"/>
    <w:rsid w:val="00CB605A"/>
    <w:rsid w:val="00CB62D0"/>
    <w:rsid w:val="00CB655D"/>
    <w:rsid w:val="00CB656C"/>
    <w:rsid w:val="00CB6704"/>
    <w:rsid w:val="00CB6A0F"/>
    <w:rsid w:val="00CB6EF0"/>
    <w:rsid w:val="00CB6F76"/>
    <w:rsid w:val="00CB747C"/>
    <w:rsid w:val="00CB7720"/>
    <w:rsid w:val="00CB7901"/>
    <w:rsid w:val="00CB7A54"/>
    <w:rsid w:val="00CB7D31"/>
    <w:rsid w:val="00CC0302"/>
    <w:rsid w:val="00CC0A9C"/>
    <w:rsid w:val="00CC0C89"/>
    <w:rsid w:val="00CC134F"/>
    <w:rsid w:val="00CC1645"/>
    <w:rsid w:val="00CC1A77"/>
    <w:rsid w:val="00CC1BB9"/>
    <w:rsid w:val="00CC1C13"/>
    <w:rsid w:val="00CC1F96"/>
    <w:rsid w:val="00CC201B"/>
    <w:rsid w:val="00CC258D"/>
    <w:rsid w:val="00CC278B"/>
    <w:rsid w:val="00CC28E8"/>
    <w:rsid w:val="00CC2C16"/>
    <w:rsid w:val="00CC2EB6"/>
    <w:rsid w:val="00CC2FE1"/>
    <w:rsid w:val="00CC317E"/>
    <w:rsid w:val="00CC388A"/>
    <w:rsid w:val="00CC3AB5"/>
    <w:rsid w:val="00CC413C"/>
    <w:rsid w:val="00CC415B"/>
    <w:rsid w:val="00CC45F6"/>
    <w:rsid w:val="00CC480D"/>
    <w:rsid w:val="00CC4B43"/>
    <w:rsid w:val="00CC5773"/>
    <w:rsid w:val="00CC58EB"/>
    <w:rsid w:val="00CC59CF"/>
    <w:rsid w:val="00CC5D6F"/>
    <w:rsid w:val="00CC6619"/>
    <w:rsid w:val="00CC6761"/>
    <w:rsid w:val="00CC6DF1"/>
    <w:rsid w:val="00CC74EB"/>
    <w:rsid w:val="00CC759E"/>
    <w:rsid w:val="00CC7CB8"/>
    <w:rsid w:val="00CC7DA8"/>
    <w:rsid w:val="00CC7DE7"/>
    <w:rsid w:val="00CD01B3"/>
    <w:rsid w:val="00CD0225"/>
    <w:rsid w:val="00CD0303"/>
    <w:rsid w:val="00CD08A9"/>
    <w:rsid w:val="00CD0A80"/>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34D"/>
    <w:rsid w:val="00CD566E"/>
    <w:rsid w:val="00CD5830"/>
    <w:rsid w:val="00CD586B"/>
    <w:rsid w:val="00CD58E9"/>
    <w:rsid w:val="00CD5A68"/>
    <w:rsid w:val="00CD5AE8"/>
    <w:rsid w:val="00CD5B0D"/>
    <w:rsid w:val="00CD5F72"/>
    <w:rsid w:val="00CD63A4"/>
    <w:rsid w:val="00CD63BD"/>
    <w:rsid w:val="00CD6A34"/>
    <w:rsid w:val="00CD6F41"/>
    <w:rsid w:val="00CD6FA9"/>
    <w:rsid w:val="00CD7534"/>
    <w:rsid w:val="00CD793A"/>
    <w:rsid w:val="00CE026E"/>
    <w:rsid w:val="00CE08D0"/>
    <w:rsid w:val="00CE0C3E"/>
    <w:rsid w:val="00CE0CBC"/>
    <w:rsid w:val="00CE0E62"/>
    <w:rsid w:val="00CE120F"/>
    <w:rsid w:val="00CE1211"/>
    <w:rsid w:val="00CE14B3"/>
    <w:rsid w:val="00CE1688"/>
    <w:rsid w:val="00CE17D2"/>
    <w:rsid w:val="00CE17E3"/>
    <w:rsid w:val="00CE1983"/>
    <w:rsid w:val="00CE226E"/>
    <w:rsid w:val="00CE2620"/>
    <w:rsid w:val="00CE2A2C"/>
    <w:rsid w:val="00CE3176"/>
    <w:rsid w:val="00CE37D7"/>
    <w:rsid w:val="00CE3DA0"/>
    <w:rsid w:val="00CE3E44"/>
    <w:rsid w:val="00CE3F0E"/>
    <w:rsid w:val="00CE40BE"/>
    <w:rsid w:val="00CE40EF"/>
    <w:rsid w:val="00CE458D"/>
    <w:rsid w:val="00CE473E"/>
    <w:rsid w:val="00CE4812"/>
    <w:rsid w:val="00CE4D2D"/>
    <w:rsid w:val="00CE4DBB"/>
    <w:rsid w:val="00CE4E50"/>
    <w:rsid w:val="00CE5428"/>
    <w:rsid w:val="00CE56B3"/>
    <w:rsid w:val="00CE5BCE"/>
    <w:rsid w:val="00CE5BFF"/>
    <w:rsid w:val="00CE5C1E"/>
    <w:rsid w:val="00CE5F42"/>
    <w:rsid w:val="00CE6286"/>
    <w:rsid w:val="00CE6881"/>
    <w:rsid w:val="00CE6E1D"/>
    <w:rsid w:val="00CE6E4C"/>
    <w:rsid w:val="00CE6F08"/>
    <w:rsid w:val="00CE6F37"/>
    <w:rsid w:val="00CE76EB"/>
    <w:rsid w:val="00CF0033"/>
    <w:rsid w:val="00CF017F"/>
    <w:rsid w:val="00CF032E"/>
    <w:rsid w:val="00CF08A9"/>
    <w:rsid w:val="00CF09C3"/>
    <w:rsid w:val="00CF0A33"/>
    <w:rsid w:val="00CF0A43"/>
    <w:rsid w:val="00CF0E99"/>
    <w:rsid w:val="00CF0F3C"/>
    <w:rsid w:val="00CF2329"/>
    <w:rsid w:val="00CF253E"/>
    <w:rsid w:val="00CF257B"/>
    <w:rsid w:val="00CF2620"/>
    <w:rsid w:val="00CF2A40"/>
    <w:rsid w:val="00CF2A4A"/>
    <w:rsid w:val="00CF2BC3"/>
    <w:rsid w:val="00CF2DB0"/>
    <w:rsid w:val="00CF2E43"/>
    <w:rsid w:val="00CF3A4C"/>
    <w:rsid w:val="00CF4198"/>
    <w:rsid w:val="00CF4377"/>
    <w:rsid w:val="00CF465E"/>
    <w:rsid w:val="00CF4694"/>
    <w:rsid w:val="00CF470A"/>
    <w:rsid w:val="00CF487E"/>
    <w:rsid w:val="00CF4B3C"/>
    <w:rsid w:val="00CF4B98"/>
    <w:rsid w:val="00CF4C98"/>
    <w:rsid w:val="00CF4E83"/>
    <w:rsid w:val="00CF5442"/>
    <w:rsid w:val="00CF5491"/>
    <w:rsid w:val="00CF5522"/>
    <w:rsid w:val="00CF5641"/>
    <w:rsid w:val="00CF58F6"/>
    <w:rsid w:val="00CF5F91"/>
    <w:rsid w:val="00CF61ED"/>
    <w:rsid w:val="00CF6467"/>
    <w:rsid w:val="00CF68BB"/>
    <w:rsid w:val="00CF6BA6"/>
    <w:rsid w:val="00CF6CFB"/>
    <w:rsid w:val="00CF6ED9"/>
    <w:rsid w:val="00CF7065"/>
    <w:rsid w:val="00CF707E"/>
    <w:rsid w:val="00CF760D"/>
    <w:rsid w:val="00CF7BE1"/>
    <w:rsid w:val="00CF7EE5"/>
    <w:rsid w:val="00CF7FD3"/>
    <w:rsid w:val="00D00293"/>
    <w:rsid w:val="00D005B9"/>
    <w:rsid w:val="00D005D9"/>
    <w:rsid w:val="00D00860"/>
    <w:rsid w:val="00D009EC"/>
    <w:rsid w:val="00D00E64"/>
    <w:rsid w:val="00D014FD"/>
    <w:rsid w:val="00D01DDE"/>
    <w:rsid w:val="00D020B8"/>
    <w:rsid w:val="00D02149"/>
    <w:rsid w:val="00D023A6"/>
    <w:rsid w:val="00D02650"/>
    <w:rsid w:val="00D026D2"/>
    <w:rsid w:val="00D027BE"/>
    <w:rsid w:val="00D0293E"/>
    <w:rsid w:val="00D0293F"/>
    <w:rsid w:val="00D02AC2"/>
    <w:rsid w:val="00D0328D"/>
    <w:rsid w:val="00D033B4"/>
    <w:rsid w:val="00D0341D"/>
    <w:rsid w:val="00D03F15"/>
    <w:rsid w:val="00D03FCC"/>
    <w:rsid w:val="00D03FE0"/>
    <w:rsid w:val="00D03FEE"/>
    <w:rsid w:val="00D0427E"/>
    <w:rsid w:val="00D042C2"/>
    <w:rsid w:val="00D042E8"/>
    <w:rsid w:val="00D04617"/>
    <w:rsid w:val="00D047D7"/>
    <w:rsid w:val="00D04A1B"/>
    <w:rsid w:val="00D04B2B"/>
    <w:rsid w:val="00D04FDA"/>
    <w:rsid w:val="00D052D2"/>
    <w:rsid w:val="00D052F9"/>
    <w:rsid w:val="00D0566F"/>
    <w:rsid w:val="00D05830"/>
    <w:rsid w:val="00D05AAD"/>
    <w:rsid w:val="00D05E80"/>
    <w:rsid w:val="00D06368"/>
    <w:rsid w:val="00D06601"/>
    <w:rsid w:val="00D06AFD"/>
    <w:rsid w:val="00D06BF9"/>
    <w:rsid w:val="00D06CB9"/>
    <w:rsid w:val="00D0708D"/>
    <w:rsid w:val="00D070B2"/>
    <w:rsid w:val="00D077D9"/>
    <w:rsid w:val="00D1065D"/>
    <w:rsid w:val="00D106C6"/>
    <w:rsid w:val="00D10D01"/>
    <w:rsid w:val="00D10E08"/>
    <w:rsid w:val="00D10EE4"/>
    <w:rsid w:val="00D10FDA"/>
    <w:rsid w:val="00D11B11"/>
    <w:rsid w:val="00D11EBE"/>
    <w:rsid w:val="00D1200B"/>
    <w:rsid w:val="00D12133"/>
    <w:rsid w:val="00D12753"/>
    <w:rsid w:val="00D12CD3"/>
    <w:rsid w:val="00D12E3E"/>
    <w:rsid w:val="00D13422"/>
    <w:rsid w:val="00D138DA"/>
    <w:rsid w:val="00D139B2"/>
    <w:rsid w:val="00D13AC1"/>
    <w:rsid w:val="00D14263"/>
    <w:rsid w:val="00D147A4"/>
    <w:rsid w:val="00D147C9"/>
    <w:rsid w:val="00D14CCB"/>
    <w:rsid w:val="00D15035"/>
    <w:rsid w:val="00D15917"/>
    <w:rsid w:val="00D160AA"/>
    <w:rsid w:val="00D165A7"/>
    <w:rsid w:val="00D169D5"/>
    <w:rsid w:val="00D175BD"/>
    <w:rsid w:val="00D178ED"/>
    <w:rsid w:val="00D17D56"/>
    <w:rsid w:val="00D17ED0"/>
    <w:rsid w:val="00D203FE"/>
    <w:rsid w:val="00D2064B"/>
    <w:rsid w:val="00D208E6"/>
    <w:rsid w:val="00D20AAB"/>
    <w:rsid w:val="00D2130C"/>
    <w:rsid w:val="00D214C3"/>
    <w:rsid w:val="00D21677"/>
    <w:rsid w:val="00D21736"/>
    <w:rsid w:val="00D2179F"/>
    <w:rsid w:val="00D21914"/>
    <w:rsid w:val="00D21D6D"/>
    <w:rsid w:val="00D21F15"/>
    <w:rsid w:val="00D21FEC"/>
    <w:rsid w:val="00D2245A"/>
    <w:rsid w:val="00D2257A"/>
    <w:rsid w:val="00D2276D"/>
    <w:rsid w:val="00D23149"/>
    <w:rsid w:val="00D234AA"/>
    <w:rsid w:val="00D23791"/>
    <w:rsid w:val="00D23E19"/>
    <w:rsid w:val="00D23E41"/>
    <w:rsid w:val="00D24001"/>
    <w:rsid w:val="00D24141"/>
    <w:rsid w:val="00D2542C"/>
    <w:rsid w:val="00D2556D"/>
    <w:rsid w:val="00D2625F"/>
    <w:rsid w:val="00D26335"/>
    <w:rsid w:val="00D269AF"/>
    <w:rsid w:val="00D26AE2"/>
    <w:rsid w:val="00D26B80"/>
    <w:rsid w:val="00D26ED6"/>
    <w:rsid w:val="00D273FD"/>
    <w:rsid w:val="00D275F3"/>
    <w:rsid w:val="00D27725"/>
    <w:rsid w:val="00D278A4"/>
    <w:rsid w:val="00D27C09"/>
    <w:rsid w:val="00D30291"/>
    <w:rsid w:val="00D30327"/>
    <w:rsid w:val="00D30846"/>
    <w:rsid w:val="00D30BB1"/>
    <w:rsid w:val="00D30EAA"/>
    <w:rsid w:val="00D30F2A"/>
    <w:rsid w:val="00D31048"/>
    <w:rsid w:val="00D3171F"/>
    <w:rsid w:val="00D31981"/>
    <w:rsid w:val="00D31A9A"/>
    <w:rsid w:val="00D31D9E"/>
    <w:rsid w:val="00D320DD"/>
    <w:rsid w:val="00D32135"/>
    <w:rsid w:val="00D32338"/>
    <w:rsid w:val="00D323F8"/>
    <w:rsid w:val="00D32911"/>
    <w:rsid w:val="00D32BE6"/>
    <w:rsid w:val="00D334E4"/>
    <w:rsid w:val="00D33503"/>
    <w:rsid w:val="00D336EE"/>
    <w:rsid w:val="00D339D1"/>
    <w:rsid w:val="00D33C9F"/>
    <w:rsid w:val="00D34380"/>
    <w:rsid w:val="00D348AA"/>
    <w:rsid w:val="00D34AD7"/>
    <w:rsid w:val="00D34E81"/>
    <w:rsid w:val="00D34FF2"/>
    <w:rsid w:val="00D35135"/>
    <w:rsid w:val="00D35E0D"/>
    <w:rsid w:val="00D3645C"/>
    <w:rsid w:val="00D36828"/>
    <w:rsid w:val="00D36B68"/>
    <w:rsid w:val="00D36E4F"/>
    <w:rsid w:val="00D36EC8"/>
    <w:rsid w:val="00D371D5"/>
    <w:rsid w:val="00D37435"/>
    <w:rsid w:val="00D37680"/>
    <w:rsid w:val="00D37F89"/>
    <w:rsid w:val="00D400C9"/>
    <w:rsid w:val="00D40267"/>
    <w:rsid w:val="00D4054C"/>
    <w:rsid w:val="00D40749"/>
    <w:rsid w:val="00D40DC3"/>
    <w:rsid w:val="00D40E52"/>
    <w:rsid w:val="00D41143"/>
    <w:rsid w:val="00D4133D"/>
    <w:rsid w:val="00D41437"/>
    <w:rsid w:val="00D41C90"/>
    <w:rsid w:val="00D420B2"/>
    <w:rsid w:val="00D42145"/>
    <w:rsid w:val="00D42E11"/>
    <w:rsid w:val="00D432A5"/>
    <w:rsid w:val="00D43564"/>
    <w:rsid w:val="00D435DA"/>
    <w:rsid w:val="00D4371B"/>
    <w:rsid w:val="00D439E8"/>
    <w:rsid w:val="00D43BAC"/>
    <w:rsid w:val="00D43E18"/>
    <w:rsid w:val="00D443FA"/>
    <w:rsid w:val="00D44473"/>
    <w:rsid w:val="00D44E83"/>
    <w:rsid w:val="00D456CD"/>
    <w:rsid w:val="00D45CF4"/>
    <w:rsid w:val="00D45D16"/>
    <w:rsid w:val="00D45E05"/>
    <w:rsid w:val="00D46028"/>
    <w:rsid w:val="00D46D04"/>
    <w:rsid w:val="00D46E64"/>
    <w:rsid w:val="00D472A3"/>
    <w:rsid w:val="00D47C35"/>
    <w:rsid w:val="00D50371"/>
    <w:rsid w:val="00D50CF1"/>
    <w:rsid w:val="00D51305"/>
    <w:rsid w:val="00D5134B"/>
    <w:rsid w:val="00D519E9"/>
    <w:rsid w:val="00D5252F"/>
    <w:rsid w:val="00D5275F"/>
    <w:rsid w:val="00D53068"/>
    <w:rsid w:val="00D533B1"/>
    <w:rsid w:val="00D53569"/>
    <w:rsid w:val="00D5394F"/>
    <w:rsid w:val="00D53E1D"/>
    <w:rsid w:val="00D53E39"/>
    <w:rsid w:val="00D54525"/>
    <w:rsid w:val="00D547E6"/>
    <w:rsid w:val="00D54B64"/>
    <w:rsid w:val="00D55055"/>
    <w:rsid w:val="00D556C6"/>
    <w:rsid w:val="00D556EC"/>
    <w:rsid w:val="00D558EF"/>
    <w:rsid w:val="00D55925"/>
    <w:rsid w:val="00D55F38"/>
    <w:rsid w:val="00D55FE4"/>
    <w:rsid w:val="00D5621B"/>
    <w:rsid w:val="00D5634F"/>
    <w:rsid w:val="00D563FD"/>
    <w:rsid w:val="00D5641B"/>
    <w:rsid w:val="00D56BEB"/>
    <w:rsid w:val="00D56E13"/>
    <w:rsid w:val="00D56F1A"/>
    <w:rsid w:val="00D56F98"/>
    <w:rsid w:val="00D573FA"/>
    <w:rsid w:val="00D57789"/>
    <w:rsid w:val="00D57D50"/>
    <w:rsid w:val="00D60104"/>
    <w:rsid w:val="00D603B2"/>
    <w:rsid w:val="00D605BD"/>
    <w:rsid w:val="00D605E9"/>
    <w:rsid w:val="00D607A6"/>
    <w:rsid w:val="00D609F0"/>
    <w:rsid w:val="00D60BCC"/>
    <w:rsid w:val="00D61120"/>
    <w:rsid w:val="00D61603"/>
    <w:rsid w:val="00D61723"/>
    <w:rsid w:val="00D62771"/>
    <w:rsid w:val="00D629D1"/>
    <w:rsid w:val="00D62B99"/>
    <w:rsid w:val="00D62CD1"/>
    <w:rsid w:val="00D62D85"/>
    <w:rsid w:val="00D63171"/>
    <w:rsid w:val="00D63355"/>
    <w:rsid w:val="00D63C0E"/>
    <w:rsid w:val="00D63D8D"/>
    <w:rsid w:val="00D641A7"/>
    <w:rsid w:val="00D648A1"/>
    <w:rsid w:val="00D64971"/>
    <w:rsid w:val="00D64ADC"/>
    <w:rsid w:val="00D650F8"/>
    <w:rsid w:val="00D65351"/>
    <w:rsid w:val="00D654A1"/>
    <w:rsid w:val="00D662FF"/>
    <w:rsid w:val="00D66713"/>
    <w:rsid w:val="00D66827"/>
    <w:rsid w:val="00D66EDA"/>
    <w:rsid w:val="00D67372"/>
    <w:rsid w:val="00D673E5"/>
    <w:rsid w:val="00D6747E"/>
    <w:rsid w:val="00D67CFF"/>
    <w:rsid w:val="00D67D7A"/>
    <w:rsid w:val="00D67E8C"/>
    <w:rsid w:val="00D67EFF"/>
    <w:rsid w:val="00D70047"/>
    <w:rsid w:val="00D702D6"/>
    <w:rsid w:val="00D7101E"/>
    <w:rsid w:val="00D711A5"/>
    <w:rsid w:val="00D711FE"/>
    <w:rsid w:val="00D712EF"/>
    <w:rsid w:val="00D71302"/>
    <w:rsid w:val="00D71803"/>
    <w:rsid w:val="00D71F53"/>
    <w:rsid w:val="00D728DF"/>
    <w:rsid w:val="00D72D6C"/>
    <w:rsid w:val="00D72E13"/>
    <w:rsid w:val="00D73753"/>
    <w:rsid w:val="00D73B6C"/>
    <w:rsid w:val="00D742A4"/>
    <w:rsid w:val="00D7499F"/>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336B"/>
    <w:rsid w:val="00D8346C"/>
    <w:rsid w:val="00D84128"/>
    <w:rsid w:val="00D845A2"/>
    <w:rsid w:val="00D84662"/>
    <w:rsid w:val="00D84FE9"/>
    <w:rsid w:val="00D85194"/>
    <w:rsid w:val="00D856C0"/>
    <w:rsid w:val="00D85CBB"/>
    <w:rsid w:val="00D85F37"/>
    <w:rsid w:val="00D85F67"/>
    <w:rsid w:val="00D86455"/>
    <w:rsid w:val="00D865C2"/>
    <w:rsid w:val="00D86881"/>
    <w:rsid w:val="00D86AC1"/>
    <w:rsid w:val="00D87251"/>
    <w:rsid w:val="00D8751F"/>
    <w:rsid w:val="00D8758A"/>
    <w:rsid w:val="00D87B09"/>
    <w:rsid w:val="00D87EBB"/>
    <w:rsid w:val="00D87F66"/>
    <w:rsid w:val="00D87FD6"/>
    <w:rsid w:val="00D87FE4"/>
    <w:rsid w:val="00D90ADB"/>
    <w:rsid w:val="00D90C50"/>
    <w:rsid w:val="00D912DC"/>
    <w:rsid w:val="00D91460"/>
    <w:rsid w:val="00D914DB"/>
    <w:rsid w:val="00D91B99"/>
    <w:rsid w:val="00D91C14"/>
    <w:rsid w:val="00D91C41"/>
    <w:rsid w:val="00D91ED7"/>
    <w:rsid w:val="00D9267C"/>
    <w:rsid w:val="00D9324C"/>
    <w:rsid w:val="00D93375"/>
    <w:rsid w:val="00D93880"/>
    <w:rsid w:val="00D93D59"/>
    <w:rsid w:val="00D93EFF"/>
    <w:rsid w:val="00D93F72"/>
    <w:rsid w:val="00D9460D"/>
    <w:rsid w:val="00D94ACD"/>
    <w:rsid w:val="00D94EBE"/>
    <w:rsid w:val="00D956EF"/>
    <w:rsid w:val="00D95F00"/>
    <w:rsid w:val="00D96313"/>
    <w:rsid w:val="00D96499"/>
    <w:rsid w:val="00D9676F"/>
    <w:rsid w:val="00D96A0F"/>
    <w:rsid w:val="00D96CB4"/>
    <w:rsid w:val="00D9711B"/>
    <w:rsid w:val="00D97CAE"/>
    <w:rsid w:val="00DA0552"/>
    <w:rsid w:val="00DA0765"/>
    <w:rsid w:val="00DA0B8A"/>
    <w:rsid w:val="00DA10D0"/>
    <w:rsid w:val="00DA11B2"/>
    <w:rsid w:val="00DA1AD0"/>
    <w:rsid w:val="00DA1BA7"/>
    <w:rsid w:val="00DA20B5"/>
    <w:rsid w:val="00DA22CF"/>
    <w:rsid w:val="00DA22DA"/>
    <w:rsid w:val="00DA23DD"/>
    <w:rsid w:val="00DA2423"/>
    <w:rsid w:val="00DA287B"/>
    <w:rsid w:val="00DA2A96"/>
    <w:rsid w:val="00DA3080"/>
    <w:rsid w:val="00DA30A2"/>
    <w:rsid w:val="00DA337B"/>
    <w:rsid w:val="00DA38C5"/>
    <w:rsid w:val="00DA390D"/>
    <w:rsid w:val="00DA3961"/>
    <w:rsid w:val="00DA436C"/>
    <w:rsid w:val="00DA44A8"/>
    <w:rsid w:val="00DA44CF"/>
    <w:rsid w:val="00DA47A3"/>
    <w:rsid w:val="00DA4C33"/>
    <w:rsid w:val="00DA5076"/>
    <w:rsid w:val="00DA5D0B"/>
    <w:rsid w:val="00DA5F76"/>
    <w:rsid w:val="00DA60A5"/>
    <w:rsid w:val="00DA60D6"/>
    <w:rsid w:val="00DA60F5"/>
    <w:rsid w:val="00DA6D26"/>
    <w:rsid w:val="00DA76EE"/>
    <w:rsid w:val="00DA79C8"/>
    <w:rsid w:val="00DB01BA"/>
    <w:rsid w:val="00DB01EA"/>
    <w:rsid w:val="00DB03AE"/>
    <w:rsid w:val="00DB03F6"/>
    <w:rsid w:val="00DB08CB"/>
    <w:rsid w:val="00DB0963"/>
    <w:rsid w:val="00DB0B52"/>
    <w:rsid w:val="00DB0FA3"/>
    <w:rsid w:val="00DB16C1"/>
    <w:rsid w:val="00DB196A"/>
    <w:rsid w:val="00DB1D88"/>
    <w:rsid w:val="00DB2595"/>
    <w:rsid w:val="00DB28C7"/>
    <w:rsid w:val="00DB303F"/>
    <w:rsid w:val="00DB321D"/>
    <w:rsid w:val="00DB3421"/>
    <w:rsid w:val="00DB3635"/>
    <w:rsid w:val="00DB3649"/>
    <w:rsid w:val="00DB3C08"/>
    <w:rsid w:val="00DB4006"/>
    <w:rsid w:val="00DB42EF"/>
    <w:rsid w:val="00DB462A"/>
    <w:rsid w:val="00DB4B61"/>
    <w:rsid w:val="00DB55CE"/>
    <w:rsid w:val="00DB55F6"/>
    <w:rsid w:val="00DB5FF8"/>
    <w:rsid w:val="00DB64F5"/>
    <w:rsid w:val="00DB68E9"/>
    <w:rsid w:val="00DB6CAF"/>
    <w:rsid w:val="00DB7164"/>
    <w:rsid w:val="00DB7235"/>
    <w:rsid w:val="00DB729B"/>
    <w:rsid w:val="00DB72CE"/>
    <w:rsid w:val="00DB7400"/>
    <w:rsid w:val="00DB7EB1"/>
    <w:rsid w:val="00DC0114"/>
    <w:rsid w:val="00DC02FC"/>
    <w:rsid w:val="00DC0347"/>
    <w:rsid w:val="00DC051E"/>
    <w:rsid w:val="00DC0ADA"/>
    <w:rsid w:val="00DC0CF6"/>
    <w:rsid w:val="00DC0FE9"/>
    <w:rsid w:val="00DC13C3"/>
    <w:rsid w:val="00DC1763"/>
    <w:rsid w:val="00DC1C03"/>
    <w:rsid w:val="00DC2212"/>
    <w:rsid w:val="00DC23B3"/>
    <w:rsid w:val="00DC252D"/>
    <w:rsid w:val="00DC2595"/>
    <w:rsid w:val="00DC2823"/>
    <w:rsid w:val="00DC2C47"/>
    <w:rsid w:val="00DC2DF4"/>
    <w:rsid w:val="00DC30E1"/>
    <w:rsid w:val="00DC3143"/>
    <w:rsid w:val="00DC31F2"/>
    <w:rsid w:val="00DC3339"/>
    <w:rsid w:val="00DC35F6"/>
    <w:rsid w:val="00DC3752"/>
    <w:rsid w:val="00DC3898"/>
    <w:rsid w:val="00DC4083"/>
    <w:rsid w:val="00DC48DF"/>
    <w:rsid w:val="00DC4C8A"/>
    <w:rsid w:val="00DC5631"/>
    <w:rsid w:val="00DC5D8A"/>
    <w:rsid w:val="00DC6572"/>
    <w:rsid w:val="00DC6E4A"/>
    <w:rsid w:val="00DC7650"/>
    <w:rsid w:val="00DC789A"/>
    <w:rsid w:val="00DC7912"/>
    <w:rsid w:val="00DC7AEF"/>
    <w:rsid w:val="00DD0D38"/>
    <w:rsid w:val="00DD0D67"/>
    <w:rsid w:val="00DD0D77"/>
    <w:rsid w:val="00DD0E2A"/>
    <w:rsid w:val="00DD15E7"/>
    <w:rsid w:val="00DD16E2"/>
    <w:rsid w:val="00DD1A0F"/>
    <w:rsid w:val="00DD1C3A"/>
    <w:rsid w:val="00DD1F5A"/>
    <w:rsid w:val="00DD2514"/>
    <w:rsid w:val="00DD25D6"/>
    <w:rsid w:val="00DD295E"/>
    <w:rsid w:val="00DD2C4F"/>
    <w:rsid w:val="00DD3364"/>
    <w:rsid w:val="00DD3CA2"/>
    <w:rsid w:val="00DD3E8E"/>
    <w:rsid w:val="00DD4038"/>
    <w:rsid w:val="00DD40B6"/>
    <w:rsid w:val="00DD426B"/>
    <w:rsid w:val="00DD42C3"/>
    <w:rsid w:val="00DD46E2"/>
    <w:rsid w:val="00DD485A"/>
    <w:rsid w:val="00DD4F01"/>
    <w:rsid w:val="00DD51F6"/>
    <w:rsid w:val="00DD595A"/>
    <w:rsid w:val="00DD5BB8"/>
    <w:rsid w:val="00DD685B"/>
    <w:rsid w:val="00DD6A64"/>
    <w:rsid w:val="00DD6C94"/>
    <w:rsid w:val="00DD711F"/>
    <w:rsid w:val="00DD7703"/>
    <w:rsid w:val="00DD787F"/>
    <w:rsid w:val="00DE1001"/>
    <w:rsid w:val="00DE1838"/>
    <w:rsid w:val="00DE1CB1"/>
    <w:rsid w:val="00DE1E5B"/>
    <w:rsid w:val="00DE2409"/>
    <w:rsid w:val="00DE26CE"/>
    <w:rsid w:val="00DE339D"/>
    <w:rsid w:val="00DE34B3"/>
    <w:rsid w:val="00DE3604"/>
    <w:rsid w:val="00DE3621"/>
    <w:rsid w:val="00DE3788"/>
    <w:rsid w:val="00DE3D29"/>
    <w:rsid w:val="00DE3F28"/>
    <w:rsid w:val="00DE40E8"/>
    <w:rsid w:val="00DE41A5"/>
    <w:rsid w:val="00DE44B4"/>
    <w:rsid w:val="00DE588F"/>
    <w:rsid w:val="00DE5E98"/>
    <w:rsid w:val="00DE63D0"/>
    <w:rsid w:val="00DE6534"/>
    <w:rsid w:val="00DE65A7"/>
    <w:rsid w:val="00DE67D6"/>
    <w:rsid w:val="00DE67EC"/>
    <w:rsid w:val="00DE69D3"/>
    <w:rsid w:val="00DE6A43"/>
    <w:rsid w:val="00DE6D32"/>
    <w:rsid w:val="00DE6DF3"/>
    <w:rsid w:val="00DE7542"/>
    <w:rsid w:val="00DE77A1"/>
    <w:rsid w:val="00DE77C6"/>
    <w:rsid w:val="00DE79D6"/>
    <w:rsid w:val="00DF0045"/>
    <w:rsid w:val="00DF03B1"/>
    <w:rsid w:val="00DF04D2"/>
    <w:rsid w:val="00DF0775"/>
    <w:rsid w:val="00DF083E"/>
    <w:rsid w:val="00DF0AD2"/>
    <w:rsid w:val="00DF11E3"/>
    <w:rsid w:val="00DF13B9"/>
    <w:rsid w:val="00DF17E4"/>
    <w:rsid w:val="00DF192E"/>
    <w:rsid w:val="00DF1D0B"/>
    <w:rsid w:val="00DF1FD5"/>
    <w:rsid w:val="00DF22CE"/>
    <w:rsid w:val="00DF23DF"/>
    <w:rsid w:val="00DF29F8"/>
    <w:rsid w:val="00DF3641"/>
    <w:rsid w:val="00DF366D"/>
    <w:rsid w:val="00DF37D4"/>
    <w:rsid w:val="00DF38AD"/>
    <w:rsid w:val="00DF3917"/>
    <w:rsid w:val="00DF3D97"/>
    <w:rsid w:val="00DF3F0D"/>
    <w:rsid w:val="00DF4271"/>
    <w:rsid w:val="00DF4521"/>
    <w:rsid w:val="00DF45B7"/>
    <w:rsid w:val="00DF497D"/>
    <w:rsid w:val="00DF4C0F"/>
    <w:rsid w:val="00DF5008"/>
    <w:rsid w:val="00DF50ED"/>
    <w:rsid w:val="00DF5322"/>
    <w:rsid w:val="00DF60B0"/>
    <w:rsid w:val="00DF61F5"/>
    <w:rsid w:val="00DF66C8"/>
    <w:rsid w:val="00DF67EC"/>
    <w:rsid w:val="00DF6C17"/>
    <w:rsid w:val="00DF707F"/>
    <w:rsid w:val="00DF75EA"/>
    <w:rsid w:val="00DF785E"/>
    <w:rsid w:val="00DF7966"/>
    <w:rsid w:val="00DF7B53"/>
    <w:rsid w:val="00DF7E4A"/>
    <w:rsid w:val="00DF7F08"/>
    <w:rsid w:val="00E002A8"/>
    <w:rsid w:val="00E00596"/>
    <w:rsid w:val="00E009B3"/>
    <w:rsid w:val="00E00F89"/>
    <w:rsid w:val="00E015E4"/>
    <w:rsid w:val="00E01698"/>
    <w:rsid w:val="00E01943"/>
    <w:rsid w:val="00E01DC4"/>
    <w:rsid w:val="00E01F35"/>
    <w:rsid w:val="00E022E5"/>
    <w:rsid w:val="00E026D3"/>
    <w:rsid w:val="00E02A18"/>
    <w:rsid w:val="00E02E9C"/>
    <w:rsid w:val="00E02FD4"/>
    <w:rsid w:val="00E03BC7"/>
    <w:rsid w:val="00E03ECC"/>
    <w:rsid w:val="00E03EE7"/>
    <w:rsid w:val="00E04230"/>
    <w:rsid w:val="00E04676"/>
    <w:rsid w:val="00E04ADB"/>
    <w:rsid w:val="00E04D1A"/>
    <w:rsid w:val="00E051CF"/>
    <w:rsid w:val="00E051E0"/>
    <w:rsid w:val="00E05662"/>
    <w:rsid w:val="00E0571C"/>
    <w:rsid w:val="00E060BA"/>
    <w:rsid w:val="00E0625D"/>
    <w:rsid w:val="00E062CB"/>
    <w:rsid w:val="00E063FD"/>
    <w:rsid w:val="00E065B4"/>
    <w:rsid w:val="00E0674D"/>
    <w:rsid w:val="00E06835"/>
    <w:rsid w:val="00E07183"/>
    <w:rsid w:val="00E071DA"/>
    <w:rsid w:val="00E07502"/>
    <w:rsid w:val="00E0770D"/>
    <w:rsid w:val="00E07776"/>
    <w:rsid w:val="00E07E8B"/>
    <w:rsid w:val="00E1026F"/>
    <w:rsid w:val="00E1047C"/>
    <w:rsid w:val="00E10699"/>
    <w:rsid w:val="00E10812"/>
    <w:rsid w:val="00E10AF6"/>
    <w:rsid w:val="00E11421"/>
    <w:rsid w:val="00E11FFD"/>
    <w:rsid w:val="00E1228F"/>
    <w:rsid w:val="00E12A15"/>
    <w:rsid w:val="00E12CCC"/>
    <w:rsid w:val="00E12F6A"/>
    <w:rsid w:val="00E1321F"/>
    <w:rsid w:val="00E135D6"/>
    <w:rsid w:val="00E1369C"/>
    <w:rsid w:val="00E13807"/>
    <w:rsid w:val="00E13B1D"/>
    <w:rsid w:val="00E13BC7"/>
    <w:rsid w:val="00E13D11"/>
    <w:rsid w:val="00E14011"/>
    <w:rsid w:val="00E14176"/>
    <w:rsid w:val="00E144AC"/>
    <w:rsid w:val="00E14E05"/>
    <w:rsid w:val="00E1539A"/>
    <w:rsid w:val="00E1592F"/>
    <w:rsid w:val="00E15B70"/>
    <w:rsid w:val="00E15C72"/>
    <w:rsid w:val="00E1606C"/>
    <w:rsid w:val="00E16074"/>
    <w:rsid w:val="00E16931"/>
    <w:rsid w:val="00E16A6C"/>
    <w:rsid w:val="00E16ABA"/>
    <w:rsid w:val="00E16E41"/>
    <w:rsid w:val="00E17211"/>
    <w:rsid w:val="00E20246"/>
    <w:rsid w:val="00E2024A"/>
    <w:rsid w:val="00E209D7"/>
    <w:rsid w:val="00E20B38"/>
    <w:rsid w:val="00E20C45"/>
    <w:rsid w:val="00E2103F"/>
    <w:rsid w:val="00E210E8"/>
    <w:rsid w:val="00E2132A"/>
    <w:rsid w:val="00E21484"/>
    <w:rsid w:val="00E21AA0"/>
    <w:rsid w:val="00E21C0D"/>
    <w:rsid w:val="00E2232E"/>
    <w:rsid w:val="00E223F5"/>
    <w:rsid w:val="00E224BF"/>
    <w:rsid w:val="00E22686"/>
    <w:rsid w:val="00E22708"/>
    <w:rsid w:val="00E22D70"/>
    <w:rsid w:val="00E23C85"/>
    <w:rsid w:val="00E23D60"/>
    <w:rsid w:val="00E23E5D"/>
    <w:rsid w:val="00E23F4C"/>
    <w:rsid w:val="00E245F0"/>
    <w:rsid w:val="00E247E5"/>
    <w:rsid w:val="00E24D8A"/>
    <w:rsid w:val="00E24F38"/>
    <w:rsid w:val="00E24F54"/>
    <w:rsid w:val="00E2516F"/>
    <w:rsid w:val="00E25B4D"/>
    <w:rsid w:val="00E25BB7"/>
    <w:rsid w:val="00E261B9"/>
    <w:rsid w:val="00E263E0"/>
    <w:rsid w:val="00E26ABB"/>
    <w:rsid w:val="00E26CC1"/>
    <w:rsid w:val="00E27589"/>
    <w:rsid w:val="00E27B98"/>
    <w:rsid w:val="00E27F3C"/>
    <w:rsid w:val="00E30084"/>
    <w:rsid w:val="00E30488"/>
    <w:rsid w:val="00E3049E"/>
    <w:rsid w:val="00E304FD"/>
    <w:rsid w:val="00E30B31"/>
    <w:rsid w:val="00E31BE7"/>
    <w:rsid w:val="00E31F42"/>
    <w:rsid w:val="00E320D0"/>
    <w:rsid w:val="00E322C9"/>
    <w:rsid w:val="00E3241F"/>
    <w:rsid w:val="00E32A87"/>
    <w:rsid w:val="00E32EA0"/>
    <w:rsid w:val="00E3369A"/>
    <w:rsid w:val="00E338C8"/>
    <w:rsid w:val="00E33F38"/>
    <w:rsid w:val="00E3465D"/>
    <w:rsid w:val="00E349A4"/>
    <w:rsid w:val="00E3565C"/>
    <w:rsid w:val="00E3565D"/>
    <w:rsid w:val="00E35B26"/>
    <w:rsid w:val="00E35B99"/>
    <w:rsid w:val="00E35EEE"/>
    <w:rsid w:val="00E35F79"/>
    <w:rsid w:val="00E36F91"/>
    <w:rsid w:val="00E37058"/>
    <w:rsid w:val="00E3706C"/>
    <w:rsid w:val="00E37635"/>
    <w:rsid w:val="00E37E56"/>
    <w:rsid w:val="00E37E6C"/>
    <w:rsid w:val="00E37E6F"/>
    <w:rsid w:val="00E40384"/>
    <w:rsid w:val="00E4049E"/>
    <w:rsid w:val="00E4052A"/>
    <w:rsid w:val="00E407DD"/>
    <w:rsid w:val="00E408E3"/>
    <w:rsid w:val="00E40B5B"/>
    <w:rsid w:val="00E419AE"/>
    <w:rsid w:val="00E41B74"/>
    <w:rsid w:val="00E41E7E"/>
    <w:rsid w:val="00E41FCB"/>
    <w:rsid w:val="00E4268B"/>
    <w:rsid w:val="00E426DF"/>
    <w:rsid w:val="00E428C0"/>
    <w:rsid w:val="00E42B80"/>
    <w:rsid w:val="00E43152"/>
    <w:rsid w:val="00E434DF"/>
    <w:rsid w:val="00E437C3"/>
    <w:rsid w:val="00E439A2"/>
    <w:rsid w:val="00E439D0"/>
    <w:rsid w:val="00E43A84"/>
    <w:rsid w:val="00E43AB5"/>
    <w:rsid w:val="00E44055"/>
    <w:rsid w:val="00E449C2"/>
    <w:rsid w:val="00E44A96"/>
    <w:rsid w:val="00E44BE3"/>
    <w:rsid w:val="00E44E46"/>
    <w:rsid w:val="00E44ED4"/>
    <w:rsid w:val="00E45058"/>
    <w:rsid w:val="00E4511B"/>
    <w:rsid w:val="00E455F3"/>
    <w:rsid w:val="00E45D71"/>
    <w:rsid w:val="00E45E18"/>
    <w:rsid w:val="00E463DA"/>
    <w:rsid w:val="00E46DC7"/>
    <w:rsid w:val="00E47164"/>
    <w:rsid w:val="00E4733A"/>
    <w:rsid w:val="00E47789"/>
    <w:rsid w:val="00E47B32"/>
    <w:rsid w:val="00E47EF1"/>
    <w:rsid w:val="00E509B9"/>
    <w:rsid w:val="00E50F26"/>
    <w:rsid w:val="00E5153C"/>
    <w:rsid w:val="00E5191C"/>
    <w:rsid w:val="00E51D90"/>
    <w:rsid w:val="00E52A6D"/>
    <w:rsid w:val="00E52BAA"/>
    <w:rsid w:val="00E52F7A"/>
    <w:rsid w:val="00E530B3"/>
    <w:rsid w:val="00E5316F"/>
    <w:rsid w:val="00E531F6"/>
    <w:rsid w:val="00E53746"/>
    <w:rsid w:val="00E537A4"/>
    <w:rsid w:val="00E53836"/>
    <w:rsid w:val="00E53A31"/>
    <w:rsid w:val="00E53B79"/>
    <w:rsid w:val="00E54117"/>
    <w:rsid w:val="00E54441"/>
    <w:rsid w:val="00E548B3"/>
    <w:rsid w:val="00E54E9D"/>
    <w:rsid w:val="00E5523A"/>
    <w:rsid w:val="00E55B2B"/>
    <w:rsid w:val="00E55DFF"/>
    <w:rsid w:val="00E560B2"/>
    <w:rsid w:val="00E56A1D"/>
    <w:rsid w:val="00E56AC0"/>
    <w:rsid w:val="00E56B77"/>
    <w:rsid w:val="00E57273"/>
    <w:rsid w:val="00E5737F"/>
    <w:rsid w:val="00E6064A"/>
    <w:rsid w:val="00E6074C"/>
    <w:rsid w:val="00E607E0"/>
    <w:rsid w:val="00E60CD8"/>
    <w:rsid w:val="00E60D1A"/>
    <w:rsid w:val="00E60EA0"/>
    <w:rsid w:val="00E60FC7"/>
    <w:rsid w:val="00E6149B"/>
    <w:rsid w:val="00E61515"/>
    <w:rsid w:val="00E6151D"/>
    <w:rsid w:val="00E6155A"/>
    <w:rsid w:val="00E617F8"/>
    <w:rsid w:val="00E619A3"/>
    <w:rsid w:val="00E622A8"/>
    <w:rsid w:val="00E628CC"/>
    <w:rsid w:val="00E62926"/>
    <w:rsid w:val="00E62927"/>
    <w:rsid w:val="00E62C66"/>
    <w:rsid w:val="00E62DC6"/>
    <w:rsid w:val="00E637B9"/>
    <w:rsid w:val="00E638B3"/>
    <w:rsid w:val="00E63F60"/>
    <w:rsid w:val="00E6484D"/>
    <w:rsid w:val="00E64965"/>
    <w:rsid w:val="00E6509F"/>
    <w:rsid w:val="00E65133"/>
    <w:rsid w:val="00E652D5"/>
    <w:rsid w:val="00E65458"/>
    <w:rsid w:val="00E659DE"/>
    <w:rsid w:val="00E65A20"/>
    <w:rsid w:val="00E66062"/>
    <w:rsid w:val="00E6619D"/>
    <w:rsid w:val="00E662A0"/>
    <w:rsid w:val="00E6659E"/>
    <w:rsid w:val="00E666A6"/>
    <w:rsid w:val="00E6684C"/>
    <w:rsid w:val="00E668C9"/>
    <w:rsid w:val="00E67594"/>
    <w:rsid w:val="00E67841"/>
    <w:rsid w:val="00E67FD8"/>
    <w:rsid w:val="00E70614"/>
    <w:rsid w:val="00E7067A"/>
    <w:rsid w:val="00E7069F"/>
    <w:rsid w:val="00E70DA8"/>
    <w:rsid w:val="00E70EF9"/>
    <w:rsid w:val="00E71B3C"/>
    <w:rsid w:val="00E71CE6"/>
    <w:rsid w:val="00E720CC"/>
    <w:rsid w:val="00E72BFE"/>
    <w:rsid w:val="00E7413E"/>
    <w:rsid w:val="00E74797"/>
    <w:rsid w:val="00E74812"/>
    <w:rsid w:val="00E74B4E"/>
    <w:rsid w:val="00E74E4C"/>
    <w:rsid w:val="00E74F22"/>
    <w:rsid w:val="00E74F9D"/>
    <w:rsid w:val="00E75009"/>
    <w:rsid w:val="00E754E5"/>
    <w:rsid w:val="00E7642E"/>
    <w:rsid w:val="00E76D59"/>
    <w:rsid w:val="00E76DC9"/>
    <w:rsid w:val="00E771C7"/>
    <w:rsid w:val="00E77537"/>
    <w:rsid w:val="00E775CE"/>
    <w:rsid w:val="00E77BB8"/>
    <w:rsid w:val="00E77D3B"/>
    <w:rsid w:val="00E803E8"/>
    <w:rsid w:val="00E80A0B"/>
    <w:rsid w:val="00E80A1D"/>
    <w:rsid w:val="00E80A39"/>
    <w:rsid w:val="00E80C56"/>
    <w:rsid w:val="00E81416"/>
    <w:rsid w:val="00E81AE7"/>
    <w:rsid w:val="00E81B71"/>
    <w:rsid w:val="00E81C52"/>
    <w:rsid w:val="00E82574"/>
    <w:rsid w:val="00E82DA4"/>
    <w:rsid w:val="00E832E5"/>
    <w:rsid w:val="00E834CB"/>
    <w:rsid w:val="00E83961"/>
    <w:rsid w:val="00E83AF3"/>
    <w:rsid w:val="00E83C11"/>
    <w:rsid w:val="00E84B5E"/>
    <w:rsid w:val="00E850CB"/>
    <w:rsid w:val="00E855CA"/>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87ACB"/>
    <w:rsid w:val="00E87C79"/>
    <w:rsid w:val="00E903B8"/>
    <w:rsid w:val="00E904FD"/>
    <w:rsid w:val="00E90B67"/>
    <w:rsid w:val="00E90DB4"/>
    <w:rsid w:val="00E90F78"/>
    <w:rsid w:val="00E913B9"/>
    <w:rsid w:val="00E914AE"/>
    <w:rsid w:val="00E92A47"/>
    <w:rsid w:val="00E92ABD"/>
    <w:rsid w:val="00E92C6C"/>
    <w:rsid w:val="00E93437"/>
    <w:rsid w:val="00E9374F"/>
    <w:rsid w:val="00E9376F"/>
    <w:rsid w:val="00E938A4"/>
    <w:rsid w:val="00E93982"/>
    <w:rsid w:val="00E93EEF"/>
    <w:rsid w:val="00E93F0E"/>
    <w:rsid w:val="00E940C7"/>
    <w:rsid w:val="00E941E5"/>
    <w:rsid w:val="00E94809"/>
    <w:rsid w:val="00E95001"/>
    <w:rsid w:val="00E9546D"/>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5E7"/>
    <w:rsid w:val="00EA066A"/>
    <w:rsid w:val="00EA0C7F"/>
    <w:rsid w:val="00EA0D31"/>
    <w:rsid w:val="00EA0DAD"/>
    <w:rsid w:val="00EA1186"/>
    <w:rsid w:val="00EA1680"/>
    <w:rsid w:val="00EA183B"/>
    <w:rsid w:val="00EA21AD"/>
    <w:rsid w:val="00EA2393"/>
    <w:rsid w:val="00EA2EEA"/>
    <w:rsid w:val="00EA2F66"/>
    <w:rsid w:val="00EA3982"/>
    <w:rsid w:val="00EA434B"/>
    <w:rsid w:val="00EA45B9"/>
    <w:rsid w:val="00EA4766"/>
    <w:rsid w:val="00EA481C"/>
    <w:rsid w:val="00EA4941"/>
    <w:rsid w:val="00EA4D30"/>
    <w:rsid w:val="00EA500C"/>
    <w:rsid w:val="00EA5106"/>
    <w:rsid w:val="00EA58FA"/>
    <w:rsid w:val="00EA5E96"/>
    <w:rsid w:val="00EA5EF9"/>
    <w:rsid w:val="00EA5F30"/>
    <w:rsid w:val="00EA6927"/>
    <w:rsid w:val="00EA69BF"/>
    <w:rsid w:val="00EA6C58"/>
    <w:rsid w:val="00EA6DC0"/>
    <w:rsid w:val="00EA7048"/>
    <w:rsid w:val="00EA7395"/>
    <w:rsid w:val="00EA7A42"/>
    <w:rsid w:val="00EA7B4E"/>
    <w:rsid w:val="00EA7E70"/>
    <w:rsid w:val="00EA7E88"/>
    <w:rsid w:val="00EB00B9"/>
    <w:rsid w:val="00EB0319"/>
    <w:rsid w:val="00EB04DA"/>
    <w:rsid w:val="00EB0755"/>
    <w:rsid w:val="00EB07C1"/>
    <w:rsid w:val="00EB0885"/>
    <w:rsid w:val="00EB0AC1"/>
    <w:rsid w:val="00EB14CF"/>
    <w:rsid w:val="00EB1DC5"/>
    <w:rsid w:val="00EB229C"/>
    <w:rsid w:val="00EB237F"/>
    <w:rsid w:val="00EB2481"/>
    <w:rsid w:val="00EB271B"/>
    <w:rsid w:val="00EB2832"/>
    <w:rsid w:val="00EB29E1"/>
    <w:rsid w:val="00EB37D4"/>
    <w:rsid w:val="00EB3EF5"/>
    <w:rsid w:val="00EB4430"/>
    <w:rsid w:val="00EB4734"/>
    <w:rsid w:val="00EB4ACF"/>
    <w:rsid w:val="00EB4F5C"/>
    <w:rsid w:val="00EB5300"/>
    <w:rsid w:val="00EB5312"/>
    <w:rsid w:val="00EB568B"/>
    <w:rsid w:val="00EB614B"/>
    <w:rsid w:val="00EB614D"/>
    <w:rsid w:val="00EB617D"/>
    <w:rsid w:val="00EB625F"/>
    <w:rsid w:val="00EB6482"/>
    <w:rsid w:val="00EB6614"/>
    <w:rsid w:val="00EB676A"/>
    <w:rsid w:val="00EB6D92"/>
    <w:rsid w:val="00EB72DF"/>
    <w:rsid w:val="00EB7794"/>
    <w:rsid w:val="00EB7804"/>
    <w:rsid w:val="00EB7E0B"/>
    <w:rsid w:val="00EB7E6D"/>
    <w:rsid w:val="00EC015F"/>
    <w:rsid w:val="00EC0184"/>
    <w:rsid w:val="00EC0243"/>
    <w:rsid w:val="00EC0D5D"/>
    <w:rsid w:val="00EC0ECF"/>
    <w:rsid w:val="00EC1506"/>
    <w:rsid w:val="00EC16C8"/>
    <w:rsid w:val="00EC170B"/>
    <w:rsid w:val="00EC1C2C"/>
    <w:rsid w:val="00EC1CC5"/>
    <w:rsid w:val="00EC1E41"/>
    <w:rsid w:val="00EC1ED9"/>
    <w:rsid w:val="00EC1FEB"/>
    <w:rsid w:val="00EC2670"/>
    <w:rsid w:val="00EC2AC8"/>
    <w:rsid w:val="00EC2F83"/>
    <w:rsid w:val="00EC3215"/>
    <w:rsid w:val="00EC323A"/>
    <w:rsid w:val="00EC3438"/>
    <w:rsid w:val="00EC34F3"/>
    <w:rsid w:val="00EC380E"/>
    <w:rsid w:val="00EC43FB"/>
    <w:rsid w:val="00EC4637"/>
    <w:rsid w:val="00EC53A3"/>
    <w:rsid w:val="00EC604E"/>
    <w:rsid w:val="00EC640B"/>
    <w:rsid w:val="00EC6760"/>
    <w:rsid w:val="00EC686B"/>
    <w:rsid w:val="00EC699C"/>
    <w:rsid w:val="00EC6CB8"/>
    <w:rsid w:val="00EC6EDD"/>
    <w:rsid w:val="00EC706B"/>
    <w:rsid w:val="00EC712E"/>
    <w:rsid w:val="00EC7384"/>
    <w:rsid w:val="00EC7473"/>
    <w:rsid w:val="00EC754B"/>
    <w:rsid w:val="00ED05E7"/>
    <w:rsid w:val="00ED0702"/>
    <w:rsid w:val="00ED0998"/>
    <w:rsid w:val="00ED0A64"/>
    <w:rsid w:val="00ED0C89"/>
    <w:rsid w:val="00ED0E87"/>
    <w:rsid w:val="00ED1382"/>
    <w:rsid w:val="00ED157E"/>
    <w:rsid w:val="00ED1CD0"/>
    <w:rsid w:val="00ED1D38"/>
    <w:rsid w:val="00ED2504"/>
    <w:rsid w:val="00ED294F"/>
    <w:rsid w:val="00ED2A18"/>
    <w:rsid w:val="00ED311E"/>
    <w:rsid w:val="00ED3561"/>
    <w:rsid w:val="00ED48B7"/>
    <w:rsid w:val="00ED4B95"/>
    <w:rsid w:val="00ED5091"/>
    <w:rsid w:val="00ED51C6"/>
    <w:rsid w:val="00ED51E1"/>
    <w:rsid w:val="00ED550D"/>
    <w:rsid w:val="00ED5721"/>
    <w:rsid w:val="00ED5738"/>
    <w:rsid w:val="00ED5DDE"/>
    <w:rsid w:val="00ED62E3"/>
    <w:rsid w:val="00ED631F"/>
    <w:rsid w:val="00ED639D"/>
    <w:rsid w:val="00ED6839"/>
    <w:rsid w:val="00ED6990"/>
    <w:rsid w:val="00ED6A84"/>
    <w:rsid w:val="00ED6BF7"/>
    <w:rsid w:val="00ED6ED3"/>
    <w:rsid w:val="00ED724E"/>
    <w:rsid w:val="00ED7299"/>
    <w:rsid w:val="00ED731D"/>
    <w:rsid w:val="00ED7733"/>
    <w:rsid w:val="00ED7D57"/>
    <w:rsid w:val="00EE0161"/>
    <w:rsid w:val="00EE0CD7"/>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4EF"/>
    <w:rsid w:val="00EE47B1"/>
    <w:rsid w:val="00EE4A15"/>
    <w:rsid w:val="00EE4AD9"/>
    <w:rsid w:val="00EE4F4E"/>
    <w:rsid w:val="00EE54A6"/>
    <w:rsid w:val="00EE5A5B"/>
    <w:rsid w:val="00EE5D9F"/>
    <w:rsid w:val="00EE5FB3"/>
    <w:rsid w:val="00EE613D"/>
    <w:rsid w:val="00EE61F7"/>
    <w:rsid w:val="00EE6240"/>
    <w:rsid w:val="00EE6754"/>
    <w:rsid w:val="00EE694F"/>
    <w:rsid w:val="00EE69A6"/>
    <w:rsid w:val="00EE7214"/>
    <w:rsid w:val="00EE7881"/>
    <w:rsid w:val="00EE78D6"/>
    <w:rsid w:val="00EE7967"/>
    <w:rsid w:val="00EE7D68"/>
    <w:rsid w:val="00EF013D"/>
    <w:rsid w:val="00EF0927"/>
    <w:rsid w:val="00EF0E51"/>
    <w:rsid w:val="00EF0E5D"/>
    <w:rsid w:val="00EF1608"/>
    <w:rsid w:val="00EF1A22"/>
    <w:rsid w:val="00EF1B0A"/>
    <w:rsid w:val="00EF1C38"/>
    <w:rsid w:val="00EF3CC3"/>
    <w:rsid w:val="00EF3F84"/>
    <w:rsid w:val="00EF4219"/>
    <w:rsid w:val="00EF42EF"/>
    <w:rsid w:val="00EF47D9"/>
    <w:rsid w:val="00EF4B98"/>
    <w:rsid w:val="00EF4C13"/>
    <w:rsid w:val="00EF5176"/>
    <w:rsid w:val="00EF584B"/>
    <w:rsid w:val="00EF5EBC"/>
    <w:rsid w:val="00EF634B"/>
    <w:rsid w:val="00EF6605"/>
    <w:rsid w:val="00EF6C7F"/>
    <w:rsid w:val="00EF6EE0"/>
    <w:rsid w:val="00EF74BC"/>
    <w:rsid w:val="00EF75EA"/>
    <w:rsid w:val="00EF7BCF"/>
    <w:rsid w:val="00EF7E31"/>
    <w:rsid w:val="00EF7EF6"/>
    <w:rsid w:val="00F0009E"/>
    <w:rsid w:val="00F00771"/>
    <w:rsid w:val="00F00BF4"/>
    <w:rsid w:val="00F00C49"/>
    <w:rsid w:val="00F00FB3"/>
    <w:rsid w:val="00F010F1"/>
    <w:rsid w:val="00F01340"/>
    <w:rsid w:val="00F019E5"/>
    <w:rsid w:val="00F01A09"/>
    <w:rsid w:val="00F01A4E"/>
    <w:rsid w:val="00F01C34"/>
    <w:rsid w:val="00F02504"/>
    <w:rsid w:val="00F02872"/>
    <w:rsid w:val="00F03044"/>
    <w:rsid w:val="00F0308A"/>
    <w:rsid w:val="00F0332A"/>
    <w:rsid w:val="00F03393"/>
    <w:rsid w:val="00F03CA2"/>
    <w:rsid w:val="00F03FDA"/>
    <w:rsid w:val="00F04410"/>
    <w:rsid w:val="00F04AC3"/>
    <w:rsid w:val="00F04BDE"/>
    <w:rsid w:val="00F04EC6"/>
    <w:rsid w:val="00F04F80"/>
    <w:rsid w:val="00F05B4C"/>
    <w:rsid w:val="00F05BAD"/>
    <w:rsid w:val="00F05D30"/>
    <w:rsid w:val="00F06266"/>
    <w:rsid w:val="00F0672B"/>
    <w:rsid w:val="00F06D44"/>
    <w:rsid w:val="00F06E5D"/>
    <w:rsid w:val="00F074E2"/>
    <w:rsid w:val="00F0768C"/>
    <w:rsid w:val="00F102B2"/>
    <w:rsid w:val="00F10896"/>
    <w:rsid w:val="00F109F5"/>
    <w:rsid w:val="00F10AC3"/>
    <w:rsid w:val="00F10E28"/>
    <w:rsid w:val="00F10F3F"/>
    <w:rsid w:val="00F114AC"/>
    <w:rsid w:val="00F11EEA"/>
    <w:rsid w:val="00F1254A"/>
    <w:rsid w:val="00F1292A"/>
    <w:rsid w:val="00F12D5D"/>
    <w:rsid w:val="00F13426"/>
    <w:rsid w:val="00F13545"/>
    <w:rsid w:val="00F13BDA"/>
    <w:rsid w:val="00F13F6D"/>
    <w:rsid w:val="00F14F2A"/>
    <w:rsid w:val="00F15167"/>
    <w:rsid w:val="00F153FA"/>
    <w:rsid w:val="00F1567C"/>
    <w:rsid w:val="00F158C0"/>
    <w:rsid w:val="00F15E4E"/>
    <w:rsid w:val="00F161FA"/>
    <w:rsid w:val="00F16255"/>
    <w:rsid w:val="00F1654F"/>
    <w:rsid w:val="00F167BF"/>
    <w:rsid w:val="00F16C8E"/>
    <w:rsid w:val="00F16EF9"/>
    <w:rsid w:val="00F16F07"/>
    <w:rsid w:val="00F1719A"/>
    <w:rsid w:val="00F179C7"/>
    <w:rsid w:val="00F17DAA"/>
    <w:rsid w:val="00F17DEF"/>
    <w:rsid w:val="00F17F1E"/>
    <w:rsid w:val="00F2038B"/>
    <w:rsid w:val="00F209AB"/>
    <w:rsid w:val="00F20BDA"/>
    <w:rsid w:val="00F20DB6"/>
    <w:rsid w:val="00F20F65"/>
    <w:rsid w:val="00F20FC5"/>
    <w:rsid w:val="00F212ED"/>
    <w:rsid w:val="00F21343"/>
    <w:rsid w:val="00F2172B"/>
    <w:rsid w:val="00F21CF9"/>
    <w:rsid w:val="00F21DD0"/>
    <w:rsid w:val="00F22393"/>
    <w:rsid w:val="00F223EE"/>
    <w:rsid w:val="00F22AF2"/>
    <w:rsid w:val="00F22D51"/>
    <w:rsid w:val="00F22DB6"/>
    <w:rsid w:val="00F2306B"/>
    <w:rsid w:val="00F2338B"/>
    <w:rsid w:val="00F23600"/>
    <w:rsid w:val="00F2362D"/>
    <w:rsid w:val="00F23A95"/>
    <w:rsid w:val="00F23ACF"/>
    <w:rsid w:val="00F23D3F"/>
    <w:rsid w:val="00F23EB0"/>
    <w:rsid w:val="00F244B8"/>
    <w:rsid w:val="00F24808"/>
    <w:rsid w:val="00F24EAE"/>
    <w:rsid w:val="00F2515E"/>
    <w:rsid w:val="00F2543C"/>
    <w:rsid w:val="00F25B8B"/>
    <w:rsid w:val="00F25C8B"/>
    <w:rsid w:val="00F25EA9"/>
    <w:rsid w:val="00F26070"/>
    <w:rsid w:val="00F2627D"/>
    <w:rsid w:val="00F268D5"/>
    <w:rsid w:val="00F27094"/>
    <w:rsid w:val="00F27299"/>
    <w:rsid w:val="00F2756F"/>
    <w:rsid w:val="00F275DF"/>
    <w:rsid w:val="00F276AE"/>
    <w:rsid w:val="00F27775"/>
    <w:rsid w:val="00F278E3"/>
    <w:rsid w:val="00F27A6B"/>
    <w:rsid w:val="00F27ABE"/>
    <w:rsid w:val="00F27C71"/>
    <w:rsid w:val="00F27D67"/>
    <w:rsid w:val="00F3065F"/>
    <w:rsid w:val="00F30699"/>
    <w:rsid w:val="00F30902"/>
    <w:rsid w:val="00F3092B"/>
    <w:rsid w:val="00F3093B"/>
    <w:rsid w:val="00F312BB"/>
    <w:rsid w:val="00F318F0"/>
    <w:rsid w:val="00F31ACE"/>
    <w:rsid w:val="00F31B62"/>
    <w:rsid w:val="00F31FA6"/>
    <w:rsid w:val="00F32BE4"/>
    <w:rsid w:val="00F32C7E"/>
    <w:rsid w:val="00F32E03"/>
    <w:rsid w:val="00F331EE"/>
    <w:rsid w:val="00F33698"/>
    <w:rsid w:val="00F33794"/>
    <w:rsid w:val="00F339D9"/>
    <w:rsid w:val="00F33B83"/>
    <w:rsid w:val="00F33CCB"/>
    <w:rsid w:val="00F33CFD"/>
    <w:rsid w:val="00F33F31"/>
    <w:rsid w:val="00F33FD6"/>
    <w:rsid w:val="00F3400E"/>
    <w:rsid w:val="00F348D0"/>
    <w:rsid w:val="00F349C9"/>
    <w:rsid w:val="00F34D26"/>
    <w:rsid w:val="00F34EFF"/>
    <w:rsid w:val="00F35656"/>
    <w:rsid w:val="00F35DCC"/>
    <w:rsid w:val="00F362DF"/>
    <w:rsid w:val="00F36A74"/>
    <w:rsid w:val="00F36BC0"/>
    <w:rsid w:val="00F36D00"/>
    <w:rsid w:val="00F37053"/>
    <w:rsid w:val="00F372E2"/>
    <w:rsid w:val="00F3776E"/>
    <w:rsid w:val="00F37782"/>
    <w:rsid w:val="00F37947"/>
    <w:rsid w:val="00F37A3D"/>
    <w:rsid w:val="00F37F6D"/>
    <w:rsid w:val="00F40026"/>
    <w:rsid w:val="00F4012B"/>
    <w:rsid w:val="00F4055C"/>
    <w:rsid w:val="00F40754"/>
    <w:rsid w:val="00F407AE"/>
    <w:rsid w:val="00F40A86"/>
    <w:rsid w:val="00F40C40"/>
    <w:rsid w:val="00F40D46"/>
    <w:rsid w:val="00F40ED6"/>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FB7"/>
    <w:rsid w:val="00F432EA"/>
    <w:rsid w:val="00F43634"/>
    <w:rsid w:val="00F439EF"/>
    <w:rsid w:val="00F44151"/>
    <w:rsid w:val="00F443CA"/>
    <w:rsid w:val="00F4478C"/>
    <w:rsid w:val="00F447C8"/>
    <w:rsid w:val="00F44D08"/>
    <w:rsid w:val="00F44E6B"/>
    <w:rsid w:val="00F45256"/>
    <w:rsid w:val="00F45357"/>
    <w:rsid w:val="00F453ED"/>
    <w:rsid w:val="00F45807"/>
    <w:rsid w:val="00F45903"/>
    <w:rsid w:val="00F45AB4"/>
    <w:rsid w:val="00F45ABF"/>
    <w:rsid w:val="00F45B05"/>
    <w:rsid w:val="00F45FAA"/>
    <w:rsid w:val="00F46332"/>
    <w:rsid w:val="00F463EE"/>
    <w:rsid w:val="00F468CF"/>
    <w:rsid w:val="00F47072"/>
    <w:rsid w:val="00F47679"/>
    <w:rsid w:val="00F477B9"/>
    <w:rsid w:val="00F47CDD"/>
    <w:rsid w:val="00F47DE5"/>
    <w:rsid w:val="00F50283"/>
    <w:rsid w:val="00F50318"/>
    <w:rsid w:val="00F50637"/>
    <w:rsid w:val="00F506B3"/>
    <w:rsid w:val="00F50738"/>
    <w:rsid w:val="00F509C3"/>
    <w:rsid w:val="00F50B4A"/>
    <w:rsid w:val="00F50E1A"/>
    <w:rsid w:val="00F51486"/>
    <w:rsid w:val="00F51531"/>
    <w:rsid w:val="00F51632"/>
    <w:rsid w:val="00F521FD"/>
    <w:rsid w:val="00F52216"/>
    <w:rsid w:val="00F52558"/>
    <w:rsid w:val="00F52691"/>
    <w:rsid w:val="00F52D02"/>
    <w:rsid w:val="00F52E30"/>
    <w:rsid w:val="00F52E92"/>
    <w:rsid w:val="00F53135"/>
    <w:rsid w:val="00F535CC"/>
    <w:rsid w:val="00F53EBA"/>
    <w:rsid w:val="00F53F2D"/>
    <w:rsid w:val="00F540E8"/>
    <w:rsid w:val="00F54156"/>
    <w:rsid w:val="00F542C1"/>
    <w:rsid w:val="00F54302"/>
    <w:rsid w:val="00F5473B"/>
    <w:rsid w:val="00F54BAB"/>
    <w:rsid w:val="00F54D6D"/>
    <w:rsid w:val="00F555F0"/>
    <w:rsid w:val="00F5565E"/>
    <w:rsid w:val="00F556FA"/>
    <w:rsid w:val="00F55B2E"/>
    <w:rsid w:val="00F55DB6"/>
    <w:rsid w:val="00F56279"/>
    <w:rsid w:val="00F56336"/>
    <w:rsid w:val="00F563D6"/>
    <w:rsid w:val="00F566E0"/>
    <w:rsid w:val="00F5677D"/>
    <w:rsid w:val="00F56B85"/>
    <w:rsid w:val="00F56E0B"/>
    <w:rsid w:val="00F57717"/>
    <w:rsid w:val="00F578EE"/>
    <w:rsid w:val="00F6010F"/>
    <w:rsid w:val="00F60281"/>
    <w:rsid w:val="00F60788"/>
    <w:rsid w:val="00F607BE"/>
    <w:rsid w:val="00F608B9"/>
    <w:rsid w:val="00F60A2D"/>
    <w:rsid w:val="00F60E13"/>
    <w:rsid w:val="00F60EB2"/>
    <w:rsid w:val="00F610AD"/>
    <w:rsid w:val="00F615DC"/>
    <w:rsid w:val="00F6193C"/>
    <w:rsid w:val="00F61A8C"/>
    <w:rsid w:val="00F61BBA"/>
    <w:rsid w:val="00F62099"/>
    <w:rsid w:val="00F6214C"/>
    <w:rsid w:val="00F621A0"/>
    <w:rsid w:val="00F62477"/>
    <w:rsid w:val="00F625EC"/>
    <w:rsid w:val="00F6291C"/>
    <w:rsid w:val="00F6345A"/>
    <w:rsid w:val="00F63464"/>
    <w:rsid w:val="00F637BB"/>
    <w:rsid w:val="00F63991"/>
    <w:rsid w:val="00F63C55"/>
    <w:rsid w:val="00F6497B"/>
    <w:rsid w:val="00F64B34"/>
    <w:rsid w:val="00F64C09"/>
    <w:rsid w:val="00F6507E"/>
    <w:rsid w:val="00F650A5"/>
    <w:rsid w:val="00F6511F"/>
    <w:rsid w:val="00F651EC"/>
    <w:rsid w:val="00F65604"/>
    <w:rsid w:val="00F656DB"/>
    <w:rsid w:val="00F6576B"/>
    <w:rsid w:val="00F658CC"/>
    <w:rsid w:val="00F6615B"/>
    <w:rsid w:val="00F668B7"/>
    <w:rsid w:val="00F66984"/>
    <w:rsid w:val="00F66CB0"/>
    <w:rsid w:val="00F676F8"/>
    <w:rsid w:val="00F67775"/>
    <w:rsid w:val="00F679F2"/>
    <w:rsid w:val="00F67B0E"/>
    <w:rsid w:val="00F67E49"/>
    <w:rsid w:val="00F701CA"/>
    <w:rsid w:val="00F7088E"/>
    <w:rsid w:val="00F712E9"/>
    <w:rsid w:val="00F722A3"/>
    <w:rsid w:val="00F72EAA"/>
    <w:rsid w:val="00F7301E"/>
    <w:rsid w:val="00F7367E"/>
    <w:rsid w:val="00F73881"/>
    <w:rsid w:val="00F73F12"/>
    <w:rsid w:val="00F741A7"/>
    <w:rsid w:val="00F742F8"/>
    <w:rsid w:val="00F74468"/>
    <w:rsid w:val="00F74857"/>
    <w:rsid w:val="00F748EA"/>
    <w:rsid w:val="00F74F7D"/>
    <w:rsid w:val="00F75065"/>
    <w:rsid w:val="00F75095"/>
    <w:rsid w:val="00F75737"/>
    <w:rsid w:val="00F757AF"/>
    <w:rsid w:val="00F75ADC"/>
    <w:rsid w:val="00F76408"/>
    <w:rsid w:val="00F7666F"/>
    <w:rsid w:val="00F76BE7"/>
    <w:rsid w:val="00F7716E"/>
    <w:rsid w:val="00F7741E"/>
    <w:rsid w:val="00F77932"/>
    <w:rsid w:val="00F77ED9"/>
    <w:rsid w:val="00F801DB"/>
    <w:rsid w:val="00F806A0"/>
    <w:rsid w:val="00F80AEA"/>
    <w:rsid w:val="00F811DB"/>
    <w:rsid w:val="00F81D31"/>
    <w:rsid w:val="00F826A6"/>
    <w:rsid w:val="00F82763"/>
    <w:rsid w:val="00F82F24"/>
    <w:rsid w:val="00F8314A"/>
    <w:rsid w:val="00F83E96"/>
    <w:rsid w:val="00F8406A"/>
    <w:rsid w:val="00F84103"/>
    <w:rsid w:val="00F845C4"/>
    <w:rsid w:val="00F845C6"/>
    <w:rsid w:val="00F84A0B"/>
    <w:rsid w:val="00F84E22"/>
    <w:rsid w:val="00F84FCB"/>
    <w:rsid w:val="00F8563D"/>
    <w:rsid w:val="00F85A86"/>
    <w:rsid w:val="00F85F25"/>
    <w:rsid w:val="00F865E8"/>
    <w:rsid w:val="00F86DCE"/>
    <w:rsid w:val="00F87930"/>
    <w:rsid w:val="00F87CFF"/>
    <w:rsid w:val="00F903BE"/>
    <w:rsid w:val="00F907A8"/>
    <w:rsid w:val="00F907E5"/>
    <w:rsid w:val="00F90807"/>
    <w:rsid w:val="00F90A06"/>
    <w:rsid w:val="00F90A0A"/>
    <w:rsid w:val="00F90CF2"/>
    <w:rsid w:val="00F910D2"/>
    <w:rsid w:val="00F919DF"/>
    <w:rsid w:val="00F91A51"/>
    <w:rsid w:val="00F91E1D"/>
    <w:rsid w:val="00F91F0C"/>
    <w:rsid w:val="00F92250"/>
    <w:rsid w:val="00F928A8"/>
    <w:rsid w:val="00F92ADD"/>
    <w:rsid w:val="00F92C05"/>
    <w:rsid w:val="00F92C7C"/>
    <w:rsid w:val="00F92D63"/>
    <w:rsid w:val="00F93010"/>
    <w:rsid w:val="00F934FD"/>
    <w:rsid w:val="00F93CDA"/>
    <w:rsid w:val="00F93ED7"/>
    <w:rsid w:val="00F93FC9"/>
    <w:rsid w:val="00F94190"/>
    <w:rsid w:val="00F941F2"/>
    <w:rsid w:val="00F94534"/>
    <w:rsid w:val="00F94744"/>
    <w:rsid w:val="00F94CE4"/>
    <w:rsid w:val="00F94DD3"/>
    <w:rsid w:val="00F951A9"/>
    <w:rsid w:val="00F952E3"/>
    <w:rsid w:val="00F9554F"/>
    <w:rsid w:val="00F95E69"/>
    <w:rsid w:val="00F9680E"/>
    <w:rsid w:val="00F96B7A"/>
    <w:rsid w:val="00F96D0D"/>
    <w:rsid w:val="00F96ECE"/>
    <w:rsid w:val="00F972E0"/>
    <w:rsid w:val="00F9738E"/>
    <w:rsid w:val="00F9746C"/>
    <w:rsid w:val="00F9757F"/>
    <w:rsid w:val="00F979C4"/>
    <w:rsid w:val="00FA0242"/>
    <w:rsid w:val="00FA028E"/>
    <w:rsid w:val="00FA0BBC"/>
    <w:rsid w:val="00FA0D03"/>
    <w:rsid w:val="00FA0EAB"/>
    <w:rsid w:val="00FA1250"/>
    <w:rsid w:val="00FA166F"/>
    <w:rsid w:val="00FA16ED"/>
    <w:rsid w:val="00FA1898"/>
    <w:rsid w:val="00FA19C2"/>
    <w:rsid w:val="00FA1FDE"/>
    <w:rsid w:val="00FA21B3"/>
    <w:rsid w:val="00FA246F"/>
    <w:rsid w:val="00FA26D3"/>
    <w:rsid w:val="00FA2779"/>
    <w:rsid w:val="00FA2866"/>
    <w:rsid w:val="00FA297E"/>
    <w:rsid w:val="00FA2B05"/>
    <w:rsid w:val="00FA2EEB"/>
    <w:rsid w:val="00FA3AAB"/>
    <w:rsid w:val="00FA3BCB"/>
    <w:rsid w:val="00FA3DAE"/>
    <w:rsid w:val="00FA4124"/>
    <w:rsid w:val="00FA45D6"/>
    <w:rsid w:val="00FA4ACA"/>
    <w:rsid w:val="00FA4D9A"/>
    <w:rsid w:val="00FA5B63"/>
    <w:rsid w:val="00FA5C13"/>
    <w:rsid w:val="00FA6518"/>
    <w:rsid w:val="00FA699D"/>
    <w:rsid w:val="00FA6F68"/>
    <w:rsid w:val="00FA718D"/>
    <w:rsid w:val="00FA71CF"/>
    <w:rsid w:val="00FA7B13"/>
    <w:rsid w:val="00FB0310"/>
    <w:rsid w:val="00FB0466"/>
    <w:rsid w:val="00FB064C"/>
    <w:rsid w:val="00FB0999"/>
    <w:rsid w:val="00FB0A50"/>
    <w:rsid w:val="00FB0DF1"/>
    <w:rsid w:val="00FB11D0"/>
    <w:rsid w:val="00FB13CC"/>
    <w:rsid w:val="00FB1B43"/>
    <w:rsid w:val="00FB278F"/>
    <w:rsid w:val="00FB3860"/>
    <w:rsid w:val="00FB4034"/>
    <w:rsid w:val="00FB4124"/>
    <w:rsid w:val="00FB41EA"/>
    <w:rsid w:val="00FB4505"/>
    <w:rsid w:val="00FB458E"/>
    <w:rsid w:val="00FB4E26"/>
    <w:rsid w:val="00FB4F97"/>
    <w:rsid w:val="00FB5009"/>
    <w:rsid w:val="00FB5520"/>
    <w:rsid w:val="00FB581D"/>
    <w:rsid w:val="00FB5FA6"/>
    <w:rsid w:val="00FB6278"/>
    <w:rsid w:val="00FB6606"/>
    <w:rsid w:val="00FB691E"/>
    <w:rsid w:val="00FB69D2"/>
    <w:rsid w:val="00FB6C43"/>
    <w:rsid w:val="00FB7293"/>
    <w:rsid w:val="00FB73B5"/>
    <w:rsid w:val="00FB7491"/>
    <w:rsid w:val="00FB74EE"/>
    <w:rsid w:val="00FB7915"/>
    <w:rsid w:val="00FB7A01"/>
    <w:rsid w:val="00FB7AE4"/>
    <w:rsid w:val="00FC0422"/>
    <w:rsid w:val="00FC0F41"/>
    <w:rsid w:val="00FC104E"/>
    <w:rsid w:val="00FC10AB"/>
    <w:rsid w:val="00FC1204"/>
    <w:rsid w:val="00FC1857"/>
    <w:rsid w:val="00FC1C68"/>
    <w:rsid w:val="00FC1EC4"/>
    <w:rsid w:val="00FC1ECF"/>
    <w:rsid w:val="00FC2237"/>
    <w:rsid w:val="00FC2360"/>
    <w:rsid w:val="00FC2511"/>
    <w:rsid w:val="00FC25B9"/>
    <w:rsid w:val="00FC292E"/>
    <w:rsid w:val="00FC2C44"/>
    <w:rsid w:val="00FC2CAA"/>
    <w:rsid w:val="00FC2D3D"/>
    <w:rsid w:val="00FC2F33"/>
    <w:rsid w:val="00FC3717"/>
    <w:rsid w:val="00FC39AA"/>
    <w:rsid w:val="00FC3ECC"/>
    <w:rsid w:val="00FC416F"/>
    <w:rsid w:val="00FC4480"/>
    <w:rsid w:val="00FC48E4"/>
    <w:rsid w:val="00FC4D21"/>
    <w:rsid w:val="00FC51D0"/>
    <w:rsid w:val="00FC521F"/>
    <w:rsid w:val="00FC5490"/>
    <w:rsid w:val="00FC5C5A"/>
    <w:rsid w:val="00FC61FB"/>
    <w:rsid w:val="00FC6ED0"/>
    <w:rsid w:val="00FC6FC5"/>
    <w:rsid w:val="00FC70F5"/>
    <w:rsid w:val="00FC770B"/>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2A1A"/>
    <w:rsid w:val="00FD2D89"/>
    <w:rsid w:val="00FD336B"/>
    <w:rsid w:val="00FD4095"/>
    <w:rsid w:val="00FD43E0"/>
    <w:rsid w:val="00FD468D"/>
    <w:rsid w:val="00FD48E7"/>
    <w:rsid w:val="00FD4B1C"/>
    <w:rsid w:val="00FD4BE0"/>
    <w:rsid w:val="00FD4BFA"/>
    <w:rsid w:val="00FD4DC7"/>
    <w:rsid w:val="00FD4EC5"/>
    <w:rsid w:val="00FD5303"/>
    <w:rsid w:val="00FD56D9"/>
    <w:rsid w:val="00FD59A1"/>
    <w:rsid w:val="00FD5A2D"/>
    <w:rsid w:val="00FD628F"/>
    <w:rsid w:val="00FD6459"/>
    <w:rsid w:val="00FD64E1"/>
    <w:rsid w:val="00FD66FF"/>
    <w:rsid w:val="00FD6A9B"/>
    <w:rsid w:val="00FD70C3"/>
    <w:rsid w:val="00FD7353"/>
    <w:rsid w:val="00FD754E"/>
    <w:rsid w:val="00FD7BED"/>
    <w:rsid w:val="00FE0772"/>
    <w:rsid w:val="00FE07BB"/>
    <w:rsid w:val="00FE08B5"/>
    <w:rsid w:val="00FE0921"/>
    <w:rsid w:val="00FE0A69"/>
    <w:rsid w:val="00FE10CA"/>
    <w:rsid w:val="00FE146F"/>
    <w:rsid w:val="00FE1BD8"/>
    <w:rsid w:val="00FE1DE4"/>
    <w:rsid w:val="00FE21CE"/>
    <w:rsid w:val="00FE229E"/>
    <w:rsid w:val="00FE2660"/>
    <w:rsid w:val="00FE2D84"/>
    <w:rsid w:val="00FE2E29"/>
    <w:rsid w:val="00FE3126"/>
    <w:rsid w:val="00FE3921"/>
    <w:rsid w:val="00FE3954"/>
    <w:rsid w:val="00FE3A51"/>
    <w:rsid w:val="00FE3BBA"/>
    <w:rsid w:val="00FE3C08"/>
    <w:rsid w:val="00FE3E6A"/>
    <w:rsid w:val="00FE4165"/>
    <w:rsid w:val="00FE4299"/>
    <w:rsid w:val="00FE46C0"/>
    <w:rsid w:val="00FE4F49"/>
    <w:rsid w:val="00FE4FB6"/>
    <w:rsid w:val="00FE5068"/>
    <w:rsid w:val="00FE57F9"/>
    <w:rsid w:val="00FE60C9"/>
    <w:rsid w:val="00FE66B3"/>
    <w:rsid w:val="00FE6A9C"/>
    <w:rsid w:val="00FE7079"/>
    <w:rsid w:val="00FE723F"/>
    <w:rsid w:val="00FE7374"/>
    <w:rsid w:val="00FE75DA"/>
    <w:rsid w:val="00FE784B"/>
    <w:rsid w:val="00FE795F"/>
    <w:rsid w:val="00FE7A65"/>
    <w:rsid w:val="00FF01DF"/>
    <w:rsid w:val="00FF0245"/>
    <w:rsid w:val="00FF046F"/>
    <w:rsid w:val="00FF051F"/>
    <w:rsid w:val="00FF0899"/>
    <w:rsid w:val="00FF1280"/>
    <w:rsid w:val="00FF1A6D"/>
    <w:rsid w:val="00FF1D13"/>
    <w:rsid w:val="00FF20B9"/>
    <w:rsid w:val="00FF28D6"/>
    <w:rsid w:val="00FF36AF"/>
    <w:rsid w:val="00FF37C6"/>
    <w:rsid w:val="00FF3898"/>
    <w:rsid w:val="00FF3A16"/>
    <w:rsid w:val="00FF3E53"/>
    <w:rsid w:val="00FF407A"/>
    <w:rsid w:val="00FF466D"/>
    <w:rsid w:val="00FF4E65"/>
    <w:rsid w:val="00FF4F74"/>
    <w:rsid w:val="00FF5257"/>
    <w:rsid w:val="00FF5322"/>
    <w:rsid w:val="00FF5542"/>
    <w:rsid w:val="00FF5B46"/>
    <w:rsid w:val="00FF5D58"/>
    <w:rsid w:val="00FF5F90"/>
    <w:rsid w:val="00FF68B1"/>
    <w:rsid w:val="00FF6B01"/>
    <w:rsid w:val="00FF6C35"/>
    <w:rsid w:val="00FF6D0E"/>
    <w:rsid w:val="00FF6D58"/>
    <w:rsid w:val="00FF6ED4"/>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4C18CA29"/>
  <w15:docId w15:val="{7FC832A0-08DE-41F1-94EE-E31BA53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character" w:styleId="UnresolvedMention">
    <w:name w:val="Unresolved Mention"/>
    <w:basedOn w:val="DefaultParagraphFont"/>
    <w:uiPriority w:val="99"/>
    <w:semiHidden/>
    <w:unhideWhenUsed/>
    <w:rsid w:val="00340EF0"/>
    <w:rPr>
      <w:color w:val="808080"/>
      <w:shd w:val="clear" w:color="auto" w:fill="E6E6E6"/>
    </w:rPr>
  </w:style>
  <w:style w:type="paragraph" w:styleId="Bibliography">
    <w:name w:val="Bibliography"/>
    <w:basedOn w:val="Normal"/>
    <w:next w:val="Normal"/>
    <w:uiPriority w:val="37"/>
    <w:semiHidden/>
    <w:unhideWhenUsed/>
    <w:rsid w:val="00367110"/>
  </w:style>
  <w:style w:type="paragraph" w:styleId="BlockText">
    <w:name w:val="Block Text"/>
    <w:basedOn w:val="Normal"/>
    <w:uiPriority w:val="99"/>
    <w:semiHidden/>
    <w:unhideWhenUsed/>
    <w:locked/>
    <w:rsid w:val="003671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36711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36711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36711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36711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36711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367110"/>
    <w:pPr>
      <w:ind w:left="4252"/>
    </w:pPr>
  </w:style>
  <w:style w:type="character" w:customStyle="1" w:styleId="ClosingChar">
    <w:name w:val="Closing Char"/>
    <w:basedOn w:val="DefaultParagraphFont"/>
    <w:link w:val="Closing"/>
    <w:uiPriority w:val="99"/>
    <w:semiHidden/>
    <w:rsid w:val="00367110"/>
    <w:rPr>
      <w:rFonts w:ascii="ZapfCalligr BT" w:hAnsi="ZapfCalligr BT" w:cs="ZapfCalligr BT"/>
    </w:rPr>
  </w:style>
  <w:style w:type="paragraph" w:styleId="Date">
    <w:name w:val="Date"/>
    <w:basedOn w:val="Normal"/>
    <w:next w:val="Normal"/>
    <w:link w:val="DateChar"/>
    <w:uiPriority w:val="99"/>
    <w:semiHidden/>
    <w:unhideWhenUsed/>
    <w:locked/>
    <w:rsid w:val="00367110"/>
  </w:style>
  <w:style w:type="character" w:customStyle="1" w:styleId="DateChar">
    <w:name w:val="Date Char"/>
    <w:basedOn w:val="DefaultParagraphFont"/>
    <w:link w:val="Date"/>
    <w:uiPriority w:val="99"/>
    <w:semiHidden/>
    <w:rsid w:val="00367110"/>
    <w:rPr>
      <w:rFonts w:ascii="ZapfCalligr BT" w:hAnsi="ZapfCalligr BT" w:cs="ZapfCalligr BT"/>
    </w:rPr>
  </w:style>
  <w:style w:type="paragraph" w:styleId="DocumentMap">
    <w:name w:val="Document Map"/>
    <w:basedOn w:val="Normal"/>
    <w:link w:val="DocumentMapChar"/>
    <w:uiPriority w:val="99"/>
    <w:semiHidden/>
    <w:unhideWhenUsed/>
    <w:locked/>
    <w:rsid w:val="0036711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6711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367110"/>
  </w:style>
  <w:style w:type="character" w:customStyle="1" w:styleId="E-mailSignatureChar">
    <w:name w:val="E-mail Signature Char"/>
    <w:basedOn w:val="DefaultParagraphFont"/>
    <w:link w:val="E-mailSignature"/>
    <w:uiPriority w:val="99"/>
    <w:semiHidden/>
    <w:rsid w:val="00367110"/>
    <w:rPr>
      <w:rFonts w:ascii="ZapfCalligr BT" w:hAnsi="ZapfCalligr BT" w:cs="ZapfCalligr BT"/>
    </w:rPr>
  </w:style>
  <w:style w:type="paragraph" w:styleId="EndnoteText">
    <w:name w:val="endnote text"/>
    <w:basedOn w:val="Normal"/>
    <w:link w:val="EndnoteTextChar"/>
    <w:uiPriority w:val="99"/>
    <w:semiHidden/>
    <w:unhideWhenUsed/>
    <w:locked/>
    <w:rsid w:val="00367110"/>
    <w:rPr>
      <w:sz w:val="20"/>
      <w:szCs w:val="20"/>
    </w:rPr>
  </w:style>
  <w:style w:type="character" w:customStyle="1" w:styleId="EndnoteTextChar">
    <w:name w:val="Endnote Text Char"/>
    <w:basedOn w:val="DefaultParagraphFont"/>
    <w:link w:val="EndnoteText"/>
    <w:uiPriority w:val="99"/>
    <w:semiHidden/>
    <w:rsid w:val="00367110"/>
    <w:rPr>
      <w:rFonts w:ascii="ZapfCalligr BT" w:hAnsi="ZapfCalligr BT" w:cs="ZapfCalligr BT"/>
      <w:sz w:val="20"/>
      <w:szCs w:val="20"/>
    </w:rPr>
  </w:style>
  <w:style w:type="paragraph" w:styleId="EnvelopeAddress">
    <w:name w:val="envelope address"/>
    <w:basedOn w:val="Normal"/>
    <w:uiPriority w:val="99"/>
    <w:semiHidden/>
    <w:unhideWhenUsed/>
    <w:locked/>
    <w:rsid w:val="003671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36711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367110"/>
    <w:rPr>
      <w:sz w:val="20"/>
      <w:szCs w:val="20"/>
    </w:rPr>
  </w:style>
  <w:style w:type="character" w:customStyle="1" w:styleId="FootnoteTextChar">
    <w:name w:val="Footnote Text Char"/>
    <w:basedOn w:val="DefaultParagraphFont"/>
    <w:link w:val="FootnoteText"/>
    <w:uiPriority w:val="99"/>
    <w:semiHidden/>
    <w:rsid w:val="0036711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367110"/>
    <w:rPr>
      <w:i/>
      <w:iCs/>
    </w:rPr>
  </w:style>
  <w:style w:type="character" w:customStyle="1" w:styleId="HTMLAddressChar">
    <w:name w:val="HTML Address Char"/>
    <w:basedOn w:val="DefaultParagraphFont"/>
    <w:link w:val="HTMLAddress"/>
    <w:uiPriority w:val="99"/>
    <w:semiHidden/>
    <w:rsid w:val="0036711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36711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67110"/>
    <w:rPr>
      <w:rFonts w:ascii="Consolas" w:hAnsi="Consolas" w:cs="Consolas"/>
      <w:sz w:val="20"/>
      <w:szCs w:val="20"/>
    </w:rPr>
  </w:style>
  <w:style w:type="paragraph" w:styleId="Index1">
    <w:name w:val="index 1"/>
    <w:basedOn w:val="Normal"/>
    <w:next w:val="Normal"/>
    <w:autoRedefine/>
    <w:uiPriority w:val="99"/>
    <w:semiHidden/>
    <w:unhideWhenUsed/>
    <w:locked/>
    <w:rsid w:val="00367110"/>
    <w:pPr>
      <w:ind w:left="220" w:hanging="220"/>
    </w:pPr>
  </w:style>
  <w:style w:type="paragraph" w:styleId="Index2">
    <w:name w:val="index 2"/>
    <w:basedOn w:val="Normal"/>
    <w:next w:val="Normal"/>
    <w:autoRedefine/>
    <w:uiPriority w:val="99"/>
    <w:semiHidden/>
    <w:unhideWhenUsed/>
    <w:locked/>
    <w:rsid w:val="00367110"/>
    <w:pPr>
      <w:ind w:left="440" w:hanging="220"/>
    </w:pPr>
  </w:style>
  <w:style w:type="paragraph" w:styleId="Index3">
    <w:name w:val="index 3"/>
    <w:basedOn w:val="Normal"/>
    <w:next w:val="Normal"/>
    <w:autoRedefine/>
    <w:uiPriority w:val="99"/>
    <w:semiHidden/>
    <w:unhideWhenUsed/>
    <w:locked/>
    <w:rsid w:val="00367110"/>
    <w:pPr>
      <w:ind w:left="660" w:hanging="220"/>
    </w:pPr>
  </w:style>
  <w:style w:type="paragraph" w:styleId="Index4">
    <w:name w:val="index 4"/>
    <w:basedOn w:val="Normal"/>
    <w:next w:val="Normal"/>
    <w:autoRedefine/>
    <w:uiPriority w:val="99"/>
    <w:semiHidden/>
    <w:unhideWhenUsed/>
    <w:locked/>
    <w:rsid w:val="00367110"/>
    <w:pPr>
      <w:ind w:left="880" w:hanging="220"/>
    </w:pPr>
  </w:style>
  <w:style w:type="paragraph" w:styleId="Index5">
    <w:name w:val="index 5"/>
    <w:basedOn w:val="Normal"/>
    <w:next w:val="Normal"/>
    <w:autoRedefine/>
    <w:uiPriority w:val="99"/>
    <w:semiHidden/>
    <w:unhideWhenUsed/>
    <w:locked/>
    <w:rsid w:val="00367110"/>
    <w:pPr>
      <w:ind w:left="1100" w:hanging="220"/>
    </w:pPr>
  </w:style>
  <w:style w:type="paragraph" w:styleId="Index6">
    <w:name w:val="index 6"/>
    <w:basedOn w:val="Normal"/>
    <w:next w:val="Normal"/>
    <w:autoRedefine/>
    <w:uiPriority w:val="99"/>
    <w:semiHidden/>
    <w:unhideWhenUsed/>
    <w:locked/>
    <w:rsid w:val="00367110"/>
    <w:pPr>
      <w:ind w:left="1320" w:hanging="220"/>
    </w:pPr>
  </w:style>
  <w:style w:type="paragraph" w:styleId="Index7">
    <w:name w:val="index 7"/>
    <w:basedOn w:val="Normal"/>
    <w:next w:val="Normal"/>
    <w:autoRedefine/>
    <w:uiPriority w:val="99"/>
    <w:semiHidden/>
    <w:unhideWhenUsed/>
    <w:locked/>
    <w:rsid w:val="00367110"/>
    <w:pPr>
      <w:ind w:left="1540" w:hanging="220"/>
    </w:pPr>
  </w:style>
  <w:style w:type="paragraph" w:styleId="Index8">
    <w:name w:val="index 8"/>
    <w:basedOn w:val="Normal"/>
    <w:next w:val="Normal"/>
    <w:autoRedefine/>
    <w:uiPriority w:val="99"/>
    <w:semiHidden/>
    <w:unhideWhenUsed/>
    <w:locked/>
    <w:rsid w:val="00367110"/>
    <w:pPr>
      <w:ind w:left="1760" w:hanging="220"/>
    </w:pPr>
  </w:style>
  <w:style w:type="paragraph" w:styleId="Index9">
    <w:name w:val="index 9"/>
    <w:basedOn w:val="Normal"/>
    <w:next w:val="Normal"/>
    <w:autoRedefine/>
    <w:uiPriority w:val="99"/>
    <w:semiHidden/>
    <w:unhideWhenUsed/>
    <w:locked/>
    <w:rsid w:val="00367110"/>
    <w:pPr>
      <w:ind w:left="1980" w:hanging="220"/>
    </w:pPr>
  </w:style>
  <w:style w:type="paragraph" w:styleId="IndexHeading">
    <w:name w:val="index heading"/>
    <w:basedOn w:val="Normal"/>
    <w:next w:val="Index1"/>
    <w:uiPriority w:val="99"/>
    <w:semiHidden/>
    <w:unhideWhenUsed/>
    <w:locked/>
    <w:rsid w:val="003671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671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7110"/>
    <w:rPr>
      <w:rFonts w:ascii="ZapfCalligr BT" w:hAnsi="ZapfCalligr BT" w:cs="ZapfCalligr BT"/>
      <w:i/>
      <w:iCs/>
      <w:color w:val="4F81BD" w:themeColor="accent1"/>
    </w:rPr>
  </w:style>
  <w:style w:type="paragraph" w:styleId="List">
    <w:name w:val="List"/>
    <w:basedOn w:val="Normal"/>
    <w:uiPriority w:val="99"/>
    <w:semiHidden/>
    <w:unhideWhenUsed/>
    <w:locked/>
    <w:rsid w:val="00367110"/>
    <w:pPr>
      <w:ind w:left="283" w:hanging="283"/>
      <w:contextualSpacing/>
    </w:pPr>
  </w:style>
  <w:style w:type="paragraph" w:styleId="List2">
    <w:name w:val="List 2"/>
    <w:basedOn w:val="Normal"/>
    <w:uiPriority w:val="99"/>
    <w:semiHidden/>
    <w:unhideWhenUsed/>
    <w:locked/>
    <w:rsid w:val="00367110"/>
    <w:pPr>
      <w:ind w:left="566" w:hanging="283"/>
      <w:contextualSpacing/>
    </w:pPr>
  </w:style>
  <w:style w:type="paragraph" w:styleId="List3">
    <w:name w:val="List 3"/>
    <w:basedOn w:val="Normal"/>
    <w:uiPriority w:val="99"/>
    <w:semiHidden/>
    <w:unhideWhenUsed/>
    <w:locked/>
    <w:rsid w:val="00367110"/>
    <w:pPr>
      <w:ind w:left="849" w:hanging="283"/>
      <w:contextualSpacing/>
    </w:pPr>
  </w:style>
  <w:style w:type="paragraph" w:styleId="List4">
    <w:name w:val="List 4"/>
    <w:basedOn w:val="Normal"/>
    <w:uiPriority w:val="99"/>
    <w:semiHidden/>
    <w:unhideWhenUsed/>
    <w:locked/>
    <w:rsid w:val="00367110"/>
    <w:pPr>
      <w:ind w:left="1132" w:hanging="283"/>
      <w:contextualSpacing/>
    </w:pPr>
  </w:style>
  <w:style w:type="paragraph" w:styleId="List5">
    <w:name w:val="List 5"/>
    <w:basedOn w:val="Normal"/>
    <w:uiPriority w:val="99"/>
    <w:semiHidden/>
    <w:unhideWhenUsed/>
    <w:locked/>
    <w:rsid w:val="00367110"/>
    <w:pPr>
      <w:ind w:left="1415" w:hanging="283"/>
      <w:contextualSpacing/>
    </w:pPr>
  </w:style>
  <w:style w:type="paragraph" w:styleId="ListBullet">
    <w:name w:val="List Bullet"/>
    <w:basedOn w:val="Normal"/>
    <w:uiPriority w:val="99"/>
    <w:semiHidden/>
    <w:unhideWhenUsed/>
    <w:locked/>
    <w:rsid w:val="00367110"/>
    <w:pPr>
      <w:numPr>
        <w:numId w:val="85"/>
      </w:numPr>
      <w:contextualSpacing/>
    </w:pPr>
  </w:style>
  <w:style w:type="paragraph" w:styleId="ListBullet2">
    <w:name w:val="List Bullet 2"/>
    <w:basedOn w:val="Normal"/>
    <w:uiPriority w:val="99"/>
    <w:semiHidden/>
    <w:unhideWhenUsed/>
    <w:locked/>
    <w:rsid w:val="00367110"/>
    <w:pPr>
      <w:numPr>
        <w:numId w:val="86"/>
      </w:numPr>
      <w:contextualSpacing/>
    </w:pPr>
  </w:style>
  <w:style w:type="paragraph" w:styleId="ListBullet3">
    <w:name w:val="List Bullet 3"/>
    <w:basedOn w:val="Normal"/>
    <w:uiPriority w:val="99"/>
    <w:semiHidden/>
    <w:unhideWhenUsed/>
    <w:locked/>
    <w:rsid w:val="00367110"/>
    <w:pPr>
      <w:numPr>
        <w:numId w:val="87"/>
      </w:numPr>
      <w:contextualSpacing/>
    </w:pPr>
  </w:style>
  <w:style w:type="paragraph" w:styleId="ListBullet5">
    <w:name w:val="List Bullet 5"/>
    <w:basedOn w:val="Normal"/>
    <w:uiPriority w:val="99"/>
    <w:semiHidden/>
    <w:unhideWhenUsed/>
    <w:locked/>
    <w:rsid w:val="00367110"/>
    <w:pPr>
      <w:numPr>
        <w:numId w:val="88"/>
      </w:numPr>
      <w:contextualSpacing/>
    </w:pPr>
  </w:style>
  <w:style w:type="paragraph" w:styleId="ListContinue">
    <w:name w:val="List Continue"/>
    <w:basedOn w:val="Normal"/>
    <w:uiPriority w:val="99"/>
    <w:semiHidden/>
    <w:unhideWhenUsed/>
    <w:locked/>
    <w:rsid w:val="00367110"/>
    <w:pPr>
      <w:spacing w:after="120"/>
      <w:ind w:left="283"/>
      <w:contextualSpacing/>
    </w:pPr>
  </w:style>
  <w:style w:type="paragraph" w:styleId="ListContinue2">
    <w:name w:val="List Continue 2"/>
    <w:basedOn w:val="Normal"/>
    <w:uiPriority w:val="99"/>
    <w:semiHidden/>
    <w:unhideWhenUsed/>
    <w:locked/>
    <w:rsid w:val="00367110"/>
    <w:pPr>
      <w:spacing w:after="120"/>
      <w:ind w:left="566"/>
      <w:contextualSpacing/>
    </w:pPr>
  </w:style>
  <w:style w:type="paragraph" w:styleId="ListContinue3">
    <w:name w:val="List Continue 3"/>
    <w:basedOn w:val="Normal"/>
    <w:uiPriority w:val="99"/>
    <w:semiHidden/>
    <w:unhideWhenUsed/>
    <w:locked/>
    <w:rsid w:val="00367110"/>
    <w:pPr>
      <w:spacing w:after="120"/>
      <w:ind w:left="849"/>
      <w:contextualSpacing/>
    </w:pPr>
  </w:style>
  <w:style w:type="paragraph" w:styleId="ListContinue4">
    <w:name w:val="List Continue 4"/>
    <w:basedOn w:val="Normal"/>
    <w:uiPriority w:val="99"/>
    <w:semiHidden/>
    <w:unhideWhenUsed/>
    <w:locked/>
    <w:rsid w:val="00367110"/>
    <w:pPr>
      <w:spacing w:after="120"/>
      <w:ind w:left="1132"/>
      <w:contextualSpacing/>
    </w:pPr>
  </w:style>
  <w:style w:type="paragraph" w:styleId="ListContinue5">
    <w:name w:val="List Continue 5"/>
    <w:basedOn w:val="Normal"/>
    <w:uiPriority w:val="99"/>
    <w:semiHidden/>
    <w:unhideWhenUsed/>
    <w:locked/>
    <w:rsid w:val="00367110"/>
    <w:pPr>
      <w:spacing w:after="120"/>
      <w:ind w:left="1415"/>
      <w:contextualSpacing/>
    </w:pPr>
  </w:style>
  <w:style w:type="paragraph" w:styleId="ListNumber">
    <w:name w:val="List Number"/>
    <w:basedOn w:val="Normal"/>
    <w:uiPriority w:val="99"/>
    <w:semiHidden/>
    <w:unhideWhenUsed/>
    <w:locked/>
    <w:rsid w:val="00367110"/>
    <w:pPr>
      <w:numPr>
        <w:numId w:val="89"/>
      </w:numPr>
      <w:contextualSpacing/>
    </w:pPr>
  </w:style>
  <w:style w:type="paragraph" w:styleId="ListNumber2">
    <w:name w:val="List Number 2"/>
    <w:basedOn w:val="Normal"/>
    <w:uiPriority w:val="99"/>
    <w:semiHidden/>
    <w:unhideWhenUsed/>
    <w:locked/>
    <w:rsid w:val="00367110"/>
    <w:pPr>
      <w:numPr>
        <w:numId w:val="90"/>
      </w:numPr>
      <w:contextualSpacing/>
    </w:pPr>
  </w:style>
  <w:style w:type="paragraph" w:styleId="ListNumber3">
    <w:name w:val="List Number 3"/>
    <w:basedOn w:val="Normal"/>
    <w:uiPriority w:val="99"/>
    <w:semiHidden/>
    <w:unhideWhenUsed/>
    <w:locked/>
    <w:rsid w:val="00367110"/>
    <w:pPr>
      <w:numPr>
        <w:numId w:val="91"/>
      </w:numPr>
      <w:contextualSpacing/>
    </w:pPr>
  </w:style>
  <w:style w:type="paragraph" w:styleId="ListNumber4">
    <w:name w:val="List Number 4"/>
    <w:basedOn w:val="Normal"/>
    <w:uiPriority w:val="99"/>
    <w:semiHidden/>
    <w:unhideWhenUsed/>
    <w:locked/>
    <w:rsid w:val="00367110"/>
    <w:pPr>
      <w:numPr>
        <w:numId w:val="92"/>
      </w:numPr>
      <w:contextualSpacing/>
    </w:pPr>
  </w:style>
  <w:style w:type="paragraph" w:styleId="ListNumber5">
    <w:name w:val="List Number 5"/>
    <w:basedOn w:val="Normal"/>
    <w:uiPriority w:val="99"/>
    <w:semiHidden/>
    <w:unhideWhenUsed/>
    <w:locked/>
    <w:rsid w:val="00367110"/>
    <w:pPr>
      <w:numPr>
        <w:numId w:val="93"/>
      </w:numPr>
      <w:contextualSpacing/>
    </w:pPr>
  </w:style>
  <w:style w:type="paragraph" w:styleId="MacroText">
    <w:name w:val="macro"/>
    <w:link w:val="MacroTextChar"/>
    <w:uiPriority w:val="99"/>
    <w:semiHidden/>
    <w:unhideWhenUsed/>
    <w:locked/>
    <w:rsid w:val="0036711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67110"/>
    <w:rPr>
      <w:rFonts w:ascii="Consolas" w:hAnsi="Consolas" w:cs="Consolas"/>
      <w:sz w:val="20"/>
      <w:szCs w:val="20"/>
    </w:rPr>
  </w:style>
  <w:style w:type="paragraph" w:styleId="MessageHeader">
    <w:name w:val="Message Header"/>
    <w:basedOn w:val="Normal"/>
    <w:link w:val="MessageHeaderChar"/>
    <w:uiPriority w:val="99"/>
    <w:semiHidden/>
    <w:unhideWhenUsed/>
    <w:locked/>
    <w:rsid w:val="003671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6711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367110"/>
    <w:pPr>
      <w:ind w:left="720"/>
    </w:pPr>
  </w:style>
  <w:style w:type="paragraph" w:styleId="NoteHeading">
    <w:name w:val="Note Heading"/>
    <w:basedOn w:val="Normal"/>
    <w:next w:val="Normal"/>
    <w:link w:val="NoteHeadingChar"/>
    <w:uiPriority w:val="99"/>
    <w:semiHidden/>
    <w:unhideWhenUsed/>
    <w:locked/>
    <w:rsid w:val="00367110"/>
  </w:style>
  <w:style w:type="character" w:customStyle="1" w:styleId="NoteHeadingChar">
    <w:name w:val="Note Heading Char"/>
    <w:basedOn w:val="DefaultParagraphFont"/>
    <w:link w:val="NoteHeading"/>
    <w:uiPriority w:val="99"/>
    <w:semiHidden/>
    <w:rsid w:val="00367110"/>
    <w:rPr>
      <w:rFonts w:ascii="ZapfCalligr BT" w:hAnsi="ZapfCalligr BT" w:cs="ZapfCalligr BT"/>
    </w:rPr>
  </w:style>
  <w:style w:type="paragraph" w:styleId="Quote">
    <w:name w:val="Quote"/>
    <w:basedOn w:val="Normal"/>
    <w:next w:val="Normal"/>
    <w:link w:val="QuoteChar"/>
    <w:uiPriority w:val="29"/>
    <w:qFormat/>
    <w:rsid w:val="003671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711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367110"/>
  </w:style>
  <w:style w:type="character" w:customStyle="1" w:styleId="SalutationChar">
    <w:name w:val="Salutation Char"/>
    <w:basedOn w:val="DefaultParagraphFont"/>
    <w:link w:val="Salutation"/>
    <w:uiPriority w:val="99"/>
    <w:semiHidden/>
    <w:rsid w:val="00367110"/>
    <w:rPr>
      <w:rFonts w:ascii="ZapfCalligr BT" w:hAnsi="ZapfCalligr BT" w:cs="ZapfCalligr BT"/>
    </w:rPr>
  </w:style>
  <w:style w:type="paragraph" w:styleId="Signature">
    <w:name w:val="Signature"/>
    <w:basedOn w:val="Normal"/>
    <w:link w:val="SignatureChar"/>
    <w:uiPriority w:val="99"/>
    <w:semiHidden/>
    <w:unhideWhenUsed/>
    <w:locked/>
    <w:rsid w:val="00367110"/>
    <w:pPr>
      <w:ind w:left="4252"/>
    </w:pPr>
  </w:style>
  <w:style w:type="character" w:customStyle="1" w:styleId="SignatureChar">
    <w:name w:val="Signature Char"/>
    <w:basedOn w:val="DefaultParagraphFont"/>
    <w:link w:val="Signature"/>
    <w:uiPriority w:val="99"/>
    <w:semiHidden/>
    <w:rsid w:val="00367110"/>
    <w:rPr>
      <w:rFonts w:ascii="ZapfCalligr BT" w:hAnsi="ZapfCalligr BT" w:cs="ZapfCalligr BT"/>
    </w:rPr>
  </w:style>
  <w:style w:type="paragraph" w:styleId="Subtitle">
    <w:name w:val="Subtitle"/>
    <w:basedOn w:val="Normal"/>
    <w:next w:val="Normal"/>
    <w:link w:val="SubtitleChar"/>
    <w:uiPriority w:val="11"/>
    <w:qFormat/>
    <w:locked/>
    <w:rsid w:val="0036711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711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367110"/>
    <w:pPr>
      <w:ind w:left="220" w:hanging="220"/>
    </w:pPr>
  </w:style>
  <w:style w:type="paragraph" w:styleId="TableofFigures">
    <w:name w:val="table of figures"/>
    <w:basedOn w:val="Normal"/>
    <w:next w:val="Normal"/>
    <w:uiPriority w:val="99"/>
    <w:semiHidden/>
    <w:unhideWhenUsed/>
    <w:locked/>
    <w:rsid w:val="00367110"/>
  </w:style>
  <w:style w:type="paragraph" w:styleId="Title">
    <w:name w:val="Title"/>
    <w:basedOn w:val="Normal"/>
    <w:next w:val="Normal"/>
    <w:link w:val="TitleChar"/>
    <w:uiPriority w:val="10"/>
    <w:qFormat/>
    <w:locked/>
    <w:rsid w:val="003671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1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3671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367110"/>
    <w:pPr>
      <w:spacing w:after="100"/>
    </w:pPr>
  </w:style>
  <w:style w:type="paragraph" w:styleId="TOC2">
    <w:name w:val="toc 2"/>
    <w:basedOn w:val="Normal"/>
    <w:next w:val="Normal"/>
    <w:autoRedefine/>
    <w:uiPriority w:val="39"/>
    <w:semiHidden/>
    <w:unhideWhenUsed/>
    <w:locked/>
    <w:rsid w:val="00367110"/>
    <w:pPr>
      <w:spacing w:after="100"/>
      <w:ind w:left="220"/>
    </w:pPr>
  </w:style>
  <w:style w:type="paragraph" w:styleId="TOC3">
    <w:name w:val="toc 3"/>
    <w:basedOn w:val="Normal"/>
    <w:next w:val="Normal"/>
    <w:autoRedefine/>
    <w:uiPriority w:val="39"/>
    <w:semiHidden/>
    <w:unhideWhenUsed/>
    <w:locked/>
    <w:rsid w:val="00367110"/>
    <w:pPr>
      <w:spacing w:after="100"/>
      <w:ind w:left="440"/>
    </w:pPr>
  </w:style>
  <w:style w:type="paragraph" w:styleId="TOC4">
    <w:name w:val="toc 4"/>
    <w:basedOn w:val="Normal"/>
    <w:next w:val="Normal"/>
    <w:autoRedefine/>
    <w:uiPriority w:val="39"/>
    <w:semiHidden/>
    <w:unhideWhenUsed/>
    <w:locked/>
    <w:rsid w:val="00367110"/>
    <w:pPr>
      <w:spacing w:after="100"/>
      <w:ind w:left="660"/>
    </w:pPr>
  </w:style>
  <w:style w:type="paragraph" w:styleId="TOC5">
    <w:name w:val="toc 5"/>
    <w:basedOn w:val="Normal"/>
    <w:next w:val="Normal"/>
    <w:autoRedefine/>
    <w:uiPriority w:val="39"/>
    <w:semiHidden/>
    <w:unhideWhenUsed/>
    <w:locked/>
    <w:rsid w:val="00367110"/>
    <w:pPr>
      <w:spacing w:after="100"/>
      <w:ind w:left="880"/>
    </w:pPr>
  </w:style>
  <w:style w:type="paragraph" w:styleId="TOC6">
    <w:name w:val="toc 6"/>
    <w:basedOn w:val="Normal"/>
    <w:next w:val="Normal"/>
    <w:autoRedefine/>
    <w:uiPriority w:val="39"/>
    <w:semiHidden/>
    <w:unhideWhenUsed/>
    <w:locked/>
    <w:rsid w:val="00367110"/>
    <w:pPr>
      <w:spacing w:after="100"/>
      <w:ind w:left="1100"/>
    </w:pPr>
  </w:style>
  <w:style w:type="paragraph" w:styleId="TOC7">
    <w:name w:val="toc 7"/>
    <w:basedOn w:val="Normal"/>
    <w:next w:val="Normal"/>
    <w:autoRedefine/>
    <w:uiPriority w:val="39"/>
    <w:semiHidden/>
    <w:unhideWhenUsed/>
    <w:locked/>
    <w:rsid w:val="00367110"/>
    <w:pPr>
      <w:spacing w:after="100"/>
      <w:ind w:left="1320"/>
    </w:pPr>
  </w:style>
  <w:style w:type="paragraph" w:styleId="TOC8">
    <w:name w:val="toc 8"/>
    <w:basedOn w:val="Normal"/>
    <w:next w:val="Normal"/>
    <w:autoRedefine/>
    <w:uiPriority w:val="39"/>
    <w:semiHidden/>
    <w:unhideWhenUsed/>
    <w:locked/>
    <w:rsid w:val="00367110"/>
    <w:pPr>
      <w:spacing w:after="100"/>
      <w:ind w:left="1540"/>
    </w:pPr>
  </w:style>
  <w:style w:type="paragraph" w:styleId="TOC9">
    <w:name w:val="toc 9"/>
    <w:basedOn w:val="Normal"/>
    <w:next w:val="Normal"/>
    <w:autoRedefine/>
    <w:uiPriority w:val="39"/>
    <w:semiHidden/>
    <w:unhideWhenUsed/>
    <w:locked/>
    <w:rsid w:val="00367110"/>
    <w:pPr>
      <w:spacing w:after="100"/>
      <w:ind w:left="1760"/>
    </w:pPr>
  </w:style>
  <w:style w:type="paragraph" w:styleId="TOCHeading">
    <w:name w:val="TOC Heading"/>
    <w:basedOn w:val="Heading1"/>
    <w:next w:val="Normal"/>
    <w:uiPriority w:val="39"/>
    <w:semiHidden/>
    <w:unhideWhenUsed/>
    <w:qFormat/>
    <w:rsid w:val="0036711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89">
      <w:bodyDiv w:val="1"/>
      <w:marLeft w:val="0"/>
      <w:marRight w:val="0"/>
      <w:marTop w:val="0"/>
      <w:marBottom w:val="0"/>
      <w:divBdr>
        <w:top w:val="none" w:sz="0" w:space="0" w:color="auto"/>
        <w:left w:val="none" w:sz="0" w:space="0" w:color="auto"/>
        <w:bottom w:val="none" w:sz="0" w:space="0" w:color="auto"/>
        <w:right w:val="none" w:sz="0" w:space="0" w:color="auto"/>
      </w:divBdr>
    </w:div>
    <w:div w:id="8258184">
      <w:bodyDiv w:val="1"/>
      <w:marLeft w:val="0"/>
      <w:marRight w:val="0"/>
      <w:marTop w:val="0"/>
      <w:marBottom w:val="0"/>
      <w:divBdr>
        <w:top w:val="none" w:sz="0" w:space="0" w:color="auto"/>
        <w:left w:val="none" w:sz="0" w:space="0" w:color="auto"/>
        <w:bottom w:val="none" w:sz="0" w:space="0" w:color="auto"/>
        <w:right w:val="none" w:sz="0" w:space="0" w:color="auto"/>
      </w:divBdr>
    </w:div>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2404634">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47423903">
      <w:bodyDiv w:val="1"/>
      <w:marLeft w:val="0"/>
      <w:marRight w:val="0"/>
      <w:marTop w:val="0"/>
      <w:marBottom w:val="0"/>
      <w:divBdr>
        <w:top w:val="none" w:sz="0" w:space="0" w:color="auto"/>
        <w:left w:val="none" w:sz="0" w:space="0" w:color="auto"/>
        <w:bottom w:val="none" w:sz="0" w:space="0" w:color="auto"/>
        <w:right w:val="none" w:sz="0" w:space="0" w:color="auto"/>
      </w:divBdr>
      <w:divsChild>
        <w:div w:id="1920865832">
          <w:marLeft w:val="475"/>
          <w:marRight w:val="0"/>
          <w:marTop w:val="12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67268798">
      <w:bodyDiv w:val="1"/>
      <w:marLeft w:val="0"/>
      <w:marRight w:val="0"/>
      <w:marTop w:val="0"/>
      <w:marBottom w:val="0"/>
      <w:divBdr>
        <w:top w:val="none" w:sz="0" w:space="0" w:color="auto"/>
        <w:left w:val="none" w:sz="0" w:space="0" w:color="auto"/>
        <w:bottom w:val="none" w:sz="0" w:space="0" w:color="auto"/>
        <w:right w:val="none" w:sz="0" w:space="0" w:color="auto"/>
      </w:divBdr>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42118007">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592477569">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690375493">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06319117">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1009984965">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098136465">
      <w:bodyDiv w:val="1"/>
      <w:marLeft w:val="0"/>
      <w:marRight w:val="0"/>
      <w:marTop w:val="0"/>
      <w:marBottom w:val="0"/>
      <w:divBdr>
        <w:top w:val="none" w:sz="0" w:space="0" w:color="auto"/>
        <w:left w:val="none" w:sz="0" w:space="0" w:color="auto"/>
        <w:bottom w:val="none" w:sz="0" w:space="0" w:color="auto"/>
        <w:right w:val="none" w:sz="0" w:space="0" w:color="auto"/>
      </w:divBdr>
    </w:div>
    <w:div w:id="1136529322">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48686365">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4789591">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76850084">
      <w:bodyDiv w:val="1"/>
      <w:marLeft w:val="0"/>
      <w:marRight w:val="0"/>
      <w:marTop w:val="0"/>
      <w:marBottom w:val="0"/>
      <w:divBdr>
        <w:top w:val="none" w:sz="0" w:space="0" w:color="auto"/>
        <w:left w:val="none" w:sz="0" w:space="0" w:color="auto"/>
        <w:bottom w:val="none" w:sz="0" w:space="0" w:color="auto"/>
        <w:right w:val="none" w:sz="0" w:space="0" w:color="auto"/>
      </w:divBdr>
    </w:div>
    <w:div w:id="1386753027">
      <w:bodyDiv w:val="1"/>
      <w:marLeft w:val="0"/>
      <w:marRight w:val="0"/>
      <w:marTop w:val="0"/>
      <w:marBottom w:val="0"/>
      <w:divBdr>
        <w:top w:val="none" w:sz="0" w:space="0" w:color="auto"/>
        <w:left w:val="none" w:sz="0" w:space="0" w:color="auto"/>
        <w:bottom w:val="none" w:sz="0" w:space="0" w:color="auto"/>
        <w:right w:val="none" w:sz="0" w:space="0" w:color="auto"/>
      </w:divBdr>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2143031993">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109403163">
          <w:marLeft w:val="1166"/>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7267089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17619507">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62016192">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786195111">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1900438174">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16321267">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enquiries@kingfish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tat.banque-france.fr/en/browse.do?node=5384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BDFE-3592-4CC6-B228-58CDCDD9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8041</Words>
  <Characters>44118</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Cowley, Christian</cp:lastModifiedBy>
  <cp:revision>3</cp:revision>
  <cp:lastPrinted>2018-09-18T14:43:00Z</cp:lastPrinted>
  <dcterms:created xsi:type="dcterms:W3CDTF">2018-09-18T17:48:00Z</dcterms:created>
  <dcterms:modified xsi:type="dcterms:W3CDTF">2018-09-18T17:49:00Z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