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2791"/>
        <w:gridCol w:w="519"/>
        <w:gridCol w:w="1047"/>
        <w:gridCol w:w="1188"/>
        <w:gridCol w:w="937"/>
        <w:gridCol w:w="1114"/>
        <w:gridCol w:w="1114"/>
        <w:gridCol w:w="929"/>
      </w:tblGrid>
      <w:tr w:rsidR="00FC10AC" w:rsidRPr="00EF1091" w:rsidTr="001606EE">
        <w:trPr>
          <w:trHeight w:val="225"/>
        </w:trPr>
        <w:tc>
          <w:tcPr>
            <w:tcW w:w="3362" w:type="pct"/>
            <w:gridSpan w:val="5"/>
            <w:tcBorders>
              <w:top w:val="nil"/>
              <w:left w:val="nil"/>
              <w:bottom w:val="nil"/>
              <w:right w:val="nil"/>
            </w:tcBorders>
            <w:shd w:val="clear" w:color="auto" w:fill="auto"/>
            <w:vAlign w:val="bottom"/>
          </w:tcPr>
          <w:p w:rsidR="00FC10AC" w:rsidRPr="00EF1091" w:rsidRDefault="00FC10AC" w:rsidP="00FC10AC">
            <w:pPr>
              <w:rPr>
                <w:rFonts w:ascii="Arial" w:hAnsi="Arial" w:cs="Arial"/>
                <w:sz w:val="18"/>
                <w:szCs w:val="18"/>
              </w:rPr>
            </w:pPr>
            <w:r w:rsidRPr="00EF1091">
              <w:rPr>
                <w:rFonts w:ascii="Arial" w:hAnsi="Arial" w:cs="Arial"/>
                <w:b/>
                <w:sz w:val="18"/>
                <w:szCs w:val="18"/>
              </w:rPr>
              <w:t>Consolidated income statement</w:t>
            </w:r>
          </w:p>
        </w:tc>
        <w:tc>
          <w:tcPr>
            <w:tcW w:w="1638" w:type="pct"/>
            <w:gridSpan w:val="3"/>
            <w:tcBorders>
              <w:top w:val="nil"/>
              <w:left w:val="nil"/>
              <w:bottom w:val="nil"/>
              <w:right w:val="nil"/>
            </w:tcBorders>
            <w:shd w:val="clear" w:color="auto" w:fill="auto"/>
            <w:noWrap/>
            <w:vAlign w:val="bottom"/>
          </w:tcPr>
          <w:p w:rsidR="00FC10AC" w:rsidRPr="00EF1091" w:rsidRDefault="00FC10AC">
            <w:pPr>
              <w:jc w:val="right"/>
              <w:rPr>
                <w:rFonts w:ascii="Arial" w:hAnsi="Arial" w:cs="Arial"/>
                <w:sz w:val="18"/>
                <w:szCs w:val="18"/>
              </w:rPr>
            </w:pPr>
          </w:p>
        </w:tc>
      </w:tr>
      <w:tr w:rsidR="00FC10AC" w:rsidRPr="00EF1091" w:rsidTr="001606EE">
        <w:trPr>
          <w:trHeight w:val="225"/>
        </w:trPr>
        <w:tc>
          <w:tcPr>
            <w:tcW w:w="3362" w:type="pct"/>
            <w:gridSpan w:val="5"/>
            <w:tcBorders>
              <w:top w:val="nil"/>
              <w:left w:val="nil"/>
              <w:bottom w:val="nil"/>
              <w:right w:val="nil"/>
            </w:tcBorders>
            <w:shd w:val="clear" w:color="auto" w:fill="auto"/>
            <w:vAlign w:val="bottom"/>
          </w:tcPr>
          <w:p w:rsidR="00FC10AC" w:rsidRPr="00AE24A9" w:rsidRDefault="00E336D0" w:rsidP="00AB5777">
            <w:pPr>
              <w:rPr>
                <w:rFonts w:ascii="Arial" w:hAnsi="Arial" w:cs="Arial"/>
                <w:sz w:val="18"/>
                <w:szCs w:val="18"/>
              </w:rPr>
            </w:pPr>
            <w:r w:rsidRPr="00AE24A9">
              <w:rPr>
                <w:rFonts w:ascii="Arial" w:hAnsi="Arial" w:cs="Arial"/>
                <w:sz w:val="18"/>
                <w:szCs w:val="18"/>
              </w:rPr>
              <w:t>Y</w:t>
            </w:r>
            <w:r w:rsidR="00FC10AC" w:rsidRPr="00AE24A9">
              <w:rPr>
                <w:rFonts w:ascii="Arial" w:hAnsi="Arial" w:cs="Arial"/>
                <w:sz w:val="18"/>
                <w:szCs w:val="18"/>
              </w:rPr>
              <w:t xml:space="preserve">ear ended </w:t>
            </w:r>
            <w:r w:rsidR="00F25CDE">
              <w:rPr>
                <w:rFonts w:ascii="Arial" w:hAnsi="Arial" w:cs="Arial"/>
                <w:sz w:val="18"/>
                <w:szCs w:val="18"/>
              </w:rPr>
              <w:t>3</w:t>
            </w:r>
            <w:r w:rsidR="00FC37BE">
              <w:rPr>
                <w:rFonts w:ascii="Arial" w:hAnsi="Arial" w:cs="Arial"/>
                <w:sz w:val="18"/>
                <w:szCs w:val="18"/>
              </w:rPr>
              <w:t>1</w:t>
            </w:r>
            <w:r w:rsidR="00AB5777">
              <w:rPr>
                <w:rFonts w:ascii="Arial" w:hAnsi="Arial" w:cs="Arial"/>
                <w:sz w:val="18"/>
                <w:szCs w:val="18"/>
              </w:rPr>
              <w:t xml:space="preserve"> </w:t>
            </w:r>
            <w:r w:rsidR="00F25CDE">
              <w:rPr>
                <w:rFonts w:ascii="Arial" w:hAnsi="Arial" w:cs="Arial"/>
                <w:sz w:val="18"/>
                <w:szCs w:val="18"/>
              </w:rPr>
              <w:t>January</w:t>
            </w:r>
            <w:r w:rsidR="00AB5777">
              <w:rPr>
                <w:rFonts w:ascii="Arial" w:hAnsi="Arial" w:cs="Arial"/>
                <w:sz w:val="18"/>
                <w:szCs w:val="18"/>
              </w:rPr>
              <w:t xml:space="preserve"> </w:t>
            </w:r>
            <w:r w:rsidR="001A1B04">
              <w:rPr>
                <w:rFonts w:ascii="Arial" w:hAnsi="Arial" w:cs="Arial"/>
                <w:sz w:val="18"/>
                <w:szCs w:val="18"/>
              </w:rPr>
              <w:t>201</w:t>
            </w:r>
            <w:r w:rsidR="0011413D">
              <w:rPr>
                <w:rFonts w:ascii="Arial" w:hAnsi="Arial" w:cs="Arial"/>
                <w:sz w:val="18"/>
                <w:szCs w:val="18"/>
              </w:rPr>
              <w:t>8</w:t>
            </w:r>
          </w:p>
        </w:tc>
        <w:tc>
          <w:tcPr>
            <w:tcW w:w="1638" w:type="pct"/>
            <w:gridSpan w:val="3"/>
            <w:tcBorders>
              <w:top w:val="nil"/>
              <w:left w:val="nil"/>
              <w:bottom w:val="nil"/>
              <w:right w:val="nil"/>
            </w:tcBorders>
            <w:shd w:val="clear" w:color="auto" w:fill="auto"/>
            <w:noWrap/>
            <w:vAlign w:val="bottom"/>
          </w:tcPr>
          <w:p w:rsidR="00FC10AC" w:rsidRPr="00EF1091" w:rsidRDefault="00FC10AC">
            <w:pPr>
              <w:jc w:val="right"/>
              <w:rPr>
                <w:rFonts w:ascii="Arial" w:hAnsi="Arial" w:cs="Arial"/>
                <w:sz w:val="18"/>
                <w:szCs w:val="18"/>
              </w:rPr>
            </w:pPr>
          </w:p>
        </w:tc>
      </w:tr>
      <w:tr w:rsidR="00FC10AC" w:rsidRPr="00EF1091" w:rsidTr="001606EE">
        <w:trPr>
          <w:trHeight w:val="225"/>
        </w:trPr>
        <w:tc>
          <w:tcPr>
            <w:tcW w:w="1448" w:type="pct"/>
            <w:tcBorders>
              <w:top w:val="nil"/>
              <w:left w:val="nil"/>
              <w:bottom w:val="nil"/>
              <w:right w:val="nil"/>
            </w:tcBorders>
            <w:shd w:val="clear" w:color="auto" w:fill="auto"/>
            <w:vAlign w:val="bottom"/>
          </w:tcPr>
          <w:p w:rsidR="00FC10AC" w:rsidRPr="00EF1091" w:rsidRDefault="00FC10AC">
            <w:pPr>
              <w:rPr>
                <w:rFonts w:ascii="Arial" w:hAnsi="Arial" w:cs="Arial"/>
                <w:sz w:val="18"/>
                <w:szCs w:val="18"/>
              </w:rPr>
            </w:pPr>
          </w:p>
        </w:tc>
        <w:tc>
          <w:tcPr>
            <w:tcW w:w="269" w:type="pct"/>
            <w:tcBorders>
              <w:top w:val="nil"/>
              <w:left w:val="nil"/>
              <w:bottom w:val="nil"/>
              <w:right w:val="nil"/>
            </w:tcBorders>
            <w:shd w:val="clear" w:color="auto" w:fill="auto"/>
            <w:noWrap/>
            <w:vAlign w:val="bottom"/>
          </w:tcPr>
          <w:p w:rsidR="00FC10AC" w:rsidRPr="00EF1091" w:rsidRDefault="00FC10AC">
            <w:pPr>
              <w:jc w:val="center"/>
              <w:rPr>
                <w:rFonts w:ascii="Arial" w:hAnsi="Arial" w:cs="Arial"/>
                <w:sz w:val="18"/>
                <w:szCs w:val="18"/>
              </w:rPr>
            </w:pPr>
          </w:p>
        </w:tc>
        <w:tc>
          <w:tcPr>
            <w:tcW w:w="1645" w:type="pct"/>
            <w:gridSpan w:val="3"/>
            <w:tcBorders>
              <w:top w:val="nil"/>
              <w:left w:val="nil"/>
              <w:right w:val="nil"/>
            </w:tcBorders>
            <w:shd w:val="clear" w:color="auto" w:fill="auto"/>
            <w:noWrap/>
            <w:vAlign w:val="bottom"/>
          </w:tcPr>
          <w:p w:rsidR="00FC10AC" w:rsidRPr="00EF1091" w:rsidRDefault="00FC10AC">
            <w:pPr>
              <w:jc w:val="right"/>
              <w:rPr>
                <w:rFonts w:ascii="Arial" w:hAnsi="Arial" w:cs="Arial"/>
                <w:sz w:val="18"/>
                <w:szCs w:val="18"/>
              </w:rPr>
            </w:pPr>
          </w:p>
        </w:tc>
        <w:tc>
          <w:tcPr>
            <w:tcW w:w="1638" w:type="pct"/>
            <w:gridSpan w:val="3"/>
            <w:tcBorders>
              <w:top w:val="nil"/>
              <w:left w:val="nil"/>
              <w:right w:val="nil"/>
            </w:tcBorders>
            <w:shd w:val="clear" w:color="auto" w:fill="auto"/>
            <w:noWrap/>
            <w:vAlign w:val="bottom"/>
          </w:tcPr>
          <w:p w:rsidR="00FC10AC" w:rsidRPr="00EF1091" w:rsidRDefault="00FC10AC" w:rsidP="007037C1">
            <w:pPr>
              <w:ind w:right="92"/>
              <w:jc w:val="right"/>
              <w:rPr>
                <w:rFonts w:ascii="Arial" w:hAnsi="Arial" w:cs="Arial"/>
                <w:sz w:val="18"/>
                <w:szCs w:val="18"/>
              </w:rPr>
            </w:pPr>
          </w:p>
        </w:tc>
      </w:tr>
      <w:tr w:rsidR="00C43AE3" w:rsidRPr="00281AF4" w:rsidTr="001606EE">
        <w:trPr>
          <w:trHeight w:val="225"/>
        </w:trPr>
        <w:tc>
          <w:tcPr>
            <w:tcW w:w="1448" w:type="pct"/>
            <w:tcBorders>
              <w:top w:val="nil"/>
              <w:left w:val="nil"/>
              <w:bottom w:val="nil"/>
              <w:right w:val="nil"/>
            </w:tcBorders>
            <w:shd w:val="clear" w:color="auto" w:fill="auto"/>
            <w:vAlign w:val="bottom"/>
          </w:tcPr>
          <w:p w:rsidR="00C43AE3" w:rsidRPr="00D83C7E" w:rsidRDefault="00C43AE3" w:rsidP="00D83C7E">
            <w:pPr>
              <w:rPr>
                <w:rFonts w:ascii="Arial" w:hAnsi="Arial" w:cs="Arial"/>
                <w:sz w:val="18"/>
                <w:szCs w:val="18"/>
              </w:rPr>
            </w:pPr>
          </w:p>
        </w:tc>
        <w:tc>
          <w:tcPr>
            <w:tcW w:w="269" w:type="pct"/>
            <w:tcBorders>
              <w:top w:val="nil"/>
              <w:left w:val="nil"/>
              <w:bottom w:val="nil"/>
              <w:right w:val="nil"/>
            </w:tcBorders>
            <w:shd w:val="clear" w:color="auto" w:fill="auto"/>
            <w:noWrap/>
            <w:vAlign w:val="bottom"/>
          </w:tcPr>
          <w:p w:rsidR="00C43AE3" w:rsidRPr="00D83C7E" w:rsidRDefault="00C43AE3" w:rsidP="00D83C7E">
            <w:pPr>
              <w:rPr>
                <w:rFonts w:ascii="Arial" w:hAnsi="Arial" w:cs="Arial"/>
                <w:sz w:val="18"/>
                <w:szCs w:val="18"/>
              </w:rPr>
            </w:pPr>
          </w:p>
        </w:tc>
        <w:tc>
          <w:tcPr>
            <w:tcW w:w="543" w:type="pct"/>
            <w:tcBorders>
              <w:top w:val="nil"/>
              <w:left w:val="nil"/>
              <w:bottom w:val="single" w:sz="4" w:space="0" w:color="auto"/>
              <w:right w:val="nil"/>
            </w:tcBorders>
            <w:shd w:val="clear" w:color="auto" w:fill="auto"/>
            <w:noWrap/>
            <w:vAlign w:val="bottom"/>
          </w:tcPr>
          <w:p w:rsidR="00C43AE3" w:rsidRPr="00D83C7E" w:rsidRDefault="00C43AE3" w:rsidP="001131B4">
            <w:pPr>
              <w:ind w:right="92"/>
              <w:jc w:val="right"/>
              <w:rPr>
                <w:rFonts w:ascii="Arial" w:hAnsi="Arial" w:cs="Arial"/>
                <w:sz w:val="18"/>
                <w:szCs w:val="18"/>
              </w:rPr>
            </w:pPr>
          </w:p>
        </w:tc>
        <w:tc>
          <w:tcPr>
            <w:tcW w:w="616" w:type="pct"/>
            <w:tcBorders>
              <w:top w:val="nil"/>
              <w:left w:val="nil"/>
              <w:bottom w:val="single" w:sz="4" w:space="0" w:color="auto"/>
              <w:right w:val="nil"/>
            </w:tcBorders>
            <w:shd w:val="clear" w:color="auto" w:fill="auto"/>
            <w:noWrap/>
            <w:vAlign w:val="bottom"/>
          </w:tcPr>
          <w:p w:rsidR="00C43AE3" w:rsidRPr="00D83C7E" w:rsidRDefault="00C43AE3" w:rsidP="001131B4">
            <w:pPr>
              <w:ind w:right="92"/>
              <w:jc w:val="right"/>
              <w:rPr>
                <w:rFonts w:ascii="Arial" w:hAnsi="Arial" w:cs="Arial"/>
                <w:sz w:val="18"/>
                <w:szCs w:val="18"/>
              </w:rPr>
            </w:pPr>
          </w:p>
        </w:tc>
        <w:tc>
          <w:tcPr>
            <w:tcW w:w="486" w:type="pct"/>
            <w:tcBorders>
              <w:top w:val="nil"/>
              <w:left w:val="nil"/>
              <w:bottom w:val="single" w:sz="4" w:space="0" w:color="auto"/>
              <w:right w:val="nil"/>
            </w:tcBorders>
            <w:shd w:val="clear" w:color="auto" w:fill="auto"/>
            <w:noWrap/>
            <w:vAlign w:val="bottom"/>
          </w:tcPr>
          <w:p w:rsidR="00C43AE3" w:rsidRPr="00D83C7E" w:rsidRDefault="00C43AE3" w:rsidP="00512EED">
            <w:pPr>
              <w:ind w:right="92"/>
              <w:jc w:val="right"/>
              <w:rPr>
                <w:rFonts w:ascii="Arial" w:hAnsi="Arial" w:cs="Arial"/>
                <w:sz w:val="18"/>
                <w:szCs w:val="18"/>
              </w:rPr>
            </w:pPr>
            <w:r w:rsidRPr="00D83C7E">
              <w:rPr>
                <w:rFonts w:ascii="Arial" w:hAnsi="Arial" w:cs="Arial"/>
                <w:sz w:val="18"/>
                <w:szCs w:val="18"/>
              </w:rPr>
              <w:t>20</w:t>
            </w:r>
            <w:r>
              <w:rPr>
                <w:rFonts w:ascii="Arial" w:hAnsi="Arial" w:cs="Arial"/>
                <w:sz w:val="18"/>
                <w:szCs w:val="18"/>
              </w:rPr>
              <w:t>1</w:t>
            </w:r>
            <w:r w:rsidR="0011413D">
              <w:rPr>
                <w:rFonts w:ascii="Arial" w:hAnsi="Arial" w:cs="Arial"/>
                <w:sz w:val="18"/>
                <w:szCs w:val="18"/>
              </w:rPr>
              <w:t>7</w:t>
            </w:r>
            <w:r>
              <w:rPr>
                <w:rFonts w:ascii="Arial" w:hAnsi="Arial" w:cs="Arial"/>
                <w:sz w:val="18"/>
                <w:szCs w:val="18"/>
              </w:rPr>
              <w:t>/1</w:t>
            </w:r>
            <w:r w:rsidR="0011413D">
              <w:rPr>
                <w:rFonts w:ascii="Arial" w:hAnsi="Arial" w:cs="Arial"/>
                <w:sz w:val="18"/>
                <w:szCs w:val="18"/>
              </w:rPr>
              <w:t>8</w:t>
            </w:r>
          </w:p>
        </w:tc>
        <w:tc>
          <w:tcPr>
            <w:tcW w:w="1638" w:type="pct"/>
            <w:gridSpan w:val="3"/>
            <w:tcBorders>
              <w:top w:val="nil"/>
              <w:left w:val="nil"/>
              <w:bottom w:val="single" w:sz="4" w:space="0" w:color="auto"/>
              <w:right w:val="nil"/>
            </w:tcBorders>
            <w:shd w:val="clear" w:color="auto" w:fill="auto"/>
            <w:noWrap/>
            <w:vAlign w:val="bottom"/>
          </w:tcPr>
          <w:p w:rsidR="00C43AE3" w:rsidRPr="00281AF4" w:rsidRDefault="000864B4" w:rsidP="00512EED">
            <w:pPr>
              <w:ind w:right="92"/>
              <w:jc w:val="right"/>
              <w:rPr>
                <w:rFonts w:ascii="Arial" w:hAnsi="Arial" w:cs="Arial"/>
                <w:sz w:val="18"/>
                <w:szCs w:val="18"/>
              </w:rPr>
            </w:pPr>
            <w:r w:rsidRPr="00D83C7E">
              <w:rPr>
                <w:rFonts w:ascii="Arial" w:hAnsi="Arial" w:cs="Arial"/>
                <w:sz w:val="18"/>
                <w:szCs w:val="18"/>
              </w:rPr>
              <w:t>20</w:t>
            </w:r>
            <w:r w:rsidR="0011413D">
              <w:rPr>
                <w:rFonts w:ascii="Arial" w:hAnsi="Arial" w:cs="Arial"/>
                <w:sz w:val="18"/>
                <w:szCs w:val="18"/>
              </w:rPr>
              <w:t>16</w:t>
            </w:r>
            <w:r>
              <w:rPr>
                <w:rFonts w:ascii="Arial" w:hAnsi="Arial" w:cs="Arial"/>
                <w:sz w:val="18"/>
                <w:szCs w:val="18"/>
              </w:rPr>
              <w:t>/1</w:t>
            </w:r>
            <w:r w:rsidR="0011413D">
              <w:rPr>
                <w:rFonts w:ascii="Arial" w:hAnsi="Arial" w:cs="Arial"/>
                <w:sz w:val="18"/>
                <w:szCs w:val="18"/>
              </w:rPr>
              <w:t>7</w:t>
            </w:r>
          </w:p>
        </w:tc>
      </w:tr>
      <w:tr w:rsidR="00D83C7E" w:rsidRPr="00D83C7E" w:rsidTr="001606EE">
        <w:trPr>
          <w:trHeight w:val="225"/>
        </w:trPr>
        <w:tc>
          <w:tcPr>
            <w:tcW w:w="1448" w:type="pct"/>
            <w:tcBorders>
              <w:top w:val="nil"/>
              <w:left w:val="nil"/>
              <w:bottom w:val="nil"/>
              <w:right w:val="nil"/>
            </w:tcBorders>
            <w:shd w:val="clear" w:color="auto" w:fill="auto"/>
            <w:vAlign w:val="bottom"/>
          </w:tcPr>
          <w:p w:rsidR="00D83C7E" w:rsidRPr="00D83C7E" w:rsidRDefault="00D83C7E">
            <w:pPr>
              <w:rPr>
                <w:rFonts w:ascii="Arial" w:hAnsi="Arial" w:cs="Arial"/>
                <w:sz w:val="18"/>
                <w:szCs w:val="18"/>
              </w:rPr>
            </w:pPr>
          </w:p>
        </w:tc>
        <w:tc>
          <w:tcPr>
            <w:tcW w:w="269" w:type="pct"/>
            <w:tcBorders>
              <w:top w:val="nil"/>
              <w:left w:val="nil"/>
              <w:bottom w:val="nil"/>
              <w:right w:val="nil"/>
            </w:tcBorders>
            <w:shd w:val="clear" w:color="auto" w:fill="auto"/>
            <w:noWrap/>
            <w:vAlign w:val="bottom"/>
          </w:tcPr>
          <w:p w:rsidR="00D83C7E" w:rsidRPr="00D83C7E" w:rsidRDefault="00D83C7E">
            <w:pPr>
              <w:jc w:val="center"/>
              <w:rPr>
                <w:rFonts w:ascii="Arial" w:hAnsi="Arial" w:cs="Arial"/>
                <w:sz w:val="18"/>
                <w:szCs w:val="18"/>
              </w:rPr>
            </w:pPr>
          </w:p>
        </w:tc>
        <w:tc>
          <w:tcPr>
            <w:tcW w:w="543" w:type="pct"/>
            <w:tcBorders>
              <w:top w:val="single" w:sz="4" w:space="0" w:color="auto"/>
              <w:left w:val="nil"/>
              <w:bottom w:val="nil"/>
              <w:right w:val="nil"/>
            </w:tcBorders>
            <w:shd w:val="clear" w:color="auto" w:fill="auto"/>
            <w:noWrap/>
            <w:vAlign w:val="bottom"/>
          </w:tcPr>
          <w:p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Before</w:t>
            </w:r>
          </w:p>
        </w:tc>
        <w:tc>
          <w:tcPr>
            <w:tcW w:w="616" w:type="pct"/>
            <w:tcBorders>
              <w:top w:val="single" w:sz="4" w:space="0" w:color="auto"/>
              <w:left w:val="nil"/>
              <w:bottom w:val="nil"/>
              <w:right w:val="nil"/>
            </w:tcBorders>
            <w:shd w:val="clear" w:color="auto" w:fill="auto"/>
            <w:noWrap/>
            <w:vAlign w:val="bottom"/>
          </w:tcPr>
          <w:p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Exceptional</w:t>
            </w:r>
          </w:p>
        </w:tc>
        <w:tc>
          <w:tcPr>
            <w:tcW w:w="486" w:type="pct"/>
            <w:tcBorders>
              <w:top w:val="single" w:sz="4" w:space="0" w:color="auto"/>
              <w:left w:val="nil"/>
              <w:bottom w:val="nil"/>
              <w:right w:val="nil"/>
            </w:tcBorders>
            <w:shd w:val="clear" w:color="auto" w:fill="auto"/>
            <w:noWrap/>
            <w:vAlign w:val="bottom"/>
          </w:tcPr>
          <w:p w:rsidR="00D83C7E" w:rsidRPr="00D83C7E" w:rsidRDefault="00D83C7E" w:rsidP="00FC10AC">
            <w:pPr>
              <w:ind w:right="92"/>
              <w:jc w:val="right"/>
              <w:rPr>
                <w:rFonts w:ascii="Arial" w:hAnsi="Arial" w:cs="Arial"/>
                <w:sz w:val="18"/>
                <w:szCs w:val="18"/>
              </w:rPr>
            </w:pPr>
          </w:p>
        </w:tc>
        <w:tc>
          <w:tcPr>
            <w:tcW w:w="578" w:type="pct"/>
            <w:tcBorders>
              <w:top w:val="single" w:sz="4" w:space="0" w:color="auto"/>
              <w:left w:val="nil"/>
              <w:bottom w:val="nil"/>
              <w:right w:val="nil"/>
            </w:tcBorders>
            <w:shd w:val="clear" w:color="auto" w:fill="auto"/>
            <w:noWrap/>
            <w:vAlign w:val="bottom"/>
          </w:tcPr>
          <w:p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Before</w:t>
            </w:r>
          </w:p>
        </w:tc>
        <w:tc>
          <w:tcPr>
            <w:tcW w:w="578" w:type="pct"/>
            <w:tcBorders>
              <w:top w:val="single" w:sz="4" w:space="0" w:color="auto"/>
              <w:left w:val="nil"/>
              <w:bottom w:val="nil"/>
              <w:right w:val="nil"/>
            </w:tcBorders>
            <w:shd w:val="clear" w:color="auto" w:fill="auto"/>
            <w:noWrap/>
            <w:vAlign w:val="bottom"/>
          </w:tcPr>
          <w:p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Exceptional</w:t>
            </w:r>
          </w:p>
        </w:tc>
        <w:tc>
          <w:tcPr>
            <w:tcW w:w="482" w:type="pct"/>
            <w:tcBorders>
              <w:top w:val="single" w:sz="4" w:space="0" w:color="auto"/>
              <w:left w:val="nil"/>
              <w:bottom w:val="nil"/>
              <w:right w:val="nil"/>
            </w:tcBorders>
            <w:shd w:val="clear" w:color="auto" w:fill="auto"/>
            <w:noWrap/>
            <w:vAlign w:val="bottom"/>
          </w:tcPr>
          <w:p w:rsidR="00D83C7E" w:rsidRPr="00D83C7E" w:rsidRDefault="00D83C7E" w:rsidP="00FC10AC">
            <w:pPr>
              <w:ind w:right="92"/>
              <w:jc w:val="right"/>
              <w:rPr>
                <w:rFonts w:ascii="Arial" w:hAnsi="Arial" w:cs="Arial"/>
                <w:sz w:val="18"/>
                <w:szCs w:val="18"/>
              </w:rPr>
            </w:pPr>
          </w:p>
        </w:tc>
      </w:tr>
      <w:tr w:rsidR="00D83C7E" w:rsidRPr="00D83C7E" w:rsidTr="001606EE">
        <w:trPr>
          <w:trHeight w:val="225"/>
        </w:trPr>
        <w:tc>
          <w:tcPr>
            <w:tcW w:w="1448" w:type="pct"/>
            <w:tcBorders>
              <w:top w:val="nil"/>
              <w:left w:val="nil"/>
              <w:right w:val="nil"/>
            </w:tcBorders>
            <w:shd w:val="clear" w:color="auto" w:fill="auto"/>
            <w:vAlign w:val="bottom"/>
          </w:tcPr>
          <w:p w:rsidR="00D83C7E" w:rsidRPr="00D83C7E" w:rsidRDefault="00D83C7E">
            <w:pPr>
              <w:rPr>
                <w:rFonts w:ascii="Arial" w:hAnsi="Arial" w:cs="Arial"/>
                <w:sz w:val="18"/>
                <w:szCs w:val="18"/>
              </w:rPr>
            </w:pPr>
          </w:p>
        </w:tc>
        <w:tc>
          <w:tcPr>
            <w:tcW w:w="269" w:type="pct"/>
            <w:tcBorders>
              <w:top w:val="nil"/>
              <w:left w:val="nil"/>
              <w:right w:val="nil"/>
            </w:tcBorders>
            <w:shd w:val="clear" w:color="auto" w:fill="auto"/>
            <w:noWrap/>
            <w:vAlign w:val="bottom"/>
          </w:tcPr>
          <w:p w:rsidR="00D83C7E" w:rsidRPr="00D83C7E" w:rsidRDefault="00D83C7E">
            <w:pPr>
              <w:jc w:val="center"/>
              <w:rPr>
                <w:rFonts w:ascii="Arial" w:hAnsi="Arial" w:cs="Arial"/>
                <w:sz w:val="18"/>
                <w:szCs w:val="18"/>
              </w:rPr>
            </w:pPr>
          </w:p>
        </w:tc>
        <w:tc>
          <w:tcPr>
            <w:tcW w:w="543" w:type="pct"/>
            <w:tcBorders>
              <w:top w:val="nil"/>
              <w:left w:val="nil"/>
              <w:right w:val="nil"/>
            </w:tcBorders>
            <w:shd w:val="clear" w:color="auto" w:fill="auto"/>
            <w:noWrap/>
            <w:vAlign w:val="bottom"/>
          </w:tcPr>
          <w:p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exceptional</w:t>
            </w:r>
          </w:p>
        </w:tc>
        <w:tc>
          <w:tcPr>
            <w:tcW w:w="616" w:type="pct"/>
            <w:tcBorders>
              <w:top w:val="nil"/>
              <w:left w:val="nil"/>
              <w:right w:val="nil"/>
            </w:tcBorders>
            <w:shd w:val="clear" w:color="auto" w:fill="auto"/>
            <w:vAlign w:val="bottom"/>
          </w:tcPr>
          <w:p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items</w:t>
            </w:r>
          </w:p>
        </w:tc>
        <w:tc>
          <w:tcPr>
            <w:tcW w:w="486" w:type="pct"/>
            <w:tcBorders>
              <w:top w:val="nil"/>
              <w:left w:val="nil"/>
              <w:right w:val="nil"/>
            </w:tcBorders>
            <w:shd w:val="clear" w:color="auto" w:fill="auto"/>
            <w:noWrap/>
            <w:vAlign w:val="bottom"/>
          </w:tcPr>
          <w:p w:rsidR="00D83C7E" w:rsidRPr="00D83C7E" w:rsidRDefault="00D83C7E" w:rsidP="00FC10AC">
            <w:pPr>
              <w:ind w:right="92"/>
              <w:jc w:val="right"/>
              <w:rPr>
                <w:rFonts w:ascii="Arial" w:hAnsi="Arial" w:cs="Arial"/>
                <w:sz w:val="18"/>
                <w:szCs w:val="18"/>
              </w:rPr>
            </w:pPr>
          </w:p>
        </w:tc>
        <w:tc>
          <w:tcPr>
            <w:tcW w:w="578" w:type="pct"/>
            <w:tcBorders>
              <w:top w:val="nil"/>
              <w:left w:val="nil"/>
              <w:right w:val="nil"/>
            </w:tcBorders>
            <w:shd w:val="clear" w:color="auto" w:fill="auto"/>
            <w:noWrap/>
            <w:vAlign w:val="bottom"/>
          </w:tcPr>
          <w:p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exceptional</w:t>
            </w:r>
          </w:p>
        </w:tc>
        <w:tc>
          <w:tcPr>
            <w:tcW w:w="578" w:type="pct"/>
            <w:tcBorders>
              <w:top w:val="nil"/>
              <w:left w:val="nil"/>
              <w:right w:val="nil"/>
            </w:tcBorders>
            <w:shd w:val="clear" w:color="auto" w:fill="auto"/>
            <w:vAlign w:val="bottom"/>
          </w:tcPr>
          <w:p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items</w:t>
            </w:r>
          </w:p>
        </w:tc>
        <w:tc>
          <w:tcPr>
            <w:tcW w:w="482" w:type="pct"/>
            <w:tcBorders>
              <w:top w:val="nil"/>
              <w:left w:val="nil"/>
              <w:right w:val="nil"/>
            </w:tcBorders>
            <w:shd w:val="clear" w:color="auto" w:fill="auto"/>
            <w:noWrap/>
            <w:vAlign w:val="bottom"/>
          </w:tcPr>
          <w:p w:rsidR="00D83C7E" w:rsidRPr="00D83C7E" w:rsidRDefault="00D83C7E" w:rsidP="00FC10AC">
            <w:pPr>
              <w:ind w:right="92"/>
              <w:jc w:val="right"/>
              <w:rPr>
                <w:rFonts w:ascii="Arial" w:hAnsi="Arial" w:cs="Arial"/>
                <w:sz w:val="18"/>
                <w:szCs w:val="18"/>
              </w:rPr>
            </w:pPr>
          </w:p>
        </w:tc>
      </w:tr>
      <w:tr w:rsidR="00D83C7E" w:rsidRPr="00D83C7E" w:rsidTr="001606EE">
        <w:trPr>
          <w:trHeight w:val="225"/>
        </w:trPr>
        <w:tc>
          <w:tcPr>
            <w:tcW w:w="1448" w:type="pct"/>
            <w:tcBorders>
              <w:top w:val="nil"/>
              <w:left w:val="nil"/>
              <w:bottom w:val="single" w:sz="4" w:space="0" w:color="auto"/>
              <w:right w:val="nil"/>
            </w:tcBorders>
            <w:shd w:val="clear" w:color="auto" w:fill="auto"/>
            <w:vAlign w:val="bottom"/>
          </w:tcPr>
          <w:p w:rsidR="00D83C7E" w:rsidRPr="00D83C7E" w:rsidRDefault="00D83C7E">
            <w:pPr>
              <w:rPr>
                <w:rFonts w:ascii="Arial" w:hAnsi="Arial" w:cs="Arial"/>
                <w:sz w:val="18"/>
                <w:szCs w:val="18"/>
              </w:rPr>
            </w:pPr>
            <w:r w:rsidRPr="00D83C7E">
              <w:rPr>
                <w:rFonts w:ascii="Arial" w:hAnsi="Arial" w:cs="Arial"/>
                <w:sz w:val="18"/>
                <w:szCs w:val="18"/>
              </w:rPr>
              <w:t>£ millions</w:t>
            </w:r>
          </w:p>
        </w:tc>
        <w:tc>
          <w:tcPr>
            <w:tcW w:w="269" w:type="pct"/>
            <w:tcBorders>
              <w:top w:val="nil"/>
              <w:left w:val="nil"/>
              <w:bottom w:val="single" w:sz="4" w:space="0" w:color="auto"/>
              <w:right w:val="nil"/>
            </w:tcBorders>
            <w:shd w:val="clear" w:color="auto" w:fill="auto"/>
            <w:noWrap/>
            <w:vAlign w:val="bottom"/>
          </w:tcPr>
          <w:p w:rsidR="00D83C7E" w:rsidRPr="00D83C7E" w:rsidRDefault="00D83C7E" w:rsidP="00BB47E5">
            <w:pPr>
              <w:jc w:val="center"/>
              <w:rPr>
                <w:rFonts w:ascii="Arial" w:hAnsi="Arial" w:cs="Arial"/>
                <w:sz w:val="18"/>
                <w:szCs w:val="18"/>
              </w:rPr>
            </w:pPr>
            <w:r w:rsidRPr="00D83C7E">
              <w:rPr>
                <w:rFonts w:ascii="Arial" w:hAnsi="Arial" w:cs="Arial"/>
                <w:sz w:val="18"/>
                <w:szCs w:val="18"/>
              </w:rPr>
              <w:t>Notes</w:t>
            </w:r>
          </w:p>
        </w:tc>
        <w:tc>
          <w:tcPr>
            <w:tcW w:w="543" w:type="pct"/>
            <w:tcBorders>
              <w:top w:val="nil"/>
              <w:left w:val="nil"/>
              <w:bottom w:val="single" w:sz="4" w:space="0" w:color="auto"/>
              <w:right w:val="nil"/>
            </w:tcBorders>
            <w:shd w:val="clear" w:color="auto" w:fill="auto"/>
            <w:vAlign w:val="bottom"/>
          </w:tcPr>
          <w:p w:rsidR="00D83C7E" w:rsidRPr="00D83C7E" w:rsidRDefault="006F6EDE" w:rsidP="00FC10AC">
            <w:pPr>
              <w:ind w:right="92"/>
              <w:jc w:val="right"/>
              <w:rPr>
                <w:rFonts w:ascii="Arial" w:hAnsi="Arial" w:cs="Arial"/>
                <w:sz w:val="18"/>
                <w:szCs w:val="18"/>
              </w:rPr>
            </w:pPr>
            <w:r>
              <w:rPr>
                <w:rFonts w:ascii="Arial" w:hAnsi="Arial" w:cs="Arial"/>
                <w:sz w:val="18"/>
                <w:szCs w:val="18"/>
              </w:rPr>
              <w:t>i</w:t>
            </w:r>
            <w:r w:rsidR="00D83C7E" w:rsidRPr="00D83C7E">
              <w:rPr>
                <w:rFonts w:ascii="Arial" w:hAnsi="Arial" w:cs="Arial"/>
                <w:sz w:val="18"/>
                <w:szCs w:val="18"/>
              </w:rPr>
              <w:t>tems</w:t>
            </w:r>
          </w:p>
        </w:tc>
        <w:tc>
          <w:tcPr>
            <w:tcW w:w="616" w:type="pct"/>
            <w:tcBorders>
              <w:top w:val="nil"/>
              <w:left w:val="nil"/>
              <w:bottom w:val="single" w:sz="4" w:space="0" w:color="auto"/>
              <w:right w:val="nil"/>
            </w:tcBorders>
            <w:shd w:val="clear" w:color="auto" w:fill="auto"/>
            <w:vAlign w:val="bottom"/>
          </w:tcPr>
          <w:p w:rsidR="00D83C7E" w:rsidRPr="00D83C7E" w:rsidRDefault="00CD516C" w:rsidP="00FC10AC">
            <w:pPr>
              <w:ind w:right="92"/>
              <w:jc w:val="right"/>
              <w:rPr>
                <w:rFonts w:ascii="Arial" w:hAnsi="Arial" w:cs="Arial"/>
                <w:sz w:val="18"/>
                <w:szCs w:val="18"/>
              </w:rPr>
            </w:pPr>
            <w:r>
              <w:rPr>
                <w:rFonts w:ascii="Arial" w:hAnsi="Arial" w:cs="Arial"/>
                <w:sz w:val="18"/>
                <w:szCs w:val="18"/>
              </w:rPr>
              <w:t>(note 4</w:t>
            </w:r>
            <w:r w:rsidR="00D83C7E" w:rsidRPr="00D83C7E">
              <w:rPr>
                <w:rFonts w:ascii="Arial" w:hAnsi="Arial" w:cs="Arial"/>
                <w:sz w:val="18"/>
                <w:szCs w:val="18"/>
              </w:rPr>
              <w:t>)</w:t>
            </w:r>
          </w:p>
        </w:tc>
        <w:tc>
          <w:tcPr>
            <w:tcW w:w="486" w:type="pct"/>
            <w:tcBorders>
              <w:top w:val="nil"/>
              <w:left w:val="nil"/>
              <w:bottom w:val="single" w:sz="4" w:space="0" w:color="auto"/>
              <w:right w:val="nil"/>
            </w:tcBorders>
            <w:shd w:val="clear" w:color="auto" w:fill="auto"/>
            <w:vAlign w:val="bottom"/>
          </w:tcPr>
          <w:p w:rsidR="00D83C7E" w:rsidRPr="00D83C7E" w:rsidRDefault="00F87634" w:rsidP="00FC10AC">
            <w:pPr>
              <w:ind w:right="92"/>
              <w:jc w:val="right"/>
              <w:rPr>
                <w:rFonts w:ascii="Arial" w:hAnsi="Arial" w:cs="Arial"/>
                <w:sz w:val="18"/>
                <w:szCs w:val="18"/>
              </w:rPr>
            </w:pPr>
            <w:r w:rsidRPr="00D83C7E">
              <w:rPr>
                <w:rFonts w:ascii="Arial" w:hAnsi="Arial" w:cs="Arial"/>
                <w:sz w:val="18"/>
                <w:szCs w:val="18"/>
              </w:rPr>
              <w:t>Total</w:t>
            </w:r>
          </w:p>
        </w:tc>
        <w:tc>
          <w:tcPr>
            <w:tcW w:w="578" w:type="pct"/>
            <w:tcBorders>
              <w:top w:val="nil"/>
              <w:left w:val="nil"/>
              <w:bottom w:val="single" w:sz="4" w:space="0" w:color="auto"/>
              <w:right w:val="nil"/>
            </w:tcBorders>
            <w:shd w:val="clear" w:color="auto" w:fill="auto"/>
            <w:vAlign w:val="bottom"/>
          </w:tcPr>
          <w:p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items</w:t>
            </w:r>
          </w:p>
        </w:tc>
        <w:tc>
          <w:tcPr>
            <w:tcW w:w="578" w:type="pct"/>
            <w:tcBorders>
              <w:top w:val="nil"/>
              <w:left w:val="nil"/>
              <w:bottom w:val="single" w:sz="4" w:space="0" w:color="auto"/>
              <w:right w:val="nil"/>
            </w:tcBorders>
            <w:shd w:val="clear" w:color="auto" w:fill="auto"/>
            <w:vAlign w:val="bottom"/>
          </w:tcPr>
          <w:p w:rsidR="00D83C7E" w:rsidRPr="00D83C7E" w:rsidRDefault="00CD516C" w:rsidP="00FC10AC">
            <w:pPr>
              <w:ind w:right="92"/>
              <w:jc w:val="right"/>
              <w:rPr>
                <w:rFonts w:ascii="Arial" w:hAnsi="Arial" w:cs="Arial"/>
                <w:sz w:val="18"/>
                <w:szCs w:val="18"/>
              </w:rPr>
            </w:pPr>
            <w:r>
              <w:rPr>
                <w:rFonts w:ascii="Arial" w:hAnsi="Arial" w:cs="Arial"/>
                <w:sz w:val="18"/>
                <w:szCs w:val="18"/>
              </w:rPr>
              <w:t>(note 4</w:t>
            </w:r>
            <w:r w:rsidR="00D83C7E" w:rsidRPr="00D83C7E">
              <w:rPr>
                <w:rFonts w:ascii="Arial" w:hAnsi="Arial" w:cs="Arial"/>
                <w:sz w:val="18"/>
                <w:szCs w:val="18"/>
              </w:rPr>
              <w:t>)</w:t>
            </w:r>
          </w:p>
        </w:tc>
        <w:tc>
          <w:tcPr>
            <w:tcW w:w="482" w:type="pct"/>
            <w:tcBorders>
              <w:top w:val="nil"/>
              <w:left w:val="nil"/>
              <w:bottom w:val="single" w:sz="4" w:space="0" w:color="auto"/>
              <w:right w:val="nil"/>
            </w:tcBorders>
            <w:shd w:val="clear" w:color="auto" w:fill="auto"/>
            <w:vAlign w:val="bottom"/>
          </w:tcPr>
          <w:p w:rsidR="00D83C7E" w:rsidRPr="00D83C7E" w:rsidRDefault="00F87634" w:rsidP="00FC10AC">
            <w:pPr>
              <w:ind w:right="92"/>
              <w:jc w:val="right"/>
              <w:rPr>
                <w:rFonts w:ascii="Arial" w:hAnsi="Arial" w:cs="Arial"/>
                <w:sz w:val="18"/>
                <w:szCs w:val="18"/>
              </w:rPr>
            </w:pPr>
            <w:r w:rsidRPr="00D83C7E">
              <w:rPr>
                <w:rFonts w:ascii="Arial" w:hAnsi="Arial" w:cs="Arial"/>
                <w:sz w:val="18"/>
                <w:szCs w:val="18"/>
              </w:rPr>
              <w:t>Total</w:t>
            </w:r>
          </w:p>
        </w:tc>
      </w:tr>
      <w:tr w:rsidR="00806EFF" w:rsidRPr="00EF1091" w:rsidTr="0011413D">
        <w:trPr>
          <w:trHeight w:val="225"/>
        </w:trPr>
        <w:tc>
          <w:tcPr>
            <w:tcW w:w="1448" w:type="pct"/>
            <w:tcBorders>
              <w:top w:val="single" w:sz="4" w:space="0" w:color="auto"/>
              <w:left w:val="nil"/>
              <w:bottom w:val="nil"/>
              <w:right w:val="nil"/>
            </w:tcBorders>
            <w:shd w:val="clear" w:color="auto" w:fill="auto"/>
            <w:vAlign w:val="bottom"/>
          </w:tcPr>
          <w:p w:rsidR="00806EFF" w:rsidRPr="00EF1091" w:rsidRDefault="00806EFF" w:rsidP="00806EFF">
            <w:pPr>
              <w:rPr>
                <w:rFonts w:ascii="Arial" w:hAnsi="Arial" w:cs="Arial"/>
                <w:b/>
                <w:sz w:val="18"/>
                <w:szCs w:val="18"/>
              </w:rPr>
            </w:pPr>
            <w:r>
              <w:rPr>
                <w:rFonts w:ascii="Arial" w:hAnsi="Arial" w:cs="Arial"/>
                <w:b/>
                <w:sz w:val="18"/>
                <w:szCs w:val="18"/>
              </w:rPr>
              <w:t>Sales</w:t>
            </w:r>
          </w:p>
        </w:tc>
        <w:tc>
          <w:tcPr>
            <w:tcW w:w="269" w:type="pct"/>
            <w:tcBorders>
              <w:top w:val="single" w:sz="4" w:space="0" w:color="auto"/>
              <w:left w:val="nil"/>
              <w:bottom w:val="nil"/>
              <w:right w:val="nil"/>
            </w:tcBorders>
            <w:shd w:val="clear" w:color="auto" w:fill="auto"/>
            <w:noWrap/>
            <w:vAlign w:val="bottom"/>
          </w:tcPr>
          <w:p w:rsidR="00806EFF" w:rsidRPr="00EF1091" w:rsidRDefault="00806EFF" w:rsidP="00806EFF">
            <w:pPr>
              <w:jc w:val="center"/>
              <w:rPr>
                <w:rFonts w:ascii="Arial" w:hAnsi="Arial" w:cs="Arial"/>
                <w:sz w:val="18"/>
                <w:szCs w:val="18"/>
              </w:rPr>
            </w:pPr>
            <w:r>
              <w:rPr>
                <w:rFonts w:ascii="Arial" w:hAnsi="Arial" w:cs="Arial"/>
                <w:sz w:val="18"/>
                <w:szCs w:val="18"/>
              </w:rPr>
              <w:t>3</w:t>
            </w:r>
          </w:p>
        </w:tc>
        <w:tc>
          <w:tcPr>
            <w:tcW w:w="543" w:type="pct"/>
            <w:tcBorders>
              <w:top w:val="single" w:sz="4" w:space="0" w:color="auto"/>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11,655</w:t>
            </w:r>
          </w:p>
        </w:tc>
        <w:tc>
          <w:tcPr>
            <w:tcW w:w="616" w:type="pct"/>
            <w:tcBorders>
              <w:top w:val="single" w:sz="4" w:space="0" w:color="auto"/>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p>
        </w:tc>
        <w:tc>
          <w:tcPr>
            <w:tcW w:w="486" w:type="pct"/>
            <w:tcBorders>
              <w:top w:val="single" w:sz="4" w:space="0" w:color="auto"/>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11,655</w:t>
            </w:r>
          </w:p>
        </w:tc>
        <w:tc>
          <w:tcPr>
            <w:tcW w:w="578"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11,225</w:t>
            </w:r>
          </w:p>
        </w:tc>
        <w:tc>
          <w:tcPr>
            <w:tcW w:w="578"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w:t>
            </w:r>
          </w:p>
        </w:tc>
        <w:tc>
          <w:tcPr>
            <w:tcW w:w="482"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11,225</w:t>
            </w:r>
          </w:p>
        </w:tc>
      </w:tr>
      <w:tr w:rsidR="00806EFF" w:rsidRPr="00EF1091" w:rsidTr="0011413D">
        <w:trPr>
          <w:trHeight w:val="225"/>
        </w:trPr>
        <w:tc>
          <w:tcPr>
            <w:tcW w:w="1448" w:type="pct"/>
            <w:tcBorders>
              <w:top w:val="nil"/>
              <w:left w:val="nil"/>
              <w:bottom w:val="nil"/>
              <w:right w:val="nil"/>
            </w:tcBorders>
            <w:shd w:val="clear" w:color="auto" w:fill="auto"/>
            <w:vAlign w:val="bottom"/>
          </w:tcPr>
          <w:p w:rsidR="00806EFF" w:rsidRPr="00EF1091" w:rsidRDefault="00806EFF" w:rsidP="00806EFF">
            <w:pPr>
              <w:rPr>
                <w:rFonts w:ascii="Arial" w:hAnsi="Arial" w:cs="Arial"/>
                <w:sz w:val="18"/>
                <w:szCs w:val="18"/>
              </w:rPr>
            </w:pPr>
            <w:r w:rsidRPr="00EF1091">
              <w:rPr>
                <w:rFonts w:ascii="Arial" w:hAnsi="Arial" w:cs="Arial"/>
                <w:sz w:val="18"/>
                <w:szCs w:val="18"/>
              </w:rPr>
              <w:t>Cost of sales</w:t>
            </w:r>
          </w:p>
        </w:tc>
        <w:tc>
          <w:tcPr>
            <w:tcW w:w="269" w:type="pct"/>
            <w:tcBorders>
              <w:top w:val="nil"/>
              <w:left w:val="nil"/>
              <w:bottom w:val="nil"/>
              <w:right w:val="nil"/>
            </w:tcBorders>
            <w:shd w:val="clear" w:color="auto" w:fill="auto"/>
            <w:noWrap/>
            <w:vAlign w:val="bottom"/>
          </w:tcPr>
          <w:p w:rsidR="00806EFF" w:rsidRPr="00EF1091" w:rsidRDefault="00806EFF" w:rsidP="00806EFF">
            <w:pPr>
              <w:jc w:val="center"/>
              <w:rPr>
                <w:rFonts w:ascii="Arial" w:hAnsi="Arial" w:cs="Arial"/>
                <w:sz w:val="18"/>
                <w:szCs w:val="18"/>
              </w:rPr>
            </w:pPr>
          </w:p>
        </w:tc>
        <w:tc>
          <w:tcPr>
            <w:tcW w:w="543" w:type="pct"/>
            <w:tcBorders>
              <w:top w:val="nil"/>
              <w:left w:val="nil"/>
              <w:bottom w:val="single" w:sz="4" w:space="0" w:color="auto"/>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(7,352)</w:t>
            </w:r>
          </w:p>
        </w:tc>
        <w:tc>
          <w:tcPr>
            <w:tcW w:w="616" w:type="pct"/>
            <w:tcBorders>
              <w:top w:val="nil"/>
              <w:left w:val="nil"/>
              <w:bottom w:val="single" w:sz="4" w:space="0" w:color="auto"/>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p>
        </w:tc>
        <w:tc>
          <w:tcPr>
            <w:tcW w:w="486" w:type="pct"/>
            <w:tcBorders>
              <w:top w:val="nil"/>
              <w:left w:val="nil"/>
              <w:bottom w:val="single" w:sz="4" w:space="0" w:color="auto"/>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(7,352)</w:t>
            </w:r>
          </w:p>
        </w:tc>
        <w:tc>
          <w:tcPr>
            <w:tcW w:w="578" w:type="pct"/>
            <w:tcBorders>
              <w:top w:val="nil"/>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(7,050)</w:t>
            </w:r>
          </w:p>
        </w:tc>
        <w:tc>
          <w:tcPr>
            <w:tcW w:w="578" w:type="pct"/>
            <w:tcBorders>
              <w:top w:val="nil"/>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w:t>
            </w:r>
          </w:p>
        </w:tc>
        <w:tc>
          <w:tcPr>
            <w:tcW w:w="482" w:type="pct"/>
            <w:tcBorders>
              <w:top w:val="nil"/>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(7,050)</w:t>
            </w:r>
          </w:p>
        </w:tc>
      </w:tr>
      <w:tr w:rsidR="00806EFF" w:rsidRPr="00EF1091" w:rsidTr="0011413D">
        <w:trPr>
          <w:trHeight w:val="225"/>
        </w:trPr>
        <w:tc>
          <w:tcPr>
            <w:tcW w:w="1448" w:type="pct"/>
            <w:tcBorders>
              <w:top w:val="single" w:sz="4" w:space="0" w:color="auto"/>
              <w:left w:val="nil"/>
              <w:bottom w:val="nil"/>
              <w:right w:val="nil"/>
            </w:tcBorders>
            <w:shd w:val="clear" w:color="auto" w:fill="auto"/>
            <w:vAlign w:val="bottom"/>
          </w:tcPr>
          <w:p w:rsidR="00806EFF" w:rsidRPr="00EF1091" w:rsidRDefault="00806EFF" w:rsidP="00806EFF">
            <w:pPr>
              <w:rPr>
                <w:rFonts w:ascii="Arial" w:hAnsi="Arial" w:cs="Arial"/>
                <w:b/>
                <w:sz w:val="18"/>
                <w:szCs w:val="18"/>
              </w:rPr>
            </w:pPr>
            <w:r w:rsidRPr="00EF1091">
              <w:rPr>
                <w:rFonts w:ascii="Arial" w:hAnsi="Arial" w:cs="Arial"/>
                <w:b/>
                <w:sz w:val="18"/>
                <w:szCs w:val="18"/>
              </w:rPr>
              <w:t>Gross profit</w:t>
            </w:r>
          </w:p>
        </w:tc>
        <w:tc>
          <w:tcPr>
            <w:tcW w:w="269" w:type="pct"/>
            <w:tcBorders>
              <w:top w:val="single" w:sz="4" w:space="0" w:color="auto"/>
              <w:left w:val="nil"/>
              <w:bottom w:val="nil"/>
              <w:right w:val="nil"/>
            </w:tcBorders>
            <w:shd w:val="clear" w:color="auto" w:fill="auto"/>
            <w:noWrap/>
            <w:vAlign w:val="bottom"/>
          </w:tcPr>
          <w:p w:rsidR="00806EFF" w:rsidRPr="00EF1091" w:rsidRDefault="00806EFF" w:rsidP="00806EFF">
            <w:pPr>
              <w:jc w:val="center"/>
              <w:rPr>
                <w:rFonts w:ascii="Arial" w:hAnsi="Arial" w:cs="Arial"/>
                <w:sz w:val="18"/>
                <w:szCs w:val="18"/>
              </w:rPr>
            </w:pPr>
            <w:r w:rsidRPr="00EF1091">
              <w:rPr>
                <w:rFonts w:ascii="Arial" w:hAnsi="Arial" w:cs="Arial"/>
                <w:sz w:val="18"/>
                <w:szCs w:val="18"/>
              </w:rPr>
              <w:t> </w:t>
            </w:r>
          </w:p>
        </w:tc>
        <w:tc>
          <w:tcPr>
            <w:tcW w:w="543" w:type="pct"/>
            <w:tcBorders>
              <w:top w:val="single" w:sz="4" w:space="0" w:color="auto"/>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4,303</w:t>
            </w:r>
          </w:p>
        </w:tc>
        <w:tc>
          <w:tcPr>
            <w:tcW w:w="616" w:type="pct"/>
            <w:tcBorders>
              <w:top w:val="nil"/>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p>
        </w:tc>
        <w:tc>
          <w:tcPr>
            <w:tcW w:w="486" w:type="pct"/>
            <w:tcBorders>
              <w:top w:val="nil"/>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4,303</w:t>
            </w:r>
          </w:p>
        </w:tc>
        <w:tc>
          <w:tcPr>
            <w:tcW w:w="578"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4,175</w:t>
            </w:r>
          </w:p>
        </w:tc>
        <w:tc>
          <w:tcPr>
            <w:tcW w:w="578"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w:t>
            </w:r>
          </w:p>
        </w:tc>
        <w:tc>
          <w:tcPr>
            <w:tcW w:w="482"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4,175</w:t>
            </w:r>
          </w:p>
        </w:tc>
      </w:tr>
      <w:tr w:rsidR="0011413D" w:rsidRPr="00EF1091" w:rsidTr="0011413D">
        <w:trPr>
          <w:trHeight w:val="225"/>
        </w:trPr>
        <w:tc>
          <w:tcPr>
            <w:tcW w:w="1448" w:type="pct"/>
            <w:tcBorders>
              <w:top w:val="nil"/>
              <w:left w:val="nil"/>
              <w:bottom w:val="nil"/>
              <w:right w:val="nil"/>
            </w:tcBorders>
            <w:shd w:val="clear" w:color="auto" w:fill="auto"/>
            <w:vAlign w:val="bottom"/>
          </w:tcPr>
          <w:p w:rsidR="0011413D" w:rsidRPr="00EF1091" w:rsidRDefault="0011413D" w:rsidP="0011413D">
            <w:pPr>
              <w:rPr>
                <w:rFonts w:ascii="Arial" w:hAnsi="Arial" w:cs="Arial"/>
                <w:sz w:val="18"/>
                <w:szCs w:val="18"/>
              </w:rPr>
            </w:pPr>
            <w:r w:rsidRPr="00EF1091">
              <w:rPr>
                <w:rFonts w:ascii="Arial" w:hAnsi="Arial" w:cs="Arial"/>
                <w:sz w:val="18"/>
                <w:szCs w:val="18"/>
              </w:rPr>
              <w:t xml:space="preserve">Selling and distribution expenses </w:t>
            </w:r>
          </w:p>
        </w:tc>
        <w:tc>
          <w:tcPr>
            <w:tcW w:w="269" w:type="pct"/>
            <w:tcBorders>
              <w:top w:val="nil"/>
              <w:left w:val="nil"/>
              <w:bottom w:val="nil"/>
              <w:right w:val="nil"/>
            </w:tcBorders>
            <w:shd w:val="clear" w:color="auto" w:fill="auto"/>
            <w:noWrap/>
            <w:vAlign w:val="bottom"/>
          </w:tcPr>
          <w:p w:rsidR="0011413D" w:rsidRPr="00EF1091" w:rsidRDefault="0011413D" w:rsidP="0011413D">
            <w:pPr>
              <w:jc w:val="center"/>
              <w:rPr>
                <w:rFonts w:ascii="Arial" w:hAnsi="Arial" w:cs="Arial"/>
                <w:sz w:val="18"/>
                <w:szCs w:val="18"/>
              </w:rPr>
            </w:pPr>
          </w:p>
        </w:tc>
        <w:tc>
          <w:tcPr>
            <w:tcW w:w="543" w:type="pct"/>
            <w:tcBorders>
              <w:top w:val="nil"/>
              <w:left w:val="nil"/>
              <w:bottom w:val="nil"/>
              <w:right w:val="nil"/>
            </w:tcBorders>
            <w:shd w:val="clear" w:color="auto" w:fill="auto"/>
            <w:noWrap/>
          </w:tcPr>
          <w:p w:rsidR="0011413D" w:rsidRPr="00806EFF" w:rsidRDefault="00806EFF" w:rsidP="0011413D">
            <w:pPr>
              <w:jc w:val="right"/>
              <w:rPr>
                <w:rFonts w:ascii="Arial" w:hAnsi="Arial" w:cs="Arial"/>
                <w:b/>
                <w:sz w:val="18"/>
                <w:szCs w:val="18"/>
              </w:rPr>
            </w:pPr>
            <w:r w:rsidRPr="00806EFF">
              <w:rPr>
                <w:rFonts w:ascii="Arial" w:hAnsi="Arial" w:cs="Arial"/>
                <w:b/>
                <w:sz w:val="18"/>
                <w:szCs w:val="18"/>
              </w:rPr>
              <w:t>(2,863)</w:t>
            </w:r>
          </w:p>
        </w:tc>
        <w:tc>
          <w:tcPr>
            <w:tcW w:w="616" w:type="pct"/>
            <w:tcBorders>
              <w:top w:val="nil"/>
              <w:left w:val="nil"/>
              <w:bottom w:val="nil"/>
              <w:right w:val="nil"/>
            </w:tcBorders>
            <w:shd w:val="clear" w:color="auto" w:fill="auto"/>
            <w:noWrap/>
          </w:tcPr>
          <w:p w:rsidR="0011413D" w:rsidRPr="00806EFF" w:rsidRDefault="00806EFF" w:rsidP="0011413D">
            <w:pPr>
              <w:jc w:val="right"/>
              <w:rPr>
                <w:rFonts w:ascii="Arial" w:hAnsi="Arial" w:cs="Arial"/>
                <w:b/>
                <w:sz w:val="18"/>
                <w:szCs w:val="18"/>
              </w:rPr>
            </w:pPr>
            <w:r w:rsidRPr="00806EFF">
              <w:rPr>
                <w:rFonts w:ascii="Arial" w:hAnsi="Arial" w:cs="Arial"/>
                <w:b/>
                <w:sz w:val="18"/>
                <w:szCs w:val="18"/>
              </w:rPr>
              <w:t>14</w:t>
            </w:r>
          </w:p>
        </w:tc>
        <w:tc>
          <w:tcPr>
            <w:tcW w:w="486" w:type="pct"/>
            <w:tcBorders>
              <w:top w:val="nil"/>
              <w:left w:val="nil"/>
              <w:bottom w:val="nil"/>
              <w:right w:val="nil"/>
            </w:tcBorders>
            <w:shd w:val="clear" w:color="auto" w:fill="auto"/>
            <w:noWrap/>
          </w:tcPr>
          <w:p w:rsidR="0011413D" w:rsidRPr="00806EFF" w:rsidRDefault="00806EFF" w:rsidP="0011413D">
            <w:pPr>
              <w:jc w:val="right"/>
              <w:rPr>
                <w:rFonts w:ascii="Arial" w:hAnsi="Arial" w:cs="Arial"/>
                <w:b/>
                <w:sz w:val="18"/>
                <w:szCs w:val="18"/>
              </w:rPr>
            </w:pPr>
            <w:r w:rsidRPr="00806EFF">
              <w:rPr>
                <w:rFonts w:ascii="Arial" w:hAnsi="Arial" w:cs="Arial"/>
                <w:b/>
                <w:sz w:val="18"/>
                <w:szCs w:val="18"/>
              </w:rPr>
              <w:t>(2,849)</w:t>
            </w:r>
          </w:p>
        </w:tc>
        <w:tc>
          <w:tcPr>
            <w:tcW w:w="578"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(2,758)</w:t>
            </w:r>
          </w:p>
        </w:tc>
        <w:tc>
          <w:tcPr>
            <w:tcW w:w="578"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21</w:t>
            </w:r>
          </w:p>
        </w:tc>
        <w:tc>
          <w:tcPr>
            <w:tcW w:w="482"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(2,737)</w:t>
            </w:r>
          </w:p>
        </w:tc>
      </w:tr>
      <w:tr w:rsidR="0011413D" w:rsidRPr="00EF1091" w:rsidTr="0011413D">
        <w:trPr>
          <w:trHeight w:val="225"/>
        </w:trPr>
        <w:tc>
          <w:tcPr>
            <w:tcW w:w="1448" w:type="pct"/>
            <w:tcBorders>
              <w:top w:val="nil"/>
              <w:left w:val="nil"/>
              <w:bottom w:val="nil"/>
              <w:right w:val="nil"/>
            </w:tcBorders>
            <w:shd w:val="clear" w:color="auto" w:fill="auto"/>
            <w:vAlign w:val="bottom"/>
          </w:tcPr>
          <w:p w:rsidR="0011413D" w:rsidRPr="00EF1091" w:rsidRDefault="0011413D" w:rsidP="0011413D">
            <w:pPr>
              <w:rPr>
                <w:rFonts w:ascii="Arial" w:hAnsi="Arial" w:cs="Arial"/>
                <w:sz w:val="18"/>
                <w:szCs w:val="18"/>
              </w:rPr>
            </w:pPr>
            <w:r w:rsidRPr="00EF1091">
              <w:rPr>
                <w:rFonts w:ascii="Arial" w:hAnsi="Arial" w:cs="Arial"/>
                <w:sz w:val="18"/>
                <w:szCs w:val="18"/>
              </w:rPr>
              <w:t>Administrative expenses</w:t>
            </w:r>
          </w:p>
        </w:tc>
        <w:tc>
          <w:tcPr>
            <w:tcW w:w="269" w:type="pct"/>
            <w:tcBorders>
              <w:top w:val="nil"/>
              <w:left w:val="nil"/>
              <w:bottom w:val="nil"/>
              <w:right w:val="nil"/>
            </w:tcBorders>
            <w:shd w:val="clear" w:color="auto" w:fill="auto"/>
            <w:noWrap/>
            <w:vAlign w:val="bottom"/>
          </w:tcPr>
          <w:p w:rsidR="0011413D" w:rsidRPr="00EF1091" w:rsidRDefault="0011413D" w:rsidP="0011413D">
            <w:pPr>
              <w:jc w:val="center"/>
              <w:rPr>
                <w:rFonts w:ascii="Arial" w:hAnsi="Arial" w:cs="Arial"/>
                <w:sz w:val="18"/>
                <w:szCs w:val="18"/>
              </w:rPr>
            </w:pPr>
          </w:p>
        </w:tc>
        <w:tc>
          <w:tcPr>
            <w:tcW w:w="543" w:type="pct"/>
            <w:tcBorders>
              <w:top w:val="nil"/>
              <w:left w:val="nil"/>
              <w:bottom w:val="nil"/>
              <w:right w:val="nil"/>
            </w:tcBorders>
            <w:shd w:val="clear" w:color="auto" w:fill="auto"/>
            <w:noWrap/>
          </w:tcPr>
          <w:p w:rsidR="0011413D" w:rsidRPr="00806EFF" w:rsidRDefault="00806EFF" w:rsidP="0011413D">
            <w:pPr>
              <w:jc w:val="right"/>
              <w:rPr>
                <w:rFonts w:ascii="Arial" w:hAnsi="Arial" w:cs="Arial"/>
                <w:b/>
                <w:sz w:val="18"/>
                <w:szCs w:val="18"/>
              </w:rPr>
            </w:pPr>
            <w:r w:rsidRPr="00806EFF">
              <w:rPr>
                <w:rFonts w:ascii="Arial" w:hAnsi="Arial" w:cs="Arial"/>
                <w:b/>
                <w:sz w:val="18"/>
                <w:szCs w:val="18"/>
              </w:rPr>
              <w:t>(782)</w:t>
            </w:r>
          </w:p>
        </w:tc>
        <w:tc>
          <w:tcPr>
            <w:tcW w:w="616" w:type="pct"/>
            <w:tcBorders>
              <w:top w:val="nil"/>
              <w:left w:val="nil"/>
              <w:bottom w:val="nil"/>
              <w:right w:val="nil"/>
            </w:tcBorders>
            <w:shd w:val="clear" w:color="auto" w:fill="auto"/>
            <w:noWrap/>
          </w:tcPr>
          <w:p w:rsidR="0011413D" w:rsidRPr="00806EFF" w:rsidRDefault="00806EFF" w:rsidP="0011413D">
            <w:pPr>
              <w:jc w:val="right"/>
              <w:rPr>
                <w:rFonts w:ascii="Arial" w:hAnsi="Arial" w:cs="Arial"/>
                <w:b/>
                <w:sz w:val="18"/>
                <w:szCs w:val="18"/>
              </w:rPr>
            </w:pPr>
            <w:r w:rsidRPr="00806EFF">
              <w:rPr>
                <w:rFonts w:ascii="Arial" w:hAnsi="Arial" w:cs="Arial"/>
                <w:b/>
                <w:sz w:val="18"/>
                <w:szCs w:val="18"/>
              </w:rPr>
              <w:t>(15)</w:t>
            </w:r>
          </w:p>
        </w:tc>
        <w:tc>
          <w:tcPr>
            <w:tcW w:w="486" w:type="pct"/>
            <w:tcBorders>
              <w:top w:val="nil"/>
              <w:left w:val="nil"/>
              <w:bottom w:val="nil"/>
              <w:right w:val="nil"/>
            </w:tcBorders>
            <w:shd w:val="clear" w:color="auto" w:fill="auto"/>
            <w:noWrap/>
          </w:tcPr>
          <w:p w:rsidR="0011413D" w:rsidRPr="00806EFF" w:rsidRDefault="00806EFF" w:rsidP="0011413D">
            <w:pPr>
              <w:jc w:val="right"/>
              <w:rPr>
                <w:rFonts w:ascii="Arial" w:hAnsi="Arial" w:cs="Arial"/>
                <w:b/>
                <w:sz w:val="18"/>
                <w:szCs w:val="18"/>
              </w:rPr>
            </w:pPr>
            <w:r w:rsidRPr="00806EFF">
              <w:rPr>
                <w:rFonts w:ascii="Arial" w:hAnsi="Arial" w:cs="Arial"/>
                <w:b/>
                <w:sz w:val="18"/>
                <w:szCs w:val="18"/>
              </w:rPr>
              <w:t>(797)</w:t>
            </w:r>
          </w:p>
        </w:tc>
        <w:tc>
          <w:tcPr>
            <w:tcW w:w="578"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(687)</w:t>
            </w:r>
          </w:p>
        </w:tc>
        <w:tc>
          <w:tcPr>
            <w:tcW w:w="578"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(5)</w:t>
            </w:r>
          </w:p>
        </w:tc>
        <w:tc>
          <w:tcPr>
            <w:tcW w:w="482"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(692)</w:t>
            </w:r>
          </w:p>
        </w:tc>
      </w:tr>
      <w:tr w:rsidR="0011413D" w:rsidRPr="00EF1091" w:rsidTr="0011413D">
        <w:trPr>
          <w:trHeight w:val="225"/>
        </w:trPr>
        <w:tc>
          <w:tcPr>
            <w:tcW w:w="1448" w:type="pct"/>
            <w:tcBorders>
              <w:top w:val="nil"/>
              <w:left w:val="nil"/>
              <w:bottom w:val="nil"/>
              <w:right w:val="nil"/>
            </w:tcBorders>
            <w:shd w:val="clear" w:color="auto" w:fill="auto"/>
            <w:vAlign w:val="bottom"/>
          </w:tcPr>
          <w:p w:rsidR="0011413D" w:rsidRPr="00EF1091" w:rsidRDefault="0011413D" w:rsidP="0011413D">
            <w:pPr>
              <w:rPr>
                <w:rFonts w:ascii="Arial" w:hAnsi="Arial" w:cs="Arial"/>
                <w:sz w:val="18"/>
                <w:szCs w:val="18"/>
              </w:rPr>
            </w:pPr>
            <w:r w:rsidRPr="00EF1091">
              <w:rPr>
                <w:rFonts w:ascii="Arial" w:hAnsi="Arial" w:cs="Arial"/>
                <w:sz w:val="18"/>
                <w:szCs w:val="18"/>
              </w:rPr>
              <w:t>Other income</w:t>
            </w:r>
          </w:p>
        </w:tc>
        <w:tc>
          <w:tcPr>
            <w:tcW w:w="269" w:type="pct"/>
            <w:tcBorders>
              <w:top w:val="nil"/>
              <w:left w:val="nil"/>
              <w:bottom w:val="nil"/>
              <w:right w:val="nil"/>
            </w:tcBorders>
            <w:shd w:val="clear" w:color="auto" w:fill="auto"/>
            <w:noWrap/>
            <w:vAlign w:val="bottom"/>
          </w:tcPr>
          <w:p w:rsidR="0011413D" w:rsidRPr="00EF1091" w:rsidRDefault="0011413D" w:rsidP="0011413D">
            <w:pPr>
              <w:jc w:val="center"/>
              <w:rPr>
                <w:rFonts w:ascii="Arial" w:hAnsi="Arial" w:cs="Arial"/>
                <w:sz w:val="18"/>
                <w:szCs w:val="18"/>
              </w:rPr>
            </w:pPr>
          </w:p>
        </w:tc>
        <w:tc>
          <w:tcPr>
            <w:tcW w:w="543" w:type="pct"/>
            <w:tcBorders>
              <w:top w:val="nil"/>
              <w:left w:val="nil"/>
              <w:bottom w:val="nil"/>
              <w:right w:val="nil"/>
            </w:tcBorders>
            <w:shd w:val="clear" w:color="auto" w:fill="auto"/>
            <w:noWrap/>
          </w:tcPr>
          <w:p w:rsidR="0011413D" w:rsidRPr="00806EFF" w:rsidRDefault="00AF07A7" w:rsidP="0011413D">
            <w:pPr>
              <w:jc w:val="right"/>
              <w:rPr>
                <w:rFonts w:ascii="Arial" w:hAnsi="Arial" w:cs="Arial"/>
                <w:b/>
                <w:sz w:val="18"/>
                <w:szCs w:val="18"/>
              </w:rPr>
            </w:pPr>
            <w:r>
              <w:rPr>
                <w:rFonts w:ascii="Arial" w:hAnsi="Arial" w:cs="Arial"/>
                <w:b/>
                <w:sz w:val="18"/>
                <w:szCs w:val="18"/>
              </w:rPr>
              <w:t>24</w:t>
            </w:r>
          </w:p>
        </w:tc>
        <w:tc>
          <w:tcPr>
            <w:tcW w:w="616" w:type="pct"/>
            <w:tcBorders>
              <w:top w:val="nil"/>
              <w:left w:val="nil"/>
              <w:bottom w:val="nil"/>
              <w:right w:val="nil"/>
            </w:tcBorders>
            <w:shd w:val="clear" w:color="auto" w:fill="auto"/>
            <w:noWrap/>
          </w:tcPr>
          <w:p w:rsidR="0011413D" w:rsidRPr="00806EFF" w:rsidRDefault="00806EFF" w:rsidP="0011413D">
            <w:pPr>
              <w:jc w:val="right"/>
              <w:rPr>
                <w:rFonts w:ascii="Arial" w:hAnsi="Arial" w:cs="Arial"/>
                <w:b/>
                <w:sz w:val="18"/>
                <w:szCs w:val="18"/>
              </w:rPr>
            </w:pPr>
            <w:r w:rsidRPr="00806EFF">
              <w:rPr>
                <w:rFonts w:ascii="Arial" w:hAnsi="Arial" w:cs="Arial"/>
                <w:b/>
                <w:sz w:val="18"/>
                <w:szCs w:val="18"/>
              </w:rPr>
              <w:t>1</w:t>
            </w:r>
          </w:p>
        </w:tc>
        <w:tc>
          <w:tcPr>
            <w:tcW w:w="486" w:type="pct"/>
            <w:tcBorders>
              <w:top w:val="nil"/>
              <w:left w:val="nil"/>
              <w:bottom w:val="nil"/>
              <w:right w:val="nil"/>
            </w:tcBorders>
            <w:shd w:val="clear" w:color="auto" w:fill="auto"/>
            <w:noWrap/>
          </w:tcPr>
          <w:p w:rsidR="0011413D" w:rsidRPr="00806EFF" w:rsidRDefault="00AF07A7" w:rsidP="0011413D">
            <w:pPr>
              <w:jc w:val="right"/>
              <w:rPr>
                <w:rFonts w:ascii="Arial" w:hAnsi="Arial" w:cs="Arial"/>
                <w:b/>
                <w:sz w:val="18"/>
                <w:szCs w:val="18"/>
              </w:rPr>
            </w:pPr>
            <w:r>
              <w:rPr>
                <w:rFonts w:ascii="Arial" w:hAnsi="Arial" w:cs="Arial"/>
                <w:b/>
                <w:sz w:val="18"/>
                <w:szCs w:val="18"/>
              </w:rPr>
              <w:t>25</w:t>
            </w:r>
          </w:p>
        </w:tc>
        <w:tc>
          <w:tcPr>
            <w:tcW w:w="578"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19</w:t>
            </w:r>
          </w:p>
        </w:tc>
        <w:tc>
          <w:tcPr>
            <w:tcW w:w="578"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7</w:t>
            </w:r>
          </w:p>
        </w:tc>
        <w:tc>
          <w:tcPr>
            <w:tcW w:w="482"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26</w:t>
            </w:r>
          </w:p>
        </w:tc>
      </w:tr>
      <w:tr w:rsidR="00806EFF" w:rsidRPr="00EF1091" w:rsidTr="00034840">
        <w:trPr>
          <w:trHeight w:val="450"/>
        </w:trPr>
        <w:tc>
          <w:tcPr>
            <w:tcW w:w="1448" w:type="pct"/>
            <w:tcBorders>
              <w:top w:val="nil"/>
              <w:left w:val="nil"/>
              <w:bottom w:val="nil"/>
              <w:right w:val="nil"/>
            </w:tcBorders>
            <w:shd w:val="clear" w:color="auto" w:fill="auto"/>
            <w:vAlign w:val="bottom"/>
          </w:tcPr>
          <w:p w:rsidR="00806EFF" w:rsidRDefault="00806EFF" w:rsidP="00806EFF">
            <w:pPr>
              <w:rPr>
                <w:rFonts w:ascii="Arial" w:hAnsi="Arial" w:cs="Arial"/>
                <w:sz w:val="18"/>
                <w:szCs w:val="18"/>
              </w:rPr>
            </w:pPr>
            <w:r>
              <w:rPr>
                <w:rFonts w:ascii="Arial" w:hAnsi="Arial" w:cs="Arial"/>
                <w:sz w:val="18"/>
                <w:szCs w:val="18"/>
              </w:rPr>
              <w:t>Share of post-</w:t>
            </w:r>
            <w:r w:rsidRPr="00EF1091">
              <w:rPr>
                <w:rFonts w:ascii="Arial" w:hAnsi="Arial" w:cs="Arial"/>
                <w:sz w:val="18"/>
                <w:szCs w:val="18"/>
              </w:rPr>
              <w:t>tax results</w:t>
            </w:r>
          </w:p>
          <w:p w:rsidR="00806EFF" w:rsidRPr="00EF1091" w:rsidRDefault="00806EFF" w:rsidP="00806EFF">
            <w:pPr>
              <w:rPr>
                <w:rFonts w:ascii="Arial" w:hAnsi="Arial" w:cs="Arial"/>
                <w:sz w:val="18"/>
                <w:szCs w:val="18"/>
              </w:rPr>
            </w:pPr>
            <w:r w:rsidRPr="00EF1091">
              <w:rPr>
                <w:rFonts w:ascii="Arial" w:hAnsi="Arial" w:cs="Arial"/>
                <w:sz w:val="18"/>
                <w:szCs w:val="18"/>
              </w:rPr>
              <w:t>of joint ventures and associates</w:t>
            </w:r>
          </w:p>
        </w:tc>
        <w:tc>
          <w:tcPr>
            <w:tcW w:w="269" w:type="pct"/>
            <w:tcBorders>
              <w:top w:val="nil"/>
              <w:left w:val="nil"/>
              <w:bottom w:val="nil"/>
              <w:right w:val="nil"/>
            </w:tcBorders>
            <w:shd w:val="clear" w:color="auto" w:fill="auto"/>
            <w:vAlign w:val="bottom"/>
          </w:tcPr>
          <w:p w:rsidR="00806EFF" w:rsidRPr="00EF1091" w:rsidRDefault="00806EFF" w:rsidP="00806EFF">
            <w:pPr>
              <w:jc w:val="center"/>
              <w:rPr>
                <w:rFonts w:ascii="Arial" w:hAnsi="Arial" w:cs="Arial"/>
                <w:sz w:val="18"/>
                <w:szCs w:val="18"/>
              </w:rPr>
            </w:pPr>
          </w:p>
        </w:tc>
        <w:tc>
          <w:tcPr>
            <w:tcW w:w="543" w:type="pct"/>
            <w:tcBorders>
              <w:top w:val="nil"/>
              <w:left w:val="nil"/>
              <w:bottom w:val="nil"/>
              <w:right w:val="nil"/>
            </w:tcBorders>
            <w:shd w:val="clear" w:color="auto" w:fill="auto"/>
            <w:noWrap/>
            <w:vAlign w:val="bottom"/>
          </w:tcPr>
          <w:p w:rsidR="00806EFF" w:rsidRPr="00034840" w:rsidRDefault="00AF07A7" w:rsidP="00E16E24">
            <w:pPr>
              <w:jc w:val="right"/>
              <w:rPr>
                <w:rFonts w:ascii="Arial" w:hAnsi="Arial" w:cs="Arial"/>
                <w:b/>
                <w:sz w:val="18"/>
                <w:szCs w:val="18"/>
              </w:rPr>
            </w:pPr>
            <w:r>
              <w:rPr>
                <w:rFonts w:ascii="Arial" w:hAnsi="Arial" w:cs="Arial"/>
                <w:b/>
                <w:sz w:val="18"/>
                <w:szCs w:val="18"/>
              </w:rPr>
              <w:t>3</w:t>
            </w:r>
          </w:p>
        </w:tc>
        <w:tc>
          <w:tcPr>
            <w:tcW w:w="616" w:type="pct"/>
            <w:tcBorders>
              <w:top w:val="nil"/>
              <w:left w:val="nil"/>
              <w:bottom w:val="nil"/>
              <w:right w:val="nil"/>
            </w:tcBorders>
            <w:shd w:val="clear" w:color="auto" w:fill="auto"/>
            <w:noWrap/>
            <w:vAlign w:val="bottom"/>
          </w:tcPr>
          <w:p w:rsidR="00806EFF" w:rsidRPr="00034840" w:rsidRDefault="00806EFF" w:rsidP="00E16E24">
            <w:pPr>
              <w:jc w:val="right"/>
              <w:rPr>
                <w:rFonts w:ascii="Arial" w:hAnsi="Arial" w:cs="Arial"/>
                <w:b/>
                <w:sz w:val="18"/>
                <w:szCs w:val="18"/>
              </w:rPr>
            </w:pPr>
            <w:r w:rsidRPr="00034840">
              <w:rPr>
                <w:rFonts w:ascii="Arial" w:hAnsi="Arial" w:cs="Arial"/>
                <w:b/>
                <w:sz w:val="18"/>
                <w:szCs w:val="18"/>
              </w:rPr>
              <w:t>–</w:t>
            </w:r>
          </w:p>
        </w:tc>
        <w:tc>
          <w:tcPr>
            <w:tcW w:w="486" w:type="pct"/>
            <w:tcBorders>
              <w:top w:val="nil"/>
              <w:left w:val="nil"/>
              <w:bottom w:val="nil"/>
              <w:right w:val="nil"/>
            </w:tcBorders>
            <w:shd w:val="clear" w:color="auto" w:fill="auto"/>
            <w:noWrap/>
            <w:vAlign w:val="bottom"/>
          </w:tcPr>
          <w:p w:rsidR="00806EFF" w:rsidRPr="00034840" w:rsidRDefault="00AF07A7" w:rsidP="00E16E24">
            <w:pPr>
              <w:jc w:val="right"/>
              <w:rPr>
                <w:rFonts w:ascii="Arial" w:hAnsi="Arial" w:cs="Arial"/>
                <w:b/>
                <w:sz w:val="18"/>
                <w:szCs w:val="18"/>
              </w:rPr>
            </w:pPr>
            <w:r>
              <w:rPr>
                <w:rFonts w:ascii="Arial" w:hAnsi="Arial" w:cs="Arial"/>
                <w:b/>
                <w:sz w:val="18"/>
                <w:szCs w:val="18"/>
              </w:rPr>
              <w:t>3</w:t>
            </w:r>
          </w:p>
        </w:tc>
        <w:tc>
          <w:tcPr>
            <w:tcW w:w="578" w:type="pct"/>
            <w:tcBorders>
              <w:top w:val="nil"/>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w:t>
            </w:r>
          </w:p>
        </w:tc>
        <w:tc>
          <w:tcPr>
            <w:tcW w:w="578" w:type="pct"/>
            <w:tcBorders>
              <w:top w:val="nil"/>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w:t>
            </w:r>
          </w:p>
        </w:tc>
        <w:tc>
          <w:tcPr>
            <w:tcW w:w="482" w:type="pct"/>
            <w:tcBorders>
              <w:top w:val="nil"/>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w:t>
            </w:r>
          </w:p>
        </w:tc>
      </w:tr>
      <w:tr w:rsidR="00806EFF" w:rsidRPr="00EF1091" w:rsidTr="0011413D">
        <w:trPr>
          <w:trHeight w:val="225"/>
        </w:trPr>
        <w:tc>
          <w:tcPr>
            <w:tcW w:w="1448" w:type="pct"/>
            <w:tcBorders>
              <w:top w:val="single" w:sz="4" w:space="0" w:color="auto"/>
              <w:left w:val="nil"/>
              <w:bottom w:val="nil"/>
              <w:right w:val="nil"/>
            </w:tcBorders>
            <w:shd w:val="clear" w:color="auto" w:fill="auto"/>
            <w:vAlign w:val="bottom"/>
          </w:tcPr>
          <w:p w:rsidR="00806EFF" w:rsidRPr="00EF1091" w:rsidRDefault="00806EFF" w:rsidP="00806EFF">
            <w:pPr>
              <w:rPr>
                <w:rFonts w:ascii="Arial" w:hAnsi="Arial" w:cs="Arial"/>
                <w:b/>
                <w:bCs/>
                <w:sz w:val="18"/>
                <w:szCs w:val="18"/>
              </w:rPr>
            </w:pPr>
            <w:r w:rsidRPr="00EF1091">
              <w:rPr>
                <w:rFonts w:ascii="Arial" w:hAnsi="Arial" w:cs="Arial"/>
                <w:b/>
                <w:bCs/>
                <w:sz w:val="18"/>
                <w:szCs w:val="18"/>
              </w:rPr>
              <w:t xml:space="preserve">Operating profit </w:t>
            </w:r>
          </w:p>
        </w:tc>
        <w:tc>
          <w:tcPr>
            <w:tcW w:w="269" w:type="pct"/>
            <w:tcBorders>
              <w:top w:val="single" w:sz="4" w:space="0" w:color="auto"/>
              <w:left w:val="nil"/>
              <w:bottom w:val="nil"/>
              <w:right w:val="nil"/>
            </w:tcBorders>
            <w:shd w:val="clear" w:color="auto" w:fill="auto"/>
            <w:vAlign w:val="bottom"/>
          </w:tcPr>
          <w:p w:rsidR="00806EFF" w:rsidRPr="00EF1091" w:rsidRDefault="00806EFF" w:rsidP="00806EFF">
            <w:pPr>
              <w:jc w:val="center"/>
              <w:rPr>
                <w:rFonts w:ascii="Arial" w:hAnsi="Arial" w:cs="Arial"/>
                <w:sz w:val="18"/>
                <w:szCs w:val="18"/>
              </w:rPr>
            </w:pPr>
            <w:r w:rsidRPr="00EF1091">
              <w:rPr>
                <w:rFonts w:ascii="Arial" w:hAnsi="Arial" w:cs="Arial"/>
                <w:sz w:val="18"/>
                <w:szCs w:val="18"/>
              </w:rPr>
              <w:t> </w:t>
            </w:r>
          </w:p>
        </w:tc>
        <w:tc>
          <w:tcPr>
            <w:tcW w:w="543" w:type="pct"/>
            <w:tcBorders>
              <w:top w:val="single" w:sz="4" w:space="0" w:color="auto"/>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685</w:t>
            </w:r>
          </w:p>
        </w:tc>
        <w:tc>
          <w:tcPr>
            <w:tcW w:w="616" w:type="pct"/>
            <w:tcBorders>
              <w:top w:val="single" w:sz="4" w:space="0" w:color="auto"/>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p>
        </w:tc>
        <w:tc>
          <w:tcPr>
            <w:tcW w:w="486" w:type="pct"/>
            <w:tcBorders>
              <w:top w:val="single" w:sz="4" w:space="0" w:color="auto"/>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685</w:t>
            </w:r>
          </w:p>
        </w:tc>
        <w:tc>
          <w:tcPr>
            <w:tcW w:w="578"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750</w:t>
            </w:r>
          </w:p>
        </w:tc>
        <w:tc>
          <w:tcPr>
            <w:tcW w:w="578"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23</w:t>
            </w:r>
          </w:p>
        </w:tc>
        <w:tc>
          <w:tcPr>
            <w:tcW w:w="482"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773</w:t>
            </w:r>
          </w:p>
        </w:tc>
      </w:tr>
      <w:tr w:rsidR="00806EFF" w:rsidRPr="00EF1091" w:rsidTr="0011413D">
        <w:trPr>
          <w:trHeight w:val="225"/>
        </w:trPr>
        <w:tc>
          <w:tcPr>
            <w:tcW w:w="1448" w:type="pct"/>
            <w:tcBorders>
              <w:top w:val="nil"/>
              <w:left w:val="nil"/>
              <w:right w:val="nil"/>
            </w:tcBorders>
            <w:shd w:val="clear" w:color="auto" w:fill="auto"/>
            <w:vAlign w:val="bottom"/>
          </w:tcPr>
          <w:p w:rsidR="00806EFF" w:rsidRPr="00EF1091" w:rsidRDefault="00806EFF" w:rsidP="00806EFF">
            <w:pPr>
              <w:rPr>
                <w:rFonts w:ascii="Arial" w:hAnsi="Arial" w:cs="Arial"/>
                <w:sz w:val="18"/>
                <w:szCs w:val="18"/>
              </w:rPr>
            </w:pPr>
            <w:r>
              <w:rPr>
                <w:rFonts w:ascii="Arial" w:hAnsi="Arial" w:cs="Arial"/>
                <w:sz w:val="18"/>
                <w:szCs w:val="18"/>
              </w:rPr>
              <w:t>F</w:t>
            </w:r>
            <w:r w:rsidRPr="00EF1091">
              <w:rPr>
                <w:rFonts w:ascii="Arial" w:hAnsi="Arial" w:cs="Arial"/>
                <w:sz w:val="18"/>
                <w:szCs w:val="18"/>
              </w:rPr>
              <w:t>inance costs</w:t>
            </w:r>
          </w:p>
        </w:tc>
        <w:tc>
          <w:tcPr>
            <w:tcW w:w="269" w:type="pct"/>
            <w:tcBorders>
              <w:top w:val="nil"/>
              <w:left w:val="nil"/>
              <w:right w:val="nil"/>
            </w:tcBorders>
            <w:shd w:val="clear" w:color="auto" w:fill="auto"/>
            <w:noWrap/>
            <w:vAlign w:val="bottom"/>
          </w:tcPr>
          <w:p w:rsidR="00806EFF" w:rsidRPr="00EF1091" w:rsidRDefault="00806EFF" w:rsidP="00806EFF">
            <w:pPr>
              <w:jc w:val="center"/>
              <w:rPr>
                <w:rFonts w:ascii="Arial" w:hAnsi="Arial" w:cs="Arial"/>
                <w:sz w:val="18"/>
                <w:szCs w:val="18"/>
              </w:rPr>
            </w:pPr>
          </w:p>
        </w:tc>
        <w:tc>
          <w:tcPr>
            <w:tcW w:w="543" w:type="pct"/>
            <w:tcBorders>
              <w:top w:val="nil"/>
              <w:left w:val="nil"/>
              <w:bottom w:val="nil"/>
              <w:right w:val="nil"/>
            </w:tcBorders>
            <w:shd w:val="clear" w:color="auto" w:fill="auto"/>
            <w:noWrap/>
          </w:tcPr>
          <w:p w:rsidR="00806EFF" w:rsidRPr="00806EFF" w:rsidRDefault="00F9741D" w:rsidP="00806EFF">
            <w:pPr>
              <w:jc w:val="right"/>
              <w:rPr>
                <w:rFonts w:ascii="Arial" w:hAnsi="Arial" w:cs="Arial"/>
                <w:b/>
                <w:sz w:val="18"/>
                <w:szCs w:val="18"/>
              </w:rPr>
            </w:pPr>
            <w:r>
              <w:rPr>
                <w:rFonts w:ascii="Arial" w:hAnsi="Arial" w:cs="Arial"/>
                <w:b/>
                <w:sz w:val="18"/>
                <w:szCs w:val="18"/>
              </w:rPr>
              <w:t>(19</w:t>
            </w:r>
            <w:r w:rsidR="00806EFF" w:rsidRPr="00806EFF">
              <w:rPr>
                <w:rFonts w:ascii="Arial" w:hAnsi="Arial" w:cs="Arial"/>
                <w:b/>
                <w:sz w:val="18"/>
                <w:szCs w:val="18"/>
              </w:rPr>
              <w:t>)</w:t>
            </w:r>
          </w:p>
        </w:tc>
        <w:tc>
          <w:tcPr>
            <w:tcW w:w="616" w:type="pct"/>
            <w:tcBorders>
              <w:top w:val="nil"/>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p>
        </w:tc>
        <w:tc>
          <w:tcPr>
            <w:tcW w:w="486" w:type="pct"/>
            <w:tcBorders>
              <w:top w:val="nil"/>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r w:rsidR="00F9741D">
              <w:rPr>
                <w:rFonts w:ascii="Arial" w:hAnsi="Arial" w:cs="Arial"/>
                <w:b/>
                <w:sz w:val="18"/>
                <w:szCs w:val="18"/>
              </w:rPr>
              <w:t>19</w:t>
            </w:r>
            <w:r w:rsidRPr="00806EFF">
              <w:rPr>
                <w:rFonts w:ascii="Arial" w:hAnsi="Arial" w:cs="Arial"/>
                <w:b/>
                <w:sz w:val="18"/>
                <w:szCs w:val="18"/>
              </w:rPr>
              <w:t>)</w:t>
            </w:r>
          </w:p>
        </w:tc>
        <w:tc>
          <w:tcPr>
            <w:tcW w:w="578" w:type="pct"/>
            <w:tcBorders>
              <w:top w:val="nil"/>
              <w:left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(21)</w:t>
            </w:r>
          </w:p>
        </w:tc>
        <w:tc>
          <w:tcPr>
            <w:tcW w:w="578" w:type="pct"/>
            <w:tcBorders>
              <w:top w:val="nil"/>
              <w:left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(6)</w:t>
            </w:r>
          </w:p>
        </w:tc>
        <w:tc>
          <w:tcPr>
            <w:tcW w:w="482" w:type="pct"/>
            <w:tcBorders>
              <w:top w:val="nil"/>
              <w:left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(27)</w:t>
            </w:r>
          </w:p>
        </w:tc>
      </w:tr>
      <w:tr w:rsidR="00806EFF" w:rsidRPr="00EF1091" w:rsidTr="0011413D">
        <w:trPr>
          <w:trHeight w:val="225"/>
        </w:trPr>
        <w:tc>
          <w:tcPr>
            <w:tcW w:w="1448" w:type="pct"/>
            <w:tcBorders>
              <w:left w:val="nil"/>
              <w:bottom w:val="nil"/>
              <w:right w:val="nil"/>
            </w:tcBorders>
            <w:shd w:val="clear" w:color="auto" w:fill="auto"/>
            <w:vAlign w:val="bottom"/>
          </w:tcPr>
          <w:p w:rsidR="00806EFF" w:rsidRPr="00EF1091" w:rsidRDefault="00806EFF" w:rsidP="00806EFF">
            <w:pPr>
              <w:rPr>
                <w:rFonts w:ascii="Arial" w:hAnsi="Arial" w:cs="Arial"/>
                <w:sz w:val="18"/>
                <w:szCs w:val="18"/>
              </w:rPr>
            </w:pPr>
            <w:r>
              <w:rPr>
                <w:rFonts w:ascii="Arial" w:hAnsi="Arial" w:cs="Arial"/>
                <w:sz w:val="18"/>
                <w:szCs w:val="18"/>
              </w:rPr>
              <w:t>F</w:t>
            </w:r>
            <w:r w:rsidRPr="00EF1091">
              <w:rPr>
                <w:rFonts w:ascii="Arial" w:hAnsi="Arial" w:cs="Arial"/>
                <w:sz w:val="18"/>
                <w:szCs w:val="18"/>
              </w:rPr>
              <w:t xml:space="preserve">inance income </w:t>
            </w:r>
          </w:p>
        </w:tc>
        <w:tc>
          <w:tcPr>
            <w:tcW w:w="269" w:type="pct"/>
            <w:tcBorders>
              <w:left w:val="nil"/>
              <w:bottom w:val="nil"/>
              <w:right w:val="nil"/>
            </w:tcBorders>
            <w:shd w:val="clear" w:color="auto" w:fill="auto"/>
            <w:noWrap/>
            <w:vAlign w:val="bottom"/>
          </w:tcPr>
          <w:p w:rsidR="00806EFF" w:rsidRPr="00EF1091" w:rsidRDefault="00806EFF" w:rsidP="00806EFF">
            <w:pPr>
              <w:jc w:val="center"/>
              <w:rPr>
                <w:rFonts w:ascii="Arial" w:hAnsi="Arial" w:cs="Arial"/>
                <w:sz w:val="18"/>
                <w:szCs w:val="18"/>
              </w:rPr>
            </w:pPr>
            <w:r w:rsidRPr="00EF1091">
              <w:rPr>
                <w:rFonts w:ascii="Arial" w:hAnsi="Arial" w:cs="Arial"/>
                <w:sz w:val="18"/>
                <w:szCs w:val="18"/>
              </w:rPr>
              <w:t> </w:t>
            </w:r>
          </w:p>
        </w:tc>
        <w:tc>
          <w:tcPr>
            <w:tcW w:w="543" w:type="pct"/>
            <w:tcBorders>
              <w:top w:val="nil"/>
              <w:left w:val="nil"/>
              <w:bottom w:val="single" w:sz="4" w:space="0" w:color="auto"/>
              <w:right w:val="nil"/>
            </w:tcBorders>
            <w:shd w:val="clear" w:color="auto" w:fill="auto"/>
            <w:noWrap/>
          </w:tcPr>
          <w:p w:rsidR="00806EFF" w:rsidRPr="00806EFF" w:rsidRDefault="00F9741D" w:rsidP="00806EFF">
            <w:pPr>
              <w:jc w:val="right"/>
              <w:rPr>
                <w:rFonts w:ascii="Arial" w:hAnsi="Arial" w:cs="Arial"/>
                <w:b/>
                <w:sz w:val="18"/>
                <w:szCs w:val="18"/>
              </w:rPr>
            </w:pPr>
            <w:r>
              <w:rPr>
                <w:rFonts w:ascii="Arial" w:hAnsi="Arial" w:cs="Arial"/>
                <w:b/>
                <w:sz w:val="18"/>
                <w:szCs w:val="18"/>
              </w:rPr>
              <w:t>1</w:t>
            </w:r>
            <w:r w:rsidR="005742AD">
              <w:rPr>
                <w:rFonts w:ascii="Arial" w:hAnsi="Arial" w:cs="Arial"/>
                <w:b/>
                <w:sz w:val="18"/>
                <w:szCs w:val="18"/>
              </w:rPr>
              <w:t>6</w:t>
            </w:r>
          </w:p>
        </w:tc>
        <w:tc>
          <w:tcPr>
            <w:tcW w:w="616" w:type="pct"/>
            <w:tcBorders>
              <w:top w:val="nil"/>
              <w:left w:val="nil"/>
              <w:bottom w:val="single" w:sz="4" w:space="0" w:color="auto"/>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p>
        </w:tc>
        <w:tc>
          <w:tcPr>
            <w:tcW w:w="486" w:type="pct"/>
            <w:tcBorders>
              <w:top w:val="nil"/>
              <w:left w:val="nil"/>
              <w:bottom w:val="single" w:sz="4" w:space="0" w:color="auto"/>
              <w:right w:val="nil"/>
            </w:tcBorders>
            <w:shd w:val="clear" w:color="auto" w:fill="auto"/>
            <w:noWrap/>
          </w:tcPr>
          <w:p w:rsidR="00806EFF" w:rsidRPr="00806EFF" w:rsidRDefault="00F9741D" w:rsidP="00806EFF">
            <w:pPr>
              <w:jc w:val="right"/>
              <w:rPr>
                <w:rFonts w:ascii="Arial" w:hAnsi="Arial" w:cs="Arial"/>
                <w:b/>
                <w:sz w:val="18"/>
                <w:szCs w:val="18"/>
              </w:rPr>
            </w:pPr>
            <w:r>
              <w:rPr>
                <w:rFonts w:ascii="Arial" w:hAnsi="Arial" w:cs="Arial"/>
                <w:b/>
                <w:sz w:val="18"/>
                <w:szCs w:val="18"/>
              </w:rPr>
              <w:t>1</w:t>
            </w:r>
            <w:r w:rsidR="005742AD">
              <w:rPr>
                <w:rFonts w:ascii="Arial" w:hAnsi="Arial" w:cs="Arial"/>
                <w:b/>
                <w:sz w:val="18"/>
                <w:szCs w:val="18"/>
              </w:rPr>
              <w:t>6</w:t>
            </w:r>
          </w:p>
        </w:tc>
        <w:tc>
          <w:tcPr>
            <w:tcW w:w="578" w:type="pct"/>
            <w:tcBorders>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13</w:t>
            </w:r>
          </w:p>
        </w:tc>
        <w:tc>
          <w:tcPr>
            <w:tcW w:w="578" w:type="pct"/>
            <w:tcBorders>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w:t>
            </w:r>
          </w:p>
        </w:tc>
        <w:tc>
          <w:tcPr>
            <w:tcW w:w="482" w:type="pct"/>
            <w:tcBorders>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13</w:t>
            </w:r>
          </w:p>
        </w:tc>
      </w:tr>
      <w:tr w:rsidR="00806EFF" w:rsidRPr="00EF1091" w:rsidTr="0011413D">
        <w:trPr>
          <w:trHeight w:val="225"/>
        </w:trPr>
        <w:tc>
          <w:tcPr>
            <w:tcW w:w="1448" w:type="pct"/>
            <w:tcBorders>
              <w:top w:val="single" w:sz="4" w:space="0" w:color="auto"/>
              <w:left w:val="nil"/>
              <w:bottom w:val="nil"/>
              <w:right w:val="nil"/>
            </w:tcBorders>
            <w:shd w:val="clear" w:color="auto" w:fill="auto"/>
            <w:vAlign w:val="bottom"/>
          </w:tcPr>
          <w:p w:rsidR="00806EFF" w:rsidRPr="00281AF4" w:rsidRDefault="00806EFF" w:rsidP="00806EFF">
            <w:pPr>
              <w:rPr>
                <w:rFonts w:ascii="Arial" w:hAnsi="Arial" w:cs="Arial"/>
                <w:bCs/>
                <w:sz w:val="18"/>
                <w:szCs w:val="18"/>
              </w:rPr>
            </w:pPr>
            <w:r w:rsidRPr="00281AF4">
              <w:rPr>
                <w:rFonts w:ascii="Arial" w:hAnsi="Arial" w:cs="Arial"/>
                <w:bCs/>
                <w:sz w:val="18"/>
                <w:szCs w:val="18"/>
              </w:rPr>
              <w:t>Net finance costs</w:t>
            </w:r>
          </w:p>
        </w:tc>
        <w:tc>
          <w:tcPr>
            <w:tcW w:w="269" w:type="pct"/>
            <w:tcBorders>
              <w:top w:val="single" w:sz="4" w:space="0" w:color="auto"/>
              <w:left w:val="nil"/>
              <w:bottom w:val="nil"/>
              <w:right w:val="nil"/>
            </w:tcBorders>
            <w:shd w:val="clear" w:color="auto" w:fill="auto"/>
            <w:vAlign w:val="bottom"/>
          </w:tcPr>
          <w:p w:rsidR="00806EFF" w:rsidRPr="00281AF4" w:rsidRDefault="00806EFF" w:rsidP="00806EFF">
            <w:pPr>
              <w:jc w:val="center"/>
              <w:rPr>
                <w:rFonts w:ascii="Arial" w:hAnsi="Arial" w:cs="Arial"/>
                <w:sz w:val="18"/>
                <w:szCs w:val="18"/>
              </w:rPr>
            </w:pPr>
            <w:r w:rsidRPr="00281AF4">
              <w:rPr>
                <w:rFonts w:ascii="Arial" w:hAnsi="Arial" w:cs="Arial"/>
                <w:sz w:val="18"/>
                <w:szCs w:val="18"/>
              </w:rPr>
              <w:t>5</w:t>
            </w:r>
          </w:p>
        </w:tc>
        <w:tc>
          <w:tcPr>
            <w:tcW w:w="543" w:type="pct"/>
            <w:tcBorders>
              <w:top w:val="nil"/>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(3)</w:t>
            </w:r>
          </w:p>
        </w:tc>
        <w:tc>
          <w:tcPr>
            <w:tcW w:w="616" w:type="pct"/>
            <w:tcBorders>
              <w:top w:val="nil"/>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p>
        </w:tc>
        <w:tc>
          <w:tcPr>
            <w:tcW w:w="486" w:type="pct"/>
            <w:tcBorders>
              <w:top w:val="nil"/>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(3)</w:t>
            </w:r>
          </w:p>
        </w:tc>
        <w:tc>
          <w:tcPr>
            <w:tcW w:w="578"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(8)</w:t>
            </w:r>
          </w:p>
        </w:tc>
        <w:tc>
          <w:tcPr>
            <w:tcW w:w="578"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(6)</w:t>
            </w:r>
          </w:p>
        </w:tc>
        <w:tc>
          <w:tcPr>
            <w:tcW w:w="482"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(14)</w:t>
            </w:r>
          </w:p>
        </w:tc>
      </w:tr>
      <w:tr w:rsidR="00806EFF" w:rsidRPr="00EF1091" w:rsidTr="0011413D">
        <w:trPr>
          <w:trHeight w:val="225"/>
        </w:trPr>
        <w:tc>
          <w:tcPr>
            <w:tcW w:w="1448" w:type="pct"/>
            <w:tcBorders>
              <w:top w:val="single" w:sz="4" w:space="0" w:color="auto"/>
              <w:left w:val="nil"/>
              <w:bottom w:val="nil"/>
              <w:right w:val="nil"/>
            </w:tcBorders>
            <w:shd w:val="clear" w:color="auto" w:fill="auto"/>
            <w:vAlign w:val="bottom"/>
          </w:tcPr>
          <w:p w:rsidR="00806EFF" w:rsidRPr="00EF1091" w:rsidRDefault="00806EFF" w:rsidP="00806EFF">
            <w:pPr>
              <w:rPr>
                <w:rFonts w:ascii="Arial" w:hAnsi="Arial" w:cs="Arial"/>
                <w:b/>
                <w:bCs/>
                <w:sz w:val="18"/>
                <w:szCs w:val="18"/>
              </w:rPr>
            </w:pPr>
            <w:r w:rsidRPr="00EF1091">
              <w:rPr>
                <w:rFonts w:ascii="Arial" w:hAnsi="Arial" w:cs="Arial"/>
                <w:b/>
                <w:bCs/>
                <w:sz w:val="18"/>
                <w:szCs w:val="18"/>
              </w:rPr>
              <w:t>Profit before taxation</w:t>
            </w:r>
          </w:p>
        </w:tc>
        <w:tc>
          <w:tcPr>
            <w:tcW w:w="269" w:type="pct"/>
            <w:tcBorders>
              <w:top w:val="single" w:sz="4" w:space="0" w:color="auto"/>
              <w:left w:val="nil"/>
              <w:bottom w:val="nil"/>
              <w:right w:val="nil"/>
            </w:tcBorders>
            <w:shd w:val="clear" w:color="auto" w:fill="auto"/>
            <w:noWrap/>
            <w:vAlign w:val="bottom"/>
          </w:tcPr>
          <w:p w:rsidR="00806EFF" w:rsidRPr="00EF1091" w:rsidRDefault="00806EFF" w:rsidP="00806EFF">
            <w:pPr>
              <w:jc w:val="center"/>
              <w:rPr>
                <w:rFonts w:ascii="Arial" w:hAnsi="Arial" w:cs="Arial"/>
                <w:sz w:val="18"/>
                <w:szCs w:val="18"/>
              </w:rPr>
            </w:pPr>
          </w:p>
        </w:tc>
        <w:tc>
          <w:tcPr>
            <w:tcW w:w="543" w:type="pct"/>
            <w:tcBorders>
              <w:top w:val="single" w:sz="4" w:space="0" w:color="auto"/>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682</w:t>
            </w:r>
          </w:p>
        </w:tc>
        <w:tc>
          <w:tcPr>
            <w:tcW w:w="616" w:type="pct"/>
            <w:tcBorders>
              <w:top w:val="single" w:sz="4" w:space="0" w:color="auto"/>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p>
        </w:tc>
        <w:tc>
          <w:tcPr>
            <w:tcW w:w="486" w:type="pct"/>
            <w:tcBorders>
              <w:top w:val="single" w:sz="4" w:space="0" w:color="auto"/>
              <w:left w:val="nil"/>
              <w:bottom w:val="nil"/>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682</w:t>
            </w:r>
          </w:p>
        </w:tc>
        <w:tc>
          <w:tcPr>
            <w:tcW w:w="578"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742</w:t>
            </w:r>
          </w:p>
        </w:tc>
        <w:tc>
          <w:tcPr>
            <w:tcW w:w="578"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17</w:t>
            </w:r>
          </w:p>
        </w:tc>
        <w:tc>
          <w:tcPr>
            <w:tcW w:w="482" w:type="pct"/>
            <w:tcBorders>
              <w:top w:val="single" w:sz="4" w:space="0" w:color="auto"/>
              <w:left w:val="nil"/>
              <w:bottom w:val="nil"/>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759</w:t>
            </w:r>
          </w:p>
        </w:tc>
      </w:tr>
      <w:tr w:rsidR="00806EFF" w:rsidRPr="00EF1091" w:rsidTr="0011413D">
        <w:trPr>
          <w:trHeight w:val="225"/>
        </w:trPr>
        <w:tc>
          <w:tcPr>
            <w:tcW w:w="1448" w:type="pct"/>
            <w:tcBorders>
              <w:top w:val="nil"/>
              <w:left w:val="nil"/>
              <w:bottom w:val="single" w:sz="4" w:space="0" w:color="auto"/>
              <w:right w:val="nil"/>
            </w:tcBorders>
            <w:shd w:val="clear" w:color="auto" w:fill="auto"/>
            <w:vAlign w:val="bottom"/>
          </w:tcPr>
          <w:p w:rsidR="00806EFF" w:rsidRPr="00EF1091" w:rsidRDefault="00806EFF" w:rsidP="00806EFF">
            <w:pPr>
              <w:rPr>
                <w:rFonts w:ascii="Arial" w:hAnsi="Arial" w:cs="Arial"/>
                <w:sz w:val="18"/>
                <w:szCs w:val="18"/>
              </w:rPr>
            </w:pPr>
            <w:r w:rsidRPr="00EF1091">
              <w:rPr>
                <w:rFonts w:ascii="Arial" w:hAnsi="Arial" w:cs="Arial"/>
                <w:sz w:val="18"/>
                <w:szCs w:val="18"/>
              </w:rPr>
              <w:t>Income tax expense</w:t>
            </w:r>
          </w:p>
        </w:tc>
        <w:tc>
          <w:tcPr>
            <w:tcW w:w="269" w:type="pct"/>
            <w:tcBorders>
              <w:top w:val="nil"/>
              <w:left w:val="nil"/>
              <w:bottom w:val="single" w:sz="4" w:space="0" w:color="auto"/>
              <w:right w:val="nil"/>
            </w:tcBorders>
            <w:shd w:val="clear" w:color="auto" w:fill="auto"/>
            <w:noWrap/>
            <w:vAlign w:val="bottom"/>
          </w:tcPr>
          <w:p w:rsidR="00806EFF" w:rsidRPr="00EF1091" w:rsidRDefault="00806EFF" w:rsidP="00806EFF">
            <w:pPr>
              <w:jc w:val="center"/>
              <w:rPr>
                <w:rFonts w:ascii="Arial" w:hAnsi="Arial" w:cs="Arial"/>
                <w:sz w:val="18"/>
                <w:szCs w:val="18"/>
              </w:rPr>
            </w:pPr>
            <w:r>
              <w:rPr>
                <w:rFonts w:ascii="Arial" w:hAnsi="Arial" w:cs="Arial"/>
                <w:sz w:val="18"/>
                <w:szCs w:val="18"/>
              </w:rPr>
              <w:t>6</w:t>
            </w:r>
          </w:p>
        </w:tc>
        <w:tc>
          <w:tcPr>
            <w:tcW w:w="543" w:type="pct"/>
            <w:tcBorders>
              <w:top w:val="nil"/>
              <w:left w:val="nil"/>
              <w:bottom w:val="single" w:sz="4" w:space="0" w:color="auto"/>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(197)</w:t>
            </w:r>
          </w:p>
        </w:tc>
        <w:tc>
          <w:tcPr>
            <w:tcW w:w="616" w:type="pct"/>
            <w:tcBorders>
              <w:top w:val="nil"/>
              <w:left w:val="nil"/>
              <w:bottom w:val="single" w:sz="4" w:space="0" w:color="auto"/>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p>
        </w:tc>
        <w:tc>
          <w:tcPr>
            <w:tcW w:w="486" w:type="pct"/>
            <w:tcBorders>
              <w:top w:val="nil"/>
              <w:left w:val="nil"/>
              <w:bottom w:val="single" w:sz="4" w:space="0" w:color="auto"/>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(197)</w:t>
            </w:r>
          </w:p>
        </w:tc>
        <w:tc>
          <w:tcPr>
            <w:tcW w:w="578" w:type="pct"/>
            <w:tcBorders>
              <w:top w:val="nil"/>
              <w:left w:val="nil"/>
              <w:bottom w:val="single" w:sz="4" w:space="0" w:color="auto"/>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(143)</w:t>
            </w:r>
          </w:p>
        </w:tc>
        <w:tc>
          <w:tcPr>
            <w:tcW w:w="578" w:type="pct"/>
            <w:tcBorders>
              <w:top w:val="nil"/>
              <w:left w:val="nil"/>
              <w:bottom w:val="single" w:sz="4" w:space="0" w:color="auto"/>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(6)</w:t>
            </w:r>
          </w:p>
        </w:tc>
        <w:tc>
          <w:tcPr>
            <w:tcW w:w="482" w:type="pct"/>
            <w:tcBorders>
              <w:top w:val="nil"/>
              <w:left w:val="nil"/>
              <w:bottom w:val="single" w:sz="4" w:space="0" w:color="auto"/>
              <w:right w:val="nil"/>
            </w:tcBorders>
            <w:shd w:val="clear" w:color="auto" w:fill="auto"/>
            <w:noWrap/>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(149)</w:t>
            </w:r>
          </w:p>
        </w:tc>
      </w:tr>
      <w:tr w:rsidR="00806EFF" w:rsidRPr="00EF1091" w:rsidTr="0011413D">
        <w:trPr>
          <w:trHeight w:val="225"/>
        </w:trPr>
        <w:tc>
          <w:tcPr>
            <w:tcW w:w="1448" w:type="pct"/>
            <w:tcBorders>
              <w:top w:val="single" w:sz="4" w:space="0" w:color="auto"/>
              <w:left w:val="nil"/>
              <w:bottom w:val="single" w:sz="12" w:space="0" w:color="auto"/>
              <w:right w:val="nil"/>
            </w:tcBorders>
            <w:shd w:val="clear" w:color="auto" w:fill="auto"/>
            <w:vAlign w:val="bottom"/>
          </w:tcPr>
          <w:p w:rsidR="00806EFF" w:rsidRPr="00EF1091" w:rsidRDefault="00806EFF" w:rsidP="00806EFF">
            <w:pPr>
              <w:rPr>
                <w:rFonts w:ascii="Arial" w:hAnsi="Arial" w:cs="Arial"/>
                <w:b/>
                <w:bCs/>
                <w:sz w:val="18"/>
                <w:szCs w:val="18"/>
              </w:rPr>
            </w:pPr>
            <w:r w:rsidRPr="00EF1091">
              <w:rPr>
                <w:rFonts w:ascii="Arial" w:hAnsi="Arial" w:cs="Arial"/>
                <w:b/>
                <w:bCs/>
                <w:sz w:val="18"/>
                <w:szCs w:val="18"/>
              </w:rPr>
              <w:t>Profit for the year</w:t>
            </w:r>
          </w:p>
        </w:tc>
        <w:tc>
          <w:tcPr>
            <w:tcW w:w="269" w:type="pct"/>
            <w:tcBorders>
              <w:top w:val="single" w:sz="4" w:space="0" w:color="auto"/>
              <w:left w:val="nil"/>
              <w:bottom w:val="single" w:sz="12" w:space="0" w:color="auto"/>
              <w:right w:val="nil"/>
            </w:tcBorders>
            <w:shd w:val="clear" w:color="auto" w:fill="auto"/>
            <w:vAlign w:val="bottom"/>
          </w:tcPr>
          <w:p w:rsidR="00806EFF" w:rsidRPr="00F94F28" w:rsidRDefault="00806EFF" w:rsidP="00806EFF">
            <w:pPr>
              <w:jc w:val="center"/>
              <w:rPr>
                <w:rFonts w:ascii="Arial" w:hAnsi="Arial" w:cs="Arial"/>
                <w:b/>
                <w:bCs/>
                <w:sz w:val="18"/>
                <w:szCs w:val="18"/>
              </w:rPr>
            </w:pPr>
            <w:r w:rsidRPr="00F94F28">
              <w:rPr>
                <w:rFonts w:ascii="Arial" w:hAnsi="Arial" w:cs="Arial"/>
                <w:b/>
                <w:bCs/>
                <w:sz w:val="18"/>
                <w:szCs w:val="18"/>
              </w:rPr>
              <w:t> </w:t>
            </w:r>
          </w:p>
        </w:tc>
        <w:tc>
          <w:tcPr>
            <w:tcW w:w="543" w:type="pct"/>
            <w:tcBorders>
              <w:top w:val="single" w:sz="4" w:space="0" w:color="auto"/>
              <w:left w:val="nil"/>
              <w:bottom w:val="single" w:sz="12" w:space="0" w:color="auto"/>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485</w:t>
            </w:r>
          </w:p>
        </w:tc>
        <w:tc>
          <w:tcPr>
            <w:tcW w:w="616" w:type="pct"/>
            <w:tcBorders>
              <w:top w:val="single" w:sz="4" w:space="0" w:color="auto"/>
              <w:left w:val="nil"/>
              <w:bottom w:val="single" w:sz="12" w:space="0" w:color="auto"/>
              <w:right w:val="nil"/>
            </w:tcBorders>
            <w:shd w:val="clear" w:color="auto" w:fill="auto"/>
            <w:noWrap/>
          </w:tcPr>
          <w:p w:rsidR="00806EFF" w:rsidRPr="00806EFF" w:rsidRDefault="00806EFF" w:rsidP="00806EFF">
            <w:pPr>
              <w:jc w:val="right"/>
              <w:rPr>
                <w:rFonts w:ascii="Arial" w:hAnsi="Arial" w:cs="Arial"/>
                <w:b/>
                <w:sz w:val="18"/>
                <w:szCs w:val="18"/>
              </w:rPr>
            </w:pPr>
            <w:r w:rsidRPr="00806EFF">
              <w:rPr>
                <w:rFonts w:ascii="Arial" w:hAnsi="Arial" w:cs="Arial"/>
                <w:b/>
                <w:sz w:val="18"/>
                <w:szCs w:val="18"/>
              </w:rPr>
              <w:t>–</w:t>
            </w:r>
          </w:p>
        </w:tc>
        <w:tc>
          <w:tcPr>
            <w:tcW w:w="486" w:type="pct"/>
            <w:tcBorders>
              <w:top w:val="single" w:sz="4" w:space="0" w:color="auto"/>
              <w:left w:val="nil"/>
              <w:bottom w:val="single" w:sz="12" w:space="0" w:color="auto"/>
              <w:right w:val="nil"/>
            </w:tcBorders>
            <w:shd w:val="clear" w:color="auto" w:fill="auto"/>
            <w:noWrap/>
          </w:tcPr>
          <w:p w:rsidR="00806EFF" w:rsidRPr="00806EFF" w:rsidRDefault="00E7542E" w:rsidP="00806EFF">
            <w:pPr>
              <w:jc w:val="right"/>
              <w:rPr>
                <w:rFonts w:ascii="Arial" w:hAnsi="Arial" w:cs="Arial"/>
                <w:b/>
                <w:sz w:val="18"/>
                <w:szCs w:val="18"/>
              </w:rPr>
            </w:pPr>
            <w:r>
              <w:rPr>
                <w:rFonts w:ascii="Arial" w:hAnsi="Arial" w:cs="Arial"/>
                <w:b/>
                <w:sz w:val="18"/>
                <w:szCs w:val="18"/>
              </w:rPr>
              <w:t>485</w:t>
            </w:r>
          </w:p>
        </w:tc>
        <w:tc>
          <w:tcPr>
            <w:tcW w:w="578" w:type="pct"/>
            <w:tcBorders>
              <w:top w:val="single" w:sz="4" w:space="0" w:color="auto"/>
              <w:left w:val="nil"/>
              <w:bottom w:val="single" w:sz="12" w:space="0" w:color="auto"/>
              <w:right w:val="nil"/>
            </w:tcBorders>
            <w:shd w:val="clear" w:color="auto" w:fill="auto"/>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599</w:t>
            </w:r>
          </w:p>
        </w:tc>
        <w:tc>
          <w:tcPr>
            <w:tcW w:w="578" w:type="pct"/>
            <w:tcBorders>
              <w:top w:val="single" w:sz="4" w:space="0" w:color="auto"/>
              <w:left w:val="nil"/>
              <w:bottom w:val="single" w:sz="12" w:space="0" w:color="auto"/>
              <w:right w:val="nil"/>
            </w:tcBorders>
            <w:shd w:val="clear" w:color="auto" w:fill="auto"/>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11</w:t>
            </w:r>
          </w:p>
        </w:tc>
        <w:tc>
          <w:tcPr>
            <w:tcW w:w="482" w:type="pct"/>
            <w:tcBorders>
              <w:top w:val="single" w:sz="4" w:space="0" w:color="auto"/>
              <w:left w:val="nil"/>
              <w:bottom w:val="single" w:sz="12" w:space="0" w:color="auto"/>
              <w:right w:val="nil"/>
            </w:tcBorders>
            <w:shd w:val="clear" w:color="auto" w:fill="auto"/>
            <w:vAlign w:val="bottom"/>
          </w:tcPr>
          <w:p w:rsidR="00806EFF" w:rsidRPr="0011413D" w:rsidRDefault="00806EFF" w:rsidP="00806EFF">
            <w:pPr>
              <w:ind w:right="92"/>
              <w:jc w:val="right"/>
              <w:rPr>
                <w:rFonts w:ascii="Arial" w:hAnsi="Arial" w:cs="Arial"/>
                <w:sz w:val="18"/>
                <w:szCs w:val="18"/>
              </w:rPr>
            </w:pPr>
            <w:r w:rsidRPr="0011413D">
              <w:rPr>
                <w:rFonts w:ascii="Arial" w:hAnsi="Arial" w:cs="Arial"/>
                <w:sz w:val="18"/>
                <w:szCs w:val="18"/>
              </w:rPr>
              <w:t>610</w:t>
            </w:r>
          </w:p>
        </w:tc>
      </w:tr>
      <w:tr w:rsidR="000864B4" w:rsidRPr="00EF1091" w:rsidTr="001606EE">
        <w:trPr>
          <w:trHeight w:val="105"/>
        </w:trPr>
        <w:tc>
          <w:tcPr>
            <w:tcW w:w="1448" w:type="pct"/>
            <w:tcBorders>
              <w:top w:val="single" w:sz="12" w:space="0" w:color="auto"/>
              <w:left w:val="nil"/>
              <w:right w:val="nil"/>
            </w:tcBorders>
            <w:shd w:val="clear" w:color="auto" w:fill="auto"/>
            <w:vAlign w:val="bottom"/>
          </w:tcPr>
          <w:p w:rsidR="000864B4" w:rsidRPr="00EF1091" w:rsidRDefault="000864B4" w:rsidP="000864B4">
            <w:pPr>
              <w:rPr>
                <w:rFonts w:ascii="Arial" w:hAnsi="Arial" w:cs="Arial"/>
                <w:b/>
                <w:bCs/>
                <w:sz w:val="18"/>
                <w:szCs w:val="18"/>
              </w:rPr>
            </w:pPr>
          </w:p>
        </w:tc>
        <w:tc>
          <w:tcPr>
            <w:tcW w:w="269" w:type="pct"/>
            <w:tcBorders>
              <w:top w:val="single" w:sz="12" w:space="0" w:color="auto"/>
              <w:left w:val="nil"/>
              <w:right w:val="nil"/>
            </w:tcBorders>
            <w:shd w:val="clear" w:color="auto" w:fill="auto"/>
            <w:vAlign w:val="bottom"/>
          </w:tcPr>
          <w:p w:rsidR="000864B4" w:rsidRPr="00EF1091" w:rsidRDefault="000864B4" w:rsidP="000864B4">
            <w:pPr>
              <w:jc w:val="center"/>
              <w:rPr>
                <w:rFonts w:ascii="Arial" w:hAnsi="Arial" w:cs="Arial"/>
                <w:sz w:val="18"/>
                <w:szCs w:val="18"/>
              </w:rPr>
            </w:pPr>
          </w:p>
        </w:tc>
        <w:tc>
          <w:tcPr>
            <w:tcW w:w="543" w:type="pct"/>
            <w:tcBorders>
              <w:top w:val="single" w:sz="12" w:space="0" w:color="auto"/>
              <w:left w:val="nil"/>
              <w:right w:val="nil"/>
            </w:tcBorders>
            <w:shd w:val="clear" w:color="auto" w:fill="auto"/>
            <w:vAlign w:val="bottom"/>
          </w:tcPr>
          <w:p w:rsidR="000864B4" w:rsidRPr="006268ED" w:rsidRDefault="000864B4" w:rsidP="000864B4">
            <w:pPr>
              <w:ind w:right="92"/>
              <w:jc w:val="right"/>
              <w:rPr>
                <w:rFonts w:ascii="Arial" w:hAnsi="Arial" w:cs="Arial"/>
                <w:b/>
                <w:sz w:val="18"/>
                <w:szCs w:val="18"/>
              </w:rPr>
            </w:pPr>
          </w:p>
        </w:tc>
        <w:tc>
          <w:tcPr>
            <w:tcW w:w="616" w:type="pct"/>
            <w:tcBorders>
              <w:top w:val="single" w:sz="12" w:space="0" w:color="auto"/>
              <w:left w:val="nil"/>
              <w:right w:val="nil"/>
            </w:tcBorders>
            <w:shd w:val="clear" w:color="auto" w:fill="auto"/>
            <w:vAlign w:val="bottom"/>
          </w:tcPr>
          <w:p w:rsidR="000864B4" w:rsidRPr="006268ED" w:rsidRDefault="000864B4" w:rsidP="000864B4">
            <w:pPr>
              <w:ind w:right="92"/>
              <w:jc w:val="right"/>
              <w:rPr>
                <w:rFonts w:ascii="Arial" w:hAnsi="Arial" w:cs="Arial"/>
                <w:b/>
                <w:sz w:val="18"/>
                <w:szCs w:val="18"/>
              </w:rPr>
            </w:pPr>
          </w:p>
        </w:tc>
        <w:tc>
          <w:tcPr>
            <w:tcW w:w="486" w:type="pct"/>
            <w:tcBorders>
              <w:top w:val="single" w:sz="12" w:space="0" w:color="auto"/>
              <w:left w:val="nil"/>
              <w:right w:val="nil"/>
            </w:tcBorders>
            <w:shd w:val="clear" w:color="auto" w:fill="auto"/>
            <w:vAlign w:val="bottom"/>
          </w:tcPr>
          <w:p w:rsidR="000864B4" w:rsidRPr="006268ED" w:rsidRDefault="000864B4" w:rsidP="000864B4">
            <w:pPr>
              <w:ind w:right="92"/>
              <w:jc w:val="right"/>
              <w:rPr>
                <w:rFonts w:ascii="Arial" w:hAnsi="Arial" w:cs="Arial"/>
                <w:b/>
                <w:sz w:val="18"/>
                <w:szCs w:val="18"/>
              </w:rPr>
            </w:pPr>
          </w:p>
        </w:tc>
        <w:tc>
          <w:tcPr>
            <w:tcW w:w="578" w:type="pct"/>
            <w:tcBorders>
              <w:top w:val="single" w:sz="12" w:space="0" w:color="auto"/>
              <w:left w:val="nil"/>
              <w:right w:val="nil"/>
            </w:tcBorders>
            <w:shd w:val="clear" w:color="auto" w:fill="auto"/>
            <w:vAlign w:val="bottom"/>
          </w:tcPr>
          <w:p w:rsidR="000864B4" w:rsidRPr="000864B4" w:rsidRDefault="000864B4" w:rsidP="000864B4">
            <w:pPr>
              <w:ind w:right="92"/>
              <w:jc w:val="right"/>
              <w:rPr>
                <w:rFonts w:ascii="Arial" w:hAnsi="Arial" w:cs="Arial"/>
                <w:sz w:val="18"/>
                <w:szCs w:val="18"/>
              </w:rPr>
            </w:pPr>
          </w:p>
        </w:tc>
        <w:tc>
          <w:tcPr>
            <w:tcW w:w="578" w:type="pct"/>
            <w:tcBorders>
              <w:top w:val="single" w:sz="12" w:space="0" w:color="auto"/>
              <w:left w:val="nil"/>
              <w:right w:val="nil"/>
            </w:tcBorders>
            <w:shd w:val="clear" w:color="auto" w:fill="auto"/>
            <w:vAlign w:val="bottom"/>
          </w:tcPr>
          <w:p w:rsidR="000864B4" w:rsidRPr="000864B4" w:rsidRDefault="000864B4" w:rsidP="000864B4">
            <w:pPr>
              <w:ind w:right="92"/>
              <w:jc w:val="right"/>
              <w:rPr>
                <w:rFonts w:ascii="Arial" w:hAnsi="Arial" w:cs="Arial"/>
                <w:sz w:val="18"/>
                <w:szCs w:val="18"/>
              </w:rPr>
            </w:pPr>
          </w:p>
        </w:tc>
        <w:tc>
          <w:tcPr>
            <w:tcW w:w="482" w:type="pct"/>
            <w:tcBorders>
              <w:top w:val="single" w:sz="12" w:space="0" w:color="auto"/>
              <w:left w:val="nil"/>
              <w:right w:val="nil"/>
            </w:tcBorders>
            <w:shd w:val="clear" w:color="auto" w:fill="auto"/>
            <w:vAlign w:val="bottom"/>
          </w:tcPr>
          <w:p w:rsidR="000864B4" w:rsidRPr="000864B4" w:rsidRDefault="000864B4" w:rsidP="000864B4">
            <w:pPr>
              <w:ind w:right="92"/>
              <w:jc w:val="right"/>
              <w:rPr>
                <w:rFonts w:ascii="Arial" w:hAnsi="Arial" w:cs="Arial"/>
                <w:sz w:val="18"/>
                <w:szCs w:val="18"/>
              </w:rPr>
            </w:pPr>
          </w:p>
        </w:tc>
      </w:tr>
      <w:tr w:rsidR="000864B4" w:rsidRPr="00EF1091" w:rsidTr="001606EE">
        <w:trPr>
          <w:trHeight w:val="90"/>
        </w:trPr>
        <w:tc>
          <w:tcPr>
            <w:tcW w:w="1448" w:type="pct"/>
            <w:tcBorders>
              <w:left w:val="nil"/>
              <w:bottom w:val="nil"/>
              <w:right w:val="nil"/>
            </w:tcBorders>
            <w:shd w:val="clear" w:color="auto" w:fill="auto"/>
            <w:vAlign w:val="bottom"/>
          </w:tcPr>
          <w:p w:rsidR="000864B4" w:rsidRPr="00EF1091" w:rsidRDefault="000864B4" w:rsidP="000864B4">
            <w:pPr>
              <w:rPr>
                <w:rFonts w:ascii="Arial" w:hAnsi="Arial" w:cs="Arial"/>
                <w:sz w:val="18"/>
                <w:szCs w:val="18"/>
              </w:rPr>
            </w:pPr>
          </w:p>
        </w:tc>
        <w:tc>
          <w:tcPr>
            <w:tcW w:w="269" w:type="pct"/>
            <w:tcBorders>
              <w:left w:val="nil"/>
              <w:bottom w:val="nil"/>
              <w:right w:val="nil"/>
            </w:tcBorders>
            <w:shd w:val="clear" w:color="auto" w:fill="auto"/>
            <w:noWrap/>
            <w:vAlign w:val="bottom"/>
          </w:tcPr>
          <w:p w:rsidR="000864B4" w:rsidRPr="00EF1091" w:rsidRDefault="000864B4" w:rsidP="000864B4">
            <w:pPr>
              <w:jc w:val="center"/>
              <w:rPr>
                <w:rFonts w:ascii="Arial" w:hAnsi="Arial" w:cs="Arial"/>
                <w:sz w:val="18"/>
                <w:szCs w:val="18"/>
              </w:rPr>
            </w:pPr>
          </w:p>
        </w:tc>
        <w:tc>
          <w:tcPr>
            <w:tcW w:w="543" w:type="pct"/>
            <w:tcBorders>
              <w:left w:val="nil"/>
              <w:bottom w:val="nil"/>
              <w:right w:val="nil"/>
            </w:tcBorders>
            <w:shd w:val="clear" w:color="auto" w:fill="auto"/>
            <w:noWrap/>
            <w:vAlign w:val="bottom"/>
          </w:tcPr>
          <w:p w:rsidR="000864B4" w:rsidRPr="006268ED" w:rsidRDefault="000864B4" w:rsidP="000864B4">
            <w:pPr>
              <w:jc w:val="right"/>
              <w:rPr>
                <w:rFonts w:ascii="Arial" w:hAnsi="Arial" w:cs="Arial"/>
                <w:b/>
                <w:bCs/>
                <w:sz w:val="18"/>
                <w:szCs w:val="18"/>
              </w:rPr>
            </w:pPr>
          </w:p>
        </w:tc>
        <w:tc>
          <w:tcPr>
            <w:tcW w:w="616" w:type="pct"/>
            <w:tcBorders>
              <w:left w:val="nil"/>
              <w:bottom w:val="nil"/>
              <w:right w:val="nil"/>
            </w:tcBorders>
            <w:shd w:val="clear" w:color="auto" w:fill="auto"/>
            <w:noWrap/>
            <w:vAlign w:val="bottom"/>
          </w:tcPr>
          <w:p w:rsidR="000864B4" w:rsidRPr="006268ED" w:rsidRDefault="000864B4" w:rsidP="000864B4">
            <w:pPr>
              <w:jc w:val="right"/>
              <w:rPr>
                <w:rFonts w:ascii="Arial" w:hAnsi="Arial" w:cs="Arial"/>
                <w:b/>
                <w:bCs/>
                <w:sz w:val="18"/>
                <w:szCs w:val="18"/>
              </w:rPr>
            </w:pPr>
          </w:p>
        </w:tc>
        <w:tc>
          <w:tcPr>
            <w:tcW w:w="486" w:type="pct"/>
            <w:tcBorders>
              <w:left w:val="nil"/>
              <w:bottom w:val="nil"/>
              <w:right w:val="nil"/>
            </w:tcBorders>
            <w:shd w:val="clear" w:color="auto" w:fill="auto"/>
            <w:noWrap/>
            <w:vAlign w:val="bottom"/>
          </w:tcPr>
          <w:p w:rsidR="000864B4" w:rsidRPr="006268ED" w:rsidRDefault="000864B4" w:rsidP="000864B4">
            <w:pPr>
              <w:jc w:val="right"/>
              <w:rPr>
                <w:rFonts w:ascii="Arial" w:hAnsi="Arial" w:cs="Arial"/>
                <w:b/>
                <w:bCs/>
                <w:sz w:val="18"/>
                <w:szCs w:val="18"/>
              </w:rPr>
            </w:pPr>
          </w:p>
        </w:tc>
        <w:tc>
          <w:tcPr>
            <w:tcW w:w="578" w:type="pct"/>
            <w:tcBorders>
              <w:left w:val="nil"/>
              <w:bottom w:val="nil"/>
              <w:right w:val="nil"/>
            </w:tcBorders>
            <w:shd w:val="clear" w:color="auto" w:fill="auto"/>
            <w:noWrap/>
            <w:vAlign w:val="bottom"/>
          </w:tcPr>
          <w:p w:rsidR="000864B4" w:rsidRPr="000864B4" w:rsidRDefault="000864B4" w:rsidP="000864B4">
            <w:pPr>
              <w:jc w:val="right"/>
              <w:rPr>
                <w:rFonts w:ascii="Arial" w:hAnsi="Arial" w:cs="Arial"/>
                <w:bCs/>
                <w:sz w:val="18"/>
                <w:szCs w:val="18"/>
              </w:rPr>
            </w:pPr>
          </w:p>
        </w:tc>
        <w:tc>
          <w:tcPr>
            <w:tcW w:w="578" w:type="pct"/>
            <w:tcBorders>
              <w:left w:val="nil"/>
              <w:bottom w:val="nil"/>
              <w:right w:val="nil"/>
            </w:tcBorders>
            <w:shd w:val="clear" w:color="auto" w:fill="auto"/>
            <w:noWrap/>
            <w:vAlign w:val="bottom"/>
          </w:tcPr>
          <w:p w:rsidR="000864B4" w:rsidRPr="000864B4" w:rsidRDefault="000864B4" w:rsidP="000864B4">
            <w:pPr>
              <w:jc w:val="right"/>
              <w:rPr>
                <w:rFonts w:ascii="Arial" w:hAnsi="Arial" w:cs="Arial"/>
                <w:bCs/>
                <w:sz w:val="18"/>
                <w:szCs w:val="18"/>
              </w:rPr>
            </w:pPr>
          </w:p>
        </w:tc>
        <w:tc>
          <w:tcPr>
            <w:tcW w:w="482" w:type="pct"/>
            <w:tcBorders>
              <w:left w:val="nil"/>
              <w:bottom w:val="nil"/>
              <w:right w:val="nil"/>
            </w:tcBorders>
            <w:shd w:val="clear" w:color="auto" w:fill="auto"/>
            <w:noWrap/>
            <w:vAlign w:val="bottom"/>
          </w:tcPr>
          <w:p w:rsidR="000864B4" w:rsidRPr="000864B4" w:rsidRDefault="000864B4" w:rsidP="000864B4">
            <w:pPr>
              <w:jc w:val="right"/>
              <w:rPr>
                <w:rFonts w:ascii="Arial" w:hAnsi="Arial" w:cs="Arial"/>
                <w:bCs/>
                <w:sz w:val="18"/>
                <w:szCs w:val="18"/>
              </w:rPr>
            </w:pPr>
          </w:p>
        </w:tc>
      </w:tr>
      <w:tr w:rsidR="000864B4" w:rsidRPr="00EF1091" w:rsidTr="001606EE">
        <w:trPr>
          <w:trHeight w:val="225"/>
        </w:trPr>
        <w:tc>
          <w:tcPr>
            <w:tcW w:w="1448" w:type="pct"/>
            <w:tcBorders>
              <w:top w:val="nil"/>
              <w:left w:val="nil"/>
              <w:bottom w:val="nil"/>
              <w:right w:val="nil"/>
            </w:tcBorders>
            <w:shd w:val="clear" w:color="auto" w:fill="auto"/>
            <w:vAlign w:val="bottom"/>
          </w:tcPr>
          <w:p w:rsidR="000864B4" w:rsidRPr="00806EFF" w:rsidRDefault="000864B4" w:rsidP="000864B4">
            <w:pPr>
              <w:rPr>
                <w:rFonts w:ascii="Arial" w:hAnsi="Arial" w:cs="Arial"/>
                <w:b/>
                <w:bCs/>
                <w:sz w:val="18"/>
                <w:szCs w:val="18"/>
              </w:rPr>
            </w:pPr>
            <w:r w:rsidRPr="00806EFF">
              <w:rPr>
                <w:rFonts w:ascii="Arial" w:hAnsi="Arial" w:cs="Arial"/>
                <w:b/>
                <w:bCs/>
                <w:sz w:val="18"/>
                <w:szCs w:val="18"/>
              </w:rPr>
              <w:t xml:space="preserve">Earnings per share </w:t>
            </w:r>
          </w:p>
        </w:tc>
        <w:tc>
          <w:tcPr>
            <w:tcW w:w="269" w:type="pct"/>
            <w:tcBorders>
              <w:top w:val="nil"/>
              <w:left w:val="nil"/>
              <w:bottom w:val="nil"/>
              <w:right w:val="nil"/>
            </w:tcBorders>
            <w:shd w:val="clear" w:color="auto" w:fill="auto"/>
            <w:vAlign w:val="bottom"/>
          </w:tcPr>
          <w:p w:rsidR="000864B4" w:rsidRPr="00806EFF" w:rsidRDefault="000864B4" w:rsidP="000864B4">
            <w:pPr>
              <w:jc w:val="center"/>
              <w:rPr>
                <w:rFonts w:ascii="Arial" w:hAnsi="Arial" w:cs="Arial"/>
                <w:sz w:val="18"/>
                <w:szCs w:val="18"/>
              </w:rPr>
            </w:pPr>
            <w:r w:rsidRPr="00806EFF">
              <w:rPr>
                <w:rFonts w:ascii="Arial" w:hAnsi="Arial" w:cs="Arial"/>
                <w:sz w:val="18"/>
                <w:szCs w:val="18"/>
              </w:rPr>
              <w:t>7</w:t>
            </w:r>
          </w:p>
        </w:tc>
        <w:tc>
          <w:tcPr>
            <w:tcW w:w="543" w:type="pct"/>
            <w:tcBorders>
              <w:top w:val="nil"/>
              <w:left w:val="nil"/>
              <w:bottom w:val="nil"/>
              <w:right w:val="nil"/>
            </w:tcBorders>
            <w:shd w:val="clear" w:color="auto" w:fill="auto"/>
            <w:vAlign w:val="bottom"/>
          </w:tcPr>
          <w:p w:rsidR="000864B4" w:rsidRPr="00806EFF" w:rsidRDefault="000864B4" w:rsidP="000864B4">
            <w:pPr>
              <w:ind w:right="92"/>
              <w:jc w:val="right"/>
              <w:rPr>
                <w:rFonts w:ascii="Arial" w:hAnsi="Arial" w:cs="Arial"/>
                <w:b/>
                <w:sz w:val="18"/>
                <w:szCs w:val="18"/>
              </w:rPr>
            </w:pPr>
          </w:p>
        </w:tc>
        <w:tc>
          <w:tcPr>
            <w:tcW w:w="616" w:type="pct"/>
            <w:tcBorders>
              <w:top w:val="nil"/>
              <w:left w:val="nil"/>
              <w:bottom w:val="nil"/>
              <w:right w:val="nil"/>
            </w:tcBorders>
            <w:shd w:val="clear" w:color="auto" w:fill="auto"/>
            <w:vAlign w:val="bottom"/>
          </w:tcPr>
          <w:p w:rsidR="000864B4" w:rsidRPr="00806EFF" w:rsidRDefault="000864B4" w:rsidP="000864B4">
            <w:pPr>
              <w:ind w:right="92"/>
              <w:jc w:val="right"/>
              <w:rPr>
                <w:rFonts w:ascii="Arial" w:hAnsi="Arial" w:cs="Arial"/>
                <w:b/>
                <w:sz w:val="18"/>
                <w:szCs w:val="18"/>
              </w:rPr>
            </w:pPr>
          </w:p>
        </w:tc>
        <w:tc>
          <w:tcPr>
            <w:tcW w:w="486" w:type="pct"/>
            <w:tcBorders>
              <w:top w:val="nil"/>
              <w:left w:val="nil"/>
              <w:bottom w:val="nil"/>
              <w:right w:val="nil"/>
            </w:tcBorders>
            <w:shd w:val="clear" w:color="auto" w:fill="auto"/>
            <w:vAlign w:val="bottom"/>
          </w:tcPr>
          <w:p w:rsidR="000864B4" w:rsidRPr="00806EFF" w:rsidRDefault="000864B4" w:rsidP="000864B4">
            <w:pPr>
              <w:ind w:right="92"/>
              <w:jc w:val="right"/>
              <w:rPr>
                <w:rFonts w:ascii="Arial" w:hAnsi="Arial" w:cs="Arial"/>
                <w:b/>
                <w:sz w:val="18"/>
                <w:szCs w:val="18"/>
              </w:rPr>
            </w:pPr>
          </w:p>
        </w:tc>
        <w:tc>
          <w:tcPr>
            <w:tcW w:w="578" w:type="pct"/>
            <w:tcBorders>
              <w:top w:val="nil"/>
              <w:left w:val="nil"/>
              <w:bottom w:val="nil"/>
              <w:right w:val="nil"/>
            </w:tcBorders>
            <w:shd w:val="clear" w:color="auto" w:fill="auto"/>
            <w:noWrap/>
            <w:vAlign w:val="bottom"/>
          </w:tcPr>
          <w:p w:rsidR="000864B4" w:rsidRPr="00806EFF" w:rsidRDefault="000864B4" w:rsidP="000864B4">
            <w:pPr>
              <w:ind w:right="92"/>
              <w:jc w:val="right"/>
              <w:rPr>
                <w:rFonts w:ascii="Arial" w:hAnsi="Arial" w:cs="Arial"/>
                <w:sz w:val="18"/>
                <w:szCs w:val="18"/>
              </w:rPr>
            </w:pPr>
          </w:p>
        </w:tc>
        <w:tc>
          <w:tcPr>
            <w:tcW w:w="578" w:type="pct"/>
            <w:tcBorders>
              <w:top w:val="nil"/>
              <w:left w:val="nil"/>
              <w:bottom w:val="nil"/>
              <w:right w:val="nil"/>
            </w:tcBorders>
            <w:shd w:val="clear" w:color="auto" w:fill="auto"/>
            <w:noWrap/>
            <w:vAlign w:val="bottom"/>
          </w:tcPr>
          <w:p w:rsidR="000864B4" w:rsidRPr="000864B4" w:rsidRDefault="000864B4" w:rsidP="000864B4">
            <w:pPr>
              <w:ind w:right="92"/>
              <w:jc w:val="right"/>
              <w:rPr>
                <w:rFonts w:ascii="Arial" w:hAnsi="Arial" w:cs="Arial"/>
                <w:sz w:val="18"/>
                <w:szCs w:val="18"/>
              </w:rPr>
            </w:pPr>
          </w:p>
        </w:tc>
        <w:tc>
          <w:tcPr>
            <w:tcW w:w="482" w:type="pct"/>
            <w:tcBorders>
              <w:top w:val="nil"/>
              <w:left w:val="nil"/>
              <w:bottom w:val="nil"/>
              <w:right w:val="nil"/>
            </w:tcBorders>
            <w:shd w:val="clear" w:color="auto" w:fill="auto"/>
            <w:noWrap/>
            <w:vAlign w:val="bottom"/>
          </w:tcPr>
          <w:p w:rsidR="000864B4" w:rsidRPr="000864B4" w:rsidRDefault="000864B4" w:rsidP="000864B4">
            <w:pPr>
              <w:ind w:right="92"/>
              <w:jc w:val="right"/>
              <w:rPr>
                <w:rFonts w:ascii="Arial" w:hAnsi="Arial" w:cs="Arial"/>
                <w:sz w:val="18"/>
                <w:szCs w:val="18"/>
              </w:rPr>
            </w:pPr>
          </w:p>
        </w:tc>
      </w:tr>
      <w:tr w:rsidR="0011413D" w:rsidRPr="00EF1091" w:rsidTr="001606EE">
        <w:trPr>
          <w:trHeight w:val="225"/>
        </w:trPr>
        <w:tc>
          <w:tcPr>
            <w:tcW w:w="1448" w:type="pct"/>
            <w:tcBorders>
              <w:top w:val="nil"/>
              <w:left w:val="nil"/>
              <w:right w:val="nil"/>
            </w:tcBorders>
            <w:shd w:val="clear" w:color="auto" w:fill="auto"/>
            <w:vAlign w:val="bottom"/>
          </w:tcPr>
          <w:p w:rsidR="0011413D" w:rsidRPr="00806EFF" w:rsidRDefault="0011413D" w:rsidP="0011413D">
            <w:pPr>
              <w:rPr>
                <w:rFonts w:ascii="Arial" w:hAnsi="Arial" w:cs="Arial"/>
                <w:sz w:val="18"/>
                <w:szCs w:val="18"/>
              </w:rPr>
            </w:pPr>
            <w:r w:rsidRPr="00806EFF">
              <w:rPr>
                <w:rFonts w:ascii="Arial" w:hAnsi="Arial" w:cs="Arial"/>
                <w:sz w:val="18"/>
                <w:szCs w:val="18"/>
              </w:rPr>
              <w:t>Basic</w:t>
            </w:r>
          </w:p>
        </w:tc>
        <w:tc>
          <w:tcPr>
            <w:tcW w:w="269" w:type="pct"/>
            <w:tcBorders>
              <w:top w:val="nil"/>
              <w:left w:val="nil"/>
              <w:right w:val="nil"/>
            </w:tcBorders>
            <w:shd w:val="clear" w:color="auto" w:fill="auto"/>
            <w:noWrap/>
            <w:vAlign w:val="bottom"/>
          </w:tcPr>
          <w:p w:rsidR="0011413D" w:rsidRPr="00806EFF" w:rsidRDefault="0011413D" w:rsidP="0011413D">
            <w:pPr>
              <w:jc w:val="center"/>
              <w:rPr>
                <w:rFonts w:ascii="Arial" w:hAnsi="Arial" w:cs="Arial"/>
                <w:sz w:val="18"/>
                <w:szCs w:val="18"/>
              </w:rPr>
            </w:pPr>
          </w:p>
        </w:tc>
        <w:tc>
          <w:tcPr>
            <w:tcW w:w="543" w:type="pct"/>
            <w:tcBorders>
              <w:top w:val="nil"/>
              <w:left w:val="nil"/>
              <w:right w:val="nil"/>
            </w:tcBorders>
            <w:shd w:val="clear" w:color="auto" w:fill="auto"/>
            <w:noWrap/>
            <w:vAlign w:val="bottom"/>
          </w:tcPr>
          <w:p w:rsidR="0011413D" w:rsidRPr="00806EFF" w:rsidRDefault="0011413D" w:rsidP="0011413D">
            <w:pPr>
              <w:ind w:right="92"/>
              <w:jc w:val="right"/>
              <w:rPr>
                <w:rFonts w:ascii="Arial" w:hAnsi="Arial" w:cs="Arial"/>
                <w:b/>
                <w:sz w:val="18"/>
                <w:szCs w:val="18"/>
              </w:rPr>
            </w:pPr>
          </w:p>
        </w:tc>
        <w:tc>
          <w:tcPr>
            <w:tcW w:w="616" w:type="pct"/>
            <w:tcBorders>
              <w:top w:val="nil"/>
              <w:left w:val="nil"/>
              <w:right w:val="nil"/>
            </w:tcBorders>
            <w:shd w:val="clear" w:color="auto" w:fill="auto"/>
            <w:noWrap/>
            <w:vAlign w:val="bottom"/>
          </w:tcPr>
          <w:p w:rsidR="0011413D" w:rsidRPr="00806EFF" w:rsidRDefault="0011413D" w:rsidP="0011413D">
            <w:pPr>
              <w:ind w:right="92"/>
              <w:jc w:val="right"/>
              <w:rPr>
                <w:rFonts w:ascii="Arial" w:hAnsi="Arial" w:cs="Arial"/>
                <w:b/>
                <w:sz w:val="18"/>
                <w:szCs w:val="18"/>
              </w:rPr>
            </w:pPr>
          </w:p>
        </w:tc>
        <w:tc>
          <w:tcPr>
            <w:tcW w:w="486" w:type="pct"/>
            <w:tcBorders>
              <w:top w:val="nil"/>
              <w:left w:val="nil"/>
              <w:right w:val="nil"/>
            </w:tcBorders>
            <w:shd w:val="clear" w:color="auto" w:fill="auto"/>
            <w:noWrap/>
            <w:vAlign w:val="bottom"/>
          </w:tcPr>
          <w:p w:rsidR="0011413D" w:rsidRPr="00806EFF" w:rsidRDefault="00806EFF" w:rsidP="0011413D">
            <w:pPr>
              <w:ind w:right="92"/>
              <w:jc w:val="right"/>
              <w:rPr>
                <w:rFonts w:ascii="Arial" w:hAnsi="Arial" w:cs="Arial"/>
                <w:b/>
                <w:sz w:val="18"/>
                <w:szCs w:val="18"/>
              </w:rPr>
            </w:pPr>
            <w:r w:rsidRPr="00806EFF">
              <w:rPr>
                <w:rFonts w:ascii="Arial" w:hAnsi="Arial" w:cs="Arial"/>
                <w:b/>
                <w:sz w:val="18"/>
                <w:szCs w:val="18"/>
              </w:rPr>
              <w:t>22.1</w:t>
            </w:r>
            <w:r w:rsidR="0011413D" w:rsidRPr="00806EFF">
              <w:rPr>
                <w:rFonts w:ascii="Arial" w:hAnsi="Arial" w:cs="Arial"/>
                <w:b/>
                <w:sz w:val="18"/>
                <w:szCs w:val="18"/>
              </w:rPr>
              <w:t>p</w:t>
            </w:r>
          </w:p>
        </w:tc>
        <w:tc>
          <w:tcPr>
            <w:tcW w:w="578" w:type="pct"/>
            <w:tcBorders>
              <w:top w:val="nil"/>
              <w:left w:val="nil"/>
              <w:right w:val="nil"/>
            </w:tcBorders>
            <w:shd w:val="clear" w:color="auto" w:fill="auto"/>
            <w:noWrap/>
            <w:vAlign w:val="bottom"/>
          </w:tcPr>
          <w:p w:rsidR="0011413D" w:rsidRPr="00806EFF" w:rsidRDefault="0011413D" w:rsidP="0011413D">
            <w:pPr>
              <w:ind w:right="92"/>
              <w:jc w:val="right"/>
              <w:rPr>
                <w:rFonts w:ascii="Arial" w:hAnsi="Arial" w:cs="Arial"/>
                <w:sz w:val="18"/>
                <w:szCs w:val="18"/>
              </w:rPr>
            </w:pPr>
          </w:p>
        </w:tc>
        <w:tc>
          <w:tcPr>
            <w:tcW w:w="578" w:type="pct"/>
            <w:tcBorders>
              <w:top w:val="nil"/>
              <w:left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top w:val="nil"/>
              <w:left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27.1p</w:t>
            </w:r>
          </w:p>
        </w:tc>
      </w:tr>
      <w:tr w:rsidR="0011413D" w:rsidRPr="00EF1091" w:rsidTr="001606EE">
        <w:trPr>
          <w:trHeight w:val="225"/>
        </w:trPr>
        <w:tc>
          <w:tcPr>
            <w:tcW w:w="1448" w:type="pct"/>
            <w:tcBorders>
              <w:top w:val="nil"/>
              <w:left w:val="nil"/>
              <w:right w:val="nil"/>
            </w:tcBorders>
            <w:shd w:val="clear" w:color="auto" w:fill="auto"/>
            <w:vAlign w:val="bottom"/>
          </w:tcPr>
          <w:p w:rsidR="0011413D" w:rsidRPr="00806EFF" w:rsidRDefault="0011413D" w:rsidP="0011413D">
            <w:pPr>
              <w:rPr>
                <w:rFonts w:ascii="Arial" w:hAnsi="Arial" w:cs="Arial"/>
                <w:sz w:val="18"/>
                <w:szCs w:val="18"/>
              </w:rPr>
            </w:pPr>
            <w:r w:rsidRPr="00806EFF">
              <w:rPr>
                <w:rFonts w:ascii="Arial" w:hAnsi="Arial" w:cs="Arial"/>
                <w:sz w:val="18"/>
                <w:szCs w:val="18"/>
              </w:rPr>
              <w:t>Diluted</w:t>
            </w:r>
          </w:p>
        </w:tc>
        <w:tc>
          <w:tcPr>
            <w:tcW w:w="269" w:type="pct"/>
            <w:tcBorders>
              <w:top w:val="nil"/>
              <w:left w:val="nil"/>
              <w:right w:val="nil"/>
            </w:tcBorders>
            <w:shd w:val="clear" w:color="auto" w:fill="auto"/>
            <w:noWrap/>
            <w:vAlign w:val="bottom"/>
          </w:tcPr>
          <w:p w:rsidR="0011413D" w:rsidRPr="00806EFF" w:rsidRDefault="0011413D" w:rsidP="0011413D">
            <w:pPr>
              <w:jc w:val="center"/>
              <w:rPr>
                <w:rFonts w:ascii="Arial" w:hAnsi="Arial" w:cs="Arial"/>
                <w:sz w:val="18"/>
                <w:szCs w:val="18"/>
              </w:rPr>
            </w:pPr>
          </w:p>
        </w:tc>
        <w:tc>
          <w:tcPr>
            <w:tcW w:w="543" w:type="pct"/>
            <w:tcBorders>
              <w:top w:val="nil"/>
              <w:left w:val="nil"/>
              <w:right w:val="nil"/>
            </w:tcBorders>
            <w:shd w:val="clear" w:color="auto" w:fill="auto"/>
            <w:noWrap/>
            <w:vAlign w:val="bottom"/>
          </w:tcPr>
          <w:p w:rsidR="0011413D" w:rsidRPr="00806EFF" w:rsidRDefault="0011413D" w:rsidP="0011413D">
            <w:pPr>
              <w:ind w:right="92"/>
              <w:jc w:val="right"/>
              <w:rPr>
                <w:rFonts w:ascii="Arial" w:hAnsi="Arial" w:cs="Arial"/>
                <w:b/>
                <w:sz w:val="18"/>
                <w:szCs w:val="18"/>
              </w:rPr>
            </w:pPr>
          </w:p>
        </w:tc>
        <w:tc>
          <w:tcPr>
            <w:tcW w:w="616" w:type="pct"/>
            <w:tcBorders>
              <w:top w:val="nil"/>
              <w:left w:val="nil"/>
              <w:right w:val="nil"/>
            </w:tcBorders>
            <w:shd w:val="clear" w:color="auto" w:fill="auto"/>
            <w:noWrap/>
            <w:vAlign w:val="bottom"/>
          </w:tcPr>
          <w:p w:rsidR="0011413D" w:rsidRPr="00A063AD" w:rsidRDefault="0011413D" w:rsidP="0011413D">
            <w:pPr>
              <w:ind w:right="92"/>
              <w:jc w:val="right"/>
              <w:rPr>
                <w:rFonts w:ascii="Arial" w:hAnsi="Arial" w:cs="Arial"/>
                <w:b/>
                <w:sz w:val="18"/>
                <w:szCs w:val="18"/>
              </w:rPr>
            </w:pPr>
          </w:p>
        </w:tc>
        <w:tc>
          <w:tcPr>
            <w:tcW w:w="486" w:type="pct"/>
            <w:tcBorders>
              <w:top w:val="nil"/>
              <w:left w:val="nil"/>
              <w:right w:val="nil"/>
            </w:tcBorders>
            <w:shd w:val="clear" w:color="auto" w:fill="auto"/>
            <w:noWrap/>
            <w:vAlign w:val="bottom"/>
          </w:tcPr>
          <w:p w:rsidR="0011413D" w:rsidRPr="00A063AD" w:rsidRDefault="00441AB4" w:rsidP="0011413D">
            <w:pPr>
              <w:ind w:right="92"/>
              <w:jc w:val="right"/>
              <w:rPr>
                <w:rFonts w:ascii="Arial" w:hAnsi="Arial" w:cs="Arial"/>
                <w:b/>
                <w:sz w:val="18"/>
                <w:szCs w:val="18"/>
              </w:rPr>
            </w:pPr>
            <w:r>
              <w:rPr>
                <w:rFonts w:ascii="Arial" w:hAnsi="Arial" w:cs="Arial"/>
                <w:b/>
                <w:sz w:val="18"/>
                <w:szCs w:val="18"/>
              </w:rPr>
              <w:t>22.0</w:t>
            </w:r>
            <w:r w:rsidR="0011413D" w:rsidRPr="007550F3">
              <w:rPr>
                <w:rFonts w:ascii="Arial" w:hAnsi="Arial" w:cs="Arial"/>
                <w:b/>
                <w:sz w:val="18"/>
                <w:szCs w:val="18"/>
              </w:rPr>
              <w:t>p</w:t>
            </w:r>
          </w:p>
        </w:tc>
        <w:tc>
          <w:tcPr>
            <w:tcW w:w="578" w:type="pct"/>
            <w:tcBorders>
              <w:top w:val="nil"/>
              <w:left w:val="nil"/>
              <w:right w:val="nil"/>
            </w:tcBorders>
            <w:shd w:val="clear" w:color="auto" w:fill="auto"/>
            <w:noWrap/>
            <w:vAlign w:val="bottom"/>
          </w:tcPr>
          <w:p w:rsidR="0011413D" w:rsidRPr="00806EFF" w:rsidRDefault="0011413D" w:rsidP="0011413D">
            <w:pPr>
              <w:ind w:right="92"/>
              <w:jc w:val="right"/>
              <w:rPr>
                <w:rFonts w:ascii="Arial" w:hAnsi="Arial" w:cs="Arial"/>
                <w:sz w:val="18"/>
                <w:szCs w:val="18"/>
              </w:rPr>
            </w:pPr>
          </w:p>
        </w:tc>
        <w:tc>
          <w:tcPr>
            <w:tcW w:w="578" w:type="pct"/>
            <w:tcBorders>
              <w:top w:val="nil"/>
              <w:left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top w:val="nil"/>
              <w:left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27.0p</w:t>
            </w:r>
          </w:p>
        </w:tc>
      </w:tr>
      <w:tr w:rsidR="0011413D" w:rsidRPr="00EF1091" w:rsidTr="001606EE">
        <w:trPr>
          <w:trHeight w:val="225"/>
        </w:trPr>
        <w:tc>
          <w:tcPr>
            <w:tcW w:w="1448" w:type="pct"/>
            <w:tcBorders>
              <w:left w:val="nil"/>
              <w:right w:val="nil"/>
            </w:tcBorders>
            <w:shd w:val="clear" w:color="auto" w:fill="auto"/>
            <w:vAlign w:val="bottom"/>
          </w:tcPr>
          <w:p w:rsidR="0011413D" w:rsidRPr="00806EFF" w:rsidRDefault="0011413D" w:rsidP="0011413D">
            <w:pPr>
              <w:rPr>
                <w:rFonts w:ascii="Arial" w:hAnsi="Arial" w:cs="Arial"/>
                <w:sz w:val="18"/>
                <w:szCs w:val="18"/>
              </w:rPr>
            </w:pPr>
            <w:r w:rsidRPr="00806EFF">
              <w:rPr>
                <w:rFonts w:ascii="Arial" w:hAnsi="Arial" w:cs="Arial"/>
                <w:sz w:val="18"/>
                <w:szCs w:val="18"/>
              </w:rPr>
              <w:t>Adjusted basic</w:t>
            </w:r>
          </w:p>
        </w:tc>
        <w:tc>
          <w:tcPr>
            <w:tcW w:w="269" w:type="pct"/>
            <w:tcBorders>
              <w:left w:val="nil"/>
              <w:right w:val="nil"/>
            </w:tcBorders>
            <w:shd w:val="clear" w:color="auto" w:fill="auto"/>
            <w:noWrap/>
            <w:vAlign w:val="bottom"/>
          </w:tcPr>
          <w:p w:rsidR="0011413D" w:rsidRPr="00806EFF" w:rsidRDefault="0011413D" w:rsidP="0011413D">
            <w:pPr>
              <w:jc w:val="center"/>
              <w:rPr>
                <w:rFonts w:ascii="Arial" w:hAnsi="Arial" w:cs="Arial"/>
                <w:sz w:val="18"/>
                <w:szCs w:val="18"/>
              </w:rPr>
            </w:pPr>
          </w:p>
        </w:tc>
        <w:tc>
          <w:tcPr>
            <w:tcW w:w="543" w:type="pct"/>
            <w:tcBorders>
              <w:left w:val="nil"/>
              <w:right w:val="nil"/>
            </w:tcBorders>
            <w:shd w:val="clear" w:color="auto" w:fill="auto"/>
            <w:noWrap/>
            <w:vAlign w:val="bottom"/>
          </w:tcPr>
          <w:p w:rsidR="0011413D" w:rsidRPr="00806EFF" w:rsidRDefault="0011413D" w:rsidP="0011413D">
            <w:pPr>
              <w:ind w:right="92"/>
              <w:jc w:val="right"/>
              <w:rPr>
                <w:rFonts w:ascii="Arial" w:hAnsi="Arial" w:cs="Arial"/>
                <w:b/>
                <w:sz w:val="18"/>
                <w:szCs w:val="18"/>
              </w:rPr>
            </w:pPr>
          </w:p>
        </w:tc>
        <w:tc>
          <w:tcPr>
            <w:tcW w:w="616" w:type="pct"/>
            <w:tcBorders>
              <w:left w:val="nil"/>
              <w:right w:val="nil"/>
            </w:tcBorders>
            <w:shd w:val="clear" w:color="auto" w:fill="auto"/>
            <w:noWrap/>
            <w:vAlign w:val="bottom"/>
          </w:tcPr>
          <w:p w:rsidR="0011413D" w:rsidRPr="00A063AD" w:rsidRDefault="0011413D" w:rsidP="0011413D">
            <w:pPr>
              <w:ind w:right="92"/>
              <w:jc w:val="right"/>
              <w:rPr>
                <w:rFonts w:ascii="Arial" w:hAnsi="Arial" w:cs="Arial"/>
                <w:b/>
                <w:sz w:val="18"/>
                <w:szCs w:val="18"/>
              </w:rPr>
            </w:pPr>
          </w:p>
        </w:tc>
        <w:tc>
          <w:tcPr>
            <w:tcW w:w="486" w:type="pct"/>
            <w:tcBorders>
              <w:left w:val="nil"/>
              <w:right w:val="nil"/>
            </w:tcBorders>
            <w:shd w:val="clear" w:color="auto" w:fill="auto"/>
            <w:noWrap/>
            <w:vAlign w:val="bottom"/>
          </w:tcPr>
          <w:p w:rsidR="0011413D" w:rsidRPr="00A063AD" w:rsidRDefault="00806EFF" w:rsidP="0011413D">
            <w:pPr>
              <w:ind w:right="92"/>
              <w:jc w:val="right"/>
              <w:rPr>
                <w:rFonts w:ascii="Arial" w:hAnsi="Arial" w:cs="Arial"/>
                <w:b/>
                <w:sz w:val="18"/>
                <w:szCs w:val="18"/>
              </w:rPr>
            </w:pPr>
            <w:r w:rsidRPr="00A063AD">
              <w:rPr>
                <w:rFonts w:ascii="Arial" w:hAnsi="Arial" w:cs="Arial"/>
                <w:b/>
                <w:sz w:val="18"/>
                <w:szCs w:val="18"/>
              </w:rPr>
              <w:t>21.8</w:t>
            </w:r>
            <w:r w:rsidR="0011413D" w:rsidRPr="00A063AD">
              <w:rPr>
                <w:rFonts w:ascii="Arial" w:hAnsi="Arial" w:cs="Arial"/>
                <w:b/>
                <w:sz w:val="18"/>
                <w:szCs w:val="18"/>
              </w:rPr>
              <w:t>p</w:t>
            </w:r>
          </w:p>
        </w:tc>
        <w:tc>
          <w:tcPr>
            <w:tcW w:w="578" w:type="pct"/>
            <w:tcBorders>
              <w:left w:val="nil"/>
              <w:right w:val="nil"/>
            </w:tcBorders>
            <w:shd w:val="clear" w:color="auto" w:fill="auto"/>
            <w:noWrap/>
            <w:vAlign w:val="bottom"/>
          </w:tcPr>
          <w:p w:rsidR="0011413D" w:rsidRPr="00806EFF" w:rsidRDefault="0011413D" w:rsidP="0011413D">
            <w:pPr>
              <w:ind w:right="92"/>
              <w:jc w:val="right"/>
              <w:rPr>
                <w:rFonts w:ascii="Arial" w:hAnsi="Arial" w:cs="Arial"/>
                <w:sz w:val="18"/>
                <w:szCs w:val="18"/>
              </w:rPr>
            </w:pPr>
          </w:p>
        </w:tc>
        <w:tc>
          <w:tcPr>
            <w:tcW w:w="578" w:type="pct"/>
            <w:tcBorders>
              <w:left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left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24.4p</w:t>
            </w:r>
          </w:p>
        </w:tc>
      </w:tr>
      <w:tr w:rsidR="0011413D" w:rsidRPr="00EF1091" w:rsidTr="001606EE">
        <w:trPr>
          <w:trHeight w:val="225"/>
        </w:trPr>
        <w:tc>
          <w:tcPr>
            <w:tcW w:w="1448" w:type="pct"/>
            <w:tcBorders>
              <w:top w:val="nil"/>
              <w:left w:val="nil"/>
              <w:bottom w:val="nil"/>
              <w:right w:val="nil"/>
            </w:tcBorders>
            <w:shd w:val="clear" w:color="auto" w:fill="auto"/>
            <w:vAlign w:val="bottom"/>
          </w:tcPr>
          <w:p w:rsidR="0011413D" w:rsidRPr="00806EFF" w:rsidRDefault="0011413D" w:rsidP="0011413D">
            <w:pPr>
              <w:rPr>
                <w:rFonts w:ascii="Arial" w:hAnsi="Arial" w:cs="Arial"/>
                <w:sz w:val="18"/>
                <w:szCs w:val="18"/>
              </w:rPr>
            </w:pPr>
            <w:r w:rsidRPr="00806EFF">
              <w:rPr>
                <w:rFonts w:ascii="Arial" w:hAnsi="Arial" w:cs="Arial"/>
                <w:sz w:val="18"/>
                <w:szCs w:val="18"/>
              </w:rPr>
              <w:t>Adjusted diluted</w:t>
            </w:r>
          </w:p>
        </w:tc>
        <w:tc>
          <w:tcPr>
            <w:tcW w:w="269" w:type="pct"/>
            <w:tcBorders>
              <w:top w:val="nil"/>
              <w:left w:val="nil"/>
              <w:bottom w:val="nil"/>
              <w:right w:val="nil"/>
            </w:tcBorders>
            <w:shd w:val="clear" w:color="auto" w:fill="auto"/>
            <w:noWrap/>
            <w:vAlign w:val="bottom"/>
          </w:tcPr>
          <w:p w:rsidR="0011413D" w:rsidRPr="00806EFF" w:rsidRDefault="0011413D" w:rsidP="0011413D">
            <w:pPr>
              <w:jc w:val="center"/>
              <w:rPr>
                <w:rFonts w:ascii="Arial" w:hAnsi="Arial" w:cs="Arial"/>
                <w:sz w:val="18"/>
                <w:szCs w:val="18"/>
              </w:rPr>
            </w:pPr>
          </w:p>
        </w:tc>
        <w:tc>
          <w:tcPr>
            <w:tcW w:w="543" w:type="pct"/>
            <w:tcBorders>
              <w:top w:val="nil"/>
              <w:left w:val="nil"/>
              <w:bottom w:val="nil"/>
              <w:right w:val="nil"/>
            </w:tcBorders>
            <w:shd w:val="clear" w:color="auto" w:fill="auto"/>
            <w:noWrap/>
            <w:vAlign w:val="bottom"/>
          </w:tcPr>
          <w:p w:rsidR="0011413D" w:rsidRPr="00806EFF" w:rsidRDefault="0011413D" w:rsidP="0011413D">
            <w:pPr>
              <w:ind w:right="92"/>
              <w:jc w:val="right"/>
              <w:rPr>
                <w:rFonts w:ascii="Arial" w:hAnsi="Arial" w:cs="Arial"/>
                <w:b/>
                <w:sz w:val="18"/>
                <w:szCs w:val="18"/>
              </w:rPr>
            </w:pPr>
          </w:p>
        </w:tc>
        <w:tc>
          <w:tcPr>
            <w:tcW w:w="616" w:type="pct"/>
            <w:tcBorders>
              <w:top w:val="nil"/>
              <w:left w:val="nil"/>
              <w:bottom w:val="nil"/>
              <w:right w:val="nil"/>
            </w:tcBorders>
            <w:shd w:val="clear" w:color="auto" w:fill="auto"/>
            <w:noWrap/>
            <w:vAlign w:val="bottom"/>
          </w:tcPr>
          <w:p w:rsidR="0011413D" w:rsidRPr="00A063AD" w:rsidRDefault="0011413D" w:rsidP="0011413D">
            <w:pPr>
              <w:ind w:right="92"/>
              <w:jc w:val="right"/>
              <w:rPr>
                <w:rFonts w:ascii="Arial" w:hAnsi="Arial" w:cs="Arial"/>
                <w:b/>
                <w:sz w:val="18"/>
                <w:szCs w:val="18"/>
              </w:rPr>
            </w:pPr>
          </w:p>
        </w:tc>
        <w:tc>
          <w:tcPr>
            <w:tcW w:w="486" w:type="pct"/>
            <w:tcBorders>
              <w:top w:val="nil"/>
              <w:left w:val="nil"/>
              <w:bottom w:val="nil"/>
              <w:right w:val="nil"/>
            </w:tcBorders>
            <w:shd w:val="clear" w:color="auto" w:fill="auto"/>
            <w:noWrap/>
            <w:vAlign w:val="bottom"/>
          </w:tcPr>
          <w:p w:rsidR="0011413D" w:rsidRPr="007550F3" w:rsidRDefault="00441AB4" w:rsidP="0011413D">
            <w:pPr>
              <w:ind w:right="92"/>
              <w:jc w:val="right"/>
              <w:rPr>
                <w:rFonts w:ascii="Arial" w:hAnsi="Arial" w:cs="Arial"/>
                <w:b/>
                <w:sz w:val="18"/>
                <w:szCs w:val="18"/>
              </w:rPr>
            </w:pPr>
            <w:r>
              <w:rPr>
                <w:rFonts w:ascii="Arial" w:hAnsi="Arial" w:cs="Arial"/>
                <w:b/>
                <w:sz w:val="18"/>
                <w:szCs w:val="18"/>
              </w:rPr>
              <w:t>21.7</w:t>
            </w:r>
            <w:r w:rsidR="0011413D" w:rsidRPr="007550F3">
              <w:rPr>
                <w:rFonts w:ascii="Arial" w:hAnsi="Arial" w:cs="Arial"/>
                <w:b/>
                <w:sz w:val="18"/>
                <w:szCs w:val="18"/>
              </w:rPr>
              <w:t>p</w:t>
            </w:r>
          </w:p>
        </w:tc>
        <w:tc>
          <w:tcPr>
            <w:tcW w:w="578" w:type="pct"/>
            <w:tcBorders>
              <w:top w:val="nil"/>
              <w:left w:val="nil"/>
              <w:bottom w:val="nil"/>
              <w:right w:val="nil"/>
            </w:tcBorders>
            <w:shd w:val="clear" w:color="auto" w:fill="auto"/>
            <w:noWrap/>
            <w:vAlign w:val="bottom"/>
          </w:tcPr>
          <w:p w:rsidR="0011413D" w:rsidRPr="00806EFF" w:rsidRDefault="0011413D" w:rsidP="0011413D">
            <w:pPr>
              <w:ind w:right="92"/>
              <w:jc w:val="right"/>
              <w:rPr>
                <w:rFonts w:ascii="Arial" w:hAnsi="Arial" w:cs="Arial"/>
                <w:sz w:val="18"/>
                <w:szCs w:val="18"/>
              </w:rPr>
            </w:pPr>
          </w:p>
        </w:tc>
        <w:tc>
          <w:tcPr>
            <w:tcW w:w="578" w:type="pct"/>
            <w:tcBorders>
              <w:top w:val="nil"/>
              <w:left w:val="nil"/>
              <w:bottom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24.3p</w:t>
            </w:r>
          </w:p>
        </w:tc>
      </w:tr>
      <w:tr w:rsidR="0011413D" w:rsidRPr="00EF1091" w:rsidTr="001606EE">
        <w:trPr>
          <w:trHeight w:val="225"/>
        </w:trPr>
        <w:tc>
          <w:tcPr>
            <w:tcW w:w="1448" w:type="pct"/>
            <w:tcBorders>
              <w:top w:val="nil"/>
              <w:left w:val="nil"/>
              <w:bottom w:val="nil"/>
              <w:right w:val="nil"/>
            </w:tcBorders>
            <w:shd w:val="clear" w:color="auto" w:fill="auto"/>
            <w:vAlign w:val="bottom"/>
          </w:tcPr>
          <w:p w:rsidR="0011413D" w:rsidRPr="00806EFF" w:rsidRDefault="0011413D" w:rsidP="0011413D">
            <w:pPr>
              <w:rPr>
                <w:rFonts w:ascii="Arial" w:hAnsi="Arial" w:cs="Arial"/>
                <w:sz w:val="18"/>
                <w:szCs w:val="18"/>
              </w:rPr>
            </w:pPr>
            <w:r w:rsidRPr="00806EFF">
              <w:rPr>
                <w:rFonts w:ascii="Arial" w:hAnsi="Arial" w:cs="Arial"/>
                <w:sz w:val="18"/>
                <w:szCs w:val="18"/>
              </w:rPr>
              <w:t>Underlying basic</w:t>
            </w:r>
          </w:p>
        </w:tc>
        <w:tc>
          <w:tcPr>
            <w:tcW w:w="269" w:type="pct"/>
            <w:tcBorders>
              <w:top w:val="nil"/>
              <w:left w:val="nil"/>
              <w:bottom w:val="nil"/>
              <w:right w:val="nil"/>
            </w:tcBorders>
            <w:shd w:val="clear" w:color="auto" w:fill="auto"/>
            <w:noWrap/>
            <w:vAlign w:val="bottom"/>
          </w:tcPr>
          <w:p w:rsidR="0011413D" w:rsidRPr="00806EFF" w:rsidRDefault="0011413D" w:rsidP="0011413D">
            <w:pPr>
              <w:jc w:val="center"/>
              <w:rPr>
                <w:rFonts w:ascii="Arial" w:hAnsi="Arial" w:cs="Arial"/>
                <w:sz w:val="18"/>
                <w:szCs w:val="18"/>
              </w:rPr>
            </w:pPr>
          </w:p>
        </w:tc>
        <w:tc>
          <w:tcPr>
            <w:tcW w:w="543" w:type="pct"/>
            <w:tcBorders>
              <w:top w:val="nil"/>
              <w:left w:val="nil"/>
              <w:bottom w:val="nil"/>
              <w:right w:val="nil"/>
            </w:tcBorders>
            <w:shd w:val="clear" w:color="auto" w:fill="auto"/>
            <w:noWrap/>
            <w:vAlign w:val="bottom"/>
          </w:tcPr>
          <w:p w:rsidR="0011413D" w:rsidRPr="00806EFF" w:rsidRDefault="0011413D" w:rsidP="0011413D">
            <w:pPr>
              <w:ind w:right="92"/>
              <w:jc w:val="right"/>
              <w:rPr>
                <w:rFonts w:ascii="Arial" w:hAnsi="Arial" w:cs="Arial"/>
                <w:b/>
                <w:sz w:val="18"/>
                <w:szCs w:val="18"/>
              </w:rPr>
            </w:pPr>
          </w:p>
        </w:tc>
        <w:tc>
          <w:tcPr>
            <w:tcW w:w="616" w:type="pct"/>
            <w:tcBorders>
              <w:top w:val="nil"/>
              <w:left w:val="nil"/>
              <w:bottom w:val="nil"/>
              <w:right w:val="nil"/>
            </w:tcBorders>
            <w:shd w:val="clear" w:color="auto" w:fill="auto"/>
            <w:noWrap/>
            <w:vAlign w:val="bottom"/>
          </w:tcPr>
          <w:p w:rsidR="0011413D" w:rsidRPr="00A063AD" w:rsidRDefault="0011413D" w:rsidP="0011413D">
            <w:pPr>
              <w:ind w:right="92"/>
              <w:jc w:val="right"/>
              <w:rPr>
                <w:rFonts w:ascii="Arial" w:hAnsi="Arial" w:cs="Arial"/>
                <w:b/>
                <w:sz w:val="18"/>
                <w:szCs w:val="18"/>
              </w:rPr>
            </w:pPr>
          </w:p>
        </w:tc>
        <w:tc>
          <w:tcPr>
            <w:tcW w:w="486" w:type="pct"/>
            <w:tcBorders>
              <w:top w:val="nil"/>
              <w:left w:val="nil"/>
              <w:bottom w:val="nil"/>
              <w:right w:val="nil"/>
            </w:tcBorders>
            <w:shd w:val="clear" w:color="auto" w:fill="auto"/>
            <w:noWrap/>
            <w:vAlign w:val="bottom"/>
          </w:tcPr>
          <w:p w:rsidR="0011413D" w:rsidRPr="00A063AD" w:rsidRDefault="00806EFF" w:rsidP="0011413D">
            <w:pPr>
              <w:ind w:right="92"/>
              <w:jc w:val="right"/>
              <w:rPr>
                <w:rFonts w:ascii="Arial" w:hAnsi="Arial" w:cs="Arial"/>
                <w:b/>
                <w:sz w:val="18"/>
                <w:szCs w:val="18"/>
              </w:rPr>
            </w:pPr>
            <w:r w:rsidRPr="00A063AD">
              <w:rPr>
                <w:rFonts w:ascii="Arial" w:hAnsi="Arial" w:cs="Arial"/>
                <w:b/>
                <w:sz w:val="18"/>
                <w:szCs w:val="18"/>
              </w:rPr>
              <w:t>25.5</w:t>
            </w:r>
            <w:r w:rsidR="0011413D" w:rsidRPr="00A063AD">
              <w:rPr>
                <w:rFonts w:ascii="Arial" w:hAnsi="Arial" w:cs="Arial"/>
                <w:b/>
                <w:sz w:val="18"/>
                <w:szCs w:val="18"/>
              </w:rPr>
              <w:t>p</w:t>
            </w:r>
          </w:p>
        </w:tc>
        <w:tc>
          <w:tcPr>
            <w:tcW w:w="578" w:type="pct"/>
            <w:tcBorders>
              <w:top w:val="nil"/>
              <w:left w:val="nil"/>
              <w:bottom w:val="nil"/>
              <w:right w:val="nil"/>
            </w:tcBorders>
            <w:shd w:val="clear" w:color="auto" w:fill="auto"/>
            <w:noWrap/>
            <w:vAlign w:val="bottom"/>
          </w:tcPr>
          <w:p w:rsidR="0011413D" w:rsidRPr="00806EFF" w:rsidRDefault="0011413D" w:rsidP="0011413D">
            <w:pPr>
              <w:ind w:right="92"/>
              <w:jc w:val="right"/>
              <w:rPr>
                <w:rFonts w:ascii="Arial" w:hAnsi="Arial" w:cs="Arial"/>
                <w:sz w:val="18"/>
                <w:szCs w:val="18"/>
              </w:rPr>
            </w:pPr>
          </w:p>
        </w:tc>
        <w:tc>
          <w:tcPr>
            <w:tcW w:w="578" w:type="pct"/>
            <w:tcBorders>
              <w:top w:val="nil"/>
              <w:left w:val="nil"/>
              <w:bottom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top w:val="nil"/>
              <w:left w:val="nil"/>
              <w:bottom w:val="nil"/>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25.9p</w:t>
            </w:r>
          </w:p>
        </w:tc>
      </w:tr>
      <w:tr w:rsidR="0011413D" w:rsidRPr="00EF1091" w:rsidTr="001606EE">
        <w:trPr>
          <w:trHeight w:val="225"/>
        </w:trPr>
        <w:tc>
          <w:tcPr>
            <w:tcW w:w="1448" w:type="pct"/>
            <w:tcBorders>
              <w:top w:val="nil"/>
              <w:left w:val="nil"/>
              <w:bottom w:val="single" w:sz="12" w:space="0" w:color="auto"/>
              <w:right w:val="nil"/>
            </w:tcBorders>
            <w:shd w:val="clear" w:color="auto" w:fill="auto"/>
            <w:vAlign w:val="bottom"/>
          </w:tcPr>
          <w:p w:rsidR="0011413D" w:rsidRPr="00806EFF" w:rsidRDefault="0011413D" w:rsidP="0011413D">
            <w:pPr>
              <w:rPr>
                <w:rFonts w:ascii="Arial" w:hAnsi="Arial" w:cs="Arial"/>
                <w:sz w:val="18"/>
                <w:szCs w:val="18"/>
              </w:rPr>
            </w:pPr>
            <w:r w:rsidRPr="00806EFF">
              <w:rPr>
                <w:rFonts w:ascii="Arial" w:hAnsi="Arial" w:cs="Arial"/>
                <w:sz w:val="18"/>
                <w:szCs w:val="18"/>
              </w:rPr>
              <w:t>Underlying diluted</w:t>
            </w:r>
          </w:p>
        </w:tc>
        <w:tc>
          <w:tcPr>
            <w:tcW w:w="269" w:type="pct"/>
            <w:tcBorders>
              <w:top w:val="nil"/>
              <w:left w:val="nil"/>
              <w:bottom w:val="single" w:sz="12" w:space="0" w:color="auto"/>
              <w:right w:val="nil"/>
            </w:tcBorders>
            <w:shd w:val="clear" w:color="auto" w:fill="auto"/>
            <w:noWrap/>
            <w:vAlign w:val="bottom"/>
          </w:tcPr>
          <w:p w:rsidR="0011413D" w:rsidRPr="00806EFF" w:rsidRDefault="0011413D" w:rsidP="0011413D">
            <w:pPr>
              <w:jc w:val="center"/>
              <w:rPr>
                <w:rFonts w:ascii="Arial" w:hAnsi="Arial" w:cs="Arial"/>
                <w:sz w:val="18"/>
                <w:szCs w:val="18"/>
              </w:rPr>
            </w:pPr>
          </w:p>
        </w:tc>
        <w:tc>
          <w:tcPr>
            <w:tcW w:w="543" w:type="pct"/>
            <w:tcBorders>
              <w:top w:val="nil"/>
              <w:left w:val="nil"/>
              <w:bottom w:val="single" w:sz="12" w:space="0" w:color="auto"/>
              <w:right w:val="nil"/>
            </w:tcBorders>
            <w:shd w:val="clear" w:color="auto" w:fill="auto"/>
            <w:noWrap/>
            <w:vAlign w:val="bottom"/>
          </w:tcPr>
          <w:p w:rsidR="0011413D" w:rsidRPr="00806EFF" w:rsidRDefault="0011413D" w:rsidP="0011413D">
            <w:pPr>
              <w:ind w:right="92"/>
              <w:jc w:val="right"/>
              <w:rPr>
                <w:rFonts w:ascii="Arial" w:hAnsi="Arial" w:cs="Arial"/>
                <w:b/>
                <w:sz w:val="18"/>
                <w:szCs w:val="18"/>
              </w:rPr>
            </w:pPr>
          </w:p>
        </w:tc>
        <w:tc>
          <w:tcPr>
            <w:tcW w:w="616" w:type="pct"/>
            <w:tcBorders>
              <w:top w:val="nil"/>
              <w:left w:val="nil"/>
              <w:bottom w:val="single" w:sz="12" w:space="0" w:color="auto"/>
              <w:right w:val="nil"/>
            </w:tcBorders>
            <w:shd w:val="clear" w:color="auto" w:fill="auto"/>
            <w:noWrap/>
            <w:vAlign w:val="bottom"/>
          </w:tcPr>
          <w:p w:rsidR="0011413D" w:rsidRPr="00A063AD" w:rsidRDefault="0011413D" w:rsidP="0011413D">
            <w:pPr>
              <w:ind w:right="92"/>
              <w:jc w:val="right"/>
              <w:rPr>
                <w:rFonts w:ascii="Arial" w:hAnsi="Arial" w:cs="Arial"/>
                <w:b/>
                <w:sz w:val="18"/>
                <w:szCs w:val="18"/>
              </w:rPr>
            </w:pPr>
          </w:p>
        </w:tc>
        <w:tc>
          <w:tcPr>
            <w:tcW w:w="486" w:type="pct"/>
            <w:tcBorders>
              <w:top w:val="nil"/>
              <w:left w:val="nil"/>
              <w:bottom w:val="single" w:sz="12" w:space="0" w:color="auto"/>
              <w:right w:val="nil"/>
            </w:tcBorders>
            <w:shd w:val="clear" w:color="auto" w:fill="auto"/>
            <w:noWrap/>
            <w:vAlign w:val="bottom"/>
          </w:tcPr>
          <w:p w:rsidR="0011413D" w:rsidRPr="007550F3" w:rsidRDefault="00441AB4" w:rsidP="0011413D">
            <w:pPr>
              <w:ind w:right="92"/>
              <w:jc w:val="right"/>
              <w:rPr>
                <w:rFonts w:ascii="Arial" w:hAnsi="Arial" w:cs="Arial"/>
                <w:b/>
                <w:sz w:val="18"/>
                <w:szCs w:val="18"/>
              </w:rPr>
            </w:pPr>
            <w:r>
              <w:rPr>
                <w:rFonts w:ascii="Arial" w:hAnsi="Arial" w:cs="Arial"/>
                <w:b/>
                <w:sz w:val="18"/>
                <w:szCs w:val="18"/>
              </w:rPr>
              <w:t>25.4</w:t>
            </w:r>
            <w:r w:rsidR="0011413D" w:rsidRPr="007550F3">
              <w:rPr>
                <w:rFonts w:ascii="Arial" w:hAnsi="Arial" w:cs="Arial"/>
                <w:b/>
                <w:sz w:val="18"/>
                <w:szCs w:val="18"/>
              </w:rPr>
              <w:t>p</w:t>
            </w:r>
          </w:p>
        </w:tc>
        <w:tc>
          <w:tcPr>
            <w:tcW w:w="578" w:type="pct"/>
            <w:tcBorders>
              <w:top w:val="nil"/>
              <w:left w:val="nil"/>
              <w:bottom w:val="single" w:sz="12" w:space="0" w:color="auto"/>
              <w:right w:val="nil"/>
            </w:tcBorders>
            <w:shd w:val="clear" w:color="auto" w:fill="auto"/>
            <w:noWrap/>
            <w:vAlign w:val="bottom"/>
          </w:tcPr>
          <w:p w:rsidR="0011413D" w:rsidRPr="00806EFF" w:rsidRDefault="0011413D" w:rsidP="0011413D">
            <w:pPr>
              <w:ind w:right="92"/>
              <w:jc w:val="right"/>
              <w:rPr>
                <w:rFonts w:ascii="Arial" w:hAnsi="Arial" w:cs="Arial"/>
                <w:sz w:val="18"/>
                <w:szCs w:val="18"/>
              </w:rPr>
            </w:pPr>
          </w:p>
        </w:tc>
        <w:tc>
          <w:tcPr>
            <w:tcW w:w="578" w:type="pct"/>
            <w:tcBorders>
              <w:top w:val="nil"/>
              <w:left w:val="nil"/>
              <w:bottom w:val="single" w:sz="12" w:space="0" w:color="auto"/>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top w:val="nil"/>
              <w:left w:val="nil"/>
              <w:bottom w:val="single" w:sz="12" w:space="0" w:color="auto"/>
              <w:right w:val="nil"/>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25.8p</w:t>
            </w:r>
          </w:p>
        </w:tc>
      </w:tr>
      <w:tr w:rsidR="00E2167A" w:rsidRPr="00EF1091" w:rsidTr="001606EE">
        <w:trPr>
          <w:trHeight w:val="225"/>
        </w:trPr>
        <w:tc>
          <w:tcPr>
            <w:tcW w:w="1448" w:type="pct"/>
            <w:tcBorders>
              <w:top w:val="single" w:sz="12" w:space="0" w:color="auto"/>
              <w:left w:val="nil"/>
              <w:bottom w:val="nil"/>
              <w:right w:val="nil"/>
            </w:tcBorders>
            <w:shd w:val="clear" w:color="auto" w:fill="auto"/>
            <w:vAlign w:val="bottom"/>
          </w:tcPr>
          <w:p w:rsidR="00E2167A" w:rsidRDefault="00E2167A" w:rsidP="00E2167A">
            <w:pPr>
              <w:rPr>
                <w:rFonts w:ascii="Arial" w:hAnsi="Arial" w:cs="Arial"/>
                <w:sz w:val="18"/>
                <w:szCs w:val="18"/>
              </w:rPr>
            </w:pPr>
          </w:p>
        </w:tc>
        <w:tc>
          <w:tcPr>
            <w:tcW w:w="269" w:type="pct"/>
            <w:tcBorders>
              <w:top w:val="single" w:sz="12" w:space="0" w:color="auto"/>
              <w:left w:val="nil"/>
              <w:bottom w:val="nil"/>
              <w:right w:val="nil"/>
            </w:tcBorders>
            <w:shd w:val="clear" w:color="auto" w:fill="auto"/>
            <w:noWrap/>
            <w:vAlign w:val="bottom"/>
          </w:tcPr>
          <w:p w:rsidR="00E2167A" w:rsidRPr="00EF1091" w:rsidRDefault="00E2167A" w:rsidP="00E2167A">
            <w:pPr>
              <w:jc w:val="center"/>
              <w:rPr>
                <w:rFonts w:ascii="Arial" w:hAnsi="Arial" w:cs="Arial"/>
                <w:sz w:val="18"/>
                <w:szCs w:val="18"/>
              </w:rPr>
            </w:pPr>
          </w:p>
        </w:tc>
        <w:tc>
          <w:tcPr>
            <w:tcW w:w="543" w:type="pct"/>
            <w:tcBorders>
              <w:top w:val="single" w:sz="12" w:space="0" w:color="auto"/>
              <w:left w:val="nil"/>
              <w:bottom w:val="nil"/>
              <w:right w:val="nil"/>
            </w:tcBorders>
            <w:shd w:val="clear" w:color="auto" w:fill="auto"/>
            <w:noWrap/>
            <w:vAlign w:val="bottom"/>
          </w:tcPr>
          <w:p w:rsidR="00E2167A" w:rsidRPr="006268ED" w:rsidRDefault="00E2167A" w:rsidP="00E2167A">
            <w:pPr>
              <w:ind w:right="92"/>
              <w:jc w:val="right"/>
              <w:rPr>
                <w:rFonts w:ascii="Arial" w:hAnsi="Arial" w:cs="Arial"/>
                <w:b/>
                <w:sz w:val="18"/>
                <w:szCs w:val="18"/>
              </w:rPr>
            </w:pPr>
          </w:p>
        </w:tc>
        <w:tc>
          <w:tcPr>
            <w:tcW w:w="616" w:type="pct"/>
            <w:tcBorders>
              <w:top w:val="single" w:sz="12" w:space="0" w:color="auto"/>
              <w:left w:val="nil"/>
              <w:bottom w:val="nil"/>
              <w:right w:val="nil"/>
            </w:tcBorders>
            <w:shd w:val="clear" w:color="auto" w:fill="auto"/>
            <w:noWrap/>
            <w:vAlign w:val="bottom"/>
          </w:tcPr>
          <w:p w:rsidR="00E2167A" w:rsidRPr="006268ED" w:rsidRDefault="00E2167A" w:rsidP="00E2167A">
            <w:pPr>
              <w:ind w:right="92"/>
              <w:jc w:val="right"/>
              <w:rPr>
                <w:rFonts w:ascii="Arial" w:hAnsi="Arial" w:cs="Arial"/>
                <w:b/>
                <w:sz w:val="18"/>
                <w:szCs w:val="18"/>
              </w:rPr>
            </w:pPr>
          </w:p>
        </w:tc>
        <w:tc>
          <w:tcPr>
            <w:tcW w:w="486" w:type="pct"/>
            <w:tcBorders>
              <w:top w:val="single" w:sz="12" w:space="0" w:color="auto"/>
              <w:left w:val="nil"/>
              <w:bottom w:val="nil"/>
              <w:right w:val="nil"/>
            </w:tcBorders>
            <w:shd w:val="clear" w:color="auto" w:fill="auto"/>
            <w:noWrap/>
            <w:vAlign w:val="bottom"/>
          </w:tcPr>
          <w:p w:rsidR="00E2167A" w:rsidRPr="006268ED" w:rsidRDefault="00E2167A" w:rsidP="00E2167A">
            <w:pPr>
              <w:ind w:right="92"/>
              <w:jc w:val="right"/>
              <w:rPr>
                <w:rFonts w:ascii="Arial" w:hAnsi="Arial" w:cs="Arial"/>
                <w:b/>
                <w:sz w:val="18"/>
                <w:szCs w:val="18"/>
              </w:rPr>
            </w:pPr>
          </w:p>
        </w:tc>
        <w:tc>
          <w:tcPr>
            <w:tcW w:w="578" w:type="pct"/>
            <w:tcBorders>
              <w:top w:val="single" w:sz="12" w:space="0" w:color="auto"/>
              <w:left w:val="nil"/>
              <w:bottom w:val="nil"/>
              <w:right w:val="nil"/>
            </w:tcBorders>
            <w:shd w:val="clear" w:color="auto" w:fill="auto"/>
            <w:noWrap/>
            <w:vAlign w:val="bottom"/>
          </w:tcPr>
          <w:p w:rsidR="00E2167A" w:rsidRPr="000864B4" w:rsidRDefault="00E2167A" w:rsidP="00E2167A">
            <w:pPr>
              <w:ind w:right="92"/>
              <w:jc w:val="right"/>
              <w:rPr>
                <w:rFonts w:ascii="Arial" w:hAnsi="Arial" w:cs="Arial"/>
                <w:sz w:val="18"/>
                <w:szCs w:val="18"/>
              </w:rPr>
            </w:pPr>
          </w:p>
        </w:tc>
        <w:tc>
          <w:tcPr>
            <w:tcW w:w="578" w:type="pct"/>
            <w:tcBorders>
              <w:top w:val="single" w:sz="12" w:space="0" w:color="auto"/>
              <w:left w:val="nil"/>
              <w:bottom w:val="nil"/>
              <w:right w:val="nil"/>
            </w:tcBorders>
            <w:shd w:val="clear" w:color="auto" w:fill="auto"/>
            <w:noWrap/>
            <w:vAlign w:val="bottom"/>
          </w:tcPr>
          <w:p w:rsidR="00E2167A" w:rsidRPr="000864B4" w:rsidRDefault="00E2167A" w:rsidP="00E2167A">
            <w:pPr>
              <w:ind w:right="92"/>
              <w:jc w:val="right"/>
              <w:rPr>
                <w:rFonts w:ascii="Arial" w:hAnsi="Arial" w:cs="Arial"/>
                <w:sz w:val="18"/>
                <w:szCs w:val="18"/>
              </w:rPr>
            </w:pPr>
          </w:p>
        </w:tc>
        <w:tc>
          <w:tcPr>
            <w:tcW w:w="482" w:type="pct"/>
            <w:tcBorders>
              <w:top w:val="single" w:sz="12" w:space="0" w:color="auto"/>
              <w:left w:val="nil"/>
              <w:bottom w:val="nil"/>
              <w:right w:val="nil"/>
            </w:tcBorders>
            <w:shd w:val="clear" w:color="auto" w:fill="auto"/>
            <w:noWrap/>
            <w:vAlign w:val="bottom"/>
          </w:tcPr>
          <w:p w:rsidR="00E2167A" w:rsidRDefault="00E2167A" w:rsidP="00E2167A">
            <w:pPr>
              <w:ind w:right="92"/>
              <w:jc w:val="right"/>
              <w:rPr>
                <w:rFonts w:ascii="Arial" w:hAnsi="Arial" w:cs="Arial"/>
                <w:bCs/>
                <w:sz w:val="18"/>
                <w:szCs w:val="18"/>
              </w:rPr>
            </w:pPr>
          </w:p>
        </w:tc>
      </w:tr>
      <w:tr w:rsidR="00E2167A" w:rsidRPr="00EF1091" w:rsidTr="001606EE">
        <w:trPr>
          <w:trHeight w:val="225"/>
        </w:trPr>
        <w:tc>
          <w:tcPr>
            <w:tcW w:w="5000" w:type="pct"/>
            <w:gridSpan w:val="8"/>
            <w:tcBorders>
              <w:top w:val="nil"/>
              <w:left w:val="nil"/>
              <w:bottom w:val="single" w:sz="4" w:space="0" w:color="auto"/>
              <w:right w:val="nil"/>
            </w:tcBorders>
            <w:shd w:val="clear" w:color="auto" w:fill="auto"/>
            <w:vAlign w:val="bottom"/>
          </w:tcPr>
          <w:p w:rsidR="00E2167A" w:rsidRDefault="00E2167A" w:rsidP="00E2167A">
            <w:pPr>
              <w:ind w:right="92"/>
              <w:rPr>
                <w:rFonts w:ascii="Arial" w:hAnsi="Arial" w:cs="Arial"/>
                <w:bCs/>
                <w:sz w:val="18"/>
                <w:szCs w:val="18"/>
              </w:rPr>
            </w:pPr>
            <w:r>
              <w:rPr>
                <w:rFonts w:ascii="Arial" w:hAnsi="Arial" w:cs="Arial"/>
                <w:sz w:val="18"/>
                <w:szCs w:val="18"/>
              </w:rPr>
              <w:t>Reconciliation of non-GAAP underlying and adjusted pre-tax profit:</w:t>
            </w:r>
          </w:p>
        </w:tc>
      </w:tr>
      <w:tr w:rsidR="0011413D" w:rsidRPr="00EF1091" w:rsidTr="001606EE">
        <w:trPr>
          <w:trHeight w:val="225"/>
        </w:trPr>
        <w:tc>
          <w:tcPr>
            <w:tcW w:w="1448" w:type="pct"/>
            <w:tcBorders>
              <w:top w:val="single" w:sz="4" w:space="0" w:color="auto"/>
              <w:left w:val="single" w:sz="4" w:space="0" w:color="auto"/>
              <w:bottom w:val="nil"/>
              <w:right w:val="nil"/>
            </w:tcBorders>
            <w:shd w:val="clear" w:color="auto" w:fill="auto"/>
            <w:vAlign w:val="bottom"/>
          </w:tcPr>
          <w:p w:rsidR="0011413D" w:rsidRPr="003F62F8" w:rsidRDefault="0011413D" w:rsidP="0011413D">
            <w:pPr>
              <w:rPr>
                <w:rFonts w:ascii="Arial" w:hAnsi="Arial" w:cs="Arial"/>
                <w:b/>
                <w:sz w:val="18"/>
                <w:szCs w:val="18"/>
              </w:rPr>
            </w:pPr>
            <w:r w:rsidRPr="003F62F8">
              <w:rPr>
                <w:rFonts w:ascii="Arial" w:hAnsi="Arial" w:cs="Arial"/>
                <w:b/>
                <w:sz w:val="18"/>
                <w:szCs w:val="18"/>
              </w:rPr>
              <w:t>Underlying pre-tax profit</w:t>
            </w:r>
          </w:p>
        </w:tc>
        <w:tc>
          <w:tcPr>
            <w:tcW w:w="269" w:type="pct"/>
            <w:tcBorders>
              <w:top w:val="single" w:sz="4" w:space="0" w:color="auto"/>
              <w:left w:val="nil"/>
              <w:bottom w:val="nil"/>
              <w:right w:val="nil"/>
            </w:tcBorders>
            <w:shd w:val="clear" w:color="auto" w:fill="auto"/>
            <w:noWrap/>
            <w:vAlign w:val="bottom"/>
          </w:tcPr>
          <w:p w:rsidR="0011413D" w:rsidRPr="00EF1091" w:rsidRDefault="0011413D" w:rsidP="0011413D">
            <w:pPr>
              <w:jc w:val="center"/>
              <w:rPr>
                <w:rFonts w:ascii="Arial" w:hAnsi="Arial" w:cs="Arial"/>
                <w:sz w:val="18"/>
                <w:szCs w:val="18"/>
              </w:rPr>
            </w:pPr>
          </w:p>
        </w:tc>
        <w:tc>
          <w:tcPr>
            <w:tcW w:w="543" w:type="pct"/>
            <w:tcBorders>
              <w:top w:val="single" w:sz="4" w:space="0" w:color="auto"/>
              <w:left w:val="nil"/>
              <w:bottom w:val="nil"/>
              <w:right w:val="nil"/>
            </w:tcBorders>
            <w:shd w:val="clear" w:color="auto" w:fill="auto"/>
            <w:noWrap/>
            <w:vAlign w:val="bottom"/>
          </w:tcPr>
          <w:p w:rsidR="0011413D" w:rsidRPr="006268ED" w:rsidRDefault="0011413D" w:rsidP="0011413D">
            <w:pPr>
              <w:ind w:right="92"/>
              <w:jc w:val="right"/>
              <w:rPr>
                <w:rFonts w:ascii="Arial" w:hAnsi="Arial" w:cs="Arial"/>
                <w:b/>
                <w:sz w:val="18"/>
                <w:szCs w:val="18"/>
              </w:rPr>
            </w:pPr>
          </w:p>
        </w:tc>
        <w:tc>
          <w:tcPr>
            <w:tcW w:w="616" w:type="pct"/>
            <w:tcBorders>
              <w:top w:val="single" w:sz="4" w:space="0" w:color="auto"/>
              <w:left w:val="nil"/>
              <w:bottom w:val="nil"/>
              <w:right w:val="nil"/>
            </w:tcBorders>
            <w:shd w:val="clear" w:color="auto" w:fill="auto"/>
            <w:noWrap/>
            <w:vAlign w:val="bottom"/>
          </w:tcPr>
          <w:p w:rsidR="0011413D" w:rsidRPr="006268ED" w:rsidRDefault="0011413D" w:rsidP="0011413D">
            <w:pPr>
              <w:ind w:right="92"/>
              <w:jc w:val="right"/>
              <w:rPr>
                <w:rFonts w:ascii="Arial" w:hAnsi="Arial" w:cs="Arial"/>
                <w:b/>
                <w:sz w:val="18"/>
                <w:szCs w:val="18"/>
              </w:rPr>
            </w:pPr>
          </w:p>
        </w:tc>
        <w:tc>
          <w:tcPr>
            <w:tcW w:w="486" w:type="pct"/>
            <w:tcBorders>
              <w:top w:val="single" w:sz="4" w:space="0" w:color="auto"/>
              <w:left w:val="nil"/>
              <w:bottom w:val="nil"/>
              <w:right w:val="nil"/>
            </w:tcBorders>
            <w:shd w:val="clear" w:color="auto" w:fill="auto"/>
            <w:noWrap/>
            <w:vAlign w:val="bottom"/>
          </w:tcPr>
          <w:p w:rsidR="0011413D" w:rsidRPr="00806EFF" w:rsidRDefault="00806EFF" w:rsidP="0011413D">
            <w:pPr>
              <w:ind w:right="92"/>
              <w:jc w:val="right"/>
              <w:rPr>
                <w:rFonts w:ascii="Arial" w:hAnsi="Arial" w:cs="Arial"/>
                <w:b/>
                <w:sz w:val="18"/>
                <w:szCs w:val="18"/>
              </w:rPr>
            </w:pPr>
            <w:r w:rsidRPr="00806EFF">
              <w:rPr>
                <w:rFonts w:ascii="Arial" w:hAnsi="Arial" w:cs="Arial"/>
                <w:b/>
                <w:sz w:val="18"/>
                <w:szCs w:val="18"/>
              </w:rPr>
              <w:t>797</w:t>
            </w:r>
          </w:p>
        </w:tc>
        <w:tc>
          <w:tcPr>
            <w:tcW w:w="578" w:type="pct"/>
            <w:tcBorders>
              <w:top w:val="single" w:sz="4" w:space="0" w:color="auto"/>
              <w:left w:val="nil"/>
              <w:bottom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578" w:type="pct"/>
            <w:tcBorders>
              <w:top w:val="single" w:sz="4" w:space="0" w:color="auto"/>
              <w:left w:val="nil"/>
              <w:bottom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top w:val="single" w:sz="4" w:space="0" w:color="auto"/>
              <w:left w:val="nil"/>
              <w:bottom w:val="nil"/>
              <w:right w:val="single" w:sz="4" w:space="0" w:color="auto"/>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787</w:t>
            </w:r>
          </w:p>
        </w:tc>
      </w:tr>
      <w:tr w:rsidR="0011413D" w:rsidRPr="00EF1091" w:rsidTr="001606EE">
        <w:trPr>
          <w:trHeight w:val="225"/>
        </w:trPr>
        <w:tc>
          <w:tcPr>
            <w:tcW w:w="2260" w:type="pct"/>
            <w:gridSpan w:val="3"/>
            <w:tcBorders>
              <w:top w:val="nil"/>
              <w:left w:val="single" w:sz="4" w:space="0" w:color="auto"/>
              <w:bottom w:val="single" w:sz="4" w:space="0" w:color="auto"/>
              <w:right w:val="nil"/>
            </w:tcBorders>
            <w:shd w:val="clear" w:color="auto" w:fill="auto"/>
            <w:vAlign w:val="bottom"/>
          </w:tcPr>
          <w:p w:rsidR="0011413D" w:rsidRPr="006268ED" w:rsidRDefault="0011413D" w:rsidP="0011413D">
            <w:pPr>
              <w:ind w:right="92"/>
              <w:rPr>
                <w:rFonts w:ascii="Arial" w:hAnsi="Arial" w:cs="Arial"/>
                <w:b/>
                <w:sz w:val="18"/>
                <w:szCs w:val="18"/>
              </w:rPr>
            </w:pPr>
            <w:r>
              <w:rPr>
                <w:rFonts w:ascii="Arial" w:hAnsi="Arial" w:cs="Arial"/>
                <w:sz w:val="18"/>
                <w:szCs w:val="18"/>
              </w:rPr>
              <w:t>Transformation costs before exceptional items</w:t>
            </w:r>
          </w:p>
        </w:tc>
        <w:tc>
          <w:tcPr>
            <w:tcW w:w="616" w:type="pct"/>
            <w:tcBorders>
              <w:top w:val="nil"/>
              <w:left w:val="nil"/>
              <w:bottom w:val="single" w:sz="4" w:space="0" w:color="auto"/>
              <w:right w:val="nil"/>
            </w:tcBorders>
            <w:shd w:val="clear" w:color="auto" w:fill="auto"/>
            <w:noWrap/>
            <w:vAlign w:val="bottom"/>
          </w:tcPr>
          <w:p w:rsidR="0011413D" w:rsidRPr="006268ED" w:rsidRDefault="0011413D" w:rsidP="0011413D">
            <w:pPr>
              <w:ind w:right="92"/>
              <w:jc w:val="right"/>
              <w:rPr>
                <w:rFonts w:ascii="Arial" w:hAnsi="Arial" w:cs="Arial"/>
                <w:b/>
                <w:sz w:val="18"/>
                <w:szCs w:val="18"/>
              </w:rPr>
            </w:pPr>
          </w:p>
        </w:tc>
        <w:tc>
          <w:tcPr>
            <w:tcW w:w="486" w:type="pct"/>
            <w:tcBorders>
              <w:top w:val="nil"/>
              <w:left w:val="nil"/>
              <w:bottom w:val="single" w:sz="4" w:space="0" w:color="auto"/>
              <w:right w:val="nil"/>
            </w:tcBorders>
            <w:shd w:val="clear" w:color="auto" w:fill="auto"/>
            <w:noWrap/>
            <w:vAlign w:val="bottom"/>
          </w:tcPr>
          <w:p w:rsidR="0011413D" w:rsidRPr="00806EFF" w:rsidRDefault="00806EFF" w:rsidP="0011413D">
            <w:pPr>
              <w:ind w:right="92"/>
              <w:jc w:val="right"/>
              <w:rPr>
                <w:rFonts w:ascii="Arial" w:hAnsi="Arial" w:cs="Arial"/>
                <w:b/>
                <w:sz w:val="18"/>
                <w:szCs w:val="18"/>
              </w:rPr>
            </w:pPr>
            <w:r w:rsidRPr="00806EFF">
              <w:rPr>
                <w:rFonts w:ascii="Arial" w:hAnsi="Arial" w:cs="Arial"/>
                <w:b/>
                <w:sz w:val="18"/>
                <w:szCs w:val="18"/>
              </w:rPr>
              <w:t>(114)</w:t>
            </w:r>
          </w:p>
        </w:tc>
        <w:tc>
          <w:tcPr>
            <w:tcW w:w="578" w:type="pct"/>
            <w:tcBorders>
              <w:top w:val="nil"/>
              <w:left w:val="nil"/>
              <w:bottom w:val="single" w:sz="4" w:space="0" w:color="auto"/>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578" w:type="pct"/>
            <w:tcBorders>
              <w:top w:val="nil"/>
              <w:left w:val="nil"/>
              <w:bottom w:val="single" w:sz="4" w:space="0" w:color="auto"/>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top w:val="nil"/>
              <w:left w:val="nil"/>
              <w:bottom w:val="single" w:sz="4" w:space="0" w:color="auto"/>
              <w:right w:val="single" w:sz="4" w:space="0" w:color="auto"/>
            </w:tcBorders>
            <w:shd w:val="clear" w:color="auto" w:fill="auto"/>
            <w:noWrap/>
            <w:vAlign w:val="bottom"/>
          </w:tcPr>
          <w:p w:rsidR="0011413D" w:rsidRPr="0011413D" w:rsidRDefault="0068694F" w:rsidP="0011413D">
            <w:pPr>
              <w:ind w:right="92"/>
              <w:jc w:val="right"/>
              <w:rPr>
                <w:rFonts w:ascii="Arial" w:hAnsi="Arial" w:cs="Arial"/>
                <w:bCs/>
                <w:sz w:val="18"/>
                <w:szCs w:val="18"/>
              </w:rPr>
            </w:pPr>
            <w:r>
              <w:rPr>
                <w:rFonts w:ascii="Arial" w:hAnsi="Arial" w:cs="Arial"/>
                <w:bCs/>
                <w:sz w:val="18"/>
                <w:szCs w:val="18"/>
              </w:rPr>
              <w:t>(44)</w:t>
            </w:r>
          </w:p>
        </w:tc>
      </w:tr>
      <w:tr w:rsidR="0011413D" w:rsidRPr="00EF1091" w:rsidTr="001606EE">
        <w:trPr>
          <w:trHeight w:val="225"/>
        </w:trPr>
        <w:tc>
          <w:tcPr>
            <w:tcW w:w="1448" w:type="pct"/>
            <w:tcBorders>
              <w:top w:val="single" w:sz="4" w:space="0" w:color="auto"/>
              <w:left w:val="single" w:sz="4" w:space="0" w:color="auto"/>
              <w:bottom w:val="nil"/>
              <w:right w:val="nil"/>
            </w:tcBorders>
            <w:shd w:val="clear" w:color="auto" w:fill="auto"/>
            <w:vAlign w:val="bottom"/>
          </w:tcPr>
          <w:p w:rsidR="0011413D" w:rsidRPr="003F62F8" w:rsidRDefault="0011413D" w:rsidP="0011413D">
            <w:pPr>
              <w:rPr>
                <w:rFonts w:ascii="Arial" w:hAnsi="Arial" w:cs="Arial"/>
                <w:b/>
                <w:sz w:val="18"/>
                <w:szCs w:val="18"/>
              </w:rPr>
            </w:pPr>
            <w:r w:rsidRPr="003F62F8">
              <w:rPr>
                <w:rFonts w:ascii="Arial" w:hAnsi="Arial" w:cs="Arial"/>
                <w:b/>
                <w:sz w:val="18"/>
                <w:szCs w:val="18"/>
              </w:rPr>
              <w:t>Adjusted pre-tax profit</w:t>
            </w:r>
          </w:p>
        </w:tc>
        <w:tc>
          <w:tcPr>
            <w:tcW w:w="269" w:type="pct"/>
            <w:tcBorders>
              <w:top w:val="single" w:sz="4" w:space="0" w:color="auto"/>
              <w:left w:val="nil"/>
              <w:bottom w:val="nil"/>
              <w:right w:val="nil"/>
            </w:tcBorders>
            <w:shd w:val="clear" w:color="auto" w:fill="auto"/>
            <w:noWrap/>
            <w:vAlign w:val="bottom"/>
          </w:tcPr>
          <w:p w:rsidR="0011413D" w:rsidRPr="00EF1091" w:rsidRDefault="0011413D" w:rsidP="0011413D">
            <w:pPr>
              <w:jc w:val="center"/>
              <w:rPr>
                <w:rFonts w:ascii="Arial" w:hAnsi="Arial" w:cs="Arial"/>
                <w:sz w:val="18"/>
                <w:szCs w:val="18"/>
              </w:rPr>
            </w:pPr>
          </w:p>
        </w:tc>
        <w:tc>
          <w:tcPr>
            <w:tcW w:w="543" w:type="pct"/>
            <w:tcBorders>
              <w:top w:val="single" w:sz="4" w:space="0" w:color="auto"/>
              <w:left w:val="nil"/>
              <w:bottom w:val="nil"/>
              <w:right w:val="nil"/>
            </w:tcBorders>
            <w:shd w:val="clear" w:color="auto" w:fill="auto"/>
            <w:noWrap/>
            <w:vAlign w:val="bottom"/>
          </w:tcPr>
          <w:p w:rsidR="0011413D" w:rsidRPr="006268ED" w:rsidRDefault="0011413D" w:rsidP="0011413D">
            <w:pPr>
              <w:ind w:right="92"/>
              <w:jc w:val="right"/>
              <w:rPr>
                <w:rFonts w:ascii="Arial" w:hAnsi="Arial" w:cs="Arial"/>
                <w:b/>
                <w:sz w:val="18"/>
                <w:szCs w:val="18"/>
              </w:rPr>
            </w:pPr>
          </w:p>
        </w:tc>
        <w:tc>
          <w:tcPr>
            <w:tcW w:w="616" w:type="pct"/>
            <w:tcBorders>
              <w:top w:val="single" w:sz="4" w:space="0" w:color="auto"/>
              <w:left w:val="nil"/>
              <w:bottom w:val="nil"/>
              <w:right w:val="nil"/>
            </w:tcBorders>
            <w:shd w:val="clear" w:color="auto" w:fill="auto"/>
            <w:noWrap/>
            <w:vAlign w:val="bottom"/>
          </w:tcPr>
          <w:p w:rsidR="0011413D" w:rsidRPr="006268ED" w:rsidRDefault="0011413D" w:rsidP="0011413D">
            <w:pPr>
              <w:ind w:right="92"/>
              <w:jc w:val="right"/>
              <w:rPr>
                <w:rFonts w:ascii="Arial" w:hAnsi="Arial" w:cs="Arial"/>
                <w:b/>
                <w:sz w:val="18"/>
                <w:szCs w:val="18"/>
              </w:rPr>
            </w:pPr>
          </w:p>
        </w:tc>
        <w:tc>
          <w:tcPr>
            <w:tcW w:w="486" w:type="pct"/>
            <w:tcBorders>
              <w:top w:val="single" w:sz="4" w:space="0" w:color="auto"/>
              <w:left w:val="nil"/>
              <w:bottom w:val="nil"/>
              <w:right w:val="nil"/>
            </w:tcBorders>
            <w:shd w:val="clear" w:color="auto" w:fill="auto"/>
            <w:noWrap/>
            <w:vAlign w:val="bottom"/>
          </w:tcPr>
          <w:p w:rsidR="0011413D" w:rsidRPr="00806EFF" w:rsidRDefault="00806EFF" w:rsidP="0011413D">
            <w:pPr>
              <w:ind w:right="92"/>
              <w:jc w:val="right"/>
              <w:rPr>
                <w:rFonts w:ascii="Arial" w:hAnsi="Arial" w:cs="Arial"/>
                <w:b/>
                <w:sz w:val="18"/>
                <w:szCs w:val="18"/>
              </w:rPr>
            </w:pPr>
            <w:r w:rsidRPr="00806EFF">
              <w:rPr>
                <w:rFonts w:ascii="Arial" w:hAnsi="Arial" w:cs="Arial"/>
                <w:b/>
                <w:sz w:val="18"/>
                <w:szCs w:val="18"/>
              </w:rPr>
              <w:t>683</w:t>
            </w:r>
          </w:p>
        </w:tc>
        <w:tc>
          <w:tcPr>
            <w:tcW w:w="578" w:type="pct"/>
            <w:tcBorders>
              <w:top w:val="single" w:sz="4" w:space="0" w:color="auto"/>
              <w:left w:val="nil"/>
              <w:bottom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578" w:type="pct"/>
            <w:tcBorders>
              <w:top w:val="single" w:sz="4" w:space="0" w:color="auto"/>
              <w:left w:val="nil"/>
              <w:bottom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top w:val="single" w:sz="4" w:space="0" w:color="auto"/>
              <w:left w:val="nil"/>
              <w:bottom w:val="nil"/>
              <w:right w:val="single" w:sz="4" w:space="0" w:color="auto"/>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743</w:t>
            </w:r>
          </w:p>
        </w:tc>
      </w:tr>
      <w:tr w:rsidR="0011413D" w:rsidRPr="00EF1091" w:rsidTr="001606EE">
        <w:trPr>
          <w:trHeight w:val="225"/>
        </w:trPr>
        <w:tc>
          <w:tcPr>
            <w:tcW w:w="2260" w:type="pct"/>
            <w:gridSpan w:val="3"/>
            <w:tcBorders>
              <w:top w:val="nil"/>
              <w:left w:val="single" w:sz="4" w:space="0" w:color="auto"/>
              <w:bottom w:val="nil"/>
              <w:right w:val="nil"/>
            </w:tcBorders>
            <w:shd w:val="clear" w:color="auto" w:fill="auto"/>
            <w:vAlign w:val="bottom"/>
          </w:tcPr>
          <w:p w:rsidR="0011413D" w:rsidRPr="006268ED" w:rsidRDefault="0011413D" w:rsidP="0011413D">
            <w:pPr>
              <w:ind w:right="92"/>
              <w:rPr>
                <w:rFonts w:ascii="Arial" w:hAnsi="Arial" w:cs="Arial"/>
                <w:b/>
                <w:sz w:val="18"/>
                <w:szCs w:val="18"/>
              </w:rPr>
            </w:pPr>
            <w:r>
              <w:rPr>
                <w:rFonts w:ascii="Arial" w:hAnsi="Arial" w:cs="Arial"/>
                <w:sz w:val="18"/>
                <w:szCs w:val="18"/>
              </w:rPr>
              <w:t>Financing fair value remeasurements</w:t>
            </w:r>
          </w:p>
        </w:tc>
        <w:tc>
          <w:tcPr>
            <w:tcW w:w="616" w:type="pct"/>
            <w:tcBorders>
              <w:top w:val="nil"/>
              <w:left w:val="nil"/>
              <w:bottom w:val="nil"/>
              <w:right w:val="nil"/>
            </w:tcBorders>
            <w:shd w:val="clear" w:color="auto" w:fill="auto"/>
            <w:noWrap/>
            <w:vAlign w:val="bottom"/>
          </w:tcPr>
          <w:p w:rsidR="0011413D" w:rsidRPr="006268ED" w:rsidRDefault="0011413D" w:rsidP="0011413D">
            <w:pPr>
              <w:ind w:right="92"/>
              <w:jc w:val="right"/>
              <w:rPr>
                <w:rFonts w:ascii="Arial" w:hAnsi="Arial" w:cs="Arial"/>
                <w:b/>
                <w:sz w:val="18"/>
                <w:szCs w:val="18"/>
              </w:rPr>
            </w:pPr>
          </w:p>
        </w:tc>
        <w:tc>
          <w:tcPr>
            <w:tcW w:w="486" w:type="pct"/>
            <w:tcBorders>
              <w:top w:val="nil"/>
              <w:left w:val="nil"/>
              <w:bottom w:val="nil"/>
              <w:right w:val="nil"/>
            </w:tcBorders>
            <w:shd w:val="clear" w:color="auto" w:fill="auto"/>
            <w:noWrap/>
            <w:vAlign w:val="bottom"/>
          </w:tcPr>
          <w:p w:rsidR="0011413D" w:rsidRPr="00806EFF" w:rsidRDefault="00806EFF" w:rsidP="0011413D">
            <w:pPr>
              <w:ind w:right="92"/>
              <w:jc w:val="right"/>
              <w:rPr>
                <w:rFonts w:ascii="Arial" w:hAnsi="Arial" w:cs="Arial"/>
                <w:b/>
                <w:sz w:val="18"/>
                <w:szCs w:val="18"/>
              </w:rPr>
            </w:pPr>
            <w:r w:rsidRPr="00806EFF">
              <w:rPr>
                <w:rFonts w:ascii="Arial" w:hAnsi="Arial" w:cs="Arial"/>
                <w:b/>
                <w:sz w:val="18"/>
                <w:szCs w:val="18"/>
              </w:rPr>
              <w:t>(1)</w:t>
            </w:r>
          </w:p>
        </w:tc>
        <w:tc>
          <w:tcPr>
            <w:tcW w:w="578" w:type="pct"/>
            <w:tcBorders>
              <w:top w:val="nil"/>
              <w:left w:val="nil"/>
              <w:bottom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578" w:type="pct"/>
            <w:tcBorders>
              <w:top w:val="nil"/>
              <w:left w:val="nil"/>
              <w:bottom w:val="nil"/>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top w:val="nil"/>
              <w:left w:val="nil"/>
              <w:bottom w:val="nil"/>
              <w:right w:val="single" w:sz="4" w:space="0" w:color="auto"/>
            </w:tcBorders>
            <w:shd w:val="clear" w:color="auto" w:fill="auto"/>
            <w:noWrap/>
            <w:vAlign w:val="bottom"/>
          </w:tcPr>
          <w:p w:rsidR="0011413D" w:rsidRPr="0011413D" w:rsidRDefault="0011413D" w:rsidP="0011413D">
            <w:pPr>
              <w:ind w:right="92"/>
              <w:jc w:val="right"/>
              <w:rPr>
                <w:rFonts w:ascii="Arial" w:hAnsi="Arial" w:cs="Arial"/>
                <w:bCs/>
                <w:sz w:val="18"/>
                <w:szCs w:val="18"/>
              </w:rPr>
            </w:pPr>
            <w:r w:rsidRPr="0011413D">
              <w:rPr>
                <w:rFonts w:ascii="Arial" w:hAnsi="Arial" w:cs="Arial"/>
                <w:bCs/>
                <w:sz w:val="18"/>
                <w:szCs w:val="18"/>
              </w:rPr>
              <w:t>(</w:t>
            </w:r>
            <w:r w:rsidR="00105C1C">
              <w:rPr>
                <w:rFonts w:ascii="Arial" w:hAnsi="Arial" w:cs="Arial"/>
                <w:bCs/>
                <w:sz w:val="18"/>
                <w:szCs w:val="18"/>
              </w:rPr>
              <w:t>1</w:t>
            </w:r>
            <w:r w:rsidRPr="0011413D">
              <w:rPr>
                <w:rFonts w:ascii="Arial" w:hAnsi="Arial" w:cs="Arial"/>
                <w:bCs/>
                <w:sz w:val="18"/>
                <w:szCs w:val="18"/>
              </w:rPr>
              <w:t>)</w:t>
            </w:r>
          </w:p>
        </w:tc>
      </w:tr>
      <w:tr w:rsidR="0011413D" w:rsidRPr="00EF1091" w:rsidTr="001606EE">
        <w:trPr>
          <w:trHeight w:val="225"/>
        </w:trPr>
        <w:tc>
          <w:tcPr>
            <w:tcW w:w="1448" w:type="pct"/>
            <w:tcBorders>
              <w:top w:val="nil"/>
              <w:left w:val="single" w:sz="4" w:space="0" w:color="auto"/>
              <w:bottom w:val="single" w:sz="4" w:space="0" w:color="auto"/>
              <w:right w:val="nil"/>
            </w:tcBorders>
            <w:shd w:val="clear" w:color="auto" w:fill="auto"/>
            <w:vAlign w:val="bottom"/>
          </w:tcPr>
          <w:p w:rsidR="0011413D" w:rsidRDefault="0011413D" w:rsidP="0011413D">
            <w:pPr>
              <w:rPr>
                <w:rFonts w:ascii="Arial" w:hAnsi="Arial" w:cs="Arial"/>
                <w:sz w:val="18"/>
                <w:szCs w:val="18"/>
              </w:rPr>
            </w:pPr>
            <w:r>
              <w:rPr>
                <w:rFonts w:ascii="Arial" w:hAnsi="Arial" w:cs="Arial"/>
                <w:sz w:val="18"/>
                <w:szCs w:val="18"/>
              </w:rPr>
              <w:t>Exceptional items</w:t>
            </w:r>
          </w:p>
        </w:tc>
        <w:tc>
          <w:tcPr>
            <w:tcW w:w="269" w:type="pct"/>
            <w:tcBorders>
              <w:top w:val="nil"/>
              <w:left w:val="nil"/>
              <w:bottom w:val="single" w:sz="4" w:space="0" w:color="auto"/>
              <w:right w:val="nil"/>
            </w:tcBorders>
            <w:shd w:val="clear" w:color="auto" w:fill="auto"/>
            <w:noWrap/>
            <w:vAlign w:val="bottom"/>
          </w:tcPr>
          <w:p w:rsidR="0011413D" w:rsidRPr="00EF1091" w:rsidRDefault="0011413D" w:rsidP="0011413D">
            <w:pPr>
              <w:jc w:val="center"/>
              <w:rPr>
                <w:rFonts w:ascii="Arial" w:hAnsi="Arial" w:cs="Arial"/>
                <w:sz w:val="18"/>
                <w:szCs w:val="18"/>
              </w:rPr>
            </w:pPr>
          </w:p>
        </w:tc>
        <w:tc>
          <w:tcPr>
            <w:tcW w:w="543" w:type="pct"/>
            <w:tcBorders>
              <w:top w:val="nil"/>
              <w:left w:val="nil"/>
              <w:bottom w:val="single" w:sz="4" w:space="0" w:color="auto"/>
              <w:right w:val="nil"/>
            </w:tcBorders>
            <w:shd w:val="clear" w:color="auto" w:fill="auto"/>
            <w:noWrap/>
            <w:vAlign w:val="bottom"/>
          </w:tcPr>
          <w:p w:rsidR="0011413D" w:rsidRPr="006268ED" w:rsidRDefault="0011413D" w:rsidP="0011413D">
            <w:pPr>
              <w:ind w:right="92"/>
              <w:jc w:val="right"/>
              <w:rPr>
                <w:rFonts w:ascii="Arial" w:hAnsi="Arial" w:cs="Arial"/>
                <w:b/>
                <w:sz w:val="18"/>
                <w:szCs w:val="18"/>
              </w:rPr>
            </w:pPr>
          </w:p>
        </w:tc>
        <w:tc>
          <w:tcPr>
            <w:tcW w:w="616" w:type="pct"/>
            <w:tcBorders>
              <w:top w:val="nil"/>
              <w:left w:val="nil"/>
              <w:bottom w:val="single" w:sz="4" w:space="0" w:color="auto"/>
              <w:right w:val="nil"/>
            </w:tcBorders>
            <w:shd w:val="clear" w:color="auto" w:fill="auto"/>
            <w:noWrap/>
            <w:vAlign w:val="bottom"/>
          </w:tcPr>
          <w:p w:rsidR="0011413D" w:rsidRPr="006268ED" w:rsidRDefault="0011413D" w:rsidP="0011413D">
            <w:pPr>
              <w:ind w:right="92"/>
              <w:jc w:val="right"/>
              <w:rPr>
                <w:rFonts w:ascii="Arial" w:hAnsi="Arial" w:cs="Arial"/>
                <w:b/>
                <w:sz w:val="18"/>
                <w:szCs w:val="18"/>
              </w:rPr>
            </w:pPr>
          </w:p>
        </w:tc>
        <w:tc>
          <w:tcPr>
            <w:tcW w:w="486" w:type="pct"/>
            <w:tcBorders>
              <w:top w:val="nil"/>
              <w:left w:val="nil"/>
              <w:bottom w:val="single" w:sz="4" w:space="0" w:color="auto"/>
              <w:right w:val="nil"/>
            </w:tcBorders>
            <w:shd w:val="clear" w:color="auto" w:fill="auto"/>
            <w:noWrap/>
            <w:vAlign w:val="bottom"/>
          </w:tcPr>
          <w:p w:rsidR="0011413D" w:rsidRPr="00806EFF" w:rsidRDefault="0011413D" w:rsidP="0011413D">
            <w:pPr>
              <w:ind w:right="92"/>
              <w:jc w:val="right"/>
              <w:rPr>
                <w:rFonts w:ascii="Arial" w:hAnsi="Arial" w:cs="Arial"/>
                <w:b/>
                <w:sz w:val="18"/>
                <w:szCs w:val="18"/>
              </w:rPr>
            </w:pPr>
            <w:r w:rsidRPr="00806EFF">
              <w:rPr>
                <w:rFonts w:ascii="Arial" w:hAnsi="Arial" w:cs="Arial"/>
                <w:b/>
                <w:sz w:val="18"/>
                <w:szCs w:val="18"/>
              </w:rPr>
              <w:t>–</w:t>
            </w:r>
          </w:p>
        </w:tc>
        <w:tc>
          <w:tcPr>
            <w:tcW w:w="578" w:type="pct"/>
            <w:tcBorders>
              <w:top w:val="nil"/>
              <w:left w:val="nil"/>
              <w:bottom w:val="single" w:sz="4" w:space="0" w:color="auto"/>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578" w:type="pct"/>
            <w:tcBorders>
              <w:top w:val="nil"/>
              <w:left w:val="nil"/>
              <w:bottom w:val="single" w:sz="4" w:space="0" w:color="auto"/>
              <w:right w:val="nil"/>
            </w:tcBorders>
            <w:shd w:val="clear" w:color="auto" w:fill="auto"/>
            <w:noWrap/>
            <w:vAlign w:val="bottom"/>
          </w:tcPr>
          <w:p w:rsidR="0011413D" w:rsidRPr="000864B4" w:rsidRDefault="0011413D" w:rsidP="0011413D">
            <w:pPr>
              <w:ind w:right="92"/>
              <w:jc w:val="right"/>
              <w:rPr>
                <w:rFonts w:ascii="Arial" w:hAnsi="Arial" w:cs="Arial"/>
                <w:sz w:val="18"/>
                <w:szCs w:val="18"/>
              </w:rPr>
            </w:pPr>
          </w:p>
        </w:tc>
        <w:tc>
          <w:tcPr>
            <w:tcW w:w="482" w:type="pct"/>
            <w:tcBorders>
              <w:top w:val="nil"/>
              <w:left w:val="nil"/>
              <w:bottom w:val="single" w:sz="4" w:space="0" w:color="auto"/>
              <w:right w:val="single" w:sz="4" w:space="0" w:color="auto"/>
            </w:tcBorders>
            <w:shd w:val="clear" w:color="auto" w:fill="auto"/>
            <w:noWrap/>
            <w:vAlign w:val="bottom"/>
          </w:tcPr>
          <w:p w:rsidR="0011413D" w:rsidRPr="0011413D" w:rsidRDefault="0011413D" w:rsidP="0011413D">
            <w:pPr>
              <w:ind w:right="92"/>
              <w:jc w:val="right"/>
              <w:rPr>
                <w:rFonts w:ascii="Arial" w:hAnsi="Arial" w:cs="Arial"/>
                <w:sz w:val="18"/>
                <w:szCs w:val="18"/>
              </w:rPr>
            </w:pPr>
            <w:r w:rsidRPr="0011413D">
              <w:rPr>
                <w:rFonts w:ascii="Arial" w:hAnsi="Arial" w:cs="Arial"/>
                <w:sz w:val="18"/>
                <w:szCs w:val="18"/>
              </w:rPr>
              <w:t>17</w:t>
            </w:r>
          </w:p>
        </w:tc>
      </w:tr>
      <w:tr w:rsidR="00DD2F39" w:rsidRPr="00EF1091" w:rsidTr="001606EE">
        <w:trPr>
          <w:trHeight w:val="225"/>
        </w:trPr>
        <w:tc>
          <w:tcPr>
            <w:tcW w:w="1448" w:type="pct"/>
            <w:tcBorders>
              <w:top w:val="single" w:sz="4" w:space="0" w:color="auto"/>
              <w:left w:val="single" w:sz="4" w:space="0" w:color="auto"/>
              <w:bottom w:val="single" w:sz="12" w:space="0" w:color="auto"/>
              <w:right w:val="nil"/>
            </w:tcBorders>
            <w:shd w:val="clear" w:color="auto" w:fill="auto"/>
            <w:vAlign w:val="bottom"/>
          </w:tcPr>
          <w:p w:rsidR="00DD2F39" w:rsidRPr="003F62F8" w:rsidRDefault="00DD2F39" w:rsidP="00DD2F39">
            <w:pPr>
              <w:rPr>
                <w:rFonts w:ascii="Arial" w:hAnsi="Arial" w:cs="Arial"/>
                <w:b/>
                <w:sz w:val="18"/>
                <w:szCs w:val="18"/>
              </w:rPr>
            </w:pPr>
            <w:r w:rsidRPr="003F62F8">
              <w:rPr>
                <w:rFonts w:ascii="Arial" w:hAnsi="Arial" w:cs="Arial"/>
                <w:b/>
                <w:sz w:val="18"/>
                <w:szCs w:val="18"/>
              </w:rPr>
              <w:t>Profit before taxation</w:t>
            </w:r>
          </w:p>
        </w:tc>
        <w:tc>
          <w:tcPr>
            <w:tcW w:w="269" w:type="pct"/>
            <w:tcBorders>
              <w:top w:val="single" w:sz="4" w:space="0" w:color="auto"/>
              <w:left w:val="nil"/>
              <w:bottom w:val="single" w:sz="12" w:space="0" w:color="auto"/>
              <w:right w:val="nil"/>
            </w:tcBorders>
            <w:shd w:val="clear" w:color="auto" w:fill="auto"/>
            <w:noWrap/>
            <w:vAlign w:val="bottom"/>
          </w:tcPr>
          <w:p w:rsidR="00DD2F39" w:rsidRPr="00EF1091" w:rsidRDefault="00DD2F39" w:rsidP="00DD2F39">
            <w:pPr>
              <w:jc w:val="center"/>
              <w:rPr>
                <w:rFonts w:ascii="Arial" w:hAnsi="Arial" w:cs="Arial"/>
                <w:sz w:val="18"/>
                <w:szCs w:val="18"/>
              </w:rPr>
            </w:pPr>
          </w:p>
        </w:tc>
        <w:tc>
          <w:tcPr>
            <w:tcW w:w="543" w:type="pct"/>
            <w:tcBorders>
              <w:top w:val="single" w:sz="4" w:space="0" w:color="auto"/>
              <w:left w:val="nil"/>
              <w:bottom w:val="single" w:sz="12" w:space="0" w:color="auto"/>
              <w:right w:val="nil"/>
            </w:tcBorders>
            <w:shd w:val="clear" w:color="auto" w:fill="auto"/>
            <w:noWrap/>
            <w:vAlign w:val="bottom"/>
          </w:tcPr>
          <w:p w:rsidR="00DD2F39" w:rsidRPr="006268ED" w:rsidRDefault="00DD2F39" w:rsidP="00DD2F39">
            <w:pPr>
              <w:ind w:right="92"/>
              <w:jc w:val="right"/>
              <w:rPr>
                <w:rFonts w:ascii="Arial" w:hAnsi="Arial" w:cs="Arial"/>
                <w:b/>
                <w:sz w:val="18"/>
                <w:szCs w:val="18"/>
              </w:rPr>
            </w:pPr>
          </w:p>
        </w:tc>
        <w:tc>
          <w:tcPr>
            <w:tcW w:w="616" w:type="pct"/>
            <w:tcBorders>
              <w:top w:val="single" w:sz="4" w:space="0" w:color="auto"/>
              <w:left w:val="nil"/>
              <w:bottom w:val="single" w:sz="12" w:space="0" w:color="auto"/>
              <w:right w:val="nil"/>
            </w:tcBorders>
            <w:shd w:val="clear" w:color="auto" w:fill="auto"/>
            <w:noWrap/>
            <w:vAlign w:val="bottom"/>
          </w:tcPr>
          <w:p w:rsidR="00DD2F39" w:rsidRPr="006268ED" w:rsidRDefault="00DD2F39" w:rsidP="00DD2F39">
            <w:pPr>
              <w:ind w:right="92"/>
              <w:jc w:val="right"/>
              <w:rPr>
                <w:rFonts w:ascii="Arial" w:hAnsi="Arial" w:cs="Arial"/>
                <w:b/>
                <w:sz w:val="18"/>
                <w:szCs w:val="18"/>
              </w:rPr>
            </w:pPr>
          </w:p>
        </w:tc>
        <w:tc>
          <w:tcPr>
            <w:tcW w:w="486" w:type="pct"/>
            <w:tcBorders>
              <w:top w:val="single" w:sz="4" w:space="0" w:color="auto"/>
              <w:left w:val="nil"/>
              <w:bottom w:val="single" w:sz="12" w:space="0" w:color="auto"/>
              <w:right w:val="nil"/>
            </w:tcBorders>
            <w:shd w:val="clear" w:color="auto" w:fill="auto"/>
            <w:noWrap/>
            <w:vAlign w:val="bottom"/>
          </w:tcPr>
          <w:p w:rsidR="00DD2F39" w:rsidRPr="00806EFF" w:rsidRDefault="00806EFF" w:rsidP="00DD2F39">
            <w:pPr>
              <w:ind w:right="92"/>
              <w:jc w:val="right"/>
              <w:rPr>
                <w:rFonts w:ascii="Arial" w:hAnsi="Arial" w:cs="Arial"/>
                <w:b/>
                <w:sz w:val="18"/>
                <w:szCs w:val="18"/>
              </w:rPr>
            </w:pPr>
            <w:r w:rsidRPr="00806EFF">
              <w:rPr>
                <w:rFonts w:ascii="Arial" w:hAnsi="Arial" w:cs="Arial"/>
                <w:b/>
                <w:sz w:val="18"/>
                <w:szCs w:val="18"/>
              </w:rPr>
              <w:t>682</w:t>
            </w:r>
          </w:p>
        </w:tc>
        <w:tc>
          <w:tcPr>
            <w:tcW w:w="578" w:type="pct"/>
            <w:tcBorders>
              <w:top w:val="single" w:sz="4" w:space="0" w:color="auto"/>
              <w:left w:val="nil"/>
              <w:bottom w:val="single" w:sz="12" w:space="0" w:color="auto"/>
              <w:right w:val="nil"/>
            </w:tcBorders>
            <w:shd w:val="clear" w:color="auto" w:fill="auto"/>
            <w:noWrap/>
            <w:vAlign w:val="bottom"/>
          </w:tcPr>
          <w:p w:rsidR="00DD2F39" w:rsidRPr="000864B4" w:rsidRDefault="00DD2F39" w:rsidP="00DD2F39">
            <w:pPr>
              <w:ind w:right="92"/>
              <w:jc w:val="right"/>
              <w:rPr>
                <w:rFonts w:ascii="Arial" w:hAnsi="Arial" w:cs="Arial"/>
                <w:sz w:val="18"/>
                <w:szCs w:val="18"/>
              </w:rPr>
            </w:pPr>
          </w:p>
        </w:tc>
        <w:tc>
          <w:tcPr>
            <w:tcW w:w="578" w:type="pct"/>
            <w:tcBorders>
              <w:top w:val="single" w:sz="4" w:space="0" w:color="auto"/>
              <w:left w:val="nil"/>
              <w:bottom w:val="single" w:sz="12" w:space="0" w:color="auto"/>
              <w:right w:val="nil"/>
            </w:tcBorders>
            <w:shd w:val="clear" w:color="auto" w:fill="auto"/>
            <w:noWrap/>
            <w:vAlign w:val="bottom"/>
          </w:tcPr>
          <w:p w:rsidR="00DD2F39" w:rsidRPr="000864B4" w:rsidRDefault="00DD2F39" w:rsidP="00DD2F39">
            <w:pPr>
              <w:ind w:right="92"/>
              <w:jc w:val="right"/>
              <w:rPr>
                <w:rFonts w:ascii="Arial" w:hAnsi="Arial" w:cs="Arial"/>
                <w:sz w:val="18"/>
                <w:szCs w:val="18"/>
              </w:rPr>
            </w:pPr>
          </w:p>
        </w:tc>
        <w:tc>
          <w:tcPr>
            <w:tcW w:w="482" w:type="pct"/>
            <w:tcBorders>
              <w:top w:val="single" w:sz="4" w:space="0" w:color="auto"/>
              <w:left w:val="nil"/>
              <w:bottom w:val="single" w:sz="12" w:space="0" w:color="auto"/>
              <w:right w:val="single" w:sz="4" w:space="0" w:color="auto"/>
            </w:tcBorders>
            <w:shd w:val="clear" w:color="auto" w:fill="auto"/>
            <w:noWrap/>
            <w:vAlign w:val="bottom"/>
          </w:tcPr>
          <w:p w:rsidR="00DD2F39" w:rsidRPr="0011413D" w:rsidRDefault="00DD2F39" w:rsidP="00DD2F39">
            <w:pPr>
              <w:ind w:right="92"/>
              <w:jc w:val="right"/>
              <w:rPr>
                <w:rFonts w:ascii="Arial" w:hAnsi="Arial" w:cs="Arial"/>
                <w:sz w:val="18"/>
                <w:szCs w:val="18"/>
              </w:rPr>
            </w:pPr>
            <w:r w:rsidRPr="0011413D">
              <w:rPr>
                <w:rFonts w:ascii="Arial" w:hAnsi="Arial" w:cs="Arial"/>
                <w:sz w:val="18"/>
                <w:szCs w:val="18"/>
              </w:rPr>
              <w:t>759</w:t>
            </w:r>
          </w:p>
        </w:tc>
      </w:tr>
    </w:tbl>
    <w:p w:rsidR="00FC10AC" w:rsidRDefault="00FC10AC" w:rsidP="00FC10AC">
      <w:pPr>
        <w:rPr>
          <w:rFonts w:ascii="Arial" w:hAnsi="Arial" w:cs="Arial"/>
          <w:sz w:val="18"/>
          <w:szCs w:val="18"/>
        </w:rPr>
      </w:pPr>
    </w:p>
    <w:p w:rsidR="004E40F0" w:rsidRPr="00EF1091" w:rsidRDefault="004E40F0" w:rsidP="00FC10AC">
      <w:pPr>
        <w:rPr>
          <w:rFonts w:ascii="Arial" w:hAnsi="Arial" w:cs="Arial"/>
          <w:sz w:val="18"/>
          <w:szCs w:val="18"/>
        </w:rPr>
      </w:pPr>
    </w:p>
    <w:p w:rsidR="00FC10AC" w:rsidRPr="00EF1091" w:rsidRDefault="00FC10AC" w:rsidP="00FC10AC">
      <w:pPr>
        <w:rPr>
          <w:rFonts w:ascii="Arial" w:hAnsi="Arial" w:cs="Arial"/>
          <w:sz w:val="18"/>
          <w:szCs w:val="18"/>
        </w:rPr>
      </w:pPr>
      <w:r w:rsidRPr="00EF1091">
        <w:rPr>
          <w:rFonts w:ascii="Arial" w:hAnsi="Arial" w:cs="Arial"/>
          <w:sz w:val="18"/>
          <w:szCs w:val="18"/>
        </w:rPr>
        <w:t xml:space="preserve">The proposed final </w:t>
      </w:r>
      <w:r w:rsidRPr="00281AF4">
        <w:rPr>
          <w:rFonts w:ascii="Arial" w:hAnsi="Arial" w:cs="Arial"/>
          <w:sz w:val="18"/>
          <w:szCs w:val="18"/>
        </w:rPr>
        <w:t xml:space="preserve">dividend for the year ended </w:t>
      </w:r>
      <w:r w:rsidR="000864B4">
        <w:rPr>
          <w:rFonts w:ascii="Arial" w:hAnsi="Arial" w:cs="Arial"/>
          <w:sz w:val="18"/>
          <w:szCs w:val="18"/>
        </w:rPr>
        <w:t>31 January 201</w:t>
      </w:r>
      <w:r w:rsidR="00DD2F39">
        <w:rPr>
          <w:rFonts w:ascii="Arial" w:hAnsi="Arial" w:cs="Arial"/>
          <w:sz w:val="18"/>
          <w:szCs w:val="18"/>
        </w:rPr>
        <w:t>8</w:t>
      </w:r>
      <w:r w:rsidRPr="00281AF4">
        <w:rPr>
          <w:rFonts w:ascii="Arial" w:hAnsi="Arial" w:cs="Arial"/>
          <w:sz w:val="18"/>
          <w:szCs w:val="18"/>
        </w:rPr>
        <w:t xml:space="preserve">, subject to approval by shareholders at the Annual General Meeting, </w:t>
      </w:r>
      <w:r w:rsidR="001F3D57" w:rsidRPr="00281AF4">
        <w:rPr>
          <w:rFonts w:ascii="Arial" w:hAnsi="Arial" w:cs="Arial"/>
          <w:sz w:val="18"/>
          <w:szCs w:val="18"/>
        </w:rPr>
        <w:t>is</w:t>
      </w:r>
      <w:r w:rsidRPr="00281AF4">
        <w:rPr>
          <w:rFonts w:ascii="Arial" w:hAnsi="Arial" w:cs="Arial"/>
          <w:sz w:val="18"/>
          <w:szCs w:val="18"/>
        </w:rPr>
        <w:t xml:space="preserve"> </w:t>
      </w:r>
      <w:r w:rsidR="00B1135B">
        <w:rPr>
          <w:rFonts w:ascii="Arial" w:hAnsi="Arial" w:cs="Arial"/>
          <w:sz w:val="18"/>
          <w:szCs w:val="18"/>
        </w:rPr>
        <w:t>7</w:t>
      </w:r>
      <w:r w:rsidR="00794AC3">
        <w:rPr>
          <w:rFonts w:ascii="Arial" w:hAnsi="Arial" w:cs="Arial"/>
          <w:sz w:val="18"/>
          <w:szCs w:val="18"/>
        </w:rPr>
        <w:t>.</w:t>
      </w:r>
      <w:r w:rsidR="00B1135B">
        <w:rPr>
          <w:rFonts w:ascii="Arial" w:hAnsi="Arial" w:cs="Arial"/>
          <w:sz w:val="18"/>
          <w:szCs w:val="18"/>
        </w:rPr>
        <w:t>4</w:t>
      </w:r>
      <w:r w:rsidR="00344DA2">
        <w:rPr>
          <w:rFonts w:ascii="Arial" w:hAnsi="Arial" w:cs="Arial"/>
          <w:sz w:val="18"/>
          <w:szCs w:val="18"/>
        </w:rPr>
        <w:t>9</w:t>
      </w:r>
      <w:r w:rsidR="00806EFF" w:rsidRPr="007550F3">
        <w:rPr>
          <w:rFonts w:ascii="Arial" w:hAnsi="Arial" w:cs="Arial"/>
          <w:sz w:val="18"/>
          <w:szCs w:val="18"/>
        </w:rPr>
        <w:t>p</w:t>
      </w:r>
      <w:r w:rsidR="00E14037" w:rsidRPr="00281AF4">
        <w:rPr>
          <w:rFonts w:ascii="Arial" w:hAnsi="Arial" w:cs="Arial"/>
          <w:sz w:val="18"/>
          <w:szCs w:val="18"/>
        </w:rPr>
        <w:t xml:space="preserve"> per share.</w:t>
      </w:r>
    </w:p>
    <w:p w:rsidR="006B380B" w:rsidRPr="00EF1091" w:rsidRDefault="004E40F0">
      <w:pPr>
        <w:rPr>
          <w:rFonts w:ascii="Arial" w:hAnsi="Arial" w:cs="Arial"/>
          <w:sz w:val="18"/>
          <w:szCs w:val="18"/>
        </w:rPr>
      </w:pPr>
      <w:r>
        <w:rPr>
          <w:rFonts w:ascii="Arial" w:hAnsi="Arial" w:cs="Arial"/>
          <w:sz w:val="18"/>
          <w:szCs w:val="18"/>
        </w:rPr>
        <w:br w:type="page"/>
      </w:r>
      <w:bookmarkStart w:id="0" w:name="_GoBack"/>
      <w:bookmarkEnd w:id="0"/>
    </w:p>
    <w:tbl>
      <w:tblPr>
        <w:tblW w:w="5000" w:type="pct"/>
        <w:tblInd w:w="-1" w:type="dxa"/>
        <w:tblLayout w:type="fixed"/>
        <w:tblLook w:val="0000" w:firstRow="0" w:lastRow="0" w:firstColumn="0" w:lastColumn="0" w:noHBand="0" w:noVBand="0"/>
      </w:tblPr>
      <w:tblGrid>
        <w:gridCol w:w="5228"/>
        <w:gridCol w:w="883"/>
        <w:gridCol w:w="1413"/>
        <w:gridCol w:w="2115"/>
      </w:tblGrid>
      <w:tr w:rsidR="001D5B41" w:rsidTr="00FA21A3">
        <w:trPr>
          <w:trHeight w:val="240"/>
        </w:trPr>
        <w:tc>
          <w:tcPr>
            <w:tcW w:w="2712" w:type="pct"/>
            <w:tcBorders>
              <w:top w:val="nil"/>
              <w:left w:val="nil"/>
              <w:right w:val="nil"/>
            </w:tcBorders>
            <w:shd w:val="clear" w:color="auto" w:fill="auto"/>
            <w:noWrap/>
            <w:vAlign w:val="bottom"/>
          </w:tcPr>
          <w:p w:rsidR="001D5B41" w:rsidRDefault="001D5B41" w:rsidP="00A47C6B">
            <w:pPr>
              <w:rPr>
                <w:rFonts w:ascii="Arial" w:hAnsi="Arial" w:cs="Arial"/>
                <w:b/>
                <w:sz w:val="18"/>
                <w:szCs w:val="18"/>
              </w:rPr>
            </w:pPr>
            <w:r w:rsidRPr="001D5B41">
              <w:rPr>
                <w:rFonts w:ascii="Arial" w:hAnsi="Arial" w:cs="Arial"/>
                <w:b/>
                <w:sz w:val="18"/>
                <w:szCs w:val="18"/>
              </w:rPr>
              <w:lastRenderedPageBreak/>
              <w:t>Consolidated statement of comprehensive income</w:t>
            </w:r>
          </w:p>
          <w:p w:rsidR="002347FE" w:rsidRPr="002347FE" w:rsidRDefault="00F25CDE" w:rsidP="00A47C6B">
            <w:pPr>
              <w:rPr>
                <w:rFonts w:ascii="Arial" w:hAnsi="Arial" w:cs="Arial"/>
                <w:sz w:val="18"/>
                <w:szCs w:val="18"/>
              </w:rPr>
            </w:pPr>
            <w:r w:rsidRPr="00AE24A9">
              <w:rPr>
                <w:rFonts w:ascii="Arial" w:hAnsi="Arial" w:cs="Arial"/>
                <w:sz w:val="18"/>
                <w:szCs w:val="18"/>
              </w:rPr>
              <w:t xml:space="preserve">Year ended </w:t>
            </w:r>
            <w:r w:rsidR="00FC37BE">
              <w:rPr>
                <w:rFonts w:ascii="Arial" w:hAnsi="Arial" w:cs="Arial"/>
                <w:sz w:val="18"/>
                <w:szCs w:val="18"/>
              </w:rPr>
              <w:t>31 January 201</w:t>
            </w:r>
            <w:r w:rsidR="00F2449D">
              <w:rPr>
                <w:rFonts w:ascii="Arial" w:hAnsi="Arial" w:cs="Arial"/>
                <w:sz w:val="18"/>
                <w:szCs w:val="18"/>
              </w:rPr>
              <w:t>8</w:t>
            </w:r>
          </w:p>
        </w:tc>
        <w:tc>
          <w:tcPr>
            <w:tcW w:w="458" w:type="pct"/>
            <w:tcBorders>
              <w:top w:val="nil"/>
              <w:left w:val="nil"/>
              <w:right w:val="nil"/>
            </w:tcBorders>
            <w:shd w:val="clear" w:color="auto" w:fill="auto"/>
            <w:noWrap/>
            <w:vAlign w:val="bottom"/>
          </w:tcPr>
          <w:p w:rsidR="001D5B41" w:rsidRPr="001D5B41" w:rsidRDefault="001D5B41" w:rsidP="00A47C6B">
            <w:pPr>
              <w:jc w:val="center"/>
              <w:rPr>
                <w:rFonts w:ascii="Arial" w:hAnsi="Arial" w:cs="Arial"/>
                <w:b/>
                <w:bCs/>
                <w:sz w:val="18"/>
                <w:szCs w:val="18"/>
              </w:rPr>
            </w:pPr>
          </w:p>
        </w:tc>
        <w:tc>
          <w:tcPr>
            <w:tcW w:w="733" w:type="pct"/>
            <w:tcBorders>
              <w:top w:val="nil"/>
              <w:left w:val="nil"/>
              <w:right w:val="nil"/>
            </w:tcBorders>
            <w:shd w:val="clear" w:color="auto" w:fill="auto"/>
            <w:noWrap/>
            <w:vAlign w:val="bottom"/>
          </w:tcPr>
          <w:p w:rsidR="001D5B41" w:rsidRDefault="001D5B41" w:rsidP="00A47C6B">
            <w:pPr>
              <w:jc w:val="right"/>
              <w:rPr>
                <w:rFonts w:ascii="Arial" w:hAnsi="Arial" w:cs="Arial"/>
                <w:bCs/>
                <w:sz w:val="18"/>
                <w:szCs w:val="18"/>
              </w:rPr>
            </w:pPr>
          </w:p>
        </w:tc>
        <w:tc>
          <w:tcPr>
            <w:tcW w:w="1097" w:type="pct"/>
            <w:tcBorders>
              <w:top w:val="nil"/>
              <w:left w:val="nil"/>
              <w:right w:val="nil"/>
            </w:tcBorders>
            <w:shd w:val="clear" w:color="auto" w:fill="auto"/>
            <w:noWrap/>
            <w:vAlign w:val="bottom"/>
          </w:tcPr>
          <w:p w:rsidR="001D5B41" w:rsidRPr="002A7D7A" w:rsidRDefault="001D5B41" w:rsidP="001D5B41">
            <w:pPr>
              <w:jc w:val="right"/>
              <w:rPr>
                <w:rFonts w:ascii="Arial" w:hAnsi="Arial" w:cs="Arial"/>
                <w:bCs/>
                <w:sz w:val="18"/>
                <w:szCs w:val="18"/>
              </w:rPr>
            </w:pPr>
          </w:p>
        </w:tc>
      </w:tr>
      <w:tr w:rsidR="000864B4" w:rsidTr="00FA21A3">
        <w:trPr>
          <w:trHeight w:val="240"/>
        </w:trPr>
        <w:tc>
          <w:tcPr>
            <w:tcW w:w="2712" w:type="pct"/>
            <w:tcBorders>
              <w:left w:val="nil"/>
              <w:bottom w:val="single" w:sz="4" w:space="0" w:color="auto"/>
              <w:right w:val="nil"/>
            </w:tcBorders>
            <w:shd w:val="clear" w:color="auto" w:fill="auto"/>
            <w:noWrap/>
            <w:vAlign w:val="bottom"/>
          </w:tcPr>
          <w:p w:rsidR="000864B4" w:rsidRDefault="000864B4" w:rsidP="000864B4">
            <w:pPr>
              <w:rPr>
                <w:rFonts w:ascii="Arial" w:hAnsi="Arial" w:cs="Arial"/>
                <w:sz w:val="18"/>
                <w:szCs w:val="18"/>
              </w:rPr>
            </w:pPr>
          </w:p>
          <w:p w:rsidR="000864B4" w:rsidRPr="000F5685" w:rsidRDefault="000864B4" w:rsidP="000864B4">
            <w:pPr>
              <w:rPr>
                <w:rFonts w:ascii="Arial" w:hAnsi="Arial" w:cs="Arial"/>
                <w:sz w:val="18"/>
                <w:szCs w:val="18"/>
              </w:rPr>
            </w:pPr>
            <w:r w:rsidRPr="002A7D7A">
              <w:rPr>
                <w:rFonts w:ascii="Arial" w:hAnsi="Arial" w:cs="Arial"/>
                <w:sz w:val="18"/>
                <w:szCs w:val="18"/>
              </w:rPr>
              <w:t>£ millions</w:t>
            </w:r>
          </w:p>
        </w:tc>
        <w:tc>
          <w:tcPr>
            <w:tcW w:w="458" w:type="pct"/>
            <w:tcBorders>
              <w:left w:val="nil"/>
              <w:bottom w:val="single" w:sz="4" w:space="0" w:color="auto"/>
              <w:right w:val="nil"/>
            </w:tcBorders>
            <w:shd w:val="clear" w:color="auto" w:fill="auto"/>
            <w:noWrap/>
            <w:vAlign w:val="bottom"/>
          </w:tcPr>
          <w:p w:rsidR="000864B4" w:rsidRPr="00AC3C6D" w:rsidRDefault="000864B4" w:rsidP="000864B4">
            <w:pPr>
              <w:jc w:val="center"/>
              <w:rPr>
                <w:rFonts w:ascii="Arial" w:hAnsi="Arial" w:cs="Arial"/>
                <w:bCs/>
                <w:sz w:val="18"/>
                <w:szCs w:val="18"/>
              </w:rPr>
            </w:pPr>
            <w:r w:rsidRPr="00AC3C6D">
              <w:rPr>
                <w:rFonts w:ascii="Arial" w:hAnsi="Arial" w:cs="Arial"/>
                <w:bCs/>
                <w:sz w:val="18"/>
                <w:szCs w:val="18"/>
              </w:rPr>
              <w:t>Notes</w:t>
            </w:r>
          </w:p>
        </w:tc>
        <w:tc>
          <w:tcPr>
            <w:tcW w:w="733" w:type="pct"/>
            <w:tcBorders>
              <w:left w:val="nil"/>
              <w:bottom w:val="single" w:sz="4" w:space="0" w:color="auto"/>
              <w:right w:val="nil"/>
            </w:tcBorders>
            <w:shd w:val="clear" w:color="auto" w:fill="auto"/>
            <w:noWrap/>
            <w:vAlign w:val="bottom"/>
          </w:tcPr>
          <w:p w:rsidR="000864B4" w:rsidRPr="00BB47E5" w:rsidRDefault="000864B4" w:rsidP="000864B4">
            <w:pPr>
              <w:jc w:val="right"/>
              <w:rPr>
                <w:rFonts w:ascii="Arial" w:hAnsi="Arial" w:cs="Arial"/>
                <w:bCs/>
                <w:sz w:val="18"/>
                <w:szCs w:val="18"/>
              </w:rPr>
            </w:pPr>
            <w:r w:rsidRPr="00BB47E5">
              <w:rPr>
                <w:rFonts w:ascii="Arial" w:hAnsi="Arial" w:cs="Arial"/>
                <w:bCs/>
                <w:sz w:val="18"/>
                <w:szCs w:val="18"/>
              </w:rPr>
              <w:t>201</w:t>
            </w:r>
            <w:r w:rsidR="00F2449D">
              <w:rPr>
                <w:rFonts w:ascii="Arial" w:hAnsi="Arial" w:cs="Arial"/>
                <w:bCs/>
                <w:sz w:val="18"/>
                <w:szCs w:val="18"/>
              </w:rPr>
              <w:t>7</w:t>
            </w:r>
            <w:r w:rsidRPr="00BB47E5">
              <w:rPr>
                <w:rFonts w:ascii="Arial" w:hAnsi="Arial" w:cs="Arial"/>
                <w:bCs/>
                <w:sz w:val="18"/>
                <w:szCs w:val="18"/>
              </w:rPr>
              <w:t>/1</w:t>
            </w:r>
            <w:r w:rsidR="00F2449D">
              <w:rPr>
                <w:rFonts w:ascii="Arial" w:hAnsi="Arial" w:cs="Arial"/>
                <w:bCs/>
                <w:sz w:val="18"/>
                <w:szCs w:val="18"/>
              </w:rPr>
              <w:t>8</w:t>
            </w:r>
          </w:p>
        </w:tc>
        <w:tc>
          <w:tcPr>
            <w:tcW w:w="1097" w:type="pct"/>
            <w:tcBorders>
              <w:left w:val="nil"/>
              <w:bottom w:val="single" w:sz="4" w:space="0" w:color="auto"/>
              <w:right w:val="nil"/>
            </w:tcBorders>
            <w:shd w:val="clear" w:color="auto" w:fill="auto"/>
            <w:noWrap/>
            <w:vAlign w:val="bottom"/>
          </w:tcPr>
          <w:p w:rsidR="000864B4" w:rsidRPr="000864B4" w:rsidRDefault="00F2449D" w:rsidP="000864B4">
            <w:pPr>
              <w:jc w:val="right"/>
              <w:rPr>
                <w:rFonts w:ascii="Arial" w:hAnsi="Arial" w:cs="Arial"/>
                <w:bCs/>
                <w:sz w:val="18"/>
                <w:szCs w:val="18"/>
              </w:rPr>
            </w:pPr>
            <w:r w:rsidRPr="00BB47E5">
              <w:rPr>
                <w:rFonts w:ascii="Arial" w:hAnsi="Arial" w:cs="Arial"/>
                <w:bCs/>
                <w:sz w:val="18"/>
                <w:szCs w:val="18"/>
              </w:rPr>
              <w:t>201</w:t>
            </w:r>
            <w:r>
              <w:rPr>
                <w:rFonts w:ascii="Arial" w:hAnsi="Arial" w:cs="Arial"/>
                <w:bCs/>
                <w:sz w:val="18"/>
                <w:szCs w:val="18"/>
              </w:rPr>
              <w:t>6</w:t>
            </w:r>
            <w:r w:rsidRPr="00BB47E5">
              <w:rPr>
                <w:rFonts w:ascii="Arial" w:hAnsi="Arial" w:cs="Arial"/>
                <w:bCs/>
                <w:sz w:val="18"/>
                <w:szCs w:val="18"/>
              </w:rPr>
              <w:t>/1</w:t>
            </w:r>
            <w:r>
              <w:rPr>
                <w:rFonts w:ascii="Arial" w:hAnsi="Arial" w:cs="Arial"/>
                <w:bCs/>
                <w:sz w:val="18"/>
                <w:szCs w:val="18"/>
              </w:rPr>
              <w:t>7</w:t>
            </w:r>
          </w:p>
        </w:tc>
      </w:tr>
      <w:tr w:rsidR="00F2449D" w:rsidTr="00FA21A3">
        <w:trPr>
          <w:trHeight w:val="240"/>
        </w:trPr>
        <w:tc>
          <w:tcPr>
            <w:tcW w:w="2712" w:type="pct"/>
            <w:tcBorders>
              <w:bottom w:val="single" w:sz="4" w:space="0" w:color="auto"/>
              <w:right w:val="nil"/>
            </w:tcBorders>
            <w:shd w:val="clear" w:color="auto" w:fill="auto"/>
            <w:noWrap/>
            <w:vAlign w:val="bottom"/>
          </w:tcPr>
          <w:p w:rsidR="00F2449D" w:rsidRPr="00731118" w:rsidRDefault="00F2449D" w:rsidP="00F2449D">
            <w:pPr>
              <w:rPr>
                <w:rFonts w:ascii="Arial" w:hAnsi="Arial" w:cs="Arial"/>
                <w:b/>
                <w:sz w:val="18"/>
                <w:szCs w:val="18"/>
              </w:rPr>
            </w:pPr>
            <w:r>
              <w:rPr>
                <w:rFonts w:ascii="Arial" w:hAnsi="Arial" w:cs="Arial"/>
                <w:b/>
                <w:sz w:val="18"/>
                <w:szCs w:val="18"/>
              </w:rPr>
              <w:t>Profit for the year</w:t>
            </w:r>
          </w:p>
        </w:tc>
        <w:tc>
          <w:tcPr>
            <w:tcW w:w="458" w:type="pct"/>
            <w:tcBorders>
              <w:left w:val="nil"/>
              <w:bottom w:val="single" w:sz="4" w:space="0" w:color="auto"/>
              <w:right w:val="nil"/>
            </w:tcBorders>
            <w:shd w:val="clear" w:color="auto" w:fill="auto"/>
            <w:noWrap/>
            <w:vAlign w:val="bottom"/>
          </w:tcPr>
          <w:p w:rsidR="00F2449D" w:rsidRPr="000F5685" w:rsidRDefault="00F2449D" w:rsidP="00F2449D">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rsidR="00F2449D" w:rsidRPr="0065548E" w:rsidRDefault="0065548E">
            <w:pPr>
              <w:jc w:val="right"/>
              <w:rPr>
                <w:rFonts w:ascii="Arial" w:hAnsi="Arial" w:cs="Arial"/>
                <w:b/>
                <w:sz w:val="18"/>
                <w:szCs w:val="18"/>
              </w:rPr>
            </w:pPr>
            <w:r w:rsidRPr="0065548E">
              <w:rPr>
                <w:rFonts w:ascii="Arial" w:hAnsi="Arial" w:cs="Arial"/>
                <w:b/>
                <w:bCs/>
                <w:sz w:val="18"/>
                <w:szCs w:val="18"/>
              </w:rPr>
              <w:t>485</w:t>
            </w:r>
          </w:p>
        </w:tc>
        <w:tc>
          <w:tcPr>
            <w:tcW w:w="1097" w:type="pct"/>
            <w:tcBorders>
              <w:left w:val="nil"/>
              <w:bottom w:val="single" w:sz="4" w:space="0" w:color="auto"/>
            </w:tcBorders>
            <w:shd w:val="clear" w:color="auto" w:fill="auto"/>
            <w:noWrap/>
            <w:vAlign w:val="bottom"/>
          </w:tcPr>
          <w:p w:rsidR="00F2449D" w:rsidRPr="00F2449D" w:rsidRDefault="00F2449D">
            <w:pPr>
              <w:jc w:val="right"/>
              <w:rPr>
                <w:rFonts w:ascii="Arial" w:hAnsi="Arial" w:cs="Arial"/>
                <w:bCs/>
                <w:sz w:val="18"/>
                <w:szCs w:val="18"/>
              </w:rPr>
            </w:pPr>
            <w:r w:rsidRPr="00F2449D">
              <w:rPr>
                <w:rFonts w:ascii="Arial" w:hAnsi="Arial" w:cs="Arial"/>
                <w:bCs/>
                <w:sz w:val="18"/>
                <w:szCs w:val="18"/>
              </w:rPr>
              <w:t>610</w:t>
            </w:r>
          </w:p>
        </w:tc>
      </w:tr>
      <w:tr w:rsidR="00F2449D" w:rsidTr="00FA21A3">
        <w:trPr>
          <w:trHeight w:val="240"/>
        </w:trPr>
        <w:tc>
          <w:tcPr>
            <w:tcW w:w="2712" w:type="pct"/>
            <w:tcBorders>
              <w:top w:val="single" w:sz="4" w:space="0" w:color="auto"/>
              <w:left w:val="single" w:sz="4" w:space="0" w:color="auto"/>
              <w:bottom w:val="nil"/>
              <w:right w:val="nil"/>
            </w:tcBorders>
            <w:shd w:val="clear" w:color="auto" w:fill="auto"/>
            <w:noWrap/>
            <w:vAlign w:val="bottom"/>
          </w:tcPr>
          <w:p w:rsidR="00F2449D" w:rsidRPr="0013056D" w:rsidRDefault="00F2449D" w:rsidP="00F2449D">
            <w:pPr>
              <w:rPr>
                <w:rFonts w:ascii="Arial" w:hAnsi="Arial" w:cs="Arial"/>
                <w:sz w:val="18"/>
                <w:szCs w:val="18"/>
              </w:rPr>
            </w:pPr>
            <w:r>
              <w:rPr>
                <w:rFonts w:ascii="Arial" w:hAnsi="Arial" w:cs="Arial"/>
                <w:sz w:val="18"/>
                <w:szCs w:val="18"/>
              </w:rPr>
              <w:t xml:space="preserve">Actuarial </w:t>
            </w:r>
            <w:r w:rsidR="0065548E">
              <w:rPr>
                <w:rFonts w:ascii="Arial" w:hAnsi="Arial" w:cs="Arial"/>
                <w:sz w:val="18"/>
                <w:szCs w:val="18"/>
              </w:rPr>
              <w:t>losses</w:t>
            </w:r>
            <w:r w:rsidRPr="0013056D">
              <w:rPr>
                <w:rFonts w:ascii="Arial" w:hAnsi="Arial" w:cs="Arial"/>
                <w:sz w:val="18"/>
                <w:szCs w:val="18"/>
              </w:rPr>
              <w:t xml:space="preserve"> on post-employment benefits</w:t>
            </w:r>
          </w:p>
        </w:tc>
        <w:tc>
          <w:tcPr>
            <w:tcW w:w="458" w:type="pct"/>
            <w:tcBorders>
              <w:top w:val="single" w:sz="4" w:space="0" w:color="auto"/>
              <w:left w:val="nil"/>
              <w:bottom w:val="nil"/>
              <w:right w:val="nil"/>
            </w:tcBorders>
            <w:shd w:val="clear" w:color="auto" w:fill="auto"/>
            <w:noWrap/>
            <w:vAlign w:val="bottom"/>
          </w:tcPr>
          <w:p w:rsidR="00F2449D" w:rsidRPr="000F5685" w:rsidRDefault="00F2449D" w:rsidP="00F2449D">
            <w:pPr>
              <w:jc w:val="center"/>
              <w:rPr>
                <w:rFonts w:ascii="Arial" w:hAnsi="Arial" w:cs="Arial"/>
                <w:sz w:val="18"/>
                <w:szCs w:val="18"/>
              </w:rPr>
            </w:pPr>
            <w:r>
              <w:rPr>
                <w:rFonts w:ascii="Arial" w:hAnsi="Arial" w:cs="Arial"/>
                <w:sz w:val="18"/>
                <w:szCs w:val="18"/>
              </w:rPr>
              <w:t>9</w:t>
            </w:r>
          </w:p>
        </w:tc>
        <w:tc>
          <w:tcPr>
            <w:tcW w:w="733" w:type="pct"/>
            <w:tcBorders>
              <w:top w:val="single" w:sz="4" w:space="0" w:color="auto"/>
              <w:left w:val="nil"/>
              <w:bottom w:val="nil"/>
              <w:right w:val="nil"/>
            </w:tcBorders>
            <w:shd w:val="clear" w:color="auto" w:fill="auto"/>
            <w:noWrap/>
            <w:vAlign w:val="bottom"/>
          </w:tcPr>
          <w:p w:rsidR="00F2449D" w:rsidRPr="0065548E" w:rsidRDefault="0065548E" w:rsidP="00F2449D">
            <w:pPr>
              <w:jc w:val="right"/>
              <w:rPr>
                <w:rFonts w:ascii="Arial" w:hAnsi="Arial" w:cs="Arial"/>
                <w:b/>
                <w:sz w:val="18"/>
                <w:szCs w:val="18"/>
              </w:rPr>
            </w:pPr>
            <w:r w:rsidRPr="0065548E">
              <w:rPr>
                <w:rFonts w:ascii="Arial" w:hAnsi="Arial" w:cs="Arial"/>
                <w:b/>
                <w:bCs/>
                <w:sz w:val="18"/>
                <w:szCs w:val="18"/>
              </w:rPr>
              <w:t>(58)</w:t>
            </w:r>
          </w:p>
        </w:tc>
        <w:tc>
          <w:tcPr>
            <w:tcW w:w="1097" w:type="pct"/>
            <w:tcBorders>
              <w:top w:val="single" w:sz="4" w:space="0" w:color="auto"/>
              <w:left w:val="nil"/>
              <w:bottom w:val="nil"/>
              <w:right w:val="single" w:sz="4" w:space="0" w:color="auto"/>
            </w:tcBorders>
            <w:shd w:val="clear" w:color="auto" w:fill="auto"/>
            <w:noWrap/>
            <w:vAlign w:val="bottom"/>
          </w:tcPr>
          <w:p w:rsidR="00F2449D" w:rsidRPr="00F2449D" w:rsidRDefault="00F2449D" w:rsidP="00F2449D">
            <w:pPr>
              <w:jc w:val="right"/>
              <w:rPr>
                <w:rFonts w:ascii="Arial" w:hAnsi="Arial" w:cs="Arial"/>
                <w:bCs/>
                <w:sz w:val="18"/>
                <w:szCs w:val="18"/>
              </w:rPr>
            </w:pPr>
            <w:r w:rsidRPr="00F2449D">
              <w:rPr>
                <w:rFonts w:ascii="Arial" w:hAnsi="Arial" w:cs="Arial"/>
                <w:bCs/>
                <w:sz w:val="18"/>
                <w:szCs w:val="18"/>
              </w:rPr>
              <w:t>(50)</w:t>
            </w:r>
          </w:p>
        </w:tc>
      </w:tr>
      <w:tr w:rsidR="00F2449D" w:rsidTr="00FA21A3">
        <w:trPr>
          <w:trHeight w:val="240"/>
        </w:trPr>
        <w:tc>
          <w:tcPr>
            <w:tcW w:w="2712" w:type="pct"/>
            <w:tcBorders>
              <w:top w:val="nil"/>
              <w:left w:val="single" w:sz="4" w:space="0" w:color="auto"/>
              <w:bottom w:val="single" w:sz="4" w:space="0" w:color="auto"/>
              <w:right w:val="nil"/>
            </w:tcBorders>
            <w:shd w:val="clear" w:color="auto" w:fill="auto"/>
            <w:noWrap/>
            <w:vAlign w:val="bottom"/>
          </w:tcPr>
          <w:p w:rsidR="00F2449D" w:rsidRDefault="00F2449D" w:rsidP="00F2449D">
            <w:pPr>
              <w:rPr>
                <w:rFonts w:ascii="Arial" w:hAnsi="Arial" w:cs="Arial"/>
                <w:sz w:val="18"/>
                <w:szCs w:val="18"/>
              </w:rPr>
            </w:pPr>
            <w:r w:rsidRPr="001231C6">
              <w:rPr>
                <w:rFonts w:ascii="Arial" w:hAnsi="Arial" w:cs="Arial"/>
                <w:sz w:val="18"/>
                <w:szCs w:val="18"/>
              </w:rPr>
              <w:t>Tax on items that will not be reclassified</w:t>
            </w:r>
          </w:p>
        </w:tc>
        <w:tc>
          <w:tcPr>
            <w:tcW w:w="458" w:type="pct"/>
            <w:tcBorders>
              <w:top w:val="nil"/>
              <w:left w:val="nil"/>
              <w:bottom w:val="single" w:sz="4" w:space="0" w:color="auto"/>
              <w:right w:val="nil"/>
            </w:tcBorders>
            <w:shd w:val="clear" w:color="auto" w:fill="auto"/>
            <w:noWrap/>
            <w:vAlign w:val="bottom"/>
          </w:tcPr>
          <w:p w:rsidR="00F2449D" w:rsidRPr="000F5685" w:rsidRDefault="00F2449D" w:rsidP="00F2449D">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rsidR="00F2449D" w:rsidRPr="0065548E" w:rsidRDefault="00233272" w:rsidP="00F2449D">
            <w:pPr>
              <w:jc w:val="right"/>
              <w:rPr>
                <w:rFonts w:ascii="Arial" w:hAnsi="Arial" w:cs="Arial"/>
                <w:b/>
                <w:sz w:val="18"/>
                <w:szCs w:val="18"/>
              </w:rPr>
            </w:pPr>
            <w:r>
              <w:rPr>
                <w:rFonts w:ascii="Arial" w:hAnsi="Arial" w:cs="Arial"/>
                <w:b/>
                <w:sz w:val="18"/>
                <w:szCs w:val="18"/>
              </w:rPr>
              <w:t>16</w:t>
            </w:r>
          </w:p>
        </w:tc>
        <w:tc>
          <w:tcPr>
            <w:tcW w:w="1097" w:type="pct"/>
            <w:tcBorders>
              <w:top w:val="nil"/>
              <w:left w:val="nil"/>
              <w:bottom w:val="single" w:sz="4" w:space="0" w:color="auto"/>
              <w:right w:val="single" w:sz="4" w:space="0" w:color="auto"/>
            </w:tcBorders>
            <w:shd w:val="clear" w:color="auto" w:fill="auto"/>
            <w:noWrap/>
            <w:vAlign w:val="bottom"/>
          </w:tcPr>
          <w:p w:rsidR="00F2449D" w:rsidRPr="00F2449D" w:rsidRDefault="00F2449D" w:rsidP="00F2449D">
            <w:pPr>
              <w:jc w:val="right"/>
              <w:rPr>
                <w:rFonts w:ascii="Arial" w:hAnsi="Arial" w:cs="Arial"/>
                <w:bCs/>
                <w:sz w:val="18"/>
                <w:szCs w:val="18"/>
              </w:rPr>
            </w:pPr>
            <w:r w:rsidRPr="00F2449D">
              <w:rPr>
                <w:rFonts w:ascii="Arial" w:hAnsi="Arial" w:cs="Arial"/>
                <w:bCs/>
                <w:sz w:val="18"/>
                <w:szCs w:val="18"/>
              </w:rPr>
              <w:t>11</w:t>
            </w:r>
          </w:p>
        </w:tc>
      </w:tr>
      <w:tr w:rsidR="00233272" w:rsidTr="00FA21A3">
        <w:trPr>
          <w:trHeight w:val="240"/>
        </w:trPr>
        <w:tc>
          <w:tcPr>
            <w:tcW w:w="2712" w:type="pct"/>
            <w:tcBorders>
              <w:top w:val="single" w:sz="4" w:space="0" w:color="auto"/>
              <w:left w:val="single" w:sz="4" w:space="0" w:color="auto"/>
              <w:bottom w:val="single" w:sz="4" w:space="0" w:color="auto"/>
              <w:right w:val="nil"/>
            </w:tcBorders>
            <w:shd w:val="clear" w:color="auto" w:fill="auto"/>
            <w:noWrap/>
            <w:vAlign w:val="bottom"/>
          </w:tcPr>
          <w:p w:rsidR="00233272" w:rsidRPr="004B6E88" w:rsidRDefault="00233272" w:rsidP="00233272">
            <w:pPr>
              <w:rPr>
                <w:rFonts w:ascii="Arial" w:hAnsi="Arial" w:cs="Arial"/>
                <w:b/>
                <w:sz w:val="18"/>
                <w:szCs w:val="18"/>
              </w:rPr>
            </w:pPr>
            <w:r w:rsidRPr="004B6E88">
              <w:rPr>
                <w:rFonts w:ascii="Arial" w:hAnsi="Arial" w:cs="Arial"/>
                <w:b/>
                <w:sz w:val="18"/>
                <w:szCs w:val="18"/>
              </w:rPr>
              <w:t>Total items that will not be reclassified subsequently to profit or loss</w:t>
            </w:r>
          </w:p>
        </w:tc>
        <w:tc>
          <w:tcPr>
            <w:tcW w:w="458" w:type="pct"/>
            <w:tcBorders>
              <w:top w:val="single" w:sz="4" w:space="0" w:color="auto"/>
              <w:left w:val="nil"/>
              <w:bottom w:val="single" w:sz="4" w:space="0" w:color="auto"/>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single" w:sz="4" w:space="0" w:color="auto"/>
              <w:left w:val="nil"/>
              <w:bottom w:val="nil"/>
              <w:right w:val="nil"/>
            </w:tcBorders>
            <w:shd w:val="clear" w:color="auto" w:fill="auto"/>
            <w:noWrap/>
            <w:vAlign w:val="bottom"/>
          </w:tcPr>
          <w:p w:rsidR="00233272" w:rsidRPr="00233272" w:rsidRDefault="00233272" w:rsidP="00233272">
            <w:pPr>
              <w:jc w:val="right"/>
              <w:rPr>
                <w:rFonts w:ascii="Arial" w:hAnsi="Arial" w:cs="Arial"/>
                <w:b/>
                <w:sz w:val="18"/>
                <w:szCs w:val="18"/>
              </w:rPr>
            </w:pPr>
            <w:r w:rsidRPr="00233272">
              <w:rPr>
                <w:rFonts w:ascii="Arial" w:hAnsi="Arial" w:cs="Arial"/>
                <w:b/>
                <w:bCs/>
                <w:sz w:val="18"/>
                <w:szCs w:val="18"/>
              </w:rPr>
              <w:t>(42</w:t>
            </w:r>
            <w:r w:rsidRPr="007550F3">
              <w:rPr>
                <w:rFonts w:ascii="Arial" w:hAnsi="Arial" w:cs="Arial"/>
                <w:b/>
                <w:bCs/>
                <w:sz w:val="18"/>
                <w:szCs w:val="18"/>
              </w:rPr>
              <w:t>)</w:t>
            </w:r>
          </w:p>
        </w:tc>
        <w:tc>
          <w:tcPr>
            <w:tcW w:w="1097" w:type="pct"/>
            <w:tcBorders>
              <w:top w:val="single" w:sz="4" w:space="0" w:color="auto"/>
              <w:left w:val="nil"/>
              <w:bottom w:val="single" w:sz="4" w:space="0" w:color="auto"/>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(39)</w:t>
            </w:r>
          </w:p>
        </w:tc>
      </w:tr>
      <w:tr w:rsidR="00233272" w:rsidTr="00FA21A3">
        <w:trPr>
          <w:trHeight w:val="240"/>
        </w:trPr>
        <w:tc>
          <w:tcPr>
            <w:tcW w:w="2712" w:type="pct"/>
            <w:tcBorders>
              <w:top w:val="single" w:sz="4" w:space="0" w:color="auto"/>
              <w:left w:val="single" w:sz="4" w:space="0" w:color="auto"/>
              <w:bottom w:val="nil"/>
              <w:right w:val="nil"/>
            </w:tcBorders>
            <w:shd w:val="clear" w:color="auto" w:fill="auto"/>
            <w:noWrap/>
            <w:vAlign w:val="bottom"/>
          </w:tcPr>
          <w:p w:rsidR="00233272" w:rsidRPr="000F5685" w:rsidRDefault="00233272" w:rsidP="00233272">
            <w:pPr>
              <w:rPr>
                <w:rFonts w:ascii="Arial" w:hAnsi="Arial" w:cs="Arial"/>
                <w:sz w:val="18"/>
                <w:szCs w:val="18"/>
              </w:rPr>
            </w:pPr>
            <w:r>
              <w:rPr>
                <w:rFonts w:ascii="Arial" w:hAnsi="Arial" w:cs="Arial"/>
                <w:sz w:val="18"/>
                <w:szCs w:val="18"/>
              </w:rPr>
              <w:t>Currency translation differences</w:t>
            </w:r>
            <w:r w:rsidRPr="002A7D7A">
              <w:rPr>
                <w:rFonts w:ascii="Arial" w:hAnsi="Arial" w:cs="Arial"/>
                <w:sz w:val="18"/>
                <w:szCs w:val="18"/>
              </w:rPr>
              <w:t xml:space="preserve"> </w:t>
            </w:r>
          </w:p>
        </w:tc>
        <w:tc>
          <w:tcPr>
            <w:tcW w:w="458" w:type="pct"/>
            <w:tcBorders>
              <w:top w:val="single" w:sz="4" w:space="0" w:color="auto"/>
              <w:left w:val="nil"/>
              <w:bottom w:val="nil"/>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single" w:sz="4" w:space="0" w:color="auto"/>
              <w:left w:val="nil"/>
              <w:bottom w:val="nil"/>
              <w:right w:val="nil"/>
            </w:tcBorders>
            <w:shd w:val="clear" w:color="auto" w:fill="auto"/>
            <w:noWrap/>
            <w:vAlign w:val="bottom"/>
          </w:tcPr>
          <w:p w:rsidR="00233272" w:rsidRPr="0065548E" w:rsidRDefault="00233272" w:rsidP="00233272">
            <w:pPr>
              <w:jc w:val="right"/>
              <w:rPr>
                <w:rFonts w:ascii="Arial" w:hAnsi="Arial" w:cs="Arial"/>
                <w:b/>
                <w:sz w:val="18"/>
                <w:szCs w:val="18"/>
              </w:rPr>
            </w:pPr>
          </w:p>
        </w:tc>
        <w:tc>
          <w:tcPr>
            <w:tcW w:w="1097" w:type="pct"/>
            <w:tcBorders>
              <w:top w:val="single" w:sz="4" w:space="0" w:color="auto"/>
              <w:left w:val="nil"/>
              <w:bottom w:val="nil"/>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p>
        </w:tc>
      </w:tr>
      <w:tr w:rsidR="00233272" w:rsidTr="00FA21A3">
        <w:trPr>
          <w:trHeight w:val="240"/>
        </w:trPr>
        <w:tc>
          <w:tcPr>
            <w:tcW w:w="2712" w:type="pct"/>
            <w:tcBorders>
              <w:top w:val="nil"/>
              <w:left w:val="single" w:sz="4" w:space="0" w:color="auto"/>
              <w:bottom w:val="nil"/>
              <w:right w:val="nil"/>
            </w:tcBorders>
            <w:shd w:val="clear" w:color="auto" w:fill="auto"/>
            <w:noWrap/>
            <w:vAlign w:val="bottom"/>
          </w:tcPr>
          <w:p w:rsidR="00233272" w:rsidRPr="002A7D7A" w:rsidRDefault="00233272" w:rsidP="00233272">
            <w:pPr>
              <w:ind w:left="220"/>
              <w:rPr>
                <w:rFonts w:ascii="Arial" w:hAnsi="Arial" w:cs="Arial"/>
                <w:sz w:val="18"/>
                <w:szCs w:val="18"/>
              </w:rPr>
            </w:pPr>
            <w:r>
              <w:rPr>
                <w:rFonts w:ascii="Arial" w:hAnsi="Arial" w:cs="Arial"/>
                <w:sz w:val="18"/>
                <w:szCs w:val="18"/>
              </w:rPr>
              <w:t>Group</w:t>
            </w:r>
          </w:p>
        </w:tc>
        <w:tc>
          <w:tcPr>
            <w:tcW w:w="458" w:type="pct"/>
            <w:tcBorders>
              <w:top w:val="nil"/>
              <w:left w:val="nil"/>
              <w:bottom w:val="nil"/>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rsidR="00233272" w:rsidRPr="0065548E" w:rsidRDefault="00233272" w:rsidP="00233272">
            <w:pPr>
              <w:jc w:val="right"/>
              <w:rPr>
                <w:rFonts w:ascii="Arial" w:hAnsi="Arial" w:cs="Arial"/>
                <w:b/>
                <w:sz w:val="18"/>
                <w:szCs w:val="18"/>
              </w:rPr>
            </w:pPr>
            <w:r w:rsidRPr="0065548E">
              <w:rPr>
                <w:rFonts w:ascii="Arial" w:hAnsi="Arial" w:cs="Arial"/>
                <w:b/>
                <w:bCs/>
                <w:sz w:val="18"/>
                <w:szCs w:val="18"/>
              </w:rPr>
              <w:t>84</w:t>
            </w:r>
          </w:p>
        </w:tc>
        <w:tc>
          <w:tcPr>
            <w:tcW w:w="1097" w:type="pct"/>
            <w:tcBorders>
              <w:top w:val="nil"/>
              <w:left w:val="nil"/>
              <w:bottom w:val="nil"/>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390</w:t>
            </w:r>
          </w:p>
        </w:tc>
      </w:tr>
      <w:tr w:rsidR="00233272" w:rsidTr="00FA21A3">
        <w:trPr>
          <w:trHeight w:val="240"/>
        </w:trPr>
        <w:tc>
          <w:tcPr>
            <w:tcW w:w="2712" w:type="pct"/>
            <w:tcBorders>
              <w:top w:val="nil"/>
              <w:left w:val="single" w:sz="4" w:space="0" w:color="auto"/>
              <w:bottom w:val="nil"/>
              <w:right w:val="nil"/>
            </w:tcBorders>
            <w:shd w:val="clear" w:color="auto" w:fill="auto"/>
            <w:noWrap/>
            <w:vAlign w:val="bottom"/>
          </w:tcPr>
          <w:p w:rsidR="00233272" w:rsidRPr="002A7D7A" w:rsidRDefault="00233272" w:rsidP="00233272">
            <w:pPr>
              <w:ind w:left="220"/>
              <w:rPr>
                <w:rFonts w:ascii="Arial" w:hAnsi="Arial" w:cs="Arial"/>
                <w:sz w:val="18"/>
                <w:szCs w:val="18"/>
              </w:rPr>
            </w:pPr>
            <w:r>
              <w:rPr>
                <w:rFonts w:ascii="Arial" w:hAnsi="Arial" w:cs="Arial"/>
                <w:sz w:val="18"/>
                <w:szCs w:val="18"/>
              </w:rPr>
              <w:t>Joint ventures and associates</w:t>
            </w:r>
          </w:p>
        </w:tc>
        <w:tc>
          <w:tcPr>
            <w:tcW w:w="458" w:type="pct"/>
            <w:tcBorders>
              <w:top w:val="nil"/>
              <w:left w:val="nil"/>
              <w:bottom w:val="nil"/>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rsidR="00233272" w:rsidRPr="0065548E" w:rsidRDefault="00233272" w:rsidP="00233272">
            <w:pPr>
              <w:jc w:val="right"/>
              <w:rPr>
                <w:rFonts w:ascii="Arial" w:hAnsi="Arial" w:cs="Arial"/>
                <w:b/>
                <w:sz w:val="18"/>
                <w:szCs w:val="18"/>
              </w:rPr>
            </w:pPr>
            <w:r w:rsidRPr="0065548E">
              <w:rPr>
                <w:rFonts w:ascii="Arial" w:hAnsi="Arial" w:cs="Arial"/>
                <w:b/>
                <w:bCs/>
                <w:sz w:val="18"/>
                <w:szCs w:val="18"/>
              </w:rPr>
              <w:t>(1)</w:t>
            </w:r>
          </w:p>
        </w:tc>
        <w:tc>
          <w:tcPr>
            <w:tcW w:w="1097" w:type="pct"/>
            <w:tcBorders>
              <w:top w:val="nil"/>
              <w:left w:val="nil"/>
              <w:bottom w:val="nil"/>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(1)</w:t>
            </w:r>
          </w:p>
        </w:tc>
      </w:tr>
      <w:tr w:rsidR="00233272" w:rsidTr="00FA21A3">
        <w:trPr>
          <w:trHeight w:val="240"/>
        </w:trPr>
        <w:tc>
          <w:tcPr>
            <w:tcW w:w="2712" w:type="pct"/>
            <w:tcBorders>
              <w:top w:val="nil"/>
              <w:left w:val="single" w:sz="4" w:space="0" w:color="auto"/>
              <w:bottom w:val="nil"/>
              <w:right w:val="nil"/>
            </w:tcBorders>
            <w:shd w:val="clear" w:color="auto" w:fill="auto"/>
            <w:noWrap/>
            <w:vAlign w:val="bottom"/>
          </w:tcPr>
          <w:p w:rsidR="00233272" w:rsidRPr="000F5685" w:rsidRDefault="00233272" w:rsidP="00233272">
            <w:pPr>
              <w:rPr>
                <w:rFonts w:ascii="Arial" w:hAnsi="Arial" w:cs="Arial"/>
                <w:sz w:val="18"/>
                <w:szCs w:val="18"/>
              </w:rPr>
            </w:pPr>
            <w:r w:rsidRPr="002A7D7A">
              <w:rPr>
                <w:rFonts w:ascii="Arial" w:hAnsi="Arial" w:cs="Arial"/>
                <w:sz w:val="18"/>
                <w:szCs w:val="18"/>
              </w:rPr>
              <w:t>Cash flow hedges</w:t>
            </w:r>
          </w:p>
        </w:tc>
        <w:tc>
          <w:tcPr>
            <w:tcW w:w="458" w:type="pct"/>
            <w:tcBorders>
              <w:top w:val="nil"/>
              <w:left w:val="nil"/>
              <w:bottom w:val="nil"/>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rsidR="00233272" w:rsidRPr="0065548E" w:rsidRDefault="00233272" w:rsidP="00233272">
            <w:pPr>
              <w:jc w:val="right"/>
              <w:rPr>
                <w:rFonts w:ascii="Arial" w:hAnsi="Arial" w:cs="Arial"/>
                <w:b/>
                <w:bCs/>
                <w:sz w:val="18"/>
                <w:szCs w:val="18"/>
              </w:rPr>
            </w:pPr>
          </w:p>
        </w:tc>
        <w:tc>
          <w:tcPr>
            <w:tcW w:w="1097" w:type="pct"/>
            <w:tcBorders>
              <w:top w:val="nil"/>
              <w:left w:val="nil"/>
              <w:bottom w:val="nil"/>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p>
        </w:tc>
      </w:tr>
      <w:tr w:rsidR="00233272" w:rsidTr="00FA21A3">
        <w:trPr>
          <w:trHeight w:val="240"/>
        </w:trPr>
        <w:tc>
          <w:tcPr>
            <w:tcW w:w="2712" w:type="pct"/>
            <w:tcBorders>
              <w:top w:val="nil"/>
              <w:left w:val="single" w:sz="4" w:space="0" w:color="auto"/>
              <w:bottom w:val="nil"/>
              <w:right w:val="nil"/>
            </w:tcBorders>
            <w:shd w:val="clear" w:color="auto" w:fill="auto"/>
            <w:noWrap/>
            <w:vAlign w:val="bottom"/>
          </w:tcPr>
          <w:p w:rsidR="00233272" w:rsidRPr="000F5685" w:rsidRDefault="00233272" w:rsidP="00233272">
            <w:pPr>
              <w:ind w:left="220"/>
              <w:rPr>
                <w:rFonts w:ascii="Arial" w:hAnsi="Arial" w:cs="Arial"/>
                <w:sz w:val="18"/>
                <w:szCs w:val="18"/>
              </w:rPr>
            </w:pPr>
            <w:r>
              <w:rPr>
                <w:rFonts w:ascii="Arial" w:hAnsi="Arial" w:cs="Arial"/>
                <w:sz w:val="18"/>
                <w:szCs w:val="18"/>
              </w:rPr>
              <w:t>Fair value (losses)/gains</w:t>
            </w:r>
          </w:p>
        </w:tc>
        <w:tc>
          <w:tcPr>
            <w:tcW w:w="458" w:type="pct"/>
            <w:tcBorders>
              <w:top w:val="nil"/>
              <w:left w:val="nil"/>
              <w:bottom w:val="nil"/>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rsidR="00233272" w:rsidRPr="0065548E" w:rsidRDefault="00233272" w:rsidP="00233272">
            <w:pPr>
              <w:jc w:val="right"/>
              <w:rPr>
                <w:rFonts w:ascii="Arial" w:hAnsi="Arial" w:cs="Arial"/>
                <w:b/>
                <w:sz w:val="18"/>
                <w:szCs w:val="18"/>
              </w:rPr>
            </w:pPr>
            <w:r w:rsidRPr="0065548E">
              <w:rPr>
                <w:rFonts w:ascii="Arial" w:hAnsi="Arial" w:cs="Arial"/>
                <w:b/>
                <w:bCs/>
                <w:sz w:val="18"/>
                <w:szCs w:val="18"/>
              </w:rPr>
              <w:t>(93)</w:t>
            </w:r>
          </w:p>
        </w:tc>
        <w:tc>
          <w:tcPr>
            <w:tcW w:w="1097" w:type="pct"/>
            <w:tcBorders>
              <w:top w:val="nil"/>
              <w:left w:val="nil"/>
              <w:bottom w:val="nil"/>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52</w:t>
            </w:r>
          </w:p>
        </w:tc>
      </w:tr>
      <w:tr w:rsidR="00233272" w:rsidTr="00FA21A3">
        <w:trPr>
          <w:trHeight w:val="240"/>
        </w:trPr>
        <w:tc>
          <w:tcPr>
            <w:tcW w:w="2712" w:type="pct"/>
            <w:tcBorders>
              <w:top w:val="nil"/>
              <w:left w:val="single" w:sz="4" w:space="0" w:color="auto"/>
              <w:bottom w:val="nil"/>
              <w:right w:val="nil"/>
            </w:tcBorders>
            <w:shd w:val="clear" w:color="auto" w:fill="auto"/>
            <w:noWrap/>
            <w:vAlign w:val="bottom"/>
          </w:tcPr>
          <w:p w:rsidR="00233272" w:rsidRPr="000F5685" w:rsidRDefault="00233272" w:rsidP="00233272">
            <w:pPr>
              <w:ind w:left="220"/>
              <w:rPr>
                <w:rFonts w:ascii="Arial" w:hAnsi="Arial" w:cs="Arial"/>
                <w:sz w:val="18"/>
                <w:szCs w:val="18"/>
              </w:rPr>
            </w:pPr>
            <w:r>
              <w:rPr>
                <w:rFonts w:ascii="Arial" w:hAnsi="Arial" w:cs="Arial"/>
                <w:sz w:val="18"/>
                <w:szCs w:val="18"/>
              </w:rPr>
              <w:t>Losses/(g</w:t>
            </w:r>
            <w:r w:rsidRPr="00EB6401">
              <w:rPr>
                <w:rFonts w:ascii="Arial" w:hAnsi="Arial" w:cs="Arial"/>
                <w:sz w:val="18"/>
                <w:szCs w:val="18"/>
              </w:rPr>
              <w:t>ains</w:t>
            </w:r>
            <w:r>
              <w:rPr>
                <w:rFonts w:ascii="Arial" w:hAnsi="Arial" w:cs="Arial"/>
                <w:sz w:val="18"/>
                <w:szCs w:val="18"/>
              </w:rPr>
              <w:t>)</w:t>
            </w:r>
            <w:r w:rsidRPr="00EB6401">
              <w:rPr>
                <w:rFonts w:ascii="Arial" w:hAnsi="Arial" w:cs="Arial"/>
                <w:sz w:val="18"/>
                <w:szCs w:val="18"/>
              </w:rPr>
              <w:t xml:space="preserve"> transferred to inventories</w:t>
            </w:r>
          </w:p>
        </w:tc>
        <w:tc>
          <w:tcPr>
            <w:tcW w:w="458" w:type="pct"/>
            <w:tcBorders>
              <w:top w:val="nil"/>
              <w:left w:val="nil"/>
              <w:bottom w:val="nil"/>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rsidR="00233272" w:rsidRPr="0065548E" w:rsidRDefault="00233272" w:rsidP="00233272">
            <w:pPr>
              <w:jc w:val="right"/>
              <w:rPr>
                <w:rFonts w:ascii="Arial" w:hAnsi="Arial" w:cs="Arial"/>
                <w:b/>
                <w:sz w:val="18"/>
                <w:szCs w:val="18"/>
              </w:rPr>
            </w:pPr>
            <w:r w:rsidRPr="0065548E">
              <w:rPr>
                <w:rFonts w:ascii="Arial" w:hAnsi="Arial" w:cs="Arial"/>
                <w:b/>
                <w:sz w:val="18"/>
                <w:szCs w:val="18"/>
              </w:rPr>
              <w:t>20</w:t>
            </w:r>
          </w:p>
        </w:tc>
        <w:tc>
          <w:tcPr>
            <w:tcW w:w="1097" w:type="pct"/>
            <w:tcBorders>
              <w:top w:val="nil"/>
              <w:left w:val="nil"/>
              <w:bottom w:val="nil"/>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(60)</w:t>
            </w:r>
          </w:p>
        </w:tc>
      </w:tr>
      <w:tr w:rsidR="00233272" w:rsidTr="00FA21A3">
        <w:trPr>
          <w:trHeight w:val="240"/>
        </w:trPr>
        <w:tc>
          <w:tcPr>
            <w:tcW w:w="2712" w:type="pct"/>
            <w:tcBorders>
              <w:top w:val="nil"/>
              <w:left w:val="single" w:sz="4" w:space="0" w:color="auto"/>
              <w:bottom w:val="nil"/>
              <w:right w:val="nil"/>
            </w:tcBorders>
            <w:shd w:val="clear" w:color="auto" w:fill="auto"/>
            <w:noWrap/>
            <w:vAlign w:val="bottom"/>
          </w:tcPr>
          <w:p w:rsidR="00233272" w:rsidRPr="000F5685" w:rsidRDefault="00233272" w:rsidP="00233272">
            <w:pPr>
              <w:rPr>
                <w:rFonts w:ascii="Arial" w:hAnsi="Arial" w:cs="Arial"/>
                <w:sz w:val="18"/>
                <w:szCs w:val="18"/>
              </w:rPr>
            </w:pPr>
            <w:r>
              <w:rPr>
                <w:rFonts w:ascii="Arial" w:hAnsi="Arial" w:cs="Arial"/>
                <w:sz w:val="18"/>
                <w:szCs w:val="18"/>
              </w:rPr>
              <w:t>Available-for-sale financial assets</w:t>
            </w:r>
          </w:p>
        </w:tc>
        <w:tc>
          <w:tcPr>
            <w:tcW w:w="458" w:type="pct"/>
            <w:tcBorders>
              <w:top w:val="nil"/>
              <w:left w:val="nil"/>
              <w:bottom w:val="nil"/>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rsidR="00233272" w:rsidRPr="0065548E" w:rsidRDefault="00233272" w:rsidP="00233272">
            <w:pPr>
              <w:jc w:val="right"/>
              <w:rPr>
                <w:rFonts w:ascii="Arial" w:hAnsi="Arial" w:cs="Arial"/>
                <w:b/>
                <w:sz w:val="18"/>
                <w:szCs w:val="18"/>
              </w:rPr>
            </w:pPr>
          </w:p>
        </w:tc>
        <w:tc>
          <w:tcPr>
            <w:tcW w:w="1097" w:type="pct"/>
            <w:tcBorders>
              <w:top w:val="nil"/>
              <w:left w:val="nil"/>
              <w:bottom w:val="nil"/>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p>
        </w:tc>
      </w:tr>
      <w:tr w:rsidR="00233272" w:rsidTr="00FA21A3">
        <w:trPr>
          <w:trHeight w:val="240"/>
        </w:trPr>
        <w:tc>
          <w:tcPr>
            <w:tcW w:w="2712" w:type="pct"/>
            <w:tcBorders>
              <w:top w:val="nil"/>
              <w:left w:val="single" w:sz="4" w:space="0" w:color="auto"/>
              <w:bottom w:val="nil"/>
              <w:right w:val="nil"/>
            </w:tcBorders>
            <w:shd w:val="clear" w:color="auto" w:fill="auto"/>
            <w:noWrap/>
            <w:vAlign w:val="bottom"/>
          </w:tcPr>
          <w:p w:rsidR="00233272" w:rsidRPr="000F5685" w:rsidRDefault="00233272" w:rsidP="00233272">
            <w:pPr>
              <w:ind w:left="220"/>
              <w:rPr>
                <w:rFonts w:ascii="Arial" w:hAnsi="Arial" w:cs="Arial"/>
                <w:sz w:val="18"/>
                <w:szCs w:val="18"/>
              </w:rPr>
            </w:pPr>
            <w:r>
              <w:rPr>
                <w:rFonts w:ascii="Arial" w:hAnsi="Arial" w:cs="Arial"/>
                <w:sz w:val="18"/>
                <w:szCs w:val="18"/>
              </w:rPr>
              <w:t>Fair value gains</w:t>
            </w:r>
          </w:p>
        </w:tc>
        <w:tc>
          <w:tcPr>
            <w:tcW w:w="458" w:type="pct"/>
            <w:tcBorders>
              <w:top w:val="nil"/>
              <w:left w:val="nil"/>
              <w:bottom w:val="nil"/>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rsidR="00233272" w:rsidRPr="0065548E" w:rsidRDefault="00233272" w:rsidP="00233272">
            <w:pPr>
              <w:jc w:val="right"/>
              <w:rPr>
                <w:rFonts w:ascii="Arial" w:hAnsi="Arial" w:cs="Arial"/>
                <w:b/>
                <w:sz w:val="18"/>
                <w:szCs w:val="18"/>
              </w:rPr>
            </w:pPr>
            <w:r w:rsidRPr="0065548E">
              <w:rPr>
                <w:rFonts w:ascii="Arial" w:hAnsi="Arial" w:cs="Arial"/>
                <w:b/>
                <w:bCs/>
                <w:sz w:val="18"/>
                <w:szCs w:val="18"/>
              </w:rPr>
              <w:t>–</w:t>
            </w:r>
          </w:p>
        </w:tc>
        <w:tc>
          <w:tcPr>
            <w:tcW w:w="1097" w:type="pct"/>
            <w:tcBorders>
              <w:top w:val="nil"/>
              <w:left w:val="nil"/>
              <w:bottom w:val="nil"/>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5</w:t>
            </w:r>
          </w:p>
        </w:tc>
      </w:tr>
      <w:tr w:rsidR="00233272" w:rsidTr="00FA21A3">
        <w:trPr>
          <w:trHeight w:val="240"/>
        </w:trPr>
        <w:tc>
          <w:tcPr>
            <w:tcW w:w="2712" w:type="pct"/>
            <w:tcBorders>
              <w:top w:val="nil"/>
              <w:left w:val="single" w:sz="4" w:space="0" w:color="auto"/>
              <w:bottom w:val="nil"/>
              <w:right w:val="nil"/>
            </w:tcBorders>
            <w:shd w:val="clear" w:color="auto" w:fill="auto"/>
            <w:noWrap/>
            <w:vAlign w:val="bottom"/>
          </w:tcPr>
          <w:p w:rsidR="00233272" w:rsidRDefault="00233272" w:rsidP="00233272">
            <w:pPr>
              <w:ind w:left="220"/>
              <w:rPr>
                <w:rFonts w:ascii="Arial" w:hAnsi="Arial" w:cs="Arial"/>
                <w:sz w:val="18"/>
                <w:szCs w:val="18"/>
              </w:rPr>
            </w:pPr>
            <w:r>
              <w:rPr>
                <w:rFonts w:ascii="Arial" w:hAnsi="Arial" w:cs="Arial"/>
                <w:sz w:val="18"/>
                <w:szCs w:val="18"/>
              </w:rPr>
              <w:t>Transferred to income statement</w:t>
            </w:r>
          </w:p>
        </w:tc>
        <w:tc>
          <w:tcPr>
            <w:tcW w:w="458" w:type="pct"/>
            <w:tcBorders>
              <w:top w:val="nil"/>
              <w:left w:val="nil"/>
              <w:bottom w:val="nil"/>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rsidR="00233272" w:rsidRPr="0065548E" w:rsidRDefault="00233272" w:rsidP="00233272">
            <w:pPr>
              <w:jc w:val="right"/>
              <w:rPr>
                <w:rFonts w:ascii="Arial" w:hAnsi="Arial" w:cs="Arial"/>
                <w:b/>
                <w:sz w:val="18"/>
                <w:szCs w:val="18"/>
              </w:rPr>
            </w:pPr>
            <w:r w:rsidRPr="0065548E">
              <w:rPr>
                <w:rFonts w:ascii="Arial" w:hAnsi="Arial" w:cs="Arial"/>
                <w:b/>
                <w:bCs/>
                <w:sz w:val="18"/>
                <w:szCs w:val="18"/>
              </w:rPr>
              <w:t>–</w:t>
            </w:r>
          </w:p>
        </w:tc>
        <w:tc>
          <w:tcPr>
            <w:tcW w:w="1097" w:type="pct"/>
            <w:tcBorders>
              <w:top w:val="nil"/>
              <w:left w:val="nil"/>
              <w:bottom w:val="nil"/>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(7)</w:t>
            </w:r>
          </w:p>
        </w:tc>
      </w:tr>
      <w:tr w:rsidR="00233272" w:rsidTr="00FA21A3">
        <w:trPr>
          <w:trHeight w:val="240"/>
        </w:trPr>
        <w:tc>
          <w:tcPr>
            <w:tcW w:w="2712" w:type="pct"/>
            <w:tcBorders>
              <w:top w:val="nil"/>
              <w:left w:val="single" w:sz="4" w:space="0" w:color="auto"/>
              <w:bottom w:val="single" w:sz="4" w:space="0" w:color="auto"/>
              <w:right w:val="nil"/>
            </w:tcBorders>
            <w:shd w:val="clear" w:color="auto" w:fill="auto"/>
            <w:noWrap/>
            <w:vAlign w:val="bottom"/>
          </w:tcPr>
          <w:p w:rsidR="00233272" w:rsidRPr="000F5685" w:rsidRDefault="00233272" w:rsidP="00233272">
            <w:pPr>
              <w:rPr>
                <w:rFonts w:ascii="Arial" w:hAnsi="Arial" w:cs="Arial"/>
                <w:sz w:val="18"/>
                <w:szCs w:val="18"/>
              </w:rPr>
            </w:pPr>
            <w:r w:rsidRPr="001231C6">
              <w:rPr>
                <w:rFonts w:ascii="Arial" w:hAnsi="Arial" w:cs="Arial"/>
                <w:sz w:val="18"/>
                <w:szCs w:val="18"/>
              </w:rPr>
              <w:t>Tax on items that may be reclassified</w:t>
            </w:r>
          </w:p>
        </w:tc>
        <w:tc>
          <w:tcPr>
            <w:tcW w:w="458" w:type="pct"/>
            <w:tcBorders>
              <w:top w:val="nil"/>
              <w:left w:val="nil"/>
              <w:bottom w:val="single" w:sz="4" w:space="0" w:color="auto"/>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single" w:sz="4" w:space="0" w:color="auto"/>
              <w:right w:val="nil"/>
            </w:tcBorders>
            <w:shd w:val="clear" w:color="auto" w:fill="auto"/>
            <w:noWrap/>
            <w:vAlign w:val="bottom"/>
          </w:tcPr>
          <w:p w:rsidR="00233272" w:rsidRPr="0065548E" w:rsidRDefault="00233272" w:rsidP="00233272">
            <w:pPr>
              <w:jc w:val="right"/>
              <w:rPr>
                <w:rFonts w:ascii="Arial" w:hAnsi="Arial" w:cs="Arial"/>
                <w:b/>
                <w:sz w:val="18"/>
                <w:szCs w:val="18"/>
              </w:rPr>
            </w:pPr>
            <w:r>
              <w:rPr>
                <w:rFonts w:ascii="Arial" w:hAnsi="Arial" w:cs="Arial"/>
                <w:b/>
                <w:bCs/>
                <w:sz w:val="18"/>
                <w:szCs w:val="18"/>
              </w:rPr>
              <w:t>12</w:t>
            </w:r>
          </w:p>
        </w:tc>
        <w:tc>
          <w:tcPr>
            <w:tcW w:w="1097" w:type="pct"/>
            <w:tcBorders>
              <w:top w:val="nil"/>
              <w:left w:val="nil"/>
              <w:bottom w:val="single" w:sz="4" w:space="0" w:color="auto"/>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2</w:t>
            </w:r>
          </w:p>
        </w:tc>
      </w:tr>
      <w:tr w:rsidR="00233272" w:rsidTr="00FA21A3">
        <w:trPr>
          <w:trHeight w:val="240"/>
        </w:trPr>
        <w:tc>
          <w:tcPr>
            <w:tcW w:w="2712" w:type="pct"/>
            <w:tcBorders>
              <w:top w:val="single" w:sz="4" w:space="0" w:color="auto"/>
              <w:left w:val="single" w:sz="4" w:space="0" w:color="auto"/>
              <w:bottom w:val="single" w:sz="4" w:space="0" w:color="auto"/>
              <w:right w:val="nil"/>
            </w:tcBorders>
            <w:shd w:val="clear" w:color="auto" w:fill="auto"/>
            <w:noWrap/>
            <w:vAlign w:val="bottom"/>
          </w:tcPr>
          <w:p w:rsidR="00233272" w:rsidRDefault="00233272" w:rsidP="00233272">
            <w:pPr>
              <w:rPr>
                <w:rFonts w:ascii="Arial" w:hAnsi="Arial" w:cs="Arial"/>
                <w:b/>
                <w:bCs/>
                <w:sz w:val="18"/>
                <w:szCs w:val="18"/>
              </w:rPr>
            </w:pPr>
            <w:r w:rsidRPr="001231C6">
              <w:rPr>
                <w:rFonts w:ascii="Arial" w:hAnsi="Arial" w:cs="Arial"/>
                <w:b/>
                <w:bCs/>
                <w:sz w:val="18"/>
                <w:szCs w:val="18"/>
              </w:rPr>
              <w:t>Total items that may be reclassified subsequently to profit or loss</w:t>
            </w:r>
          </w:p>
        </w:tc>
        <w:tc>
          <w:tcPr>
            <w:tcW w:w="458" w:type="pct"/>
            <w:tcBorders>
              <w:top w:val="single" w:sz="4" w:space="0" w:color="auto"/>
              <w:left w:val="nil"/>
              <w:bottom w:val="single" w:sz="4" w:space="0" w:color="auto"/>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single" w:sz="4" w:space="0" w:color="auto"/>
              <w:right w:val="nil"/>
            </w:tcBorders>
            <w:shd w:val="clear" w:color="auto" w:fill="auto"/>
            <w:noWrap/>
            <w:vAlign w:val="bottom"/>
          </w:tcPr>
          <w:p w:rsidR="00233272" w:rsidRPr="0065548E" w:rsidRDefault="00233272" w:rsidP="00233272">
            <w:pPr>
              <w:jc w:val="right"/>
              <w:rPr>
                <w:rFonts w:ascii="Arial" w:hAnsi="Arial" w:cs="Arial"/>
                <w:b/>
                <w:sz w:val="18"/>
                <w:szCs w:val="18"/>
              </w:rPr>
            </w:pPr>
            <w:r>
              <w:rPr>
                <w:rFonts w:ascii="Arial" w:hAnsi="Arial" w:cs="Arial"/>
                <w:b/>
                <w:sz w:val="18"/>
                <w:szCs w:val="18"/>
              </w:rPr>
              <w:t>22</w:t>
            </w:r>
          </w:p>
        </w:tc>
        <w:tc>
          <w:tcPr>
            <w:tcW w:w="1097" w:type="pct"/>
            <w:tcBorders>
              <w:top w:val="single" w:sz="4" w:space="0" w:color="auto"/>
              <w:left w:val="nil"/>
              <w:bottom w:val="single" w:sz="4" w:space="0" w:color="auto"/>
              <w:right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381</w:t>
            </w:r>
          </w:p>
        </w:tc>
      </w:tr>
      <w:tr w:rsidR="00233272" w:rsidTr="00FA21A3">
        <w:trPr>
          <w:trHeight w:val="240"/>
        </w:trPr>
        <w:tc>
          <w:tcPr>
            <w:tcW w:w="2712" w:type="pct"/>
            <w:tcBorders>
              <w:top w:val="single" w:sz="4" w:space="0" w:color="auto"/>
              <w:bottom w:val="single" w:sz="4" w:space="0" w:color="auto"/>
              <w:right w:val="nil"/>
            </w:tcBorders>
            <w:shd w:val="clear" w:color="auto" w:fill="auto"/>
            <w:noWrap/>
            <w:vAlign w:val="bottom"/>
          </w:tcPr>
          <w:p w:rsidR="00233272" w:rsidRPr="000F5685" w:rsidRDefault="00233272" w:rsidP="00233272">
            <w:pPr>
              <w:rPr>
                <w:rFonts w:ascii="Arial" w:hAnsi="Arial" w:cs="Arial"/>
                <w:b/>
                <w:bCs/>
                <w:sz w:val="18"/>
                <w:szCs w:val="18"/>
              </w:rPr>
            </w:pPr>
            <w:r>
              <w:rPr>
                <w:rFonts w:ascii="Arial" w:hAnsi="Arial" w:cs="Arial"/>
                <w:b/>
                <w:bCs/>
                <w:sz w:val="18"/>
                <w:szCs w:val="18"/>
              </w:rPr>
              <w:t xml:space="preserve">Other comprehensive </w:t>
            </w:r>
            <w:r w:rsidR="001F05ED">
              <w:rPr>
                <w:rFonts w:ascii="Arial" w:hAnsi="Arial" w:cs="Arial"/>
                <w:b/>
                <w:bCs/>
                <w:sz w:val="18"/>
                <w:szCs w:val="18"/>
              </w:rPr>
              <w:t>(loss)/</w:t>
            </w:r>
            <w:r>
              <w:rPr>
                <w:rFonts w:ascii="Arial" w:hAnsi="Arial" w:cs="Arial"/>
                <w:b/>
                <w:bCs/>
                <w:sz w:val="18"/>
                <w:szCs w:val="18"/>
              </w:rPr>
              <w:t>income for the year</w:t>
            </w:r>
          </w:p>
        </w:tc>
        <w:tc>
          <w:tcPr>
            <w:tcW w:w="458" w:type="pct"/>
            <w:tcBorders>
              <w:top w:val="single" w:sz="4" w:space="0" w:color="auto"/>
              <w:left w:val="nil"/>
              <w:bottom w:val="single" w:sz="4" w:space="0" w:color="auto"/>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nil"/>
              <w:left w:val="nil"/>
              <w:bottom w:val="single" w:sz="4" w:space="0" w:color="auto"/>
              <w:right w:val="nil"/>
            </w:tcBorders>
            <w:shd w:val="clear" w:color="auto" w:fill="auto"/>
            <w:noWrap/>
            <w:vAlign w:val="bottom"/>
          </w:tcPr>
          <w:p w:rsidR="00233272" w:rsidRPr="0055554B" w:rsidRDefault="00233272" w:rsidP="00233272">
            <w:pPr>
              <w:jc w:val="right"/>
              <w:rPr>
                <w:rFonts w:ascii="Arial" w:hAnsi="Arial" w:cs="Arial"/>
                <w:b/>
              </w:rPr>
            </w:pPr>
            <w:r w:rsidRPr="0055554B">
              <w:rPr>
                <w:rFonts w:ascii="Arial" w:hAnsi="Arial" w:cs="Arial"/>
                <w:b/>
                <w:sz w:val="18"/>
              </w:rPr>
              <w:t>(20)</w:t>
            </w:r>
          </w:p>
        </w:tc>
        <w:tc>
          <w:tcPr>
            <w:tcW w:w="1097" w:type="pct"/>
            <w:tcBorders>
              <w:top w:val="single" w:sz="4" w:space="0" w:color="auto"/>
              <w:left w:val="nil"/>
              <w:bottom w:val="single" w:sz="4" w:space="0" w:color="auto"/>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342</w:t>
            </w:r>
          </w:p>
        </w:tc>
      </w:tr>
      <w:tr w:rsidR="00233272" w:rsidTr="00FA21A3">
        <w:trPr>
          <w:trHeight w:val="255"/>
        </w:trPr>
        <w:tc>
          <w:tcPr>
            <w:tcW w:w="2712" w:type="pct"/>
            <w:tcBorders>
              <w:top w:val="single" w:sz="4" w:space="0" w:color="auto"/>
              <w:left w:val="nil"/>
              <w:bottom w:val="single" w:sz="12" w:space="0" w:color="auto"/>
              <w:right w:val="nil"/>
            </w:tcBorders>
            <w:shd w:val="clear" w:color="auto" w:fill="auto"/>
            <w:noWrap/>
            <w:vAlign w:val="bottom"/>
          </w:tcPr>
          <w:p w:rsidR="00233272" w:rsidRPr="000F5685" w:rsidRDefault="00233272" w:rsidP="00233272">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w:t>
            </w:r>
            <w:r>
              <w:rPr>
                <w:rFonts w:ascii="Arial" w:hAnsi="Arial" w:cs="Arial"/>
                <w:b/>
                <w:bCs/>
                <w:sz w:val="18"/>
                <w:szCs w:val="18"/>
              </w:rPr>
              <w:t>year</w:t>
            </w:r>
          </w:p>
        </w:tc>
        <w:tc>
          <w:tcPr>
            <w:tcW w:w="458" w:type="pct"/>
            <w:tcBorders>
              <w:top w:val="single" w:sz="4" w:space="0" w:color="auto"/>
              <w:left w:val="nil"/>
              <w:bottom w:val="single" w:sz="12" w:space="0" w:color="auto"/>
              <w:right w:val="nil"/>
            </w:tcBorders>
            <w:shd w:val="clear" w:color="auto" w:fill="auto"/>
            <w:noWrap/>
            <w:vAlign w:val="bottom"/>
          </w:tcPr>
          <w:p w:rsidR="00233272" w:rsidRPr="000F5685" w:rsidRDefault="00233272" w:rsidP="00233272">
            <w:pPr>
              <w:jc w:val="center"/>
              <w:rPr>
                <w:rFonts w:ascii="Arial" w:hAnsi="Arial" w:cs="Arial"/>
                <w:sz w:val="18"/>
                <w:szCs w:val="18"/>
              </w:rPr>
            </w:pPr>
          </w:p>
        </w:tc>
        <w:tc>
          <w:tcPr>
            <w:tcW w:w="733" w:type="pct"/>
            <w:tcBorders>
              <w:top w:val="single" w:sz="4" w:space="0" w:color="auto"/>
              <w:left w:val="nil"/>
              <w:bottom w:val="single" w:sz="12" w:space="0" w:color="auto"/>
              <w:right w:val="nil"/>
            </w:tcBorders>
            <w:shd w:val="clear" w:color="auto" w:fill="auto"/>
            <w:noWrap/>
            <w:vAlign w:val="bottom"/>
          </w:tcPr>
          <w:p w:rsidR="00233272" w:rsidRDefault="00233272" w:rsidP="00233272">
            <w:pPr>
              <w:jc w:val="right"/>
            </w:pPr>
            <w:r>
              <w:rPr>
                <w:rFonts w:ascii="Arial" w:hAnsi="Arial" w:cs="Arial"/>
                <w:b/>
                <w:bCs/>
                <w:sz w:val="18"/>
                <w:szCs w:val="18"/>
              </w:rPr>
              <w:t>465</w:t>
            </w:r>
          </w:p>
        </w:tc>
        <w:tc>
          <w:tcPr>
            <w:tcW w:w="1097" w:type="pct"/>
            <w:tcBorders>
              <w:top w:val="single" w:sz="4" w:space="0" w:color="auto"/>
              <w:left w:val="nil"/>
              <w:bottom w:val="single" w:sz="12" w:space="0" w:color="auto"/>
              <w:right w:val="nil"/>
            </w:tcBorders>
            <w:shd w:val="clear" w:color="auto" w:fill="auto"/>
            <w:noWrap/>
            <w:vAlign w:val="bottom"/>
          </w:tcPr>
          <w:p w:rsidR="00233272" w:rsidRPr="00F2449D" w:rsidRDefault="00233272" w:rsidP="00233272">
            <w:pPr>
              <w:jc w:val="right"/>
              <w:rPr>
                <w:rFonts w:ascii="Arial" w:hAnsi="Arial" w:cs="Arial"/>
                <w:bCs/>
                <w:sz w:val="18"/>
                <w:szCs w:val="18"/>
              </w:rPr>
            </w:pPr>
            <w:r w:rsidRPr="00F2449D">
              <w:rPr>
                <w:rFonts w:ascii="Arial" w:hAnsi="Arial" w:cs="Arial"/>
                <w:bCs/>
                <w:sz w:val="18"/>
                <w:szCs w:val="18"/>
              </w:rPr>
              <w:t>952</w:t>
            </w:r>
          </w:p>
        </w:tc>
      </w:tr>
    </w:tbl>
    <w:p w:rsidR="00BD161D" w:rsidRDefault="00BD161D">
      <w:r>
        <w:br w:type="page"/>
      </w:r>
    </w:p>
    <w:tbl>
      <w:tblPr>
        <w:tblW w:w="5024" w:type="pct"/>
        <w:tblLayout w:type="fixed"/>
        <w:tblLook w:val="0000" w:firstRow="0" w:lastRow="0" w:firstColumn="0" w:lastColumn="0" w:noHBand="0" w:noVBand="0"/>
      </w:tblPr>
      <w:tblGrid>
        <w:gridCol w:w="2563"/>
        <w:gridCol w:w="699"/>
        <w:gridCol w:w="261"/>
        <w:gridCol w:w="480"/>
        <w:gridCol w:w="961"/>
        <w:gridCol w:w="802"/>
        <w:gridCol w:w="961"/>
        <w:gridCol w:w="1131"/>
        <w:gridCol w:w="1011"/>
        <w:gridCol w:w="531"/>
        <w:gridCol w:w="285"/>
      </w:tblGrid>
      <w:tr w:rsidR="00F67AE8" w:rsidRPr="00301F97" w:rsidTr="00617D24">
        <w:trPr>
          <w:gridAfter w:val="1"/>
          <w:wAfter w:w="147" w:type="pct"/>
          <w:trHeight w:val="250"/>
        </w:trPr>
        <w:tc>
          <w:tcPr>
            <w:tcW w:w="4853" w:type="pct"/>
            <w:gridSpan w:val="10"/>
            <w:tcBorders>
              <w:top w:val="nil"/>
              <w:left w:val="nil"/>
              <w:right w:val="nil"/>
            </w:tcBorders>
            <w:shd w:val="clear" w:color="auto" w:fill="auto"/>
            <w:vAlign w:val="bottom"/>
          </w:tcPr>
          <w:p w:rsidR="00F67AE8" w:rsidRDefault="00F67AE8">
            <w:pPr>
              <w:rPr>
                <w:rFonts w:ascii="Arial" w:hAnsi="Arial" w:cs="Arial"/>
                <w:b/>
                <w:bCs/>
                <w:sz w:val="18"/>
                <w:szCs w:val="18"/>
              </w:rPr>
            </w:pPr>
            <w:r w:rsidRPr="000A685B">
              <w:rPr>
                <w:rFonts w:ascii="Arial" w:hAnsi="Arial" w:cs="Arial"/>
                <w:b/>
                <w:bCs/>
                <w:sz w:val="18"/>
                <w:szCs w:val="18"/>
              </w:rPr>
              <w:lastRenderedPageBreak/>
              <w:t>Consolidated statement of changes in equity</w:t>
            </w:r>
          </w:p>
          <w:p w:rsidR="00F67AE8" w:rsidRDefault="00F67AE8">
            <w:pPr>
              <w:rPr>
                <w:rFonts w:ascii="Arial" w:hAnsi="Arial" w:cs="Arial"/>
                <w:bCs/>
                <w:sz w:val="18"/>
                <w:szCs w:val="18"/>
              </w:rPr>
            </w:pPr>
            <w:r w:rsidRPr="00AE24A9">
              <w:rPr>
                <w:rFonts w:ascii="Arial" w:hAnsi="Arial" w:cs="Arial"/>
                <w:sz w:val="18"/>
                <w:szCs w:val="18"/>
              </w:rPr>
              <w:t xml:space="preserve">Year ended </w:t>
            </w:r>
            <w:r>
              <w:rPr>
                <w:rFonts w:ascii="Arial" w:hAnsi="Arial" w:cs="Arial"/>
                <w:sz w:val="18"/>
                <w:szCs w:val="18"/>
              </w:rPr>
              <w:t>31 January 2018</w:t>
            </w:r>
          </w:p>
        </w:tc>
      </w:tr>
      <w:tr w:rsidR="0034681D" w:rsidRPr="00301F97" w:rsidTr="00FA21A3">
        <w:trPr>
          <w:trHeight w:val="250"/>
        </w:trPr>
        <w:tc>
          <w:tcPr>
            <w:tcW w:w="1323" w:type="pct"/>
            <w:tcBorders>
              <w:top w:val="nil"/>
              <w:left w:val="nil"/>
              <w:right w:val="nil"/>
            </w:tcBorders>
            <w:shd w:val="clear" w:color="auto" w:fill="auto"/>
            <w:vAlign w:val="bottom"/>
          </w:tcPr>
          <w:p w:rsidR="0034681D" w:rsidRDefault="0034681D" w:rsidP="004B68A4">
            <w:pPr>
              <w:rPr>
                <w:rFonts w:ascii="Arial" w:hAnsi="Arial" w:cs="Arial"/>
                <w:sz w:val="18"/>
                <w:szCs w:val="18"/>
              </w:rPr>
            </w:pPr>
          </w:p>
        </w:tc>
        <w:tc>
          <w:tcPr>
            <w:tcW w:w="496" w:type="pct"/>
            <w:gridSpan w:val="2"/>
            <w:tcBorders>
              <w:left w:val="nil"/>
              <w:right w:val="nil"/>
            </w:tcBorders>
          </w:tcPr>
          <w:p w:rsidR="0034681D" w:rsidRDefault="0034681D" w:rsidP="004B68A4">
            <w:pPr>
              <w:jc w:val="right"/>
              <w:rPr>
                <w:rFonts w:ascii="Arial" w:hAnsi="Arial" w:cs="Arial"/>
                <w:bCs/>
                <w:sz w:val="18"/>
                <w:szCs w:val="18"/>
              </w:rPr>
            </w:pPr>
          </w:p>
        </w:tc>
        <w:tc>
          <w:tcPr>
            <w:tcW w:w="3181" w:type="pct"/>
            <w:gridSpan w:val="8"/>
            <w:tcBorders>
              <w:left w:val="nil"/>
              <w:right w:val="nil"/>
            </w:tcBorders>
          </w:tcPr>
          <w:p w:rsidR="0034681D" w:rsidRDefault="0034681D" w:rsidP="004B68A4">
            <w:pPr>
              <w:jc w:val="right"/>
              <w:rPr>
                <w:rFonts w:ascii="Arial" w:hAnsi="Arial" w:cs="Arial"/>
                <w:bCs/>
                <w:sz w:val="18"/>
                <w:szCs w:val="18"/>
              </w:rPr>
            </w:pPr>
            <w:r>
              <w:rPr>
                <w:rFonts w:ascii="Arial" w:hAnsi="Arial" w:cs="Arial"/>
                <w:bCs/>
                <w:sz w:val="18"/>
                <w:szCs w:val="18"/>
              </w:rPr>
              <w:t>Attributable to equity shareholders of the Company</w:t>
            </w:r>
          </w:p>
        </w:tc>
      </w:tr>
      <w:tr w:rsidR="00894B12" w:rsidRPr="00301F97" w:rsidTr="00FA21A3">
        <w:trPr>
          <w:trHeight w:val="250"/>
        </w:trPr>
        <w:tc>
          <w:tcPr>
            <w:tcW w:w="1323" w:type="pct"/>
            <w:tcBorders>
              <w:left w:val="nil"/>
              <w:bottom w:val="single" w:sz="4" w:space="0" w:color="auto"/>
              <w:right w:val="nil"/>
            </w:tcBorders>
            <w:shd w:val="clear" w:color="auto" w:fill="auto"/>
            <w:vAlign w:val="bottom"/>
          </w:tcPr>
          <w:p w:rsidR="0034681D" w:rsidRDefault="0034681D" w:rsidP="0034681D">
            <w:pPr>
              <w:rPr>
                <w:rFonts w:ascii="Arial" w:hAnsi="Arial" w:cs="Arial"/>
                <w:sz w:val="18"/>
                <w:szCs w:val="18"/>
              </w:rPr>
            </w:pPr>
          </w:p>
          <w:p w:rsidR="0034681D" w:rsidRPr="00C83761" w:rsidRDefault="0034681D" w:rsidP="0034681D">
            <w:pPr>
              <w:rPr>
                <w:rFonts w:ascii="Arial" w:hAnsi="Arial" w:cs="Arial"/>
                <w:sz w:val="18"/>
                <w:szCs w:val="18"/>
              </w:rPr>
            </w:pPr>
            <w:r w:rsidRPr="00C83761">
              <w:rPr>
                <w:rFonts w:ascii="Arial" w:hAnsi="Arial" w:cs="Arial"/>
                <w:sz w:val="18"/>
                <w:szCs w:val="18"/>
              </w:rPr>
              <w:t>£ millions</w:t>
            </w:r>
          </w:p>
        </w:tc>
        <w:tc>
          <w:tcPr>
            <w:tcW w:w="361" w:type="pct"/>
            <w:tcBorders>
              <w:left w:val="nil"/>
              <w:bottom w:val="single" w:sz="4" w:space="0" w:color="auto"/>
              <w:right w:val="nil"/>
            </w:tcBorders>
            <w:vAlign w:val="bottom"/>
          </w:tcPr>
          <w:p w:rsidR="0034681D" w:rsidRDefault="0034681D" w:rsidP="0034681D">
            <w:pPr>
              <w:jc w:val="center"/>
              <w:rPr>
                <w:rFonts w:ascii="Arial" w:hAnsi="Arial" w:cs="Arial"/>
                <w:sz w:val="18"/>
                <w:szCs w:val="18"/>
              </w:rPr>
            </w:pPr>
          </w:p>
          <w:p w:rsidR="0034681D" w:rsidRPr="003B30D4" w:rsidRDefault="0034681D" w:rsidP="0034681D">
            <w:pPr>
              <w:jc w:val="center"/>
              <w:rPr>
                <w:rFonts w:ascii="Arial" w:hAnsi="Arial" w:cs="Arial"/>
                <w:sz w:val="18"/>
                <w:szCs w:val="18"/>
              </w:rPr>
            </w:pPr>
            <w:r>
              <w:rPr>
                <w:rFonts w:ascii="Arial" w:hAnsi="Arial" w:cs="Arial"/>
                <w:sz w:val="18"/>
                <w:szCs w:val="18"/>
              </w:rPr>
              <w:t>Notes</w:t>
            </w:r>
          </w:p>
        </w:tc>
        <w:tc>
          <w:tcPr>
            <w:tcW w:w="383" w:type="pct"/>
            <w:gridSpan w:val="2"/>
            <w:tcBorders>
              <w:top w:val="single" w:sz="4" w:space="0" w:color="auto"/>
              <w:left w:val="nil"/>
              <w:bottom w:val="single" w:sz="4" w:space="0" w:color="auto"/>
              <w:right w:val="nil"/>
            </w:tcBorders>
            <w:shd w:val="clear" w:color="auto" w:fill="auto"/>
            <w:noWrap/>
            <w:vAlign w:val="bottom"/>
          </w:tcPr>
          <w:p w:rsidR="0034681D" w:rsidRPr="003B30D4" w:rsidRDefault="0034681D" w:rsidP="0034681D">
            <w:pPr>
              <w:jc w:val="right"/>
              <w:rPr>
                <w:rFonts w:ascii="Arial" w:hAnsi="Arial" w:cs="Arial"/>
                <w:sz w:val="18"/>
                <w:szCs w:val="18"/>
              </w:rPr>
            </w:pPr>
            <w:r w:rsidRPr="003B30D4">
              <w:rPr>
                <w:rFonts w:ascii="Arial" w:hAnsi="Arial" w:cs="Arial"/>
                <w:sz w:val="18"/>
                <w:szCs w:val="18"/>
              </w:rPr>
              <w:t xml:space="preserve">Share </w:t>
            </w:r>
            <w:r>
              <w:rPr>
                <w:rFonts w:ascii="Arial" w:hAnsi="Arial" w:cs="Arial"/>
                <w:sz w:val="18"/>
                <w:szCs w:val="18"/>
              </w:rPr>
              <w:t>c</w:t>
            </w:r>
            <w:r w:rsidRPr="003B30D4">
              <w:rPr>
                <w:rFonts w:ascii="Arial" w:hAnsi="Arial" w:cs="Arial"/>
                <w:sz w:val="18"/>
                <w:szCs w:val="18"/>
              </w:rPr>
              <w:t>apital</w:t>
            </w:r>
          </w:p>
        </w:tc>
        <w:tc>
          <w:tcPr>
            <w:tcW w:w="496" w:type="pct"/>
            <w:tcBorders>
              <w:top w:val="single" w:sz="4" w:space="0" w:color="auto"/>
              <w:left w:val="nil"/>
              <w:bottom w:val="single" w:sz="4" w:space="0" w:color="auto"/>
              <w:right w:val="nil"/>
            </w:tcBorders>
            <w:shd w:val="clear" w:color="auto" w:fill="auto"/>
            <w:noWrap/>
            <w:vAlign w:val="bottom"/>
          </w:tcPr>
          <w:p w:rsidR="0034681D" w:rsidRDefault="0034681D" w:rsidP="0034681D">
            <w:pPr>
              <w:jc w:val="right"/>
              <w:rPr>
                <w:rFonts w:ascii="Arial" w:hAnsi="Arial" w:cs="Arial"/>
                <w:sz w:val="18"/>
                <w:szCs w:val="18"/>
              </w:rPr>
            </w:pPr>
          </w:p>
          <w:p w:rsidR="0034681D" w:rsidRDefault="0034681D" w:rsidP="0034681D">
            <w:pPr>
              <w:jc w:val="right"/>
              <w:rPr>
                <w:rFonts w:ascii="Arial" w:hAnsi="Arial" w:cs="Arial"/>
                <w:sz w:val="18"/>
                <w:szCs w:val="18"/>
              </w:rPr>
            </w:pPr>
            <w:r>
              <w:rPr>
                <w:rFonts w:ascii="Arial" w:hAnsi="Arial" w:cs="Arial"/>
                <w:sz w:val="18"/>
                <w:szCs w:val="18"/>
              </w:rPr>
              <w:t>Share</w:t>
            </w:r>
          </w:p>
          <w:p w:rsidR="0034681D" w:rsidRPr="003B30D4" w:rsidRDefault="0034681D" w:rsidP="0034681D">
            <w:pPr>
              <w:jc w:val="right"/>
              <w:rPr>
                <w:rFonts w:ascii="Arial" w:hAnsi="Arial" w:cs="Arial"/>
                <w:sz w:val="18"/>
                <w:szCs w:val="18"/>
              </w:rPr>
            </w:pPr>
            <w:r>
              <w:rPr>
                <w:rFonts w:ascii="Arial" w:hAnsi="Arial" w:cs="Arial"/>
                <w:sz w:val="18"/>
                <w:szCs w:val="18"/>
              </w:rPr>
              <w:t>premium</w:t>
            </w:r>
          </w:p>
        </w:tc>
        <w:tc>
          <w:tcPr>
            <w:tcW w:w="414" w:type="pct"/>
            <w:tcBorders>
              <w:top w:val="single" w:sz="4" w:space="0" w:color="auto"/>
              <w:left w:val="nil"/>
              <w:bottom w:val="single" w:sz="4" w:space="0" w:color="auto"/>
              <w:right w:val="nil"/>
            </w:tcBorders>
            <w:shd w:val="clear" w:color="auto" w:fill="auto"/>
            <w:noWrap/>
            <w:vAlign w:val="bottom"/>
          </w:tcPr>
          <w:p w:rsidR="0034681D" w:rsidRPr="003B30D4" w:rsidRDefault="0034681D" w:rsidP="0034681D">
            <w:pPr>
              <w:jc w:val="right"/>
              <w:rPr>
                <w:rFonts w:ascii="Arial" w:hAnsi="Arial" w:cs="Arial"/>
                <w:sz w:val="18"/>
                <w:szCs w:val="18"/>
              </w:rPr>
            </w:pPr>
            <w:r>
              <w:rPr>
                <w:rFonts w:ascii="Arial" w:hAnsi="Arial" w:cs="Arial"/>
                <w:sz w:val="18"/>
                <w:szCs w:val="18"/>
              </w:rPr>
              <w:t>Own shares held</w:t>
            </w:r>
          </w:p>
        </w:tc>
        <w:tc>
          <w:tcPr>
            <w:tcW w:w="496" w:type="pct"/>
            <w:tcBorders>
              <w:top w:val="single" w:sz="4" w:space="0" w:color="auto"/>
              <w:left w:val="nil"/>
              <w:bottom w:val="single" w:sz="4" w:space="0" w:color="auto"/>
              <w:right w:val="nil"/>
            </w:tcBorders>
            <w:shd w:val="clear" w:color="auto" w:fill="auto"/>
            <w:noWrap/>
            <w:vAlign w:val="bottom"/>
          </w:tcPr>
          <w:p w:rsidR="0034681D" w:rsidRPr="003B30D4" w:rsidRDefault="0034681D" w:rsidP="0034681D">
            <w:pPr>
              <w:jc w:val="right"/>
              <w:rPr>
                <w:rFonts w:ascii="Arial" w:hAnsi="Arial" w:cs="Arial"/>
                <w:sz w:val="18"/>
                <w:szCs w:val="18"/>
              </w:rPr>
            </w:pPr>
          </w:p>
          <w:p w:rsidR="0034681D" w:rsidRPr="003B30D4" w:rsidRDefault="0034681D" w:rsidP="0034681D">
            <w:pPr>
              <w:jc w:val="right"/>
              <w:rPr>
                <w:rFonts w:ascii="Arial" w:hAnsi="Arial" w:cs="Arial"/>
                <w:sz w:val="18"/>
                <w:szCs w:val="18"/>
              </w:rPr>
            </w:pPr>
            <w:r>
              <w:rPr>
                <w:rFonts w:ascii="Arial" w:hAnsi="Arial" w:cs="Arial"/>
                <w:sz w:val="18"/>
                <w:szCs w:val="18"/>
              </w:rPr>
              <w:t>Retained earnings</w:t>
            </w:r>
          </w:p>
        </w:tc>
        <w:tc>
          <w:tcPr>
            <w:tcW w:w="584" w:type="pct"/>
            <w:tcBorders>
              <w:top w:val="single" w:sz="4" w:space="0" w:color="auto"/>
              <w:left w:val="nil"/>
              <w:bottom w:val="single" w:sz="4" w:space="0" w:color="auto"/>
              <w:right w:val="nil"/>
            </w:tcBorders>
            <w:vAlign w:val="bottom"/>
          </w:tcPr>
          <w:p w:rsidR="0034681D" w:rsidRPr="003B30D4" w:rsidRDefault="0034681D" w:rsidP="0034681D">
            <w:pPr>
              <w:jc w:val="right"/>
              <w:rPr>
                <w:rFonts w:ascii="Arial" w:hAnsi="Arial" w:cs="Arial"/>
                <w:sz w:val="18"/>
                <w:szCs w:val="18"/>
              </w:rPr>
            </w:pPr>
          </w:p>
          <w:p w:rsidR="0034681D" w:rsidRDefault="0034681D" w:rsidP="0034681D">
            <w:pPr>
              <w:jc w:val="right"/>
              <w:rPr>
                <w:rFonts w:ascii="Arial" w:hAnsi="Arial" w:cs="Arial"/>
                <w:sz w:val="18"/>
                <w:szCs w:val="18"/>
              </w:rPr>
            </w:pPr>
            <w:r>
              <w:rPr>
                <w:rFonts w:ascii="Arial" w:hAnsi="Arial" w:cs="Arial"/>
                <w:sz w:val="18"/>
                <w:szCs w:val="18"/>
              </w:rPr>
              <w:t>Capital redemption reserve</w:t>
            </w:r>
          </w:p>
        </w:tc>
        <w:tc>
          <w:tcPr>
            <w:tcW w:w="522" w:type="pct"/>
            <w:tcBorders>
              <w:top w:val="single" w:sz="4" w:space="0" w:color="auto"/>
              <w:left w:val="nil"/>
              <w:bottom w:val="single" w:sz="4" w:space="0" w:color="auto"/>
              <w:right w:val="nil"/>
            </w:tcBorders>
            <w:shd w:val="clear" w:color="auto" w:fill="auto"/>
            <w:noWrap/>
            <w:vAlign w:val="bottom"/>
          </w:tcPr>
          <w:p w:rsidR="0034681D" w:rsidRPr="003B30D4" w:rsidRDefault="0034681D" w:rsidP="0034681D">
            <w:pPr>
              <w:jc w:val="right"/>
              <w:rPr>
                <w:rFonts w:ascii="Arial" w:hAnsi="Arial" w:cs="Arial"/>
                <w:bCs/>
                <w:sz w:val="18"/>
                <w:szCs w:val="18"/>
              </w:rPr>
            </w:pPr>
            <w:r>
              <w:rPr>
                <w:rFonts w:ascii="Arial" w:hAnsi="Arial" w:cs="Arial"/>
                <w:sz w:val="18"/>
                <w:szCs w:val="18"/>
              </w:rPr>
              <w:t>Other reserves</w:t>
            </w:r>
          </w:p>
        </w:tc>
        <w:tc>
          <w:tcPr>
            <w:tcW w:w="421" w:type="pct"/>
            <w:gridSpan w:val="2"/>
            <w:tcBorders>
              <w:top w:val="single" w:sz="4" w:space="0" w:color="auto"/>
              <w:left w:val="nil"/>
              <w:bottom w:val="single" w:sz="4" w:space="0" w:color="auto"/>
              <w:right w:val="nil"/>
            </w:tcBorders>
            <w:vAlign w:val="bottom"/>
          </w:tcPr>
          <w:p w:rsidR="0034681D" w:rsidRDefault="0034681D" w:rsidP="0034681D">
            <w:pPr>
              <w:jc w:val="right"/>
              <w:rPr>
                <w:rFonts w:ascii="Arial" w:hAnsi="Arial" w:cs="Arial"/>
                <w:bCs/>
                <w:sz w:val="18"/>
                <w:szCs w:val="18"/>
              </w:rPr>
            </w:pPr>
            <w:r w:rsidRPr="003B30D4">
              <w:rPr>
                <w:rFonts w:ascii="Arial" w:hAnsi="Arial" w:cs="Arial"/>
                <w:bCs/>
                <w:sz w:val="18"/>
                <w:szCs w:val="18"/>
              </w:rPr>
              <w:t>Total</w:t>
            </w:r>
          </w:p>
          <w:p w:rsidR="0034681D" w:rsidRPr="003B30D4" w:rsidRDefault="0034681D" w:rsidP="0034681D">
            <w:pPr>
              <w:jc w:val="right"/>
              <w:rPr>
                <w:rFonts w:ascii="Arial" w:hAnsi="Arial" w:cs="Arial"/>
                <w:bCs/>
                <w:sz w:val="18"/>
                <w:szCs w:val="18"/>
              </w:rPr>
            </w:pPr>
            <w:r>
              <w:rPr>
                <w:rFonts w:ascii="Arial" w:hAnsi="Arial" w:cs="Arial"/>
                <w:bCs/>
                <w:sz w:val="18"/>
                <w:szCs w:val="18"/>
              </w:rPr>
              <w:t>equity</w:t>
            </w:r>
          </w:p>
        </w:tc>
      </w:tr>
      <w:tr w:rsidR="00894B12" w:rsidRPr="00663A21" w:rsidTr="00FA21A3">
        <w:trPr>
          <w:trHeight w:val="250"/>
        </w:trPr>
        <w:tc>
          <w:tcPr>
            <w:tcW w:w="1323" w:type="pct"/>
            <w:tcBorders>
              <w:top w:val="single" w:sz="4" w:space="0" w:color="auto"/>
              <w:left w:val="nil"/>
              <w:bottom w:val="single" w:sz="4" w:space="0" w:color="auto"/>
              <w:right w:val="nil"/>
            </w:tcBorders>
            <w:shd w:val="clear" w:color="auto" w:fill="auto"/>
            <w:vAlign w:val="bottom"/>
          </w:tcPr>
          <w:p w:rsidR="0034681D" w:rsidRPr="000030BA" w:rsidRDefault="0034681D" w:rsidP="0034681D">
            <w:pPr>
              <w:rPr>
                <w:rFonts w:ascii="Arial" w:hAnsi="Arial" w:cs="Arial"/>
                <w:b/>
                <w:bCs/>
                <w:sz w:val="18"/>
                <w:szCs w:val="18"/>
              </w:rPr>
            </w:pPr>
            <w:r>
              <w:rPr>
                <w:rFonts w:ascii="Arial" w:hAnsi="Arial" w:cs="Arial"/>
                <w:b/>
                <w:bCs/>
                <w:sz w:val="18"/>
                <w:szCs w:val="18"/>
              </w:rPr>
              <w:t>At 1 February 2017</w:t>
            </w:r>
          </w:p>
        </w:tc>
        <w:tc>
          <w:tcPr>
            <w:tcW w:w="361" w:type="pct"/>
            <w:tcBorders>
              <w:top w:val="single" w:sz="4" w:space="0" w:color="auto"/>
              <w:left w:val="nil"/>
              <w:bottom w:val="single" w:sz="4" w:space="0" w:color="auto"/>
              <w:right w:val="nil"/>
            </w:tcBorders>
          </w:tcPr>
          <w:p w:rsidR="0034681D" w:rsidRPr="000030BA" w:rsidRDefault="0034681D" w:rsidP="0034681D">
            <w:pPr>
              <w:jc w:val="right"/>
              <w:rPr>
                <w:rFonts w:ascii="Arial" w:hAnsi="Arial" w:cs="Arial"/>
                <w:b/>
                <w:bCs/>
                <w:sz w:val="18"/>
                <w:szCs w:val="18"/>
              </w:rPr>
            </w:pPr>
          </w:p>
        </w:tc>
        <w:tc>
          <w:tcPr>
            <w:tcW w:w="383" w:type="pct"/>
            <w:gridSpan w:val="2"/>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352</w:t>
            </w:r>
          </w:p>
        </w:tc>
        <w:tc>
          <w:tcPr>
            <w:tcW w:w="496"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2,221</w:t>
            </w:r>
          </w:p>
        </w:tc>
        <w:tc>
          <w:tcPr>
            <w:tcW w:w="414"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(23)</w:t>
            </w:r>
          </w:p>
        </w:tc>
        <w:tc>
          <w:tcPr>
            <w:tcW w:w="496"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3,837</w:t>
            </w:r>
          </w:p>
        </w:tc>
        <w:tc>
          <w:tcPr>
            <w:tcW w:w="584" w:type="pct"/>
            <w:tcBorders>
              <w:top w:val="nil"/>
              <w:left w:val="nil"/>
              <w:bottom w:val="single" w:sz="4" w:space="0" w:color="auto"/>
              <w:right w:val="nil"/>
            </w:tcBorders>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22</w:t>
            </w:r>
          </w:p>
        </w:tc>
        <w:tc>
          <w:tcPr>
            <w:tcW w:w="522"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362</w:t>
            </w:r>
          </w:p>
        </w:tc>
        <w:tc>
          <w:tcPr>
            <w:tcW w:w="421" w:type="pct"/>
            <w:gridSpan w:val="2"/>
            <w:tcBorders>
              <w:top w:val="nil"/>
              <w:left w:val="nil"/>
              <w:bottom w:val="single" w:sz="4" w:space="0" w:color="auto"/>
              <w:right w:val="nil"/>
            </w:tcBorders>
            <w:shd w:val="clear" w:color="auto" w:fill="auto"/>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6,771</w:t>
            </w:r>
          </w:p>
        </w:tc>
      </w:tr>
      <w:tr w:rsidR="00894B12" w:rsidRPr="00663A21" w:rsidTr="00FA21A3">
        <w:trPr>
          <w:trHeight w:val="250"/>
        </w:trPr>
        <w:tc>
          <w:tcPr>
            <w:tcW w:w="1323" w:type="pct"/>
            <w:tcBorders>
              <w:top w:val="single" w:sz="4" w:space="0" w:color="auto"/>
              <w:left w:val="single" w:sz="4" w:space="0" w:color="auto"/>
              <w:right w:val="nil"/>
            </w:tcBorders>
            <w:shd w:val="clear" w:color="auto" w:fill="auto"/>
            <w:vAlign w:val="bottom"/>
          </w:tcPr>
          <w:p w:rsidR="0034681D" w:rsidRPr="005071AF" w:rsidRDefault="0034681D" w:rsidP="0034681D">
            <w:pPr>
              <w:rPr>
                <w:rFonts w:ascii="Arial" w:hAnsi="Arial" w:cs="Arial"/>
                <w:sz w:val="18"/>
                <w:szCs w:val="18"/>
              </w:rPr>
            </w:pPr>
            <w:r w:rsidRPr="005071AF">
              <w:rPr>
                <w:rFonts w:ascii="Arial" w:hAnsi="Arial" w:cs="Arial"/>
                <w:sz w:val="18"/>
                <w:szCs w:val="18"/>
              </w:rPr>
              <w:t>Profit for the year</w:t>
            </w:r>
          </w:p>
        </w:tc>
        <w:tc>
          <w:tcPr>
            <w:tcW w:w="361" w:type="pct"/>
            <w:tcBorders>
              <w:top w:val="single" w:sz="4" w:space="0" w:color="auto"/>
              <w:left w:val="nil"/>
              <w:right w:val="nil"/>
            </w:tcBorders>
          </w:tcPr>
          <w:p w:rsidR="0034681D" w:rsidRPr="00663A21" w:rsidRDefault="0034681D" w:rsidP="0034681D">
            <w:pPr>
              <w:jc w:val="right"/>
              <w:rPr>
                <w:rFonts w:ascii="Arial" w:hAnsi="Arial" w:cs="Arial"/>
                <w:b/>
                <w:sz w:val="18"/>
                <w:szCs w:val="18"/>
              </w:rPr>
            </w:pPr>
          </w:p>
        </w:tc>
        <w:tc>
          <w:tcPr>
            <w:tcW w:w="383" w:type="pct"/>
            <w:gridSpan w:val="2"/>
            <w:tcBorders>
              <w:top w:val="single" w:sz="4" w:space="0" w:color="auto"/>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single" w:sz="4" w:space="0" w:color="auto"/>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14" w:type="pct"/>
            <w:tcBorders>
              <w:top w:val="single" w:sz="4" w:space="0" w:color="auto"/>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single" w:sz="4" w:space="0" w:color="auto"/>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485</w:t>
            </w:r>
          </w:p>
        </w:tc>
        <w:tc>
          <w:tcPr>
            <w:tcW w:w="584" w:type="pct"/>
            <w:tcBorders>
              <w:top w:val="single" w:sz="4" w:space="0" w:color="auto"/>
              <w:left w:val="nil"/>
              <w:bottom w:val="nil"/>
              <w:right w:val="nil"/>
            </w:tcBorders>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522" w:type="pct"/>
            <w:tcBorders>
              <w:top w:val="single" w:sz="4" w:space="0" w:color="auto"/>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21" w:type="pct"/>
            <w:gridSpan w:val="2"/>
            <w:tcBorders>
              <w:top w:val="single" w:sz="4" w:space="0" w:color="auto"/>
              <w:left w:val="nil"/>
              <w:bottom w:val="nil"/>
              <w:right w:val="single" w:sz="4" w:space="0" w:color="auto"/>
            </w:tcBorders>
            <w:shd w:val="clear" w:color="auto" w:fill="auto"/>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485</w:t>
            </w:r>
          </w:p>
        </w:tc>
      </w:tr>
      <w:tr w:rsidR="00894B12" w:rsidRPr="00663A21" w:rsidTr="00FA21A3">
        <w:trPr>
          <w:trHeight w:val="236"/>
        </w:trPr>
        <w:tc>
          <w:tcPr>
            <w:tcW w:w="1323" w:type="pct"/>
            <w:tcBorders>
              <w:left w:val="single" w:sz="4" w:space="0" w:color="auto"/>
              <w:bottom w:val="single" w:sz="4" w:space="0" w:color="auto"/>
              <w:right w:val="nil"/>
            </w:tcBorders>
            <w:shd w:val="clear" w:color="auto" w:fill="auto"/>
            <w:vAlign w:val="bottom"/>
          </w:tcPr>
          <w:p w:rsidR="0034681D" w:rsidRPr="005071AF" w:rsidRDefault="0034681D" w:rsidP="0034681D">
            <w:pPr>
              <w:rPr>
                <w:rFonts w:ascii="Arial" w:hAnsi="Arial" w:cs="Arial"/>
                <w:sz w:val="18"/>
                <w:szCs w:val="18"/>
              </w:rPr>
            </w:pPr>
            <w:r w:rsidRPr="005071AF">
              <w:rPr>
                <w:rFonts w:ascii="Arial" w:hAnsi="Arial" w:cs="Arial"/>
                <w:bCs/>
                <w:sz w:val="18"/>
                <w:szCs w:val="18"/>
              </w:rPr>
              <w:t>Other comprehensive</w:t>
            </w:r>
            <w:r w:rsidR="00C62B0C">
              <w:rPr>
                <w:rFonts w:ascii="Arial" w:hAnsi="Arial" w:cs="Arial"/>
                <w:bCs/>
                <w:sz w:val="18"/>
                <w:szCs w:val="18"/>
              </w:rPr>
              <w:t xml:space="preserve"> (loss)/</w:t>
            </w:r>
            <w:r w:rsidRPr="005071AF">
              <w:rPr>
                <w:rFonts w:ascii="Arial" w:hAnsi="Arial" w:cs="Arial"/>
                <w:bCs/>
                <w:sz w:val="18"/>
                <w:szCs w:val="18"/>
              </w:rPr>
              <w:t xml:space="preserve"> income for the year</w:t>
            </w:r>
          </w:p>
        </w:tc>
        <w:tc>
          <w:tcPr>
            <w:tcW w:w="361" w:type="pct"/>
            <w:tcBorders>
              <w:left w:val="nil"/>
              <w:bottom w:val="single" w:sz="4" w:space="0" w:color="auto"/>
              <w:right w:val="nil"/>
            </w:tcBorders>
          </w:tcPr>
          <w:p w:rsidR="0034681D" w:rsidRPr="00663A21" w:rsidRDefault="0034681D" w:rsidP="0034681D">
            <w:pPr>
              <w:jc w:val="right"/>
              <w:rPr>
                <w:rFonts w:ascii="Arial" w:hAnsi="Arial" w:cs="Arial"/>
                <w:b/>
                <w:bCs/>
                <w:sz w:val="18"/>
                <w:szCs w:val="18"/>
              </w:rPr>
            </w:pPr>
          </w:p>
        </w:tc>
        <w:tc>
          <w:tcPr>
            <w:tcW w:w="383" w:type="pct"/>
            <w:gridSpan w:val="2"/>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14"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(42)</w:t>
            </w:r>
          </w:p>
        </w:tc>
        <w:tc>
          <w:tcPr>
            <w:tcW w:w="584" w:type="pct"/>
            <w:tcBorders>
              <w:top w:val="nil"/>
              <w:left w:val="nil"/>
              <w:bottom w:val="single" w:sz="4" w:space="0" w:color="auto"/>
              <w:right w:val="nil"/>
            </w:tcBorders>
            <w:vAlign w:val="bottom"/>
          </w:tcPr>
          <w:p w:rsidR="0034681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522"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22</w:t>
            </w:r>
          </w:p>
        </w:tc>
        <w:tc>
          <w:tcPr>
            <w:tcW w:w="421" w:type="pct"/>
            <w:gridSpan w:val="2"/>
            <w:tcBorders>
              <w:top w:val="nil"/>
              <w:left w:val="nil"/>
              <w:bottom w:val="single" w:sz="4" w:space="0" w:color="auto"/>
              <w:right w:val="single" w:sz="4" w:space="0" w:color="auto"/>
            </w:tcBorders>
            <w:shd w:val="clear" w:color="auto" w:fill="auto"/>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(20)</w:t>
            </w:r>
          </w:p>
        </w:tc>
      </w:tr>
      <w:tr w:rsidR="00894B12" w:rsidRPr="00663A21" w:rsidTr="00FA21A3">
        <w:trPr>
          <w:trHeight w:val="236"/>
        </w:trPr>
        <w:tc>
          <w:tcPr>
            <w:tcW w:w="1323" w:type="pct"/>
            <w:tcBorders>
              <w:top w:val="single" w:sz="4" w:space="0" w:color="auto"/>
              <w:right w:val="nil"/>
            </w:tcBorders>
            <w:shd w:val="clear" w:color="auto" w:fill="auto"/>
            <w:vAlign w:val="bottom"/>
          </w:tcPr>
          <w:p w:rsidR="0034681D" w:rsidRPr="001D40AF" w:rsidRDefault="0034681D" w:rsidP="0034681D">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w:t>
            </w:r>
            <w:r>
              <w:rPr>
                <w:rFonts w:ascii="Arial" w:hAnsi="Arial" w:cs="Arial"/>
                <w:b/>
                <w:bCs/>
                <w:sz w:val="18"/>
                <w:szCs w:val="18"/>
              </w:rPr>
              <w:t>year</w:t>
            </w:r>
          </w:p>
        </w:tc>
        <w:tc>
          <w:tcPr>
            <w:tcW w:w="361" w:type="pct"/>
            <w:tcBorders>
              <w:top w:val="single" w:sz="4" w:space="0" w:color="auto"/>
              <w:right w:val="nil"/>
            </w:tcBorders>
          </w:tcPr>
          <w:p w:rsidR="0034681D" w:rsidRPr="00663A21" w:rsidRDefault="0034681D" w:rsidP="0034681D">
            <w:pPr>
              <w:jc w:val="right"/>
              <w:rPr>
                <w:rFonts w:ascii="Arial" w:hAnsi="Arial" w:cs="Arial"/>
                <w:b/>
                <w:bCs/>
                <w:sz w:val="18"/>
                <w:szCs w:val="18"/>
              </w:rPr>
            </w:pPr>
          </w:p>
        </w:tc>
        <w:tc>
          <w:tcPr>
            <w:tcW w:w="383" w:type="pct"/>
            <w:gridSpan w:val="2"/>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443</w:t>
            </w:r>
          </w:p>
        </w:tc>
        <w:tc>
          <w:tcPr>
            <w:tcW w:w="584" w:type="pct"/>
            <w:tcBorders>
              <w:top w:val="nil"/>
              <w:left w:val="nil"/>
              <w:bottom w:val="nil"/>
              <w:right w:val="nil"/>
            </w:tcBorders>
            <w:vAlign w:val="bottom"/>
          </w:tcPr>
          <w:p w:rsidR="0034681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22</w:t>
            </w:r>
          </w:p>
        </w:tc>
        <w:tc>
          <w:tcPr>
            <w:tcW w:w="421" w:type="pct"/>
            <w:gridSpan w:val="2"/>
            <w:tcBorders>
              <w:top w:val="nil"/>
              <w:left w:val="nil"/>
              <w:bottom w:val="nil"/>
              <w:right w:val="nil"/>
            </w:tcBorders>
            <w:shd w:val="clear" w:color="auto" w:fill="auto"/>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465</w:t>
            </w:r>
          </w:p>
        </w:tc>
      </w:tr>
      <w:tr w:rsidR="00894B12" w:rsidRPr="00663A21" w:rsidTr="00FA21A3">
        <w:trPr>
          <w:trHeight w:val="236"/>
        </w:trPr>
        <w:tc>
          <w:tcPr>
            <w:tcW w:w="1323" w:type="pct"/>
            <w:tcBorders>
              <w:bottom w:val="nil"/>
              <w:right w:val="nil"/>
            </w:tcBorders>
            <w:shd w:val="clear" w:color="auto" w:fill="auto"/>
            <w:vAlign w:val="bottom"/>
          </w:tcPr>
          <w:p w:rsidR="0034681D" w:rsidRPr="002A7D7A" w:rsidRDefault="0034681D" w:rsidP="0034681D">
            <w:pPr>
              <w:rPr>
                <w:rFonts w:ascii="Arial" w:hAnsi="Arial" w:cs="Arial"/>
                <w:sz w:val="18"/>
                <w:szCs w:val="18"/>
              </w:rPr>
            </w:pPr>
            <w:r>
              <w:rPr>
                <w:rFonts w:ascii="Arial" w:hAnsi="Arial" w:cs="Arial"/>
                <w:sz w:val="18"/>
                <w:szCs w:val="18"/>
              </w:rPr>
              <w:t>Share-based compensation</w:t>
            </w:r>
          </w:p>
        </w:tc>
        <w:tc>
          <w:tcPr>
            <w:tcW w:w="361" w:type="pct"/>
            <w:tcBorders>
              <w:right w:val="nil"/>
            </w:tcBorders>
          </w:tcPr>
          <w:p w:rsidR="0034681D" w:rsidRPr="00663A21" w:rsidRDefault="0034681D" w:rsidP="0034681D">
            <w:pPr>
              <w:jc w:val="right"/>
              <w:rPr>
                <w:rFonts w:ascii="Arial" w:hAnsi="Arial" w:cs="Arial"/>
                <w:b/>
                <w:bCs/>
                <w:sz w:val="18"/>
                <w:szCs w:val="18"/>
              </w:rPr>
            </w:pPr>
          </w:p>
        </w:tc>
        <w:tc>
          <w:tcPr>
            <w:tcW w:w="383" w:type="pct"/>
            <w:gridSpan w:val="2"/>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8</w:t>
            </w:r>
          </w:p>
        </w:tc>
        <w:tc>
          <w:tcPr>
            <w:tcW w:w="584" w:type="pct"/>
            <w:tcBorders>
              <w:top w:val="nil"/>
              <w:left w:val="nil"/>
              <w:bottom w:val="nil"/>
              <w:right w:val="nil"/>
            </w:tcBorders>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8</w:t>
            </w:r>
          </w:p>
        </w:tc>
      </w:tr>
      <w:tr w:rsidR="00894B12" w:rsidRPr="00663A21" w:rsidTr="00FA21A3">
        <w:trPr>
          <w:trHeight w:val="236"/>
        </w:trPr>
        <w:tc>
          <w:tcPr>
            <w:tcW w:w="1323" w:type="pct"/>
            <w:tcBorders>
              <w:bottom w:val="nil"/>
              <w:right w:val="nil"/>
            </w:tcBorders>
            <w:shd w:val="clear" w:color="auto" w:fill="auto"/>
            <w:vAlign w:val="bottom"/>
          </w:tcPr>
          <w:p w:rsidR="0034681D" w:rsidRDefault="0034681D" w:rsidP="0034681D">
            <w:pPr>
              <w:rPr>
                <w:rFonts w:ascii="Arial" w:hAnsi="Arial" w:cs="Arial"/>
                <w:sz w:val="18"/>
                <w:szCs w:val="18"/>
              </w:rPr>
            </w:pPr>
            <w:r>
              <w:rPr>
                <w:rFonts w:ascii="Arial" w:hAnsi="Arial" w:cs="Arial"/>
                <w:sz w:val="18"/>
                <w:szCs w:val="18"/>
              </w:rPr>
              <w:t>New shares issued under share schemes</w:t>
            </w:r>
          </w:p>
        </w:tc>
        <w:tc>
          <w:tcPr>
            <w:tcW w:w="361" w:type="pct"/>
            <w:tcBorders>
              <w:right w:val="nil"/>
            </w:tcBorders>
          </w:tcPr>
          <w:p w:rsidR="0034681D" w:rsidRPr="00663A21" w:rsidRDefault="0034681D" w:rsidP="0034681D">
            <w:pPr>
              <w:jc w:val="right"/>
              <w:rPr>
                <w:rFonts w:ascii="Arial" w:hAnsi="Arial" w:cs="Arial"/>
                <w:b/>
                <w:bCs/>
                <w:sz w:val="18"/>
                <w:szCs w:val="18"/>
              </w:rPr>
            </w:pPr>
          </w:p>
        </w:tc>
        <w:tc>
          <w:tcPr>
            <w:tcW w:w="383" w:type="pct"/>
            <w:gridSpan w:val="2"/>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1</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7</w:t>
            </w:r>
          </w:p>
        </w:tc>
        <w:tc>
          <w:tcPr>
            <w:tcW w:w="414"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584" w:type="pct"/>
            <w:tcBorders>
              <w:top w:val="nil"/>
              <w:left w:val="nil"/>
              <w:bottom w:val="nil"/>
              <w:right w:val="nil"/>
            </w:tcBorders>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8</w:t>
            </w:r>
          </w:p>
        </w:tc>
      </w:tr>
      <w:tr w:rsidR="00894B12" w:rsidRPr="00663A21" w:rsidTr="00FA21A3">
        <w:trPr>
          <w:trHeight w:val="236"/>
        </w:trPr>
        <w:tc>
          <w:tcPr>
            <w:tcW w:w="1323" w:type="pct"/>
            <w:tcBorders>
              <w:top w:val="nil"/>
              <w:bottom w:val="nil"/>
              <w:right w:val="nil"/>
            </w:tcBorders>
            <w:shd w:val="clear" w:color="auto" w:fill="auto"/>
            <w:vAlign w:val="bottom"/>
          </w:tcPr>
          <w:p w:rsidR="0034681D" w:rsidRPr="002A7D7A" w:rsidRDefault="0034681D" w:rsidP="0034681D">
            <w:pPr>
              <w:rPr>
                <w:rFonts w:ascii="Arial" w:hAnsi="Arial" w:cs="Arial"/>
                <w:sz w:val="18"/>
                <w:szCs w:val="18"/>
              </w:rPr>
            </w:pPr>
            <w:r>
              <w:rPr>
                <w:rFonts w:ascii="Arial" w:hAnsi="Arial" w:cs="Arial"/>
                <w:sz w:val="18"/>
                <w:szCs w:val="18"/>
              </w:rPr>
              <w:t>Own shares issued under share schemes</w:t>
            </w:r>
          </w:p>
        </w:tc>
        <w:tc>
          <w:tcPr>
            <w:tcW w:w="361" w:type="pct"/>
            <w:tcBorders>
              <w:top w:val="nil"/>
              <w:right w:val="nil"/>
            </w:tcBorders>
          </w:tcPr>
          <w:p w:rsidR="0034681D" w:rsidRPr="00663A21" w:rsidRDefault="0034681D" w:rsidP="0034681D">
            <w:pPr>
              <w:jc w:val="right"/>
              <w:rPr>
                <w:rFonts w:ascii="Arial" w:hAnsi="Arial" w:cs="Arial"/>
                <w:b/>
                <w:bCs/>
                <w:sz w:val="18"/>
                <w:szCs w:val="18"/>
              </w:rPr>
            </w:pPr>
          </w:p>
        </w:tc>
        <w:tc>
          <w:tcPr>
            <w:tcW w:w="383" w:type="pct"/>
            <w:gridSpan w:val="2"/>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7</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(7)</w:t>
            </w:r>
          </w:p>
        </w:tc>
        <w:tc>
          <w:tcPr>
            <w:tcW w:w="584" w:type="pct"/>
            <w:tcBorders>
              <w:top w:val="nil"/>
              <w:left w:val="nil"/>
              <w:bottom w:val="nil"/>
              <w:right w:val="nil"/>
            </w:tcBorders>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r>
      <w:tr w:rsidR="00894B12" w:rsidRPr="00500CDE" w:rsidTr="00FA21A3">
        <w:trPr>
          <w:trHeight w:val="220"/>
        </w:trPr>
        <w:tc>
          <w:tcPr>
            <w:tcW w:w="1323" w:type="pct"/>
            <w:tcBorders>
              <w:left w:val="nil"/>
              <w:right w:val="nil"/>
            </w:tcBorders>
            <w:shd w:val="clear" w:color="auto" w:fill="auto"/>
            <w:noWrap/>
            <w:vAlign w:val="bottom"/>
          </w:tcPr>
          <w:p w:rsidR="0034681D" w:rsidRDefault="0034681D" w:rsidP="0034681D">
            <w:pPr>
              <w:rPr>
                <w:rFonts w:ascii="Arial" w:hAnsi="Arial" w:cs="Arial"/>
                <w:sz w:val="18"/>
                <w:szCs w:val="18"/>
              </w:rPr>
            </w:pPr>
            <w:r>
              <w:rPr>
                <w:rFonts w:ascii="Arial" w:hAnsi="Arial" w:cs="Arial"/>
                <w:sz w:val="18"/>
                <w:szCs w:val="18"/>
              </w:rPr>
              <w:t>Purchase of own shares for cancellation</w:t>
            </w:r>
          </w:p>
        </w:tc>
        <w:tc>
          <w:tcPr>
            <w:tcW w:w="361" w:type="pct"/>
            <w:tcBorders>
              <w:left w:val="nil"/>
              <w:right w:val="nil"/>
            </w:tcBorders>
          </w:tcPr>
          <w:p w:rsidR="0034681D" w:rsidRDefault="0034681D" w:rsidP="0034681D">
            <w:pPr>
              <w:jc w:val="right"/>
              <w:rPr>
                <w:rFonts w:ascii="Arial" w:hAnsi="Arial" w:cs="Arial"/>
                <w:bCs/>
                <w:sz w:val="18"/>
                <w:szCs w:val="18"/>
              </w:rPr>
            </w:pPr>
          </w:p>
        </w:tc>
        <w:tc>
          <w:tcPr>
            <w:tcW w:w="383" w:type="pct"/>
            <w:gridSpan w:val="2"/>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(13)</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(260)</w:t>
            </w:r>
          </w:p>
        </w:tc>
        <w:tc>
          <w:tcPr>
            <w:tcW w:w="584" w:type="pct"/>
            <w:tcBorders>
              <w:top w:val="nil"/>
              <w:left w:val="nil"/>
              <w:bottom w:val="nil"/>
              <w:right w:val="nil"/>
            </w:tcBorders>
            <w:vAlign w:val="bottom"/>
          </w:tcPr>
          <w:p w:rsidR="0034681D" w:rsidRDefault="0034681D" w:rsidP="0034681D">
            <w:pPr>
              <w:jc w:val="right"/>
              <w:rPr>
                <w:rFonts w:ascii="Arial" w:hAnsi="Arial" w:cs="Arial"/>
                <w:b/>
                <w:bCs/>
                <w:sz w:val="18"/>
                <w:szCs w:val="18"/>
              </w:rPr>
            </w:pPr>
            <w:r>
              <w:rPr>
                <w:rFonts w:ascii="Arial" w:hAnsi="Arial" w:cs="Arial"/>
                <w:b/>
                <w:bCs/>
                <w:sz w:val="18"/>
                <w:szCs w:val="18"/>
              </w:rPr>
              <w:t>13</w:t>
            </w:r>
          </w:p>
        </w:tc>
        <w:tc>
          <w:tcPr>
            <w:tcW w:w="522"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(260)</w:t>
            </w:r>
          </w:p>
        </w:tc>
      </w:tr>
      <w:tr w:rsidR="00894B12" w:rsidRPr="00500CDE" w:rsidTr="00FA21A3">
        <w:trPr>
          <w:trHeight w:val="220"/>
        </w:trPr>
        <w:tc>
          <w:tcPr>
            <w:tcW w:w="1323" w:type="pct"/>
            <w:tcBorders>
              <w:left w:val="nil"/>
              <w:right w:val="nil"/>
            </w:tcBorders>
            <w:shd w:val="clear" w:color="auto" w:fill="auto"/>
            <w:noWrap/>
            <w:vAlign w:val="bottom"/>
          </w:tcPr>
          <w:p w:rsidR="0034681D" w:rsidRDefault="0034681D" w:rsidP="0034681D">
            <w:pPr>
              <w:rPr>
                <w:rFonts w:ascii="Arial" w:hAnsi="Arial" w:cs="Arial"/>
                <w:sz w:val="18"/>
                <w:szCs w:val="18"/>
              </w:rPr>
            </w:pPr>
            <w:r>
              <w:rPr>
                <w:rFonts w:ascii="Arial" w:hAnsi="Arial" w:cs="Arial"/>
                <w:sz w:val="18"/>
                <w:szCs w:val="18"/>
              </w:rPr>
              <w:t>Purchase of own shares for ESOP trust</w:t>
            </w:r>
          </w:p>
        </w:tc>
        <w:tc>
          <w:tcPr>
            <w:tcW w:w="361" w:type="pct"/>
            <w:tcBorders>
              <w:left w:val="nil"/>
              <w:right w:val="nil"/>
            </w:tcBorders>
          </w:tcPr>
          <w:p w:rsidR="0034681D" w:rsidRDefault="0034681D" w:rsidP="0034681D">
            <w:pPr>
              <w:jc w:val="right"/>
              <w:rPr>
                <w:rFonts w:ascii="Arial" w:hAnsi="Arial" w:cs="Arial"/>
                <w:bCs/>
                <w:sz w:val="18"/>
                <w:szCs w:val="18"/>
              </w:rPr>
            </w:pPr>
          </w:p>
        </w:tc>
        <w:tc>
          <w:tcPr>
            <w:tcW w:w="383" w:type="pct"/>
            <w:gridSpan w:val="2"/>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(13)</w:t>
            </w:r>
          </w:p>
        </w:tc>
        <w:tc>
          <w:tcPr>
            <w:tcW w:w="496"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584" w:type="pct"/>
            <w:tcBorders>
              <w:top w:val="nil"/>
              <w:left w:val="nil"/>
              <w:bottom w:val="nil"/>
              <w:right w:val="nil"/>
            </w:tcBorders>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(13)</w:t>
            </w:r>
          </w:p>
        </w:tc>
      </w:tr>
      <w:tr w:rsidR="00894B12" w:rsidRPr="005002F6" w:rsidTr="00FA21A3">
        <w:trPr>
          <w:trHeight w:val="236"/>
        </w:trPr>
        <w:tc>
          <w:tcPr>
            <w:tcW w:w="1323" w:type="pct"/>
            <w:tcBorders>
              <w:top w:val="nil"/>
              <w:bottom w:val="single" w:sz="4" w:space="0" w:color="auto"/>
              <w:right w:val="nil"/>
            </w:tcBorders>
            <w:shd w:val="clear" w:color="auto" w:fill="auto"/>
            <w:vAlign w:val="bottom"/>
          </w:tcPr>
          <w:p w:rsidR="0034681D" w:rsidRDefault="0034681D" w:rsidP="0034681D">
            <w:pPr>
              <w:rPr>
                <w:rFonts w:ascii="Arial" w:hAnsi="Arial" w:cs="Arial"/>
                <w:sz w:val="18"/>
                <w:szCs w:val="18"/>
              </w:rPr>
            </w:pPr>
            <w:r>
              <w:rPr>
                <w:rFonts w:ascii="Arial" w:hAnsi="Arial" w:cs="Arial"/>
                <w:sz w:val="18"/>
                <w:szCs w:val="18"/>
              </w:rPr>
              <w:t>Dividends</w:t>
            </w:r>
          </w:p>
        </w:tc>
        <w:tc>
          <w:tcPr>
            <w:tcW w:w="361" w:type="pct"/>
            <w:tcBorders>
              <w:top w:val="nil"/>
              <w:bottom w:val="single" w:sz="4" w:space="0" w:color="auto"/>
              <w:right w:val="nil"/>
            </w:tcBorders>
          </w:tcPr>
          <w:p w:rsidR="0034681D" w:rsidRPr="005002F6" w:rsidRDefault="00DC1EFE" w:rsidP="0034681D">
            <w:pPr>
              <w:jc w:val="center"/>
              <w:rPr>
                <w:rFonts w:ascii="Arial" w:hAnsi="Arial" w:cs="Arial"/>
                <w:sz w:val="18"/>
                <w:szCs w:val="18"/>
              </w:rPr>
            </w:pPr>
            <w:r>
              <w:rPr>
                <w:rFonts w:ascii="Arial" w:hAnsi="Arial" w:cs="Arial"/>
                <w:sz w:val="18"/>
                <w:szCs w:val="18"/>
              </w:rPr>
              <w:t xml:space="preserve">       </w:t>
            </w:r>
            <w:r w:rsidR="0034681D">
              <w:rPr>
                <w:rFonts w:ascii="Arial" w:hAnsi="Arial" w:cs="Arial"/>
                <w:sz w:val="18"/>
                <w:szCs w:val="18"/>
              </w:rPr>
              <w:t>8</w:t>
            </w:r>
          </w:p>
        </w:tc>
        <w:tc>
          <w:tcPr>
            <w:tcW w:w="383" w:type="pct"/>
            <w:gridSpan w:val="2"/>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14"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96"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(231)</w:t>
            </w:r>
          </w:p>
        </w:tc>
        <w:tc>
          <w:tcPr>
            <w:tcW w:w="584" w:type="pct"/>
            <w:tcBorders>
              <w:top w:val="nil"/>
              <w:left w:val="nil"/>
              <w:bottom w:val="single" w:sz="4" w:space="0" w:color="auto"/>
              <w:right w:val="nil"/>
            </w:tcBorders>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522" w:type="pct"/>
            <w:tcBorders>
              <w:top w:val="nil"/>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sidRPr="00F2449D">
              <w:rPr>
                <w:rFonts w:ascii="Arial" w:hAnsi="Arial" w:cs="Arial"/>
                <w:b/>
                <w:bCs/>
                <w:sz w:val="18"/>
                <w:szCs w:val="18"/>
              </w:rPr>
              <w:t>–</w:t>
            </w:r>
          </w:p>
        </w:tc>
        <w:tc>
          <w:tcPr>
            <w:tcW w:w="421" w:type="pct"/>
            <w:gridSpan w:val="2"/>
            <w:tcBorders>
              <w:top w:val="nil"/>
              <w:left w:val="nil"/>
              <w:bottom w:val="single" w:sz="4" w:space="0" w:color="auto"/>
              <w:right w:val="nil"/>
            </w:tcBorders>
            <w:shd w:val="clear" w:color="auto" w:fill="auto"/>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(231)</w:t>
            </w:r>
          </w:p>
        </w:tc>
      </w:tr>
      <w:tr w:rsidR="00894B12" w:rsidRPr="00663A21" w:rsidTr="00FA21A3">
        <w:trPr>
          <w:trHeight w:val="236"/>
        </w:trPr>
        <w:tc>
          <w:tcPr>
            <w:tcW w:w="1323" w:type="pct"/>
            <w:tcBorders>
              <w:top w:val="single" w:sz="4" w:space="0" w:color="auto"/>
              <w:bottom w:val="single" w:sz="12" w:space="0" w:color="auto"/>
              <w:right w:val="nil"/>
            </w:tcBorders>
            <w:shd w:val="clear" w:color="auto" w:fill="auto"/>
            <w:vAlign w:val="bottom"/>
          </w:tcPr>
          <w:p w:rsidR="0034681D" w:rsidRPr="00215807" w:rsidRDefault="0034681D" w:rsidP="0034681D">
            <w:pPr>
              <w:rPr>
                <w:rFonts w:ascii="Arial" w:hAnsi="Arial" w:cs="Arial"/>
                <w:b/>
                <w:sz w:val="18"/>
                <w:szCs w:val="18"/>
              </w:rPr>
            </w:pPr>
            <w:r w:rsidRPr="00215807">
              <w:rPr>
                <w:rFonts w:ascii="Arial" w:hAnsi="Arial" w:cs="Arial"/>
                <w:b/>
                <w:bCs/>
                <w:sz w:val="18"/>
                <w:szCs w:val="18"/>
              </w:rPr>
              <w:t xml:space="preserve">At </w:t>
            </w:r>
            <w:r>
              <w:rPr>
                <w:rFonts w:ascii="Arial" w:hAnsi="Arial" w:cs="Arial"/>
                <w:b/>
                <w:bCs/>
                <w:sz w:val="18"/>
                <w:szCs w:val="18"/>
              </w:rPr>
              <w:t>31</w:t>
            </w:r>
            <w:r w:rsidRPr="00215807">
              <w:rPr>
                <w:rFonts w:ascii="Arial" w:hAnsi="Arial" w:cs="Arial"/>
                <w:b/>
                <w:bCs/>
                <w:sz w:val="18"/>
                <w:szCs w:val="18"/>
              </w:rPr>
              <w:t xml:space="preserve"> </w:t>
            </w:r>
            <w:r>
              <w:rPr>
                <w:rFonts w:ascii="Arial" w:hAnsi="Arial" w:cs="Arial"/>
                <w:b/>
                <w:bCs/>
                <w:sz w:val="18"/>
                <w:szCs w:val="18"/>
              </w:rPr>
              <w:t>January</w:t>
            </w:r>
            <w:r w:rsidRPr="00215807">
              <w:rPr>
                <w:rFonts w:ascii="Arial" w:hAnsi="Arial" w:cs="Arial"/>
                <w:b/>
                <w:bCs/>
                <w:sz w:val="18"/>
                <w:szCs w:val="18"/>
              </w:rPr>
              <w:t xml:space="preserve"> 201</w:t>
            </w:r>
            <w:r>
              <w:rPr>
                <w:rFonts w:ascii="Arial" w:hAnsi="Arial" w:cs="Arial"/>
                <w:b/>
                <w:bCs/>
                <w:sz w:val="18"/>
                <w:szCs w:val="18"/>
              </w:rPr>
              <w:t>8</w:t>
            </w:r>
          </w:p>
        </w:tc>
        <w:tc>
          <w:tcPr>
            <w:tcW w:w="361" w:type="pct"/>
            <w:tcBorders>
              <w:top w:val="single" w:sz="4" w:space="0" w:color="auto"/>
              <w:bottom w:val="single" w:sz="12" w:space="0" w:color="auto"/>
              <w:right w:val="nil"/>
            </w:tcBorders>
          </w:tcPr>
          <w:p w:rsidR="0034681D" w:rsidRPr="005A71C5" w:rsidRDefault="0034681D" w:rsidP="0034681D">
            <w:pPr>
              <w:jc w:val="right"/>
              <w:rPr>
                <w:rFonts w:ascii="Arial" w:hAnsi="Arial" w:cs="Arial"/>
                <w:b/>
                <w:bCs/>
                <w:sz w:val="18"/>
                <w:szCs w:val="18"/>
              </w:rPr>
            </w:pPr>
          </w:p>
        </w:tc>
        <w:tc>
          <w:tcPr>
            <w:tcW w:w="383" w:type="pct"/>
            <w:gridSpan w:val="2"/>
            <w:tcBorders>
              <w:top w:val="single" w:sz="4" w:space="0" w:color="auto"/>
              <w:left w:val="nil"/>
              <w:bottom w:val="single" w:sz="12"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340</w:t>
            </w:r>
          </w:p>
        </w:tc>
        <w:tc>
          <w:tcPr>
            <w:tcW w:w="496" w:type="pct"/>
            <w:tcBorders>
              <w:top w:val="single" w:sz="4" w:space="0" w:color="auto"/>
              <w:left w:val="nil"/>
              <w:bottom w:val="single" w:sz="12"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2,228</w:t>
            </w:r>
          </w:p>
        </w:tc>
        <w:tc>
          <w:tcPr>
            <w:tcW w:w="414" w:type="pct"/>
            <w:tcBorders>
              <w:top w:val="single" w:sz="4" w:space="0" w:color="auto"/>
              <w:left w:val="nil"/>
              <w:bottom w:val="single" w:sz="12"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(29)</w:t>
            </w:r>
          </w:p>
        </w:tc>
        <w:tc>
          <w:tcPr>
            <w:tcW w:w="496" w:type="pct"/>
            <w:tcBorders>
              <w:top w:val="single" w:sz="4" w:space="0" w:color="auto"/>
              <w:left w:val="nil"/>
              <w:bottom w:val="single" w:sz="12"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3,790</w:t>
            </w:r>
          </w:p>
        </w:tc>
        <w:tc>
          <w:tcPr>
            <w:tcW w:w="584" w:type="pct"/>
            <w:tcBorders>
              <w:top w:val="single" w:sz="4" w:space="0" w:color="auto"/>
              <w:left w:val="nil"/>
              <w:bottom w:val="single" w:sz="12" w:space="0" w:color="auto"/>
              <w:right w:val="nil"/>
            </w:tcBorders>
            <w:vAlign w:val="bottom"/>
          </w:tcPr>
          <w:p w:rsidR="0034681D" w:rsidRDefault="0034681D" w:rsidP="0034681D">
            <w:pPr>
              <w:jc w:val="right"/>
              <w:rPr>
                <w:rFonts w:ascii="Arial" w:hAnsi="Arial" w:cs="Arial"/>
                <w:b/>
                <w:bCs/>
                <w:sz w:val="18"/>
                <w:szCs w:val="18"/>
              </w:rPr>
            </w:pPr>
            <w:r>
              <w:rPr>
                <w:rFonts w:ascii="Arial" w:hAnsi="Arial" w:cs="Arial"/>
                <w:b/>
                <w:bCs/>
                <w:sz w:val="18"/>
                <w:szCs w:val="18"/>
              </w:rPr>
              <w:t>35</w:t>
            </w:r>
          </w:p>
        </w:tc>
        <w:tc>
          <w:tcPr>
            <w:tcW w:w="522" w:type="pct"/>
            <w:tcBorders>
              <w:top w:val="single" w:sz="4" w:space="0" w:color="auto"/>
              <w:left w:val="nil"/>
              <w:bottom w:val="single" w:sz="12" w:space="0" w:color="auto"/>
              <w:right w:val="nil"/>
            </w:tcBorders>
            <w:shd w:val="clear" w:color="auto" w:fill="auto"/>
            <w:noWrap/>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384</w:t>
            </w:r>
          </w:p>
        </w:tc>
        <w:tc>
          <w:tcPr>
            <w:tcW w:w="421" w:type="pct"/>
            <w:gridSpan w:val="2"/>
            <w:tcBorders>
              <w:top w:val="single" w:sz="4" w:space="0" w:color="auto"/>
              <w:left w:val="nil"/>
              <w:bottom w:val="single" w:sz="12" w:space="0" w:color="auto"/>
              <w:right w:val="nil"/>
            </w:tcBorders>
            <w:shd w:val="clear" w:color="auto" w:fill="auto"/>
            <w:vAlign w:val="bottom"/>
          </w:tcPr>
          <w:p w:rsidR="0034681D" w:rsidRPr="00F2449D" w:rsidRDefault="0034681D" w:rsidP="0034681D">
            <w:pPr>
              <w:jc w:val="right"/>
              <w:rPr>
                <w:rFonts w:ascii="Arial" w:hAnsi="Arial" w:cs="Arial"/>
                <w:b/>
                <w:bCs/>
                <w:sz w:val="18"/>
                <w:szCs w:val="18"/>
              </w:rPr>
            </w:pPr>
            <w:r>
              <w:rPr>
                <w:rFonts w:ascii="Arial" w:hAnsi="Arial" w:cs="Arial"/>
                <w:b/>
                <w:bCs/>
                <w:sz w:val="18"/>
                <w:szCs w:val="18"/>
              </w:rPr>
              <w:t>6,748</w:t>
            </w:r>
          </w:p>
        </w:tc>
      </w:tr>
      <w:tr w:rsidR="00894B12" w:rsidRPr="00B67A7B" w:rsidTr="00FA21A3">
        <w:trPr>
          <w:trHeight w:val="220"/>
        </w:trPr>
        <w:tc>
          <w:tcPr>
            <w:tcW w:w="1323" w:type="pct"/>
            <w:tcBorders>
              <w:top w:val="single" w:sz="12" w:space="0" w:color="auto"/>
              <w:left w:val="nil"/>
              <w:right w:val="nil"/>
            </w:tcBorders>
            <w:shd w:val="clear" w:color="auto" w:fill="auto"/>
            <w:noWrap/>
            <w:vAlign w:val="bottom"/>
          </w:tcPr>
          <w:p w:rsidR="0034681D" w:rsidRPr="00B67A7B" w:rsidRDefault="0034681D" w:rsidP="0034681D">
            <w:pPr>
              <w:rPr>
                <w:rFonts w:ascii="Arial" w:hAnsi="Arial" w:cs="Arial"/>
                <w:sz w:val="16"/>
                <w:szCs w:val="16"/>
              </w:rPr>
            </w:pPr>
          </w:p>
        </w:tc>
        <w:tc>
          <w:tcPr>
            <w:tcW w:w="361" w:type="pct"/>
            <w:tcBorders>
              <w:top w:val="single" w:sz="12" w:space="0" w:color="auto"/>
              <w:left w:val="nil"/>
              <w:right w:val="nil"/>
            </w:tcBorders>
          </w:tcPr>
          <w:p w:rsidR="0034681D" w:rsidRPr="00B67A7B" w:rsidRDefault="0034681D" w:rsidP="0034681D">
            <w:pPr>
              <w:jc w:val="right"/>
              <w:rPr>
                <w:rFonts w:ascii="Arial" w:hAnsi="Arial" w:cs="Arial"/>
                <w:sz w:val="16"/>
                <w:szCs w:val="16"/>
              </w:rPr>
            </w:pPr>
          </w:p>
        </w:tc>
        <w:tc>
          <w:tcPr>
            <w:tcW w:w="383" w:type="pct"/>
            <w:gridSpan w:val="2"/>
            <w:tcBorders>
              <w:top w:val="single" w:sz="12" w:space="0" w:color="auto"/>
              <w:left w:val="nil"/>
              <w:right w:val="nil"/>
            </w:tcBorders>
            <w:shd w:val="clear" w:color="auto" w:fill="auto"/>
            <w:noWrap/>
            <w:vAlign w:val="bottom"/>
          </w:tcPr>
          <w:p w:rsidR="0034681D" w:rsidRPr="00B67A7B" w:rsidRDefault="0034681D" w:rsidP="0034681D">
            <w:pPr>
              <w:jc w:val="right"/>
              <w:rPr>
                <w:rFonts w:ascii="Arial" w:hAnsi="Arial" w:cs="Arial"/>
                <w:sz w:val="16"/>
                <w:szCs w:val="16"/>
              </w:rPr>
            </w:pPr>
          </w:p>
        </w:tc>
        <w:tc>
          <w:tcPr>
            <w:tcW w:w="496" w:type="pct"/>
            <w:tcBorders>
              <w:top w:val="single" w:sz="12" w:space="0" w:color="auto"/>
              <w:left w:val="nil"/>
              <w:right w:val="nil"/>
            </w:tcBorders>
            <w:shd w:val="clear" w:color="auto" w:fill="auto"/>
            <w:noWrap/>
            <w:vAlign w:val="bottom"/>
          </w:tcPr>
          <w:p w:rsidR="0034681D" w:rsidRPr="00B67A7B" w:rsidRDefault="0034681D" w:rsidP="0034681D">
            <w:pPr>
              <w:jc w:val="right"/>
              <w:rPr>
                <w:rFonts w:ascii="Arial" w:hAnsi="Arial" w:cs="Arial"/>
                <w:sz w:val="16"/>
                <w:szCs w:val="16"/>
              </w:rPr>
            </w:pPr>
          </w:p>
        </w:tc>
        <w:tc>
          <w:tcPr>
            <w:tcW w:w="414" w:type="pct"/>
            <w:tcBorders>
              <w:top w:val="single" w:sz="12" w:space="0" w:color="auto"/>
              <w:left w:val="nil"/>
              <w:right w:val="nil"/>
            </w:tcBorders>
            <w:shd w:val="clear" w:color="auto" w:fill="auto"/>
            <w:noWrap/>
            <w:vAlign w:val="bottom"/>
          </w:tcPr>
          <w:p w:rsidR="0034681D" w:rsidRPr="00B67A7B" w:rsidRDefault="0034681D" w:rsidP="0034681D">
            <w:pPr>
              <w:jc w:val="right"/>
              <w:rPr>
                <w:rFonts w:ascii="Arial" w:hAnsi="Arial" w:cs="Arial"/>
                <w:sz w:val="16"/>
                <w:szCs w:val="16"/>
              </w:rPr>
            </w:pPr>
          </w:p>
        </w:tc>
        <w:tc>
          <w:tcPr>
            <w:tcW w:w="496" w:type="pct"/>
            <w:tcBorders>
              <w:top w:val="single" w:sz="12" w:space="0" w:color="auto"/>
              <w:left w:val="nil"/>
              <w:right w:val="nil"/>
            </w:tcBorders>
            <w:shd w:val="clear" w:color="auto" w:fill="auto"/>
            <w:noWrap/>
            <w:vAlign w:val="bottom"/>
          </w:tcPr>
          <w:p w:rsidR="0034681D" w:rsidRPr="00B67A7B" w:rsidRDefault="0034681D" w:rsidP="0034681D">
            <w:pPr>
              <w:jc w:val="right"/>
              <w:rPr>
                <w:rFonts w:ascii="Arial" w:hAnsi="Arial" w:cs="Arial"/>
                <w:sz w:val="16"/>
                <w:szCs w:val="16"/>
              </w:rPr>
            </w:pPr>
          </w:p>
        </w:tc>
        <w:tc>
          <w:tcPr>
            <w:tcW w:w="584" w:type="pct"/>
            <w:tcBorders>
              <w:top w:val="single" w:sz="12" w:space="0" w:color="auto"/>
              <w:left w:val="nil"/>
              <w:right w:val="nil"/>
            </w:tcBorders>
            <w:vAlign w:val="bottom"/>
          </w:tcPr>
          <w:p w:rsidR="0034681D" w:rsidRPr="00B67A7B" w:rsidRDefault="0034681D" w:rsidP="0034681D">
            <w:pPr>
              <w:jc w:val="right"/>
              <w:rPr>
                <w:rFonts w:ascii="Arial" w:hAnsi="Arial" w:cs="Arial"/>
                <w:sz w:val="16"/>
                <w:szCs w:val="16"/>
              </w:rPr>
            </w:pPr>
          </w:p>
        </w:tc>
        <w:tc>
          <w:tcPr>
            <w:tcW w:w="522" w:type="pct"/>
            <w:tcBorders>
              <w:top w:val="single" w:sz="12" w:space="0" w:color="auto"/>
              <w:left w:val="nil"/>
              <w:right w:val="nil"/>
            </w:tcBorders>
            <w:shd w:val="clear" w:color="auto" w:fill="auto"/>
            <w:noWrap/>
            <w:vAlign w:val="bottom"/>
          </w:tcPr>
          <w:p w:rsidR="0034681D" w:rsidRPr="00B67A7B" w:rsidRDefault="0034681D" w:rsidP="0034681D">
            <w:pPr>
              <w:jc w:val="right"/>
              <w:rPr>
                <w:rFonts w:ascii="Arial" w:hAnsi="Arial" w:cs="Arial"/>
                <w:sz w:val="16"/>
                <w:szCs w:val="16"/>
              </w:rPr>
            </w:pPr>
          </w:p>
        </w:tc>
        <w:tc>
          <w:tcPr>
            <w:tcW w:w="421" w:type="pct"/>
            <w:gridSpan w:val="2"/>
            <w:tcBorders>
              <w:top w:val="single" w:sz="12" w:space="0" w:color="auto"/>
              <w:left w:val="nil"/>
              <w:right w:val="nil"/>
            </w:tcBorders>
          </w:tcPr>
          <w:p w:rsidR="0034681D" w:rsidRPr="00B67A7B" w:rsidRDefault="0034681D" w:rsidP="0034681D">
            <w:pPr>
              <w:jc w:val="right"/>
              <w:rPr>
                <w:rFonts w:ascii="Arial" w:hAnsi="Arial" w:cs="Arial"/>
                <w:sz w:val="16"/>
                <w:szCs w:val="16"/>
              </w:rPr>
            </w:pPr>
          </w:p>
        </w:tc>
      </w:tr>
      <w:tr w:rsidR="00894B12" w:rsidRPr="00F2449D" w:rsidTr="00FA21A3">
        <w:trPr>
          <w:trHeight w:val="220"/>
        </w:trPr>
        <w:tc>
          <w:tcPr>
            <w:tcW w:w="1323" w:type="pct"/>
            <w:tcBorders>
              <w:left w:val="nil"/>
              <w:bottom w:val="single" w:sz="4" w:space="0" w:color="auto"/>
              <w:right w:val="nil"/>
            </w:tcBorders>
            <w:shd w:val="clear" w:color="auto" w:fill="auto"/>
            <w:noWrap/>
            <w:vAlign w:val="bottom"/>
          </w:tcPr>
          <w:p w:rsidR="0034681D" w:rsidRPr="00F2449D" w:rsidRDefault="0034681D" w:rsidP="0034681D">
            <w:pPr>
              <w:rPr>
                <w:rFonts w:ascii="Arial" w:hAnsi="Arial" w:cs="Arial"/>
                <w:b/>
                <w:bCs/>
                <w:sz w:val="18"/>
                <w:szCs w:val="18"/>
              </w:rPr>
            </w:pPr>
            <w:r w:rsidRPr="00F2449D">
              <w:rPr>
                <w:rFonts w:ascii="Arial" w:hAnsi="Arial" w:cs="Arial"/>
                <w:b/>
                <w:bCs/>
                <w:sz w:val="18"/>
                <w:szCs w:val="18"/>
              </w:rPr>
              <w:t>At 1 February 2016</w:t>
            </w:r>
          </w:p>
        </w:tc>
        <w:tc>
          <w:tcPr>
            <w:tcW w:w="361" w:type="pct"/>
            <w:tcBorders>
              <w:left w:val="nil"/>
              <w:bottom w:val="single" w:sz="4" w:space="0" w:color="auto"/>
              <w:right w:val="nil"/>
            </w:tcBorders>
          </w:tcPr>
          <w:p w:rsidR="0034681D" w:rsidRPr="00F2449D" w:rsidRDefault="0034681D" w:rsidP="0034681D">
            <w:pPr>
              <w:jc w:val="right"/>
              <w:rPr>
                <w:rFonts w:ascii="Arial" w:hAnsi="Arial" w:cs="Arial"/>
                <w:bCs/>
                <w:sz w:val="18"/>
                <w:szCs w:val="18"/>
              </w:rPr>
            </w:pPr>
          </w:p>
        </w:tc>
        <w:tc>
          <w:tcPr>
            <w:tcW w:w="383" w:type="pct"/>
            <w:gridSpan w:val="2"/>
            <w:tcBorders>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361</w:t>
            </w:r>
          </w:p>
        </w:tc>
        <w:tc>
          <w:tcPr>
            <w:tcW w:w="496" w:type="pct"/>
            <w:tcBorders>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2,218</w:t>
            </w:r>
          </w:p>
        </w:tc>
        <w:tc>
          <w:tcPr>
            <w:tcW w:w="414" w:type="pct"/>
            <w:tcBorders>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(24)</w:t>
            </w:r>
          </w:p>
        </w:tc>
        <w:tc>
          <w:tcPr>
            <w:tcW w:w="496" w:type="pct"/>
            <w:tcBorders>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3,637</w:t>
            </w:r>
          </w:p>
        </w:tc>
        <w:tc>
          <w:tcPr>
            <w:tcW w:w="584" w:type="pct"/>
            <w:tcBorders>
              <w:left w:val="nil"/>
              <w:bottom w:val="single" w:sz="4" w:space="0" w:color="auto"/>
              <w:right w:val="nil"/>
            </w:tcBorders>
            <w:vAlign w:val="bottom"/>
          </w:tcPr>
          <w:p w:rsidR="0034681D" w:rsidRPr="00F2449D" w:rsidRDefault="0034681D" w:rsidP="0034681D">
            <w:pPr>
              <w:jc w:val="right"/>
              <w:rPr>
                <w:rFonts w:ascii="Arial" w:hAnsi="Arial" w:cs="Arial"/>
                <w:bCs/>
                <w:sz w:val="18"/>
                <w:szCs w:val="18"/>
              </w:rPr>
            </w:pPr>
            <w:r>
              <w:rPr>
                <w:rFonts w:ascii="Arial" w:hAnsi="Arial" w:cs="Arial"/>
                <w:bCs/>
                <w:sz w:val="18"/>
                <w:szCs w:val="18"/>
              </w:rPr>
              <w:t>13</w:t>
            </w:r>
          </w:p>
        </w:tc>
        <w:tc>
          <w:tcPr>
            <w:tcW w:w="522" w:type="pct"/>
            <w:tcBorders>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r>
              <w:rPr>
                <w:rFonts w:ascii="Arial" w:hAnsi="Arial" w:cs="Arial"/>
                <w:bCs/>
                <w:sz w:val="18"/>
                <w:szCs w:val="18"/>
              </w:rPr>
              <w:t>19</w:t>
            </w:r>
            <w:r w:rsidRPr="00F2449D">
              <w:rPr>
                <w:rFonts w:ascii="Arial" w:hAnsi="Arial" w:cs="Arial"/>
                <w:bCs/>
                <w:sz w:val="18"/>
                <w:szCs w:val="18"/>
              </w:rPr>
              <w:t>)</w:t>
            </w:r>
          </w:p>
        </w:tc>
        <w:tc>
          <w:tcPr>
            <w:tcW w:w="421" w:type="pct"/>
            <w:gridSpan w:val="2"/>
            <w:tcBorders>
              <w:left w:val="nil"/>
              <w:bottom w:val="single" w:sz="4" w:space="0" w:color="auto"/>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6,186</w:t>
            </w:r>
          </w:p>
        </w:tc>
      </w:tr>
      <w:tr w:rsidR="00894B12" w:rsidRPr="00500CDE" w:rsidTr="00FA21A3">
        <w:trPr>
          <w:trHeight w:val="250"/>
        </w:trPr>
        <w:tc>
          <w:tcPr>
            <w:tcW w:w="1323" w:type="pct"/>
            <w:tcBorders>
              <w:top w:val="single" w:sz="4" w:space="0" w:color="auto"/>
              <w:left w:val="single" w:sz="4" w:space="0" w:color="auto"/>
              <w:right w:val="nil"/>
            </w:tcBorders>
            <w:shd w:val="clear" w:color="auto" w:fill="auto"/>
            <w:noWrap/>
            <w:vAlign w:val="bottom"/>
          </w:tcPr>
          <w:p w:rsidR="0034681D" w:rsidRPr="00790B30" w:rsidRDefault="0034681D" w:rsidP="0034681D">
            <w:pPr>
              <w:rPr>
                <w:rFonts w:ascii="Arial" w:hAnsi="Arial" w:cs="Arial"/>
                <w:sz w:val="18"/>
                <w:szCs w:val="18"/>
              </w:rPr>
            </w:pPr>
            <w:r w:rsidRPr="00790B30">
              <w:rPr>
                <w:rFonts w:ascii="Arial" w:hAnsi="Arial" w:cs="Arial"/>
                <w:sz w:val="18"/>
                <w:szCs w:val="18"/>
              </w:rPr>
              <w:t>Profit for the year</w:t>
            </w:r>
          </w:p>
        </w:tc>
        <w:tc>
          <w:tcPr>
            <w:tcW w:w="361" w:type="pct"/>
            <w:tcBorders>
              <w:top w:val="single" w:sz="4" w:space="0" w:color="auto"/>
              <w:left w:val="nil"/>
              <w:right w:val="nil"/>
            </w:tcBorders>
          </w:tcPr>
          <w:p w:rsidR="0034681D" w:rsidRPr="00790B30" w:rsidRDefault="0034681D" w:rsidP="0034681D">
            <w:pPr>
              <w:jc w:val="right"/>
              <w:rPr>
                <w:rFonts w:ascii="Arial" w:hAnsi="Arial" w:cs="Arial"/>
                <w:sz w:val="18"/>
                <w:szCs w:val="18"/>
              </w:rPr>
            </w:pPr>
          </w:p>
        </w:tc>
        <w:tc>
          <w:tcPr>
            <w:tcW w:w="383" w:type="pct"/>
            <w:gridSpan w:val="2"/>
            <w:tcBorders>
              <w:top w:val="single" w:sz="4" w:space="0" w:color="auto"/>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top w:val="single" w:sz="4" w:space="0" w:color="auto"/>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14" w:type="pct"/>
            <w:tcBorders>
              <w:top w:val="single" w:sz="4" w:space="0" w:color="auto"/>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top w:val="single" w:sz="4" w:space="0" w:color="auto"/>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610</w:t>
            </w:r>
          </w:p>
        </w:tc>
        <w:tc>
          <w:tcPr>
            <w:tcW w:w="584" w:type="pct"/>
            <w:tcBorders>
              <w:top w:val="single" w:sz="4" w:space="0" w:color="auto"/>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522" w:type="pct"/>
            <w:tcBorders>
              <w:top w:val="single" w:sz="4" w:space="0" w:color="auto"/>
              <w:lef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21" w:type="pct"/>
            <w:gridSpan w:val="2"/>
            <w:tcBorders>
              <w:top w:val="single" w:sz="4" w:space="0" w:color="auto"/>
              <w:right w:val="single" w:sz="4" w:space="0" w:color="auto"/>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610</w:t>
            </w:r>
          </w:p>
        </w:tc>
      </w:tr>
      <w:tr w:rsidR="00894B12" w:rsidRPr="00500CDE" w:rsidTr="00FA21A3">
        <w:trPr>
          <w:trHeight w:val="220"/>
        </w:trPr>
        <w:tc>
          <w:tcPr>
            <w:tcW w:w="1323" w:type="pct"/>
            <w:tcBorders>
              <w:left w:val="single" w:sz="4" w:space="0" w:color="auto"/>
              <w:bottom w:val="single" w:sz="4" w:space="0" w:color="auto"/>
              <w:right w:val="nil"/>
            </w:tcBorders>
            <w:shd w:val="clear" w:color="auto" w:fill="auto"/>
            <w:noWrap/>
            <w:vAlign w:val="bottom"/>
          </w:tcPr>
          <w:p w:rsidR="0034681D" w:rsidRPr="00790B30" w:rsidRDefault="0034681D" w:rsidP="0034681D">
            <w:pPr>
              <w:rPr>
                <w:rFonts w:ascii="Arial" w:hAnsi="Arial" w:cs="Arial"/>
                <w:sz w:val="18"/>
                <w:szCs w:val="18"/>
              </w:rPr>
            </w:pPr>
            <w:r w:rsidRPr="00790B30">
              <w:rPr>
                <w:rFonts w:ascii="Arial" w:hAnsi="Arial" w:cs="Arial"/>
                <w:bCs/>
                <w:sz w:val="18"/>
                <w:szCs w:val="18"/>
              </w:rPr>
              <w:t>Other comprehensive</w:t>
            </w:r>
            <w:r w:rsidR="00C62B0C">
              <w:rPr>
                <w:rFonts w:ascii="Arial" w:hAnsi="Arial" w:cs="Arial"/>
                <w:bCs/>
                <w:sz w:val="18"/>
                <w:szCs w:val="18"/>
              </w:rPr>
              <w:t xml:space="preserve"> (loss)/</w:t>
            </w:r>
            <w:r w:rsidRPr="00790B30">
              <w:rPr>
                <w:rFonts w:ascii="Arial" w:hAnsi="Arial" w:cs="Arial"/>
                <w:bCs/>
                <w:sz w:val="18"/>
                <w:szCs w:val="18"/>
              </w:rPr>
              <w:t xml:space="preserve"> income for the year</w:t>
            </w:r>
          </w:p>
        </w:tc>
        <w:tc>
          <w:tcPr>
            <w:tcW w:w="361" w:type="pct"/>
            <w:tcBorders>
              <w:left w:val="nil"/>
              <w:bottom w:val="single" w:sz="4" w:space="0" w:color="auto"/>
              <w:right w:val="nil"/>
            </w:tcBorders>
          </w:tcPr>
          <w:p w:rsidR="0034681D" w:rsidRPr="00790B30" w:rsidRDefault="0034681D" w:rsidP="0034681D">
            <w:pPr>
              <w:jc w:val="right"/>
              <w:rPr>
                <w:rFonts w:ascii="Arial" w:hAnsi="Arial" w:cs="Arial"/>
                <w:bCs/>
                <w:sz w:val="18"/>
                <w:szCs w:val="18"/>
              </w:rPr>
            </w:pPr>
          </w:p>
        </w:tc>
        <w:tc>
          <w:tcPr>
            <w:tcW w:w="383" w:type="pct"/>
            <w:gridSpan w:val="2"/>
            <w:tcBorders>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14" w:type="pct"/>
            <w:tcBorders>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(39)</w:t>
            </w:r>
          </w:p>
        </w:tc>
        <w:tc>
          <w:tcPr>
            <w:tcW w:w="584" w:type="pct"/>
            <w:tcBorders>
              <w:left w:val="nil"/>
              <w:bottom w:val="single" w:sz="4" w:space="0" w:color="auto"/>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522" w:type="pct"/>
            <w:tcBorders>
              <w:left w:val="nil"/>
              <w:bottom w:val="single" w:sz="4"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381</w:t>
            </w:r>
          </w:p>
        </w:tc>
        <w:tc>
          <w:tcPr>
            <w:tcW w:w="421" w:type="pct"/>
            <w:gridSpan w:val="2"/>
            <w:tcBorders>
              <w:left w:val="nil"/>
              <w:bottom w:val="single" w:sz="4" w:space="0" w:color="auto"/>
              <w:right w:val="single" w:sz="4" w:space="0" w:color="auto"/>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342</w:t>
            </w:r>
          </w:p>
        </w:tc>
      </w:tr>
      <w:tr w:rsidR="00894B12" w:rsidRPr="00500CDE" w:rsidTr="00FA21A3">
        <w:trPr>
          <w:trHeight w:val="220"/>
        </w:trPr>
        <w:tc>
          <w:tcPr>
            <w:tcW w:w="1323" w:type="pct"/>
            <w:tcBorders>
              <w:top w:val="single" w:sz="4" w:space="0" w:color="auto"/>
              <w:bottom w:val="nil"/>
              <w:right w:val="nil"/>
            </w:tcBorders>
            <w:shd w:val="clear" w:color="auto" w:fill="auto"/>
            <w:noWrap/>
            <w:vAlign w:val="bottom"/>
          </w:tcPr>
          <w:p w:rsidR="0034681D" w:rsidRPr="001D40AF" w:rsidRDefault="0034681D" w:rsidP="0034681D">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w:t>
            </w:r>
            <w:r>
              <w:rPr>
                <w:rFonts w:ascii="Arial" w:hAnsi="Arial" w:cs="Arial"/>
                <w:b/>
                <w:bCs/>
                <w:sz w:val="18"/>
                <w:szCs w:val="18"/>
              </w:rPr>
              <w:t>year</w:t>
            </w:r>
          </w:p>
        </w:tc>
        <w:tc>
          <w:tcPr>
            <w:tcW w:w="361" w:type="pct"/>
            <w:tcBorders>
              <w:top w:val="single" w:sz="4" w:space="0" w:color="auto"/>
              <w:bottom w:val="nil"/>
              <w:right w:val="nil"/>
            </w:tcBorders>
          </w:tcPr>
          <w:p w:rsidR="0034681D" w:rsidRPr="00663A21" w:rsidRDefault="0034681D" w:rsidP="0034681D">
            <w:pPr>
              <w:jc w:val="right"/>
              <w:rPr>
                <w:rFonts w:ascii="Arial" w:hAnsi="Arial" w:cs="Arial"/>
                <w:b/>
                <w:bCs/>
                <w:sz w:val="18"/>
                <w:szCs w:val="18"/>
              </w:rPr>
            </w:pPr>
          </w:p>
        </w:tc>
        <w:tc>
          <w:tcPr>
            <w:tcW w:w="383" w:type="pct"/>
            <w:gridSpan w:val="2"/>
            <w:tcBorders>
              <w:top w:val="single" w:sz="4" w:space="0" w:color="auto"/>
              <w:left w:val="nil"/>
              <w:bottom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top w:val="single" w:sz="4" w:space="0" w:color="auto"/>
              <w:left w:val="nil"/>
              <w:bottom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14" w:type="pct"/>
            <w:tcBorders>
              <w:top w:val="single" w:sz="4" w:space="0" w:color="auto"/>
              <w:left w:val="nil"/>
              <w:bottom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top w:val="single" w:sz="4" w:space="0" w:color="auto"/>
              <w:left w:val="nil"/>
              <w:bottom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571</w:t>
            </w:r>
          </w:p>
        </w:tc>
        <w:tc>
          <w:tcPr>
            <w:tcW w:w="584" w:type="pct"/>
            <w:tcBorders>
              <w:top w:val="single" w:sz="4" w:space="0" w:color="auto"/>
              <w:left w:val="nil"/>
              <w:bottom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522" w:type="pct"/>
            <w:tcBorders>
              <w:top w:val="single" w:sz="4" w:space="0" w:color="auto"/>
              <w:left w:val="nil"/>
              <w:bottom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381</w:t>
            </w:r>
          </w:p>
        </w:tc>
        <w:tc>
          <w:tcPr>
            <w:tcW w:w="421" w:type="pct"/>
            <w:gridSpan w:val="2"/>
            <w:tcBorders>
              <w:top w:val="single" w:sz="4" w:space="0" w:color="auto"/>
              <w:left w:val="nil"/>
              <w:bottom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952</w:t>
            </w:r>
          </w:p>
        </w:tc>
      </w:tr>
      <w:tr w:rsidR="00894B12" w:rsidRPr="00500CDE" w:rsidTr="00FA21A3">
        <w:trPr>
          <w:trHeight w:val="220"/>
        </w:trPr>
        <w:tc>
          <w:tcPr>
            <w:tcW w:w="1323" w:type="pct"/>
            <w:tcBorders>
              <w:top w:val="nil"/>
              <w:right w:val="nil"/>
            </w:tcBorders>
            <w:shd w:val="clear" w:color="auto" w:fill="auto"/>
            <w:noWrap/>
            <w:vAlign w:val="bottom"/>
          </w:tcPr>
          <w:p w:rsidR="0034681D" w:rsidRPr="002A7D7A" w:rsidRDefault="0034681D" w:rsidP="0034681D">
            <w:pPr>
              <w:rPr>
                <w:rFonts w:ascii="Arial" w:hAnsi="Arial" w:cs="Arial"/>
                <w:sz w:val="18"/>
                <w:szCs w:val="18"/>
              </w:rPr>
            </w:pPr>
            <w:r>
              <w:rPr>
                <w:rFonts w:ascii="Arial" w:hAnsi="Arial" w:cs="Arial"/>
                <w:sz w:val="18"/>
                <w:szCs w:val="18"/>
              </w:rPr>
              <w:t>Share-based compensation</w:t>
            </w:r>
          </w:p>
        </w:tc>
        <w:tc>
          <w:tcPr>
            <w:tcW w:w="361" w:type="pct"/>
            <w:tcBorders>
              <w:top w:val="nil"/>
              <w:right w:val="nil"/>
            </w:tcBorders>
          </w:tcPr>
          <w:p w:rsidR="0034681D" w:rsidRPr="00663A21" w:rsidRDefault="0034681D" w:rsidP="0034681D">
            <w:pPr>
              <w:jc w:val="right"/>
              <w:rPr>
                <w:rFonts w:ascii="Arial" w:hAnsi="Arial" w:cs="Arial"/>
                <w:b/>
                <w:bCs/>
                <w:sz w:val="18"/>
                <w:szCs w:val="18"/>
              </w:rPr>
            </w:pPr>
          </w:p>
        </w:tc>
        <w:tc>
          <w:tcPr>
            <w:tcW w:w="383" w:type="pct"/>
            <w:gridSpan w:val="2"/>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14"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15</w:t>
            </w:r>
          </w:p>
        </w:tc>
        <w:tc>
          <w:tcPr>
            <w:tcW w:w="584" w:type="pct"/>
            <w:tcBorders>
              <w:top w:val="nil"/>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522"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21" w:type="pct"/>
            <w:gridSpan w:val="2"/>
            <w:tcBorders>
              <w:top w:val="nil"/>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15</w:t>
            </w:r>
          </w:p>
        </w:tc>
      </w:tr>
      <w:tr w:rsidR="00894B12" w:rsidRPr="00500CDE" w:rsidTr="00FA21A3">
        <w:trPr>
          <w:trHeight w:val="220"/>
        </w:trPr>
        <w:tc>
          <w:tcPr>
            <w:tcW w:w="1323" w:type="pct"/>
            <w:tcBorders>
              <w:top w:val="nil"/>
              <w:right w:val="nil"/>
            </w:tcBorders>
            <w:shd w:val="clear" w:color="auto" w:fill="auto"/>
            <w:noWrap/>
            <w:vAlign w:val="bottom"/>
          </w:tcPr>
          <w:p w:rsidR="0034681D" w:rsidRDefault="0034681D" w:rsidP="0034681D">
            <w:pPr>
              <w:rPr>
                <w:rFonts w:ascii="Arial" w:hAnsi="Arial" w:cs="Arial"/>
                <w:sz w:val="18"/>
                <w:szCs w:val="18"/>
              </w:rPr>
            </w:pPr>
            <w:r>
              <w:rPr>
                <w:rFonts w:ascii="Arial" w:hAnsi="Arial" w:cs="Arial"/>
                <w:sz w:val="18"/>
                <w:szCs w:val="18"/>
              </w:rPr>
              <w:t>New shares issued under share schemes</w:t>
            </w:r>
          </w:p>
        </w:tc>
        <w:tc>
          <w:tcPr>
            <w:tcW w:w="361" w:type="pct"/>
            <w:tcBorders>
              <w:top w:val="nil"/>
              <w:right w:val="nil"/>
            </w:tcBorders>
          </w:tcPr>
          <w:p w:rsidR="0034681D" w:rsidRPr="00663A21" w:rsidRDefault="0034681D" w:rsidP="0034681D">
            <w:pPr>
              <w:jc w:val="right"/>
              <w:rPr>
                <w:rFonts w:ascii="Arial" w:hAnsi="Arial" w:cs="Arial"/>
                <w:b/>
                <w:bCs/>
                <w:sz w:val="18"/>
                <w:szCs w:val="18"/>
              </w:rPr>
            </w:pPr>
          </w:p>
        </w:tc>
        <w:tc>
          <w:tcPr>
            <w:tcW w:w="383" w:type="pct"/>
            <w:gridSpan w:val="2"/>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w:t>
            </w:r>
          </w:p>
        </w:tc>
        <w:tc>
          <w:tcPr>
            <w:tcW w:w="414"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584" w:type="pct"/>
            <w:tcBorders>
              <w:top w:val="nil"/>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522"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21" w:type="pct"/>
            <w:gridSpan w:val="2"/>
            <w:tcBorders>
              <w:top w:val="nil"/>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w:t>
            </w:r>
          </w:p>
        </w:tc>
      </w:tr>
      <w:tr w:rsidR="00894B12" w:rsidRPr="00500CDE" w:rsidTr="00FA21A3">
        <w:trPr>
          <w:trHeight w:val="220"/>
        </w:trPr>
        <w:tc>
          <w:tcPr>
            <w:tcW w:w="1323" w:type="pct"/>
            <w:tcBorders>
              <w:top w:val="nil"/>
              <w:right w:val="nil"/>
            </w:tcBorders>
            <w:shd w:val="clear" w:color="auto" w:fill="auto"/>
            <w:noWrap/>
            <w:vAlign w:val="bottom"/>
          </w:tcPr>
          <w:p w:rsidR="0034681D" w:rsidRPr="002A7D7A" w:rsidRDefault="0034681D" w:rsidP="0034681D">
            <w:pPr>
              <w:rPr>
                <w:rFonts w:ascii="Arial" w:hAnsi="Arial" w:cs="Arial"/>
                <w:sz w:val="18"/>
                <w:szCs w:val="18"/>
              </w:rPr>
            </w:pPr>
            <w:r>
              <w:rPr>
                <w:rFonts w:ascii="Arial" w:hAnsi="Arial" w:cs="Arial"/>
                <w:sz w:val="18"/>
                <w:szCs w:val="18"/>
              </w:rPr>
              <w:t>Own shares issued under share schemes</w:t>
            </w:r>
          </w:p>
        </w:tc>
        <w:tc>
          <w:tcPr>
            <w:tcW w:w="361" w:type="pct"/>
            <w:tcBorders>
              <w:top w:val="nil"/>
              <w:right w:val="nil"/>
            </w:tcBorders>
          </w:tcPr>
          <w:p w:rsidR="0034681D" w:rsidRPr="00663A21" w:rsidRDefault="0034681D" w:rsidP="0034681D">
            <w:pPr>
              <w:jc w:val="right"/>
              <w:rPr>
                <w:rFonts w:ascii="Arial" w:hAnsi="Arial" w:cs="Arial"/>
                <w:b/>
                <w:bCs/>
                <w:sz w:val="18"/>
                <w:szCs w:val="18"/>
              </w:rPr>
            </w:pPr>
          </w:p>
        </w:tc>
        <w:tc>
          <w:tcPr>
            <w:tcW w:w="383" w:type="pct"/>
            <w:gridSpan w:val="2"/>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14"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7</w:t>
            </w:r>
          </w:p>
        </w:tc>
        <w:tc>
          <w:tcPr>
            <w:tcW w:w="496"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(6)</w:t>
            </w:r>
          </w:p>
        </w:tc>
        <w:tc>
          <w:tcPr>
            <w:tcW w:w="584" w:type="pct"/>
            <w:tcBorders>
              <w:top w:val="nil"/>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522" w:type="pct"/>
            <w:tcBorders>
              <w:top w:val="nil"/>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21" w:type="pct"/>
            <w:gridSpan w:val="2"/>
            <w:tcBorders>
              <w:top w:val="nil"/>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1</w:t>
            </w:r>
          </w:p>
        </w:tc>
      </w:tr>
      <w:tr w:rsidR="00894B12" w:rsidRPr="00500CDE" w:rsidTr="00FA21A3">
        <w:trPr>
          <w:trHeight w:val="220"/>
        </w:trPr>
        <w:tc>
          <w:tcPr>
            <w:tcW w:w="1323" w:type="pct"/>
            <w:tcBorders>
              <w:left w:val="nil"/>
              <w:right w:val="nil"/>
            </w:tcBorders>
            <w:shd w:val="clear" w:color="auto" w:fill="auto"/>
            <w:noWrap/>
            <w:vAlign w:val="bottom"/>
          </w:tcPr>
          <w:p w:rsidR="0034681D" w:rsidRDefault="0034681D" w:rsidP="0034681D">
            <w:pPr>
              <w:rPr>
                <w:rFonts w:ascii="Arial" w:hAnsi="Arial" w:cs="Arial"/>
                <w:sz w:val="18"/>
                <w:szCs w:val="18"/>
              </w:rPr>
            </w:pPr>
            <w:r>
              <w:rPr>
                <w:rFonts w:ascii="Arial" w:hAnsi="Arial" w:cs="Arial"/>
                <w:sz w:val="18"/>
                <w:szCs w:val="18"/>
              </w:rPr>
              <w:t>Purchase of own shares for cancellation</w:t>
            </w:r>
          </w:p>
        </w:tc>
        <w:tc>
          <w:tcPr>
            <w:tcW w:w="361" w:type="pct"/>
            <w:tcBorders>
              <w:left w:val="nil"/>
              <w:right w:val="nil"/>
            </w:tcBorders>
          </w:tcPr>
          <w:p w:rsidR="0034681D" w:rsidRDefault="0034681D" w:rsidP="0034681D">
            <w:pPr>
              <w:jc w:val="right"/>
              <w:rPr>
                <w:rFonts w:ascii="Arial" w:hAnsi="Arial" w:cs="Arial"/>
                <w:bCs/>
                <w:sz w:val="18"/>
                <w:szCs w:val="18"/>
              </w:rPr>
            </w:pPr>
          </w:p>
        </w:tc>
        <w:tc>
          <w:tcPr>
            <w:tcW w:w="383" w:type="pct"/>
            <w:gridSpan w:val="2"/>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(9)</w:t>
            </w:r>
          </w:p>
        </w:tc>
        <w:tc>
          <w:tcPr>
            <w:tcW w:w="496"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14"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(150)</w:t>
            </w:r>
          </w:p>
        </w:tc>
        <w:tc>
          <w:tcPr>
            <w:tcW w:w="584" w:type="pct"/>
            <w:tcBorders>
              <w:left w:val="nil"/>
              <w:right w:val="nil"/>
            </w:tcBorders>
            <w:vAlign w:val="bottom"/>
          </w:tcPr>
          <w:p w:rsidR="0034681D" w:rsidRPr="00F2449D" w:rsidRDefault="0034681D" w:rsidP="0034681D">
            <w:pPr>
              <w:jc w:val="right"/>
              <w:rPr>
                <w:rFonts w:ascii="Arial" w:hAnsi="Arial" w:cs="Arial"/>
                <w:bCs/>
                <w:sz w:val="18"/>
                <w:szCs w:val="18"/>
              </w:rPr>
            </w:pPr>
            <w:r>
              <w:rPr>
                <w:rFonts w:ascii="Arial" w:hAnsi="Arial" w:cs="Arial"/>
                <w:bCs/>
                <w:sz w:val="18"/>
                <w:szCs w:val="18"/>
              </w:rPr>
              <w:t>9</w:t>
            </w:r>
          </w:p>
        </w:tc>
        <w:tc>
          <w:tcPr>
            <w:tcW w:w="522" w:type="pct"/>
            <w:tcBorders>
              <w:left w:val="nil"/>
              <w:right w:val="nil"/>
            </w:tcBorders>
            <w:shd w:val="clear" w:color="auto" w:fill="auto"/>
            <w:noWrap/>
            <w:vAlign w:val="bottom"/>
          </w:tcPr>
          <w:p w:rsidR="0034681D" w:rsidRPr="00F2449D" w:rsidRDefault="00952020" w:rsidP="0034681D">
            <w:pPr>
              <w:jc w:val="right"/>
              <w:rPr>
                <w:rFonts w:ascii="Arial" w:hAnsi="Arial" w:cs="Arial"/>
                <w:bCs/>
                <w:sz w:val="18"/>
                <w:szCs w:val="18"/>
              </w:rPr>
            </w:pPr>
            <w:r w:rsidRPr="00F2449D">
              <w:rPr>
                <w:rFonts w:ascii="Arial" w:hAnsi="Arial" w:cs="Arial"/>
                <w:bCs/>
                <w:sz w:val="18"/>
                <w:szCs w:val="18"/>
              </w:rPr>
              <w:t>–</w:t>
            </w:r>
          </w:p>
        </w:tc>
        <w:tc>
          <w:tcPr>
            <w:tcW w:w="421" w:type="pct"/>
            <w:gridSpan w:val="2"/>
            <w:tcBorders>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(150)</w:t>
            </w:r>
          </w:p>
        </w:tc>
      </w:tr>
      <w:tr w:rsidR="00894B12" w:rsidRPr="00500CDE" w:rsidTr="00FA21A3">
        <w:trPr>
          <w:trHeight w:val="220"/>
        </w:trPr>
        <w:tc>
          <w:tcPr>
            <w:tcW w:w="1323" w:type="pct"/>
            <w:tcBorders>
              <w:left w:val="nil"/>
              <w:right w:val="nil"/>
            </w:tcBorders>
            <w:shd w:val="clear" w:color="auto" w:fill="auto"/>
            <w:noWrap/>
            <w:vAlign w:val="bottom"/>
          </w:tcPr>
          <w:p w:rsidR="0034681D" w:rsidRDefault="0034681D" w:rsidP="0034681D">
            <w:pPr>
              <w:rPr>
                <w:rFonts w:ascii="Arial" w:hAnsi="Arial" w:cs="Arial"/>
                <w:sz w:val="18"/>
                <w:szCs w:val="18"/>
              </w:rPr>
            </w:pPr>
            <w:r>
              <w:rPr>
                <w:rFonts w:ascii="Arial" w:hAnsi="Arial" w:cs="Arial"/>
                <w:sz w:val="18"/>
                <w:szCs w:val="18"/>
              </w:rPr>
              <w:t>Purchase of own shares for ESOP trust</w:t>
            </w:r>
          </w:p>
        </w:tc>
        <w:tc>
          <w:tcPr>
            <w:tcW w:w="361" w:type="pct"/>
            <w:tcBorders>
              <w:left w:val="nil"/>
              <w:right w:val="nil"/>
            </w:tcBorders>
          </w:tcPr>
          <w:p w:rsidR="0034681D" w:rsidRDefault="0034681D" w:rsidP="0034681D">
            <w:pPr>
              <w:jc w:val="right"/>
              <w:rPr>
                <w:rFonts w:ascii="Arial" w:hAnsi="Arial" w:cs="Arial"/>
                <w:bCs/>
                <w:sz w:val="18"/>
                <w:szCs w:val="18"/>
              </w:rPr>
            </w:pPr>
          </w:p>
        </w:tc>
        <w:tc>
          <w:tcPr>
            <w:tcW w:w="383" w:type="pct"/>
            <w:gridSpan w:val="2"/>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14"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(6)</w:t>
            </w:r>
          </w:p>
        </w:tc>
        <w:tc>
          <w:tcPr>
            <w:tcW w:w="496"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584" w:type="pct"/>
            <w:tcBorders>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522"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21" w:type="pct"/>
            <w:gridSpan w:val="2"/>
            <w:tcBorders>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(6)</w:t>
            </w:r>
          </w:p>
        </w:tc>
      </w:tr>
      <w:tr w:rsidR="00894B12" w:rsidRPr="00500CDE" w:rsidTr="00FA21A3">
        <w:trPr>
          <w:trHeight w:val="220"/>
        </w:trPr>
        <w:tc>
          <w:tcPr>
            <w:tcW w:w="1323" w:type="pct"/>
            <w:tcBorders>
              <w:left w:val="nil"/>
              <w:right w:val="nil"/>
            </w:tcBorders>
            <w:shd w:val="clear" w:color="auto" w:fill="auto"/>
            <w:noWrap/>
            <w:vAlign w:val="bottom"/>
          </w:tcPr>
          <w:p w:rsidR="0034681D" w:rsidRDefault="0034681D" w:rsidP="0034681D">
            <w:pPr>
              <w:rPr>
                <w:rFonts w:ascii="Arial" w:hAnsi="Arial" w:cs="Arial"/>
                <w:sz w:val="18"/>
                <w:szCs w:val="18"/>
              </w:rPr>
            </w:pPr>
            <w:r>
              <w:rPr>
                <w:rFonts w:ascii="Arial" w:hAnsi="Arial" w:cs="Arial"/>
                <w:sz w:val="18"/>
                <w:szCs w:val="18"/>
              </w:rPr>
              <w:t>Dividends</w:t>
            </w:r>
          </w:p>
        </w:tc>
        <w:tc>
          <w:tcPr>
            <w:tcW w:w="361" w:type="pct"/>
            <w:tcBorders>
              <w:left w:val="nil"/>
              <w:right w:val="nil"/>
            </w:tcBorders>
          </w:tcPr>
          <w:p w:rsidR="0034681D" w:rsidRPr="005002F6" w:rsidRDefault="00DC1EFE" w:rsidP="0034681D">
            <w:pPr>
              <w:jc w:val="center"/>
              <w:rPr>
                <w:rFonts w:ascii="Arial" w:hAnsi="Arial" w:cs="Arial"/>
                <w:sz w:val="18"/>
                <w:szCs w:val="18"/>
              </w:rPr>
            </w:pPr>
            <w:r>
              <w:rPr>
                <w:rFonts w:ascii="Arial" w:hAnsi="Arial" w:cs="Arial"/>
                <w:sz w:val="18"/>
                <w:szCs w:val="18"/>
              </w:rPr>
              <w:t xml:space="preserve">       </w:t>
            </w:r>
            <w:r w:rsidR="0034681D">
              <w:rPr>
                <w:rFonts w:ascii="Arial" w:hAnsi="Arial" w:cs="Arial"/>
                <w:sz w:val="18"/>
                <w:szCs w:val="18"/>
              </w:rPr>
              <w:t>8</w:t>
            </w:r>
          </w:p>
        </w:tc>
        <w:tc>
          <w:tcPr>
            <w:tcW w:w="383" w:type="pct"/>
            <w:gridSpan w:val="2"/>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14"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96"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(230)</w:t>
            </w:r>
          </w:p>
        </w:tc>
        <w:tc>
          <w:tcPr>
            <w:tcW w:w="584" w:type="pct"/>
            <w:tcBorders>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522" w:type="pct"/>
            <w:tcBorders>
              <w:left w:val="nil"/>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w:t>
            </w:r>
          </w:p>
        </w:tc>
        <w:tc>
          <w:tcPr>
            <w:tcW w:w="421" w:type="pct"/>
            <w:gridSpan w:val="2"/>
            <w:tcBorders>
              <w:left w:val="nil"/>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(230)</w:t>
            </w:r>
          </w:p>
        </w:tc>
      </w:tr>
      <w:tr w:rsidR="00894B12" w:rsidRPr="00500CDE" w:rsidTr="00FA21A3">
        <w:trPr>
          <w:trHeight w:val="220"/>
        </w:trPr>
        <w:tc>
          <w:tcPr>
            <w:tcW w:w="1323" w:type="pct"/>
            <w:tcBorders>
              <w:top w:val="single" w:sz="4" w:space="0" w:color="auto"/>
              <w:left w:val="nil"/>
              <w:bottom w:val="single" w:sz="12" w:space="0" w:color="auto"/>
              <w:right w:val="nil"/>
            </w:tcBorders>
            <w:shd w:val="clear" w:color="auto" w:fill="auto"/>
            <w:noWrap/>
            <w:vAlign w:val="bottom"/>
          </w:tcPr>
          <w:p w:rsidR="0034681D" w:rsidRPr="001606EE" w:rsidRDefault="0034681D" w:rsidP="0034681D">
            <w:pPr>
              <w:rPr>
                <w:rFonts w:ascii="Arial" w:hAnsi="Arial" w:cs="Arial"/>
                <w:b/>
                <w:sz w:val="18"/>
                <w:szCs w:val="18"/>
              </w:rPr>
            </w:pPr>
            <w:r w:rsidRPr="001606EE">
              <w:rPr>
                <w:rFonts w:ascii="Arial" w:hAnsi="Arial" w:cs="Arial"/>
                <w:b/>
                <w:bCs/>
                <w:sz w:val="18"/>
                <w:szCs w:val="18"/>
              </w:rPr>
              <w:t>At 31 January 201</w:t>
            </w:r>
            <w:r>
              <w:rPr>
                <w:rFonts w:ascii="Arial" w:hAnsi="Arial" w:cs="Arial"/>
                <w:b/>
                <w:bCs/>
                <w:sz w:val="18"/>
                <w:szCs w:val="18"/>
              </w:rPr>
              <w:t>7</w:t>
            </w:r>
          </w:p>
        </w:tc>
        <w:tc>
          <w:tcPr>
            <w:tcW w:w="361" w:type="pct"/>
            <w:tcBorders>
              <w:top w:val="single" w:sz="4" w:space="0" w:color="auto"/>
              <w:left w:val="nil"/>
              <w:bottom w:val="single" w:sz="12" w:space="0" w:color="auto"/>
              <w:right w:val="nil"/>
            </w:tcBorders>
          </w:tcPr>
          <w:p w:rsidR="0034681D" w:rsidRPr="00790B30" w:rsidRDefault="0034681D" w:rsidP="0034681D">
            <w:pPr>
              <w:jc w:val="right"/>
              <w:rPr>
                <w:rFonts w:ascii="Arial" w:hAnsi="Arial" w:cs="Arial"/>
                <w:bCs/>
                <w:sz w:val="18"/>
                <w:szCs w:val="18"/>
              </w:rPr>
            </w:pPr>
          </w:p>
        </w:tc>
        <w:tc>
          <w:tcPr>
            <w:tcW w:w="383" w:type="pct"/>
            <w:gridSpan w:val="2"/>
            <w:tcBorders>
              <w:top w:val="single" w:sz="4" w:space="0" w:color="auto"/>
              <w:left w:val="nil"/>
              <w:bottom w:val="single" w:sz="12"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352</w:t>
            </w:r>
          </w:p>
        </w:tc>
        <w:tc>
          <w:tcPr>
            <w:tcW w:w="496" w:type="pct"/>
            <w:tcBorders>
              <w:top w:val="single" w:sz="4" w:space="0" w:color="auto"/>
              <w:left w:val="nil"/>
              <w:bottom w:val="single" w:sz="12"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2,221</w:t>
            </w:r>
          </w:p>
        </w:tc>
        <w:tc>
          <w:tcPr>
            <w:tcW w:w="414" w:type="pct"/>
            <w:tcBorders>
              <w:top w:val="single" w:sz="4" w:space="0" w:color="auto"/>
              <w:left w:val="nil"/>
              <w:bottom w:val="single" w:sz="12"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(23)</w:t>
            </w:r>
          </w:p>
        </w:tc>
        <w:tc>
          <w:tcPr>
            <w:tcW w:w="496" w:type="pct"/>
            <w:tcBorders>
              <w:top w:val="single" w:sz="4" w:space="0" w:color="auto"/>
              <w:left w:val="nil"/>
              <w:bottom w:val="single" w:sz="12"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3,837</w:t>
            </w:r>
          </w:p>
        </w:tc>
        <w:tc>
          <w:tcPr>
            <w:tcW w:w="584" w:type="pct"/>
            <w:tcBorders>
              <w:top w:val="single" w:sz="4" w:space="0" w:color="auto"/>
              <w:left w:val="nil"/>
              <w:bottom w:val="single" w:sz="12" w:space="0" w:color="auto"/>
              <w:right w:val="nil"/>
            </w:tcBorders>
            <w:vAlign w:val="bottom"/>
          </w:tcPr>
          <w:p w:rsidR="0034681D" w:rsidRPr="00F2449D" w:rsidRDefault="0034681D" w:rsidP="0034681D">
            <w:pPr>
              <w:jc w:val="right"/>
              <w:rPr>
                <w:rFonts w:ascii="Arial" w:hAnsi="Arial" w:cs="Arial"/>
                <w:bCs/>
                <w:sz w:val="18"/>
                <w:szCs w:val="18"/>
              </w:rPr>
            </w:pPr>
            <w:r>
              <w:rPr>
                <w:rFonts w:ascii="Arial" w:hAnsi="Arial" w:cs="Arial"/>
                <w:bCs/>
                <w:sz w:val="18"/>
                <w:szCs w:val="18"/>
              </w:rPr>
              <w:t>22</w:t>
            </w:r>
          </w:p>
        </w:tc>
        <w:tc>
          <w:tcPr>
            <w:tcW w:w="522" w:type="pct"/>
            <w:tcBorders>
              <w:top w:val="single" w:sz="4" w:space="0" w:color="auto"/>
              <w:left w:val="nil"/>
              <w:bottom w:val="single" w:sz="12" w:space="0" w:color="auto"/>
              <w:right w:val="nil"/>
            </w:tcBorders>
            <w:shd w:val="clear" w:color="auto" w:fill="auto"/>
            <w:noWrap/>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3</w:t>
            </w:r>
            <w:r>
              <w:rPr>
                <w:rFonts w:ascii="Arial" w:hAnsi="Arial" w:cs="Arial"/>
                <w:bCs/>
                <w:sz w:val="18"/>
                <w:szCs w:val="18"/>
              </w:rPr>
              <w:t>62</w:t>
            </w:r>
          </w:p>
        </w:tc>
        <w:tc>
          <w:tcPr>
            <w:tcW w:w="421" w:type="pct"/>
            <w:gridSpan w:val="2"/>
            <w:tcBorders>
              <w:top w:val="single" w:sz="4" w:space="0" w:color="auto"/>
              <w:left w:val="nil"/>
              <w:bottom w:val="single" w:sz="12" w:space="0" w:color="auto"/>
              <w:right w:val="nil"/>
            </w:tcBorders>
            <w:vAlign w:val="bottom"/>
          </w:tcPr>
          <w:p w:rsidR="0034681D" w:rsidRPr="00F2449D" w:rsidRDefault="0034681D" w:rsidP="0034681D">
            <w:pPr>
              <w:jc w:val="right"/>
              <w:rPr>
                <w:rFonts w:ascii="Arial" w:hAnsi="Arial" w:cs="Arial"/>
                <w:bCs/>
                <w:sz w:val="18"/>
                <w:szCs w:val="18"/>
              </w:rPr>
            </w:pPr>
            <w:r w:rsidRPr="00F2449D">
              <w:rPr>
                <w:rFonts w:ascii="Arial" w:hAnsi="Arial" w:cs="Arial"/>
                <w:bCs/>
                <w:sz w:val="18"/>
                <w:szCs w:val="18"/>
              </w:rPr>
              <w:t>6,771</w:t>
            </w:r>
          </w:p>
        </w:tc>
      </w:tr>
    </w:tbl>
    <w:p w:rsidR="00B00AB8" w:rsidRPr="00EF1091" w:rsidRDefault="00BD161D">
      <w:pPr>
        <w:rPr>
          <w:rFonts w:ascii="Arial" w:hAnsi="Arial" w:cs="Arial"/>
          <w:sz w:val="18"/>
          <w:szCs w:val="18"/>
        </w:rPr>
      </w:pPr>
      <w:r>
        <w:rPr>
          <w:rFonts w:ascii="Arial" w:hAnsi="Arial" w:cs="Arial"/>
          <w:sz w:val="18"/>
          <w:szCs w:val="18"/>
        </w:rPr>
        <w:br w:type="page"/>
      </w:r>
    </w:p>
    <w:tbl>
      <w:tblPr>
        <w:tblW w:w="4983" w:type="pct"/>
        <w:tblInd w:w="33" w:type="dxa"/>
        <w:tblLook w:val="0000" w:firstRow="0" w:lastRow="0" w:firstColumn="0" w:lastColumn="0" w:noHBand="0" w:noVBand="0"/>
      </w:tblPr>
      <w:tblGrid>
        <w:gridCol w:w="6156"/>
        <w:gridCol w:w="774"/>
        <w:gridCol w:w="1191"/>
        <w:gridCol w:w="1485"/>
      </w:tblGrid>
      <w:tr w:rsidR="00DC25B4" w:rsidRPr="00EF1091" w:rsidTr="00512EED">
        <w:trPr>
          <w:trHeight w:val="240"/>
        </w:trPr>
        <w:tc>
          <w:tcPr>
            <w:tcW w:w="3204" w:type="pct"/>
            <w:tcBorders>
              <w:top w:val="nil"/>
              <w:left w:val="nil"/>
              <w:right w:val="nil"/>
            </w:tcBorders>
            <w:noWrap/>
            <w:vAlign w:val="bottom"/>
          </w:tcPr>
          <w:p w:rsidR="00DC25B4" w:rsidRPr="00EF1091" w:rsidRDefault="006B380B">
            <w:pPr>
              <w:rPr>
                <w:rFonts w:ascii="Arial" w:hAnsi="Arial" w:cs="Arial"/>
                <w:b/>
                <w:sz w:val="18"/>
                <w:szCs w:val="18"/>
              </w:rPr>
            </w:pPr>
            <w:r w:rsidRPr="00EF1091">
              <w:rPr>
                <w:rFonts w:ascii="Arial" w:hAnsi="Arial" w:cs="Arial"/>
                <w:sz w:val="18"/>
                <w:szCs w:val="18"/>
              </w:rPr>
              <w:lastRenderedPageBreak/>
              <w:br w:type="page"/>
            </w:r>
            <w:r w:rsidR="00DC25B4" w:rsidRPr="00EF1091">
              <w:rPr>
                <w:rFonts w:ascii="Arial" w:hAnsi="Arial" w:cs="Arial"/>
                <w:sz w:val="18"/>
                <w:szCs w:val="18"/>
              </w:rPr>
              <w:br w:type="page"/>
            </w:r>
            <w:r w:rsidR="00DC25B4" w:rsidRPr="00EF1091">
              <w:rPr>
                <w:rFonts w:ascii="Arial" w:hAnsi="Arial" w:cs="Arial"/>
                <w:sz w:val="18"/>
                <w:szCs w:val="18"/>
              </w:rPr>
              <w:br w:type="page"/>
            </w:r>
            <w:r w:rsidR="00DC25B4" w:rsidRPr="00EF1091">
              <w:rPr>
                <w:rFonts w:ascii="Arial" w:hAnsi="Arial" w:cs="Arial"/>
                <w:b/>
                <w:sz w:val="18"/>
                <w:szCs w:val="18"/>
              </w:rPr>
              <w:t>Consolidated balance sheet</w:t>
            </w:r>
          </w:p>
        </w:tc>
        <w:tc>
          <w:tcPr>
            <w:tcW w:w="403" w:type="pct"/>
            <w:tcBorders>
              <w:top w:val="nil"/>
              <w:left w:val="nil"/>
              <w:right w:val="nil"/>
            </w:tcBorders>
            <w:noWrap/>
            <w:vAlign w:val="bottom"/>
          </w:tcPr>
          <w:p w:rsidR="00DC25B4" w:rsidRPr="00EF1091" w:rsidRDefault="00DC25B4">
            <w:pPr>
              <w:jc w:val="center"/>
              <w:rPr>
                <w:rFonts w:ascii="Arial" w:hAnsi="Arial" w:cs="Arial"/>
                <w:sz w:val="18"/>
                <w:szCs w:val="18"/>
              </w:rPr>
            </w:pPr>
          </w:p>
        </w:tc>
        <w:tc>
          <w:tcPr>
            <w:tcW w:w="620" w:type="pct"/>
            <w:tcBorders>
              <w:top w:val="nil"/>
              <w:left w:val="nil"/>
              <w:right w:val="nil"/>
            </w:tcBorders>
            <w:noWrap/>
          </w:tcPr>
          <w:p w:rsidR="00DC25B4" w:rsidRPr="00EF1091" w:rsidRDefault="00DC25B4">
            <w:pPr>
              <w:jc w:val="right"/>
              <w:rPr>
                <w:rFonts w:ascii="Arial" w:hAnsi="Arial" w:cs="Arial"/>
                <w:b/>
                <w:bCs/>
                <w:sz w:val="18"/>
                <w:szCs w:val="18"/>
              </w:rPr>
            </w:pPr>
          </w:p>
        </w:tc>
        <w:tc>
          <w:tcPr>
            <w:tcW w:w="773" w:type="pct"/>
            <w:tcBorders>
              <w:top w:val="nil"/>
              <w:left w:val="nil"/>
              <w:right w:val="nil"/>
            </w:tcBorders>
          </w:tcPr>
          <w:p w:rsidR="00DC25B4" w:rsidRPr="00EF1091" w:rsidRDefault="00DC25B4">
            <w:pPr>
              <w:jc w:val="right"/>
              <w:rPr>
                <w:rFonts w:ascii="Arial" w:hAnsi="Arial" w:cs="Arial"/>
                <w:bCs/>
                <w:sz w:val="18"/>
                <w:szCs w:val="18"/>
              </w:rPr>
            </w:pPr>
          </w:p>
        </w:tc>
      </w:tr>
      <w:tr w:rsidR="00DC25B4" w:rsidRPr="00EF1091" w:rsidTr="00512EED">
        <w:trPr>
          <w:trHeight w:val="240"/>
        </w:trPr>
        <w:tc>
          <w:tcPr>
            <w:tcW w:w="3204" w:type="pct"/>
            <w:tcBorders>
              <w:top w:val="nil"/>
              <w:left w:val="nil"/>
              <w:right w:val="nil"/>
            </w:tcBorders>
            <w:noWrap/>
            <w:vAlign w:val="bottom"/>
          </w:tcPr>
          <w:p w:rsidR="00DC25B4" w:rsidRPr="00EF1091" w:rsidRDefault="00547F36" w:rsidP="00547F36">
            <w:pPr>
              <w:rPr>
                <w:rFonts w:ascii="Arial" w:hAnsi="Arial" w:cs="Arial"/>
                <w:sz w:val="18"/>
                <w:szCs w:val="18"/>
              </w:rPr>
            </w:pPr>
            <w:r>
              <w:rPr>
                <w:rFonts w:ascii="Arial" w:hAnsi="Arial" w:cs="Arial"/>
                <w:sz w:val="18"/>
                <w:szCs w:val="18"/>
              </w:rPr>
              <w:t>At</w:t>
            </w:r>
            <w:r w:rsidR="001A1B04">
              <w:rPr>
                <w:rFonts w:ascii="Arial" w:hAnsi="Arial" w:cs="Arial"/>
                <w:sz w:val="18"/>
                <w:szCs w:val="18"/>
              </w:rPr>
              <w:t xml:space="preserve"> </w:t>
            </w:r>
            <w:r w:rsidR="00FC37BE">
              <w:rPr>
                <w:rFonts w:ascii="Arial" w:hAnsi="Arial" w:cs="Arial"/>
                <w:sz w:val="18"/>
                <w:szCs w:val="18"/>
              </w:rPr>
              <w:t>31 January 201</w:t>
            </w:r>
            <w:r w:rsidR="00B301D0">
              <w:rPr>
                <w:rFonts w:ascii="Arial" w:hAnsi="Arial" w:cs="Arial"/>
                <w:sz w:val="18"/>
                <w:szCs w:val="18"/>
              </w:rPr>
              <w:t>8</w:t>
            </w:r>
          </w:p>
        </w:tc>
        <w:tc>
          <w:tcPr>
            <w:tcW w:w="403" w:type="pct"/>
            <w:tcBorders>
              <w:top w:val="nil"/>
              <w:left w:val="nil"/>
              <w:right w:val="nil"/>
            </w:tcBorders>
            <w:noWrap/>
            <w:vAlign w:val="bottom"/>
          </w:tcPr>
          <w:p w:rsidR="00DC25B4" w:rsidRPr="00EF1091" w:rsidRDefault="00DC25B4">
            <w:pPr>
              <w:jc w:val="center"/>
              <w:rPr>
                <w:rFonts w:ascii="Arial" w:hAnsi="Arial" w:cs="Arial"/>
                <w:sz w:val="18"/>
                <w:szCs w:val="18"/>
              </w:rPr>
            </w:pPr>
          </w:p>
        </w:tc>
        <w:tc>
          <w:tcPr>
            <w:tcW w:w="620" w:type="pct"/>
            <w:tcBorders>
              <w:top w:val="nil"/>
              <w:left w:val="nil"/>
              <w:right w:val="nil"/>
            </w:tcBorders>
            <w:noWrap/>
          </w:tcPr>
          <w:p w:rsidR="00DC25B4" w:rsidRPr="00EF1091" w:rsidRDefault="00DC25B4">
            <w:pPr>
              <w:jc w:val="right"/>
              <w:rPr>
                <w:rFonts w:ascii="Arial" w:hAnsi="Arial" w:cs="Arial"/>
                <w:b/>
                <w:bCs/>
                <w:sz w:val="18"/>
                <w:szCs w:val="18"/>
              </w:rPr>
            </w:pPr>
          </w:p>
        </w:tc>
        <w:tc>
          <w:tcPr>
            <w:tcW w:w="773" w:type="pct"/>
            <w:tcBorders>
              <w:top w:val="nil"/>
              <w:left w:val="nil"/>
              <w:right w:val="nil"/>
            </w:tcBorders>
          </w:tcPr>
          <w:p w:rsidR="00DC25B4" w:rsidRPr="00EF1091" w:rsidRDefault="00DC25B4">
            <w:pPr>
              <w:jc w:val="right"/>
              <w:rPr>
                <w:rFonts w:ascii="Arial" w:hAnsi="Arial" w:cs="Arial"/>
                <w:bCs/>
                <w:sz w:val="18"/>
                <w:szCs w:val="18"/>
              </w:rPr>
            </w:pPr>
          </w:p>
        </w:tc>
      </w:tr>
      <w:tr w:rsidR="00E12E71" w:rsidRPr="00EF1091" w:rsidTr="00512EED">
        <w:trPr>
          <w:trHeight w:val="240"/>
        </w:trPr>
        <w:tc>
          <w:tcPr>
            <w:tcW w:w="3204" w:type="pct"/>
            <w:tcBorders>
              <w:top w:val="nil"/>
              <w:left w:val="nil"/>
              <w:right w:val="nil"/>
            </w:tcBorders>
            <w:noWrap/>
            <w:vAlign w:val="bottom"/>
          </w:tcPr>
          <w:p w:rsidR="00E12E71" w:rsidRDefault="00E12E71" w:rsidP="00547F36">
            <w:pPr>
              <w:rPr>
                <w:rFonts w:ascii="Arial" w:hAnsi="Arial" w:cs="Arial"/>
                <w:sz w:val="18"/>
                <w:szCs w:val="18"/>
              </w:rPr>
            </w:pPr>
          </w:p>
        </w:tc>
        <w:tc>
          <w:tcPr>
            <w:tcW w:w="403" w:type="pct"/>
            <w:tcBorders>
              <w:top w:val="nil"/>
              <w:left w:val="nil"/>
              <w:right w:val="nil"/>
            </w:tcBorders>
            <w:noWrap/>
            <w:vAlign w:val="bottom"/>
          </w:tcPr>
          <w:p w:rsidR="00E12E71" w:rsidRPr="00EF1091" w:rsidRDefault="00E12E71">
            <w:pPr>
              <w:jc w:val="center"/>
              <w:rPr>
                <w:rFonts w:ascii="Arial" w:hAnsi="Arial" w:cs="Arial"/>
                <w:sz w:val="18"/>
                <w:szCs w:val="18"/>
              </w:rPr>
            </w:pPr>
          </w:p>
        </w:tc>
        <w:tc>
          <w:tcPr>
            <w:tcW w:w="620" w:type="pct"/>
            <w:tcBorders>
              <w:top w:val="nil"/>
              <w:left w:val="nil"/>
              <w:right w:val="nil"/>
            </w:tcBorders>
            <w:noWrap/>
          </w:tcPr>
          <w:p w:rsidR="00E12E71" w:rsidRPr="00EF1091" w:rsidRDefault="00E12E71">
            <w:pPr>
              <w:jc w:val="right"/>
              <w:rPr>
                <w:rFonts w:ascii="Arial" w:hAnsi="Arial" w:cs="Arial"/>
                <w:b/>
                <w:bCs/>
                <w:sz w:val="18"/>
                <w:szCs w:val="18"/>
              </w:rPr>
            </w:pPr>
          </w:p>
        </w:tc>
        <w:tc>
          <w:tcPr>
            <w:tcW w:w="773" w:type="pct"/>
            <w:tcBorders>
              <w:top w:val="nil"/>
              <w:left w:val="nil"/>
              <w:right w:val="nil"/>
            </w:tcBorders>
          </w:tcPr>
          <w:p w:rsidR="00E12E71" w:rsidRPr="00EF1091" w:rsidRDefault="00E12E71">
            <w:pPr>
              <w:jc w:val="right"/>
              <w:rPr>
                <w:rFonts w:ascii="Arial" w:hAnsi="Arial" w:cs="Arial"/>
                <w:bCs/>
                <w:sz w:val="18"/>
                <w:szCs w:val="18"/>
              </w:rPr>
            </w:pPr>
          </w:p>
        </w:tc>
      </w:tr>
      <w:tr w:rsidR="000D007B" w:rsidRPr="00D83C7E" w:rsidTr="00150F22">
        <w:trPr>
          <w:trHeight w:val="240"/>
        </w:trPr>
        <w:tc>
          <w:tcPr>
            <w:tcW w:w="3204" w:type="pct"/>
            <w:tcBorders>
              <w:left w:val="nil"/>
              <w:bottom w:val="single" w:sz="4" w:space="0" w:color="auto"/>
              <w:right w:val="nil"/>
            </w:tcBorders>
            <w:noWrap/>
            <w:vAlign w:val="bottom"/>
          </w:tcPr>
          <w:p w:rsidR="000D007B" w:rsidRPr="00D83C7E" w:rsidRDefault="000D007B">
            <w:pPr>
              <w:rPr>
                <w:rFonts w:ascii="Arial" w:hAnsi="Arial" w:cs="Arial"/>
                <w:sz w:val="18"/>
                <w:szCs w:val="18"/>
              </w:rPr>
            </w:pPr>
            <w:r w:rsidRPr="00D83C7E">
              <w:rPr>
                <w:rFonts w:ascii="Arial" w:hAnsi="Arial" w:cs="Arial"/>
                <w:sz w:val="18"/>
                <w:szCs w:val="18"/>
              </w:rPr>
              <w:t>£ millions</w:t>
            </w:r>
          </w:p>
        </w:tc>
        <w:tc>
          <w:tcPr>
            <w:tcW w:w="403" w:type="pct"/>
            <w:tcBorders>
              <w:left w:val="nil"/>
              <w:bottom w:val="single" w:sz="4" w:space="0" w:color="auto"/>
              <w:right w:val="nil"/>
            </w:tcBorders>
            <w:noWrap/>
            <w:vAlign w:val="bottom"/>
          </w:tcPr>
          <w:p w:rsidR="000D007B" w:rsidRPr="00D83C7E" w:rsidRDefault="000D007B">
            <w:pPr>
              <w:jc w:val="center"/>
              <w:rPr>
                <w:rFonts w:ascii="Arial" w:hAnsi="Arial" w:cs="Arial"/>
                <w:sz w:val="18"/>
                <w:szCs w:val="18"/>
              </w:rPr>
            </w:pPr>
            <w:r w:rsidRPr="00D83C7E">
              <w:rPr>
                <w:rFonts w:ascii="Arial" w:hAnsi="Arial" w:cs="Arial"/>
                <w:sz w:val="18"/>
                <w:szCs w:val="18"/>
              </w:rPr>
              <w:t>Notes</w:t>
            </w:r>
          </w:p>
        </w:tc>
        <w:tc>
          <w:tcPr>
            <w:tcW w:w="620" w:type="pct"/>
            <w:tcBorders>
              <w:left w:val="nil"/>
              <w:bottom w:val="single" w:sz="4" w:space="0" w:color="auto"/>
              <w:right w:val="nil"/>
            </w:tcBorders>
            <w:noWrap/>
            <w:vAlign w:val="bottom"/>
          </w:tcPr>
          <w:p w:rsidR="000D007B" w:rsidRPr="00150F22" w:rsidRDefault="000D007B" w:rsidP="00B301D0">
            <w:pPr>
              <w:jc w:val="right"/>
              <w:rPr>
                <w:rFonts w:ascii="Arial" w:hAnsi="Arial" w:cs="Arial"/>
                <w:bCs/>
                <w:sz w:val="18"/>
                <w:szCs w:val="18"/>
              </w:rPr>
            </w:pPr>
            <w:r w:rsidRPr="00150F22">
              <w:rPr>
                <w:rFonts w:ascii="Arial" w:hAnsi="Arial" w:cs="Arial"/>
                <w:bCs/>
                <w:sz w:val="18"/>
                <w:szCs w:val="18"/>
              </w:rPr>
              <w:t>201</w:t>
            </w:r>
            <w:r w:rsidR="00B301D0">
              <w:rPr>
                <w:rFonts w:ascii="Arial" w:hAnsi="Arial" w:cs="Arial"/>
                <w:bCs/>
                <w:sz w:val="18"/>
                <w:szCs w:val="18"/>
              </w:rPr>
              <w:t>7</w:t>
            </w:r>
            <w:r w:rsidRPr="00150F22">
              <w:rPr>
                <w:rFonts w:ascii="Arial" w:hAnsi="Arial" w:cs="Arial"/>
                <w:bCs/>
                <w:sz w:val="18"/>
                <w:szCs w:val="18"/>
              </w:rPr>
              <w:t>/1</w:t>
            </w:r>
            <w:r w:rsidR="00B301D0">
              <w:rPr>
                <w:rFonts w:ascii="Arial" w:hAnsi="Arial" w:cs="Arial"/>
                <w:bCs/>
                <w:sz w:val="18"/>
                <w:szCs w:val="18"/>
              </w:rPr>
              <w:t>8</w:t>
            </w:r>
          </w:p>
        </w:tc>
        <w:tc>
          <w:tcPr>
            <w:tcW w:w="773" w:type="pct"/>
            <w:tcBorders>
              <w:left w:val="nil"/>
              <w:bottom w:val="single" w:sz="4" w:space="0" w:color="auto"/>
              <w:right w:val="nil"/>
            </w:tcBorders>
            <w:vAlign w:val="bottom"/>
          </w:tcPr>
          <w:p w:rsidR="00CD6E9C" w:rsidRPr="008E2E1A" w:rsidRDefault="00B301D0" w:rsidP="00B301D0">
            <w:pPr>
              <w:jc w:val="right"/>
              <w:rPr>
                <w:rFonts w:ascii="Arial" w:hAnsi="Arial" w:cs="Arial"/>
                <w:bCs/>
                <w:sz w:val="18"/>
                <w:szCs w:val="18"/>
              </w:rPr>
            </w:pPr>
            <w:r>
              <w:rPr>
                <w:rFonts w:ascii="Arial" w:hAnsi="Arial" w:cs="Arial"/>
                <w:bCs/>
                <w:sz w:val="18"/>
                <w:szCs w:val="18"/>
              </w:rPr>
              <w:t>2016</w:t>
            </w:r>
            <w:r w:rsidR="00CD28DD">
              <w:rPr>
                <w:rFonts w:ascii="Arial" w:hAnsi="Arial" w:cs="Arial"/>
                <w:bCs/>
                <w:sz w:val="18"/>
                <w:szCs w:val="18"/>
              </w:rPr>
              <w:t>/1</w:t>
            </w:r>
            <w:r>
              <w:rPr>
                <w:rFonts w:ascii="Arial" w:hAnsi="Arial" w:cs="Arial"/>
                <w:bCs/>
                <w:sz w:val="18"/>
                <w:szCs w:val="18"/>
              </w:rPr>
              <w:t>7</w:t>
            </w:r>
          </w:p>
        </w:tc>
      </w:tr>
      <w:tr w:rsidR="000D007B" w:rsidRPr="00EF1091" w:rsidTr="00150F22">
        <w:trPr>
          <w:trHeight w:val="240"/>
        </w:trPr>
        <w:tc>
          <w:tcPr>
            <w:tcW w:w="3204" w:type="pct"/>
            <w:tcBorders>
              <w:top w:val="nil"/>
              <w:left w:val="nil"/>
              <w:bottom w:val="nil"/>
              <w:right w:val="nil"/>
            </w:tcBorders>
            <w:noWrap/>
            <w:vAlign w:val="bottom"/>
          </w:tcPr>
          <w:p w:rsidR="000D007B" w:rsidRPr="00EF1091" w:rsidRDefault="000D007B">
            <w:pPr>
              <w:rPr>
                <w:rFonts w:ascii="Arial" w:hAnsi="Arial" w:cs="Arial"/>
                <w:b/>
                <w:bCs/>
                <w:sz w:val="18"/>
                <w:szCs w:val="18"/>
              </w:rPr>
            </w:pPr>
            <w:r w:rsidRPr="00EF1091">
              <w:rPr>
                <w:rFonts w:ascii="Arial" w:hAnsi="Arial" w:cs="Arial"/>
                <w:b/>
                <w:bCs/>
                <w:sz w:val="18"/>
                <w:szCs w:val="18"/>
              </w:rPr>
              <w:t>Non-current assets</w:t>
            </w:r>
          </w:p>
        </w:tc>
        <w:tc>
          <w:tcPr>
            <w:tcW w:w="403" w:type="pct"/>
            <w:tcBorders>
              <w:top w:val="nil"/>
              <w:left w:val="nil"/>
              <w:bottom w:val="nil"/>
              <w:right w:val="nil"/>
            </w:tcBorders>
            <w:noWrap/>
            <w:vAlign w:val="bottom"/>
          </w:tcPr>
          <w:p w:rsidR="000D007B" w:rsidRPr="00EF1091" w:rsidRDefault="000D007B">
            <w:pPr>
              <w:jc w:val="center"/>
              <w:rPr>
                <w:rFonts w:ascii="Arial" w:hAnsi="Arial" w:cs="Arial"/>
                <w:sz w:val="18"/>
                <w:szCs w:val="18"/>
              </w:rPr>
            </w:pPr>
          </w:p>
        </w:tc>
        <w:tc>
          <w:tcPr>
            <w:tcW w:w="620" w:type="pct"/>
            <w:tcBorders>
              <w:top w:val="nil"/>
              <w:left w:val="nil"/>
              <w:bottom w:val="nil"/>
              <w:right w:val="nil"/>
            </w:tcBorders>
            <w:noWrap/>
            <w:vAlign w:val="bottom"/>
          </w:tcPr>
          <w:p w:rsidR="000D007B" w:rsidRPr="00150F22" w:rsidRDefault="000D007B" w:rsidP="00150F22">
            <w:pPr>
              <w:jc w:val="right"/>
              <w:rPr>
                <w:rFonts w:ascii="Arial" w:hAnsi="Arial" w:cs="Arial"/>
                <w:sz w:val="18"/>
                <w:szCs w:val="18"/>
              </w:rPr>
            </w:pPr>
          </w:p>
        </w:tc>
        <w:tc>
          <w:tcPr>
            <w:tcW w:w="773" w:type="pct"/>
            <w:tcBorders>
              <w:top w:val="nil"/>
              <w:left w:val="nil"/>
              <w:bottom w:val="nil"/>
              <w:right w:val="nil"/>
            </w:tcBorders>
            <w:vAlign w:val="bottom"/>
          </w:tcPr>
          <w:p w:rsidR="000D007B" w:rsidRPr="00281AF4" w:rsidRDefault="000D007B" w:rsidP="00150F22">
            <w:pPr>
              <w:jc w:val="right"/>
              <w:rPr>
                <w:rFonts w:ascii="Arial" w:hAnsi="Arial" w:cs="Arial"/>
                <w:b/>
                <w:sz w:val="18"/>
                <w:szCs w:val="18"/>
              </w:rPr>
            </w:pP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Goodwill</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E75FAD" w:rsidP="00B301D0">
            <w:pPr>
              <w:jc w:val="right"/>
              <w:rPr>
                <w:rFonts w:ascii="Arial" w:hAnsi="Arial" w:cs="Arial"/>
                <w:b/>
                <w:bCs/>
                <w:sz w:val="18"/>
                <w:szCs w:val="18"/>
              </w:rPr>
            </w:pPr>
            <w:r>
              <w:rPr>
                <w:rFonts w:ascii="Arial" w:hAnsi="Arial" w:cs="Arial"/>
                <w:b/>
                <w:bCs/>
                <w:sz w:val="18"/>
                <w:szCs w:val="18"/>
              </w:rPr>
              <w:t>2,43</w:t>
            </w:r>
            <w:r w:rsidR="00777A6C">
              <w:rPr>
                <w:rFonts w:ascii="Arial" w:hAnsi="Arial" w:cs="Arial"/>
                <w:b/>
                <w:bCs/>
                <w:sz w:val="18"/>
                <w:szCs w:val="18"/>
              </w:rPr>
              <w:t>7</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2,399</w:t>
            </w: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Pr>
                <w:rFonts w:ascii="Arial" w:hAnsi="Arial" w:cs="Arial"/>
                <w:sz w:val="18"/>
                <w:szCs w:val="18"/>
              </w:rPr>
              <w:t>Other i</w:t>
            </w:r>
            <w:r w:rsidRPr="00EF1091">
              <w:rPr>
                <w:rFonts w:ascii="Arial" w:hAnsi="Arial" w:cs="Arial"/>
                <w:sz w:val="18"/>
                <w:szCs w:val="18"/>
              </w:rPr>
              <w:t>ntangible assets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E75FAD" w:rsidP="00B301D0">
            <w:pPr>
              <w:jc w:val="right"/>
              <w:rPr>
                <w:rFonts w:ascii="Arial" w:hAnsi="Arial" w:cs="Arial"/>
                <w:b/>
                <w:bCs/>
                <w:sz w:val="18"/>
                <w:szCs w:val="18"/>
              </w:rPr>
            </w:pPr>
            <w:r>
              <w:rPr>
                <w:rFonts w:ascii="Arial" w:hAnsi="Arial" w:cs="Arial"/>
                <w:b/>
                <w:bCs/>
                <w:sz w:val="18"/>
                <w:szCs w:val="18"/>
              </w:rPr>
              <w:t>355</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308</w:t>
            </w: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Property, plant and equipment</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D16857" w:rsidP="00B301D0">
            <w:pPr>
              <w:jc w:val="right"/>
              <w:rPr>
                <w:rFonts w:ascii="Arial" w:hAnsi="Arial" w:cs="Arial"/>
                <w:b/>
                <w:bCs/>
                <w:sz w:val="18"/>
                <w:szCs w:val="18"/>
              </w:rPr>
            </w:pPr>
            <w:r>
              <w:rPr>
                <w:rFonts w:ascii="Arial" w:hAnsi="Arial" w:cs="Arial"/>
                <w:b/>
                <w:bCs/>
                <w:sz w:val="18"/>
                <w:szCs w:val="18"/>
              </w:rPr>
              <w:t>3,73</w:t>
            </w:r>
            <w:r w:rsidR="00BF051A">
              <w:rPr>
                <w:rFonts w:ascii="Arial" w:hAnsi="Arial" w:cs="Arial"/>
                <w:b/>
                <w:bCs/>
                <w:sz w:val="18"/>
                <w:szCs w:val="18"/>
              </w:rPr>
              <w:t>6</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3,589</w:t>
            </w: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Investment property</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BF051A" w:rsidP="00B301D0">
            <w:pPr>
              <w:jc w:val="right"/>
              <w:rPr>
                <w:rFonts w:ascii="Arial" w:hAnsi="Arial" w:cs="Arial"/>
                <w:b/>
                <w:bCs/>
                <w:sz w:val="18"/>
                <w:szCs w:val="18"/>
              </w:rPr>
            </w:pPr>
            <w:r>
              <w:rPr>
                <w:rFonts w:ascii="Arial" w:hAnsi="Arial" w:cs="Arial"/>
                <w:b/>
                <w:bCs/>
                <w:sz w:val="18"/>
                <w:szCs w:val="18"/>
              </w:rPr>
              <w:t>20</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24</w:t>
            </w: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Investments in joint ventures and associates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D16857" w:rsidP="00B301D0">
            <w:pPr>
              <w:jc w:val="right"/>
              <w:rPr>
                <w:rFonts w:ascii="Arial" w:hAnsi="Arial" w:cs="Arial"/>
                <w:b/>
                <w:bCs/>
                <w:sz w:val="18"/>
                <w:szCs w:val="18"/>
              </w:rPr>
            </w:pPr>
            <w:r>
              <w:rPr>
                <w:rFonts w:ascii="Arial" w:hAnsi="Arial" w:cs="Arial"/>
                <w:b/>
                <w:bCs/>
                <w:sz w:val="18"/>
                <w:szCs w:val="18"/>
              </w:rPr>
              <w:t>25</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23</w:t>
            </w: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Pr>
                <w:rFonts w:ascii="Arial" w:hAnsi="Arial" w:cs="Arial"/>
                <w:sz w:val="18"/>
                <w:szCs w:val="18"/>
              </w:rPr>
              <w:t>Post-employment benefits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r>
              <w:rPr>
                <w:rFonts w:ascii="Arial" w:hAnsi="Arial" w:cs="Arial"/>
                <w:sz w:val="18"/>
                <w:szCs w:val="18"/>
              </w:rPr>
              <w:t>9</w:t>
            </w:r>
          </w:p>
        </w:tc>
        <w:tc>
          <w:tcPr>
            <w:tcW w:w="620" w:type="pct"/>
            <w:tcBorders>
              <w:top w:val="nil"/>
              <w:left w:val="nil"/>
              <w:bottom w:val="nil"/>
              <w:right w:val="nil"/>
            </w:tcBorders>
            <w:shd w:val="clear" w:color="auto" w:fill="FFFFFF"/>
            <w:noWrap/>
            <w:vAlign w:val="bottom"/>
          </w:tcPr>
          <w:p w:rsidR="00B301D0" w:rsidRPr="00922E01" w:rsidRDefault="00E75FAD" w:rsidP="00B301D0">
            <w:pPr>
              <w:jc w:val="right"/>
              <w:rPr>
                <w:rFonts w:ascii="Arial" w:hAnsi="Arial" w:cs="Arial"/>
                <w:b/>
                <w:bCs/>
                <w:sz w:val="18"/>
                <w:szCs w:val="18"/>
              </w:rPr>
            </w:pPr>
            <w:r>
              <w:rPr>
                <w:rFonts w:ascii="Arial" w:hAnsi="Arial" w:cs="Arial"/>
                <w:b/>
                <w:bCs/>
                <w:sz w:val="18"/>
                <w:szCs w:val="18"/>
              </w:rPr>
              <w:t>214</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239</w:t>
            </w:r>
          </w:p>
        </w:tc>
      </w:tr>
      <w:tr w:rsidR="00B301D0" w:rsidRPr="00EF1091" w:rsidTr="00B118AC">
        <w:trPr>
          <w:trHeight w:val="240"/>
        </w:trPr>
        <w:tc>
          <w:tcPr>
            <w:tcW w:w="3204" w:type="pct"/>
            <w:tcBorders>
              <w:top w:val="nil"/>
              <w:left w:val="nil"/>
              <w:bottom w:val="nil"/>
              <w:right w:val="nil"/>
            </w:tcBorders>
            <w:noWrap/>
            <w:vAlign w:val="bottom"/>
          </w:tcPr>
          <w:p w:rsidR="00B301D0" w:rsidRPr="00B87BBF" w:rsidRDefault="00B301D0" w:rsidP="00B301D0">
            <w:pPr>
              <w:rPr>
                <w:rFonts w:ascii="Arial" w:hAnsi="Arial" w:cs="Arial"/>
                <w:sz w:val="18"/>
                <w:szCs w:val="18"/>
              </w:rPr>
            </w:pPr>
            <w:r w:rsidRPr="00B87BBF">
              <w:rPr>
                <w:rFonts w:ascii="Arial" w:hAnsi="Arial" w:cs="Arial"/>
                <w:sz w:val="18"/>
                <w:szCs w:val="18"/>
              </w:rPr>
              <w:t>Deferred tax assets</w:t>
            </w:r>
          </w:p>
        </w:tc>
        <w:tc>
          <w:tcPr>
            <w:tcW w:w="403" w:type="pct"/>
            <w:tcBorders>
              <w:top w:val="nil"/>
              <w:left w:val="nil"/>
              <w:bottom w:val="nil"/>
              <w:right w:val="nil"/>
            </w:tcBorders>
            <w:noWrap/>
            <w:vAlign w:val="bottom"/>
          </w:tcPr>
          <w:p w:rsidR="00B301D0" w:rsidRPr="00B87BBF"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B87BBF" w:rsidRDefault="00777A6C" w:rsidP="00B301D0">
            <w:pPr>
              <w:jc w:val="right"/>
              <w:rPr>
                <w:rFonts w:ascii="Arial" w:hAnsi="Arial" w:cs="Arial"/>
                <w:b/>
                <w:bCs/>
                <w:sz w:val="18"/>
                <w:szCs w:val="18"/>
              </w:rPr>
            </w:pPr>
            <w:r w:rsidRPr="00777A6C">
              <w:rPr>
                <w:rFonts w:ascii="Arial" w:hAnsi="Arial" w:cs="Arial"/>
                <w:b/>
                <w:bCs/>
                <w:sz w:val="18"/>
                <w:szCs w:val="18"/>
              </w:rPr>
              <w:t>30</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28</w:t>
            </w: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Derivative</w:t>
            </w:r>
            <w:r>
              <w:rPr>
                <w:rFonts w:ascii="Arial" w:hAnsi="Arial" w:cs="Arial"/>
                <w:sz w:val="18"/>
                <w:szCs w:val="18"/>
              </w:rPr>
              <w:t xml:space="preserve"> assets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E75FAD" w:rsidP="00B301D0">
            <w:pPr>
              <w:jc w:val="right"/>
              <w:rPr>
                <w:rFonts w:ascii="Arial" w:hAnsi="Arial" w:cs="Arial"/>
                <w:b/>
                <w:bCs/>
                <w:sz w:val="18"/>
                <w:szCs w:val="18"/>
              </w:rPr>
            </w:pPr>
            <w:r>
              <w:rPr>
                <w:rFonts w:ascii="Arial" w:hAnsi="Arial" w:cs="Arial"/>
                <w:b/>
                <w:bCs/>
                <w:sz w:val="18"/>
                <w:szCs w:val="18"/>
              </w:rPr>
              <w:t>–</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54</w:t>
            </w:r>
          </w:p>
        </w:tc>
      </w:tr>
      <w:tr w:rsidR="00B301D0" w:rsidRPr="00EF1091" w:rsidTr="00B118AC">
        <w:trPr>
          <w:trHeight w:val="240"/>
        </w:trPr>
        <w:tc>
          <w:tcPr>
            <w:tcW w:w="3204" w:type="pct"/>
            <w:tcBorders>
              <w:top w:val="nil"/>
              <w:left w:val="nil"/>
              <w:bottom w:val="single" w:sz="4" w:space="0" w:color="auto"/>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Other receivables</w:t>
            </w:r>
          </w:p>
        </w:tc>
        <w:tc>
          <w:tcPr>
            <w:tcW w:w="403" w:type="pct"/>
            <w:tcBorders>
              <w:top w:val="nil"/>
              <w:left w:val="nil"/>
              <w:bottom w:val="single" w:sz="4" w:space="0" w:color="auto"/>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E75FAD" w:rsidP="00B301D0">
            <w:pPr>
              <w:jc w:val="right"/>
              <w:rPr>
                <w:rFonts w:ascii="Arial" w:hAnsi="Arial" w:cs="Arial"/>
                <w:b/>
                <w:bCs/>
                <w:sz w:val="18"/>
                <w:szCs w:val="18"/>
              </w:rPr>
            </w:pPr>
            <w:r>
              <w:rPr>
                <w:rFonts w:ascii="Arial" w:hAnsi="Arial" w:cs="Arial"/>
                <w:b/>
                <w:bCs/>
                <w:sz w:val="18"/>
                <w:szCs w:val="18"/>
              </w:rPr>
              <w:t>8</w:t>
            </w:r>
          </w:p>
        </w:tc>
        <w:tc>
          <w:tcPr>
            <w:tcW w:w="773" w:type="pct"/>
            <w:tcBorders>
              <w:top w:val="nil"/>
              <w:left w:val="nil"/>
              <w:bottom w:val="single" w:sz="4" w:space="0" w:color="auto"/>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8</w:t>
            </w:r>
          </w:p>
        </w:tc>
      </w:tr>
      <w:tr w:rsidR="00B301D0" w:rsidRPr="00EF1091" w:rsidTr="00B118AC">
        <w:trPr>
          <w:trHeight w:val="185"/>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single" w:sz="4" w:space="0" w:color="auto"/>
              <w:left w:val="nil"/>
              <w:bottom w:val="nil"/>
              <w:right w:val="nil"/>
            </w:tcBorders>
            <w:shd w:val="clear" w:color="auto" w:fill="FFFFFF"/>
            <w:noWrap/>
            <w:vAlign w:val="bottom"/>
          </w:tcPr>
          <w:p w:rsidR="00B301D0" w:rsidRPr="00922E01" w:rsidRDefault="00777A6C" w:rsidP="00B301D0">
            <w:pPr>
              <w:jc w:val="right"/>
              <w:rPr>
                <w:rFonts w:ascii="Arial" w:hAnsi="Arial" w:cs="Arial"/>
                <w:b/>
                <w:bCs/>
                <w:sz w:val="18"/>
                <w:szCs w:val="18"/>
              </w:rPr>
            </w:pPr>
            <w:r>
              <w:rPr>
                <w:rFonts w:ascii="Arial" w:hAnsi="Arial" w:cs="Arial"/>
                <w:b/>
                <w:bCs/>
                <w:sz w:val="18"/>
                <w:szCs w:val="18"/>
              </w:rPr>
              <w:t>6,825</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6,672</w:t>
            </w: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b/>
                <w:bCs/>
                <w:sz w:val="18"/>
                <w:szCs w:val="18"/>
              </w:rPr>
            </w:pPr>
            <w:r w:rsidRPr="00EF1091">
              <w:rPr>
                <w:rFonts w:ascii="Arial" w:hAnsi="Arial" w:cs="Arial"/>
                <w:b/>
                <w:bCs/>
                <w:sz w:val="18"/>
                <w:szCs w:val="18"/>
              </w:rPr>
              <w:t>Current assets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B301D0" w:rsidP="00B301D0">
            <w:pPr>
              <w:jc w:val="right"/>
              <w:rPr>
                <w:rFonts w:ascii="Arial" w:hAnsi="Arial" w:cs="Arial"/>
                <w:b/>
                <w:bCs/>
                <w:sz w:val="18"/>
                <w:szCs w:val="18"/>
              </w:rPr>
            </w:pP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Inventories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D16857" w:rsidP="00B301D0">
            <w:pPr>
              <w:jc w:val="right"/>
              <w:rPr>
                <w:rFonts w:ascii="Arial" w:hAnsi="Arial" w:cs="Arial"/>
                <w:b/>
                <w:bCs/>
                <w:sz w:val="18"/>
                <w:szCs w:val="18"/>
              </w:rPr>
            </w:pPr>
            <w:r>
              <w:rPr>
                <w:rFonts w:ascii="Arial" w:hAnsi="Arial" w:cs="Arial"/>
                <w:b/>
                <w:bCs/>
                <w:sz w:val="18"/>
                <w:szCs w:val="18"/>
              </w:rPr>
              <w:t>2,701</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2,173</w:t>
            </w: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Trade and other receivables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D16857" w:rsidP="00B301D0">
            <w:pPr>
              <w:jc w:val="right"/>
              <w:rPr>
                <w:rFonts w:ascii="Arial" w:hAnsi="Arial" w:cs="Arial"/>
                <w:b/>
                <w:bCs/>
                <w:sz w:val="18"/>
                <w:szCs w:val="18"/>
              </w:rPr>
            </w:pPr>
            <w:r>
              <w:rPr>
                <w:rFonts w:ascii="Arial" w:hAnsi="Arial" w:cs="Arial"/>
                <w:b/>
                <w:bCs/>
                <w:sz w:val="18"/>
                <w:szCs w:val="18"/>
              </w:rPr>
              <w:t>550</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551</w:t>
            </w: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Derivative</w:t>
            </w:r>
            <w:r>
              <w:rPr>
                <w:rFonts w:ascii="Arial" w:hAnsi="Arial" w:cs="Arial"/>
                <w:sz w:val="18"/>
                <w:szCs w:val="18"/>
              </w:rPr>
              <w:t xml:space="preserve"> assets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E75FAD" w:rsidP="00B301D0">
            <w:pPr>
              <w:jc w:val="right"/>
              <w:rPr>
                <w:rFonts w:ascii="Arial" w:hAnsi="Arial" w:cs="Arial"/>
                <w:b/>
                <w:bCs/>
                <w:sz w:val="18"/>
                <w:szCs w:val="18"/>
              </w:rPr>
            </w:pPr>
            <w:r>
              <w:rPr>
                <w:rFonts w:ascii="Arial" w:hAnsi="Arial" w:cs="Arial"/>
                <w:b/>
                <w:bCs/>
                <w:sz w:val="18"/>
                <w:szCs w:val="18"/>
              </w:rPr>
              <w:t>41</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36</w:t>
            </w:r>
          </w:p>
        </w:tc>
      </w:tr>
      <w:tr w:rsidR="00B301D0" w:rsidRPr="00EF1091" w:rsidTr="00B118AC">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Current tax assets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777A6C" w:rsidP="00B301D0">
            <w:pPr>
              <w:jc w:val="right"/>
              <w:rPr>
                <w:rFonts w:ascii="Arial" w:hAnsi="Arial" w:cs="Arial"/>
                <w:b/>
                <w:bCs/>
                <w:sz w:val="18"/>
                <w:szCs w:val="18"/>
              </w:rPr>
            </w:pPr>
            <w:r>
              <w:rPr>
                <w:rFonts w:ascii="Arial" w:hAnsi="Arial" w:cs="Arial"/>
                <w:b/>
                <w:bCs/>
                <w:sz w:val="18"/>
                <w:szCs w:val="18"/>
              </w:rPr>
              <w:t>–</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6</w:t>
            </w:r>
          </w:p>
        </w:tc>
      </w:tr>
      <w:tr w:rsidR="00B301D0" w:rsidRPr="00EF1091" w:rsidTr="0081484D">
        <w:trPr>
          <w:trHeight w:val="240"/>
        </w:trPr>
        <w:tc>
          <w:tcPr>
            <w:tcW w:w="3204" w:type="pct"/>
            <w:tcBorders>
              <w:top w:val="nil"/>
              <w:left w:val="nil"/>
              <w:bottom w:val="single" w:sz="4" w:space="0" w:color="auto"/>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Cash and cash equivalents</w:t>
            </w:r>
          </w:p>
        </w:tc>
        <w:tc>
          <w:tcPr>
            <w:tcW w:w="403" w:type="pct"/>
            <w:tcBorders>
              <w:top w:val="nil"/>
              <w:left w:val="nil"/>
              <w:bottom w:val="single" w:sz="4" w:space="0" w:color="auto"/>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single" w:sz="4" w:space="0" w:color="auto"/>
              <w:right w:val="nil"/>
            </w:tcBorders>
            <w:shd w:val="clear" w:color="auto" w:fill="FFFFFF"/>
            <w:noWrap/>
            <w:vAlign w:val="bottom"/>
          </w:tcPr>
          <w:p w:rsidR="00B301D0" w:rsidRPr="00922E01" w:rsidRDefault="00E75FAD" w:rsidP="00B301D0">
            <w:pPr>
              <w:jc w:val="right"/>
              <w:rPr>
                <w:rFonts w:ascii="Arial" w:hAnsi="Arial" w:cs="Arial"/>
                <w:b/>
                <w:bCs/>
                <w:sz w:val="18"/>
                <w:szCs w:val="18"/>
              </w:rPr>
            </w:pPr>
            <w:r>
              <w:rPr>
                <w:rFonts w:ascii="Arial" w:hAnsi="Arial" w:cs="Arial"/>
                <w:b/>
                <w:bCs/>
                <w:sz w:val="18"/>
                <w:szCs w:val="18"/>
              </w:rPr>
              <w:t>230</w:t>
            </w:r>
          </w:p>
        </w:tc>
        <w:tc>
          <w:tcPr>
            <w:tcW w:w="773" w:type="pct"/>
            <w:tcBorders>
              <w:top w:val="nil"/>
              <w:left w:val="nil"/>
              <w:bottom w:val="single" w:sz="4" w:space="0" w:color="auto"/>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795</w:t>
            </w:r>
          </w:p>
        </w:tc>
      </w:tr>
      <w:tr w:rsidR="00B301D0" w:rsidRPr="00EF1091" w:rsidTr="0081484D">
        <w:trPr>
          <w:trHeight w:val="240"/>
        </w:trPr>
        <w:tc>
          <w:tcPr>
            <w:tcW w:w="3204" w:type="pct"/>
            <w:tcBorders>
              <w:top w:val="single" w:sz="4" w:space="0" w:color="auto"/>
              <w:left w:val="nil"/>
              <w:bottom w:val="single" w:sz="4" w:space="0" w:color="auto"/>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 </w:t>
            </w:r>
          </w:p>
        </w:tc>
        <w:tc>
          <w:tcPr>
            <w:tcW w:w="403" w:type="pct"/>
            <w:tcBorders>
              <w:top w:val="single" w:sz="4" w:space="0" w:color="auto"/>
              <w:left w:val="nil"/>
              <w:bottom w:val="single" w:sz="4" w:space="0" w:color="auto"/>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single" w:sz="4" w:space="0" w:color="auto"/>
              <w:left w:val="nil"/>
              <w:bottom w:val="single" w:sz="4" w:space="0" w:color="auto"/>
              <w:right w:val="nil"/>
            </w:tcBorders>
            <w:shd w:val="clear" w:color="auto" w:fill="FFFFFF"/>
            <w:noWrap/>
            <w:vAlign w:val="bottom"/>
          </w:tcPr>
          <w:p w:rsidR="00B301D0" w:rsidRPr="00922E01" w:rsidRDefault="003C37B4" w:rsidP="00B301D0">
            <w:pPr>
              <w:jc w:val="right"/>
              <w:rPr>
                <w:rFonts w:ascii="Arial" w:hAnsi="Arial" w:cs="Arial"/>
                <w:b/>
                <w:bCs/>
                <w:sz w:val="18"/>
                <w:szCs w:val="18"/>
              </w:rPr>
            </w:pPr>
            <w:r>
              <w:rPr>
                <w:rFonts w:ascii="Arial" w:hAnsi="Arial" w:cs="Arial"/>
                <w:b/>
                <w:bCs/>
                <w:sz w:val="18"/>
                <w:szCs w:val="18"/>
              </w:rPr>
              <w:t>3,</w:t>
            </w:r>
            <w:r w:rsidR="00777A6C">
              <w:rPr>
                <w:rFonts w:ascii="Arial" w:hAnsi="Arial" w:cs="Arial"/>
                <w:b/>
                <w:bCs/>
                <w:sz w:val="18"/>
                <w:szCs w:val="18"/>
              </w:rPr>
              <w:t>522</w:t>
            </w:r>
          </w:p>
        </w:tc>
        <w:tc>
          <w:tcPr>
            <w:tcW w:w="773" w:type="pct"/>
            <w:tcBorders>
              <w:top w:val="single" w:sz="4" w:space="0" w:color="auto"/>
              <w:left w:val="nil"/>
              <w:bottom w:val="single" w:sz="4" w:space="0" w:color="auto"/>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3,561</w:t>
            </w:r>
          </w:p>
        </w:tc>
      </w:tr>
      <w:tr w:rsidR="00B301D0" w:rsidRPr="00EF1091" w:rsidTr="00B118AC">
        <w:trPr>
          <w:trHeight w:val="240"/>
        </w:trPr>
        <w:tc>
          <w:tcPr>
            <w:tcW w:w="3204" w:type="pct"/>
            <w:tcBorders>
              <w:top w:val="single" w:sz="4" w:space="0" w:color="auto"/>
              <w:left w:val="nil"/>
              <w:bottom w:val="nil"/>
              <w:right w:val="nil"/>
            </w:tcBorders>
            <w:noWrap/>
            <w:vAlign w:val="bottom"/>
          </w:tcPr>
          <w:p w:rsidR="00B301D0" w:rsidRPr="00EF1091" w:rsidRDefault="00B301D0" w:rsidP="00B301D0">
            <w:pPr>
              <w:rPr>
                <w:rFonts w:ascii="Arial" w:hAnsi="Arial" w:cs="Arial"/>
                <w:b/>
                <w:bCs/>
                <w:sz w:val="18"/>
                <w:szCs w:val="18"/>
              </w:rPr>
            </w:pPr>
            <w:r w:rsidRPr="00EF1091">
              <w:rPr>
                <w:rFonts w:ascii="Arial" w:hAnsi="Arial" w:cs="Arial"/>
                <w:b/>
                <w:bCs/>
                <w:sz w:val="18"/>
                <w:szCs w:val="18"/>
              </w:rPr>
              <w:t>Total assets</w:t>
            </w:r>
          </w:p>
        </w:tc>
        <w:tc>
          <w:tcPr>
            <w:tcW w:w="403" w:type="pct"/>
            <w:tcBorders>
              <w:top w:val="single" w:sz="4" w:space="0" w:color="auto"/>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rsidR="00B301D0" w:rsidRPr="00922E01" w:rsidRDefault="0081484D" w:rsidP="00B301D0">
            <w:pPr>
              <w:jc w:val="right"/>
              <w:rPr>
                <w:rFonts w:ascii="Arial" w:hAnsi="Arial" w:cs="Arial"/>
                <w:b/>
                <w:bCs/>
                <w:sz w:val="18"/>
                <w:szCs w:val="18"/>
              </w:rPr>
            </w:pPr>
            <w:r>
              <w:rPr>
                <w:rFonts w:ascii="Arial" w:hAnsi="Arial" w:cs="Arial"/>
                <w:b/>
                <w:bCs/>
                <w:sz w:val="18"/>
                <w:szCs w:val="18"/>
              </w:rPr>
              <w:t>10,</w:t>
            </w:r>
            <w:r w:rsidR="00764841">
              <w:rPr>
                <w:rFonts w:ascii="Arial" w:hAnsi="Arial" w:cs="Arial"/>
                <w:b/>
                <w:bCs/>
                <w:sz w:val="18"/>
                <w:szCs w:val="18"/>
              </w:rPr>
              <w:t>347</w:t>
            </w:r>
          </w:p>
        </w:tc>
        <w:tc>
          <w:tcPr>
            <w:tcW w:w="773" w:type="pct"/>
            <w:tcBorders>
              <w:top w:val="single" w:sz="4" w:space="0" w:color="auto"/>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10,233</w:t>
            </w:r>
          </w:p>
        </w:tc>
      </w:tr>
      <w:tr w:rsidR="00B301D0" w:rsidRPr="00EF1091" w:rsidTr="00150F22">
        <w:trPr>
          <w:trHeight w:val="8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B301D0" w:rsidP="00B301D0">
            <w:pPr>
              <w:jc w:val="right"/>
              <w:rPr>
                <w:rFonts w:ascii="Arial" w:hAnsi="Arial" w:cs="Arial"/>
                <w:b/>
                <w:bCs/>
                <w:sz w:val="18"/>
                <w:szCs w:val="18"/>
              </w:rPr>
            </w:pP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p>
        </w:tc>
      </w:tr>
      <w:tr w:rsidR="00B301D0" w:rsidRPr="00EF1091" w:rsidTr="00150F22">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b/>
                <w:bCs/>
                <w:sz w:val="18"/>
                <w:szCs w:val="18"/>
              </w:rPr>
            </w:pPr>
            <w:r w:rsidRPr="00EF1091">
              <w:rPr>
                <w:rFonts w:ascii="Arial" w:hAnsi="Arial" w:cs="Arial"/>
                <w:b/>
                <w:bCs/>
                <w:sz w:val="18"/>
                <w:szCs w:val="18"/>
              </w:rPr>
              <w:t>Current liabilities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B301D0" w:rsidP="00B301D0">
            <w:pPr>
              <w:jc w:val="right"/>
              <w:rPr>
                <w:rFonts w:ascii="Arial" w:hAnsi="Arial" w:cs="Arial"/>
                <w:b/>
                <w:bCs/>
                <w:sz w:val="18"/>
                <w:szCs w:val="18"/>
              </w:rPr>
            </w:pP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p>
        </w:tc>
      </w:tr>
      <w:tr w:rsidR="00B301D0" w:rsidRPr="00EF1091" w:rsidTr="00150F22">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Trade and other payables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4862FD" w:rsidP="00B301D0">
            <w:pPr>
              <w:jc w:val="right"/>
              <w:rPr>
                <w:rFonts w:ascii="Arial" w:hAnsi="Arial" w:cs="Arial"/>
                <w:b/>
                <w:bCs/>
                <w:sz w:val="18"/>
                <w:szCs w:val="18"/>
              </w:rPr>
            </w:pPr>
            <w:r>
              <w:rPr>
                <w:rFonts w:ascii="Arial" w:hAnsi="Arial" w:cs="Arial"/>
                <w:b/>
                <w:bCs/>
                <w:sz w:val="18"/>
                <w:szCs w:val="18"/>
              </w:rPr>
              <w:t>(2,666)</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(2,495)</w:t>
            </w:r>
          </w:p>
        </w:tc>
      </w:tr>
      <w:tr w:rsidR="00B301D0" w:rsidRPr="00EF1091" w:rsidTr="00150F22">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Borrowings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4862FD" w:rsidP="00B301D0">
            <w:pPr>
              <w:jc w:val="right"/>
              <w:rPr>
                <w:rFonts w:ascii="Arial" w:hAnsi="Arial" w:cs="Arial"/>
                <w:b/>
                <w:bCs/>
                <w:sz w:val="18"/>
                <w:szCs w:val="18"/>
              </w:rPr>
            </w:pPr>
            <w:r>
              <w:rPr>
                <w:rFonts w:ascii="Arial" w:hAnsi="Arial" w:cs="Arial"/>
                <w:b/>
                <w:bCs/>
                <w:sz w:val="18"/>
                <w:szCs w:val="18"/>
              </w:rPr>
              <w:t>(140)</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(14)</w:t>
            </w:r>
          </w:p>
        </w:tc>
      </w:tr>
      <w:tr w:rsidR="00B301D0" w:rsidRPr="00EF1091" w:rsidTr="00150F22">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Derivative</w:t>
            </w:r>
            <w:r>
              <w:rPr>
                <w:rFonts w:ascii="Arial" w:hAnsi="Arial" w:cs="Arial"/>
                <w:sz w:val="18"/>
                <w:szCs w:val="18"/>
              </w:rPr>
              <w:t xml:space="preserve"> liabilities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8D243F" w:rsidP="00B301D0">
            <w:pPr>
              <w:jc w:val="right"/>
              <w:rPr>
                <w:rFonts w:ascii="Arial" w:hAnsi="Arial" w:cs="Arial"/>
                <w:b/>
                <w:bCs/>
                <w:sz w:val="18"/>
                <w:szCs w:val="18"/>
              </w:rPr>
            </w:pPr>
            <w:r>
              <w:rPr>
                <w:rFonts w:ascii="Arial" w:hAnsi="Arial" w:cs="Arial"/>
                <w:b/>
                <w:bCs/>
                <w:sz w:val="18"/>
                <w:szCs w:val="18"/>
              </w:rPr>
              <w:t>(79)</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(26)</w:t>
            </w:r>
          </w:p>
        </w:tc>
      </w:tr>
      <w:tr w:rsidR="00B301D0" w:rsidRPr="00EF1091" w:rsidTr="00877634">
        <w:trPr>
          <w:trHeight w:val="240"/>
        </w:trPr>
        <w:tc>
          <w:tcPr>
            <w:tcW w:w="3204" w:type="pct"/>
            <w:tcBorders>
              <w:top w:val="nil"/>
              <w:left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Current tax liabilities</w:t>
            </w:r>
          </w:p>
        </w:tc>
        <w:tc>
          <w:tcPr>
            <w:tcW w:w="403" w:type="pct"/>
            <w:tcBorders>
              <w:top w:val="nil"/>
              <w:left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right w:val="nil"/>
            </w:tcBorders>
            <w:noWrap/>
            <w:vAlign w:val="bottom"/>
          </w:tcPr>
          <w:p w:rsidR="00B301D0" w:rsidRPr="00150F22" w:rsidRDefault="008D243F" w:rsidP="00B301D0">
            <w:pPr>
              <w:jc w:val="right"/>
              <w:rPr>
                <w:rFonts w:ascii="Arial" w:hAnsi="Arial" w:cs="Arial"/>
                <w:b/>
                <w:bCs/>
                <w:sz w:val="18"/>
                <w:szCs w:val="18"/>
              </w:rPr>
            </w:pPr>
            <w:r>
              <w:rPr>
                <w:rFonts w:ascii="Arial" w:hAnsi="Arial" w:cs="Arial"/>
                <w:b/>
                <w:bCs/>
                <w:sz w:val="18"/>
                <w:szCs w:val="18"/>
              </w:rPr>
              <w:t>(</w:t>
            </w:r>
            <w:r w:rsidR="00FF4E59">
              <w:rPr>
                <w:rFonts w:ascii="Arial" w:hAnsi="Arial" w:cs="Arial"/>
                <w:b/>
                <w:bCs/>
                <w:sz w:val="18"/>
                <w:szCs w:val="18"/>
              </w:rPr>
              <w:t>140</w:t>
            </w:r>
            <w:r>
              <w:rPr>
                <w:rFonts w:ascii="Arial" w:hAnsi="Arial" w:cs="Arial"/>
                <w:b/>
                <w:bCs/>
                <w:sz w:val="18"/>
                <w:szCs w:val="18"/>
              </w:rPr>
              <w:t>)</w:t>
            </w:r>
          </w:p>
        </w:tc>
        <w:tc>
          <w:tcPr>
            <w:tcW w:w="773" w:type="pct"/>
            <w:tcBorders>
              <w:top w:val="nil"/>
              <w:left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(141)</w:t>
            </w:r>
          </w:p>
        </w:tc>
      </w:tr>
      <w:tr w:rsidR="00B301D0" w:rsidRPr="00EF1091" w:rsidTr="00877634">
        <w:trPr>
          <w:trHeight w:val="240"/>
        </w:trPr>
        <w:tc>
          <w:tcPr>
            <w:tcW w:w="3204" w:type="pct"/>
            <w:tcBorders>
              <w:top w:val="nil"/>
              <w:left w:val="nil"/>
              <w:right w:val="nil"/>
            </w:tcBorders>
            <w:noWrap/>
            <w:vAlign w:val="bottom"/>
          </w:tcPr>
          <w:p w:rsidR="00B301D0" w:rsidRPr="00EF1091" w:rsidRDefault="00B301D0" w:rsidP="00B301D0">
            <w:pPr>
              <w:rPr>
                <w:rFonts w:ascii="Arial" w:hAnsi="Arial" w:cs="Arial"/>
                <w:sz w:val="18"/>
                <w:szCs w:val="18"/>
              </w:rPr>
            </w:pPr>
            <w:r>
              <w:rPr>
                <w:rFonts w:ascii="Arial" w:hAnsi="Arial" w:cs="Arial"/>
                <w:sz w:val="18"/>
                <w:szCs w:val="18"/>
              </w:rPr>
              <w:t>Provisions</w:t>
            </w:r>
          </w:p>
        </w:tc>
        <w:tc>
          <w:tcPr>
            <w:tcW w:w="403" w:type="pct"/>
            <w:tcBorders>
              <w:top w:val="nil"/>
              <w:left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right w:val="nil"/>
            </w:tcBorders>
            <w:noWrap/>
            <w:vAlign w:val="bottom"/>
          </w:tcPr>
          <w:p w:rsidR="00B301D0" w:rsidRPr="00150F22" w:rsidRDefault="008D243F" w:rsidP="00B301D0">
            <w:pPr>
              <w:jc w:val="right"/>
              <w:rPr>
                <w:rFonts w:ascii="Arial" w:hAnsi="Arial" w:cs="Arial"/>
                <w:b/>
                <w:sz w:val="18"/>
                <w:szCs w:val="18"/>
              </w:rPr>
            </w:pPr>
            <w:r>
              <w:rPr>
                <w:rFonts w:ascii="Arial" w:hAnsi="Arial" w:cs="Arial"/>
                <w:b/>
                <w:sz w:val="18"/>
                <w:szCs w:val="18"/>
              </w:rPr>
              <w:t>(2</w:t>
            </w:r>
            <w:r w:rsidR="00DF6822">
              <w:rPr>
                <w:rFonts w:ascii="Arial" w:hAnsi="Arial" w:cs="Arial"/>
                <w:b/>
                <w:sz w:val="18"/>
                <w:szCs w:val="18"/>
              </w:rPr>
              <w:t>5</w:t>
            </w:r>
            <w:r>
              <w:rPr>
                <w:rFonts w:ascii="Arial" w:hAnsi="Arial" w:cs="Arial"/>
                <w:b/>
                <w:sz w:val="18"/>
                <w:szCs w:val="18"/>
              </w:rPr>
              <w:t>)</w:t>
            </w:r>
          </w:p>
        </w:tc>
        <w:tc>
          <w:tcPr>
            <w:tcW w:w="773" w:type="pct"/>
            <w:tcBorders>
              <w:top w:val="nil"/>
              <w:left w:val="nil"/>
              <w:right w:val="nil"/>
            </w:tcBorders>
            <w:vAlign w:val="bottom"/>
          </w:tcPr>
          <w:p w:rsidR="00B301D0" w:rsidRPr="00B301D0" w:rsidRDefault="00B301D0" w:rsidP="00B301D0">
            <w:pPr>
              <w:jc w:val="right"/>
              <w:rPr>
                <w:rFonts w:ascii="Arial" w:hAnsi="Arial" w:cs="Arial"/>
                <w:sz w:val="18"/>
                <w:szCs w:val="18"/>
              </w:rPr>
            </w:pPr>
            <w:r w:rsidRPr="00B301D0">
              <w:rPr>
                <w:rFonts w:ascii="Arial" w:hAnsi="Arial" w:cs="Arial"/>
                <w:sz w:val="18"/>
                <w:szCs w:val="18"/>
              </w:rPr>
              <w:t>(63)</w:t>
            </w:r>
          </w:p>
        </w:tc>
      </w:tr>
      <w:tr w:rsidR="00B301D0" w:rsidRPr="00EF1091" w:rsidTr="00150F22">
        <w:trPr>
          <w:trHeight w:val="240"/>
        </w:trPr>
        <w:tc>
          <w:tcPr>
            <w:tcW w:w="3204" w:type="pct"/>
            <w:tcBorders>
              <w:top w:val="single" w:sz="4" w:space="0" w:color="auto"/>
              <w:left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 </w:t>
            </w:r>
          </w:p>
        </w:tc>
        <w:tc>
          <w:tcPr>
            <w:tcW w:w="403" w:type="pct"/>
            <w:tcBorders>
              <w:top w:val="single" w:sz="4" w:space="0" w:color="auto"/>
              <w:left w:val="nil"/>
              <w:right w:val="nil"/>
            </w:tcBorders>
            <w:noWrap/>
            <w:vAlign w:val="bottom"/>
          </w:tcPr>
          <w:p w:rsidR="00B301D0" w:rsidRPr="00EF1091" w:rsidRDefault="00B301D0" w:rsidP="00B301D0">
            <w:pPr>
              <w:jc w:val="center"/>
              <w:rPr>
                <w:rFonts w:ascii="Arial" w:hAnsi="Arial" w:cs="Arial"/>
                <w:sz w:val="18"/>
                <w:szCs w:val="18"/>
              </w:rPr>
            </w:pPr>
            <w:r w:rsidRPr="00EF1091">
              <w:rPr>
                <w:rFonts w:ascii="Arial" w:hAnsi="Arial" w:cs="Arial"/>
                <w:sz w:val="18"/>
                <w:szCs w:val="18"/>
              </w:rPr>
              <w:t> </w:t>
            </w:r>
          </w:p>
        </w:tc>
        <w:tc>
          <w:tcPr>
            <w:tcW w:w="620" w:type="pct"/>
            <w:tcBorders>
              <w:top w:val="single" w:sz="4" w:space="0" w:color="auto"/>
              <w:left w:val="nil"/>
              <w:right w:val="nil"/>
            </w:tcBorders>
            <w:noWrap/>
            <w:vAlign w:val="bottom"/>
          </w:tcPr>
          <w:p w:rsidR="00B301D0" w:rsidRPr="00150F22" w:rsidRDefault="008D243F" w:rsidP="00B301D0">
            <w:pPr>
              <w:jc w:val="right"/>
              <w:rPr>
                <w:rFonts w:ascii="Arial" w:hAnsi="Arial" w:cs="Arial"/>
                <w:b/>
                <w:bCs/>
                <w:sz w:val="18"/>
                <w:szCs w:val="18"/>
              </w:rPr>
            </w:pPr>
            <w:r>
              <w:rPr>
                <w:rFonts w:ascii="Arial" w:hAnsi="Arial" w:cs="Arial"/>
                <w:b/>
                <w:bCs/>
                <w:sz w:val="18"/>
                <w:szCs w:val="18"/>
              </w:rPr>
              <w:t>(3,</w:t>
            </w:r>
            <w:r w:rsidR="00FF4E59">
              <w:rPr>
                <w:rFonts w:ascii="Arial" w:hAnsi="Arial" w:cs="Arial"/>
                <w:b/>
                <w:bCs/>
                <w:sz w:val="18"/>
                <w:szCs w:val="18"/>
              </w:rPr>
              <w:t>0</w:t>
            </w:r>
            <w:r w:rsidR="00DF6822">
              <w:rPr>
                <w:rFonts w:ascii="Arial" w:hAnsi="Arial" w:cs="Arial"/>
                <w:b/>
                <w:bCs/>
                <w:sz w:val="18"/>
                <w:szCs w:val="18"/>
              </w:rPr>
              <w:t>50</w:t>
            </w:r>
            <w:r>
              <w:rPr>
                <w:rFonts w:ascii="Arial" w:hAnsi="Arial" w:cs="Arial"/>
                <w:b/>
                <w:bCs/>
                <w:sz w:val="18"/>
                <w:szCs w:val="18"/>
              </w:rPr>
              <w:t>)</w:t>
            </w:r>
          </w:p>
        </w:tc>
        <w:tc>
          <w:tcPr>
            <w:tcW w:w="773" w:type="pct"/>
            <w:tcBorders>
              <w:top w:val="single" w:sz="4" w:space="0" w:color="auto"/>
              <w:left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(2,739)</w:t>
            </w:r>
          </w:p>
        </w:tc>
      </w:tr>
      <w:tr w:rsidR="00B301D0" w:rsidRPr="00EF1091" w:rsidTr="00150F22">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b/>
                <w:bCs/>
                <w:sz w:val="18"/>
                <w:szCs w:val="18"/>
              </w:rPr>
            </w:pPr>
            <w:r w:rsidRPr="00EF1091">
              <w:rPr>
                <w:rFonts w:ascii="Arial" w:hAnsi="Arial" w:cs="Arial"/>
                <w:b/>
                <w:bCs/>
                <w:sz w:val="18"/>
                <w:szCs w:val="18"/>
              </w:rPr>
              <w:t>Non-current liabilities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B301D0" w:rsidP="00B301D0">
            <w:pPr>
              <w:jc w:val="right"/>
              <w:rPr>
                <w:rFonts w:ascii="Arial" w:hAnsi="Arial" w:cs="Arial"/>
                <w:b/>
                <w:bCs/>
                <w:sz w:val="18"/>
                <w:szCs w:val="18"/>
              </w:rPr>
            </w:pP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p>
        </w:tc>
      </w:tr>
      <w:tr w:rsidR="00B301D0" w:rsidRPr="00EF1091" w:rsidTr="00150F22">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Other payables</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8D243F" w:rsidP="00B301D0">
            <w:pPr>
              <w:jc w:val="right"/>
              <w:rPr>
                <w:rFonts w:ascii="Arial" w:hAnsi="Arial" w:cs="Arial"/>
                <w:b/>
                <w:bCs/>
                <w:sz w:val="18"/>
                <w:szCs w:val="18"/>
              </w:rPr>
            </w:pPr>
            <w:r>
              <w:rPr>
                <w:rFonts w:ascii="Arial" w:hAnsi="Arial" w:cs="Arial"/>
                <w:b/>
                <w:bCs/>
                <w:sz w:val="18"/>
                <w:szCs w:val="18"/>
              </w:rPr>
              <w:t>(61)</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(50)</w:t>
            </w:r>
          </w:p>
        </w:tc>
      </w:tr>
      <w:tr w:rsidR="00B301D0" w:rsidRPr="00EF1091" w:rsidTr="00150F22">
        <w:trPr>
          <w:trHeight w:val="240"/>
        </w:trPr>
        <w:tc>
          <w:tcPr>
            <w:tcW w:w="3204" w:type="pct"/>
            <w:tcBorders>
              <w:top w:val="nil"/>
              <w:left w:val="nil"/>
              <w:bottom w:val="nil"/>
              <w:right w:val="nil"/>
            </w:tcBorders>
            <w:noWrap/>
            <w:vAlign w:val="bottom"/>
          </w:tcPr>
          <w:p w:rsidR="00B301D0" w:rsidRPr="006A52B7" w:rsidRDefault="00B301D0" w:rsidP="00B301D0">
            <w:pPr>
              <w:rPr>
                <w:rFonts w:ascii="Arial" w:hAnsi="Arial" w:cs="Arial"/>
                <w:sz w:val="18"/>
                <w:szCs w:val="18"/>
              </w:rPr>
            </w:pPr>
            <w:r w:rsidRPr="006A52B7">
              <w:rPr>
                <w:rFonts w:ascii="Arial" w:hAnsi="Arial" w:cs="Arial"/>
                <w:sz w:val="18"/>
                <w:szCs w:val="18"/>
              </w:rPr>
              <w:t>Borrowings</w:t>
            </w:r>
          </w:p>
        </w:tc>
        <w:tc>
          <w:tcPr>
            <w:tcW w:w="403" w:type="pct"/>
            <w:tcBorders>
              <w:top w:val="nil"/>
              <w:left w:val="nil"/>
              <w:bottom w:val="nil"/>
              <w:right w:val="nil"/>
            </w:tcBorders>
            <w:noWrap/>
            <w:vAlign w:val="bottom"/>
          </w:tcPr>
          <w:p w:rsidR="00B301D0" w:rsidRPr="006A52B7"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FF4E59" w:rsidRDefault="008D243F" w:rsidP="00B301D0">
            <w:pPr>
              <w:jc w:val="right"/>
              <w:rPr>
                <w:rFonts w:ascii="Arial" w:hAnsi="Arial" w:cs="Arial"/>
                <w:b/>
                <w:bCs/>
                <w:sz w:val="18"/>
                <w:szCs w:val="18"/>
              </w:rPr>
            </w:pPr>
            <w:r w:rsidRPr="00FF4E59">
              <w:rPr>
                <w:rFonts w:ascii="Arial" w:hAnsi="Arial" w:cs="Arial"/>
                <w:b/>
                <w:bCs/>
                <w:sz w:val="18"/>
                <w:szCs w:val="18"/>
              </w:rPr>
              <w:t>(36)</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(184)</w:t>
            </w:r>
          </w:p>
        </w:tc>
      </w:tr>
      <w:tr w:rsidR="00B301D0" w:rsidRPr="00EF1091" w:rsidTr="00150F22">
        <w:trPr>
          <w:trHeight w:val="240"/>
        </w:trPr>
        <w:tc>
          <w:tcPr>
            <w:tcW w:w="3204" w:type="pct"/>
            <w:tcBorders>
              <w:top w:val="nil"/>
              <w:left w:val="nil"/>
              <w:bottom w:val="nil"/>
              <w:right w:val="nil"/>
            </w:tcBorders>
            <w:noWrap/>
            <w:vAlign w:val="bottom"/>
          </w:tcPr>
          <w:p w:rsidR="00B301D0" w:rsidRPr="00B87BBF" w:rsidRDefault="00B301D0" w:rsidP="00B301D0">
            <w:pPr>
              <w:rPr>
                <w:rFonts w:ascii="Arial" w:hAnsi="Arial" w:cs="Arial"/>
                <w:sz w:val="18"/>
                <w:szCs w:val="18"/>
              </w:rPr>
            </w:pPr>
            <w:r w:rsidRPr="00B87BBF">
              <w:rPr>
                <w:rFonts w:ascii="Arial" w:hAnsi="Arial" w:cs="Arial"/>
                <w:sz w:val="18"/>
                <w:szCs w:val="18"/>
              </w:rPr>
              <w:t>Deferred tax liabilities</w:t>
            </w:r>
          </w:p>
        </w:tc>
        <w:tc>
          <w:tcPr>
            <w:tcW w:w="403" w:type="pct"/>
            <w:tcBorders>
              <w:top w:val="nil"/>
              <w:left w:val="nil"/>
              <w:bottom w:val="nil"/>
              <w:right w:val="nil"/>
            </w:tcBorders>
            <w:noWrap/>
            <w:vAlign w:val="bottom"/>
          </w:tcPr>
          <w:p w:rsidR="00B301D0" w:rsidRPr="00B87BBF"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FF4E59" w:rsidRDefault="008D243F" w:rsidP="00B301D0">
            <w:pPr>
              <w:jc w:val="right"/>
              <w:rPr>
                <w:rFonts w:ascii="Arial" w:hAnsi="Arial" w:cs="Arial"/>
                <w:b/>
                <w:bCs/>
                <w:sz w:val="18"/>
                <w:szCs w:val="18"/>
              </w:rPr>
            </w:pPr>
            <w:r w:rsidRPr="00FF4E59">
              <w:rPr>
                <w:rFonts w:ascii="Arial" w:hAnsi="Arial" w:cs="Arial"/>
                <w:b/>
                <w:bCs/>
                <w:sz w:val="18"/>
                <w:szCs w:val="18"/>
              </w:rPr>
              <w:t>(</w:t>
            </w:r>
            <w:r w:rsidR="00FF4E59" w:rsidRPr="00FF4E59">
              <w:rPr>
                <w:rFonts w:ascii="Arial" w:hAnsi="Arial" w:cs="Arial"/>
                <w:b/>
                <w:bCs/>
                <w:sz w:val="18"/>
                <w:szCs w:val="18"/>
              </w:rPr>
              <w:t>264</w:t>
            </w:r>
            <w:r w:rsidRPr="00FF4E59">
              <w:rPr>
                <w:rFonts w:ascii="Arial" w:hAnsi="Arial" w:cs="Arial"/>
                <w:b/>
                <w:bCs/>
                <w:sz w:val="18"/>
                <w:szCs w:val="18"/>
              </w:rPr>
              <w:t>)</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(282)</w:t>
            </w:r>
          </w:p>
        </w:tc>
      </w:tr>
      <w:tr w:rsidR="00B301D0" w:rsidRPr="00EF1091" w:rsidTr="00150F22">
        <w:trPr>
          <w:trHeight w:val="240"/>
        </w:trPr>
        <w:tc>
          <w:tcPr>
            <w:tcW w:w="3204" w:type="pct"/>
            <w:tcBorders>
              <w:top w:val="nil"/>
              <w:left w:val="nil"/>
              <w:bottom w:val="nil"/>
              <w:right w:val="nil"/>
            </w:tcBorders>
            <w:noWrap/>
            <w:vAlign w:val="bottom"/>
          </w:tcPr>
          <w:p w:rsidR="00B301D0" w:rsidRPr="006A52B7" w:rsidRDefault="00B301D0" w:rsidP="00B301D0">
            <w:pPr>
              <w:rPr>
                <w:rFonts w:ascii="Arial" w:hAnsi="Arial" w:cs="Arial"/>
                <w:sz w:val="18"/>
                <w:szCs w:val="18"/>
              </w:rPr>
            </w:pPr>
            <w:r w:rsidRPr="006A52B7">
              <w:rPr>
                <w:rFonts w:ascii="Arial" w:hAnsi="Arial" w:cs="Arial"/>
                <w:sz w:val="18"/>
                <w:szCs w:val="18"/>
              </w:rPr>
              <w:t>Provisions</w:t>
            </w:r>
          </w:p>
        </w:tc>
        <w:tc>
          <w:tcPr>
            <w:tcW w:w="403" w:type="pct"/>
            <w:tcBorders>
              <w:top w:val="nil"/>
              <w:left w:val="nil"/>
              <w:bottom w:val="nil"/>
              <w:right w:val="nil"/>
            </w:tcBorders>
            <w:noWrap/>
            <w:vAlign w:val="bottom"/>
          </w:tcPr>
          <w:p w:rsidR="00B301D0" w:rsidRPr="006A52B7"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FF4E59" w:rsidRDefault="008D243F" w:rsidP="00B301D0">
            <w:pPr>
              <w:jc w:val="right"/>
              <w:rPr>
                <w:rFonts w:ascii="Arial" w:hAnsi="Arial" w:cs="Arial"/>
                <w:b/>
                <w:bCs/>
                <w:sz w:val="18"/>
                <w:szCs w:val="18"/>
              </w:rPr>
            </w:pPr>
            <w:r w:rsidRPr="00FF4E59">
              <w:rPr>
                <w:rFonts w:ascii="Arial" w:hAnsi="Arial" w:cs="Arial"/>
                <w:b/>
                <w:bCs/>
                <w:sz w:val="18"/>
                <w:szCs w:val="18"/>
              </w:rPr>
              <w:t>(7</w:t>
            </w:r>
            <w:r w:rsidR="00DF6822">
              <w:rPr>
                <w:rFonts w:ascii="Arial" w:hAnsi="Arial" w:cs="Arial"/>
                <w:b/>
                <w:bCs/>
                <w:sz w:val="18"/>
                <w:szCs w:val="18"/>
              </w:rPr>
              <w:t>3</w:t>
            </w:r>
            <w:r w:rsidRPr="00FF4E59">
              <w:rPr>
                <w:rFonts w:ascii="Arial" w:hAnsi="Arial" w:cs="Arial"/>
                <w:b/>
                <w:bCs/>
                <w:sz w:val="18"/>
                <w:szCs w:val="18"/>
              </w:rPr>
              <w:t>)</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(99)</w:t>
            </w:r>
          </w:p>
        </w:tc>
      </w:tr>
      <w:tr w:rsidR="00B301D0" w:rsidRPr="00EF1091" w:rsidTr="00150F22">
        <w:trPr>
          <w:trHeight w:val="240"/>
        </w:trPr>
        <w:tc>
          <w:tcPr>
            <w:tcW w:w="3204" w:type="pct"/>
            <w:tcBorders>
              <w:top w:val="nil"/>
              <w:left w:val="nil"/>
              <w:bottom w:val="single" w:sz="4" w:space="0" w:color="auto"/>
              <w:right w:val="nil"/>
            </w:tcBorders>
            <w:noWrap/>
            <w:vAlign w:val="bottom"/>
          </w:tcPr>
          <w:p w:rsidR="00B301D0" w:rsidRPr="006A52B7" w:rsidRDefault="00B301D0" w:rsidP="00B301D0">
            <w:pPr>
              <w:rPr>
                <w:rFonts w:ascii="Arial" w:hAnsi="Arial" w:cs="Arial"/>
                <w:sz w:val="18"/>
                <w:szCs w:val="18"/>
              </w:rPr>
            </w:pPr>
            <w:r w:rsidRPr="006A52B7">
              <w:rPr>
                <w:rFonts w:ascii="Arial" w:hAnsi="Arial" w:cs="Arial"/>
                <w:sz w:val="18"/>
                <w:szCs w:val="18"/>
              </w:rPr>
              <w:t>Post-employment benefits</w:t>
            </w:r>
          </w:p>
        </w:tc>
        <w:tc>
          <w:tcPr>
            <w:tcW w:w="403" w:type="pct"/>
            <w:tcBorders>
              <w:top w:val="nil"/>
              <w:left w:val="nil"/>
              <w:bottom w:val="single" w:sz="4" w:space="0" w:color="auto"/>
              <w:right w:val="nil"/>
            </w:tcBorders>
            <w:noWrap/>
            <w:vAlign w:val="bottom"/>
          </w:tcPr>
          <w:p w:rsidR="00B301D0" w:rsidRPr="006A52B7" w:rsidRDefault="00B301D0" w:rsidP="00B301D0">
            <w:pPr>
              <w:jc w:val="center"/>
              <w:rPr>
                <w:rFonts w:ascii="Arial" w:hAnsi="Arial" w:cs="Arial"/>
                <w:sz w:val="18"/>
                <w:szCs w:val="18"/>
              </w:rPr>
            </w:pPr>
            <w:r w:rsidRPr="006A52B7">
              <w:rPr>
                <w:rFonts w:ascii="Arial" w:hAnsi="Arial" w:cs="Arial"/>
                <w:sz w:val="18"/>
                <w:szCs w:val="18"/>
              </w:rPr>
              <w:t>9</w:t>
            </w:r>
          </w:p>
        </w:tc>
        <w:tc>
          <w:tcPr>
            <w:tcW w:w="620" w:type="pct"/>
            <w:tcBorders>
              <w:top w:val="nil"/>
              <w:left w:val="nil"/>
              <w:bottom w:val="single" w:sz="4" w:space="0" w:color="auto"/>
              <w:right w:val="nil"/>
            </w:tcBorders>
            <w:noWrap/>
            <w:vAlign w:val="bottom"/>
          </w:tcPr>
          <w:p w:rsidR="00B301D0" w:rsidRPr="00FF4E59" w:rsidRDefault="008D243F" w:rsidP="00B301D0">
            <w:pPr>
              <w:jc w:val="right"/>
              <w:rPr>
                <w:rFonts w:ascii="Arial" w:hAnsi="Arial" w:cs="Arial"/>
                <w:b/>
                <w:bCs/>
                <w:sz w:val="18"/>
                <w:szCs w:val="18"/>
              </w:rPr>
            </w:pPr>
            <w:r w:rsidRPr="00FF4E59">
              <w:rPr>
                <w:rFonts w:ascii="Arial" w:hAnsi="Arial" w:cs="Arial"/>
                <w:b/>
                <w:bCs/>
                <w:sz w:val="18"/>
                <w:szCs w:val="18"/>
              </w:rPr>
              <w:t>(115)</w:t>
            </w:r>
          </w:p>
        </w:tc>
        <w:tc>
          <w:tcPr>
            <w:tcW w:w="773" w:type="pct"/>
            <w:tcBorders>
              <w:top w:val="nil"/>
              <w:left w:val="nil"/>
              <w:bottom w:val="single" w:sz="4" w:space="0" w:color="auto"/>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(108)</w:t>
            </w:r>
          </w:p>
        </w:tc>
      </w:tr>
      <w:tr w:rsidR="00B301D0" w:rsidRPr="00EF1091" w:rsidTr="00150F22">
        <w:trPr>
          <w:trHeight w:val="240"/>
        </w:trPr>
        <w:tc>
          <w:tcPr>
            <w:tcW w:w="3204" w:type="pct"/>
            <w:tcBorders>
              <w:top w:val="nil"/>
              <w:left w:val="nil"/>
              <w:bottom w:val="single" w:sz="4" w:space="0" w:color="auto"/>
              <w:right w:val="nil"/>
            </w:tcBorders>
            <w:noWrap/>
            <w:vAlign w:val="bottom"/>
          </w:tcPr>
          <w:p w:rsidR="00B301D0" w:rsidRPr="006A52B7" w:rsidRDefault="00B301D0" w:rsidP="00B301D0">
            <w:pPr>
              <w:rPr>
                <w:rFonts w:ascii="Arial" w:hAnsi="Arial" w:cs="Arial"/>
                <w:sz w:val="18"/>
                <w:szCs w:val="18"/>
              </w:rPr>
            </w:pPr>
          </w:p>
        </w:tc>
        <w:tc>
          <w:tcPr>
            <w:tcW w:w="403" w:type="pct"/>
            <w:tcBorders>
              <w:top w:val="nil"/>
              <w:left w:val="nil"/>
              <w:bottom w:val="single" w:sz="4" w:space="0" w:color="auto"/>
              <w:right w:val="nil"/>
            </w:tcBorders>
            <w:noWrap/>
            <w:vAlign w:val="bottom"/>
          </w:tcPr>
          <w:p w:rsidR="00B301D0" w:rsidRPr="006A52B7" w:rsidRDefault="00B301D0" w:rsidP="00B301D0">
            <w:pPr>
              <w:jc w:val="center"/>
              <w:rPr>
                <w:rFonts w:ascii="Arial" w:hAnsi="Arial" w:cs="Arial"/>
                <w:sz w:val="18"/>
                <w:szCs w:val="18"/>
              </w:rPr>
            </w:pPr>
          </w:p>
        </w:tc>
        <w:tc>
          <w:tcPr>
            <w:tcW w:w="620" w:type="pct"/>
            <w:tcBorders>
              <w:top w:val="nil"/>
              <w:left w:val="nil"/>
              <w:bottom w:val="single" w:sz="4" w:space="0" w:color="auto"/>
              <w:right w:val="nil"/>
            </w:tcBorders>
            <w:noWrap/>
            <w:vAlign w:val="bottom"/>
          </w:tcPr>
          <w:p w:rsidR="00B301D0" w:rsidRPr="006A52B7" w:rsidRDefault="002C293F" w:rsidP="00B301D0">
            <w:pPr>
              <w:jc w:val="right"/>
              <w:rPr>
                <w:rFonts w:ascii="Arial" w:hAnsi="Arial" w:cs="Arial"/>
                <w:b/>
                <w:bCs/>
                <w:sz w:val="18"/>
                <w:szCs w:val="18"/>
              </w:rPr>
            </w:pPr>
            <w:r>
              <w:rPr>
                <w:rFonts w:ascii="Arial" w:hAnsi="Arial" w:cs="Arial"/>
                <w:b/>
                <w:bCs/>
                <w:sz w:val="18"/>
                <w:szCs w:val="18"/>
              </w:rPr>
              <w:t>(</w:t>
            </w:r>
            <w:r w:rsidR="000B7250">
              <w:rPr>
                <w:rFonts w:ascii="Arial" w:hAnsi="Arial" w:cs="Arial"/>
                <w:b/>
                <w:bCs/>
                <w:sz w:val="18"/>
                <w:szCs w:val="18"/>
              </w:rPr>
              <w:t>5</w:t>
            </w:r>
            <w:r w:rsidR="00DF6822">
              <w:rPr>
                <w:rFonts w:ascii="Arial" w:hAnsi="Arial" w:cs="Arial"/>
                <w:b/>
                <w:bCs/>
                <w:sz w:val="18"/>
                <w:szCs w:val="18"/>
              </w:rPr>
              <w:t>49</w:t>
            </w:r>
            <w:r>
              <w:rPr>
                <w:rFonts w:ascii="Arial" w:hAnsi="Arial" w:cs="Arial"/>
                <w:b/>
                <w:bCs/>
                <w:sz w:val="18"/>
                <w:szCs w:val="18"/>
              </w:rPr>
              <w:t>)</w:t>
            </w:r>
          </w:p>
        </w:tc>
        <w:tc>
          <w:tcPr>
            <w:tcW w:w="773" w:type="pct"/>
            <w:tcBorders>
              <w:top w:val="nil"/>
              <w:left w:val="nil"/>
              <w:bottom w:val="single" w:sz="4" w:space="0" w:color="auto"/>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(723)</w:t>
            </w:r>
          </w:p>
        </w:tc>
      </w:tr>
      <w:tr w:rsidR="00B301D0" w:rsidRPr="00EF1091" w:rsidTr="00150F22">
        <w:trPr>
          <w:trHeight w:val="240"/>
        </w:trPr>
        <w:tc>
          <w:tcPr>
            <w:tcW w:w="3204" w:type="pct"/>
            <w:tcBorders>
              <w:top w:val="nil"/>
              <w:left w:val="nil"/>
              <w:bottom w:val="nil"/>
              <w:right w:val="nil"/>
            </w:tcBorders>
            <w:noWrap/>
            <w:vAlign w:val="bottom"/>
          </w:tcPr>
          <w:p w:rsidR="00B301D0" w:rsidRPr="006A52B7" w:rsidRDefault="00B301D0" w:rsidP="00B301D0">
            <w:pPr>
              <w:rPr>
                <w:rFonts w:ascii="Arial" w:hAnsi="Arial" w:cs="Arial"/>
                <w:b/>
                <w:bCs/>
                <w:sz w:val="18"/>
                <w:szCs w:val="18"/>
              </w:rPr>
            </w:pPr>
            <w:r w:rsidRPr="006A52B7">
              <w:rPr>
                <w:rFonts w:ascii="Arial" w:hAnsi="Arial" w:cs="Arial"/>
                <w:b/>
                <w:bCs/>
                <w:sz w:val="18"/>
                <w:szCs w:val="18"/>
              </w:rPr>
              <w:t>Total liabilities</w:t>
            </w:r>
          </w:p>
        </w:tc>
        <w:tc>
          <w:tcPr>
            <w:tcW w:w="403" w:type="pct"/>
            <w:tcBorders>
              <w:top w:val="nil"/>
              <w:left w:val="nil"/>
              <w:bottom w:val="nil"/>
              <w:right w:val="nil"/>
            </w:tcBorders>
            <w:noWrap/>
            <w:vAlign w:val="bottom"/>
          </w:tcPr>
          <w:p w:rsidR="00B301D0" w:rsidRPr="006A52B7"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6A52B7" w:rsidRDefault="002C293F" w:rsidP="00B301D0">
            <w:pPr>
              <w:jc w:val="right"/>
              <w:rPr>
                <w:rFonts w:ascii="Arial" w:hAnsi="Arial" w:cs="Arial"/>
                <w:b/>
                <w:bCs/>
                <w:sz w:val="18"/>
                <w:szCs w:val="18"/>
              </w:rPr>
            </w:pPr>
            <w:r>
              <w:rPr>
                <w:rFonts w:ascii="Arial" w:hAnsi="Arial" w:cs="Arial"/>
                <w:b/>
                <w:bCs/>
                <w:sz w:val="18"/>
                <w:szCs w:val="18"/>
              </w:rPr>
              <w:t>(</w:t>
            </w:r>
            <w:r w:rsidR="000B7250">
              <w:rPr>
                <w:rFonts w:ascii="Arial" w:hAnsi="Arial" w:cs="Arial"/>
                <w:b/>
                <w:bCs/>
                <w:sz w:val="18"/>
                <w:szCs w:val="18"/>
              </w:rPr>
              <w:t>3,599</w:t>
            </w:r>
            <w:r>
              <w:rPr>
                <w:rFonts w:ascii="Arial" w:hAnsi="Arial" w:cs="Arial"/>
                <w:b/>
                <w:bCs/>
                <w:sz w:val="18"/>
                <w:szCs w:val="18"/>
              </w:rPr>
              <w:t>)</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(3,462)</w:t>
            </w:r>
          </w:p>
        </w:tc>
      </w:tr>
      <w:tr w:rsidR="00B301D0" w:rsidRPr="00EF1091" w:rsidTr="00150F22">
        <w:trPr>
          <w:trHeight w:val="142"/>
        </w:trPr>
        <w:tc>
          <w:tcPr>
            <w:tcW w:w="3204" w:type="pct"/>
            <w:tcBorders>
              <w:top w:val="nil"/>
              <w:left w:val="nil"/>
              <w:bottom w:val="single" w:sz="4" w:space="0" w:color="auto"/>
              <w:right w:val="nil"/>
            </w:tcBorders>
            <w:noWrap/>
            <w:vAlign w:val="bottom"/>
          </w:tcPr>
          <w:p w:rsidR="00B301D0" w:rsidRPr="00EF1091" w:rsidRDefault="00B301D0" w:rsidP="00B301D0">
            <w:pPr>
              <w:rPr>
                <w:rFonts w:ascii="Arial" w:hAnsi="Arial" w:cs="Arial"/>
                <w:b/>
                <w:bCs/>
                <w:sz w:val="18"/>
                <w:szCs w:val="18"/>
              </w:rPr>
            </w:pPr>
            <w:r w:rsidRPr="00EF1091">
              <w:rPr>
                <w:rFonts w:ascii="Arial" w:hAnsi="Arial" w:cs="Arial"/>
                <w:b/>
                <w:bCs/>
                <w:sz w:val="18"/>
                <w:szCs w:val="18"/>
              </w:rPr>
              <w:t> </w:t>
            </w:r>
          </w:p>
        </w:tc>
        <w:tc>
          <w:tcPr>
            <w:tcW w:w="403" w:type="pct"/>
            <w:tcBorders>
              <w:top w:val="nil"/>
              <w:left w:val="nil"/>
              <w:bottom w:val="single" w:sz="4" w:space="0" w:color="auto"/>
              <w:right w:val="nil"/>
            </w:tcBorders>
            <w:noWrap/>
            <w:vAlign w:val="bottom"/>
          </w:tcPr>
          <w:p w:rsidR="00B301D0" w:rsidRPr="00EF1091" w:rsidRDefault="00B301D0" w:rsidP="00B301D0">
            <w:pPr>
              <w:jc w:val="center"/>
              <w:rPr>
                <w:rFonts w:ascii="Arial" w:hAnsi="Arial" w:cs="Arial"/>
                <w:sz w:val="18"/>
                <w:szCs w:val="18"/>
              </w:rPr>
            </w:pPr>
            <w:r w:rsidRPr="00EF1091">
              <w:rPr>
                <w:rFonts w:ascii="Arial" w:hAnsi="Arial" w:cs="Arial"/>
                <w:sz w:val="18"/>
                <w:szCs w:val="18"/>
              </w:rPr>
              <w:t> </w:t>
            </w:r>
          </w:p>
        </w:tc>
        <w:tc>
          <w:tcPr>
            <w:tcW w:w="620" w:type="pct"/>
            <w:tcBorders>
              <w:top w:val="nil"/>
              <w:left w:val="nil"/>
              <w:bottom w:val="single" w:sz="4" w:space="0" w:color="auto"/>
              <w:right w:val="nil"/>
            </w:tcBorders>
            <w:noWrap/>
            <w:vAlign w:val="bottom"/>
          </w:tcPr>
          <w:p w:rsidR="00B301D0" w:rsidRPr="00150F22" w:rsidRDefault="00B301D0" w:rsidP="00B301D0">
            <w:pPr>
              <w:jc w:val="right"/>
              <w:rPr>
                <w:rFonts w:ascii="Arial" w:hAnsi="Arial" w:cs="Arial"/>
                <w:b/>
                <w:bCs/>
                <w:sz w:val="18"/>
                <w:szCs w:val="18"/>
              </w:rPr>
            </w:pPr>
          </w:p>
        </w:tc>
        <w:tc>
          <w:tcPr>
            <w:tcW w:w="773" w:type="pct"/>
            <w:tcBorders>
              <w:top w:val="nil"/>
              <w:left w:val="nil"/>
              <w:bottom w:val="single" w:sz="4" w:space="0" w:color="auto"/>
              <w:right w:val="nil"/>
            </w:tcBorders>
            <w:vAlign w:val="bottom"/>
          </w:tcPr>
          <w:p w:rsidR="00B301D0" w:rsidRPr="00B301D0" w:rsidRDefault="00B301D0" w:rsidP="00B301D0">
            <w:pPr>
              <w:jc w:val="right"/>
              <w:rPr>
                <w:rFonts w:ascii="Arial" w:hAnsi="Arial" w:cs="Arial"/>
                <w:bCs/>
                <w:sz w:val="18"/>
                <w:szCs w:val="18"/>
              </w:rPr>
            </w:pPr>
          </w:p>
        </w:tc>
      </w:tr>
      <w:tr w:rsidR="00B301D0" w:rsidRPr="00EF1091" w:rsidTr="00150F22">
        <w:trPr>
          <w:trHeight w:val="255"/>
        </w:trPr>
        <w:tc>
          <w:tcPr>
            <w:tcW w:w="3204" w:type="pct"/>
            <w:tcBorders>
              <w:top w:val="single" w:sz="4" w:space="0" w:color="auto"/>
              <w:left w:val="nil"/>
              <w:bottom w:val="single" w:sz="12" w:space="0" w:color="auto"/>
              <w:right w:val="nil"/>
            </w:tcBorders>
            <w:noWrap/>
            <w:vAlign w:val="bottom"/>
          </w:tcPr>
          <w:p w:rsidR="00B301D0" w:rsidRPr="00EF1091" w:rsidRDefault="00B301D0" w:rsidP="00B301D0">
            <w:pPr>
              <w:rPr>
                <w:rFonts w:ascii="Arial" w:hAnsi="Arial" w:cs="Arial"/>
                <w:b/>
                <w:bCs/>
                <w:sz w:val="18"/>
                <w:szCs w:val="18"/>
              </w:rPr>
            </w:pPr>
            <w:r w:rsidRPr="00EF1091">
              <w:rPr>
                <w:rFonts w:ascii="Arial" w:hAnsi="Arial" w:cs="Arial"/>
                <w:b/>
                <w:bCs/>
                <w:sz w:val="18"/>
                <w:szCs w:val="18"/>
              </w:rPr>
              <w:t>Net assets</w:t>
            </w:r>
          </w:p>
        </w:tc>
        <w:tc>
          <w:tcPr>
            <w:tcW w:w="403" w:type="pct"/>
            <w:tcBorders>
              <w:top w:val="single" w:sz="4" w:space="0" w:color="auto"/>
              <w:left w:val="nil"/>
              <w:bottom w:val="single" w:sz="12" w:space="0" w:color="auto"/>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single" w:sz="4" w:space="0" w:color="auto"/>
              <w:left w:val="nil"/>
              <w:bottom w:val="single" w:sz="12" w:space="0" w:color="auto"/>
              <w:right w:val="nil"/>
            </w:tcBorders>
            <w:noWrap/>
            <w:vAlign w:val="bottom"/>
          </w:tcPr>
          <w:p w:rsidR="00B301D0" w:rsidRPr="00150F22" w:rsidRDefault="002C293F" w:rsidP="00B301D0">
            <w:pPr>
              <w:jc w:val="right"/>
              <w:rPr>
                <w:rFonts w:ascii="Arial" w:hAnsi="Arial" w:cs="Arial"/>
                <w:b/>
                <w:bCs/>
                <w:sz w:val="18"/>
                <w:szCs w:val="18"/>
              </w:rPr>
            </w:pPr>
            <w:r>
              <w:rPr>
                <w:rFonts w:ascii="Arial" w:hAnsi="Arial" w:cs="Arial"/>
                <w:b/>
                <w:bCs/>
                <w:sz w:val="18"/>
                <w:szCs w:val="18"/>
              </w:rPr>
              <w:t>6,748</w:t>
            </w:r>
          </w:p>
        </w:tc>
        <w:tc>
          <w:tcPr>
            <w:tcW w:w="773" w:type="pct"/>
            <w:tcBorders>
              <w:top w:val="single" w:sz="4" w:space="0" w:color="auto"/>
              <w:left w:val="nil"/>
              <w:bottom w:val="single" w:sz="12" w:space="0" w:color="auto"/>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6,771</w:t>
            </w:r>
          </w:p>
        </w:tc>
      </w:tr>
      <w:tr w:rsidR="00B301D0" w:rsidRPr="00EF1091" w:rsidTr="00150F22">
        <w:trPr>
          <w:trHeight w:val="60"/>
        </w:trPr>
        <w:tc>
          <w:tcPr>
            <w:tcW w:w="3204" w:type="pct"/>
            <w:tcBorders>
              <w:top w:val="single" w:sz="12" w:space="0" w:color="auto"/>
              <w:left w:val="nil"/>
              <w:bottom w:val="nil"/>
              <w:right w:val="nil"/>
            </w:tcBorders>
            <w:noWrap/>
            <w:vAlign w:val="bottom"/>
          </w:tcPr>
          <w:p w:rsidR="00B301D0" w:rsidRPr="00EF1091" w:rsidRDefault="00B301D0" w:rsidP="00B301D0">
            <w:pPr>
              <w:rPr>
                <w:rFonts w:ascii="Arial" w:hAnsi="Arial" w:cs="Arial"/>
                <w:sz w:val="18"/>
                <w:szCs w:val="18"/>
              </w:rPr>
            </w:pPr>
          </w:p>
        </w:tc>
        <w:tc>
          <w:tcPr>
            <w:tcW w:w="403" w:type="pct"/>
            <w:tcBorders>
              <w:top w:val="single" w:sz="12" w:space="0" w:color="auto"/>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single" w:sz="12" w:space="0" w:color="auto"/>
              <w:left w:val="nil"/>
              <w:bottom w:val="nil"/>
              <w:right w:val="nil"/>
            </w:tcBorders>
            <w:noWrap/>
            <w:vAlign w:val="bottom"/>
          </w:tcPr>
          <w:p w:rsidR="00B301D0" w:rsidRPr="00150F22" w:rsidRDefault="00B301D0" w:rsidP="00B301D0">
            <w:pPr>
              <w:jc w:val="right"/>
              <w:rPr>
                <w:rFonts w:ascii="Arial" w:hAnsi="Arial" w:cs="Arial"/>
                <w:b/>
                <w:bCs/>
                <w:sz w:val="18"/>
                <w:szCs w:val="18"/>
              </w:rPr>
            </w:pPr>
          </w:p>
        </w:tc>
        <w:tc>
          <w:tcPr>
            <w:tcW w:w="773" w:type="pct"/>
            <w:tcBorders>
              <w:top w:val="single" w:sz="12" w:space="0" w:color="auto"/>
              <w:left w:val="nil"/>
              <w:bottom w:val="nil"/>
              <w:right w:val="nil"/>
            </w:tcBorders>
            <w:vAlign w:val="bottom"/>
          </w:tcPr>
          <w:p w:rsidR="00B301D0" w:rsidRPr="00B301D0" w:rsidRDefault="00B301D0" w:rsidP="00B301D0">
            <w:pPr>
              <w:jc w:val="right"/>
              <w:rPr>
                <w:rFonts w:ascii="Arial" w:hAnsi="Arial" w:cs="Arial"/>
                <w:bCs/>
                <w:sz w:val="18"/>
                <w:szCs w:val="18"/>
              </w:rPr>
            </w:pPr>
          </w:p>
        </w:tc>
      </w:tr>
      <w:tr w:rsidR="00B301D0" w:rsidRPr="00EF1091" w:rsidTr="00150F22">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b/>
                <w:bCs/>
                <w:sz w:val="18"/>
                <w:szCs w:val="18"/>
              </w:rPr>
            </w:pPr>
            <w:r w:rsidRPr="00EF1091">
              <w:rPr>
                <w:rFonts w:ascii="Arial" w:hAnsi="Arial" w:cs="Arial"/>
                <w:b/>
                <w:bCs/>
                <w:sz w:val="18"/>
                <w:szCs w:val="18"/>
              </w:rPr>
              <w:t>Equity</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B301D0" w:rsidP="00B301D0">
            <w:pPr>
              <w:jc w:val="right"/>
              <w:rPr>
                <w:rFonts w:ascii="Arial" w:hAnsi="Arial" w:cs="Arial"/>
                <w:b/>
                <w:bCs/>
                <w:sz w:val="18"/>
                <w:szCs w:val="18"/>
              </w:rPr>
            </w:pP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p>
        </w:tc>
      </w:tr>
      <w:tr w:rsidR="00B301D0" w:rsidRPr="00EF1091" w:rsidTr="00150F22">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Share capital</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2C293F" w:rsidP="00B301D0">
            <w:pPr>
              <w:jc w:val="right"/>
              <w:rPr>
                <w:rFonts w:ascii="Arial" w:hAnsi="Arial" w:cs="Arial"/>
                <w:b/>
                <w:bCs/>
                <w:sz w:val="18"/>
                <w:szCs w:val="18"/>
              </w:rPr>
            </w:pPr>
            <w:r>
              <w:rPr>
                <w:rFonts w:ascii="Arial" w:hAnsi="Arial" w:cs="Arial"/>
                <w:b/>
                <w:bCs/>
                <w:sz w:val="18"/>
                <w:szCs w:val="18"/>
              </w:rPr>
              <w:t>340</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352</w:t>
            </w:r>
          </w:p>
        </w:tc>
      </w:tr>
      <w:tr w:rsidR="00B301D0" w:rsidRPr="00EF1091" w:rsidTr="00150F22">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Share premium</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2C293F" w:rsidP="00B301D0">
            <w:pPr>
              <w:jc w:val="right"/>
              <w:rPr>
                <w:rFonts w:ascii="Arial" w:hAnsi="Arial" w:cs="Arial"/>
                <w:b/>
                <w:bCs/>
                <w:sz w:val="18"/>
                <w:szCs w:val="18"/>
              </w:rPr>
            </w:pPr>
            <w:r>
              <w:rPr>
                <w:rFonts w:ascii="Arial" w:hAnsi="Arial" w:cs="Arial"/>
                <w:b/>
                <w:bCs/>
                <w:sz w:val="18"/>
                <w:szCs w:val="18"/>
              </w:rPr>
              <w:t>2,228</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2,221</w:t>
            </w:r>
          </w:p>
        </w:tc>
      </w:tr>
      <w:tr w:rsidR="00B301D0" w:rsidRPr="00EF1091" w:rsidTr="00150F22">
        <w:trPr>
          <w:trHeight w:val="240"/>
        </w:trPr>
        <w:tc>
          <w:tcPr>
            <w:tcW w:w="3204" w:type="pct"/>
            <w:tcBorders>
              <w:top w:val="nil"/>
              <w:left w:val="nil"/>
              <w:bottom w:val="nil"/>
              <w:right w:val="nil"/>
            </w:tcBorders>
            <w:noWrap/>
            <w:vAlign w:val="bottom"/>
          </w:tcPr>
          <w:p w:rsidR="00B301D0" w:rsidRPr="00EF1091" w:rsidRDefault="00B301D0" w:rsidP="00B301D0">
            <w:pPr>
              <w:rPr>
                <w:rFonts w:ascii="Arial" w:hAnsi="Arial" w:cs="Arial"/>
                <w:sz w:val="18"/>
                <w:szCs w:val="18"/>
              </w:rPr>
            </w:pPr>
            <w:r w:rsidRPr="00EF1091">
              <w:rPr>
                <w:rFonts w:ascii="Arial" w:hAnsi="Arial" w:cs="Arial"/>
                <w:sz w:val="18"/>
                <w:szCs w:val="18"/>
              </w:rPr>
              <w:t xml:space="preserve">Own shares held </w:t>
            </w:r>
            <w:r>
              <w:rPr>
                <w:rFonts w:ascii="Arial" w:hAnsi="Arial" w:cs="Arial"/>
                <w:sz w:val="18"/>
                <w:szCs w:val="18"/>
              </w:rPr>
              <w:t>in ESOP trust</w:t>
            </w:r>
          </w:p>
        </w:tc>
        <w:tc>
          <w:tcPr>
            <w:tcW w:w="403" w:type="pct"/>
            <w:tcBorders>
              <w:top w:val="nil"/>
              <w:left w:val="nil"/>
              <w:bottom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noWrap/>
            <w:vAlign w:val="bottom"/>
          </w:tcPr>
          <w:p w:rsidR="00B301D0" w:rsidRPr="00150F22" w:rsidRDefault="002C293F" w:rsidP="00B301D0">
            <w:pPr>
              <w:jc w:val="right"/>
              <w:rPr>
                <w:rFonts w:ascii="Arial" w:hAnsi="Arial" w:cs="Arial"/>
                <w:b/>
                <w:bCs/>
                <w:sz w:val="18"/>
                <w:szCs w:val="18"/>
              </w:rPr>
            </w:pPr>
            <w:r>
              <w:rPr>
                <w:rFonts w:ascii="Arial" w:hAnsi="Arial" w:cs="Arial"/>
                <w:b/>
                <w:bCs/>
                <w:sz w:val="18"/>
                <w:szCs w:val="18"/>
              </w:rPr>
              <w:t>(29)</w:t>
            </w:r>
          </w:p>
        </w:tc>
        <w:tc>
          <w:tcPr>
            <w:tcW w:w="773" w:type="pct"/>
            <w:tcBorders>
              <w:top w:val="nil"/>
              <w:left w:val="nil"/>
              <w:bottom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(23)</w:t>
            </w:r>
          </w:p>
        </w:tc>
      </w:tr>
      <w:tr w:rsidR="00B301D0" w:rsidRPr="00EF1091" w:rsidTr="00150F22">
        <w:trPr>
          <w:trHeight w:val="240"/>
        </w:trPr>
        <w:tc>
          <w:tcPr>
            <w:tcW w:w="3204" w:type="pct"/>
            <w:tcBorders>
              <w:top w:val="nil"/>
              <w:left w:val="nil"/>
              <w:right w:val="nil"/>
            </w:tcBorders>
            <w:noWrap/>
            <w:vAlign w:val="bottom"/>
          </w:tcPr>
          <w:p w:rsidR="00B301D0" w:rsidRPr="00EF1091" w:rsidRDefault="00B301D0" w:rsidP="00B301D0">
            <w:pPr>
              <w:rPr>
                <w:rFonts w:ascii="Arial" w:hAnsi="Arial" w:cs="Arial"/>
                <w:sz w:val="18"/>
                <w:szCs w:val="18"/>
              </w:rPr>
            </w:pPr>
            <w:r>
              <w:rPr>
                <w:rFonts w:ascii="Arial" w:hAnsi="Arial" w:cs="Arial"/>
                <w:sz w:val="18"/>
                <w:szCs w:val="18"/>
              </w:rPr>
              <w:t>Retained earnings</w:t>
            </w:r>
          </w:p>
        </w:tc>
        <w:tc>
          <w:tcPr>
            <w:tcW w:w="403" w:type="pct"/>
            <w:tcBorders>
              <w:top w:val="nil"/>
              <w:left w:val="nil"/>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right w:val="nil"/>
            </w:tcBorders>
            <w:noWrap/>
            <w:vAlign w:val="bottom"/>
          </w:tcPr>
          <w:p w:rsidR="00B301D0" w:rsidRPr="00150F22" w:rsidRDefault="002C293F" w:rsidP="00B301D0">
            <w:pPr>
              <w:jc w:val="right"/>
              <w:rPr>
                <w:rFonts w:ascii="Arial" w:hAnsi="Arial" w:cs="Arial"/>
                <w:b/>
                <w:bCs/>
                <w:sz w:val="18"/>
                <w:szCs w:val="18"/>
              </w:rPr>
            </w:pPr>
            <w:r>
              <w:rPr>
                <w:rFonts w:ascii="Arial" w:hAnsi="Arial" w:cs="Arial"/>
                <w:b/>
                <w:bCs/>
                <w:sz w:val="18"/>
                <w:szCs w:val="18"/>
              </w:rPr>
              <w:t>3,790</w:t>
            </w:r>
          </w:p>
        </w:tc>
        <w:tc>
          <w:tcPr>
            <w:tcW w:w="773" w:type="pct"/>
            <w:tcBorders>
              <w:top w:val="nil"/>
              <w:left w:val="nil"/>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3,837</w:t>
            </w:r>
          </w:p>
        </w:tc>
      </w:tr>
      <w:tr w:rsidR="0034681D" w:rsidRPr="00EF1091" w:rsidTr="00150F22">
        <w:trPr>
          <w:trHeight w:val="240"/>
        </w:trPr>
        <w:tc>
          <w:tcPr>
            <w:tcW w:w="3204" w:type="pct"/>
            <w:tcBorders>
              <w:top w:val="nil"/>
              <w:left w:val="nil"/>
              <w:right w:val="nil"/>
            </w:tcBorders>
            <w:noWrap/>
            <w:vAlign w:val="bottom"/>
          </w:tcPr>
          <w:p w:rsidR="0034681D" w:rsidRDefault="0034681D" w:rsidP="00B301D0">
            <w:pPr>
              <w:rPr>
                <w:rFonts w:ascii="Arial" w:hAnsi="Arial" w:cs="Arial"/>
                <w:sz w:val="18"/>
                <w:szCs w:val="18"/>
              </w:rPr>
            </w:pPr>
            <w:r w:rsidRPr="00FA21A3">
              <w:rPr>
                <w:rFonts w:ascii="Arial" w:hAnsi="Arial" w:cs="Arial"/>
                <w:sz w:val="18"/>
                <w:szCs w:val="18"/>
              </w:rPr>
              <w:t>Capital redemption reserve</w:t>
            </w:r>
          </w:p>
        </w:tc>
        <w:tc>
          <w:tcPr>
            <w:tcW w:w="403" w:type="pct"/>
            <w:tcBorders>
              <w:top w:val="nil"/>
              <w:left w:val="nil"/>
              <w:right w:val="nil"/>
            </w:tcBorders>
            <w:noWrap/>
            <w:vAlign w:val="bottom"/>
          </w:tcPr>
          <w:p w:rsidR="0034681D" w:rsidRPr="00EF1091" w:rsidRDefault="0034681D" w:rsidP="00B301D0">
            <w:pPr>
              <w:jc w:val="center"/>
              <w:rPr>
                <w:rFonts w:ascii="Arial" w:hAnsi="Arial" w:cs="Arial"/>
                <w:sz w:val="18"/>
                <w:szCs w:val="18"/>
              </w:rPr>
            </w:pPr>
          </w:p>
        </w:tc>
        <w:tc>
          <w:tcPr>
            <w:tcW w:w="620" w:type="pct"/>
            <w:tcBorders>
              <w:top w:val="nil"/>
              <w:left w:val="nil"/>
              <w:right w:val="nil"/>
            </w:tcBorders>
            <w:noWrap/>
            <w:vAlign w:val="bottom"/>
          </w:tcPr>
          <w:p w:rsidR="0034681D" w:rsidRDefault="0034681D" w:rsidP="00B301D0">
            <w:pPr>
              <w:jc w:val="right"/>
              <w:rPr>
                <w:rFonts w:ascii="Arial" w:hAnsi="Arial" w:cs="Arial"/>
                <w:b/>
                <w:bCs/>
                <w:sz w:val="18"/>
                <w:szCs w:val="18"/>
              </w:rPr>
            </w:pPr>
            <w:r>
              <w:rPr>
                <w:rFonts w:ascii="Arial" w:hAnsi="Arial" w:cs="Arial"/>
                <w:b/>
                <w:bCs/>
                <w:sz w:val="18"/>
                <w:szCs w:val="18"/>
              </w:rPr>
              <w:t>35</w:t>
            </w:r>
          </w:p>
        </w:tc>
        <w:tc>
          <w:tcPr>
            <w:tcW w:w="773" w:type="pct"/>
            <w:tcBorders>
              <w:top w:val="nil"/>
              <w:left w:val="nil"/>
              <w:right w:val="nil"/>
            </w:tcBorders>
            <w:vAlign w:val="bottom"/>
          </w:tcPr>
          <w:p w:rsidR="0034681D" w:rsidRPr="00B301D0" w:rsidRDefault="0034681D" w:rsidP="00B301D0">
            <w:pPr>
              <w:jc w:val="right"/>
              <w:rPr>
                <w:rFonts w:ascii="Arial" w:hAnsi="Arial" w:cs="Arial"/>
                <w:bCs/>
                <w:sz w:val="18"/>
                <w:szCs w:val="18"/>
              </w:rPr>
            </w:pPr>
            <w:r>
              <w:rPr>
                <w:rFonts w:ascii="Arial" w:hAnsi="Arial" w:cs="Arial"/>
                <w:bCs/>
                <w:sz w:val="18"/>
                <w:szCs w:val="18"/>
              </w:rPr>
              <w:t>22</w:t>
            </w:r>
          </w:p>
        </w:tc>
      </w:tr>
      <w:tr w:rsidR="00B301D0" w:rsidRPr="00EF1091" w:rsidTr="00150F22">
        <w:trPr>
          <w:trHeight w:val="240"/>
        </w:trPr>
        <w:tc>
          <w:tcPr>
            <w:tcW w:w="3204" w:type="pct"/>
            <w:tcBorders>
              <w:top w:val="nil"/>
              <w:left w:val="nil"/>
              <w:bottom w:val="single" w:sz="4" w:space="0" w:color="auto"/>
              <w:right w:val="nil"/>
            </w:tcBorders>
            <w:noWrap/>
            <w:vAlign w:val="bottom"/>
          </w:tcPr>
          <w:p w:rsidR="00B301D0" w:rsidRPr="00EF1091" w:rsidRDefault="00B301D0" w:rsidP="00B301D0">
            <w:pPr>
              <w:rPr>
                <w:rFonts w:ascii="Arial" w:hAnsi="Arial" w:cs="Arial"/>
                <w:sz w:val="18"/>
                <w:szCs w:val="18"/>
              </w:rPr>
            </w:pPr>
            <w:r>
              <w:rPr>
                <w:rFonts w:ascii="Arial" w:hAnsi="Arial" w:cs="Arial"/>
                <w:sz w:val="18"/>
                <w:szCs w:val="18"/>
              </w:rPr>
              <w:t>Other r</w:t>
            </w:r>
            <w:r w:rsidRPr="00BA7064">
              <w:rPr>
                <w:rFonts w:ascii="Arial" w:hAnsi="Arial" w:cs="Arial"/>
                <w:sz w:val="18"/>
                <w:szCs w:val="18"/>
              </w:rPr>
              <w:t>eserves</w:t>
            </w:r>
          </w:p>
        </w:tc>
        <w:tc>
          <w:tcPr>
            <w:tcW w:w="403" w:type="pct"/>
            <w:tcBorders>
              <w:top w:val="nil"/>
              <w:left w:val="nil"/>
              <w:bottom w:val="single" w:sz="4" w:space="0" w:color="auto"/>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nil"/>
              <w:left w:val="nil"/>
              <w:bottom w:val="single" w:sz="4" w:space="0" w:color="auto"/>
              <w:right w:val="nil"/>
            </w:tcBorders>
            <w:noWrap/>
            <w:vAlign w:val="bottom"/>
          </w:tcPr>
          <w:p w:rsidR="00B301D0" w:rsidRPr="00150F22" w:rsidRDefault="0034681D" w:rsidP="00B301D0">
            <w:pPr>
              <w:jc w:val="right"/>
              <w:rPr>
                <w:rFonts w:ascii="Arial" w:hAnsi="Arial" w:cs="Arial"/>
                <w:b/>
                <w:bCs/>
                <w:sz w:val="18"/>
                <w:szCs w:val="18"/>
              </w:rPr>
            </w:pPr>
            <w:r>
              <w:rPr>
                <w:rFonts w:ascii="Arial" w:hAnsi="Arial" w:cs="Arial"/>
                <w:b/>
                <w:bCs/>
                <w:sz w:val="18"/>
                <w:szCs w:val="18"/>
              </w:rPr>
              <w:t>384</w:t>
            </w:r>
          </w:p>
        </w:tc>
        <w:tc>
          <w:tcPr>
            <w:tcW w:w="773" w:type="pct"/>
            <w:tcBorders>
              <w:top w:val="nil"/>
              <w:left w:val="nil"/>
              <w:bottom w:val="single" w:sz="4" w:space="0" w:color="auto"/>
              <w:right w:val="nil"/>
            </w:tcBorders>
            <w:vAlign w:val="bottom"/>
          </w:tcPr>
          <w:p w:rsidR="00B301D0" w:rsidRPr="00B301D0" w:rsidRDefault="0034681D" w:rsidP="00B301D0">
            <w:pPr>
              <w:jc w:val="right"/>
              <w:rPr>
                <w:rFonts w:ascii="Arial" w:hAnsi="Arial" w:cs="Arial"/>
                <w:bCs/>
                <w:sz w:val="18"/>
                <w:szCs w:val="18"/>
              </w:rPr>
            </w:pPr>
            <w:r>
              <w:rPr>
                <w:rFonts w:ascii="Arial" w:hAnsi="Arial" w:cs="Arial"/>
                <w:bCs/>
                <w:sz w:val="18"/>
                <w:szCs w:val="18"/>
              </w:rPr>
              <w:t>362</w:t>
            </w:r>
          </w:p>
        </w:tc>
      </w:tr>
      <w:tr w:rsidR="00B301D0" w:rsidRPr="00EF1091" w:rsidTr="00FF3A76">
        <w:trPr>
          <w:trHeight w:val="255"/>
        </w:trPr>
        <w:tc>
          <w:tcPr>
            <w:tcW w:w="3204" w:type="pct"/>
            <w:tcBorders>
              <w:top w:val="single" w:sz="4" w:space="0" w:color="auto"/>
              <w:left w:val="nil"/>
              <w:bottom w:val="single" w:sz="12" w:space="0" w:color="auto"/>
              <w:right w:val="nil"/>
            </w:tcBorders>
            <w:noWrap/>
            <w:vAlign w:val="bottom"/>
          </w:tcPr>
          <w:p w:rsidR="00B301D0" w:rsidRPr="00EF1091" w:rsidRDefault="00B301D0" w:rsidP="00B301D0">
            <w:pPr>
              <w:rPr>
                <w:rFonts w:ascii="Arial" w:hAnsi="Arial" w:cs="Arial"/>
                <w:b/>
                <w:bCs/>
                <w:sz w:val="18"/>
                <w:szCs w:val="18"/>
              </w:rPr>
            </w:pPr>
            <w:r w:rsidRPr="00530956">
              <w:rPr>
                <w:rFonts w:ascii="Arial" w:hAnsi="Arial" w:cs="Arial"/>
                <w:b/>
                <w:sz w:val="18"/>
                <w:szCs w:val="18"/>
              </w:rPr>
              <w:t xml:space="preserve">Total </w:t>
            </w:r>
            <w:r>
              <w:rPr>
                <w:rFonts w:ascii="Arial" w:hAnsi="Arial" w:cs="Arial"/>
                <w:b/>
                <w:sz w:val="18"/>
                <w:szCs w:val="18"/>
              </w:rPr>
              <w:t>equity</w:t>
            </w:r>
          </w:p>
        </w:tc>
        <w:tc>
          <w:tcPr>
            <w:tcW w:w="403" w:type="pct"/>
            <w:tcBorders>
              <w:top w:val="single" w:sz="4" w:space="0" w:color="auto"/>
              <w:left w:val="nil"/>
              <w:bottom w:val="single" w:sz="12" w:space="0" w:color="auto"/>
              <w:right w:val="nil"/>
            </w:tcBorders>
            <w:noWrap/>
            <w:vAlign w:val="bottom"/>
          </w:tcPr>
          <w:p w:rsidR="00B301D0" w:rsidRPr="00EF1091" w:rsidRDefault="00B301D0" w:rsidP="00B301D0">
            <w:pPr>
              <w:jc w:val="center"/>
              <w:rPr>
                <w:rFonts w:ascii="Arial" w:hAnsi="Arial" w:cs="Arial"/>
                <w:sz w:val="18"/>
                <w:szCs w:val="18"/>
              </w:rPr>
            </w:pPr>
          </w:p>
        </w:tc>
        <w:tc>
          <w:tcPr>
            <w:tcW w:w="620" w:type="pct"/>
            <w:tcBorders>
              <w:top w:val="single" w:sz="4" w:space="0" w:color="auto"/>
              <w:left w:val="nil"/>
              <w:bottom w:val="single" w:sz="12" w:space="0" w:color="auto"/>
              <w:right w:val="nil"/>
            </w:tcBorders>
            <w:noWrap/>
            <w:vAlign w:val="bottom"/>
          </w:tcPr>
          <w:p w:rsidR="00B301D0" w:rsidRPr="00150F22" w:rsidRDefault="002C293F" w:rsidP="00B301D0">
            <w:pPr>
              <w:jc w:val="right"/>
              <w:rPr>
                <w:rFonts w:ascii="Arial" w:hAnsi="Arial" w:cs="Arial"/>
                <w:b/>
                <w:bCs/>
                <w:sz w:val="18"/>
                <w:szCs w:val="18"/>
              </w:rPr>
            </w:pPr>
            <w:r>
              <w:rPr>
                <w:rFonts w:ascii="Arial" w:hAnsi="Arial" w:cs="Arial"/>
                <w:b/>
                <w:bCs/>
                <w:sz w:val="18"/>
                <w:szCs w:val="18"/>
              </w:rPr>
              <w:t>6,748</w:t>
            </w:r>
          </w:p>
        </w:tc>
        <w:tc>
          <w:tcPr>
            <w:tcW w:w="773" w:type="pct"/>
            <w:tcBorders>
              <w:top w:val="single" w:sz="4" w:space="0" w:color="auto"/>
              <w:left w:val="nil"/>
              <w:bottom w:val="single" w:sz="12" w:space="0" w:color="auto"/>
              <w:right w:val="nil"/>
            </w:tcBorders>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6,771</w:t>
            </w:r>
          </w:p>
        </w:tc>
      </w:tr>
    </w:tbl>
    <w:p w:rsidR="00277D58" w:rsidRDefault="00277D58">
      <w:pPr>
        <w:rPr>
          <w:rFonts w:ascii="Arial" w:hAnsi="Arial" w:cs="Arial"/>
          <w:sz w:val="18"/>
          <w:szCs w:val="18"/>
        </w:rPr>
      </w:pPr>
    </w:p>
    <w:p w:rsidR="00DC25B4" w:rsidRPr="00EF1091" w:rsidRDefault="00DC25B4">
      <w:pPr>
        <w:rPr>
          <w:rFonts w:ascii="Arial" w:hAnsi="Arial" w:cs="Arial"/>
          <w:sz w:val="18"/>
          <w:szCs w:val="18"/>
        </w:rPr>
      </w:pPr>
      <w:r w:rsidRPr="00EF1091">
        <w:rPr>
          <w:rFonts w:ascii="Arial" w:hAnsi="Arial" w:cs="Arial"/>
          <w:sz w:val="18"/>
          <w:szCs w:val="18"/>
        </w:rPr>
        <w:t xml:space="preserve">The financial statements were approved by the Board of </w:t>
      </w:r>
      <w:r w:rsidRPr="0047604C">
        <w:rPr>
          <w:rFonts w:ascii="Arial" w:hAnsi="Arial" w:cs="Arial"/>
          <w:sz w:val="18"/>
          <w:szCs w:val="18"/>
        </w:rPr>
        <w:t xml:space="preserve">Directors on </w:t>
      </w:r>
      <w:r w:rsidR="0027116C" w:rsidRPr="0027116C">
        <w:rPr>
          <w:rFonts w:ascii="Arial" w:hAnsi="Arial" w:cs="Arial"/>
          <w:sz w:val="18"/>
          <w:szCs w:val="18"/>
        </w:rPr>
        <w:t>20</w:t>
      </w:r>
      <w:r w:rsidR="00F25CDE" w:rsidRPr="00B87BBF">
        <w:rPr>
          <w:rFonts w:ascii="Arial" w:hAnsi="Arial" w:cs="Arial"/>
          <w:sz w:val="18"/>
          <w:szCs w:val="18"/>
        </w:rPr>
        <w:t xml:space="preserve"> </w:t>
      </w:r>
      <w:r w:rsidRPr="00B87BBF">
        <w:rPr>
          <w:rFonts w:ascii="Arial" w:hAnsi="Arial" w:cs="Arial"/>
          <w:sz w:val="18"/>
          <w:szCs w:val="18"/>
        </w:rPr>
        <w:t xml:space="preserve">March </w:t>
      </w:r>
      <w:r w:rsidR="001A1B04" w:rsidRPr="00B87BBF">
        <w:rPr>
          <w:rFonts w:ascii="Arial" w:hAnsi="Arial" w:cs="Arial"/>
          <w:sz w:val="18"/>
          <w:szCs w:val="18"/>
        </w:rPr>
        <w:t>201</w:t>
      </w:r>
      <w:r w:rsidR="00B301D0">
        <w:rPr>
          <w:rFonts w:ascii="Arial" w:hAnsi="Arial" w:cs="Arial"/>
          <w:sz w:val="18"/>
          <w:szCs w:val="18"/>
        </w:rPr>
        <w:t>8</w:t>
      </w:r>
      <w:r w:rsidR="001A1B04" w:rsidRPr="0047604C">
        <w:rPr>
          <w:rFonts w:ascii="Arial" w:hAnsi="Arial" w:cs="Arial"/>
          <w:sz w:val="18"/>
          <w:szCs w:val="18"/>
        </w:rPr>
        <w:t xml:space="preserve"> </w:t>
      </w:r>
      <w:r w:rsidRPr="0047604C">
        <w:rPr>
          <w:rFonts w:ascii="Arial" w:hAnsi="Arial" w:cs="Arial"/>
          <w:sz w:val="18"/>
          <w:szCs w:val="18"/>
        </w:rPr>
        <w:t>and</w:t>
      </w:r>
      <w:r w:rsidRPr="00EF1091">
        <w:rPr>
          <w:rFonts w:ascii="Arial" w:hAnsi="Arial" w:cs="Arial"/>
          <w:sz w:val="18"/>
          <w:szCs w:val="18"/>
        </w:rPr>
        <w:t xml:space="preserve"> signed on its behalf by:</w:t>
      </w:r>
    </w:p>
    <w:p w:rsidR="000B19EC" w:rsidRDefault="000B19EC">
      <w:pPr>
        <w:rPr>
          <w:rFonts w:ascii="Arial" w:hAnsi="Arial" w:cs="Arial"/>
          <w:sz w:val="18"/>
          <w:szCs w:val="18"/>
        </w:rPr>
      </w:pPr>
    </w:p>
    <w:p w:rsidR="00B45F67" w:rsidRDefault="00B45F67">
      <w:pPr>
        <w:rPr>
          <w:rFonts w:ascii="Arial" w:hAnsi="Arial" w:cs="Arial"/>
          <w:sz w:val="18"/>
          <w:szCs w:val="18"/>
        </w:rPr>
      </w:pPr>
    </w:p>
    <w:p w:rsidR="00B45F67" w:rsidRPr="00EF1091" w:rsidRDefault="00B45F67">
      <w:pPr>
        <w:rPr>
          <w:rFonts w:ascii="Arial" w:hAnsi="Arial" w:cs="Arial"/>
          <w:sz w:val="18"/>
          <w:szCs w:val="18"/>
        </w:rPr>
      </w:pPr>
    </w:p>
    <w:p w:rsidR="00DC25B4" w:rsidRPr="00BA5B0D" w:rsidRDefault="001A1B04">
      <w:pPr>
        <w:rPr>
          <w:rFonts w:ascii="Arial" w:hAnsi="Arial" w:cs="Arial"/>
          <w:b/>
          <w:sz w:val="18"/>
          <w:szCs w:val="18"/>
        </w:rPr>
      </w:pPr>
      <w:r>
        <w:rPr>
          <w:rFonts w:ascii="Arial" w:hAnsi="Arial" w:cs="Arial"/>
          <w:b/>
          <w:bCs/>
          <w:sz w:val="18"/>
          <w:szCs w:val="18"/>
        </w:rPr>
        <w:t>Véronique Laury</w:t>
      </w:r>
      <w:r>
        <w:rPr>
          <w:rFonts w:ascii="Arial" w:hAnsi="Arial" w:cs="Arial"/>
          <w:b/>
          <w:bCs/>
          <w:sz w:val="18"/>
          <w:szCs w:val="18"/>
        </w:rPr>
        <w:tab/>
      </w:r>
      <w:r w:rsidR="00DC25B4" w:rsidRPr="00BA5B0D">
        <w:rPr>
          <w:rFonts w:ascii="Arial" w:hAnsi="Arial" w:cs="Arial"/>
          <w:b/>
          <w:bCs/>
          <w:sz w:val="18"/>
          <w:szCs w:val="18"/>
        </w:rPr>
        <w:tab/>
      </w:r>
      <w:r w:rsidR="00DC25B4" w:rsidRPr="00BA5B0D">
        <w:rPr>
          <w:rFonts w:ascii="Arial" w:hAnsi="Arial" w:cs="Arial"/>
          <w:b/>
          <w:bCs/>
          <w:sz w:val="18"/>
          <w:szCs w:val="18"/>
        </w:rPr>
        <w:tab/>
      </w:r>
      <w:r w:rsidR="00DC25B4" w:rsidRPr="00BA5B0D">
        <w:rPr>
          <w:rFonts w:ascii="Arial" w:hAnsi="Arial" w:cs="Arial"/>
          <w:b/>
          <w:bCs/>
          <w:sz w:val="18"/>
          <w:szCs w:val="18"/>
        </w:rPr>
        <w:tab/>
      </w:r>
      <w:r w:rsidR="005110E8" w:rsidRPr="00BA5B0D">
        <w:rPr>
          <w:rFonts w:ascii="Arial" w:hAnsi="Arial" w:cs="Arial"/>
          <w:b/>
          <w:bCs/>
          <w:sz w:val="18"/>
          <w:szCs w:val="18"/>
        </w:rPr>
        <w:tab/>
      </w:r>
      <w:r w:rsidR="00A20521">
        <w:rPr>
          <w:rFonts w:ascii="Arial" w:hAnsi="Arial" w:cs="Arial"/>
          <w:b/>
          <w:bCs/>
          <w:sz w:val="18"/>
          <w:szCs w:val="18"/>
        </w:rPr>
        <w:t>Karen Witts</w:t>
      </w:r>
    </w:p>
    <w:p w:rsidR="00FF3A76" w:rsidRDefault="00CA6F51">
      <w:pPr>
        <w:rPr>
          <w:rFonts w:ascii="Arial" w:hAnsi="Arial" w:cs="Arial"/>
          <w:iCs/>
          <w:sz w:val="18"/>
          <w:szCs w:val="18"/>
        </w:rPr>
      </w:pPr>
      <w:r>
        <w:rPr>
          <w:rFonts w:ascii="Arial" w:hAnsi="Arial" w:cs="Arial"/>
          <w:iCs/>
          <w:sz w:val="18"/>
          <w:szCs w:val="18"/>
        </w:rPr>
        <w:t>Chief Executive</w:t>
      </w:r>
      <w:r w:rsidR="00C6225C">
        <w:rPr>
          <w:rFonts w:ascii="Arial" w:hAnsi="Arial" w:cs="Arial"/>
          <w:iCs/>
          <w:sz w:val="18"/>
          <w:szCs w:val="18"/>
        </w:rPr>
        <w:t xml:space="preserve"> Officer</w:t>
      </w:r>
      <w:r w:rsidR="00C6225C">
        <w:rPr>
          <w:rFonts w:ascii="Arial" w:hAnsi="Arial" w:cs="Arial"/>
          <w:iCs/>
          <w:sz w:val="18"/>
          <w:szCs w:val="18"/>
        </w:rPr>
        <w:tab/>
      </w:r>
      <w:r w:rsidR="00DC25B4" w:rsidRPr="00EF1091">
        <w:rPr>
          <w:rFonts w:ascii="Arial" w:hAnsi="Arial" w:cs="Arial"/>
          <w:iCs/>
          <w:sz w:val="18"/>
          <w:szCs w:val="18"/>
        </w:rPr>
        <w:tab/>
      </w:r>
      <w:r w:rsidR="00DC25B4" w:rsidRPr="00EF1091">
        <w:rPr>
          <w:rFonts w:ascii="Arial" w:hAnsi="Arial" w:cs="Arial"/>
          <w:iCs/>
          <w:sz w:val="18"/>
          <w:szCs w:val="18"/>
        </w:rPr>
        <w:tab/>
      </w:r>
      <w:r w:rsidR="005110E8">
        <w:rPr>
          <w:rFonts w:ascii="Arial" w:hAnsi="Arial" w:cs="Arial"/>
          <w:iCs/>
          <w:sz w:val="18"/>
          <w:szCs w:val="18"/>
        </w:rPr>
        <w:tab/>
      </w:r>
      <w:r w:rsidR="00C6225C">
        <w:rPr>
          <w:rFonts w:ascii="Arial" w:hAnsi="Arial" w:cs="Arial"/>
          <w:iCs/>
          <w:sz w:val="18"/>
          <w:szCs w:val="18"/>
        </w:rPr>
        <w:t>Chief Financial Officer</w:t>
      </w:r>
    </w:p>
    <w:p w:rsidR="008E2E1A" w:rsidRDefault="00FF3A76">
      <w:pPr>
        <w:rPr>
          <w:rFonts w:ascii="Arial" w:hAnsi="Arial" w:cs="Arial"/>
          <w:iCs/>
          <w:sz w:val="18"/>
          <w:szCs w:val="18"/>
        </w:rPr>
      </w:pPr>
      <w:r>
        <w:rPr>
          <w:rFonts w:ascii="Arial" w:hAnsi="Arial" w:cs="Arial"/>
          <w:iCs/>
          <w:sz w:val="18"/>
          <w:szCs w:val="18"/>
        </w:rPr>
        <w:br w:type="page"/>
      </w:r>
    </w:p>
    <w:tbl>
      <w:tblPr>
        <w:tblW w:w="5000" w:type="pct"/>
        <w:tblLayout w:type="fixed"/>
        <w:tblLook w:val="0000" w:firstRow="0" w:lastRow="0" w:firstColumn="0" w:lastColumn="0" w:noHBand="0" w:noVBand="0"/>
      </w:tblPr>
      <w:tblGrid>
        <w:gridCol w:w="6399"/>
        <w:gridCol w:w="844"/>
        <w:gridCol w:w="979"/>
        <w:gridCol w:w="1184"/>
        <w:gridCol w:w="233"/>
      </w:tblGrid>
      <w:tr w:rsidR="00CA3EE0" w:rsidRPr="00EF1091" w:rsidTr="001606EE">
        <w:trPr>
          <w:trHeight w:val="402"/>
        </w:trPr>
        <w:tc>
          <w:tcPr>
            <w:tcW w:w="3319" w:type="pct"/>
            <w:tcBorders>
              <w:top w:val="nil"/>
              <w:left w:val="nil"/>
              <w:bottom w:val="nil"/>
              <w:right w:val="nil"/>
            </w:tcBorders>
            <w:noWrap/>
            <w:vAlign w:val="bottom"/>
          </w:tcPr>
          <w:p w:rsidR="00CA3EE0" w:rsidRPr="00EF1091" w:rsidRDefault="00624F57">
            <w:pPr>
              <w:rPr>
                <w:rFonts w:ascii="Arial" w:hAnsi="Arial" w:cs="Arial"/>
                <w:b/>
                <w:bCs/>
                <w:sz w:val="18"/>
                <w:szCs w:val="18"/>
              </w:rPr>
            </w:pPr>
            <w:r>
              <w:rPr>
                <w:rFonts w:ascii="Arial" w:hAnsi="Arial" w:cs="Arial"/>
                <w:iCs/>
                <w:sz w:val="18"/>
                <w:szCs w:val="18"/>
              </w:rPr>
              <w:lastRenderedPageBreak/>
              <w:br w:type="page"/>
            </w:r>
            <w:r w:rsidR="00CA3EE0" w:rsidRPr="00EF1091">
              <w:rPr>
                <w:rFonts w:ascii="Arial" w:hAnsi="Arial" w:cs="Arial"/>
                <w:b/>
                <w:bCs/>
                <w:sz w:val="18"/>
                <w:szCs w:val="18"/>
              </w:rPr>
              <w:t>Consolidated cash flow statement</w:t>
            </w:r>
          </w:p>
        </w:tc>
        <w:tc>
          <w:tcPr>
            <w:tcW w:w="1681" w:type="pct"/>
            <w:gridSpan w:val="4"/>
            <w:tcBorders>
              <w:top w:val="nil"/>
              <w:left w:val="nil"/>
              <w:bottom w:val="nil"/>
              <w:right w:val="nil"/>
            </w:tcBorders>
            <w:vAlign w:val="bottom"/>
          </w:tcPr>
          <w:p w:rsidR="00CA3EE0" w:rsidRPr="00EF1091" w:rsidRDefault="00CA3EE0">
            <w:pPr>
              <w:rPr>
                <w:rFonts w:ascii="Arial" w:hAnsi="Arial" w:cs="Arial"/>
                <w:b/>
                <w:bCs/>
                <w:sz w:val="18"/>
                <w:szCs w:val="18"/>
              </w:rPr>
            </w:pPr>
          </w:p>
        </w:tc>
      </w:tr>
      <w:tr w:rsidR="00CA3EE0" w:rsidRPr="00EF1091" w:rsidTr="001606EE">
        <w:trPr>
          <w:trHeight w:val="282"/>
        </w:trPr>
        <w:tc>
          <w:tcPr>
            <w:tcW w:w="3319" w:type="pct"/>
            <w:tcBorders>
              <w:top w:val="nil"/>
              <w:left w:val="nil"/>
              <w:bottom w:val="nil"/>
              <w:right w:val="nil"/>
            </w:tcBorders>
            <w:noWrap/>
            <w:vAlign w:val="bottom"/>
          </w:tcPr>
          <w:p w:rsidR="00CA3EE0" w:rsidRPr="00EF1091" w:rsidRDefault="00965CD2" w:rsidP="008C583A">
            <w:pPr>
              <w:rPr>
                <w:rFonts w:ascii="Arial" w:hAnsi="Arial" w:cs="Arial"/>
                <w:sz w:val="18"/>
                <w:szCs w:val="18"/>
              </w:rPr>
            </w:pPr>
            <w:r>
              <w:rPr>
                <w:rFonts w:ascii="Arial" w:hAnsi="Arial" w:cs="Arial"/>
                <w:sz w:val="18"/>
                <w:szCs w:val="18"/>
              </w:rPr>
              <w:t>Y</w:t>
            </w:r>
            <w:r w:rsidR="00CA3EE0" w:rsidRPr="00EF1091">
              <w:rPr>
                <w:rFonts w:ascii="Arial" w:hAnsi="Arial" w:cs="Arial"/>
                <w:sz w:val="18"/>
                <w:szCs w:val="18"/>
              </w:rPr>
              <w:t xml:space="preserve">ear ended </w:t>
            </w:r>
            <w:r w:rsidR="00FC37BE">
              <w:rPr>
                <w:rFonts w:ascii="Arial" w:hAnsi="Arial" w:cs="Arial"/>
                <w:sz w:val="18"/>
                <w:szCs w:val="18"/>
              </w:rPr>
              <w:t>31 January 201</w:t>
            </w:r>
            <w:r w:rsidR="00B301D0">
              <w:rPr>
                <w:rFonts w:ascii="Arial" w:hAnsi="Arial" w:cs="Arial"/>
                <w:sz w:val="18"/>
                <w:szCs w:val="18"/>
              </w:rPr>
              <w:t>8</w:t>
            </w:r>
          </w:p>
        </w:tc>
        <w:tc>
          <w:tcPr>
            <w:tcW w:w="1681" w:type="pct"/>
            <w:gridSpan w:val="4"/>
            <w:tcBorders>
              <w:top w:val="nil"/>
              <w:left w:val="nil"/>
              <w:bottom w:val="nil"/>
              <w:right w:val="nil"/>
            </w:tcBorders>
            <w:vAlign w:val="bottom"/>
          </w:tcPr>
          <w:p w:rsidR="00CA3EE0" w:rsidRPr="00EF1091" w:rsidRDefault="00CA3EE0">
            <w:pPr>
              <w:rPr>
                <w:rFonts w:ascii="Arial" w:hAnsi="Arial" w:cs="Arial"/>
                <w:sz w:val="18"/>
                <w:szCs w:val="18"/>
              </w:rPr>
            </w:pPr>
          </w:p>
        </w:tc>
      </w:tr>
      <w:tr w:rsidR="00CA3EE0" w:rsidRPr="00EF1091" w:rsidTr="001606EE">
        <w:trPr>
          <w:trHeight w:val="282"/>
        </w:trPr>
        <w:tc>
          <w:tcPr>
            <w:tcW w:w="3319" w:type="pct"/>
            <w:tcBorders>
              <w:top w:val="nil"/>
              <w:left w:val="nil"/>
              <w:bottom w:val="nil"/>
              <w:right w:val="nil"/>
            </w:tcBorders>
            <w:noWrap/>
            <w:vAlign w:val="bottom"/>
          </w:tcPr>
          <w:p w:rsidR="00CA3EE0" w:rsidRPr="00EF1091" w:rsidRDefault="00CA3EE0">
            <w:pPr>
              <w:rPr>
                <w:rFonts w:ascii="Arial" w:hAnsi="Arial" w:cs="Arial"/>
                <w:sz w:val="18"/>
                <w:szCs w:val="18"/>
              </w:rPr>
            </w:pPr>
          </w:p>
        </w:tc>
        <w:tc>
          <w:tcPr>
            <w:tcW w:w="1681" w:type="pct"/>
            <w:gridSpan w:val="4"/>
            <w:tcBorders>
              <w:top w:val="nil"/>
              <w:left w:val="nil"/>
              <w:bottom w:val="nil"/>
              <w:right w:val="nil"/>
            </w:tcBorders>
            <w:vAlign w:val="bottom"/>
          </w:tcPr>
          <w:p w:rsidR="00CA3EE0" w:rsidRPr="00EF1091" w:rsidRDefault="00CA3EE0">
            <w:pPr>
              <w:rPr>
                <w:rFonts w:ascii="Arial" w:hAnsi="Arial" w:cs="Arial"/>
                <w:sz w:val="18"/>
                <w:szCs w:val="18"/>
              </w:rPr>
            </w:pPr>
          </w:p>
        </w:tc>
      </w:tr>
      <w:tr w:rsidR="000D007B" w:rsidTr="001606EE">
        <w:trPr>
          <w:gridAfter w:val="1"/>
          <w:wAfter w:w="121" w:type="pct"/>
          <w:trHeight w:val="255"/>
        </w:trPr>
        <w:tc>
          <w:tcPr>
            <w:tcW w:w="3319" w:type="pct"/>
            <w:tcBorders>
              <w:top w:val="nil"/>
              <w:left w:val="nil"/>
              <w:bottom w:val="single" w:sz="4" w:space="0" w:color="auto"/>
              <w:right w:val="nil"/>
            </w:tcBorders>
            <w:shd w:val="clear" w:color="auto" w:fill="auto"/>
            <w:noWrap/>
            <w:vAlign w:val="bottom"/>
          </w:tcPr>
          <w:p w:rsidR="000D007B" w:rsidRPr="00A54BAA" w:rsidRDefault="000D007B" w:rsidP="00A54BAA">
            <w:pPr>
              <w:rPr>
                <w:rFonts w:ascii="Arial" w:hAnsi="Arial" w:cs="Arial"/>
                <w:sz w:val="18"/>
                <w:szCs w:val="18"/>
              </w:rPr>
            </w:pPr>
            <w:r w:rsidRPr="00A54BAA">
              <w:rPr>
                <w:rFonts w:ascii="Arial" w:hAnsi="Arial" w:cs="Arial"/>
                <w:sz w:val="18"/>
                <w:szCs w:val="18"/>
              </w:rPr>
              <w:t>£ millions</w:t>
            </w:r>
          </w:p>
        </w:tc>
        <w:tc>
          <w:tcPr>
            <w:tcW w:w="438" w:type="pct"/>
            <w:tcBorders>
              <w:top w:val="nil"/>
              <w:left w:val="nil"/>
              <w:bottom w:val="single" w:sz="4" w:space="0" w:color="auto"/>
              <w:right w:val="nil"/>
            </w:tcBorders>
            <w:vAlign w:val="bottom"/>
          </w:tcPr>
          <w:p w:rsidR="000D007B" w:rsidRPr="00CF4660" w:rsidRDefault="000D007B" w:rsidP="00CA3EE0">
            <w:pPr>
              <w:jc w:val="center"/>
              <w:rPr>
                <w:rFonts w:ascii="Arial" w:hAnsi="Arial" w:cs="Arial"/>
                <w:bCs/>
                <w:sz w:val="18"/>
                <w:szCs w:val="18"/>
              </w:rPr>
            </w:pPr>
            <w:r>
              <w:rPr>
                <w:rFonts w:ascii="Arial" w:hAnsi="Arial" w:cs="Arial"/>
                <w:bCs/>
                <w:sz w:val="18"/>
                <w:szCs w:val="18"/>
              </w:rPr>
              <w:t>Notes</w:t>
            </w:r>
          </w:p>
        </w:tc>
        <w:tc>
          <w:tcPr>
            <w:tcW w:w="508" w:type="pct"/>
            <w:tcBorders>
              <w:top w:val="nil"/>
              <w:left w:val="nil"/>
              <w:bottom w:val="single" w:sz="4" w:space="0" w:color="auto"/>
              <w:right w:val="nil"/>
            </w:tcBorders>
            <w:shd w:val="clear" w:color="auto" w:fill="auto"/>
            <w:noWrap/>
            <w:vAlign w:val="bottom"/>
          </w:tcPr>
          <w:p w:rsidR="000D007B" w:rsidRPr="00CF4660" w:rsidRDefault="000D007B" w:rsidP="00B301D0">
            <w:pPr>
              <w:jc w:val="right"/>
              <w:rPr>
                <w:rFonts w:ascii="Arial" w:hAnsi="Arial" w:cs="Arial"/>
                <w:bCs/>
                <w:sz w:val="18"/>
                <w:szCs w:val="18"/>
              </w:rPr>
            </w:pPr>
            <w:r w:rsidRPr="00CF4660">
              <w:rPr>
                <w:rFonts w:ascii="Arial" w:hAnsi="Arial" w:cs="Arial"/>
                <w:bCs/>
                <w:sz w:val="18"/>
                <w:szCs w:val="18"/>
              </w:rPr>
              <w:t xml:space="preserve"> 20</w:t>
            </w:r>
            <w:r w:rsidR="00B301D0">
              <w:rPr>
                <w:rFonts w:ascii="Arial" w:hAnsi="Arial" w:cs="Arial"/>
                <w:bCs/>
                <w:sz w:val="18"/>
                <w:szCs w:val="18"/>
              </w:rPr>
              <w:t>17</w:t>
            </w:r>
            <w:r w:rsidRPr="00CF4660">
              <w:rPr>
                <w:rFonts w:ascii="Arial" w:hAnsi="Arial" w:cs="Arial"/>
                <w:bCs/>
                <w:sz w:val="18"/>
                <w:szCs w:val="18"/>
              </w:rPr>
              <w:t>/</w:t>
            </w:r>
            <w:r>
              <w:rPr>
                <w:rFonts w:ascii="Arial" w:hAnsi="Arial" w:cs="Arial"/>
                <w:bCs/>
                <w:sz w:val="18"/>
                <w:szCs w:val="18"/>
              </w:rPr>
              <w:t>1</w:t>
            </w:r>
            <w:r w:rsidR="00B301D0">
              <w:rPr>
                <w:rFonts w:ascii="Arial" w:hAnsi="Arial" w:cs="Arial"/>
                <w:bCs/>
                <w:sz w:val="18"/>
                <w:szCs w:val="18"/>
              </w:rPr>
              <w:t>8</w:t>
            </w:r>
          </w:p>
        </w:tc>
        <w:tc>
          <w:tcPr>
            <w:tcW w:w="614" w:type="pct"/>
            <w:tcBorders>
              <w:top w:val="nil"/>
              <w:left w:val="nil"/>
              <w:bottom w:val="single" w:sz="4" w:space="0" w:color="auto"/>
              <w:right w:val="nil"/>
            </w:tcBorders>
            <w:shd w:val="clear" w:color="auto" w:fill="auto"/>
            <w:noWrap/>
            <w:vAlign w:val="bottom"/>
          </w:tcPr>
          <w:p w:rsidR="000D007B" w:rsidRPr="000C6980" w:rsidRDefault="000D007B" w:rsidP="00B301D0">
            <w:pPr>
              <w:jc w:val="right"/>
              <w:rPr>
                <w:rFonts w:ascii="Arial" w:hAnsi="Arial" w:cs="Arial"/>
                <w:sz w:val="18"/>
                <w:szCs w:val="18"/>
              </w:rPr>
            </w:pPr>
            <w:r w:rsidRPr="00CF4660">
              <w:rPr>
                <w:rFonts w:ascii="Arial" w:hAnsi="Arial" w:cs="Arial"/>
                <w:bCs/>
                <w:sz w:val="18"/>
                <w:szCs w:val="18"/>
              </w:rPr>
              <w:t xml:space="preserve"> 20</w:t>
            </w:r>
            <w:r w:rsidR="00EB1368">
              <w:rPr>
                <w:rFonts w:ascii="Arial" w:hAnsi="Arial" w:cs="Arial"/>
                <w:bCs/>
                <w:sz w:val="18"/>
                <w:szCs w:val="18"/>
              </w:rPr>
              <w:t>1</w:t>
            </w:r>
            <w:r w:rsidR="00B301D0">
              <w:rPr>
                <w:rFonts w:ascii="Arial" w:hAnsi="Arial" w:cs="Arial"/>
                <w:bCs/>
                <w:sz w:val="18"/>
                <w:szCs w:val="18"/>
              </w:rPr>
              <w:t>6</w:t>
            </w:r>
            <w:r w:rsidRPr="00CF4660">
              <w:rPr>
                <w:rFonts w:ascii="Arial" w:hAnsi="Arial" w:cs="Arial"/>
                <w:bCs/>
                <w:sz w:val="18"/>
                <w:szCs w:val="18"/>
              </w:rPr>
              <w:t>/</w:t>
            </w:r>
            <w:r>
              <w:rPr>
                <w:rFonts w:ascii="Arial" w:hAnsi="Arial" w:cs="Arial"/>
                <w:bCs/>
                <w:sz w:val="18"/>
                <w:szCs w:val="18"/>
              </w:rPr>
              <w:t>1</w:t>
            </w:r>
            <w:r w:rsidR="00B301D0">
              <w:rPr>
                <w:rFonts w:ascii="Arial" w:hAnsi="Arial" w:cs="Arial"/>
                <w:bCs/>
                <w:sz w:val="18"/>
                <w:szCs w:val="18"/>
              </w:rPr>
              <w:t>7</w:t>
            </w:r>
          </w:p>
        </w:tc>
      </w:tr>
      <w:tr w:rsidR="000D007B" w:rsidRPr="003B1B97" w:rsidTr="001606EE">
        <w:trPr>
          <w:gridAfter w:val="1"/>
          <w:wAfter w:w="121" w:type="pct"/>
          <w:trHeight w:val="255"/>
        </w:trPr>
        <w:tc>
          <w:tcPr>
            <w:tcW w:w="3319" w:type="pct"/>
            <w:tcBorders>
              <w:top w:val="nil"/>
              <w:left w:val="nil"/>
              <w:right w:val="nil"/>
            </w:tcBorders>
            <w:shd w:val="clear" w:color="auto" w:fill="auto"/>
            <w:noWrap/>
            <w:vAlign w:val="bottom"/>
          </w:tcPr>
          <w:p w:rsidR="000D007B" w:rsidRPr="00A54BAA" w:rsidRDefault="000D007B" w:rsidP="00A54BAA">
            <w:pPr>
              <w:rPr>
                <w:rFonts w:ascii="Arial" w:hAnsi="Arial" w:cs="Arial"/>
                <w:b/>
                <w:bCs/>
                <w:sz w:val="18"/>
                <w:szCs w:val="18"/>
              </w:rPr>
            </w:pPr>
            <w:r>
              <w:rPr>
                <w:rFonts w:ascii="Arial" w:hAnsi="Arial" w:cs="Arial"/>
                <w:b/>
                <w:bCs/>
                <w:sz w:val="18"/>
                <w:szCs w:val="18"/>
              </w:rPr>
              <w:t>O</w:t>
            </w:r>
            <w:r w:rsidRPr="002A7D7A">
              <w:rPr>
                <w:rFonts w:ascii="Arial" w:hAnsi="Arial" w:cs="Arial"/>
                <w:b/>
                <w:bCs/>
                <w:sz w:val="18"/>
                <w:szCs w:val="18"/>
              </w:rPr>
              <w:t>perating activities</w:t>
            </w:r>
            <w:r>
              <w:rPr>
                <w:rFonts w:ascii="Arial" w:hAnsi="Arial" w:cs="Arial"/>
                <w:b/>
                <w:bCs/>
                <w:sz w:val="18"/>
                <w:szCs w:val="18"/>
              </w:rPr>
              <w:t xml:space="preserve"> </w:t>
            </w:r>
          </w:p>
        </w:tc>
        <w:tc>
          <w:tcPr>
            <w:tcW w:w="438" w:type="pct"/>
            <w:tcBorders>
              <w:top w:val="nil"/>
              <w:left w:val="nil"/>
              <w:right w:val="nil"/>
            </w:tcBorders>
            <w:vAlign w:val="bottom"/>
          </w:tcPr>
          <w:p w:rsidR="000D007B" w:rsidRPr="00CA3EE0" w:rsidRDefault="000D007B" w:rsidP="00CA3EE0">
            <w:pPr>
              <w:jc w:val="center"/>
              <w:rPr>
                <w:rFonts w:ascii="Arial" w:hAnsi="Arial" w:cs="Arial"/>
                <w:bCs/>
                <w:sz w:val="18"/>
                <w:szCs w:val="18"/>
              </w:rPr>
            </w:pPr>
          </w:p>
        </w:tc>
        <w:tc>
          <w:tcPr>
            <w:tcW w:w="508" w:type="pct"/>
            <w:tcBorders>
              <w:top w:val="nil"/>
              <w:left w:val="nil"/>
              <w:right w:val="nil"/>
            </w:tcBorders>
            <w:shd w:val="clear" w:color="auto" w:fill="auto"/>
            <w:noWrap/>
            <w:vAlign w:val="bottom"/>
          </w:tcPr>
          <w:p w:rsidR="000D007B" w:rsidRPr="00A54BAA" w:rsidRDefault="000D007B" w:rsidP="00A54BAA">
            <w:pPr>
              <w:jc w:val="right"/>
              <w:rPr>
                <w:rFonts w:ascii="Arial" w:hAnsi="Arial" w:cs="Arial"/>
                <w:b/>
                <w:bCs/>
                <w:sz w:val="18"/>
                <w:szCs w:val="18"/>
              </w:rPr>
            </w:pPr>
          </w:p>
        </w:tc>
        <w:tc>
          <w:tcPr>
            <w:tcW w:w="614" w:type="pct"/>
            <w:tcBorders>
              <w:top w:val="nil"/>
              <w:left w:val="nil"/>
              <w:right w:val="nil"/>
            </w:tcBorders>
            <w:shd w:val="clear" w:color="auto" w:fill="auto"/>
            <w:noWrap/>
            <w:vAlign w:val="bottom"/>
          </w:tcPr>
          <w:p w:rsidR="000D007B" w:rsidRPr="00E737D3" w:rsidRDefault="000D007B" w:rsidP="00A54BAA">
            <w:pPr>
              <w:jc w:val="right"/>
              <w:rPr>
                <w:rFonts w:ascii="Arial" w:hAnsi="Arial" w:cs="Arial"/>
                <w:sz w:val="18"/>
                <w:szCs w:val="18"/>
              </w:rPr>
            </w:pPr>
          </w:p>
        </w:tc>
      </w:tr>
      <w:tr w:rsidR="00B301D0" w:rsidRPr="00FC44B0" w:rsidTr="001606EE">
        <w:trPr>
          <w:gridAfter w:val="1"/>
          <w:wAfter w:w="121" w:type="pct"/>
          <w:trHeight w:val="255"/>
        </w:trPr>
        <w:tc>
          <w:tcPr>
            <w:tcW w:w="3319" w:type="pct"/>
            <w:tcBorders>
              <w:top w:val="nil"/>
              <w:left w:val="nil"/>
              <w:right w:val="nil"/>
            </w:tcBorders>
            <w:shd w:val="clear" w:color="auto" w:fill="auto"/>
            <w:noWrap/>
            <w:vAlign w:val="bottom"/>
          </w:tcPr>
          <w:p w:rsidR="00B301D0" w:rsidRDefault="00B301D0" w:rsidP="00B301D0">
            <w:pPr>
              <w:rPr>
                <w:rFonts w:ascii="Arial" w:hAnsi="Arial" w:cs="Arial"/>
                <w:sz w:val="18"/>
                <w:szCs w:val="18"/>
              </w:rPr>
            </w:pPr>
            <w:r>
              <w:rPr>
                <w:rFonts w:ascii="Arial" w:hAnsi="Arial" w:cs="Arial"/>
                <w:sz w:val="18"/>
                <w:szCs w:val="18"/>
              </w:rPr>
              <w:t>Cash generated by operations</w:t>
            </w:r>
          </w:p>
        </w:tc>
        <w:tc>
          <w:tcPr>
            <w:tcW w:w="438" w:type="pct"/>
            <w:tcBorders>
              <w:top w:val="nil"/>
              <w:left w:val="nil"/>
              <w:right w:val="nil"/>
            </w:tcBorders>
            <w:vAlign w:val="bottom"/>
          </w:tcPr>
          <w:p w:rsidR="00B301D0" w:rsidRPr="00FC44B0" w:rsidRDefault="00B301D0" w:rsidP="00B301D0">
            <w:pPr>
              <w:jc w:val="center"/>
              <w:rPr>
                <w:rFonts w:ascii="Arial" w:hAnsi="Arial" w:cs="Arial"/>
                <w:sz w:val="18"/>
                <w:szCs w:val="18"/>
              </w:rPr>
            </w:pPr>
            <w:r>
              <w:rPr>
                <w:rFonts w:ascii="Arial" w:hAnsi="Arial" w:cs="Arial"/>
                <w:sz w:val="18"/>
                <w:szCs w:val="18"/>
              </w:rPr>
              <w:t>10</w:t>
            </w:r>
          </w:p>
        </w:tc>
        <w:tc>
          <w:tcPr>
            <w:tcW w:w="508" w:type="pct"/>
            <w:tcBorders>
              <w:top w:val="nil"/>
              <w:left w:val="nil"/>
              <w:bottom w:val="nil"/>
              <w:right w:val="nil"/>
            </w:tcBorders>
            <w:shd w:val="clear" w:color="auto" w:fill="auto"/>
            <w:noWrap/>
            <w:vAlign w:val="bottom"/>
          </w:tcPr>
          <w:p w:rsidR="00B301D0" w:rsidRPr="00C21F72" w:rsidRDefault="005A4892" w:rsidP="00B301D0">
            <w:pPr>
              <w:jc w:val="right"/>
              <w:rPr>
                <w:rFonts w:ascii="Arial" w:hAnsi="Arial" w:cs="Arial"/>
                <w:b/>
                <w:bCs/>
                <w:sz w:val="18"/>
                <w:szCs w:val="18"/>
              </w:rPr>
            </w:pPr>
            <w:r>
              <w:rPr>
                <w:rFonts w:ascii="Arial" w:hAnsi="Arial" w:cs="Arial"/>
                <w:b/>
                <w:bCs/>
                <w:sz w:val="18"/>
                <w:szCs w:val="18"/>
              </w:rPr>
              <w:t>47</w:t>
            </w:r>
            <w:r w:rsidR="002008C7">
              <w:rPr>
                <w:rFonts w:ascii="Arial" w:hAnsi="Arial" w:cs="Arial"/>
                <w:b/>
                <w:bCs/>
                <w:sz w:val="18"/>
                <w:szCs w:val="18"/>
              </w:rPr>
              <w:t>5</w:t>
            </w:r>
          </w:p>
        </w:tc>
        <w:tc>
          <w:tcPr>
            <w:tcW w:w="614" w:type="pct"/>
            <w:tcBorders>
              <w:top w:val="nil"/>
              <w:left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925</w:t>
            </w:r>
          </w:p>
        </w:tc>
      </w:tr>
      <w:tr w:rsidR="00B301D0" w:rsidRPr="003B1B97" w:rsidTr="001606EE">
        <w:trPr>
          <w:gridAfter w:val="1"/>
          <w:wAfter w:w="121" w:type="pct"/>
          <w:trHeight w:val="255"/>
        </w:trPr>
        <w:tc>
          <w:tcPr>
            <w:tcW w:w="3319" w:type="pct"/>
            <w:tcBorders>
              <w:left w:val="nil"/>
              <w:right w:val="nil"/>
            </w:tcBorders>
            <w:shd w:val="clear" w:color="auto" w:fill="auto"/>
            <w:noWrap/>
            <w:vAlign w:val="bottom"/>
          </w:tcPr>
          <w:p w:rsidR="00B301D0" w:rsidRPr="00A54BAA" w:rsidRDefault="00B301D0" w:rsidP="00B301D0">
            <w:pPr>
              <w:rPr>
                <w:rFonts w:ascii="Arial" w:hAnsi="Arial" w:cs="Arial"/>
                <w:sz w:val="18"/>
                <w:szCs w:val="18"/>
              </w:rPr>
            </w:pPr>
            <w:r>
              <w:rPr>
                <w:rFonts w:ascii="Arial" w:hAnsi="Arial" w:cs="Arial"/>
                <w:sz w:val="18"/>
                <w:szCs w:val="18"/>
              </w:rPr>
              <w:t>Income tax paid</w:t>
            </w:r>
          </w:p>
        </w:tc>
        <w:tc>
          <w:tcPr>
            <w:tcW w:w="438" w:type="pct"/>
            <w:tcBorders>
              <w:left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single" w:sz="4" w:space="0" w:color="auto"/>
              <w:right w:val="nil"/>
            </w:tcBorders>
            <w:shd w:val="clear" w:color="auto" w:fill="auto"/>
            <w:noWrap/>
            <w:vAlign w:val="bottom"/>
          </w:tcPr>
          <w:p w:rsidR="00B301D0" w:rsidRPr="00C21F72" w:rsidRDefault="005A4892" w:rsidP="00B301D0">
            <w:pPr>
              <w:jc w:val="right"/>
              <w:rPr>
                <w:rFonts w:ascii="Arial" w:hAnsi="Arial" w:cs="Arial"/>
                <w:b/>
                <w:bCs/>
                <w:sz w:val="18"/>
                <w:szCs w:val="18"/>
              </w:rPr>
            </w:pPr>
            <w:r>
              <w:rPr>
                <w:rFonts w:ascii="Arial" w:hAnsi="Arial" w:cs="Arial"/>
                <w:b/>
                <w:bCs/>
                <w:sz w:val="18"/>
                <w:szCs w:val="18"/>
              </w:rPr>
              <w:t>(182)</w:t>
            </w:r>
          </w:p>
        </w:tc>
        <w:tc>
          <w:tcPr>
            <w:tcW w:w="614" w:type="pct"/>
            <w:tcBorders>
              <w:left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(144)</w:t>
            </w:r>
          </w:p>
        </w:tc>
      </w:tr>
      <w:tr w:rsidR="00B301D0" w:rsidRPr="003B1B97" w:rsidTr="001606EE">
        <w:trPr>
          <w:gridAfter w:val="1"/>
          <w:wAfter w:w="121" w:type="pct"/>
          <w:trHeight w:val="255"/>
        </w:trPr>
        <w:tc>
          <w:tcPr>
            <w:tcW w:w="3319" w:type="pct"/>
            <w:tcBorders>
              <w:top w:val="single" w:sz="4" w:space="0" w:color="auto"/>
              <w:left w:val="nil"/>
              <w:bottom w:val="nil"/>
              <w:right w:val="nil"/>
            </w:tcBorders>
            <w:shd w:val="clear" w:color="auto" w:fill="auto"/>
            <w:noWrap/>
            <w:vAlign w:val="bottom"/>
          </w:tcPr>
          <w:p w:rsidR="00B301D0" w:rsidRPr="00A54BAA" w:rsidRDefault="00B301D0" w:rsidP="00B301D0">
            <w:pPr>
              <w:rPr>
                <w:rFonts w:ascii="Arial" w:hAnsi="Arial" w:cs="Arial"/>
                <w:sz w:val="18"/>
                <w:szCs w:val="18"/>
              </w:rPr>
            </w:pPr>
            <w:r w:rsidRPr="002A7D7A">
              <w:rPr>
                <w:rFonts w:ascii="Arial" w:hAnsi="Arial" w:cs="Arial"/>
                <w:b/>
                <w:bCs/>
                <w:sz w:val="18"/>
                <w:szCs w:val="18"/>
              </w:rPr>
              <w:t>Net cash flows from operating activities</w:t>
            </w:r>
          </w:p>
        </w:tc>
        <w:tc>
          <w:tcPr>
            <w:tcW w:w="438" w:type="pct"/>
            <w:tcBorders>
              <w:top w:val="single" w:sz="4" w:space="0" w:color="auto"/>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C21F72" w:rsidRDefault="005A4892" w:rsidP="00B301D0">
            <w:pPr>
              <w:jc w:val="right"/>
              <w:rPr>
                <w:rFonts w:ascii="Arial" w:hAnsi="Arial" w:cs="Arial"/>
                <w:b/>
                <w:bCs/>
                <w:sz w:val="18"/>
                <w:szCs w:val="18"/>
              </w:rPr>
            </w:pPr>
            <w:r>
              <w:rPr>
                <w:rFonts w:ascii="Arial" w:hAnsi="Arial" w:cs="Arial"/>
                <w:b/>
                <w:bCs/>
                <w:sz w:val="18"/>
                <w:szCs w:val="18"/>
              </w:rPr>
              <w:t>29</w:t>
            </w:r>
            <w:r w:rsidR="002008C7">
              <w:rPr>
                <w:rFonts w:ascii="Arial" w:hAnsi="Arial" w:cs="Arial"/>
                <w:b/>
                <w:bCs/>
                <w:sz w:val="18"/>
                <w:szCs w:val="18"/>
              </w:rPr>
              <w:t>3</w:t>
            </w:r>
          </w:p>
        </w:tc>
        <w:tc>
          <w:tcPr>
            <w:tcW w:w="614" w:type="pct"/>
            <w:tcBorders>
              <w:top w:val="single" w:sz="4" w:space="0" w:color="auto"/>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781</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A54BAA" w:rsidRDefault="00B301D0" w:rsidP="00B301D0">
            <w:pPr>
              <w:rPr>
                <w:rFonts w:ascii="Arial" w:hAnsi="Arial" w:cs="Arial"/>
                <w:sz w:val="18"/>
                <w:szCs w:val="18"/>
              </w:rPr>
            </w:pP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C21F72" w:rsidRDefault="00B301D0" w:rsidP="00B301D0">
            <w:pPr>
              <w:jc w:val="right"/>
              <w:rPr>
                <w:rFonts w:ascii="Arial" w:hAnsi="Arial" w:cs="Arial"/>
                <w:b/>
                <w:bCs/>
                <w:sz w:val="18"/>
                <w:szCs w:val="18"/>
              </w:rPr>
            </w:pP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A54BAA" w:rsidRDefault="00B301D0" w:rsidP="00B301D0">
            <w:pPr>
              <w:rPr>
                <w:rFonts w:ascii="Arial" w:hAnsi="Arial" w:cs="Arial"/>
                <w:b/>
                <w:bCs/>
                <w:sz w:val="18"/>
                <w:szCs w:val="18"/>
              </w:rPr>
            </w:pPr>
            <w:r>
              <w:rPr>
                <w:rFonts w:ascii="Arial" w:hAnsi="Arial" w:cs="Arial"/>
                <w:b/>
                <w:bCs/>
                <w:sz w:val="18"/>
                <w:szCs w:val="18"/>
              </w:rPr>
              <w:t>I</w:t>
            </w:r>
            <w:r w:rsidRPr="00A54BAA">
              <w:rPr>
                <w:rFonts w:ascii="Arial" w:hAnsi="Arial" w:cs="Arial"/>
                <w:b/>
                <w:bCs/>
                <w:sz w:val="18"/>
                <w:szCs w:val="18"/>
              </w:rPr>
              <w:t>nvesting activities</w:t>
            </w:r>
            <w:r>
              <w:rPr>
                <w:rFonts w:ascii="Arial" w:hAnsi="Arial" w:cs="Arial"/>
                <w:b/>
                <w:bCs/>
                <w:sz w:val="18"/>
                <w:szCs w:val="18"/>
              </w:rPr>
              <w:t xml:space="preserve"> </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C21F72" w:rsidRDefault="00B301D0" w:rsidP="00B301D0">
            <w:pPr>
              <w:rPr>
                <w:sz w:val="18"/>
                <w:szCs w:val="18"/>
              </w:rPr>
            </w:pPr>
          </w:p>
        </w:tc>
        <w:tc>
          <w:tcPr>
            <w:tcW w:w="614" w:type="pct"/>
            <w:tcBorders>
              <w:top w:val="nil"/>
              <w:left w:val="nil"/>
              <w:bottom w:val="nil"/>
              <w:right w:val="nil"/>
            </w:tcBorders>
            <w:shd w:val="clear" w:color="auto" w:fill="auto"/>
            <w:noWrap/>
            <w:vAlign w:val="bottom"/>
          </w:tcPr>
          <w:p w:rsidR="00B301D0" w:rsidRPr="00B301D0" w:rsidRDefault="00B301D0" w:rsidP="00B301D0">
            <w:pPr>
              <w:rPr>
                <w:sz w:val="18"/>
                <w:szCs w:val="18"/>
              </w:rPr>
            </w:pP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Default="00B301D0" w:rsidP="00B301D0">
            <w:pPr>
              <w:rPr>
                <w:rFonts w:ascii="Arial" w:hAnsi="Arial" w:cs="Arial"/>
                <w:sz w:val="18"/>
                <w:szCs w:val="18"/>
              </w:rPr>
            </w:pPr>
            <w:r>
              <w:rPr>
                <w:rFonts w:ascii="Arial" w:hAnsi="Arial" w:cs="Arial"/>
                <w:sz w:val="18"/>
                <w:szCs w:val="18"/>
              </w:rPr>
              <w:t>Purchase of</w:t>
            </w:r>
            <w:r w:rsidRPr="002A7D7A">
              <w:rPr>
                <w:rFonts w:ascii="Arial" w:hAnsi="Arial" w:cs="Arial"/>
                <w:sz w:val="18"/>
                <w:szCs w:val="18"/>
              </w:rPr>
              <w:t xml:space="preserve"> </w:t>
            </w:r>
            <w:r>
              <w:rPr>
                <w:rFonts w:ascii="Arial" w:hAnsi="Arial" w:cs="Arial"/>
                <w:sz w:val="18"/>
                <w:szCs w:val="18"/>
              </w:rPr>
              <w:t>property, plant and equipment and intangible assets</w:t>
            </w:r>
            <w:r w:rsidDel="005B4C94">
              <w:rPr>
                <w:rFonts w:ascii="Arial" w:hAnsi="Arial" w:cs="Arial"/>
                <w:sz w:val="18"/>
                <w:szCs w:val="18"/>
              </w:rPr>
              <w:t xml:space="preserve"> </w:t>
            </w:r>
          </w:p>
        </w:tc>
        <w:tc>
          <w:tcPr>
            <w:tcW w:w="438" w:type="pct"/>
            <w:tcBorders>
              <w:top w:val="nil"/>
              <w:left w:val="nil"/>
              <w:bottom w:val="nil"/>
              <w:right w:val="nil"/>
            </w:tcBorders>
            <w:vAlign w:val="bottom"/>
          </w:tcPr>
          <w:p w:rsidR="00B301D0" w:rsidRPr="00BB6BB7" w:rsidRDefault="00B301D0" w:rsidP="00B301D0">
            <w:pPr>
              <w:jc w:val="center"/>
              <w:rPr>
                <w:rFonts w:ascii="Arial" w:hAnsi="Arial" w:cs="Arial"/>
                <w:bCs/>
                <w:sz w:val="18"/>
                <w:szCs w:val="18"/>
              </w:rPr>
            </w:pPr>
          </w:p>
        </w:tc>
        <w:tc>
          <w:tcPr>
            <w:tcW w:w="508" w:type="pct"/>
            <w:tcBorders>
              <w:top w:val="nil"/>
              <w:left w:val="nil"/>
              <w:bottom w:val="nil"/>
              <w:right w:val="nil"/>
            </w:tcBorders>
            <w:shd w:val="clear" w:color="auto" w:fill="auto"/>
            <w:noWrap/>
            <w:vAlign w:val="bottom"/>
          </w:tcPr>
          <w:p w:rsidR="00B301D0" w:rsidRPr="00C21F72" w:rsidRDefault="00BA5F43" w:rsidP="00B301D0">
            <w:pPr>
              <w:jc w:val="right"/>
              <w:rPr>
                <w:rFonts w:ascii="Arial" w:hAnsi="Arial" w:cs="Arial"/>
                <w:b/>
                <w:bCs/>
                <w:sz w:val="18"/>
                <w:szCs w:val="18"/>
              </w:rPr>
            </w:pPr>
            <w:r>
              <w:rPr>
                <w:rFonts w:ascii="Arial" w:hAnsi="Arial" w:cs="Arial"/>
                <w:b/>
                <w:bCs/>
                <w:sz w:val="18"/>
                <w:szCs w:val="18"/>
              </w:rPr>
              <w:t>(36</w:t>
            </w:r>
            <w:r w:rsidR="002008C7">
              <w:rPr>
                <w:rFonts w:ascii="Arial" w:hAnsi="Arial" w:cs="Arial"/>
                <w:b/>
                <w:bCs/>
                <w:sz w:val="18"/>
                <w:szCs w:val="18"/>
              </w:rPr>
              <w:t>8</w:t>
            </w:r>
            <w:r>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(406)</w:t>
            </w:r>
          </w:p>
        </w:tc>
      </w:tr>
      <w:tr w:rsidR="00E561A2"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E561A2" w:rsidRDefault="00E561A2" w:rsidP="00B301D0">
            <w:pPr>
              <w:rPr>
                <w:rFonts w:ascii="Arial" w:hAnsi="Arial" w:cs="Arial"/>
                <w:sz w:val="18"/>
                <w:szCs w:val="18"/>
              </w:rPr>
            </w:pPr>
            <w:r>
              <w:rPr>
                <w:rFonts w:ascii="Arial" w:hAnsi="Arial" w:cs="Arial"/>
                <w:sz w:val="18"/>
                <w:szCs w:val="18"/>
              </w:rPr>
              <w:t xml:space="preserve">Purchase of businesses, net of </w:t>
            </w:r>
            <w:r w:rsidR="00B13888">
              <w:rPr>
                <w:rFonts w:ascii="Arial" w:hAnsi="Arial" w:cs="Arial"/>
                <w:sz w:val="18"/>
                <w:szCs w:val="18"/>
              </w:rPr>
              <w:t>cash</w:t>
            </w:r>
            <w:r>
              <w:rPr>
                <w:rFonts w:ascii="Arial" w:hAnsi="Arial" w:cs="Arial"/>
                <w:sz w:val="18"/>
                <w:szCs w:val="18"/>
              </w:rPr>
              <w:t xml:space="preserve"> acquired</w:t>
            </w:r>
          </w:p>
        </w:tc>
        <w:tc>
          <w:tcPr>
            <w:tcW w:w="438" w:type="pct"/>
            <w:tcBorders>
              <w:top w:val="nil"/>
              <w:left w:val="nil"/>
              <w:bottom w:val="nil"/>
              <w:right w:val="nil"/>
            </w:tcBorders>
            <w:vAlign w:val="bottom"/>
          </w:tcPr>
          <w:p w:rsidR="00E561A2" w:rsidRPr="00BB6BB7" w:rsidRDefault="00884E1E" w:rsidP="00B301D0">
            <w:pPr>
              <w:jc w:val="center"/>
              <w:rPr>
                <w:rFonts w:ascii="Arial" w:hAnsi="Arial" w:cs="Arial"/>
                <w:bCs/>
                <w:sz w:val="18"/>
                <w:szCs w:val="18"/>
              </w:rPr>
            </w:pPr>
            <w:r w:rsidRPr="00884E1E">
              <w:rPr>
                <w:rFonts w:ascii="Arial" w:hAnsi="Arial" w:cs="Arial"/>
                <w:bCs/>
                <w:sz w:val="18"/>
                <w:szCs w:val="18"/>
              </w:rPr>
              <w:t>12</w:t>
            </w:r>
          </w:p>
        </w:tc>
        <w:tc>
          <w:tcPr>
            <w:tcW w:w="508" w:type="pct"/>
            <w:tcBorders>
              <w:top w:val="nil"/>
              <w:left w:val="nil"/>
              <w:bottom w:val="nil"/>
              <w:right w:val="nil"/>
            </w:tcBorders>
            <w:shd w:val="clear" w:color="auto" w:fill="auto"/>
            <w:noWrap/>
            <w:vAlign w:val="bottom"/>
          </w:tcPr>
          <w:p w:rsidR="00E561A2" w:rsidRDefault="00E561A2" w:rsidP="00B301D0">
            <w:pPr>
              <w:jc w:val="right"/>
              <w:rPr>
                <w:rFonts w:ascii="Arial" w:hAnsi="Arial" w:cs="Arial"/>
                <w:b/>
                <w:bCs/>
                <w:sz w:val="18"/>
                <w:szCs w:val="18"/>
              </w:rPr>
            </w:pPr>
            <w:r w:rsidRPr="005D3459">
              <w:rPr>
                <w:rFonts w:ascii="Arial" w:hAnsi="Arial" w:cs="Arial"/>
                <w:b/>
                <w:bCs/>
                <w:sz w:val="18"/>
                <w:szCs w:val="18"/>
              </w:rPr>
              <w:t>(1</w:t>
            </w:r>
            <w:r w:rsidR="005D3459" w:rsidRPr="005D3459">
              <w:rPr>
                <w:rFonts w:ascii="Arial" w:hAnsi="Arial" w:cs="Arial"/>
                <w:b/>
                <w:bCs/>
                <w:sz w:val="18"/>
                <w:szCs w:val="18"/>
              </w:rPr>
              <w:t>2</w:t>
            </w:r>
            <w:r w:rsidRPr="005D3459">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rsidR="00E561A2" w:rsidRPr="00B301D0" w:rsidRDefault="00E561A2" w:rsidP="00B301D0">
            <w:pPr>
              <w:jc w:val="right"/>
              <w:rPr>
                <w:rFonts w:ascii="Arial" w:hAnsi="Arial" w:cs="Arial"/>
                <w:bCs/>
                <w:sz w:val="18"/>
                <w:szCs w:val="18"/>
              </w:rPr>
            </w:pPr>
            <w:r>
              <w:rPr>
                <w:rFonts w:ascii="Arial" w:hAnsi="Arial" w:cs="Arial"/>
                <w:bCs/>
                <w:sz w:val="18"/>
                <w:szCs w:val="18"/>
              </w:rPr>
              <w:t>–</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Default="00B301D0" w:rsidP="00B301D0">
            <w:pPr>
              <w:rPr>
                <w:rFonts w:ascii="Arial" w:hAnsi="Arial" w:cs="Arial"/>
                <w:sz w:val="18"/>
                <w:szCs w:val="18"/>
              </w:rPr>
            </w:pPr>
            <w:r>
              <w:rPr>
                <w:rFonts w:ascii="Arial" w:hAnsi="Arial" w:cs="Arial"/>
                <w:sz w:val="18"/>
                <w:szCs w:val="18"/>
              </w:rPr>
              <w:t>Disposal</w:t>
            </w:r>
            <w:r w:rsidRPr="002A7D7A">
              <w:rPr>
                <w:rFonts w:ascii="Arial" w:hAnsi="Arial" w:cs="Arial"/>
                <w:sz w:val="18"/>
                <w:szCs w:val="18"/>
              </w:rPr>
              <w:t xml:space="preserve"> of</w:t>
            </w:r>
            <w:r>
              <w:rPr>
                <w:rFonts w:ascii="Arial" w:hAnsi="Arial" w:cs="Arial"/>
                <w:sz w:val="18"/>
                <w:szCs w:val="18"/>
              </w:rPr>
              <w:t xml:space="preserve"> property, plant and equipment, </w:t>
            </w:r>
            <w:r w:rsidRPr="002A7D7A">
              <w:rPr>
                <w:rFonts w:ascii="Arial" w:hAnsi="Arial" w:cs="Arial"/>
                <w:sz w:val="18"/>
                <w:szCs w:val="18"/>
              </w:rPr>
              <w:t>investment property</w:t>
            </w:r>
            <w:r>
              <w:rPr>
                <w:rFonts w:ascii="Arial" w:hAnsi="Arial" w:cs="Arial"/>
                <w:sz w:val="18"/>
                <w:szCs w:val="18"/>
              </w:rPr>
              <w:t xml:space="preserve"> and </w:t>
            </w:r>
            <w:r w:rsidR="009A24C7">
              <w:rPr>
                <w:rFonts w:ascii="Arial" w:hAnsi="Arial" w:cs="Arial"/>
                <w:sz w:val="18"/>
                <w:szCs w:val="18"/>
              </w:rPr>
              <w:t>intangible assets</w:t>
            </w:r>
          </w:p>
        </w:tc>
        <w:tc>
          <w:tcPr>
            <w:tcW w:w="438" w:type="pct"/>
            <w:tcBorders>
              <w:top w:val="nil"/>
              <w:left w:val="nil"/>
              <w:bottom w:val="nil"/>
              <w:right w:val="nil"/>
            </w:tcBorders>
            <w:vAlign w:val="bottom"/>
          </w:tcPr>
          <w:p w:rsidR="00B301D0" w:rsidRPr="00BB6BB7" w:rsidRDefault="00B301D0" w:rsidP="00B301D0">
            <w:pPr>
              <w:jc w:val="center"/>
              <w:rPr>
                <w:rFonts w:ascii="Arial" w:hAnsi="Arial" w:cs="Arial"/>
                <w:bCs/>
                <w:sz w:val="18"/>
                <w:szCs w:val="18"/>
              </w:rPr>
            </w:pPr>
          </w:p>
        </w:tc>
        <w:tc>
          <w:tcPr>
            <w:tcW w:w="508" w:type="pct"/>
            <w:tcBorders>
              <w:top w:val="nil"/>
              <w:left w:val="nil"/>
              <w:bottom w:val="nil"/>
              <w:right w:val="nil"/>
            </w:tcBorders>
            <w:shd w:val="clear" w:color="auto" w:fill="auto"/>
            <w:noWrap/>
            <w:vAlign w:val="bottom"/>
          </w:tcPr>
          <w:p w:rsidR="00B301D0" w:rsidRPr="00C21F72" w:rsidRDefault="00BA5F43" w:rsidP="00B301D0">
            <w:pPr>
              <w:jc w:val="right"/>
              <w:rPr>
                <w:rFonts w:ascii="Arial" w:hAnsi="Arial" w:cs="Arial"/>
                <w:b/>
                <w:bCs/>
                <w:sz w:val="18"/>
                <w:szCs w:val="18"/>
              </w:rPr>
            </w:pPr>
            <w:r>
              <w:rPr>
                <w:rFonts w:ascii="Arial" w:hAnsi="Arial" w:cs="Arial"/>
                <w:b/>
                <w:bCs/>
                <w:sz w:val="18"/>
                <w:szCs w:val="18"/>
              </w:rPr>
              <w:t>6</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20</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Default="00BA5F43" w:rsidP="00B301D0">
            <w:pPr>
              <w:rPr>
                <w:rFonts w:ascii="Arial" w:hAnsi="Arial" w:cs="Arial"/>
                <w:sz w:val="18"/>
                <w:szCs w:val="18"/>
              </w:rPr>
            </w:pPr>
            <w:r>
              <w:rPr>
                <w:rFonts w:ascii="Arial" w:hAnsi="Arial" w:cs="Arial"/>
                <w:sz w:val="18"/>
                <w:szCs w:val="18"/>
              </w:rPr>
              <w:t>Disposal of B&amp;Q China</w:t>
            </w:r>
          </w:p>
        </w:tc>
        <w:tc>
          <w:tcPr>
            <w:tcW w:w="438" w:type="pct"/>
            <w:tcBorders>
              <w:top w:val="nil"/>
              <w:left w:val="nil"/>
              <w:bottom w:val="nil"/>
              <w:right w:val="nil"/>
            </w:tcBorders>
            <w:vAlign w:val="bottom"/>
          </w:tcPr>
          <w:p w:rsidR="00B301D0" w:rsidRPr="00BB6BB7" w:rsidRDefault="00B301D0" w:rsidP="00B301D0">
            <w:pPr>
              <w:jc w:val="center"/>
              <w:rPr>
                <w:rFonts w:ascii="Arial" w:hAnsi="Arial" w:cs="Arial"/>
                <w:bCs/>
                <w:sz w:val="18"/>
                <w:szCs w:val="18"/>
              </w:rPr>
            </w:pPr>
          </w:p>
        </w:tc>
        <w:tc>
          <w:tcPr>
            <w:tcW w:w="508" w:type="pct"/>
            <w:tcBorders>
              <w:top w:val="nil"/>
              <w:left w:val="nil"/>
              <w:bottom w:val="nil"/>
              <w:right w:val="nil"/>
            </w:tcBorders>
            <w:shd w:val="clear" w:color="auto" w:fill="auto"/>
            <w:noWrap/>
            <w:vAlign w:val="bottom"/>
          </w:tcPr>
          <w:p w:rsidR="00B301D0" w:rsidRPr="00C21F72" w:rsidDel="000D007B" w:rsidRDefault="00BA5F43" w:rsidP="00B301D0">
            <w:pPr>
              <w:jc w:val="right"/>
              <w:rPr>
                <w:rFonts w:ascii="Arial" w:hAnsi="Arial" w:cs="Arial"/>
                <w:b/>
                <w:sz w:val="18"/>
                <w:szCs w:val="18"/>
              </w:rPr>
            </w:pPr>
            <w:r>
              <w:rPr>
                <w:rFonts w:ascii="Arial" w:hAnsi="Arial" w:cs="Arial"/>
                <w:b/>
                <w:sz w:val="18"/>
                <w:szCs w:val="18"/>
              </w:rPr>
              <w:t>–</w:t>
            </w:r>
          </w:p>
        </w:tc>
        <w:tc>
          <w:tcPr>
            <w:tcW w:w="614" w:type="pct"/>
            <w:tcBorders>
              <w:top w:val="nil"/>
              <w:left w:val="nil"/>
              <w:bottom w:val="nil"/>
              <w:right w:val="nil"/>
            </w:tcBorders>
            <w:shd w:val="clear" w:color="auto" w:fill="auto"/>
            <w:noWrap/>
            <w:vAlign w:val="bottom"/>
          </w:tcPr>
          <w:p w:rsidR="00B301D0" w:rsidRPr="00B301D0" w:rsidDel="000D007B" w:rsidRDefault="00BA5F43" w:rsidP="00B301D0">
            <w:pPr>
              <w:jc w:val="right"/>
              <w:rPr>
                <w:rFonts w:ascii="Arial" w:hAnsi="Arial" w:cs="Arial"/>
                <w:sz w:val="18"/>
                <w:szCs w:val="18"/>
              </w:rPr>
            </w:pPr>
            <w:r>
              <w:rPr>
                <w:rFonts w:ascii="Arial" w:hAnsi="Arial" w:cs="Arial"/>
                <w:sz w:val="18"/>
                <w:szCs w:val="18"/>
              </w:rPr>
              <w:t>63</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2A7D7A" w:rsidRDefault="00B301D0" w:rsidP="00B301D0">
            <w:pPr>
              <w:rPr>
                <w:rFonts w:ascii="Arial" w:hAnsi="Arial" w:cs="Arial"/>
                <w:sz w:val="18"/>
                <w:szCs w:val="18"/>
              </w:rPr>
            </w:pPr>
            <w:r>
              <w:rPr>
                <w:rFonts w:ascii="Arial" w:hAnsi="Arial" w:cs="Arial"/>
                <w:sz w:val="18"/>
                <w:szCs w:val="18"/>
              </w:rPr>
              <w:t>Decrea</w:t>
            </w:r>
            <w:r w:rsidR="00BA5F43">
              <w:rPr>
                <w:rFonts w:ascii="Arial" w:hAnsi="Arial" w:cs="Arial"/>
                <w:sz w:val="18"/>
                <w:szCs w:val="18"/>
              </w:rPr>
              <w:t>se</w:t>
            </w:r>
            <w:r>
              <w:rPr>
                <w:rFonts w:ascii="Arial" w:hAnsi="Arial" w:cs="Arial"/>
                <w:sz w:val="18"/>
                <w:szCs w:val="18"/>
              </w:rPr>
              <w:t xml:space="preserve"> in short-term deposits</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C21F72" w:rsidRDefault="00BA5F43" w:rsidP="00B301D0">
            <w:pPr>
              <w:jc w:val="right"/>
              <w:rPr>
                <w:rFonts w:ascii="Arial" w:hAnsi="Arial" w:cs="Arial"/>
                <w:b/>
                <w:bCs/>
                <w:sz w:val="18"/>
                <w:szCs w:val="18"/>
              </w:rPr>
            </w:pPr>
            <w:r>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70</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2A7D7A" w:rsidRDefault="00B301D0" w:rsidP="00B301D0">
            <w:pPr>
              <w:rPr>
                <w:rFonts w:ascii="Arial" w:hAnsi="Arial" w:cs="Arial"/>
                <w:sz w:val="18"/>
                <w:szCs w:val="18"/>
              </w:rPr>
            </w:pPr>
            <w:r w:rsidRPr="002A7D7A">
              <w:rPr>
                <w:rFonts w:ascii="Arial" w:hAnsi="Arial" w:cs="Arial"/>
                <w:sz w:val="18"/>
                <w:szCs w:val="18"/>
              </w:rPr>
              <w:t>Interest received</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C21F72" w:rsidRDefault="000C2673" w:rsidP="00B301D0">
            <w:pPr>
              <w:jc w:val="right"/>
              <w:rPr>
                <w:rFonts w:ascii="Arial" w:hAnsi="Arial" w:cs="Arial"/>
                <w:b/>
                <w:bCs/>
                <w:sz w:val="18"/>
                <w:szCs w:val="18"/>
              </w:rPr>
            </w:pPr>
            <w:r>
              <w:rPr>
                <w:rFonts w:ascii="Arial" w:hAnsi="Arial" w:cs="Arial"/>
                <w:b/>
                <w:bCs/>
                <w:sz w:val="18"/>
                <w:szCs w:val="18"/>
              </w:rPr>
              <w:t>11</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5</w:t>
            </w:r>
          </w:p>
        </w:tc>
      </w:tr>
      <w:tr w:rsidR="00B301D0" w:rsidRPr="003B1B97" w:rsidTr="001606EE">
        <w:trPr>
          <w:gridAfter w:val="1"/>
          <w:wAfter w:w="121" w:type="pct"/>
          <w:trHeight w:val="255"/>
        </w:trPr>
        <w:tc>
          <w:tcPr>
            <w:tcW w:w="3319" w:type="pct"/>
            <w:tcBorders>
              <w:top w:val="single" w:sz="4" w:space="0" w:color="auto"/>
              <w:left w:val="nil"/>
              <w:bottom w:val="nil"/>
              <w:right w:val="nil"/>
            </w:tcBorders>
            <w:shd w:val="clear" w:color="auto" w:fill="auto"/>
            <w:noWrap/>
            <w:vAlign w:val="bottom"/>
          </w:tcPr>
          <w:p w:rsidR="00B301D0" w:rsidRPr="00A54BAA" w:rsidRDefault="00B301D0" w:rsidP="00B301D0">
            <w:pPr>
              <w:rPr>
                <w:rFonts w:ascii="Arial" w:hAnsi="Arial" w:cs="Arial"/>
                <w:b/>
                <w:bCs/>
                <w:sz w:val="18"/>
                <w:szCs w:val="18"/>
              </w:rPr>
            </w:pPr>
            <w:r w:rsidRPr="00A54BAA">
              <w:rPr>
                <w:rFonts w:ascii="Arial" w:hAnsi="Arial" w:cs="Arial"/>
                <w:b/>
                <w:bCs/>
                <w:sz w:val="18"/>
                <w:szCs w:val="18"/>
              </w:rPr>
              <w:t xml:space="preserve">Net cash flows </w:t>
            </w:r>
            <w:r w:rsidR="005D6730">
              <w:rPr>
                <w:rFonts w:ascii="Arial" w:hAnsi="Arial" w:cs="Arial"/>
                <w:b/>
                <w:bCs/>
                <w:sz w:val="18"/>
                <w:szCs w:val="18"/>
              </w:rPr>
              <w:t xml:space="preserve">used in </w:t>
            </w:r>
            <w:r w:rsidRPr="00A54BAA">
              <w:rPr>
                <w:rFonts w:ascii="Arial" w:hAnsi="Arial" w:cs="Arial"/>
                <w:b/>
                <w:bCs/>
                <w:sz w:val="18"/>
                <w:szCs w:val="18"/>
              </w:rPr>
              <w:t>investing activities</w:t>
            </w:r>
          </w:p>
        </w:tc>
        <w:tc>
          <w:tcPr>
            <w:tcW w:w="438" w:type="pct"/>
            <w:tcBorders>
              <w:top w:val="single" w:sz="4" w:space="0" w:color="auto"/>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single" w:sz="4" w:space="0" w:color="auto"/>
              <w:left w:val="nil"/>
              <w:bottom w:val="nil"/>
              <w:right w:val="nil"/>
            </w:tcBorders>
            <w:shd w:val="clear" w:color="auto" w:fill="auto"/>
            <w:noWrap/>
            <w:vAlign w:val="bottom"/>
          </w:tcPr>
          <w:p w:rsidR="00B301D0" w:rsidRPr="00C21F72" w:rsidRDefault="000C2673" w:rsidP="00B301D0">
            <w:pPr>
              <w:jc w:val="right"/>
              <w:rPr>
                <w:rFonts w:ascii="Arial" w:hAnsi="Arial" w:cs="Arial"/>
                <w:b/>
                <w:bCs/>
                <w:sz w:val="18"/>
                <w:szCs w:val="18"/>
              </w:rPr>
            </w:pPr>
            <w:r>
              <w:rPr>
                <w:rFonts w:ascii="Arial" w:hAnsi="Arial" w:cs="Arial"/>
                <w:b/>
                <w:bCs/>
                <w:sz w:val="18"/>
                <w:szCs w:val="18"/>
              </w:rPr>
              <w:t>(363)</w:t>
            </w:r>
          </w:p>
        </w:tc>
        <w:tc>
          <w:tcPr>
            <w:tcW w:w="614" w:type="pct"/>
            <w:tcBorders>
              <w:top w:val="single" w:sz="4" w:space="0" w:color="auto"/>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(248)</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A54BAA" w:rsidRDefault="00B301D0" w:rsidP="00B301D0">
            <w:pPr>
              <w:rPr>
                <w:rFonts w:ascii="Arial" w:hAnsi="Arial" w:cs="Arial"/>
                <w:sz w:val="18"/>
                <w:szCs w:val="18"/>
              </w:rPr>
            </w:pP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8E1198" w:rsidRDefault="00B301D0" w:rsidP="00B301D0">
            <w:pPr>
              <w:jc w:val="right"/>
              <w:rPr>
                <w:rFonts w:ascii="Arial" w:hAnsi="Arial" w:cs="Arial"/>
                <w:b/>
                <w:bCs/>
                <w:sz w:val="18"/>
                <w:szCs w:val="18"/>
              </w:rPr>
            </w:pP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A54BAA" w:rsidRDefault="00B301D0" w:rsidP="00B301D0">
            <w:pPr>
              <w:rPr>
                <w:rFonts w:ascii="Arial" w:hAnsi="Arial" w:cs="Arial"/>
                <w:b/>
                <w:bCs/>
                <w:sz w:val="18"/>
                <w:szCs w:val="18"/>
              </w:rPr>
            </w:pPr>
            <w:r>
              <w:rPr>
                <w:rFonts w:ascii="Arial" w:hAnsi="Arial" w:cs="Arial"/>
                <w:b/>
                <w:bCs/>
                <w:sz w:val="18"/>
                <w:szCs w:val="18"/>
              </w:rPr>
              <w:t>F</w:t>
            </w:r>
            <w:r w:rsidRPr="00A54BAA">
              <w:rPr>
                <w:rFonts w:ascii="Arial" w:hAnsi="Arial" w:cs="Arial"/>
                <w:b/>
                <w:bCs/>
                <w:sz w:val="18"/>
                <w:szCs w:val="18"/>
              </w:rPr>
              <w:t>inancing activities</w:t>
            </w:r>
            <w:r>
              <w:rPr>
                <w:rFonts w:ascii="Arial" w:hAnsi="Arial" w:cs="Arial"/>
                <w:b/>
                <w:bCs/>
                <w:sz w:val="18"/>
                <w:szCs w:val="18"/>
              </w:rPr>
              <w:t xml:space="preserve"> </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8E1198" w:rsidRDefault="00B301D0" w:rsidP="00B301D0">
            <w:pPr>
              <w:jc w:val="right"/>
              <w:rPr>
                <w:rFonts w:ascii="Arial" w:hAnsi="Arial" w:cs="Arial"/>
                <w:b/>
                <w:bCs/>
                <w:sz w:val="18"/>
                <w:szCs w:val="18"/>
              </w:rPr>
            </w:pP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2A7D7A" w:rsidRDefault="00B301D0" w:rsidP="00B301D0">
            <w:pPr>
              <w:rPr>
                <w:rFonts w:ascii="Arial" w:hAnsi="Arial" w:cs="Arial"/>
                <w:sz w:val="18"/>
                <w:szCs w:val="18"/>
              </w:rPr>
            </w:pPr>
            <w:r w:rsidRPr="002A7D7A">
              <w:rPr>
                <w:rFonts w:ascii="Arial" w:hAnsi="Arial" w:cs="Arial"/>
                <w:sz w:val="18"/>
                <w:szCs w:val="18"/>
              </w:rPr>
              <w:t>Interest paid</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8E1198" w:rsidDel="000C6980" w:rsidRDefault="005760BA" w:rsidP="00B301D0">
            <w:pPr>
              <w:jc w:val="right"/>
              <w:rPr>
                <w:rFonts w:ascii="Arial" w:hAnsi="Arial" w:cs="Arial"/>
                <w:b/>
                <w:bCs/>
                <w:sz w:val="18"/>
                <w:szCs w:val="18"/>
              </w:rPr>
            </w:pPr>
            <w:r>
              <w:rPr>
                <w:rFonts w:ascii="Arial" w:hAnsi="Arial" w:cs="Arial"/>
                <w:b/>
                <w:bCs/>
                <w:sz w:val="18"/>
                <w:szCs w:val="18"/>
              </w:rPr>
              <w:t>(10)</w:t>
            </w:r>
          </w:p>
        </w:tc>
        <w:tc>
          <w:tcPr>
            <w:tcW w:w="614" w:type="pct"/>
            <w:tcBorders>
              <w:top w:val="nil"/>
              <w:left w:val="nil"/>
              <w:bottom w:val="nil"/>
              <w:right w:val="nil"/>
            </w:tcBorders>
            <w:shd w:val="clear" w:color="auto" w:fill="auto"/>
            <w:noWrap/>
            <w:vAlign w:val="bottom"/>
          </w:tcPr>
          <w:p w:rsidR="00B301D0" w:rsidRPr="00B301D0" w:rsidDel="000C6980" w:rsidRDefault="00B301D0" w:rsidP="00B301D0">
            <w:pPr>
              <w:jc w:val="right"/>
              <w:rPr>
                <w:rFonts w:ascii="Arial" w:hAnsi="Arial" w:cs="Arial"/>
                <w:bCs/>
                <w:sz w:val="18"/>
                <w:szCs w:val="18"/>
              </w:rPr>
            </w:pPr>
            <w:r w:rsidRPr="00B301D0">
              <w:rPr>
                <w:rFonts w:ascii="Arial" w:hAnsi="Arial" w:cs="Arial"/>
                <w:bCs/>
                <w:sz w:val="18"/>
                <w:szCs w:val="18"/>
              </w:rPr>
              <w:t>(10)</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2A7D7A" w:rsidRDefault="00B301D0" w:rsidP="00B301D0">
            <w:pPr>
              <w:rPr>
                <w:rFonts w:ascii="Arial" w:hAnsi="Arial" w:cs="Arial"/>
                <w:sz w:val="18"/>
                <w:szCs w:val="18"/>
              </w:rPr>
            </w:pPr>
            <w:r w:rsidRPr="002A7D7A">
              <w:rPr>
                <w:rFonts w:ascii="Arial" w:hAnsi="Arial" w:cs="Arial"/>
                <w:sz w:val="18"/>
                <w:szCs w:val="18"/>
              </w:rPr>
              <w:t>Interest element of finance lease rental payments</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8E1198" w:rsidDel="000C6980" w:rsidRDefault="001702FA" w:rsidP="00B301D0">
            <w:pPr>
              <w:jc w:val="right"/>
              <w:rPr>
                <w:rFonts w:ascii="Arial" w:hAnsi="Arial" w:cs="Arial"/>
                <w:b/>
                <w:bCs/>
                <w:sz w:val="18"/>
                <w:szCs w:val="18"/>
              </w:rPr>
            </w:pPr>
            <w:r>
              <w:rPr>
                <w:rFonts w:ascii="Arial" w:hAnsi="Arial" w:cs="Arial"/>
                <w:b/>
                <w:bCs/>
                <w:sz w:val="18"/>
                <w:szCs w:val="18"/>
              </w:rPr>
              <w:t>(2)</w:t>
            </w:r>
          </w:p>
        </w:tc>
        <w:tc>
          <w:tcPr>
            <w:tcW w:w="614" w:type="pct"/>
            <w:tcBorders>
              <w:top w:val="nil"/>
              <w:left w:val="nil"/>
              <w:bottom w:val="nil"/>
              <w:right w:val="nil"/>
            </w:tcBorders>
            <w:shd w:val="clear" w:color="auto" w:fill="auto"/>
            <w:noWrap/>
            <w:vAlign w:val="bottom"/>
          </w:tcPr>
          <w:p w:rsidR="00B301D0" w:rsidRPr="00B301D0" w:rsidDel="000C6980" w:rsidRDefault="00B301D0" w:rsidP="00B301D0">
            <w:pPr>
              <w:jc w:val="right"/>
              <w:rPr>
                <w:rFonts w:ascii="Arial" w:hAnsi="Arial" w:cs="Arial"/>
                <w:bCs/>
                <w:sz w:val="18"/>
                <w:szCs w:val="18"/>
              </w:rPr>
            </w:pPr>
            <w:r w:rsidRPr="00B301D0">
              <w:rPr>
                <w:rFonts w:ascii="Arial" w:hAnsi="Arial" w:cs="Arial"/>
                <w:bCs/>
                <w:sz w:val="18"/>
                <w:szCs w:val="18"/>
              </w:rPr>
              <w:t>(2)</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2A7D7A" w:rsidRDefault="00B301D0" w:rsidP="00B301D0">
            <w:pPr>
              <w:rPr>
                <w:rFonts w:ascii="Arial" w:hAnsi="Arial" w:cs="Arial"/>
                <w:sz w:val="18"/>
                <w:szCs w:val="18"/>
              </w:rPr>
            </w:pPr>
            <w:r>
              <w:rPr>
                <w:rFonts w:ascii="Arial" w:hAnsi="Arial" w:cs="Arial"/>
                <w:sz w:val="18"/>
                <w:szCs w:val="18"/>
              </w:rPr>
              <w:t>Repayment</w:t>
            </w:r>
            <w:r w:rsidDel="007041C8">
              <w:rPr>
                <w:rFonts w:ascii="Arial" w:hAnsi="Arial" w:cs="Arial"/>
                <w:sz w:val="18"/>
                <w:szCs w:val="18"/>
              </w:rPr>
              <w:t xml:space="preserve"> </w:t>
            </w:r>
            <w:r>
              <w:rPr>
                <w:rFonts w:ascii="Arial" w:hAnsi="Arial" w:cs="Arial"/>
                <w:sz w:val="18"/>
                <w:szCs w:val="18"/>
              </w:rPr>
              <w:t>of bank</w:t>
            </w:r>
            <w:r w:rsidRPr="002A7D7A">
              <w:rPr>
                <w:rFonts w:ascii="Arial" w:hAnsi="Arial" w:cs="Arial"/>
                <w:sz w:val="18"/>
                <w:szCs w:val="18"/>
              </w:rPr>
              <w:t xml:space="preserve"> loans</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8E1198" w:rsidRDefault="00D7235C" w:rsidP="00B301D0">
            <w:pPr>
              <w:jc w:val="right"/>
              <w:rPr>
                <w:rFonts w:ascii="Arial" w:hAnsi="Arial" w:cs="Arial"/>
                <w:b/>
                <w:bCs/>
                <w:sz w:val="18"/>
                <w:szCs w:val="18"/>
              </w:rPr>
            </w:pPr>
            <w:r>
              <w:rPr>
                <w:rFonts w:ascii="Arial" w:hAnsi="Arial" w:cs="Arial"/>
                <w:b/>
                <w:bCs/>
                <w:sz w:val="18"/>
                <w:szCs w:val="18"/>
              </w:rPr>
              <w:t>(7</w:t>
            </w:r>
            <w:r w:rsidR="001702FA">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2A7D7A" w:rsidRDefault="00B301D0" w:rsidP="00B301D0">
            <w:pPr>
              <w:rPr>
                <w:rFonts w:ascii="Arial" w:hAnsi="Arial" w:cs="Arial"/>
                <w:sz w:val="18"/>
                <w:szCs w:val="18"/>
              </w:rPr>
            </w:pPr>
            <w:r>
              <w:rPr>
                <w:rFonts w:ascii="Arial" w:hAnsi="Arial" w:cs="Arial"/>
                <w:sz w:val="18"/>
                <w:szCs w:val="18"/>
              </w:rPr>
              <w:t>Repayment of fixed term debt</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8E1198" w:rsidRDefault="001702FA" w:rsidP="00B301D0">
            <w:pPr>
              <w:jc w:val="right"/>
              <w:rPr>
                <w:rFonts w:ascii="Arial" w:hAnsi="Arial" w:cs="Arial"/>
                <w:b/>
                <w:bCs/>
                <w:sz w:val="18"/>
                <w:szCs w:val="18"/>
              </w:rPr>
            </w:pPr>
            <w:r>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(47)</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4E5DC0" w:rsidRDefault="00B301D0" w:rsidP="00B301D0">
            <w:pPr>
              <w:rPr>
                <w:rFonts w:ascii="Arial" w:hAnsi="Arial" w:cs="Arial"/>
                <w:sz w:val="18"/>
                <w:szCs w:val="18"/>
              </w:rPr>
            </w:pPr>
            <w:r>
              <w:rPr>
                <w:rFonts w:ascii="Arial" w:hAnsi="Arial" w:cs="Arial"/>
                <w:sz w:val="18"/>
                <w:szCs w:val="18"/>
              </w:rPr>
              <w:t>Receipt</w:t>
            </w:r>
            <w:r w:rsidRPr="004E5DC0">
              <w:rPr>
                <w:rFonts w:ascii="Arial" w:hAnsi="Arial" w:cs="Arial"/>
                <w:sz w:val="18"/>
                <w:szCs w:val="18"/>
              </w:rPr>
              <w:t xml:space="preserve"> on financing derivatives</w:t>
            </w:r>
          </w:p>
        </w:tc>
        <w:tc>
          <w:tcPr>
            <w:tcW w:w="438" w:type="pct"/>
            <w:tcBorders>
              <w:top w:val="nil"/>
              <w:left w:val="nil"/>
              <w:bottom w:val="nil"/>
              <w:right w:val="nil"/>
            </w:tcBorders>
            <w:vAlign w:val="bottom"/>
          </w:tcPr>
          <w:p w:rsidR="00B301D0" w:rsidRPr="004E5DC0"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4E5DC0" w:rsidRDefault="001702FA" w:rsidP="00B301D0">
            <w:pPr>
              <w:jc w:val="right"/>
              <w:rPr>
                <w:rFonts w:ascii="Arial" w:hAnsi="Arial" w:cs="Arial"/>
                <w:b/>
                <w:bCs/>
                <w:sz w:val="18"/>
                <w:szCs w:val="18"/>
              </w:rPr>
            </w:pPr>
            <w:r>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10</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Default="00B301D0" w:rsidP="00B301D0">
            <w:pPr>
              <w:rPr>
                <w:rFonts w:ascii="Arial" w:hAnsi="Arial" w:cs="Arial"/>
                <w:sz w:val="18"/>
                <w:szCs w:val="18"/>
              </w:rPr>
            </w:pPr>
            <w:r>
              <w:rPr>
                <w:rFonts w:ascii="Arial" w:hAnsi="Arial" w:cs="Arial"/>
                <w:sz w:val="18"/>
                <w:szCs w:val="18"/>
              </w:rPr>
              <w:t xml:space="preserve">Capital element of finance lease rental payments </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8E1198" w:rsidRDefault="001702FA" w:rsidP="00B301D0">
            <w:pPr>
              <w:jc w:val="right"/>
              <w:rPr>
                <w:rFonts w:ascii="Arial" w:hAnsi="Arial" w:cs="Arial"/>
                <w:b/>
                <w:bCs/>
                <w:sz w:val="18"/>
                <w:szCs w:val="18"/>
              </w:rPr>
            </w:pPr>
            <w:r>
              <w:rPr>
                <w:rFonts w:ascii="Arial" w:hAnsi="Arial" w:cs="Arial"/>
                <w:b/>
                <w:bCs/>
                <w:sz w:val="18"/>
                <w:szCs w:val="18"/>
              </w:rPr>
              <w:t>(11)</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(12)</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2A7D7A" w:rsidRDefault="00B301D0" w:rsidP="00B301D0">
            <w:pPr>
              <w:rPr>
                <w:rFonts w:ascii="Arial" w:hAnsi="Arial" w:cs="Arial"/>
                <w:sz w:val="18"/>
                <w:szCs w:val="18"/>
              </w:rPr>
            </w:pPr>
            <w:r>
              <w:rPr>
                <w:rFonts w:ascii="Arial" w:hAnsi="Arial" w:cs="Arial"/>
                <w:sz w:val="18"/>
                <w:szCs w:val="18"/>
              </w:rPr>
              <w:t>New shares issued under share schemes</w:t>
            </w:r>
            <w:r w:rsidRPr="002A7D7A" w:rsidDel="009C71AE">
              <w:rPr>
                <w:rFonts w:ascii="Arial" w:hAnsi="Arial" w:cs="Arial"/>
                <w:sz w:val="18"/>
                <w:szCs w:val="18"/>
              </w:rPr>
              <w:t xml:space="preserve"> </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8E1198" w:rsidRDefault="001702FA" w:rsidP="00B301D0">
            <w:pPr>
              <w:jc w:val="right"/>
              <w:rPr>
                <w:rFonts w:ascii="Arial" w:hAnsi="Arial" w:cs="Arial"/>
                <w:b/>
                <w:bCs/>
                <w:sz w:val="18"/>
                <w:szCs w:val="18"/>
              </w:rPr>
            </w:pPr>
            <w:r>
              <w:rPr>
                <w:rFonts w:ascii="Arial" w:hAnsi="Arial" w:cs="Arial"/>
                <w:b/>
                <w:bCs/>
                <w:sz w:val="18"/>
                <w:szCs w:val="18"/>
              </w:rPr>
              <w:t>8</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3</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2A7D7A" w:rsidRDefault="00B301D0" w:rsidP="00B301D0">
            <w:pPr>
              <w:rPr>
                <w:rFonts w:ascii="Arial" w:hAnsi="Arial" w:cs="Arial"/>
                <w:sz w:val="18"/>
                <w:szCs w:val="18"/>
              </w:rPr>
            </w:pPr>
            <w:r>
              <w:rPr>
                <w:rFonts w:ascii="Arial" w:hAnsi="Arial" w:cs="Arial"/>
                <w:sz w:val="18"/>
                <w:szCs w:val="18"/>
              </w:rPr>
              <w:t>Own shares issued under share schemes</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8E1198" w:rsidRDefault="001702FA" w:rsidP="00B301D0">
            <w:pPr>
              <w:jc w:val="right"/>
              <w:rPr>
                <w:rFonts w:ascii="Arial" w:hAnsi="Arial" w:cs="Arial"/>
                <w:b/>
                <w:bCs/>
                <w:sz w:val="18"/>
                <w:szCs w:val="18"/>
              </w:rPr>
            </w:pPr>
            <w:r>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1</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Default="00B301D0" w:rsidP="00B301D0">
            <w:pPr>
              <w:rPr>
                <w:rFonts w:ascii="Arial" w:hAnsi="Arial" w:cs="Arial"/>
                <w:sz w:val="18"/>
                <w:szCs w:val="18"/>
              </w:rPr>
            </w:pPr>
            <w:r>
              <w:rPr>
                <w:rFonts w:ascii="Arial" w:hAnsi="Arial" w:cs="Arial"/>
                <w:sz w:val="18"/>
                <w:szCs w:val="18"/>
              </w:rPr>
              <w:t xml:space="preserve">Purchase of own shares for ESOP trust </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8E1198" w:rsidRDefault="001702FA" w:rsidP="00B301D0">
            <w:pPr>
              <w:jc w:val="right"/>
              <w:rPr>
                <w:rFonts w:ascii="Arial" w:hAnsi="Arial" w:cs="Arial"/>
                <w:b/>
                <w:bCs/>
                <w:sz w:val="18"/>
                <w:szCs w:val="18"/>
              </w:rPr>
            </w:pPr>
            <w:r>
              <w:rPr>
                <w:rFonts w:ascii="Arial" w:hAnsi="Arial" w:cs="Arial"/>
                <w:b/>
                <w:bCs/>
                <w:sz w:val="18"/>
                <w:szCs w:val="18"/>
              </w:rPr>
              <w:t>(13)</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(6)</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Default="00B301D0" w:rsidP="00B301D0">
            <w:pPr>
              <w:rPr>
                <w:rFonts w:ascii="Arial" w:hAnsi="Arial" w:cs="Arial"/>
                <w:sz w:val="18"/>
                <w:szCs w:val="18"/>
              </w:rPr>
            </w:pPr>
            <w:r>
              <w:rPr>
                <w:rFonts w:ascii="Arial" w:hAnsi="Arial" w:cs="Arial"/>
                <w:sz w:val="18"/>
                <w:szCs w:val="18"/>
              </w:rPr>
              <w:t>Purchase of own shares for cancellation</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Default="001702FA" w:rsidP="00B301D0">
            <w:pPr>
              <w:jc w:val="right"/>
              <w:rPr>
                <w:rFonts w:ascii="Arial" w:hAnsi="Arial" w:cs="Arial"/>
                <w:b/>
                <w:bCs/>
                <w:sz w:val="18"/>
                <w:szCs w:val="18"/>
              </w:rPr>
            </w:pPr>
            <w:r>
              <w:rPr>
                <w:rFonts w:ascii="Arial" w:hAnsi="Arial" w:cs="Arial"/>
                <w:b/>
                <w:bCs/>
                <w:sz w:val="18"/>
                <w:szCs w:val="18"/>
              </w:rPr>
              <w:t>(260)</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(200)</w:t>
            </w:r>
          </w:p>
        </w:tc>
      </w:tr>
      <w:tr w:rsidR="00B301D0" w:rsidRPr="003B1B97" w:rsidTr="001606EE">
        <w:trPr>
          <w:gridAfter w:val="1"/>
          <w:wAfter w:w="121" w:type="pct"/>
          <w:trHeight w:val="255"/>
        </w:trPr>
        <w:tc>
          <w:tcPr>
            <w:tcW w:w="3319" w:type="pct"/>
            <w:tcBorders>
              <w:top w:val="nil"/>
              <w:left w:val="nil"/>
              <w:right w:val="nil"/>
            </w:tcBorders>
            <w:shd w:val="clear" w:color="auto" w:fill="auto"/>
            <w:noWrap/>
            <w:vAlign w:val="bottom"/>
          </w:tcPr>
          <w:p w:rsidR="00B301D0" w:rsidRPr="002A7D7A" w:rsidRDefault="00B301D0" w:rsidP="00B301D0">
            <w:pPr>
              <w:rPr>
                <w:rFonts w:ascii="Arial" w:hAnsi="Arial" w:cs="Arial"/>
                <w:sz w:val="18"/>
                <w:szCs w:val="18"/>
              </w:rPr>
            </w:pPr>
            <w:r>
              <w:rPr>
                <w:rFonts w:ascii="Arial" w:hAnsi="Arial" w:cs="Arial"/>
                <w:sz w:val="18"/>
                <w:szCs w:val="18"/>
              </w:rPr>
              <w:t>Ordinary dividends paid to equity shareholders of the Company</w:t>
            </w:r>
          </w:p>
        </w:tc>
        <w:tc>
          <w:tcPr>
            <w:tcW w:w="438" w:type="pct"/>
            <w:tcBorders>
              <w:top w:val="nil"/>
              <w:left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right w:val="nil"/>
            </w:tcBorders>
            <w:shd w:val="clear" w:color="auto" w:fill="auto"/>
            <w:noWrap/>
            <w:vAlign w:val="bottom"/>
          </w:tcPr>
          <w:p w:rsidR="00B301D0" w:rsidRPr="008E1198" w:rsidRDefault="001702FA" w:rsidP="00B301D0">
            <w:pPr>
              <w:jc w:val="right"/>
              <w:rPr>
                <w:rFonts w:ascii="Arial" w:hAnsi="Arial" w:cs="Arial"/>
                <w:b/>
                <w:sz w:val="18"/>
                <w:szCs w:val="18"/>
              </w:rPr>
            </w:pPr>
            <w:r>
              <w:rPr>
                <w:rFonts w:ascii="Arial" w:hAnsi="Arial" w:cs="Arial"/>
                <w:b/>
                <w:sz w:val="18"/>
                <w:szCs w:val="18"/>
              </w:rPr>
              <w:t>(231)</w:t>
            </w:r>
          </w:p>
        </w:tc>
        <w:tc>
          <w:tcPr>
            <w:tcW w:w="614" w:type="pct"/>
            <w:tcBorders>
              <w:top w:val="nil"/>
              <w:left w:val="nil"/>
              <w:right w:val="nil"/>
            </w:tcBorders>
            <w:shd w:val="clear" w:color="auto" w:fill="auto"/>
            <w:noWrap/>
            <w:vAlign w:val="bottom"/>
          </w:tcPr>
          <w:p w:rsidR="00B301D0" w:rsidRPr="00B301D0" w:rsidRDefault="00B301D0" w:rsidP="00B301D0">
            <w:pPr>
              <w:jc w:val="right"/>
              <w:rPr>
                <w:rFonts w:ascii="Arial" w:hAnsi="Arial" w:cs="Arial"/>
                <w:sz w:val="18"/>
                <w:szCs w:val="18"/>
              </w:rPr>
            </w:pPr>
            <w:r w:rsidRPr="00B301D0">
              <w:rPr>
                <w:rFonts w:ascii="Arial" w:hAnsi="Arial" w:cs="Arial"/>
                <w:sz w:val="18"/>
                <w:szCs w:val="18"/>
              </w:rPr>
              <w:t>(230)</w:t>
            </w:r>
          </w:p>
        </w:tc>
      </w:tr>
      <w:tr w:rsidR="00B301D0" w:rsidRPr="003B1B97" w:rsidTr="001606EE">
        <w:trPr>
          <w:gridAfter w:val="1"/>
          <w:wAfter w:w="121" w:type="pct"/>
          <w:trHeight w:val="255"/>
        </w:trPr>
        <w:tc>
          <w:tcPr>
            <w:tcW w:w="3319" w:type="pct"/>
            <w:tcBorders>
              <w:top w:val="single" w:sz="4" w:space="0" w:color="auto"/>
              <w:left w:val="nil"/>
              <w:right w:val="nil"/>
            </w:tcBorders>
            <w:shd w:val="clear" w:color="auto" w:fill="auto"/>
            <w:noWrap/>
            <w:vAlign w:val="bottom"/>
          </w:tcPr>
          <w:p w:rsidR="00B301D0" w:rsidRPr="00A54BAA" w:rsidRDefault="00B301D0" w:rsidP="00B301D0">
            <w:pPr>
              <w:rPr>
                <w:rFonts w:ascii="Arial" w:hAnsi="Arial" w:cs="Arial"/>
                <w:b/>
                <w:bCs/>
                <w:sz w:val="18"/>
                <w:szCs w:val="18"/>
              </w:rPr>
            </w:pPr>
            <w:r w:rsidRPr="00A54BAA">
              <w:rPr>
                <w:rFonts w:ascii="Arial" w:hAnsi="Arial" w:cs="Arial"/>
                <w:b/>
                <w:bCs/>
                <w:sz w:val="18"/>
                <w:szCs w:val="18"/>
              </w:rPr>
              <w:t>Net cash flows from financing activities</w:t>
            </w:r>
          </w:p>
        </w:tc>
        <w:tc>
          <w:tcPr>
            <w:tcW w:w="438" w:type="pct"/>
            <w:tcBorders>
              <w:top w:val="single" w:sz="4" w:space="0" w:color="auto"/>
              <w:left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single" w:sz="4" w:space="0" w:color="auto"/>
              <w:left w:val="nil"/>
              <w:right w:val="nil"/>
            </w:tcBorders>
            <w:shd w:val="clear" w:color="auto" w:fill="auto"/>
            <w:noWrap/>
            <w:vAlign w:val="bottom"/>
          </w:tcPr>
          <w:p w:rsidR="00B301D0" w:rsidRPr="008E1198" w:rsidRDefault="00F5365B" w:rsidP="00B301D0">
            <w:pPr>
              <w:jc w:val="right"/>
              <w:rPr>
                <w:rFonts w:ascii="Arial" w:hAnsi="Arial" w:cs="Arial"/>
                <w:b/>
                <w:bCs/>
                <w:sz w:val="18"/>
                <w:szCs w:val="18"/>
              </w:rPr>
            </w:pPr>
            <w:r>
              <w:rPr>
                <w:rFonts w:ascii="Arial" w:hAnsi="Arial" w:cs="Arial"/>
                <w:b/>
                <w:bCs/>
                <w:sz w:val="18"/>
                <w:szCs w:val="18"/>
              </w:rPr>
              <w:t>(526)</w:t>
            </w:r>
          </w:p>
        </w:tc>
        <w:tc>
          <w:tcPr>
            <w:tcW w:w="614" w:type="pct"/>
            <w:tcBorders>
              <w:top w:val="single" w:sz="4" w:space="0" w:color="auto"/>
              <w:left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(495)</w:t>
            </w:r>
          </w:p>
        </w:tc>
      </w:tr>
      <w:tr w:rsidR="00B301D0" w:rsidRPr="003B1B97" w:rsidTr="001606EE">
        <w:trPr>
          <w:gridAfter w:val="1"/>
          <w:wAfter w:w="121" w:type="pct"/>
          <w:trHeight w:val="255"/>
        </w:trPr>
        <w:tc>
          <w:tcPr>
            <w:tcW w:w="3319" w:type="pct"/>
            <w:tcBorders>
              <w:top w:val="nil"/>
              <w:left w:val="nil"/>
              <w:right w:val="nil"/>
            </w:tcBorders>
            <w:shd w:val="clear" w:color="auto" w:fill="auto"/>
            <w:noWrap/>
            <w:vAlign w:val="bottom"/>
          </w:tcPr>
          <w:p w:rsidR="00B301D0" w:rsidRPr="00A54BAA" w:rsidRDefault="00B301D0" w:rsidP="00B301D0">
            <w:pPr>
              <w:rPr>
                <w:rFonts w:ascii="Arial" w:hAnsi="Arial" w:cs="Arial"/>
                <w:sz w:val="18"/>
                <w:szCs w:val="18"/>
              </w:rPr>
            </w:pPr>
            <w:r w:rsidRPr="00A54BAA">
              <w:rPr>
                <w:rFonts w:ascii="Arial" w:hAnsi="Arial" w:cs="Arial"/>
                <w:sz w:val="18"/>
                <w:szCs w:val="18"/>
              </w:rPr>
              <w:t> </w:t>
            </w:r>
          </w:p>
        </w:tc>
        <w:tc>
          <w:tcPr>
            <w:tcW w:w="438" w:type="pct"/>
            <w:tcBorders>
              <w:top w:val="nil"/>
              <w:left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right w:val="nil"/>
            </w:tcBorders>
            <w:shd w:val="clear" w:color="auto" w:fill="auto"/>
            <w:noWrap/>
            <w:vAlign w:val="bottom"/>
          </w:tcPr>
          <w:p w:rsidR="00B301D0" w:rsidRPr="008E1198" w:rsidRDefault="00B301D0" w:rsidP="00B301D0">
            <w:pPr>
              <w:jc w:val="right"/>
              <w:rPr>
                <w:rFonts w:ascii="Arial" w:hAnsi="Arial" w:cs="Arial"/>
                <w:b/>
                <w:bCs/>
                <w:sz w:val="18"/>
                <w:szCs w:val="18"/>
              </w:rPr>
            </w:pPr>
          </w:p>
        </w:tc>
        <w:tc>
          <w:tcPr>
            <w:tcW w:w="614" w:type="pct"/>
            <w:tcBorders>
              <w:top w:val="nil"/>
              <w:left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p>
        </w:tc>
      </w:tr>
      <w:tr w:rsidR="00B301D0" w:rsidRPr="003B1B97" w:rsidTr="001606EE">
        <w:trPr>
          <w:gridAfter w:val="1"/>
          <w:wAfter w:w="121" w:type="pct"/>
          <w:trHeight w:val="255"/>
        </w:trPr>
        <w:tc>
          <w:tcPr>
            <w:tcW w:w="3319" w:type="pct"/>
            <w:tcBorders>
              <w:top w:val="single" w:sz="4" w:space="0" w:color="auto"/>
              <w:left w:val="nil"/>
              <w:bottom w:val="nil"/>
              <w:right w:val="nil"/>
            </w:tcBorders>
            <w:shd w:val="clear" w:color="auto" w:fill="auto"/>
            <w:noWrap/>
            <w:vAlign w:val="bottom"/>
          </w:tcPr>
          <w:p w:rsidR="00B301D0" w:rsidRPr="00DE439A" w:rsidRDefault="00B301D0" w:rsidP="00B301D0">
            <w:pPr>
              <w:rPr>
                <w:rFonts w:ascii="Arial" w:hAnsi="Arial" w:cs="Arial"/>
                <w:b/>
                <w:bCs/>
                <w:sz w:val="18"/>
                <w:szCs w:val="18"/>
              </w:rPr>
            </w:pPr>
            <w:r w:rsidRPr="00555EB2">
              <w:rPr>
                <w:rFonts w:ascii="Arial" w:hAnsi="Arial" w:cs="Arial"/>
                <w:b/>
                <w:bCs/>
                <w:sz w:val="18"/>
                <w:szCs w:val="18"/>
              </w:rPr>
              <w:t>Net</w:t>
            </w:r>
            <w:r w:rsidR="001702FA">
              <w:rPr>
                <w:rFonts w:ascii="Arial" w:hAnsi="Arial" w:cs="Arial"/>
                <w:b/>
                <w:bCs/>
                <w:sz w:val="18"/>
                <w:szCs w:val="18"/>
              </w:rPr>
              <w:t xml:space="preserve"> (decrease)/</w:t>
            </w:r>
            <w:r w:rsidRPr="00555EB2">
              <w:rPr>
                <w:rFonts w:ascii="Arial" w:hAnsi="Arial" w:cs="Arial"/>
                <w:b/>
                <w:bCs/>
                <w:sz w:val="18"/>
                <w:szCs w:val="18"/>
              </w:rPr>
              <w:t xml:space="preserve">increase in cash and cash </w:t>
            </w:r>
            <w:r w:rsidR="001702FA">
              <w:rPr>
                <w:rFonts w:ascii="Arial" w:hAnsi="Arial" w:cs="Arial"/>
                <w:b/>
                <w:bCs/>
                <w:sz w:val="18"/>
                <w:szCs w:val="18"/>
              </w:rPr>
              <w:t>equivalents and bank overdrafts</w:t>
            </w:r>
          </w:p>
        </w:tc>
        <w:tc>
          <w:tcPr>
            <w:tcW w:w="438" w:type="pct"/>
            <w:tcBorders>
              <w:top w:val="single" w:sz="4" w:space="0" w:color="auto"/>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single" w:sz="4" w:space="0" w:color="auto"/>
              <w:left w:val="nil"/>
              <w:bottom w:val="nil"/>
              <w:right w:val="nil"/>
            </w:tcBorders>
            <w:shd w:val="clear" w:color="auto" w:fill="auto"/>
            <w:noWrap/>
            <w:vAlign w:val="bottom"/>
          </w:tcPr>
          <w:p w:rsidR="00B301D0" w:rsidRPr="008E1198" w:rsidRDefault="001702FA" w:rsidP="00B301D0">
            <w:pPr>
              <w:jc w:val="right"/>
              <w:rPr>
                <w:rFonts w:ascii="Arial" w:hAnsi="Arial" w:cs="Arial"/>
                <w:b/>
                <w:bCs/>
                <w:sz w:val="18"/>
                <w:szCs w:val="18"/>
              </w:rPr>
            </w:pPr>
            <w:r>
              <w:rPr>
                <w:rFonts w:ascii="Arial" w:hAnsi="Arial" w:cs="Arial"/>
                <w:b/>
                <w:bCs/>
                <w:sz w:val="18"/>
                <w:szCs w:val="18"/>
              </w:rPr>
              <w:t>(59</w:t>
            </w:r>
            <w:r w:rsidR="00CA4C92">
              <w:rPr>
                <w:rFonts w:ascii="Arial" w:hAnsi="Arial" w:cs="Arial"/>
                <w:b/>
                <w:bCs/>
                <w:sz w:val="18"/>
                <w:szCs w:val="18"/>
              </w:rPr>
              <w:t>6</w:t>
            </w:r>
            <w:r>
              <w:rPr>
                <w:rFonts w:ascii="Arial" w:hAnsi="Arial" w:cs="Arial"/>
                <w:b/>
                <w:bCs/>
                <w:sz w:val="18"/>
                <w:szCs w:val="18"/>
              </w:rPr>
              <w:t>)</w:t>
            </w:r>
          </w:p>
        </w:tc>
        <w:tc>
          <w:tcPr>
            <w:tcW w:w="614" w:type="pct"/>
            <w:tcBorders>
              <w:top w:val="single" w:sz="4" w:space="0" w:color="auto"/>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38</w:t>
            </w:r>
          </w:p>
        </w:tc>
      </w:tr>
      <w:tr w:rsidR="00B301D0" w:rsidRPr="004E5DC0"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555EB2" w:rsidRDefault="00B301D0" w:rsidP="00B301D0">
            <w:pPr>
              <w:rPr>
                <w:rFonts w:ascii="Arial" w:hAnsi="Arial" w:cs="Arial"/>
                <w:bCs/>
                <w:sz w:val="18"/>
                <w:szCs w:val="18"/>
              </w:rPr>
            </w:pPr>
            <w:r w:rsidRPr="00555EB2">
              <w:rPr>
                <w:rFonts w:ascii="Arial" w:hAnsi="Arial" w:cs="Arial"/>
                <w:bCs/>
                <w:sz w:val="18"/>
                <w:szCs w:val="18"/>
              </w:rPr>
              <w:t>Cash and cash equivalents and bank overdrafts</w:t>
            </w:r>
            <w:r w:rsidR="001702FA">
              <w:rPr>
                <w:rFonts w:ascii="Arial" w:hAnsi="Arial" w:cs="Arial"/>
                <w:bCs/>
                <w:sz w:val="18"/>
                <w:szCs w:val="18"/>
              </w:rPr>
              <w:t xml:space="preserve"> </w:t>
            </w:r>
            <w:r w:rsidRPr="00555EB2">
              <w:rPr>
                <w:rFonts w:ascii="Arial" w:hAnsi="Arial" w:cs="Arial"/>
                <w:bCs/>
                <w:sz w:val="18"/>
                <w:szCs w:val="18"/>
              </w:rPr>
              <w:t>at beginning of year</w:t>
            </w:r>
          </w:p>
        </w:tc>
        <w:tc>
          <w:tcPr>
            <w:tcW w:w="438" w:type="pct"/>
            <w:tcBorders>
              <w:top w:val="nil"/>
              <w:left w:val="nil"/>
              <w:bottom w:val="nil"/>
              <w:right w:val="nil"/>
            </w:tcBorders>
            <w:vAlign w:val="bottom"/>
          </w:tcPr>
          <w:p w:rsidR="00B301D0" w:rsidRPr="004E5DC0" w:rsidRDefault="00B301D0" w:rsidP="00B301D0">
            <w:pPr>
              <w:jc w:val="center"/>
              <w:rPr>
                <w:rFonts w:ascii="Arial" w:hAnsi="Arial" w:cs="Arial"/>
                <w:bCs/>
                <w:sz w:val="18"/>
                <w:szCs w:val="18"/>
              </w:rPr>
            </w:pPr>
          </w:p>
        </w:tc>
        <w:tc>
          <w:tcPr>
            <w:tcW w:w="508" w:type="pct"/>
            <w:tcBorders>
              <w:top w:val="nil"/>
              <w:left w:val="nil"/>
              <w:bottom w:val="nil"/>
              <w:right w:val="nil"/>
            </w:tcBorders>
            <w:shd w:val="clear" w:color="auto" w:fill="auto"/>
            <w:noWrap/>
            <w:vAlign w:val="bottom"/>
          </w:tcPr>
          <w:p w:rsidR="00B301D0" w:rsidRPr="00FD32C6" w:rsidRDefault="001702FA" w:rsidP="00B301D0">
            <w:pPr>
              <w:jc w:val="right"/>
              <w:rPr>
                <w:rFonts w:ascii="Arial" w:hAnsi="Arial" w:cs="Arial"/>
                <w:b/>
                <w:bCs/>
                <w:sz w:val="18"/>
                <w:szCs w:val="18"/>
              </w:rPr>
            </w:pPr>
            <w:r>
              <w:rPr>
                <w:rFonts w:ascii="Arial" w:hAnsi="Arial" w:cs="Arial"/>
                <w:b/>
                <w:bCs/>
                <w:sz w:val="18"/>
                <w:szCs w:val="18"/>
              </w:rPr>
              <w:t>795</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654</w:t>
            </w:r>
          </w:p>
        </w:tc>
      </w:tr>
      <w:tr w:rsidR="00B301D0" w:rsidRPr="003B1B97" w:rsidTr="001606EE">
        <w:trPr>
          <w:gridAfter w:val="1"/>
          <w:wAfter w:w="121" w:type="pct"/>
          <w:trHeight w:val="255"/>
        </w:trPr>
        <w:tc>
          <w:tcPr>
            <w:tcW w:w="3319" w:type="pct"/>
            <w:tcBorders>
              <w:top w:val="nil"/>
              <w:left w:val="nil"/>
              <w:bottom w:val="nil"/>
              <w:right w:val="nil"/>
            </w:tcBorders>
            <w:shd w:val="clear" w:color="auto" w:fill="auto"/>
            <w:noWrap/>
            <w:vAlign w:val="bottom"/>
          </w:tcPr>
          <w:p w:rsidR="00B301D0" w:rsidRPr="00A54BAA" w:rsidRDefault="00B301D0" w:rsidP="00B301D0">
            <w:pPr>
              <w:rPr>
                <w:rFonts w:ascii="Arial" w:hAnsi="Arial" w:cs="Arial"/>
                <w:sz w:val="18"/>
                <w:szCs w:val="18"/>
              </w:rPr>
            </w:pPr>
            <w:r w:rsidRPr="00A54BAA">
              <w:rPr>
                <w:rFonts w:ascii="Arial" w:hAnsi="Arial" w:cs="Arial"/>
                <w:sz w:val="18"/>
                <w:szCs w:val="18"/>
              </w:rPr>
              <w:t xml:space="preserve">Exchange differences </w:t>
            </w:r>
          </w:p>
        </w:tc>
        <w:tc>
          <w:tcPr>
            <w:tcW w:w="438" w:type="pct"/>
            <w:tcBorders>
              <w:top w:val="nil"/>
              <w:left w:val="nil"/>
              <w:bottom w:val="nil"/>
              <w:right w:val="nil"/>
            </w:tcBorders>
            <w:vAlign w:val="bottom"/>
          </w:tcPr>
          <w:p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rsidR="00B301D0" w:rsidRPr="00FD32C6" w:rsidRDefault="001702FA" w:rsidP="00B301D0">
            <w:pPr>
              <w:jc w:val="right"/>
              <w:rPr>
                <w:rFonts w:ascii="Arial" w:hAnsi="Arial" w:cs="Arial"/>
                <w:b/>
                <w:bCs/>
                <w:sz w:val="18"/>
                <w:szCs w:val="18"/>
              </w:rPr>
            </w:pPr>
            <w:r>
              <w:rPr>
                <w:rFonts w:ascii="Arial" w:hAnsi="Arial" w:cs="Arial"/>
                <w:b/>
                <w:bCs/>
                <w:sz w:val="18"/>
                <w:szCs w:val="18"/>
              </w:rPr>
              <w:t>3</w:t>
            </w:r>
            <w:r w:rsidR="00CA4C92">
              <w:rPr>
                <w:rFonts w:ascii="Arial" w:hAnsi="Arial" w:cs="Arial"/>
                <w:b/>
                <w:bCs/>
                <w:sz w:val="18"/>
                <w:szCs w:val="18"/>
              </w:rPr>
              <w:t>1</w:t>
            </w:r>
          </w:p>
        </w:tc>
        <w:tc>
          <w:tcPr>
            <w:tcW w:w="614" w:type="pct"/>
            <w:tcBorders>
              <w:top w:val="nil"/>
              <w:left w:val="nil"/>
              <w:bottom w:val="nil"/>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103</w:t>
            </w:r>
          </w:p>
        </w:tc>
      </w:tr>
      <w:tr w:rsidR="00B301D0" w:rsidRPr="003B1B97" w:rsidTr="001606EE">
        <w:trPr>
          <w:gridAfter w:val="1"/>
          <w:wAfter w:w="121" w:type="pct"/>
          <w:trHeight w:val="270"/>
        </w:trPr>
        <w:tc>
          <w:tcPr>
            <w:tcW w:w="3319" w:type="pct"/>
            <w:tcBorders>
              <w:top w:val="single" w:sz="4" w:space="0" w:color="auto"/>
              <w:left w:val="nil"/>
              <w:bottom w:val="single" w:sz="12" w:space="0" w:color="auto"/>
              <w:right w:val="nil"/>
            </w:tcBorders>
            <w:shd w:val="clear" w:color="auto" w:fill="auto"/>
            <w:noWrap/>
            <w:vAlign w:val="bottom"/>
          </w:tcPr>
          <w:p w:rsidR="00B301D0" w:rsidRPr="00A54BAA" w:rsidRDefault="00B301D0" w:rsidP="00B301D0">
            <w:pPr>
              <w:rPr>
                <w:rFonts w:ascii="Arial" w:hAnsi="Arial" w:cs="Arial"/>
                <w:b/>
                <w:bCs/>
                <w:sz w:val="18"/>
                <w:szCs w:val="18"/>
              </w:rPr>
            </w:pPr>
            <w:r w:rsidRPr="00A54BAA">
              <w:rPr>
                <w:rFonts w:ascii="Arial" w:hAnsi="Arial" w:cs="Arial"/>
                <w:b/>
                <w:bCs/>
                <w:sz w:val="18"/>
                <w:szCs w:val="18"/>
              </w:rPr>
              <w:t xml:space="preserve">Cash and cash equivalents and bank overdrafts at end of </w:t>
            </w:r>
            <w:r>
              <w:rPr>
                <w:rFonts w:ascii="Arial" w:hAnsi="Arial" w:cs="Arial"/>
                <w:b/>
                <w:bCs/>
                <w:sz w:val="18"/>
                <w:szCs w:val="18"/>
              </w:rPr>
              <w:t>year</w:t>
            </w:r>
          </w:p>
        </w:tc>
        <w:tc>
          <w:tcPr>
            <w:tcW w:w="438" w:type="pct"/>
            <w:tcBorders>
              <w:top w:val="single" w:sz="4" w:space="0" w:color="auto"/>
              <w:left w:val="nil"/>
              <w:bottom w:val="single" w:sz="12" w:space="0" w:color="auto"/>
              <w:right w:val="nil"/>
            </w:tcBorders>
            <w:vAlign w:val="bottom"/>
          </w:tcPr>
          <w:p w:rsidR="00B301D0" w:rsidRPr="00085EA6" w:rsidRDefault="00B301D0" w:rsidP="00B301D0">
            <w:pPr>
              <w:jc w:val="center"/>
              <w:rPr>
                <w:rFonts w:ascii="Arial" w:hAnsi="Arial" w:cs="Arial"/>
                <w:bCs/>
                <w:sz w:val="18"/>
                <w:szCs w:val="18"/>
              </w:rPr>
            </w:pPr>
            <w:r>
              <w:rPr>
                <w:rFonts w:ascii="Arial" w:hAnsi="Arial" w:cs="Arial"/>
                <w:bCs/>
                <w:sz w:val="18"/>
                <w:szCs w:val="18"/>
              </w:rPr>
              <w:t>11</w:t>
            </w:r>
          </w:p>
        </w:tc>
        <w:tc>
          <w:tcPr>
            <w:tcW w:w="508" w:type="pct"/>
            <w:tcBorders>
              <w:top w:val="single" w:sz="4" w:space="0" w:color="auto"/>
              <w:left w:val="nil"/>
              <w:bottom w:val="single" w:sz="12" w:space="0" w:color="auto"/>
              <w:right w:val="nil"/>
            </w:tcBorders>
            <w:shd w:val="clear" w:color="auto" w:fill="auto"/>
            <w:noWrap/>
            <w:vAlign w:val="bottom"/>
          </w:tcPr>
          <w:p w:rsidR="00B301D0" w:rsidRPr="008E1198" w:rsidRDefault="001702FA" w:rsidP="00B301D0">
            <w:pPr>
              <w:jc w:val="right"/>
              <w:rPr>
                <w:rFonts w:ascii="Arial" w:hAnsi="Arial" w:cs="Arial"/>
                <w:b/>
                <w:bCs/>
                <w:sz w:val="18"/>
                <w:szCs w:val="18"/>
              </w:rPr>
            </w:pPr>
            <w:r>
              <w:rPr>
                <w:rFonts w:ascii="Arial" w:hAnsi="Arial" w:cs="Arial"/>
                <w:b/>
                <w:bCs/>
                <w:sz w:val="18"/>
                <w:szCs w:val="18"/>
              </w:rPr>
              <w:t>230</w:t>
            </w:r>
          </w:p>
        </w:tc>
        <w:tc>
          <w:tcPr>
            <w:tcW w:w="614" w:type="pct"/>
            <w:tcBorders>
              <w:top w:val="single" w:sz="4" w:space="0" w:color="auto"/>
              <w:left w:val="nil"/>
              <w:bottom w:val="single" w:sz="12" w:space="0" w:color="auto"/>
              <w:right w:val="nil"/>
            </w:tcBorders>
            <w:shd w:val="clear" w:color="auto" w:fill="auto"/>
            <w:noWrap/>
            <w:vAlign w:val="bottom"/>
          </w:tcPr>
          <w:p w:rsidR="00B301D0" w:rsidRPr="00B301D0" w:rsidRDefault="00B301D0" w:rsidP="00B301D0">
            <w:pPr>
              <w:jc w:val="right"/>
              <w:rPr>
                <w:rFonts w:ascii="Arial" w:hAnsi="Arial" w:cs="Arial"/>
                <w:bCs/>
                <w:sz w:val="18"/>
                <w:szCs w:val="18"/>
              </w:rPr>
            </w:pPr>
            <w:r w:rsidRPr="00B301D0">
              <w:rPr>
                <w:rFonts w:ascii="Arial" w:hAnsi="Arial" w:cs="Arial"/>
                <w:bCs/>
                <w:sz w:val="18"/>
                <w:szCs w:val="18"/>
              </w:rPr>
              <w:t>795</w:t>
            </w:r>
          </w:p>
        </w:tc>
      </w:tr>
    </w:tbl>
    <w:p w:rsidR="00DC25B4" w:rsidRPr="00EF1091" w:rsidRDefault="00DC25B4" w:rsidP="00BA0967">
      <w:pPr>
        <w:jc w:val="both"/>
        <w:rPr>
          <w:rFonts w:ascii="Arial" w:hAnsi="Arial" w:cs="Arial"/>
          <w:b/>
          <w:spacing w:val="14"/>
          <w:sz w:val="18"/>
          <w:szCs w:val="18"/>
        </w:rPr>
      </w:pPr>
      <w:r w:rsidRPr="00EF1091">
        <w:rPr>
          <w:rFonts w:ascii="Arial" w:hAnsi="Arial" w:cs="Arial"/>
          <w:sz w:val="18"/>
          <w:szCs w:val="18"/>
        </w:rPr>
        <w:br w:type="page"/>
      </w:r>
      <w:r w:rsidRPr="00EF1091">
        <w:rPr>
          <w:rFonts w:ascii="Arial" w:hAnsi="Arial" w:cs="Arial"/>
          <w:b/>
          <w:spacing w:val="14"/>
          <w:sz w:val="18"/>
          <w:szCs w:val="18"/>
        </w:rPr>
        <w:lastRenderedPageBreak/>
        <w:t>Notes</w:t>
      </w:r>
    </w:p>
    <w:p w:rsidR="00DC25B4" w:rsidRPr="00EF1091" w:rsidRDefault="00DC25B4" w:rsidP="00BA0967">
      <w:pPr>
        <w:jc w:val="both"/>
        <w:rPr>
          <w:rFonts w:ascii="Arial" w:hAnsi="Arial" w:cs="Arial"/>
          <w:b/>
          <w:spacing w:val="14"/>
          <w:sz w:val="18"/>
          <w:szCs w:val="18"/>
        </w:rPr>
      </w:pPr>
    </w:p>
    <w:p w:rsidR="00DC25B4" w:rsidRPr="00EF1091" w:rsidRDefault="00DC25B4" w:rsidP="00BA0967">
      <w:pPr>
        <w:numPr>
          <w:ilvl w:val="0"/>
          <w:numId w:val="1"/>
        </w:numPr>
        <w:tabs>
          <w:tab w:val="clear" w:pos="570"/>
          <w:tab w:val="num" w:pos="0"/>
        </w:tabs>
        <w:ind w:left="0" w:hanging="567"/>
        <w:jc w:val="both"/>
        <w:rPr>
          <w:rFonts w:ascii="Arial" w:hAnsi="Arial" w:cs="Arial"/>
          <w:b/>
          <w:sz w:val="18"/>
          <w:szCs w:val="18"/>
        </w:rPr>
      </w:pPr>
      <w:r w:rsidRPr="00EF1091">
        <w:rPr>
          <w:rFonts w:ascii="Arial" w:hAnsi="Arial" w:cs="Arial"/>
          <w:b/>
          <w:sz w:val="18"/>
          <w:szCs w:val="18"/>
        </w:rPr>
        <w:t>General information</w:t>
      </w:r>
    </w:p>
    <w:p w:rsidR="00DC25B4" w:rsidRPr="00EF1091" w:rsidRDefault="00DC25B4" w:rsidP="00BA0967">
      <w:pPr>
        <w:jc w:val="both"/>
        <w:rPr>
          <w:rFonts w:ascii="Arial" w:hAnsi="Arial" w:cs="Arial"/>
          <w:sz w:val="18"/>
          <w:szCs w:val="18"/>
        </w:rPr>
      </w:pPr>
    </w:p>
    <w:p w:rsidR="00DC25B4" w:rsidRPr="00EF1091" w:rsidRDefault="00DC25B4" w:rsidP="00BA0967">
      <w:pPr>
        <w:jc w:val="both"/>
        <w:rPr>
          <w:rFonts w:ascii="Arial" w:hAnsi="Arial" w:cs="Arial"/>
          <w:sz w:val="18"/>
          <w:szCs w:val="18"/>
        </w:rPr>
      </w:pPr>
      <w:r w:rsidRPr="00EF1091">
        <w:rPr>
          <w:rFonts w:ascii="Arial" w:hAnsi="Arial" w:cs="Arial"/>
          <w:sz w:val="18"/>
          <w:szCs w:val="18"/>
        </w:rPr>
        <w:t>Kingfisher plc (</w:t>
      </w:r>
      <w:r w:rsidR="00E94CA4">
        <w:rPr>
          <w:rFonts w:ascii="Arial" w:hAnsi="Arial" w:cs="Arial"/>
          <w:sz w:val="18"/>
          <w:szCs w:val="18"/>
        </w:rPr>
        <w:t>‘</w:t>
      </w:r>
      <w:r w:rsidRPr="00EF1091">
        <w:rPr>
          <w:rFonts w:ascii="Arial" w:hAnsi="Arial" w:cs="Arial"/>
          <w:sz w:val="18"/>
          <w:szCs w:val="18"/>
        </w:rPr>
        <w:t>the Company</w:t>
      </w:r>
      <w:r w:rsidR="00E94CA4">
        <w:rPr>
          <w:rFonts w:ascii="Arial" w:hAnsi="Arial" w:cs="Arial"/>
          <w:sz w:val="18"/>
          <w:szCs w:val="18"/>
        </w:rPr>
        <w:t>’</w:t>
      </w:r>
      <w:r w:rsidRPr="00EF1091">
        <w:rPr>
          <w:rFonts w:ascii="Arial" w:hAnsi="Arial" w:cs="Arial"/>
          <w:sz w:val="18"/>
          <w:szCs w:val="18"/>
        </w:rPr>
        <w:t>)</w:t>
      </w:r>
      <w:r w:rsidR="007A5A32">
        <w:rPr>
          <w:rFonts w:ascii="Arial" w:hAnsi="Arial" w:cs="Arial"/>
          <w:sz w:val="18"/>
          <w:szCs w:val="18"/>
        </w:rPr>
        <w:t xml:space="preserve">, </w:t>
      </w:r>
      <w:r w:rsidRPr="00EF1091">
        <w:rPr>
          <w:rFonts w:ascii="Arial" w:hAnsi="Arial" w:cs="Arial"/>
          <w:sz w:val="18"/>
          <w:szCs w:val="18"/>
        </w:rPr>
        <w:t>its subsidiaries</w:t>
      </w:r>
      <w:r w:rsidR="007A5A32">
        <w:rPr>
          <w:rFonts w:ascii="Arial" w:hAnsi="Arial" w:cs="Arial"/>
          <w:sz w:val="18"/>
          <w:szCs w:val="18"/>
        </w:rPr>
        <w:t>, joint ventures and associates</w:t>
      </w:r>
      <w:r w:rsidRPr="00EF1091">
        <w:rPr>
          <w:rFonts w:ascii="Arial" w:hAnsi="Arial" w:cs="Arial"/>
          <w:sz w:val="18"/>
          <w:szCs w:val="18"/>
        </w:rPr>
        <w:t xml:space="preserve"> (together </w:t>
      </w:r>
      <w:r w:rsidR="00E94CA4">
        <w:rPr>
          <w:rFonts w:ascii="Arial" w:hAnsi="Arial" w:cs="Arial"/>
          <w:sz w:val="18"/>
          <w:szCs w:val="18"/>
        </w:rPr>
        <w:t>‘</w:t>
      </w:r>
      <w:r w:rsidRPr="00EF1091">
        <w:rPr>
          <w:rFonts w:ascii="Arial" w:hAnsi="Arial" w:cs="Arial"/>
          <w:sz w:val="18"/>
          <w:szCs w:val="18"/>
        </w:rPr>
        <w:t>the Group</w:t>
      </w:r>
      <w:r w:rsidR="00E94CA4">
        <w:rPr>
          <w:rFonts w:ascii="Arial" w:hAnsi="Arial" w:cs="Arial"/>
          <w:sz w:val="18"/>
          <w:szCs w:val="18"/>
        </w:rPr>
        <w:t>’</w:t>
      </w:r>
      <w:r w:rsidRPr="00EF1091">
        <w:rPr>
          <w:rFonts w:ascii="Arial" w:hAnsi="Arial" w:cs="Arial"/>
          <w:sz w:val="18"/>
          <w:szCs w:val="18"/>
        </w:rPr>
        <w:t xml:space="preserve">) </w:t>
      </w:r>
      <w:r w:rsidR="0080251D">
        <w:rPr>
          <w:rFonts w:ascii="Arial" w:hAnsi="Arial" w:cs="Arial"/>
          <w:sz w:val="18"/>
          <w:szCs w:val="18"/>
        </w:rPr>
        <w:t>supply</w:t>
      </w:r>
      <w:r w:rsidRPr="00EF1091">
        <w:rPr>
          <w:rFonts w:ascii="Arial" w:hAnsi="Arial" w:cs="Arial"/>
          <w:sz w:val="18"/>
          <w:szCs w:val="18"/>
        </w:rPr>
        <w:t xml:space="preserve"> home improvement products </w:t>
      </w:r>
      <w:r w:rsidR="0080251D">
        <w:rPr>
          <w:rFonts w:ascii="Arial" w:hAnsi="Arial" w:cs="Arial"/>
          <w:sz w:val="18"/>
          <w:szCs w:val="18"/>
        </w:rPr>
        <w:t xml:space="preserve">and services </w:t>
      </w:r>
      <w:r w:rsidRPr="00EF1091">
        <w:rPr>
          <w:rFonts w:ascii="Arial" w:hAnsi="Arial" w:cs="Arial"/>
          <w:sz w:val="18"/>
          <w:szCs w:val="18"/>
        </w:rPr>
        <w:t xml:space="preserve">through a network of retail </w:t>
      </w:r>
      <w:r w:rsidR="0080251D">
        <w:rPr>
          <w:rFonts w:ascii="Arial" w:hAnsi="Arial" w:cs="Arial"/>
          <w:sz w:val="18"/>
          <w:szCs w:val="18"/>
        </w:rPr>
        <w:t>stores and other channels</w:t>
      </w:r>
      <w:r w:rsidRPr="00EF1091">
        <w:rPr>
          <w:rFonts w:ascii="Arial" w:hAnsi="Arial" w:cs="Arial"/>
          <w:sz w:val="18"/>
          <w:szCs w:val="18"/>
        </w:rPr>
        <w:t>, located mainly in the United Kingdom</w:t>
      </w:r>
      <w:r w:rsidR="00CD6F3E">
        <w:rPr>
          <w:rFonts w:ascii="Arial" w:hAnsi="Arial" w:cs="Arial"/>
          <w:sz w:val="18"/>
          <w:szCs w:val="18"/>
        </w:rPr>
        <w:t xml:space="preserve"> and</w:t>
      </w:r>
      <w:r w:rsidRPr="00EF1091">
        <w:rPr>
          <w:rFonts w:ascii="Arial" w:hAnsi="Arial" w:cs="Arial"/>
          <w:sz w:val="18"/>
          <w:szCs w:val="18"/>
        </w:rPr>
        <w:t xml:space="preserve"> </w:t>
      </w:r>
      <w:r w:rsidR="004F20DB">
        <w:rPr>
          <w:rFonts w:ascii="Arial" w:hAnsi="Arial" w:cs="Arial"/>
          <w:sz w:val="18"/>
          <w:szCs w:val="18"/>
        </w:rPr>
        <w:t xml:space="preserve">continental </w:t>
      </w:r>
      <w:r w:rsidRPr="00395A58">
        <w:rPr>
          <w:rFonts w:ascii="Arial" w:hAnsi="Arial" w:cs="Arial"/>
          <w:sz w:val="18"/>
          <w:szCs w:val="18"/>
        </w:rPr>
        <w:t>Europe</w:t>
      </w:r>
      <w:r w:rsidR="00CD6F3E">
        <w:rPr>
          <w:rFonts w:ascii="Arial" w:hAnsi="Arial" w:cs="Arial"/>
          <w:sz w:val="18"/>
          <w:szCs w:val="18"/>
        </w:rPr>
        <w:t>.</w:t>
      </w:r>
    </w:p>
    <w:p w:rsidR="00DC25B4" w:rsidRPr="00EF1091" w:rsidRDefault="00DC25B4" w:rsidP="00BA0967">
      <w:pPr>
        <w:jc w:val="both"/>
        <w:rPr>
          <w:rFonts w:ascii="Arial" w:hAnsi="Arial" w:cs="Arial"/>
          <w:sz w:val="18"/>
          <w:szCs w:val="18"/>
        </w:rPr>
      </w:pPr>
    </w:p>
    <w:p w:rsidR="00DC25B4" w:rsidRDefault="0000538E" w:rsidP="0000538E">
      <w:pPr>
        <w:jc w:val="both"/>
        <w:rPr>
          <w:rFonts w:ascii="Arial" w:hAnsi="Arial" w:cs="Arial"/>
          <w:sz w:val="18"/>
          <w:szCs w:val="18"/>
        </w:rPr>
      </w:pPr>
      <w:r w:rsidRPr="0000538E">
        <w:rPr>
          <w:rFonts w:ascii="Arial" w:hAnsi="Arial" w:cs="Arial"/>
          <w:sz w:val="18"/>
          <w:szCs w:val="18"/>
        </w:rPr>
        <w:t xml:space="preserve">The Company is incorporated in </w:t>
      </w:r>
      <w:r w:rsidR="00190480">
        <w:rPr>
          <w:rFonts w:ascii="Arial" w:hAnsi="Arial" w:cs="Arial"/>
          <w:sz w:val="18"/>
          <w:szCs w:val="18"/>
        </w:rPr>
        <w:t>England,</w:t>
      </w:r>
      <w:r w:rsidR="00190480" w:rsidRPr="0000538E">
        <w:rPr>
          <w:rFonts w:ascii="Arial" w:hAnsi="Arial" w:cs="Arial"/>
          <w:sz w:val="18"/>
          <w:szCs w:val="18"/>
        </w:rPr>
        <w:t xml:space="preserve"> United</w:t>
      </w:r>
      <w:r w:rsidRPr="0000538E">
        <w:rPr>
          <w:rFonts w:ascii="Arial" w:hAnsi="Arial" w:cs="Arial"/>
          <w:sz w:val="18"/>
          <w:szCs w:val="18"/>
        </w:rPr>
        <w:t xml:space="preserve"> Kingdom</w:t>
      </w:r>
      <w:r w:rsidR="002F1EEE">
        <w:rPr>
          <w:rFonts w:ascii="Arial" w:hAnsi="Arial" w:cs="Arial"/>
          <w:sz w:val="18"/>
          <w:szCs w:val="18"/>
        </w:rPr>
        <w:t>,</w:t>
      </w:r>
      <w:r w:rsidRPr="0000538E">
        <w:rPr>
          <w:rFonts w:ascii="Arial" w:hAnsi="Arial" w:cs="Arial"/>
          <w:sz w:val="18"/>
          <w:szCs w:val="18"/>
        </w:rPr>
        <w:t xml:space="preserve"> and is listed on the London Stock Exchange. The address of its registered office is 3 Sheldon Square, Paddington, London W2 6PX.</w:t>
      </w:r>
    </w:p>
    <w:p w:rsidR="0000538E" w:rsidRPr="00EF1091" w:rsidRDefault="0000538E" w:rsidP="0000538E">
      <w:pPr>
        <w:jc w:val="both"/>
        <w:rPr>
          <w:rFonts w:ascii="Arial" w:hAnsi="Arial" w:cs="Arial"/>
          <w:sz w:val="18"/>
          <w:szCs w:val="18"/>
        </w:rPr>
      </w:pPr>
    </w:p>
    <w:p w:rsidR="00DC25B4" w:rsidRPr="00EF1091" w:rsidRDefault="007331A9" w:rsidP="00BA0967">
      <w:pPr>
        <w:numPr>
          <w:ilvl w:val="0"/>
          <w:numId w:val="1"/>
        </w:numPr>
        <w:tabs>
          <w:tab w:val="clear" w:pos="570"/>
          <w:tab w:val="num" w:pos="0"/>
        </w:tabs>
        <w:ind w:left="0" w:hanging="567"/>
        <w:jc w:val="both"/>
        <w:rPr>
          <w:rFonts w:ascii="Arial" w:hAnsi="Arial" w:cs="Arial"/>
          <w:b/>
          <w:sz w:val="18"/>
          <w:szCs w:val="18"/>
        </w:rPr>
      </w:pPr>
      <w:r>
        <w:rPr>
          <w:rFonts w:ascii="Arial" w:hAnsi="Arial" w:cs="Arial"/>
          <w:b/>
          <w:sz w:val="18"/>
          <w:szCs w:val="18"/>
        </w:rPr>
        <w:t>Basis of preparation</w:t>
      </w:r>
    </w:p>
    <w:p w:rsidR="00DC25B4" w:rsidRPr="00F4305E" w:rsidRDefault="00DC25B4" w:rsidP="00BA0967">
      <w:pPr>
        <w:jc w:val="both"/>
        <w:rPr>
          <w:rFonts w:ascii="Arial" w:hAnsi="Arial" w:cs="Arial"/>
          <w:sz w:val="18"/>
          <w:szCs w:val="18"/>
        </w:rPr>
      </w:pPr>
    </w:p>
    <w:p w:rsidR="00B07D6F" w:rsidRDefault="0036282A" w:rsidP="00BA0967">
      <w:pPr>
        <w:jc w:val="both"/>
        <w:rPr>
          <w:rFonts w:ascii="Arial" w:hAnsi="Arial" w:cs="Arial"/>
          <w:sz w:val="18"/>
          <w:szCs w:val="18"/>
          <w:highlight w:val="yellow"/>
        </w:rPr>
      </w:pPr>
      <w:r w:rsidRPr="0036282A">
        <w:rPr>
          <w:rFonts w:ascii="Arial" w:hAnsi="Arial" w:cs="Arial"/>
          <w:sz w:val="18"/>
          <w:szCs w:val="18"/>
        </w:rPr>
        <w:t>The consolidated financial statements of the Company, its subsidiaries, joint ventures and associates are made up to 31 January</w:t>
      </w:r>
      <w:r w:rsidR="00DC25B4" w:rsidRPr="00C27DA7">
        <w:rPr>
          <w:rFonts w:ascii="Arial" w:hAnsi="Arial" w:cs="Arial"/>
          <w:sz w:val="18"/>
          <w:szCs w:val="18"/>
        </w:rPr>
        <w:t xml:space="preserve">. </w:t>
      </w:r>
      <w:r w:rsidRPr="0036282A">
        <w:rPr>
          <w:rFonts w:ascii="Arial" w:hAnsi="Arial" w:cs="Arial"/>
          <w:sz w:val="18"/>
          <w:szCs w:val="18"/>
        </w:rPr>
        <w:t>The current financial year is the cal</w:t>
      </w:r>
      <w:r w:rsidR="00831349">
        <w:rPr>
          <w:rFonts w:ascii="Arial" w:hAnsi="Arial" w:cs="Arial"/>
          <w:sz w:val="18"/>
          <w:szCs w:val="18"/>
        </w:rPr>
        <w:t>endar year ended 31 January 201</w:t>
      </w:r>
      <w:r w:rsidR="00F47D62">
        <w:rPr>
          <w:rFonts w:ascii="Arial" w:hAnsi="Arial" w:cs="Arial"/>
          <w:sz w:val="18"/>
          <w:szCs w:val="18"/>
        </w:rPr>
        <w:t>8</w:t>
      </w:r>
      <w:r w:rsidR="00831349">
        <w:rPr>
          <w:rFonts w:ascii="Arial" w:hAnsi="Arial" w:cs="Arial"/>
          <w:sz w:val="18"/>
          <w:szCs w:val="18"/>
        </w:rPr>
        <w:t xml:space="preserve"> (‘the year’ or ‘201</w:t>
      </w:r>
      <w:r w:rsidR="00F47D62">
        <w:rPr>
          <w:rFonts w:ascii="Arial" w:hAnsi="Arial" w:cs="Arial"/>
          <w:sz w:val="18"/>
          <w:szCs w:val="18"/>
        </w:rPr>
        <w:t>7</w:t>
      </w:r>
      <w:r w:rsidR="00831349">
        <w:rPr>
          <w:rFonts w:ascii="Arial" w:hAnsi="Arial" w:cs="Arial"/>
          <w:sz w:val="18"/>
          <w:szCs w:val="18"/>
        </w:rPr>
        <w:t>/1</w:t>
      </w:r>
      <w:r w:rsidR="00F47D62">
        <w:rPr>
          <w:rFonts w:ascii="Arial" w:hAnsi="Arial" w:cs="Arial"/>
          <w:sz w:val="18"/>
          <w:szCs w:val="18"/>
        </w:rPr>
        <w:t>8</w:t>
      </w:r>
      <w:r w:rsidRPr="0036282A">
        <w:rPr>
          <w:rFonts w:ascii="Arial" w:hAnsi="Arial" w:cs="Arial"/>
          <w:sz w:val="18"/>
          <w:szCs w:val="18"/>
        </w:rPr>
        <w:t>’). The comparative financial year is th</w:t>
      </w:r>
      <w:r w:rsidR="00831349">
        <w:rPr>
          <w:rFonts w:ascii="Arial" w:hAnsi="Arial" w:cs="Arial"/>
          <w:sz w:val="18"/>
          <w:szCs w:val="18"/>
        </w:rPr>
        <w:t xml:space="preserve">e </w:t>
      </w:r>
      <w:r w:rsidR="009756F7">
        <w:rPr>
          <w:rFonts w:ascii="Arial" w:hAnsi="Arial" w:cs="Arial"/>
          <w:sz w:val="18"/>
          <w:szCs w:val="18"/>
        </w:rPr>
        <w:t>calendar year</w:t>
      </w:r>
      <w:r w:rsidR="00831349">
        <w:rPr>
          <w:rFonts w:ascii="Arial" w:hAnsi="Arial" w:cs="Arial"/>
          <w:sz w:val="18"/>
          <w:szCs w:val="18"/>
        </w:rPr>
        <w:t xml:space="preserve"> ended 31 January 201</w:t>
      </w:r>
      <w:r w:rsidR="00F47D62">
        <w:rPr>
          <w:rFonts w:ascii="Arial" w:hAnsi="Arial" w:cs="Arial"/>
          <w:sz w:val="18"/>
          <w:szCs w:val="18"/>
        </w:rPr>
        <w:t>7</w:t>
      </w:r>
      <w:r w:rsidR="00831349">
        <w:rPr>
          <w:rFonts w:ascii="Arial" w:hAnsi="Arial" w:cs="Arial"/>
          <w:sz w:val="18"/>
          <w:szCs w:val="18"/>
        </w:rPr>
        <w:t xml:space="preserve"> (‘the prior year’ or ‘201</w:t>
      </w:r>
      <w:r w:rsidR="00F47D62">
        <w:rPr>
          <w:rFonts w:ascii="Arial" w:hAnsi="Arial" w:cs="Arial"/>
          <w:sz w:val="18"/>
          <w:szCs w:val="18"/>
        </w:rPr>
        <w:t>6</w:t>
      </w:r>
      <w:r w:rsidR="00831349">
        <w:rPr>
          <w:rFonts w:ascii="Arial" w:hAnsi="Arial" w:cs="Arial"/>
          <w:sz w:val="18"/>
          <w:szCs w:val="18"/>
        </w:rPr>
        <w:t>/1</w:t>
      </w:r>
      <w:r w:rsidR="00F47D62">
        <w:rPr>
          <w:rFonts w:ascii="Arial" w:hAnsi="Arial" w:cs="Arial"/>
          <w:sz w:val="18"/>
          <w:szCs w:val="18"/>
        </w:rPr>
        <w:t>7</w:t>
      </w:r>
      <w:r w:rsidRPr="0036282A">
        <w:rPr>
          <w:rFonts w:ascii="Arial" w:hAnsi="Arial" w:cs="Arial"/>
          <w:sz w:val="18"/>
          <w:szCs w:val="18"/>
        </w:rPr>
        <w:t>’).</w:t>
      </w:r>
    </w:p>
    <w:p w:rsidR="00DC25B4" w:rsidRDefault="00DC25B4" w:rsidP="00BA0967">
      <w:pPr>
        <w:jc w:val="both"/>
        <w:rPr>
          <w:rFonts w:ascii="Arial" w:hAnsi="Arial" w:cs="Arial"/>
          <w:sz w:val="18"/>
          <w:szCs w:val="18"/>
        </w:rPr>
      </w:pPr>
    </w:p>
    <w:p w:rsidR="00AA495D" w:rsidRDefault="00AA495D" w:rsidP="00BA0967">
      <w:pPr>
        <w:jc w:val="both"/>
        <w:rPr>
          <w:rFonts w:ascii="Arial" w:hAnsi="Arial" w:cs="Arial"/>
          <w:sz w:val="18"/>
          <w:szCs w:val="18"/>
        </w:rPr>
      </w:pPr>
      <w:r w:rsidRPr="00FD32C6">
        <w:rPr>
          <w:rFonts w:ascii="Arial" w:hAnsi="Arial" w:cs="Arial"/>
          <w:sz w:val="18"/>
          <w:szCs w:val="18"/>
        </w:rPr>
        <w:t xml:space="preserve">The </w:t>
      </w:r>
      <w:r w:rsidR="00523E3E" w:rsidRPr="00FD32C6">
        <w:rPr>
          <w:rFonts w:ascii="Arial" w:hAnsi="Arial" w:cs="Arial"/>
          <w:sz w:val="18"/>
          <w:szCs w:val="18"/>
        </w:rPr>
        <w:t>d</w:t>
      </w:r>
      <w:r w:rsidRPr="00FD32C6">
        <w:rPr>
          <w:rFonts w:ascii="Arial" w:hAnsi="Arial" w:cs="Arial"/>
          <w:sz w:val="18"/>
          <w:szCs w:val="18"/>
        </w:rPr>
        <w:t xml:space="preserve">irectors of Kingfisher plc, having made appropriate enquiries, consider that adequate resources exist for the Group to continue in operational existence and that, therefore, it is appropriate to adopt the going concern basis in preparing the </w:t>
      </w:r>
      <w:r w:rsidR="00DF0850" w:rsidRPr="00FD32C6">
        <w:rPr>
          <w:rFonts w:ascii="Arial" w:hAnsi="Arial" w:cs="Arial"/>
          <w:sz w:val="18"/>
          <w:szCs w:val="18"/>
        </w:rPr>
        <w:t>consolidated financial statements</w:t>
      </w:r>
      <w:r w:rsidRPr="00FD32C6">
        <w:rPr>
          <w:rFonts w:ascii="Arial" w:hAnsi="Arial" w:cs="Arial"/>
          <w:sz w:val="18"/>
          <w:szCs w:val="18"/>
        </w:rPr>
        <w:t xml:space="preserve"> for the year ended </w:t>
      </w:r>
      <w:r w:rsidR="003D1DE1">
        <w:rPr>
          <w:rFonts w:ascii="Arial" w:hAnsi="Arial" w:cs="Arial"/>
          <w:sz w:val="18"/>
          <w:szCs w:val="18"/>
        </w:rPr>
        <w:t>31 January 201</w:t>
      </w:r>
      <w:r w:rsidR="00F47D62">
        <w:rPr>
          <w:rFonts w:ascii="Arial" w:hAnsi="Arial" w:cs="Arial"/>
          <w:sz w:val="18"/>
          <w:szCs w:val="18"/>
        </w:rPr>
        <w:t>8</w:t>
      </w:r>
      <w:r w:rsidRPr="00FD32C6">
        <w:rPr>
          <w:rFonts w:ascii="Arial" w:hAnsi="Arial" w:cs="Arial"/>
          <w:sz w:val="18"/>
          <w:szCs w:val="18"/>
        </w:rPr>
        <w:t>.</w:t>
      </w:r>
    </w:p>
    <w:p w:rsidR="00CD6F3E" w:rsidRPr="00CD6F3E" w:rsidRDefault="00CD6F3E" w:rsidP="00BA0967">
      <w:pPr>
        <w:jc w:val="both"/>
        <w:rPr>
          <w:rFonts w:ascii="Arial" w:hAnsi="Arial" w:cs="Arial"/>
          <w:sz w:val="18"/>
          <w:szCs w:val="18"/>
        </w:rPr>
      </w:pPr>
    </w:p>
    <w:p w:rsidR="00F60078" w:rsidRPr="00D779A5" w:rsidRDefault="00F60078" w:rsidP="00BA0967">
      <w:pPr>
        <w:jc w:val="both"/>
        <w:rPr>
          <w:sz w:val="24"/>
          <w:szCs w:val="24"/>
        </w:rPr>
      </w:pPr>
      <w:r w:rsidRPr="00D779A5">
        <w:rPr>
          <w:rFonts w:ascii="Arial" w:hAnsi="Arial" w:cs="Arial"/>
          <w:sz w:val="18"/>
          <w:szCs w:val="18"/>
          <w:lang w:val="en-US"/>
        </w:rPr>
        <w:t xml:space="preserve">The condensed financial information, which comprises the consolidated income statement, consolidated statement of comprehensive income, </w:t>
      </w:r>
      <w:r>
        <w:rPr>
          <w:rFonts w:ascii="Arial" w:hAnsi="Arial" w:cs="Arial"/>
          <w:sz w:val="18"/>
          <w:szCs w:val="18"/>
          <w:lang w:val="en-US"/>
        </w:rPr>
        <w:t xml:space="preserve">consolidated statement of changes in equity, </w:t>
      </w:r>
      <w:r w:rsidRPr="00D779A5">
        <w:rPr>
          <w:rFonts w:ascii="Arial" w:hAnsi="Arial" w:cs="Arial"/>
          <w:sz w:val="18"/>
          <w:szCs w:val="18"/>
          <w:lang w:val="en-US"/>
        </w:rPr>
        <w:t xml:space="preserve">consolidated balance sheet, consolidated cash flow statement and related notes do not constitute statutory financial statements for the </w:t>
      </w:r>
      <w:r w:rsidR="004C5D7D">
        <w:rPr>
          <w:rFonts w:ascii="Arial" w:hAnsi="Arial" w:cs="Arial"/>
          <w:sz w:val="18"/>
          <w:szCs w:val="18"/>
        </w:rPr>
        <w:t>year</w:t>
      </w:r>
      <w:r w:rsidR="0097097F" w:rsidRPr="00EF1091">
        <w:rPr>
          <w:rFonts w:ascii="Arial" w:hAnsi="Arial" w:cs="Arial"/>
          <w:sz w:val="18"/>
          <w:szCs w:val="18"/>
        </w:rPr>
        <w:t xml:space="preserve"> </w:t>
      </w:r>
      <w:r w:rsidR="0097097F" w:rsidRPr="00512EED">
        <w:rPr>
          <w:rFonts w:ascii="Arial" w:hAnsi="Arial" w:cs="Arial"/>
          <w:sz w:val="18"/>
          <w:szCs w:val="18"/>
        </w:rPr>
        <w:t xml:space="preserve">ended </w:t>
      </w:r>
      <w:r w:rsidR="001A5C1B">
        <w:rPr>
          <w:rFonts w:ascii="Arial" w:hAnsi="Arial" w:cs="Arial"/>
          <w:sz w:val="18"/>
          <w:szCs w:val="18"/>
        </w:rPr>
        <w:t>31 January 201</w:t>
      </w:r>
      <w:r w:rsidR="00F47D62">
        <w:rPr>
          <w:rFonts w:ascii="Arial" w:hAnsi="Arial" w:cs="Arial"/>
          <w:sz w:val="18"/>
          <w:szCs w:val="18"/>
        </w:rPr>
        <w:t>8</w:t>
      </w:r>
      <w:r w:rsidRPr="00512EED">
        <w:rPr>
          <w:rFonts w:ascii="Arial" w:hAnsi="Arial" w:cs="Arial"/>
          <w:sz w:val="18"/>
          <w:szCs w:val="18"/>
          <w:lang w:val="en-US"/>
        </w:rPr>
        <w:t xml:space="preserve">, but are derived from those statements. </w:t>
      </w:r>
      <w:r w:rsidR="0016558D" w:rsidRPr="00512EED">
        <w:rPr>
          <w:rFonts w:ascii="Arial" w:hAnsi="Arial" w:cs="Arial"/>
          <w:sz w:val="18"/>
          <w:szCs w:val="18"/>
        </w:rPr>
        <w:t>S</w:t>
      </w:r>
      <w:r w:rsidRPr="00512EED">
        <w:rPr>
          <w:rFonts w:ascii="Arial" w:hAnsi="Arial" w:cs="Arial"/>
          <w:sz w:val="18"/>
          <w:szCs w:val="18"/>
        </w:rPr>
        <w:t>tatutory financial statements for 20</w:t>
      </w:r>
      <w:r w:rsidR="00491C1A" w:rsidRPr="00512EED">
        <w:rPr>
          <w:rFonts w:ascii="Arial" w:hAnsi="Arial" w:cs="Arial"/>
          <w:sz w:val="18"/>
          <w:szCs w:val="18"/>
        </w:rPr>
        <w:t>1</w:t>
      </w:r>
      <w:r w:rsidR="00F47D62">
        <w:rPr>
          <w:rFonts w:ascii="Arial" w:hAnsi="Arial" w:cs="Arial"/>
          <w:sz w:val="18"/>
          <w:szCs w:val="18"/>
        </w:rPr>
        <w:t>6</w:t>
      </w:r>
      <w:r w:rsidRPr="00512EED">
        <w:rPr>
          <w:rFonts w:ascii="Arial" w:hAnsi="Arial" w:cs="Arial"/>
          <w:sz w:val="18"/>
          <w:szCs w:val="18"/>
        </w:rPr>
        <w:t>/</w:t>
      </w:r>
      <w:r w:rsidR="0096316F" w:rsidRPr="00512EED">
        <w:rPr>
          <w:rFonts w:ascii="Arial" w:hAnsi="Arial" w:cs="Arial"/>
          <w:sz w:val="18"/>
          <w:szCs w:val="18"/>
        </w:rPr>
        <w:t>1</w:t>
      </w:r>
      <w:r w:rsidR="00F47D62">
        <w:rPr>
          <w:rFonts w:ascii="Arial" w:hAnsi="Arial" w:cs="Arial"/>
          <w:sz w:val="18"/>
          <w:szCs w:val="18"/>
        </w:rPr>
        <w:t>7</w:t>
      </w:r>
      <w:r w:rsidRPr="00512EED">
        <w:rPr>
          <w:rFonts w:ascii="Arial" w:hAnsi="Arial" w:cs="Arial"/>
          <w:sz w:val="18"/>
          <w:szCs w:val="18"/>
        </w:rPr>
        <w:t xml:space="preserve"> have been filed with the Registrar of Companies</w:t>
      </w:r>
      <w:r w:rsidR="001C3E9C" w:rsidRPr="00512EED">
        <w:rPr>
          <w:rFonts w:ascii="Arial" w:hAnsi="Arial" w:cs="Arial"/>
          <w:sz w:val="18"/>
          <w:szCs w:val="18"/>
        </w:rPr>
        <w:t xml:space="preserve"> and those for 201</w:t>
      </w:r>
      <w:r w:rsidR="00F47D62">
        <w:rPr>
          <w:rFonts w:ascii="Arial" w:hAnsi="Arial" w:cs="Arial"/>
          <w:sz w:val="18"/>
          <w:szCs w:val="18"/>
        </w:rPr>
        <w:t>7</w:t>
      </w:r>
      <w:r w:rsidR="0016558D" w:rsidRPr="00512EED">
        <w:rPr>
          <w:rFonts w:ascii="Arial" w:hAnsi="Arial" w:cs="Arial"/>
          <w:sz w:val="18"/>
          <w:szCs w:val="18"/>
        </w:rPr>
        <w:t>/1</w:t>
      </w:r>
      <w:r w:rsidR="00F47D62">
        <w:rPr>
          <w:rFonts w:ascii="Arial" w:hAnsi="Arial" w:cs="Arial"/>
          <w:sz w:val="18"/>
          <w:szCs w:val="18"/>
        </w:rPr>
        <w:t>8</w:t>
      </w:r>
      <w:r w:rsidR="0016558D" w:rsidRPr="00512EED">
        <w:rPr>
          <w:rFonts w:ascii="Arial" w:hAnsi="Arial" w:cs="Arial"/>
          <w:sz w:val="18"/>
          <w:szCs w:val="18"/>
        </w:rPr>
        <w:t xml:space="preserve"> will be filed in due course</w:t>
      </w:r>
      <w:r w:rsidRPr="00512EED">
        <w:rPr>
          <w:rFonts w:ascii="Arial" w:hAnsi="Arial" w:cs="Arial"/>
          <w:sz w:val="18"/>
          <w:szCs w:val="18"/>
        </w:rPr>
        <w:t>. The Group's auditors have reported</w:t>
      </w:r>
      <w:r w:rsidRPr="00D779A5">
        <w:rPr>
          <w:rFonts w:ascii="Arial" w:hAnsi="Arial" w:cs="Arial"/>
          <w:sz w:val="18"/>
          <w:szCs w:val="18"/>
        </w:rPr>
        <w:t xml:space="preserve"> on </w:t>
      </w:r>
      <w:r w:rsidR="0016558D">
        <w:rPr>
          <w:rFonts w:ascii="Arial" w:hAnsi="Arial" w:cs="Arial"/>
          <w:sz w:val="18"/>
          <w:szCs w:val="18"/>
        </w:rPr>
        <w:t>both years’</w:t>
      </w:r>
      <w:r w:rsidRPr="00D779A5">
        <w:rPr>
          <w:rFonts w:ascii="Arial" w:hAnsi="Arial" w:cs="Arial"/>
          <w:sz w:val="18"/>
          <w:szCs w:val="18"/>
        </w:rPr>
        <w:t xml:space="preserve"> accounts; their reports were unqualified and did not contain statements </w:t>
      </w:r>
      <w:r w:rsidR="0096316F" w:rsidRPr="00D779A5">
        <w:rPr>
          <w:rFonts w:ascii="Arial" w:hAnsi="Arial" w:cs="Arial"/>
          <w:sz w:val="18"/>
          <w:szCs w:val="18"/>
        </w:rPr>
        <w:t>under Section 498 (2) or (3) of the Companies Act 2006</w:t>
      </w:r>
      <w:r w:rsidRPr="00D779A5">
        <w:rPr>
          <w:rFonts w:ascii="Arial" w:hAnsi="Arial" w:cs="Arial"/>
          <w:sz w:val="18"/>
          <w:szCs w:val="18"/>
        </w:rPr>
        <w:t>. </w:t>
      </w:r>
    </w:p>
    <w:p w:rsidR="00F60078" w:rsidRPr="00D779A5" w:rsidRDefault="00F60078" w:rsidP="00BA0967">
      <w:pPr>
        <w:jc w:val="both"/>
        <w:rPr>
          <w:sz w:val="24"/>
          <w:szCs w:val="24"/>
        </w:rPr>
      </w:pPr>
      <w:r w:rsidRPr="00D779A5">
        <w:rPr>
          <w:rFonts w:ascii="Arial" w:hAnsi="Arial" w:cs="Arial"/>
          <w:sz w:val="18"/>
          <w:szCs w:val="18"/>
        </w:rPr>
        <w:t> </w:t>
      </w:r>
    </w:p>
    <w:p w:rsidR="00F60078" w:rsidRDefault="00F60078" w:rsidP="00BA0967">
      <w:pPr>
        <w:jc w:val="both"/>
        <w:rPr>
          <w:rFonts w:ascii="Arial" w:hAnsi="Arial" w:cs="Arial"/>
          <w:sz w:val="18"/>
          <w:szCs w:val="18"/>
        </w:rPr>
      </w:pPr>
      <w:r w:rsidRPr="00D779A5">
        <w:rPr>
          <w:rFonts w:ascii="Arial" w:hAnsi="Arial" w:cs="Arial"/>
          <w:sz w:val="18"/>
          <w:szCs w:val="18"/>
        </w:rPr>
        <w:t xml:space="preserve">The condensed financial information has been abridged from the </w:t>
      </w:r>
      <w:r w:rsidR="0096316F">
        <w:rPr>
          <w:rFonts w:ascii="Arial" w:hAnsi="Arial" w:cs="Arial"/>
          <w:sz w:val="18"/>
          <w:szCs w:val="18"/>
        </w:rPr>
        <w:t>201</w:t>
      </w:r>
      <w:r w:rsidR="00F47D62">
        <w:rPr>
          <w:rFonts w:ascii="Arial" w:hAnsi="Arial" w:cs="Arial"/>
          <w:sz w:val="18"/>
          <w:szCs w:val="18"/>
        </w:rPr>
        <w:t>7</w:t>
      </w:r>
      <w:r w:rsidR="0096316F">
        <w:rPr>
          <w:rFonts w:ascii="Arial" w:hAnsi="Arial" w:cs="Arial"/>
          <w:sz w:val="18"/>
          <w:szCs w:val="18"/>
        </w:rPr>
        <w:t>/1</w:t>
      </w:r>
      <w:r w:rsidR="00F47D62">
        <w:rPr>
          <w:rFonts w:ascii="Arial" w:hAnsi="Arial" w:cs="Arial"/>
          <w:sz w:val="18"/>
          <w:szCs w:val="18"/>
        </w:rPr>
        <w:t>8</w:t>
      </w:r>
      <w:r w:rsidRPr="00D779A5">
        <w:rPr>
          <w:rFonts w:ascii="Arial" w:hAnsi="Arial" w:cs="Arial"/>
          <w:sz w:val="18"/>
          <w:szCs w:val="18"/>
        </w:rPr>
        <w:t xml:space="preserve"> statutory financial statements, which have been prepared in accordance with International Financial Reporting Standards</w:t>
      </w:r>
      <w:r w:rsidR="007E4D7D">
        <w:rPr>
          <w:rFonts w:ascii="Arial" w:hAnsi="Arial" w:cs="Arial"/>
          <w:sz w:val="18"/>
          <w:szCs w:val="18"/>
        </w:rPr>
        <w:t xml:space="preserve"> </w:t>
      </w:r>
      <w:r w:rsidRPr="00D779A5">
        <w:rPr>
          <w:rFonts w:ascii="Arial" w:hAnsi="Arial" w:cs="Arial"/>
          <w:sz w:val="18"/>
          <w:szCs w:val="18"/>
        </w:rPr>
        <w:t xml:space="preserve">as adopted by the </w:t>
      </w:r>
      <w:r w:rsidRPr="001B73BC">
        <w:rPr>
          <w:rFonts w:ascii="Arial" w:hAnsi="Arial" w:cs="Arial"/>
          <w:sz w:val="18"/>
          <w:szCs w:val="18"/>
        </w:rPr>
        <w:t>European Union</w:t>
      </w:r>
      <w:r w:rsidR="007E4D7D" w:rsidRPr="001B73BC">
        <w:rPr>
          <w:rFonts w:ascii="Arial" w:hAnsi="Arial" w:cs="Arial"/>
          <w:sz w:val="18"/>
          <w:szCs w:val="18"/>
        </w:rPr>
        <w:t xml:space="preserve"> (‘IFRS’) </w:t>
      </w:r>
      <w:r w:rsidRPr="001B73BC">
        <w:rPr>
          <w:rFonts w:ascii="Arial" w:hAnsi="Arial" w:cs="Arial"/>
          <w:sz w:val="18"/>
          <w:szCs w:val="18"/>
        </w:rPr>
        <w:t>and those parts of the Companies Act 2006 applicable to companies reporting under IFRS</w:t>
      </w:r>
      <w:r w:rsidR="001B73BC" w:rsidRPr="001B73BC">
        <w:rPr>
          <w:rFonts w:ascii="Arial" w:hAnsi="Arial" w:cs="Arial"/>
          <w:sz w:val="18"/>
          <w:szCs w:val="18"/>
        </w:rPr>
        <w:t xml:space="preserve"> </w:t>
      </w:r>
      <w:r w:rsidR="001B73BC" w:rsidRPr="001B73BC">
        <w:rPr>
          <w:rFonts w:ascii="Arial" w:hAnsi="Arial" w:cs="Arial"/>
          <w:color w:val="000000"/>
          <w:sz w:val="18"/>
          <w:szCs w:val="18"/>
        </w:rPr>
        <w:t>and therefore the consolidated financial statements comply with Article 4 of the EU IAS legislation</w:t>
      </w:r>
      <w:r w:rsidRPr="001B73BC">
        <w:rPr>
          <w:rFonts w:ascii="Arial" w:hAnsi="Arial" w:cs="Arial"/>
          <w:sz w:val="18"/>
          <w:szCs w:val="18"/>
        </w:rPr>
        <w:t xml:space="preserve">. </w:t>
      </w:r>
      <w:r w:rsidR="00512EED" w:rsidRPr="00512EED">
        <w:rPr>
          <w:rFonts w:ascii="Arial" w:hAnsi="Arial" w:cs="Arial"/>
          <w:sz w:val="18"/>
          <w:szCs w:val="18"/>
        </w:rPr>
        <w:t>The consolidated income statement and related notes represent results for continuing operations, there being no discontinued opera</w:t>
      </w:r>
      <w:r w:rsidR="00512EED">
        <w:rPr>
          <w:rFonts w:ascii="Arial" w:hAnsi="Arial" w:cs="Arial"/>
          <w:sz w:val="18"/>
          <w:szCs w:val="18"/>
        </w:rPr>
        <w:t xml:space="preserve">tions in the </w:t>
      </w:r>
      <w:r w:rsidR="001F0A80">
        <w:rPr>
          <w:rFonts w:ascii="Arial" w:hAnsi="Arial" w:cs="Arial"/>
          <w:sz w:val="18"/>
          <w:szCs w:val="18"/>
        </w:rPr>
        <w:t xml:space="preserve">years </w:t>
      </w:r>
      <w:r w:rsidR="00512EED">
        <w:rPr>
          <w:rFonts w:ascii="Arial" w:hAnsi="Arial" w:cs="Arial"/>
          <w:sz w:val="18"/>
          <w:szCs w:val="18"/>
        </w:rPr>
        <w:t xml:space="preserve">presented. </w:t>
      </w:r>
      <w:r w:rsidRPr="001B73BC">
        <w:rPr>
          <w:rFonts w:ascii="Arial" w:hAnsi="Arial" w:cs="Arial"/>
          <w:sz w:val="18"/>
          <w:szCs w:val="18"/>
        </w:rPr>
        <w:t>The condensed</w:t>
      </w:r>
      <w:r w:rsidRPr="00D779A5">
        <w:rPr>
          <w:rFonts w:ascii="Arial" w:hAnsi="Arial" w:cs="Arial"/>
          <w:sz w:val="18"/>
          <w:szCs w:val="18"/>
        </w:rPr>
        <w:t xml:space="preserve"> financial information has been prepared under the historical cost convention, as modified by the use of valuations for certain financial instruments, share-based payments and post</w:t>
      </w:r>
      <w:r w:rsidR="00C7725C">
        <w:rPr>
          <w:rFonts w:ascii="Arial" w:hAnsi="Arial" w:cs="Arial"/>
          <w:sz w:val="18"/>
          <w:szCs w:val="18"/>
        </w:rPr>
        <w:t>-</w:t>
      </w:r>
      <w:r w:rsidRPr="00D779A5">
        <w:rPr>
          <w:rFonts w:ascii="Arial" w:hAnsi="Arial" w:cs="Arial"/>
          <w:sz w:val="18"/>
          <w:szCs w:val="18"/>
        </w:rPr>
        <w:t>employment benefits.</w:t>
      </w:r>
    </w:p>
    <w:p w:rsidR="004C5D7D" w:rsidRDefault="004C5D7D" w:rsidP="00BA0967">
      <w:pPr>
        <w:jc w:val="both"/>
        <w:rPr>
          <w:rFonts w:ascii="Arial" w:hAnsi="Arial" w:cs="Arial"/>
          <w:sz w:val="18"/>
          <w:szCs w:val="18"/>
        </w:rPr>
      </w:pPr>
    </w:p>
    <w:p w:rsidR="00767D0A" w:rsidRPr="00767D0A" w:rsidRDefault="00767D0A" w:rsidP="00BA0967">
      <w:pPr>
        <w:jc w:val="both"/>
        <w:rPr>
          <w:rFonts w:ascii="Arial" w:hAnsi="Arial" w:cs="Arial"/>
          <w:b/>
          <w:i/>
          <w:sz w:val="18"/>
          <w:szCs w:val="18"/>
        </w:rPr>
      </w:pPr>
      <w:r w:rsidRPr="006E2E8E">
        <w:rPr>
          <w:rFonts w:ascii="Arial" w:hAnsi="Arial" w:cs="Arial"/>
          <w:b/>
          <w:i/>
          <w:sz w:val="18"/>
          <w:szCs w:val="18"/>
        </w:rPr>
        <w:t>Accounting policies</w:t>
      </w:r>
    </w:p>
    <w:p w:rsidR="00767D0A" w:rsidRPr="00EF1091" w:rsidRDefault="00767D0A" w:rsidP="00BA0967">
      <w:pPr>
        <w:jc w:val="both"/>
        <w:rPr>
          <w:rFonts w:ascii="Arial" w:hAnsi="Arial" w:cs="Arial"/>
          <w:sz w:val="18"/>
          <w:szCs w:val="18"/>
        </w:rPr>
      </w:pPr>
    </w:p>
    <w:p w:rsidR="004D59D2" w:rsidRDefault="0026668B" w:rsidP="004D59D2">
      <w:pPr>
        <w:jc w:val="both"/>
        <w:rPr>
          <w:rFonts w:ascii="Arial" w:hAnsi="Arial" w:cs="Arial"/>
          <w:sz w:val="18"/>
          <w:szCs w:val="18"/>
        </w:rPr>
      </w:pPr>
      <w:r>
        <w:rPr>
          <w:rFonts w:ascii="Arial" w:hAnsi="Arial" w:cs="Arial"/>
          <w:sz w:val="18"/>
          <w:szCs w:val="18"/>
        </w:rPr>
        <w:t>T</w:t>
      </w:r>
      <w:r w:rsidR="004D59D2" w:rsidRPr="004D59D2">
        <w:rPr>
          <w:rFonts w:ascii="Arial" w:hAnsi="Arial" w:cs="Arial"/>
          <w:sz w:val="18"/>
          <w:szCs w:val="18"/>
        </w:rPr>
        <w:t xml:space="preserve">he accounting policies adopted are consistent with those of the annual financial statements for the year ended </w:t>
      </w:r>
      <w:r w:rsidR="00F25CDE">
        <w:rPr>
          <w:rFonts w:ascii="Arial" w:hAnsi="Arial" w:cs="Arial"/>
          <w:sz w:val="18"/>
          <w:szCs w:val="18"/>
        </w:rPr>
        <w:t>31 January</w:t>
      </w:r>
      <w:r w:rsidR="004D59D2" w:rsidRPr="004D59D2">
        <w:rPr>
          <w:rFonts w:ascii="Arial" w:hAnsi="Arial" w:cs="Arial"/>
          <w:sz w:val="18"/>
          <w:szCs w:val="18"/>
        </w:rPr>
        <w:t xml:space="preserve"> 201</w:t>
      </w:r>
      <w:r w:rsidR="002349CD">
        <w:rPr>
          <w:rFonts w:ascii="Arial" w:hAnsi="Arial" w:cs="Arial"/>
          <w:sz w:val="18"/>
          <w:szCs w:val="18"/>
        </w:rPr>
        <w:t>7</w:t>
      </w:r>
      <w:r w:rsidR="004D59D2" w:rsidRPr="004D59D2">
        <w:rPr>
          <w:rFonts w:ascii="Arial" w:hAnsi="Arial" w:cs="Arial"/>
          <w:sz w:val="18"/>
          <w:szCs w:val="18"/>
        </w:rPr>
        <w:t>, as described in note 2 of those financial statements.</w:t>
      </w:r>
    </w:p>
    <w:p w:rsidR="00517D1C" w:rsidRDefault="00517D1C" w:rsidP="004D59D2">
      <w:pPr>
        <w:jc w:val="both"/>
        <w:rPr>
          <w:rFonts w:ascii="Arial" w:hAnsi="Arial" w:cs="Arial"/>
          <w:sz w:val="18"/>
          <w:szCs w:val="18"/>
        </w:rPr>
      </w:pPr>
    </w:p>
    <w:p w:rsidR="00517D1C" w:rsidRPr="004D59D2" w:rsidRDefault="00517D1C" w:rsidP="004D59D2">
      <w:pPr>
        <w:jc w:val="both"/>
        <w:rPr>
          <w:rFonts w:ascii="Arial" w:hAnsi="Arial" w:cs="Arial"/>
          <w:sz w:val="18"/>
          <w:szCs w:val="18"/>
        </w:rPr>
      </w:pPr>
    </w:p>
    <w:p w:rsidR="00BF0550" w:rsidRPr="00BE4C64" w:rsidRDefault="00BF0550" w:rsidP="00BA0967">
      <w:pPr>
        <w:jc w:val="both"/>
        <w:rPr>
          <w:rFonts w:ascii="Arial" w:hAnsi="Arial" w:cs="Arial"/>
          <w:b/>
          <w:i/>
          <w:sz w:val="18"/>
          <w:szCs w:val="18"/>
        </w:rPr>
      </w:pPr>
      <w:r w:rsidRPr="00BE4C64">
        <w:rPr>
          <w:rFonts w:ascii="Arial" w:hAnsi="Arial" w:cs="Arial"/>
          <w:b/>
          <w:i/>
          <w:sz w:val="18"/>
          <w:szCs w:val="18"/>
        </w:rPr>
        <w:t>Principal rates of exchange</w:t>
      </w:r>
      <w:r w:rsidR="0018034B">
        <w:rPr>
          <w:rFonts w:ascii="Arial" w:hAnsi="Arial" w:cs="Arial"/>
          <w:b/>
          <w:i/>
          <w:sz w:val="18"/>
          <w:szCs w:val="18"/>
        </w:rPr>
        <w:t xml:space="preserve"> against Sterling</w:t>
      </w:r>
    </w:p>
    <w:p w:rsidR="00BF0550" w:rsidRDefault="00BF0550" w:rsidP="00BF0550">
      <w:pPr>
        <w:rPr>
          <w:rFonts w:ascii="Arial" w:hAnsi="Arial" w:cs="Arial"/>
          <w:sz w:val="18"/>
          <w:szCs w:val="18"/>
        </w:rPr>
      </w:pPr>
    </w:p>
    <w:tbl>
      <w:tblPr>
        <w:tblW w:w="5000" w:type="pct"/>
        <w:tblLook w:val="01E0" w:firstRow="1" w:lastRow="1" w:firstColumn="1" w:lastColumn="1" w:noHBand="0" w:noVBand="0"/>
      </w:tblPr>
      <w:tblGrid>
        <w:gridCol w:w="3911"/>
        <w:gridCol w:w="1412"/>
        <w:gridCol w:w="1412"/>
        <w:gridCol w:w="1412"/>
        <w:gridCol w:w="1492"/>
      </w:tblGrid>
      <w:tr w:rsidR="00D37B68" w:rsidRPr="002565C4" w:rsidTr="00F47D62">
        <w:tc>
          <w:tcPr>
            <w:tcW w:w="3911" w:type="dxa"/>
            <w:shd w:val="clear" w:color="auto" w:fill="auto"/>
            <w:vAlign w:val="bottom"/>
          </w:tcPr>
          <w:p w:rsidR="00BF0550" w:rsidRPr="002565C4" w:rsidRDefault="00BF0550" w:rsidP="007713F0">
            <w:pPr>
              <w:rPr>
                <w:rFonts w:ascii="Arial" w:hAnsi="Arial" w:cs="Arial"/>
                <w:sz w:val="18"/>
                <w:szCs w:val="18"/>
              </w:rPr>
            </w:pPr>
          </w:p>
        </w:tc>
        <w:tc>
          <w:tcPr>
            <w:tcW w:w="1412" w:type="dxa"/>
            <w:tcBorders>
              <w:bottom w:val="single" w:sz="4" w:space="0" w:color="auto"/>
            </w:tcBorders>
            <w:shd w:val="clear" w:color="auto" w:fill="auto"/>
            <w:vAlign w:val="bottom"/>
          </w:tcPr>
          <w:p w:rsidR="00BF0550" w:rsidRPr="002565C4" w:rsidRDefault="00BF0550" w:rsidP="007713F0">
            <w:pPr>
              <w:rPr>
                <w:rFonts w:ascii="Arial" w:hAnsi="Arial" w:cs="Arial"/>
                <w:sz w:val="18"/>
                <w:szCs w:val="18"/>
              </w:rPr>
            </w:pPr>
          </w:p>
        </w:tc>
        <w:tc>
          <w:tcPr>
            <w:tcW w:w="1412" w:type="dxa"/>
            <w:tcBorders>
              <w:bottom w:val="single" w:sz="4" w:space="0" w:color="auto"/>
            </w:tcBorders>
            <w:shd w:val="clear" w:color="auto" w:fill="auto"/>
            <w:vAlign w:val="bottom"/>
          </w:tcPr>
          <w:p w:rsidR="00BF0550" w:rsidRPr="002565C4" w:rsidRDefault="00BF0550" w:rsidP="00F47D62">
            <w:pPr>
              <w:jc w:val="right"/>
              <w:rPr>
                <w:rFonts w:ascii="Arial" w:hAnsi="Arial" w:cs="Arial"/>
                <w:sz w:val="18"/>
                <w:szCs w:val="18"/>
              </w:rPr>
            </w:pPr>
            <w:r w:rsidRPr="002565C4">
              <w:rPr>
                <w:rFonts w:ascii="Arial" w:hAnsi="Arial" w:cs="Arial"/>
                <w:sz w:val="18"/>
                <w:szCs w:val="18"/>
              </w:rPr>
              <w:t>201</w:t>
            </w:r>
            <w:r w:rsidR="00F47D62">
              <w:rPr>
                <w:rFonts w:ascii="Arial" w:hAnsi="Arial" w:cs="Arial"/>
                <w:sz w:val="18"/>
                <w:szCs w:val="18"/>
              </w:rPr>
              <w:t>7</w:t>
            </w:r>
            <w:r w:rsidRPr="002565C4">
              <w:rPr>
                <w:rFonts w:ascii="Arial" w:hAnsi="Arial" w:cs="Arial"/>
                <w:sz w:val="18"/>
                <w:szCs w:val="18"/>
              </w:rPr>
              <w:t>/1</w:t>
            </w:r>
            <w:r w:rsidR="00F47D62">
              <w:rPr>
                <w:rFonts w:ascii="Arial" w:hAnsi="Arial" w:cs="Arial"/>
                <w:sz w:val="18"/>
                <w:szCs w:val="18"/>
              </w:rPr>
              <w:t>8</w:t>
            </w:r>
          </w:p>
        </w:tc>
        <w:tc>
          <w:tcPr>
            <w:tcW w:w="1412" w:type="dxa"/>
            <w:tcBorders>
              <w:bottom w:val="single" w:sz="4" w:space="0" w:color="auto"/>
            </w:tcBorders>
            <w:shd w:val="clear" w:color="auto" w:fill="auto"/>
            <w:vAlign w:val="bottom"/>
          </w:tcPr>
          <w:p w:rsidR="00BF0550" w:rsidRPr="002565C4" w:rsidRDefault="00BF0550" w:rsidP="002565C4">
            <w:pPr>
              <w:jc w:val="right"/>
              <w:rPr>
                <w:rFonts w:ascii="Arial" w:hAnsi="Arial" w:cs="Arial"/>
                <w:sz w:val="18"/>
                <w:szCs w:val="18"/>
              </w:rPr>
            </w:pPr>
          </w:p>
        </w:tc>
        <w:tc>
          <w:tcPr>
            <w:tcW w:w="1492" w:type="dxa"/>
            <w:tcBorders>
              <w:bottom w:val="single" w:sz="4" w:space="0" w:color="auto"/>
            </w:tcBorders>
            <w:shd w:val="clear" w:color="auto" w:fill="auto"/>
            <w:vAlign w:val="bottom"/>
          </w:tcPr>
          <w:p w:rsidR="00BF0550" w:rsidRPr="002565C4" w:rsidRDefault="00F47D62" w:rsidP="002565C4">
            <w:pPr>
              <w:jc w:val="right"/>
              <w:rPr>
                <w:rFonts w:ascii="Arial" w:hAnsi="Arial" w:cs="Arial"/>
                <w:sz w:val="18"/>
                <w:szCs w:val="18"/>
              </w:rPr>
            </w:pPr>
            <w:r w:rsidRPr="002565C4">
              <w:rPr>
                <w:rFonts w:ascii="Arial" w:hAnsi="Arial" w:cs="Arial"/>
                <w:sz w:val="18"/>
                <w:szCs w:val="18"/>
              </w:rPr>
              <w:t>201</w:t>
            </w:r>
            <w:r>
              <w:rPr>
                <w:rFonts w:ascii="Arial" w:hAnsi="Arial" w:cs="Arial"/>
                <w:sz w:val="18"/>
                <w:szCs w:val="18"/>
              </w:rPr>
              <w:t>6</w:t>
            </w:r>
            <w:r w:rsidRPr="002565C4">
              <w:rPr>
                <w:rFonts w:ascii="Arial" w:hAnsi="Arial" w:cs="Arial"/>
                <w:sz w:val="18"/>
                <w:szCs w:val="18"/>
              </w:rPr>
              <w:t>/1</w:t>
            </w:r>
            <w:r>
              <w:rPr>
                <w:rFonts w:ascii="Arial" w:hAnsi="Arial" w:cs="Arial"/>
                <w:sz w:val="18"/>
                <w:szCs w:val="18"/>
              </w:rPr>
              <w:t>7</w:t>
            </w:r>
          </w:p>
        </w:tc>
      </w:tr>
      <w:tr w:rsidR="00B07D6F" w:rsidRPr="002565C4" w:rsidTr="00F47D62">
        <w:tc>
          <w:tcPr>
            <w:tcW w:w="3911" w:type="dxa"/>
            <w:tcBorders>
              <w:bottom w:val="single" w:sz="4" w:space="0" w:color="auto"/>
            </w:tcBorders>
            <w:shd w:val="clear" w:color="auto" w:fill="auto"/>
            <w:vAlign w:val="bottom"/>
          </w:tcPr>
          <w:p w:rsidR="00B07D6F" w:rsidRPr="002565C4" w:rsidRDefault="00B07D6F" w:rsidP="007713F0">
            <w:pPr>
              <w:rPr>
                <w:rFonts w:ascii="Arial" w:hAnsi="Arial" w:cs="Arial"/>
                <w:sz w:val="18"/>
                <w:szCs w:val="18"/>
              </w:rPr>
            </w:pPr>
          </w:p>
        </w:tc>
        <w:tc>
          <w:tcPr>
            <w:tcW w:w="1412" w:type="dxa"/>
            <w:tcBorders>
              <w:top w:val="single" w:sz="4" w:space="0" w:color="auto"/>
              <w:bottom w:val="single" w:sz="4" w:space="0" w:color="auto"/>
            </w:tcBorders>
            <w:shd w:val="clear" w:color="auto" w:fill="auto"/>
            <w:vAlign w:val="bottom"/>
          </w:tcPr>
          <w:p w:rsidR="00B07D6F" w:rsidRPr="002565C4" w:rsidRDefault="00B07D6F" w:rsidP="002565C4">
            <w:pPr>
              <w:jc w:val="right"/>
              <w:rPr>
                <w:rFonts w:ascii="Arial" w:hAnsi="Arial" w:cs="Arial"/>
                <w:sz w:val="18"/>
                <w:szCs w:val="18"/>
              </w:rPr>
            </w:pPr>
            <w:r w:rsidRPr="002565C4">
              <w:rPr>
                <w:rFonts w:ascii="Arial" w:hAnsi="Arial" w:cs="Arial"/>
                <w:sz w:val="18"/>
                <w:szCs w:val="18"/>
              </w:rPr>
              <w:t>Average rate</w:t>
            </w:r>
          </w:p>
        </w:tc>
        <w:tc>
          <w:tcPr>
            <w:tcW w:w="1412" w:type="dxa"/>
            <w:tcBorders>
              <w:top w:val="single" w:sz="4" w:space="0" w:color="auto"/>
              <w:bottom w:val="single" w:sz="4" w:space="0" w:color="auto"/>
            </w:tcBorders>
            <w:shd w:val="clear" w:color="auto" w:fill="auto"/>
            <w:vAlign w:val="bottom"/>
          </w:tcPr>
          <w:p w:rsidR="00B07D6F" w:rsidRPr="002565C4" w:rsidRDefault="00B07D6F" w:rsidP="002565C4">
            <w:pPr>
              <w:jc w:val="right"/>
              <w:rPr>
                <w:rFonts w:ascii="Arial" w:hAnsi="Arial" w:cs="Arial"/>
                <w:sz w:val="18"/>
                <w:szCs w:val="18"/>
              </w:rPr>
            </w:pPr>
            <w:r w:rsidRPr="002565C4">
              <w:rPr>
                <w:rFonts w:ascii="Arial" w:hAnsi="Arial" w:cs="Arial"/>
                <w:sz w:val="18"/>
                <w:szCs w:val="18"/>
              </w:rPr>
              <w:t>Year end rate</w:t>
            </w:r>
          </w:p>
        </w:tc>
        <w:tc>
          <w:tcPr>
            <w:tcW w:w="1412" w:type="dxa"/>
            <w:tcBorders>
              <w:top w:val="single" w:sz="4" w:space="0" w:color="auto"/>
              <w:bottom w:val="single" w:sz="4" w:space="0" w:color="auto"/>
            </w:tcBorders>
            <w:shd w:val="clear" w:color="auto" w:fill="auto"/>
            <w:vAlign w:val="bottom"/>
          </w:tcPr>
          <w:p w:rsidR="00B07D6F" w:rsidRPr="002565C4" w:rsidRDefault="00B07D6F" w:rsidP="002565C4">
            <w:pPr>
              <w:jc w:val="right"/>
              <w:rPr>
                <w:rFonts w:ascii="Arial" w:hAnsi="Arial" w:cs="Arial"/>
                <w:sz w:val="18"/>
                <w:szCs w:val="18"/>
              </w:rPr>
            </w:pPr>
            <w:r w:rsidRPr="002565C4">
              <w:rPr>
                <w:rFonts w:ascii="Arial" w:hAnsi="Arial" w:cs="Arial"/>
                <w:sz w:val="18"/>
                <w:szCs w:val="18"/>
              </w:rPr>
              <w:t>Average rate</w:t>
            </w:r>
          </w:p>
        </w:tc>
        <w:tc>
          <w:tcPr>
            <w:tcW w:w="1492" w:type="dxa"/>
            <w:tcBorders>
              <w:top w:val="single" w:sz="4" w:space="0" w:color="auto"/>
              <w:bottom w:val="single" w:sz="4" w:space="0" w:color="auto"/>
            </w:tcBorders>
            <w:shd w:val="clear" w:color="auto" w:fill="auto"/>
            <w:vAlign w:val="bottom"/>
          </w:tcPr>
          <w:p w:rsidR="00B07D6F" w:rsidRPr="002565C4" w:rsidRDefault="00B07D6F" w:rsidP="002565C4">
            <w:pPr>
              <w:jc w:val="right"/>
              <w:rPr>
                <w:rFonts w:ascii="Arial" w:hAnsi="Arial" w:cs="Arial"/>
                <w:sz w:val="18"/>
                <w:szCs w:val="18"/>
              </w:rPr>
            </w:pPr>
            <w:r w:rsidRPr="002565C4">
              <w:rPr>
                <w:rFonts w:ascii="Arial" w:hAnsi="Arial" w:cs="Arial"/>
                <w:sz w:val="18"/>
                <w:szCs w:val="18"/>
              </w:rPr>
              <w:t>Year end rate</w:t>
            </w:r>
          </w:p>
        </w:tc>
      </w:tr>
      <w:tr w:rsidR="00F47D62" w:rsidRPr="002565C4" w:rsidTr="00F47D62">
        <w:trPr>
          <w:trHeight w:val="158"/>
        </w:trPr>
        <w:tc>
          <w:tcPr>
            <w:tcW w:w="3911" w:type="dxa"/>
            <w:shd w:val="clear" w:color="auto" w:fill="auto"/>
            <w:vAlign w:val="bottom"/>
          </w:tcPr>
          <w:p w:rsidR="00F47D62" w:rsidRPr="002565C4" w:rsidRDefault="00F47D62" w:rsidP="00F47D62">
            <w:pPr>
              <w:rPr>
                <w:rFonts w:ascii="Arial" w:hAnsi="Arial" w:cs="Arial"/>
                <w:sz w:val="18"/>
                <w:szCs w:val="18"/>
              </w:rPr>
            </w:pPr>
            <w:r w:rsidRPr="002565C4">
              <w:rPr>
                <w:rFonts w:ascii="Arial" w:hAnsi="Arial" w:cs="Arial"/>
                <w:sz w:val="18"/>
                <w:szCs w:val="18"/>
              </w:rPr>
              <w:t>Euro</w:t>
            </w:r>
          </w:p>
        </w:tc>
        <w:tc>
          <w:tcPr>
            <w:tcW w:w="1412" w:type="dxa"/>
            <w:shd w:val="clear" w:color="auto" w:fill="auto"/>
            <w:vAlign w:val="bottom"/>
          </w:tcPr>
          <w:p w:rsidR="00F47D62" w:rsidRPr="00695F40" w:rsidRDefault="00C45609" w:rsidP="00F47D62">
            <w:pPr>
              <w:jc w:val="right"/>
              <w:rPr>
                <w:rFonts w:ascii="Arial" w:hAnsi="Arial" w:cs="Arial"/>
                <w:b/>
                <w:sz w:val="18"/>
                <w:szCs w:val="18"/>
              </w:rPr>
            </w:pPr>
            <w:r>
              <w:rPr>
                <w:rFonts w:ascii="Arial" w:hAnsi="Arial" w:cs="Arial"/>
                <w:b/>
                <w:sz w:val="18"/>
                <w:szCs w:val="18"/>
              </w:rPr>
              <w:t>1.14</w:t>
            </w:r>
          </w:p>
        </w:tc>
        <w:tc>
          <w:tcPr>
            <w:tcW w:w="1412" w:type="dxa"/>
            <w:shd w:val="clear" w:color="auto" w:fill="auto"/>
            <w:vAlign w:val="bottom"/>
          </w:tcPr>
          <w:p w:rsidR="00F47D62" w:rsidRPr="00695F40" w:rsidRDefault="00C45609" w:rsidP="00F47D62">
            <w:pPr>
              <w:jc w:val="right"/>
              <w:rPr>
                <w:rFonts w:ascii="Arial" w:hAnsi="Arial" w:cs="Arial"/>
                <w:b/>
                <w:sz w:val="18"/>
                <w:szCs w:val="18"/>
              </w:rPr>
            </w:pPr>
            <w:r>
              <w:rPr>
                <w:rFonts w:ascii="Arial" w:hAnsi="Arial" w:cs="Arial"/>
                <w:b/>
                <w:sz w:val="18"/>
                <w:szCs w:val="18"/>
              </w:rPr>
              <w:t>1.14</w:t>
            </w:r>
          </w:p>
        </w:tc>
        <w:tc>
          <w:tcPr>
            <w:tcW w:w="1412" w:type="dxa"/>
            <w:shd w:val="clear" w:color="auto" w:fill="auto"/>
            <w:vAlign w:val="bottom"/>
          </w:tcPr>
          <w:p w:rsidR="00F47D62" w:rsidRPr="00F47D62" w:rsidRDefault="00F47D62" w:rsidP="00F47D62">
            <w:pPr>
              <w:jc w:val="right"/>
              <w:rPr>
                <w:rFonts w:ascii="Arial" w:hAnsi="Arial" w:cs="Arial"/>
                <w:sz w:val="18"/>
                <w:szCs w:val="18"/>
              </w:rPr>
            </w:pPr>
            <w:r w:rsidRPr="00F47D62">
              <w:rPr>
                <w:rFonts w:ascii="Arial" w:hAnsi="Arial" w:cs="Arial"/>
                <w:sz w:val="18"/>
                <w:szCs w:val="18"/>
              </w:rPr>
              <w:t>1.21</w:t>
            </w:r>
          </w:p>
        </w:tc>
        <w:tc>
          <w:tcPr>
            <w:tcW w:w="1492" w:type="dxa"/>
            <w:shd w:val="clear" w:color="auto" w:fill="auto"/>
            <w:vAlign w:val="bottom"/>
          </w:tcPr>
          <w:p w:rsidR="00F47D62" w:rsidRPr="00F47D62" w:rsidRDefault="00F47D62" w:rsidP="00F47D62">
            <w:pPr>
              <w:jc w:val="right"/>
              <w:rPr>
                <w:rFonts w:ascii="Arial" w:hAnsi="Arial" w:cs="Arial"/>
                <w:sz w:val="18"/>
                <w:szCs w:val="18"/>
              </w:rPr>
            </w:pPr>
            <w:r w:rsidRPr="00F47D62">
              <w:rPr>
                <w:rFonts w:ascii="Arial" w:hAnsi="Arial" w:cs="Arial"/>
                <w:sz w:val="18"/>
                <w:szCs w:val="18"/>
              </w:rPr>
              <w:t>1.16</w:t>
            </w:r>
          </w:p>
        </w:tc>
      </w:tr>
      <w:tr w:rsidR="00F47D62" w:rsidRPr="002565C4" w:rsidTr="00F47D62">
        <w:tc>
          <w:tcPr>
            <w:tcW w:w="3911" w:type="dxa"/>
            <w:shd w:val="clear" w:color="auto" w:fill="auto"/>
            <w:vAlign w:val="bottom"/>
          </w:tcPr>
          <w:p w:rsidR="00F47D62" w:rsidRPr="002565C4" w:rsidRDefault="00F47D62" w:rsidP="00F47D62">
            <w:pPr>
              <w:rPr>
                <w:rFonts w:ascii="Arial" w:hAnsi="Arial" w:cs="Arial"/>
                <w:sz w:val="18"/>
                <w:szCs w:val="18"/>
              </w:rPr>
            </w:pPr>
            <w:r w:rsidRPr="002565C4">
              <w:rPr>
                <w:rFonts w:ascii="Arial" w:hAnsi="Arial" w:cs="Arial"/>
                <w:sz w:val="18"/>
                <w:szCs w:val="18"/>
              </w:rPr>
              <w:t>US Dollar</w:t>
            </w:r>
          </w:p>
        </w:tc>
        <w:tc>
          <w:tcPr>
            <w:tcW w:w="1412" w:type="dxa"/>
            <w:shd w:val="clear" w:color="auto" w:fill="auto"/>
            <w:vAlign w:val="bottom"/>
          </w:tcPr>
          <w:p w:rsidR="00F47D62" w:rsidRPr="00695F40" w:rsidRDefault="00C45609" w:rsidP="00F47D62">
            <w:pPr>
              <w:jc w:val="right"/>
              <w:rPr>
                <w:rFonts w:ascii="Arial" w:hAnsi="Arial" w:cs="Arial"/>
                <w:b/>
                <w:sz w:val="18"/>
                <w:szCs w:val="18"/>
              </w:rPr>
            </w:pPr>
            <w:r>
              <w:rPr>
                <w:rFonts w:ascii="Arial" w:hAnsi="Arial" w:cs="Arial"/>
                <w:b/>
                <w:sz w:val="18"/>
                <w:szCs w:val="18"/>
              </w:rPr>
              <w:t>1.30</w:t>
            </w:r>
          </w:p>
        </w:tc>
        <w:tc>
          <w:tcPr>
            <w:tcW w:w="1412" w:type="dxa"/>
            <w:shd w:val="clear" w:color="auto" w:fill="auto"/>
            <w:vAlign w:val="bottom"/>
          </w:tcPr>
          <w:p w:rsidR="00F47D62" w:rsidRPr="00695F40" w:rsidRDefault="00C45609" w:rsidP="00F47D62">
            <w:pPr>
              <w:jc w:val="right"/>
              <w:rPr>
                <w:rFonts w:ascii="Arial" w:hAnsi="Arial" w:cs="Arial"/>
                <w:b/>
                <w:sz w:val="18"/>
                <w:szCs w:val="18"/>
              </w:rPr>
            </w:pPr>
            <w:r>
              <w:rPr>
                <w:rFonts w:ascii="Arial" w:hAnsi="Arial" w:cs="Arial"/>
                <w:b/>
                <w:sz w:val="18"/>
                <w:szCs w:val="18"/>
              </w:rPr>
              <w:t>1.42</w:t>
            </w:r>
          </w:p>
        </w:tc>
        <w:tc>
          <w:tcPr>
            <w:tcW w:w="1412" w:type="dxa"/>
            <w:shd w:val="clear" w:color="auto" w:fill="auto"/>
            <w:vAlign w:val="bottom"/>
          </w:tcPr>
          <w:p w:rsidR="00F47D62" w:rsidRPr="00F47D62" w:rsidRDefault="00F47D62" w:rsidP="00F47D62">
            <w:pPr>
              <w:jc w:val="right"/>
              <w:rPr>
                <w:rFonts w:ascii="Arial" w:hAnsi="Arial" w:cs="Arial"/>
                <w:sz w:val="18"/>
                <w:szCs w:val="18"/>
              </w:rPr>
            </w:pPr>
            <w:r w:rsidRPr="00F47D62">
              <w:rPr>
                <w:rFonts w:ascii="Arial" w:hAnsi="Arial" w:cs="Arial"/>
                <w:sz w:val="18"/>
                <w:szCs w:val="18"/>
              </w:rPr>
              <w:t>1.34</w:t>
            </w:r>
          </w:p>
        </w:tc>
        <w:tc>
          <w:tcPr>
            <w:tcW w:w="1492" w:type="dxa"/>
            <w:shd w:val="clear" w:color="auto" w:fill="auto"/>
            <w:vAlign w:val="bottom"/>
          </w:tcPr>
          <w:p w:rsidR="00F47D62" w:rsidRPr="00F47D62" w:rsidRDefault="00F47D62" w:rsidP="00F47D62">
            <w:pPr>
              <w:jc w:val="right"/>
              <w:rPr>
                <w:rFonts w:ascii="Arial" w:hAnsi="Arial" w:cs="Arial"/>
                <w:sz w:val="18"/>
                <w:szCs w:val="18"/>
              </w:rPr>
            </w:pPr>
            <w:r w:rsidRPr="00F47D62">
              <w:rPr>
                <w:rFonts w:ascii="Arial" w:hAnsi="Arial" w:cs="Arial"/>
                <w:sz w:val="18"/>
                <w:szCs w:val="18"/>
              </w:rPr>
              <w:t>1.26</w:t>
            </w:r>
          </w:p>
        </w:tc>
      </w:tr>
      <w:tr w:rsidR="00F47D62" w:rsidRPr="002565C4" w:rsidTr="00F47D62">
        <w:tc>
          <w:tcPr>
            <w:tcW w:w="3911" w:type="dxa"/>
            <w:shd w:val="clear" w:color="auto" w:fill="auto"/>
            <w:vAlign w:val="bottom"/>
          </w:tcPr>
          <w:p w:rsidR="00F47D62" w:rsidRPr="002565C4" w:rsidRDefault="00F47D62" w:rsidP="00F47D62">
            <w:pPr>
              <w:rPr>
                <w:rFonts w:ascii="Arial" w:hAnsi="Arial" w:cs="Arial"/>
                <w:sz w:val="18"/>
                <w:szCs w:val="18"/>
              </w:rPr>
            </w:pPr>
            <w:r w:rsidRPr="002565C4">
              <w:rPr>
                <w:rFonts w:ascii="Arial" w:hAnsi="Arial" w:cs="Arial"/>
                <w:sz w:val="18"/>
                <w:szCs w:val="18"/>
              </w:rPr>
              <w:t>Polish Zloty</w:t>
            </w:r>
          </w:p>
        </w:tc>
        <w:tc>
          <w:tcPr>
            <w:tcW w:w="1412" w:type="dxa"/>
            <w:shd w:val="clear" w:color="auto" w:fill="auto"/>
            <w:vAlign w:val="bottom"/>
          </w:tcPr>
          <w:p w:rsidR="00F47D62" w:rsidRPr="00695F40" w:rsidRDefault="00C45609" w:rsidP="00F47D62">
            <w:pPr>
              <w:jc w:val="right"/>
              <w:rPr>
                <w:rFonts w:ascii="Arial" w:hAnsi="Arial" w:cs="Arial"/>
                <w:b/>
                <w:sz w:val="18"/>
                <w:szCs w:val="18"/>
              </w:rPr>
            </w:pPr>
            <w:r>
              <w:rPr>
                <w:rFonts w:ascii="Arial" w:hAnsi="Arial" w:cs="Arial"/>
                <w:b/>
                <w:sz w:val="18"/>
                <w:szCs w:val="18"/>
              </w:rPr>
              <w:t>4.83</w:t>
            </w:r>
          </w:p>
        </w:tc>
        <w:tc>
          <w:tcPr>
            <w:tcW w:w="1412" w:type="dxa"/>
            <w:shd w:val="clear" w:color="auto" w:fill="auto"/>
            <w:vAlign w:val="bottom"/>
          </w:tcPr>
          <w:p w:rsidR="00F47D62" w:rsidRPr="00695F40" w:rsidRDefault="00C45609" w:rsidP="00F47D62">
            <w:pPr>
              <w:jc w:val="right"/>
              <w:rPr>
                <w:rFonts w:ascii="Arial" w:hAnsi="Arial" w:cs="Arial"/>
                <w:b/>
                <w:sz w:val="18"/>
                <w:szCs w:val="18"/>
              </w:rPr>
            </w:pPr>
            <w:r>
              <w:rPr>
                <w:rFonts w:ascii="Arial" w:hAnsi="Arial" w:cs="Arial"/>
                <w:b/>
                <w:sz w:val="18"/>
                <w:szCs w:val="18"/>
              </w:rPr>
              <w:t>4.75</w:t>
            </w:r>
          </w:p>
        </w:tc>
        <w:tc>
          <w:tcPr>
            <w:tcW w:w="1412" w:type="dxa"/>
            <w:shd w:val="clear" w:color="auto" w:fill="auto"/>
            <w:vAlign w:val="bottom"/>
          </w:tcPr>
          <w:p w:rsidR="00F47D62" w:rsidRPr="00F47D62" w:rsidRDefault="00F47D62" w:rsidP="00F47D62">
            <w:pPr>
              <w:jc w:val="right"/>
              <w:rPr>
                <w:rFonts w:ascii="Arial" w:hAnsi="Arial" w:cs="Arial"/>
                <w:sz w:val="18"/>
                <w:szCs w:val="18"/>
              </w:rPr>
            </w:pPr>
            <w:r w:rsidRPr="00F47D62">
              <w:rPr>
                <w:rFonts w:ascii="Arial" w:hAnsi="Arial" w:cs="Arial"/>
                <w:sz w:val="18"/>
                <w:szCs w:val="18"/>
              </w:rPr>
              <w:t>5.28</w:t>
            </w:r>
          </w:p>
        </w:tc>
        <w:tc>
          <w:tcPr>
            <w:tcW w:w="1492" w:type="dxa"/>
            <w:shd w:val="clear" w:color="auto" w:fill="auto"/>
            <w:vAlign w:val="bottom"/>
          </w:tcPr>
          <w:p w:rsidR="00F47D62" w:rsidRPr="00F47D62" w:rsidRDefault="00F47D62" w:rsidP="00F47D62">
            <w:pPr>
              <w:jc w:val="right"/>
              <w:rPr>
                <w:rFonts w:ascii="Arial" w:hAnsi="Arial" w:cs="Arial"/>
                <w:sz w:val="18"/>
                <w:szCs w:val="18"/>
              </w:rPr>
            </w:pPr>
            <w:r w:rsidRPr="00F47D62">
              <w:rPr>
                <w:rFonts w:ascii="Arial" w:hAnsi="Arial" w:cs="Arial"/>
                <w:sz w:val="18"/>
                <w:szCs w:val="18"/>
              </w:rPr>
              <w:t>5.03</w:t>
            </w:r>
          </w:p>
        </w:tc>
      </w:tr>
      <w:tr w:rsidR="00F47D62" w:rsidRPr="002565C4" w:rsidTr="00F47D62">
        <w:tc>
          <w:tcPr>
            <w:tcW w:w="3911" w:type="dxa"/>
            <w:tcBorders>
              <w:bottom w:val="single" w:sz="12" w:space="0" w:color="auto"/>
            </w:tcBorders>
            <w:shd w:val="clear" w:color="auto" w:fill="auto"/>
            <w:vAlign w:val="bottom"/>
          </w:tcPr>
          <w:p w:rsidR="00F47D62" w:rsidRPr="002565C4" w:rsidRDefault="00F47D62" w:rsidP="00F47D62">
            <w:pPr>
              <w:rPr>
                <w:rFonts w:ascii="Arial" w:hAnsi="Arial" w:cs="Arial"/>
                <w:sz w:val="18"/>
                <w:szCs w:val="18"/>
              </w:rPr>
            </w:pPr>
            <w:r>
              <w:rPr>
                <w:rFonts w:ascii="Arial" w:hAnsi="Arial" w:cs="Arial"/>
                <w:sz w:val="18"/>
                <w:szCs w:val="18"/>
              </w:rPr>
              <w:t>Russian Rouble</w:t>
            </w:r>
          </w:p>
        </w:tc>
        <w:tc>
          <w:tcPr>
            <w:tcW w:w="1412" w:type="dxa"/>
            <w:tcBorders>
              <w:bottom w:val="single" w:sz="12" w:space="0" w:color="auto"/>
            </w:tcBorders>
            <w:shd w:val="clear" w:color="auto" w:fill="auto"/>
            <w:vAlign w:val="bottom"/>
          </w:tcPr>
          <w:p w:rsidR="00F47D62" w:rsidRPr="00695F40" w:rsidRDefault="00C45609" w:rsidP="00F47D62">
            <w:pPr>
              <w:jc w:val="right"/>
              <w:rPr>
                <w:rFonts w:ascii="Arial" w:hAnsi="Arial" w:cs="Arial"/>
                <w:b/>
                <w:sz w:val="18"/>
                <w:szCs w:val="18"/>
              </w:rPr>
            </w:pPr>
            <w:r>
              <w:rPr>
                <w:rFonts w:ascii="Arial" w:hAnsi="Arial" w:cs="Arial"/>
                <w:b/>
                <w:sz w:val="18"/>
                <w:szCs w:val="18"/>
              </w:rPr>
              <w:t>75.53</w:t>
            </w:r>
          </w:p>
        </w:tc>
        <w:tc>
          <w:tcPr>
            <w:tcW w:w="1412" w:type="dxa"/>
            <w:tcBorders>
              <w:bottom w:val="single" w:sz="12" w:space="0" w:color="auto"/>
            </w:tcBorders>
            <w:shd w:val="clear" w:color="auto" w:fill="auto"/>
            <w:vAlign w:val="bottom"/>
          </w:tcPr>
          <w:p w:rsidR="00F47D62" w:rsidRPr="00695F40" w:rsidRDefault="00C45609" w:rsidP="00F47D62">
            <w:pPr>
              <w:jc w:val="right"/>
              <w:rPr>
                <w:rFonts w:ascii="Arial" w:hAnsi="Arial" w:cs="Arial"/>
                <w:b/>
                <w:sz w:val="18"/>
                <w:szCs w:val="18"/>
              </w:rPr>
            </w:pPr>
            <w:r>
              <w:rPr>
                <w:rFonts w:ascii="Arial" w:hAnsi="Arial" w:cs="Arial"/>
                <w:b/>
                <w:sz w:val="18"/>
                <w:szCs w:val="18"/>
              </w:rPr>
              <w:t>79.74</w:t>
            </w:r>
          </w:p>
        </w:tc>
        <w:tc>
          <w:tcPr>
            <w:tcW w:w="1412" w:type="dxa"/>
            <w:tcBorders>
              <w:bottom w:val="single" w:sz="12" w:space="0" w:color="auto"/>
            </w:tcBorders>
            <w:shd w:val="clear" w:color="auto" w:fill="auto"/>
            <w:vAlign w:val="bottom"/>
          </w:tcPr>
          <w:p w:rsidR="00F47D62" w:rsidRPr="00F47D62" w:rsidRDefault="00F47D62" w:rsidP="00F47D62">
            <w:pPr>
              <w:jc w:val="right"/>
              <w:rPr>
                <w:rFonts w:ascii="Arial" w:hAnsi="Arial" w:cs="Arial"/>
                <w:sz w:val="18"/>
                <w:szCs w:val="18"/>
              </w:rPr>
            </w:pPr>
            <w:r w:rsidRPr="00F47D62">
              <w:rPr>
                <w:rFonts w:ascii="Arial" w:hAnsi="Arial" w:cs="Arial"/>
                <w:sz w:val="18"/>
                <w:szCs w:val="18"/>
              </w:rPr>
              <w:t>87.98</w:t>
            </w:r>
          </w:p>
        </w:tc>
        <w:tc>
          <w:tcPr>
            <w:tcW w:w="1492" w:type="dxa"/>
            <w:tcBorders>
              <w:bottom w:val="single" w:sz="12" w:space="0" w:color="auto"/>
            </w:tcBorders>
            <w:shd w:val="clear" w:color="auto" w:fill="auto"/>
            <w:vAlign w:val="bottom"/>
          </w:tcPr>
          <w:p w:rsidR="00F47D62" w:rsidRPr="00F47D62" w:rsidRDefault="00F47D62" w:rsidP="00F47D62">
            <w:pPr>
              <w:jc w:val="right"/>
              <w:rPr>
                <w:rFonts w:ascii="Arial" w:hAnsi="Arial" w:cs="Arial"/>
                <w:sz w:val="18"/>
                <w:szCs w:val="18"/>
              </w:rPr>
            </w:pPr>
            <w:r w:rsidRPr="00F47D62">
              <w:rPr>
                <w:rFonts w:ascii="Arial" w:hAnsi="Arial" w:cs="Arial"/>
                <w:sz w:val="18"/>
                <w:szCs w:val="18"/>
              </w:rPr>
              <w:t>75.72</w:t>
            </w:r>
          </w:p>
        </w:tc>
      </w:tr>
    </w:tbl>
    <w:p w:rsidR="00BF0550" w:rsidRDefault="00BF0550">
      <w:pPr>
        <w:rPr>
          <w:rFonts w:ascii="Arial" w:hAnsi="Arial" w:cs="Arial"/>
          <w:sz w:val="18"/>
          <w:szCs w:val="18"/>
        </w:rPr>
      </w:pPr>
    </w:p>
    <w:p w:rsidR="0026668B" w:rsidRPr="0026668B" w:rsidRDefault="0026668B" w:rsidP="00BA0967">
      <w:pPr>
        <w:jc w:val="both"/>
        <w:rPr>
          <w:rFonts w:ascii="Arial" w:hAnsi="Arial" w:cs="Arial"/>
          <w:b/>
          <w:sz w:val="18"/>
          <w:szCs w:val="18"/>
        </w:rPr>
      </w:pPr>
    </w:p>
    <w:p w:rsidR="00970BAF" w:rsidRDefault="00970BAF" w:rsidP="00BA0967">
      <w:pPr>
        <w:jc w:val="both"/>
        <w:rPr>
          <w:rFonts w:ascii="Arial" w:hAnsi="Arial" w:cs="Arial"/>
          <w:b/>
          <w:i/>
          <w:sz w:val="18"/>
          <w:szCs w:val="18"/>
        </w:rPr>
      </w:pPr>
    </w:p>
    <w:p w:rsidR="004B68A4" w:rsidRPr="00B26CD5" w:rsidRDefault="004B68A4" w:rsidP="00BA0967">
      <w:pPr>
        <w:jc w:val="both"/>
        <w:rPr>
          <w:rFonts w:ascii="Arial" w:hAnsi="Arial" w:cs="Arial"/>
          <w:b/>
          <w:i/>
          <w:sz w:val="18"/>
          <w:szCs w:val="18"/>
        </w:rPr>
      </w:pPr>
      <w:r w:rsidRPr="00B26CD5">
        <w:rPr>
          <w:rFonts w:ascii="Arial" w:hAnsi="Arial" w:cs="Arial"/>
          <w:b/>
          <w:i/>
          <w:sz w:val="18"/>
          <w:szCs w:val="18"/>
        </w:rPr>
        <w:t>Use of non-GAAP measures</w:t>
      </w:r>
    </w:p>
    <w:p w:rsidR="004B68A4" w:rsidRPr="00B26CD5" w:rsidRDefault="004B68A4" w:rsidP="00BA0967">
      <w:pPr>
        <w:jc w:val="both"/>
        <w:rPr>
          <w:rFonts w:ascii="Arial" w:hAnsi="Arial" w:cs="Arial"/>
          <w:sz w:val="18"/>
          <w:szCs w:val="18"/>
        </w:rPr>
      </w:pPr>
    </w:p>
    <w:p w:rsidR="0026668B" w:rsidRPr="00B26CD5" w:rsidRDefault="0026668B" w:rsidP="001606EE">
      <w:pPr>
        <w:jc w:val="both"/>
        <w:rPr>
          <w:rFonts w:ascii="Arial" w:hAnsi="Arial" w:cs="Arial"/>
          <w:sz w:val="18"/>
          <w:szCs w:val="18"/>
        </w:rPr>
      </w:pPr>
      <w:r w:rsidRPr="00B26CD5">
        <w:rPr>
          <w:rFonts w:ascii="Arial" w:hAnsi="Arial" w:cs="Arial"/>
          <w:sz w:val="18"/>
          <w:szCs w:val="18"/>
        </w:rPr>
        <w:t>In the reporting of financial information, the Group uses certain measures that are not required under IFRS, the generally accepted accounting principles (‘GAAP’) under which the Group reports. Kingfisher believes that retail profit, underlying pre-tax profit, adjusted pre-tax profit, effective tax rate, underlying earnings per share and adjusted earnings per share provide additional useful information on performance and trends to shareholders. These and other non-GAAP measures</w:t>
      </w:r>
      <w:r w:rsidR="00210CD6">
        <w:rPr>
          <w:rFonts w:ascii="Arial" w:hAnsi="Arial" w:cs="Arial"/>
          <w:sz w:val="18"/>
          <w:szCs w:val="18"/>
        </w:rPr>
        <w:t xml:space="preserve"> (also known as ‘Alternative Performance Measures’)</w:t>
      </w:r>
      <w:r w:rsidR="00396F5E">
        <w:rPr>
          <w:rFonts w:ascii="Arial" w:hAnsi="Arial" w:cs="Arial"/>
          <w:sz w:val="18"/>
          <w:szCs w:val="18"/>
        </w:rPr>
        <w:t>,</w:t>
      </w:r>
      <w:r w:rsidRPr="00B26CD5">
        <w:rPr>
          <w:rFonts w:ascii="Arial" w:hAnsi="Arial" w:cs="Arial"/>
          <w:sz w:val="18"/>
          <w:szCs w:val="18"/>
        </w:rPr>
        <w:t xml:space="preserve"> such as net cash</w:t>
      </w:r>
      <w:r w:rsidR="00A77C95">
        <w:rPr>
          <w:rFonts w:ascii="Arial" w:hAnsi="Arial" w:cs="Arial"/>
          <w:sz w:val="18"/>
          <w:szCs w:val="18"/>
        </w:rPr>
        <w:t>,</w:t>
      </w:r>
      <w:r w:rsidRPr="00B26CD5">
        <w:rPr>
          <w:rFonts w:ascii="Arial" w:hAnsi="Arial" w:cs="Arial"/>
          <w:sz w:val="18"/>
          <w:szCs w:val="18"/>
        </w:rPr>
        <w:t xml:space="preserve"> are used by Kingfisher for internal performance analysis and incentive compensation arrangements for employees. The terms ‘retail profit’, ‘exceptional items’, ‘transformation costs’, ‘underlying’, ‘adjusted’, ‘effective tax rate’ and ‘net cash’ are not defined terms under IFRS and may therefore not be comparable with similarly titled measures reported by other companies. They are not intended to be a substitute for, or superior to, GAAP measures.</w:t>
      </w:r>
    </w:p>
    <w:p w:rsidR="0026668B" w:rsidRPr="00B26CD5" w:rsidRDefault="0026668B" w:rsidP="001606EE">
      <w:pPr>
        <w:jc w:val="both"/>
        <w:rPr>
          <w:rFonts w:ascii="Arial" w:hAnsi="Arial" w:cs="Arial"/>
          <w:sz w:val="18"/>
          <w:szCs w:val="18"/>
        </w:rPr>
      </w:pPr>
    </w:p>
    <w:p w:rsidR="0026668B" w:rsidRPr="00B26CD5" w:rsidRDefault="0026668B" w:rsidP="001606EE">
      <w:pPr>
        <w:jc w:val="both"/>
        <w:rPr>
          <w:rFonts w:ascii="Arial" w:hAnsi="Arial" w:cs="Arial"/>
          <w:sz w:val="18"/>
          <w:szCs w:val="18"/>
        </w:rPr>
      </w:pPr>
      <w:r w:rsidRPr="00B26CD5">
        <w:rPr>
          <w:rFonts w:ascii="Arial" w:hAnsi="Arial" w:cs="Arial"/>
          <w:sz w:val="18"/>
          <w:szCs w:val="18"/>
        </w:rPr>
        <w:t>Retail profit is defined as continuing operating profit before central costs, the Group’s share of interest and tax of joint ventures and associates, transformation costs</w:t>
      </w:r>
      <w:r w:rsidR="002349CD">
        <w:rPr>
          <w:rFonts w:ascii="Arial" w:hAnsi="Arial" w:cs="Arial"/>
          <w:sz w:val="18"/>
          <w:szCs w:val="18"/>
        </w:rPr>
        <w:t xml:space="preserve"> and </w:t>
      </w:r>
      <w:r w:rsidRPr="00B26CD5">
        <w:rPr>
          <w:rFonts w:ascii="Arial" w:hAnsi="Arial" w:cs="Arial"/>
          <w:sz w:val="18"/>
          <w:szCs w:val="18"/>
        </w:rPr>
        <w:t>exceptional items</w:t>
      </w:r>
      <w:r w:rsidR="00CB0DEE">
        <w:rPr>
          <w:rFonts w:ascii="Arial" w:hAnsi="Arial" w:cs="Arial"/>
          <w:sz w:val="18"/>
          <w:szCs w:val="18"/>
        </w:rPr>
        <w:t>.</w:t>
      </w:r>
      <w:r w:rsidRPr="00B26CD5">
        <w:rPr>
          <w:rFonts w:ascii="Arial" w:hAnsi="Arial" w:cs="Arial"/>
          <w:sz w:val="18"/>
          <w:szCs w:val="18"/>
        </w:rPr>
        <w:t xml:space="preserve"> It includes the sustainable benefits of the</w:t>
      </w:r>
      <w:r w:rsidR="00620C25">
        <w:rPr>
          <w:rFonts w:ascii="Arial" w:hAnsi="Arial" w:cs="Arial"/>
          <w:sz w:val="18"/>
          <w:szCs w:val="18"/>
        </w:rPr>
        <w:t xml:space="preserve"> </w:t>
      </w:r>
      <w:r w:rsidRPr="00B26CD5">
        <w:rPr>
          <w:rFonts w:ascii="Arial" w:hAnsi="Arial" w:cs="Arial"/>
          <w:sz w:val="18"/>
          <w:szCs w:val="18"/>
        </w:rPr>
        <w:t xml:space="preserve">transformation </w:t>
      </w:r>
      <w:r w:rsidR="00264A01" w:rsidRPr="00B26CD5">
        <w:rPr>
          <w:rFonts w:ascii="Arial" w:hAnsi="Arial" w:cs="Arial"/>
          <w:sz w:val="18"/>
          <w:szCs w:val="18"/>
        </w:rPr>
        <w:t>p</w:t>
      </w:r>
      <w:r w:rsidR="00264A01">
        <w:rPr>
          <w:rFonts w:ascii="Arial" w:hAnsi="Arial" w:cs="Arial"/>
          <w:sz w:val="18"/>
          <w:szCs w:val="18"/>
        </w:rPr>
        <w:t>lan</w:t>
      </w:r>
      <w:r w:rsidRPr="00B26CD5">
        <w:rPr>
          <w:rFonts w:ascii="Arial" w:hAnsi="Arial" w:cs="Arial"/>
          <w:sz w:val="18"/>
          <w:szCs w:val="18"/>
        </w:rPr>
        <w:t xml:space="preserve">. </w:t>
      </w:r>
      <w:r w:rsidRPr="00B26CD5">
        <w:rPr>
          <w:rFonts w:ascii="Arial" w:hAnsi="Arial" w:cs="Arial"/>
          <w:bCs/>
          <w:sz w:val="18"/>
          <w:szCs w:val="18"/>
        </w:rPr>
        <w:t>Central costs principally comprise the costs of the Group’s head office before transformation costs.</w:t>
      </w:r>
    </w:p>
    <w:p w:rsidR="0026668B" w:rsidRPr="00B26CD5" w:rsidRDefault="0026668B" w:rsidP="001606EE">
      <w:pPr>
        <w:jc w:val="both"/>
        <w:rPr>
          <w:rFonts w:ascii="Arial" w:hAnsi="Arial" w:cs="Arial"/>
          <w:sz w:val="18"/>
          <w:szCs w:val="18"/>
        </w:rPr>
      </w:pPr>
    </w:p>
    <w:p w:rsidR="0026668B" w:rsidRDefault="0026668B" w:rsidP="001606EE">
      <w:pPr>
        <w:jc w:val="both"/>
        <w:rPr>
          <w:rFonts w:ascii="Arial" w:hAnsi="Arial" w:cs="Arial"/>
          <w:sz w:val="18"/>
          <w:szCs w:val="18"/>
        </w:rPr>
      </w:pPr>
      <w:r w:rsidRPr="00B26CD5">
        <w:rPr>
          <w:rFonts w:ascii="Arial" w:hAnsi="Arial" w:cs="Arial"/>
          <w:sz w:val="18"/>
          <w:szCs w:val="18"/>
        </w:rPr>
        <w:lastRenderedPageBreak/>
        <w:t>The separate reporting of exceptional items, which are presented as exceptional within their relevant income statement category, helps provide an indication of the Group’s ongoing business performance. The principal items which are included as exceptional items are:</w:t>
      </w:r>
    </w:p>
    <w:p w:rsidR="00210CD6" w:rsidRPr="00B26CD5" w:rsidRDefault="00210CD6" w:rsidP="001606EE">
      <w:pPr>
        <w:jc w:val="both"/>
        <w:rPr>
          <w:rFonts w:ascii="Arial" w:hAnsi="Arial" w:cs="Arial"/>
          <w:sz w:val="18"/>
          <w:szCs w:val="18"/>
        </w:rPr>
      </w:pPr>
    </w:p>
    <w:p w:rsidR="0026668B" w:rsidRPr="00B26CD5" w:rsidRDefault="0026668B" w:rsidP="001606EE">
      <w:pPr>
        <w:numPr>
          <w:ilvl w:val="0"/>
          <w:numId w:val="4"/>
        </w:numPr>
        <w:jc w:val="both"/>
        <w:rPr>
          <w:rFonts w:ascii="Arial" w:hAnsi="Arial" w:cs="Arial"/>
          <w:sz w:val="18"/>
          <w:szCs w:val="18"/>
        </w:rPr>
      </w:pPr>
      <w:r w:rsidRPr="00B26CD5">
        <w:rPr>
          <w:rFonts w:ascii="Arial" w:hAnsi="Arial" w:cs="Arial"/>
          <w:sz w:val="18"/>
          <w:szCs w:val="18"/>
        </w:rPr>
        <w:t>non-trading items included in operating profit such as profits and losses on the disposal, closure or impairment of subsidiaries, joint ventures, associates and investments which do not form part of the Group’s trading activities;</w:t>
      </w:r>
    </w:p>
    <w:p w:rsidR="0026668B" w:rsidRPr="00B26CD5" w:rsidRDefault="0026668B" w:rsidP="001606EE">
      <w:pPr>
        <w:numPr>
          <w:ilvl w:val="0"/>
          <w:numId w:val="4"/>
        </w:numPr>
        <w:jc w:val="both"/>
        <w:rPr>
          <w:rFonts w:ascii="Arial" w:hAnsi="Arial" w:cs="Arial"/>
          <w:sz w:val="18"/>
          <w:szCs w:val="18"/>
        </w:rPr>
      </w:pPr>
      <w:r w:rsidRPr="00B26CD5">
        <w:rPr>
          <w:rFonts w:ascii="Arial" w:hAnsi="Arial" w:cs="Arial"/>
          <w:sz w:val="18"/>
          <w:szCs w:val="18"/>
        </w:rPr>
        <w:t>profits and losses on the disposal of properties and impairment losses on non-operational assets; and</w:t>
      </w:r>
    </w:p>
    <w:p w:rsidR="0026668B" w:rsidRPr="00B26CD5" w:rsidRDefault="0026668B" w:rsidP="001606EE">
      <w:pPr>
        <w:numPr>
          <w:ilvl w:val="0"/>
          <w:numId w:val="4"/>
        </w:numPr>
        <w:jc w:val="both"/>
        <w:rPr>
          <w:rFonts w:ascii="Arial" w:hAnsi="Arial" w:cs="Arial"/>
          <w:sz w:val="18"/>
          <w:szCs w:val="18"/>
        </w:rPr>
      </w:pPr>
      <w:r w:rsidRPr="00B26CD5">
        <w:rPr>
          <w:rFonts w:ascii="Arial" w:hAnsi="Arial" w:cs="Arial"/>
          <w:sz w:val="18"/>
          <w:szCs w:val="18"/>
        </w:rPr>
        <w:t xml:space="preserve">the costs of significant restructuring, including certain restructuring costs of the Group’s five-year transformation </w:t>
      </w:r>
      <w:r w:rsidR="00264A01" w:rsidRPr="00B26CD5">
        <w:rPr>
          <w:rFonts w:ascii="Arial" w:hAnsi="Arial" w:cs="Arial"/>
          <w:sz w:val="18"/>
          <w:szCs w:val="18"/>
        </w:rPr>
        <w:t>p</w:t>
      </w:r>
      <w:r w:rsidR="00264A01">
        <w:rPr>
          <w:rFonts w:ascii="Arial" w:hAnsi="Arial" w:cs="Arial"/>
          <w:sz w:val="18"/>
          <w:szCs w:val="18"/>
        </w:rPr>
        <w:t>lan</w:t>
      </w:r>
      <w:r w:rsidR="00264A01" w:rsidRPr="00B26CD5">
        <w:rPr>
          <w:rFonts w:ascii="Arial" w:hAnsi="Arial" w:cs="Arial"/>
          <w:sz w:val="18"/>
          <w:szCs w:val="18"/>
        </w:rPr>
        <w:t xml:space="preserve"> </w:t>
      </w:r>
      <w:r w:rsidRPr="00B26CD5">
        <w:rPr>
          <w:rFonts w:ascii="Arial" w:hAnsi="Arial" w:cs="Arial"/>
          <w:sz w:val="18"/>
          <w:szCs w:val="18"/>
        </w:rPr>
        <w:t>launched in 2016/17, and incremental acquisition integration costs.</w:t>
      </w:r>
    </w:p>
    <w:p w:rsidR="0026668B" w:rsidRPr="00B26CD5" w:rsidRDefault="0026668B" w:rsidP="001606EE">
      <w:pPr>
        <w:jc w:val="both"/>
        <w:rPr>
          <w:rFonts w:ascii="Arial" w:hAnsi="Arial" w:cs="Arial"/>
          <w:sz w:val="18"/>
          <w:szCs w:val="18"/>
        </w:rPr>
      </w:pPr>
    </w:p>
    <w:p w:rsidR="0026668B" w:rsidRPr="00B26CD5" w:rsidRDefault="0026668B" w:rsidP="001606EE">
      <w:pPr>
        <w:jc w:val="both"/>
        <w:rPr>
          <w:rFonts w:ascii="Arial" w:hAnsi="Arial" w:cs="Arial"/>
          <w:sz w:val="18"/>
          <w:szCs w:val="18"/>
        </w:rPr>
      </w:pPr>
      <w:r w:rsidRPr="00B26CD5">
        <w:rPr>
          <w:rFonts w:ascii="Arial" w:hAnsi="Arial" w:cs="Arial"/>
          <w:sz w:val="18"/>
          <w:szCs w:val="18"/>
        </w:rPr>
        <w:t>The term ‘adjusted’ refers to the relevant measure being reported for continuing operations excluding exceptional items, financing fair value remeasurements,</w:t>
      </w:r>
      <w:r w:rsidR="00CB0DEE">
        <w:rPr>
          <w:rFonts w:ascii="Arial" w:hAnsi="Arial" w:cs="Arial"/>
          <w:sz w:val="18"/>
          <w:szCs w:val="18"/>
        </w:rPr>
        <w:t xml:space="preserve"> </w:t>
      </w:r>
      <w:r w:rsidRPr="00B26CD5">
        <w:rPr>
          <w:rFonts w:ascii="Arial" w:hAnsi="Arial" w:cs="Arial"/>
          <w:sz w:val="18"/>
          <w:szCs w:val="18"/>
        </w:rPr>
        <w:t>related tax items and prior year tax items (including the impact of changes in tax rates on deferred tax). Financing fair value remeasurements represent changes in the fair value of financing derivatives, excluding interest accruals, offset by fair value adjustments to the carrying amount of borrowings and other hedged items under fair value hedge relationships. Financing derivatives are those that relate to hedged items of a financing nature.</w:t>
      </w:r>
    </w:p>
    <w:p w:rsidR="0026668B" w:rsidRPr="00B26CD5" w:rsidRDefault="0026668B" w:rsidP="001606EE">
      <w:pPr>
        <w:jc w:val="both"/>
        <w:rPr>
          <w:rFonts w:ascii="Arial" w:hAnsi="Arial" w:cs="Arial"/>
          <w:sz w:val="18"/>
          <w:szCs w:val="18"/>
        </w:rPr>
      </w:pPr>
    </w:p>
    <w:p w:rsidR="0026668B" w:rsidRPr="00B26CD5" w:rsidRDefault="0026668B" w:rsidP="001606EE">
      <w:pPr>
        <w:jc w:val="both"/>
        <w:rPr>
          <w:rFonts w:ascii="Arial" w:hAnsi="Arial" w:cs="Arial"/>
          <w:sz w:val="18"/>
          <w:szCs w:val="18"/>
        </w:rPr>
      </w:pPr>
      <w:r w:rsidRPr="00B26CD5">
        <w:rPr>
          <w:rFonts w:ascii="Arial" w:hAnsi="Arial" w:cs="Arial"/>
          <w:sz w:val="18"/>
          <w:szCs w:val="18"/>
        </w:rPr>
        <w:t>The term ‘underlying’ refers to the relevant adjusted measure being reported before non-exceptional transformation costs. Non-exceptional transformation costs represent the</w:t>
      </w:r>
      <w:r w:rsidR="00264A01">
        <w:rPr>
          <w:rFonts w:ascii="Arial" w:hAnsi="Arial" w:cs="Arial"/>
          <w:sz w:val="18"/>
          <w:szCs w:val="18"/>
        </w:rPr>
        <w:t xml:space="preserve"> </w:t>
      </w:r>
      <w:r w:rsidRPr="00B26CD5">
        <w:rPr>
          <w:rFonts w:ascii="Arial" w:hAnsi="Arial" w:cs="Arial"/>
          <w:sz w:val="18"/>
          <w:szCs w:val="18"/>
        </w:rPr>
        <w:t xml:space="preserve">additional costs that arise only as a result of the transformation </w:t>
      </w:r>
      <w:r w:rsidR="00264A01" w:rsidRPr="00B26CD5">
        <w:rPr>
          <w:rFonts w:ascii="Arial" w:hAnsi="Arial" w:cs="Arial"/>
          <w:sz w:val="18"/>
          <w:szCs w:val="18"/>
        </w:rPr>
        <w:t>p</w:t>
      </w:r>
      <w:r w:rsidR="00264A01">
        <w:rPr>
          <w:rFonts w:ascii="Arial" w:hAnsi="Arial" w:cs="Arial"/>
          <w:sz w:val="18"/>
          <w:szCs w:val="18"/>
        </w:rPr>
        <w:t>lan</w:t>
      </w:r>
      <w:r w:rsidR="00264A01" w:rsidRPr="00B26CD5">
        <w:rPr>
          <w:rFonts w:ascii="Arial" w:hAnsi="Arial" w:cs="Arial"/>
          <w:sz w:val="18"/>
          <w:szCs w:val="18"/>
        </w:rPr>
        <w:t xml:space="preserve"> </w:t>
      </w:r>
      <w:r w:rsidRPr="00B26CD5">
        <w:rPr>
          <w:rFonts w:ascii="Arial" w:hAnsi="Arial" w:cs="Arial"/>
          <w:sz w:val="18"/>
          <w:szCs w:val="18"/>
        </w:rPr>
        <w:t xml:space="preserve">launched in 2016/17, which either because of their nature or the length of the period over which they are incurred are not considered as exceptional items. These costs principally relate to the unified and unique offer range implementation and the digital strategic initiative. The separate reporting of such costs (in addition to exceptional items) helps provide an indication of the Group’s underlying business performance, which includes the sustainable benefits of the transformation </w:t>
      </w:r>
      <w:r w:rsidR="00264A01" w:rsidRPr="00B26CD5">
        <w:rPr>
          <w:rFonts w:ascii="Arial" w:hAnsi="Arial" w:cs="Arial"/>
          <w:sz w:val="18"/>
          <w:szCs w:val="18"/>
        </w:rPr>
        <w:t>p</w:t>
      </w:r>
      <w:r w:rsidR="00264A01">
        <w:rPr>
          <w:rFonts w:ascii="Arial" w:hAnsi="Arial" w:cs="Arial"/>
          <w:sz w:val="18"/>
          <w:szCs w:val="18"/>
        </w:rPr>
        <w:t>lan</w:t>
      </w:r>
      <w:r w:rsidRPr="00B26CD5">
        <w:rPr>
          <w:rFonts w:ascii="Arial" w:hAnsi="Arial" w:cs="Arial"/>
          <w:sz w:val="18"/>
          <w:szCs w:val="18"/>
        </w:rPr>
        <w:t xml:space="preserve">. </w:t>
      </w:r>
    </w:p>
    <w:p w:rsidR="0026668B" w:rsidRPr="00B26CD5" w:rsidRDefault="0026668B" w:rsidP="001606EE">
      <w:pPr>
        <w:jc w:val="both"/>
        <w:rPr>
          <w:rFonts w:ascii="Arial" w:hAnsi="Arial" w:cs="Arial"/>
          <w:sz w:val="18"/>
          <w:szCs w:val="18"/>
        </w:rPr>
      </w:pPr>
    </w:p>
    <w:p w:rsidR="0026668B" w:rsidRPr="00B26CD5" w:rsidRDefault="0026668B" w:rsidP="001606EE">
      <w:pPr>
        <w:jc w:val="both"/>
        <w:rPr>
          <w:rFonts w:ascii="Arial" w:hAnsi="Arial" w:cs="Arial"/>
          <w:sz w:val="18"/>
          <w:szCs w:val="18"/>
        </w:rPr>
      </w:pPr>
      <w:r w:rsidRPr="00B26CD5">
        <w:rPr>
          <w:rFonts w:ascii="Arial" w:hAnsi="Arial" w:cs="Arial"/>
          <w:sz w:val="18"/>
          <w:szCs w:val="18"/>
        </w:rPr>
        <w:t>The</w:t>
      </w:r>
      <w:r w:rsidR="002F1EEE">
        <w:rPr>
          <w:rFonts w:ascii="Arial" w:hAnsi="Arial" w:cs="Arial"/>
          <w:sz w:val="18"/>
          <w:szCs w:val="18"/>
        </w:rPr>
        <w:t xml:space="preserve"> </w:t>
      </w:r>
      <w:r w:rsidRPr="00B26CD5">
        <w:rPr>
          <w:rFonts w:ascii="Arial" w:hAnsi="Arial" w:cs="Arial"/>
          <w:sz w:val="18"/>
          <w:szCs w:val="18"/>
        </w:rPr>
        <w:t>effective tax rate is calculated as continuing income tax expense excluding tax on exceptional items and adjustments in respect of prior years and the impact of changes in tax rates on deferred tax, divided by continuing profit before taxation excluding exceptional items.</w:t>
      </w:r>
      <w:r w:rsidR="00503963" w:rsidRPr="00503963">
        <w:t xml:space="preserve"> </w:t>
      </w:r>
      <w:r w:rsidR="00503963" w:rsidRPr="00503963">
        <w:rPr>
          <w:rFonts w:ascii="Arial" w:hAnsi="Arial" w:cs="Arial"/>
          <w:sz w:val="18"/>
          <w:szCs w:val="18"/>
        </w:rPr>
        <w:t>The exclusion of items relating to prior years and those not in the ordinary course of business helps provide a better indication of the Group’s ongoing rate of tax.</w:t>
      </w:r>
      <w:r w:rsidR="00503963">
        <w:rPr>
          <w:rFonts w:ascii="Arial" w:hAnsi="Arial" w:cs="Arial"/>
          <w:sz w:val="18"/>
          <w:szCs w:val="18"/>
        </w:rPr>
        <w:t xml:space="preserve"> </w:t>
      </w:r>
    </w:p>
    <w:p w:rsidR="0026668B" w:rsidRPr="00B26CD5" w:rsidRDefault="0026668B" w:rsidP="001606EE">
      <w:pPr>
        <w:jc w:val="both"/>
        <w:rPr>
          <w:rFonts w:ascii="Arial" w:hAnsi="Arial" w:cs="Arial"/>
          <w:sz w:val="18"/>
          <w:szCs w:val="18"/>
        </w:rPr>
      </w:pPr>
    </w:p>
    <w:p w:rsidR="0026668B" w:rsidRPr="009630B6" w:rsidRDefault="0026668B" w:rsidP="001606EE">
      <w:pPr>
        <w:jc w:val="both"/>
        <w:rPr>
          <w:rFonts w:ascii="Arial" w:hAnsi="Arial" w:cs="Arial"/>
          <w:sz w:val="18"/>
          <w:szCs w:val="18"/>
        </w:rPr>
      </w:pPr>
      <w:r w:rsidRPr="00B26CD5">
        <w:rPr>
          <w:rFonts w:ascii="Arial" w:hAnsi="Arial" w:cs="Arial"/>
          <w:sz w:val="18"/>
          <w:szCs w:val="18"/>
        </w:rPr>
        <w:t xml:space="preserve">Net cash comprises cash and cash equivalents and short-term deposits less borrowings and financing derivatives (excluding accrued interest). </w:t>
      </w:r>
      <w:r w:rsidR="00C312AA">
        <w:rPr>
          <w:rFonts w:ascii="Arial" w:hAnsi="Arial" w:cs="Arial"/>
          <w:sz w:val="18"/>
          <w:szCs w:val="18"/>
        </w:rPr>
        <w:t>It excludes balances classified as assets and liabilities held for sale.</w:t>
      </w:r>
    </w:p>
    <w:p w:rsidR="007A1D8B" w:rsidRPr="00EF1091" w:rsidRDefault="007A1D8B" w:rsidP="00BA0967">
      <w:pPr>
        <w:jc w:val="both"/>
        <w:rPr>
          <w:rFonts w:ascii="Arial" w:hAnsi="Arial" w:cs="Arial"/>
          <w:sz w:val="18"/>
          <w:szCs w:val="18"/>
        </w:rPr>
      </w:pPr>
    </w:p>
    <w:p w:rsidR="00DC25B4" w:rsidRPr="0058225A" w:rsidRDefault="008573F5" w:rsidP="00F764F7">
      <w:pPr>
        <w:numPr>
          <w:ilvl w:val="0"/>
          <w:numId w:val="1"/>
        </w:numPr>
        <w:tabs>
          <w:tab w:val="clear" w:pos="570"/>
          <w:tab w:val="num" w:pos="0"/>
        </w:tabs>
        <w:ind w:left="0" w:hanging="567"/>
        <w:rPr>
          <w:rFonts w:ascii="Arial" w:hAnsi="Arial" w:cs="Arial"/>
          <w:b/>
          <w:sz w:val="18"/>
          <w:szCs w:val="18"/>
        </w:rPr>
      </w:pPr>
      <w:r>
        <w:rPr>
          <w:rFonts w:ascii="Arial" w:hAnsi="Arial" w:cs="Arial"/>
          <w:b/>
          <w:sz w:val="18"/>
          <w:szCs w:val="18"/>
        </w:rPr>
        <w:br w:type="page"/>
      </w:r>
      <w:r w:rsidR="00DC25B4" w:rsidRPr="0058225A">
        <w:rPr>
          <w:rFonts w:ascii="Arial" w:hAnsi="Arial" w:cs="Arial"/>
          <w:b/>
          <w:sz w:val="18"/>
          <w:szCs w:val="18"/>
        </w:rPr>
        <w:lastRenderedPageBreak/>
        <w:t>Segmental analysis</w:t>
      </w:r>
    </w:p>
    <w:p w:rsidR="00DC25B4" w:rsidRPr="00EF1091" w:rsidRDefault="00DC25B4">
      <w:pPr>
        <w:rPr>
          <w:rFonts w:ascii="Arial" w:hAnsi="Arial" w:cs="Arial"/>
          <w:sz w:val="18"/>
          <w:szCs w:val="18"/>
        </w:rPr>
      </w:pPr>
    </w:p>
    <w:p w:rsidR="00DC25B4" w:rsidRDefault="00DC25B4">
      <w:pPr>
        <w:rPr>
          <w:rFonts w:ascii="Arial" w:hAnsi="Arial" w:cs="Arial"/>
          <w:b/>
          <w:sz w:val="18"/>
          <w:szCs w:val="18"/>
        </w:rPr>
      </w:pPr>
      <w:r w:rsidRPr="00EF1091">
        <w:rPr>
          <w:rFonts w:ascii="Arial" w:hAnsi="Arial" w:cs="Arial"/>
          <w:b/>
          <w:sz w:val="18"/>
          <w:szCs w:val="18"/>
        </w:rPr>
        <w:t xml:space="preserve">Income statement </w:t>
      </w:r>
    </w:p>
    <w:tbl>
      <w:tblPr>
        <w:tblW w:w="5026" w:type="pct"/>
        <w:tblLayout w:type="fixed"/>
        <w:tblLook w:val="0000" w:firstRow="0" w:lastRow="0" w:firstColumn="0" w:lastColumn="0" w:noHBand="0" w:noVBand="0"/>
      </w:tblPr>
      <w:tblGrid>
        <w:gridCol w:w="4875"/>
        <w:gridCol w:w="1352"/>
        <w:gridCol w:w="853"/>
        <w:gridCol w:w="884"/>
        <w:gridCol w:w="857"/>
        <w:gridCol w:w="851"/>
        <w:gridCol w:w="17"/>
      </w:tblGrid>
      <w:tr w:rsidR="000665A6" w:rsidRPr="004E18F2" w:rsidTr="00FA21A3">
        <w:trPr>
          <w:trHeight w:val="240"/>
        </w:trPr>
        <w:tc>
          <w:tcPr>
            <w:tcW w:w="2516" w:type="pct"/>
            <w:tcBorders>
              <w:left w:val="nil"/>
              <w:right w:val="nil"/>
            </w:tcBorders>
            <w:shd w:val="clear" w:color="auto" w:fill="auto"/>
            <w:noWrap/>
            <w:vAlign w:val="bottom"/>
          </w:tcPr>
          <w:p w:rsidR="000665A6" w:rsidRPr="00462DCC" w:rsidRDefault="000665A6" w:rsidP="00912BFE">
            <w:pPr>
              <w:rPr>
                <w:rFonts w:ascii="Arial" w:hAnsi="Arial" w:cs="Arial"/>
                <w:bCs/>
                <w:sz w:val="18"/>
                <w:szCs w:val="18"/>
              </w:rPr>
            </w:pPr>
          </w:p>
        </w:tc>
        <w:tc>
          <w:tcPr>
            <w:tcW w:w="2484" w:type="pct"/>
            <w:gridSpan w:val="6"/>
            <w:tcBorders>
              <w:left w:val="nil"/>
              <w:bottom w:val="single" w:sz="4" w:space="0" w:color="auto"/>
              <w:right w:val="nil"/>
            </w:tcBorders>
            <w:shd w:val="clear" w:color="auto" w:fill="auto"/>
            <w:noWrap/>
            <w:vAlign w:val="bottom"/>
          </w:tcPr>
          <w:p w:rsidR="000665A6" w:rsidRPr="000665A6" w:rsidDel="00096834" w:rsidRDefault="00D60AC2" w:rsidP="0011516C">
            <w:pPr>
              <w:jc w:val="right"/>
              <w:rPr>
                <w:rFonts w:ascii="Arial" w:hAnsi="Arial" w:cs="Arial"/>
                <w:sz w:val="18"/>
                <w:szCs w:val="18"/>
              </w:rPr>
            </w:pPr>
            <w:r>
              <w:rPr>
                <w:rFonts w:ascii="Arial" w:hAnsi="Arial" w:cs="Arial"/>
                <w:sz w:val="18"/>
                <w:szCs w:val="18"/>
              </w:rPr>
              <w:t>20</w:t>
            </w:r>
            <w:r w:rsidR="00872DCA">
              <w:rPr>
                <w:rFonts w:ascii="Arial" w:hAnsi="Arial" w:cs="Arial"/>
                <w:sz w:val="18"/>
                <w:szCs w:val="18"/>
              </w:rPr>
              <w:t>1</w:t>
            </w:r>
            <w:r w:rsidR="0011516C">
              <w:rPr>
                <w:rFonts w:ascii="Arial" w:hAnsi="Arial" w:cs="Arial"/>
                <w:sz w:val="18"/>
                <w:szCs w:val="18"/>
              </w:rPr>
              <w:t>7</w:t>
            </w:r>
            <w:r>
              <w:rPr>
                <w:rFonts w:ascii="Arial" w:hAnsi="Arial" w:cs="Arial"/>
                <w:sz w:val="18"/>
                <w:szCs w:val="18"/>
              </w:rPr>
              <w:t>/</w:t>
            </w:r>
            <w:r w:rsidR="00E4769C">
              <w:rPr>
                <w:rFonts w:ascii="Arial" w:hAnsi="Arial" w:cs="Arial"/>
                <w:sz w:val="18"/>
                <w:szCs w:val="18"/>
              </w:rPr>
              <w:t>1</w:t>
            </w:r>
            <w:r w:rsidR="0011516C">
              <w:rPr>
                <w:rFonts w:ascii="Arial" w:hAnsi="Arial" w:cs="Arial"/>
                <w:sz w:val="18"/>
                <w:szCs w:val="18"/>
              </w:rPr>
              <w:t>8</w:t>
            </w:r>
          </w:p>
        </w:tc>
      </w:tr>
      <w:tr w:rsidR="000665A6" w:rsidTr="00FA21A3">
        <w:trPr>
          <w:gridAfter w:val="1"/>
          <w:wAfter w:w="8" w:type="pct"/>
          <w:trHeight w:val="240"/>
        </w:trPr>
        <w:tc>
          <w:tcPr>
            <w:tcW w:w="2516" w:type="pct"/>
            <w:vMerge w:val="restart"/>
            <w:tcBorders>
              <w:top w:val="nil"/>
              <w:left w:val="nil"/>
              <w:right w:val="nil"/>
            </w:tcBorders>
            <w:shd w:val="clear" w:color="auto" w:fill="auto"/>
            <w:vAlign w:val="bottom"/>
          </w:tcPr>
          <w:p w:rsidR="000665A6" w:rsidRPr="00CD0107" w:rsidRDefault="000665A6" w:rsidP="00912BFE">
            <w:pPr>
              <w:rPr>
                <w:rFonts w:ascii="Arial" w:hAnsi="Arial" w:cs="Arial"/>
                <w:sz w:val="18"/>
                <w:szCs w:val="18"/>
              </w:rPr>
            </w:pPr>
            <w:r w:rsidRPr="00CD0107">
              <w:rPr>
                <w:rFonts w:ascii="Arial" w:hAnsi="Arial" w:cs="Arial"/>
                <w:sz w:val="18"/>
                <w:szCs w:val="18"/>
              </w:rPr>
              <w:t>£ millions</w:t>
            </w:r>
          </w:p>
        </w:tc>
        <w:tc>
          <w:tcPr>
            <w:tcW w:w="698" w:type="pct"/>
            <w:vMerge w:val="restart"/>
            <w:tcBorders>
              <w:top w:val="nil"/>
              <w:left w:val="nil"/>
              <w:right w:val="nil"/>
            </w:tcBorders>
            <w:shd w:val="clear" w:color="auto" w:fill="auto"/>
            <w:vAlign w:val="bottom"/>
          </w:tcPr>
          <w:p w:rsidR="000665A6" w:rsidRPr="00CD0107" w:rsidRDefault="00970BAF" w:rsidP="00912BFE">
            <w:pPr>
              <w:jc w:val="right"/>
              <w:rPr>
                <w:rFonts w:ascii="Arial" w:hAnsi="Arial" w:cs="Arial"/>
                <w:sz w:val="18"/>
                <w:szCs w:val="18"/>
              </w:rPr>
            </w:pPr>
            <w:r>
              <w:rPr>
                <w:rFonts w:ascii="Arial" w:hAnsi="Arial" w:cs="Arial"/>
                <w:sz w:val="18"/>
                <w:szCs w:val="18"/>
              </w:rPr>
              <w:t>UK &amp; Ireland</w:t>
            </w:r>
          </w:p>
        </w:tc>
        <w:tc>
          <w:tcPr>
            <w:tcW w:w="440" w:type="pct"/>
            <w:vMerge w:val="restart"/>
            <w:tcBorders>
              <w:top w:val="nil"/>
              <w:left w:val="nil"/>
              <w:right w:val="nil"/>
            </w:tcBorders>
            <w:shd w:val="clear" w:color="auto" w:fill="auto"/>
            <w:vAlign w:val="bottom"/>
          </w:tcPr>
          <w:p w:rsidR="000665A6" w:rsidRPr="00CD0107" w:rsidRDefault="00970BAF" w:rsidP="00912BFE">
            <w:pPr>
              <w:jc w:val="right"/>
              <w:rPr>
                <w:rFonts w:ascii="Arial" w:hAnsi="Arial" w:cs="Arial"/>
                <w:sz w:val="18"/>
                <w:szCs w:val="18"/>
              </w:rPr>
            </w:pPr>
            <w:r>
              <w:rPr>
                <w:rFonts w:ascii="Arial" w:hAnsi="Arial" w:cs="Arial"/>
                <w:sz w:val="18"/>
                <w:szCs w:val="18"/>
              </w:rPr>
              <w:t>France</w:t>
            </w:r>
          </w:p>
        </w:tc>
        <w:tc>
          <w:tcPr>
            <w:tcW w:w="898" w:type="pct"/>
            <w:gridSpan w:val="2"/>
            <w:tcBorders>
              <w:top w:val="nil"/>
              <w:left w:val="nil"/>
              <w:bottom w:val="single" w:sz="2" w:space="0" w:color="auto"/>
              <w:right w:val="nil"/>
            </w:tcBorders>
            <w:shd w:val="clear" w:color="auto" w:fill="auto"/>
            <w:vAlign w:val="bottom"/>
          </w:tcPr>
          <w:p w:rsidR="000665A6" w:rsidRPr="00CD0107" w:rsidRDefault="000665A6" w:rsidP="00912BFE">
            <w:pPr>
              <w:jc w:val="right"/>
              <w:rPr>
                <w:rFonts w:ascii="Arial" w:hAnsi="Arial" w:cs="Arial"/>
                <w:sz w:val="18"/>
                <w:szCs w:val="18"/>
              </w:rPr>
            </w:pPr>
            <w:r>
              <w:rPr>
                <w:rFonts w:ascii="Arial" w:hAnsi="Arial" w:cs="Arial"/>
                <w:sz w:val="18"/>
                <w:szCs w:val="18"/>
              </w:rPr>
              <w:t>Other International</w:t>
            </w:r>
          </w:p>
        </w:tc>
        <w:tc>
          <w:tcPr>
            <w:tcW w:w="439" w:type="pct"/>
            <w:vMerge w:val="restart"/>
            <w:tcBorders>
              <w:top w:val="nil"/>
              <w:left w:val="nil"/>
              <w:right w:val="nil"/>
            </w:tcBorders>
            <w:shd w:val="clear" w:color="auto" w:fill="auto"/>
            <w:vAlign w:val="bottom"/>
          </w:tcPr>
          <w:p w:rsidR="000665A6" w:rsidRPr="00CD0107" w:rsidRDefault="000665A6" w:rsidP="00912BFE">
            <w:pPr>
              <w:jc w:val="right"/>
              <w:rPr>
                <w:rFonts w:ascii="Arial" w:hAnsi="Arial" w:cs="Arial"/>
                <w:sz w:val="18"/>
                <w:szCs w:val="18"/>
              </w:rPr>
            </w:pPr>
            <w:r w:rsidRPr="00CD0107">
              <w:rPr>
                <w:rFonts w:ascii="Arial" w:hAnsi="Arial" w:cs="Arial"/>
                <w:sz w:val="18"/>
                <w:szCs w:val="18"/>
              </w:rPr>
              <w:t>Total</w:t>
            </w:r>
          </w:p>
        </w:tc>
      </w:tr>
      <w:tr w:rsidR="000665A6" w:rsidTr="00FA21A3">
        <w:trPr>
          <w:gridAfter w:val="1"/>
          <w:wAfter w:w="8" w:type="pct"/>
          <w:trHeight w:val="240"/>
        </w:trPr>
        <w:tc>
          <w:tcPr>
            <w:tcW w:w="2516" w:type="pct"/>
            <w:vMerge/>
            <w:tcBorders>
              <w:left w:val="nil"/>
              <w:bottom w:val="single" w:sz="4" w:space="0" w:color="auto"/>
              <w:right w:val="nil"/>
            </w:tcBorders>
            <w:shd w:val="clear" w:color="auto" w:fill="auto"/>
            <w:vAlign w:val="bottom"/>
          </w:tcPr>
          <w:p w:rsidR="000665A6" w:rsidRPr="00CD0107" w:rsidRDefault="000665A6" w:rsidP="00912BFE">
            <w:pPr>
              <w:rPr>
                <w:rFonts w:ascii="Arial" w:hAnsi="Arial" w:cs="Arial"/>
                <w:sz w:val="18"/>
                <w:szCs w:val="18"/>
              </w:rPr>
            </w:pPr>
          </w:p>
        </w:tc>
        <w:tc>
          <w:tcPr>
            <w:tcW w:w="698" w:type="pct"/>
            <w:vMerge/>
            <w:tcBorders>
              <w:left w:val="nil"/>
              <w:bottom w:val="single" w:sz="4" w:space="0" w:color="auto"/>
              <w:right w:val="nil"/>
            </w:tcBorders>
            <w:shd w:val="clear" w:color="auto" w:fill="auto"/>
            <w:vAlign w:val="bottom"/>
          </w:tcPr>
          <w:p w:rsidR="000665A6" w:rsidRDefault="000665A6" w:rsidP="00912BFE">
            <w:pPr>
              <w:jc w:val="right"/>
              <w:rPr>
                <w:rFonts w:ascii="Arial" w:hAnsi="Arial" w:cs="Arial"/>
                <w:sz w:val="18"/>
                <w:szCs w:val="18"/>
              </w:rPr>
            </w:pPr>
          </w:p>
        </w:tc>
        <w:tc>
          <w:tcPr>
            <w:tcW w:w="440" w:type="pct"/>
            <w:vMerge/>
            <w:tcBorders>
              <w:left w:val="nil"/>
              <w:bottom w:val="single" w:sz="4" w:space="0" w:color="auto"/>
              <w:right w:val="nil"/>
            </w:tcBorders>
            <w:shd w:val="clear" w:color="auto" w:fill="auto"/>
            <w:vAlign w:val="bottom"/>
          </w:tcPr>
          <w:p w:rsidR="000665A6" w:rsidRPr="00CD0107" w:rsidRDefault="000665A6" w:rsidP="00912BFE">
            <w:pPr>
              <w:jc w:val="right"/>
              <w:rPr>
                <w:rFonts w:ascii="Arial" w:hAnsi="Arial" w:cs="Arial"/>
                <w:sz w:val="18"/>
                <w:szCs w:val="18"/>
              </w:rPr>
            </w:pPr>
          </w:p>
        </w:tc>
        <w:tc>
          <w:tcPr>
            <w:tcW w:w="456" w:type="pct"/>
            <w:tcBorders>
              <w:top w:val="nil"/>
              <w:left w:val="nil"/>
              <w:bottom w:val="single" w:sz="4" w:space="0" w:color="auto"/>
              <w:right w:val="nil"/>
            </w:tcBorders>
            <w:shd w:val="clear" w:color="auto" w:fill="auto"/>
            <w:vAlign w:val="bottom"/>
          </w:tcPr>
          <w:p w:rsidR="000665A6" w:rsidRPr="00CD0107" w:rsidRDefault="000665A6" w:rsidP="00912BFE">
            <w:pPr>
              <w:jc w:val="right"/>
              <w:rPr>
                <w:rFonts w:ascii="Arial" w:hAnsi="Arial" w:cs="Arial"/>
                <w:sz w:val="18"/>
                <w:szCs w:val="18"/>
              </w:rPr>
            </w:pPr>
            <w:smartTag w:uri="urn:schemas-microsoft-com:office:smarttags" w:element="place">
              <w:smartTag w:uri="urn:schemas-microsoft-com:office:smarttags" w:element="country-region">
                <w:r w:rsidRPr="00CD0107">
                  <w:rPr>
                    <w:rFonts w:ascii="Arial" w:hAnsi="Arial" w:cs="Arial"/>
                    <w:sz w:val="18"/>
                    <w:szCs w:val="18"/>
                  </w:rPr>
                  <w:t>Poland</w:t>
                </w:r>
              </w:smartTag>
            </w:smartTag>
          </w:p>
        </w:tc>
        <w:tc>
          <w:tcPr>
            <w:tcW w:w="442" w:type="pct"/>
            <w:tcBorders>
              <w:top w:val="nil"/>
              <w:left w:val="nil"/>
              <w:bottom w:val="single" w:sz="4" w:space="0" w:color="auto"/>
              <w:right w:val="nil"/>
            </w:tcBorders>
            <w:shd w:val="clear" w:color="auto" w:fill="auto"/>
            <w:vAlign w:val="bottom"/>
          </w:tcPr>
          <w:p w:rsidR="000665A6" w:rsidRPr="00CD0107" w:rsidRDefault="000665A6" w:rsidP="00912BFE">
            <w:pPr>
              <w:jc w:val="right"/>
              <w:rPr>
                <w:rFonts w:ascii="Arial" w:hAnsi="Arial" w:cs="Arial"/>
                <w:sz w:val="18"/>
                <w:szCs w:val="18"/>
              </w:rPr>
            </w:pPr>
            <w:r>
              <w:rPr>
                <w:rFonts w:ascii="Arial" w:hAnsi="Arial" w:cs="Arial"/>
                <w:sz w:val="18"/>
                <w:szCs w:val="18"/>
              </w:rPr>
              <w:t>Other</w:t>
            </w:r>
          </w:p>
        </w:tc>
        <w:tc>
          <w:tcPr>
            <w:tcW w:w="439" w:type="pct"/>
            <w:vMerge/>
            <w:tcBorders>
              <w:left w:val="nil"/>
              <w:bottom w:val="single" w:sz="4" w:space="0" w:color="auto"/>
              <w:right w:val="nil"/>
            </w:tcBorders>
            <w:shd w:val="clear" w:color="auto" w:fill="auto"/>
            <w:vAlign w:val="bottom"/>
          </w:tcPr>
          <w:p w:rsidR="000665A6" w:rsidRPr="00CD0107" w:rsidRDefault="000665A6" w:rsidP="00912BFE">
            <w:pPr>
              <w:jc w:val="right"/>
              <w:rPr>
                <w:rFonts w:ascii="Arial" w:hAnsi="Arial" w:cs="Arial"/>
                <w:sz w:val="18"/>
                <w:szCs w:val="18"/>
              </w:rPr>
            </w:pPr>
          </w:p>
        </w:tc>
      </w:tr>
      <w:tr w:rsidR="00B07D6F" w:rsidTr="00FA21A3">
        <w:trPr>
          <w:gridAfter w:val="1"/>
          <w:wAfter w:w="8" w:type="pct"/>
          <w:trHeight w:val="240"/>
        </w:trPr>
        <w:tc>
          <w:tcPr>
            <w:tcW w:w="2516" w:type="pct"/>
            <w:tcBorders>
              <w:top w:val="single" w:sz="2" w:space="0" w:color="auto"/>
              <w:left w:val="nil"/>
              <w:bottom w:val="single" w:sz="4" w:space="0" w:color="auto"/>
              <w:right w:val="nil"/>
            </w:tcBorders>
            <w:shd w:val="clear" w:color="auto" w:fill="auto"/>
            <w:noWrap/>
            <w:vAlign w:val="bottom"/>
          </w:tcPr>
          <w:p w:rsidR="00B07D6F" w:rsidRPr="00CD0107" w:rsidRDefault="00B07D6F" w:rsidP="00912BFE">
            <w:pPr>
              <w:rPr>
                <w:rFonts w:ascii="Arial" w:hAnsi="Arial" w:cs="Arial"/>
                <w:b/>
                <w:bCs/>
                <w:sz w:val="18"/>
                <w:szCs w:val="18"/>
              </w:rPr>
            </w:pPr>
            <w:r>
              <w:rPr>
                <w:rFonts w:ascii="Arial" w:hAnsi="Arial" w:cs="Arial"/>
                <w:b/>
                <w:bCs/>
                <w:sz w:val="18"/>
                <w:szCs w:val="18"/>
              </w:rPr>
              <w:t>Sales</w:t>
            </w:r>
          </w:p>
        </w:tc>
        <w:tc>
          <w:tcPr>
            <w:tcW w:w="698" w:type="pct"/>
            <w:tcBorders>
              <w:top w:val="single" w:sz="2" w:space="0" w:color="auto"/>
              <w:left w:val="nil"/>
              <w:bottom w:val="single" w:sz="4" w:space="0" w:color="auto"/>
              <w:right w:val="nil"/>
            </w:tcBorders>
            <w:shd w:val="clear" w:color="auto" w:fill="auto"/>
            <w:noWrap/>
            <w:vAlign w:val="bottom"/>
          </w:tcPr>
          <w:p w:rsidR="00B07D6F" w:rsidRPr="00695F40" w:rsidRDefault="0016029B" w:rsidP="00695F40">
            <w:pPr>
              <w:jc w:val="right"/>
              <w:rPr>
                <w:rFonts w:ascii="Arial" w:hAnsi="Arial" w:cs="Arial"/>
                <w:b/>
                <w:sz w:val="18"/>
                <w:szCs w:val="18"/>
              </w:rPr>
            </w:pPr>
            <w:r>
              <w:rPr>
                <w:rFonts w:ascii="Arial" w:hAnsi="Arial" w:cs="Arial"/>
                <w:b/>
                <w:sz w:val="18"/>
                <w:szCs w:val="18"/>
              </w:rPr>
              <w:t>5,003</w:t>
            </w:r>
          </w:p>
        </w:tc>
        <w:tc>
          <w:tcPr>
            <w:tcW w:w="440" w:type="pct"/>
            <w:tcBorders>
              <w:top w:val="single" w:sz="2" w:space="0" w:color="auto"/>
              <w:left w:val="nil"/>
              <w:bottom w:val="single" w:sz="4" w:space="0" w:color="auto"/>
              <w:right w:val="nil"/>
            </w:tcBorders>
            <w:shd w:val="clear" w:color="auto" w:fill="auto"/>
            <w:noWrap/>
            <w:vAlign w:val="bottom"/>
          </w:tcPr>
          <w:p w:rsidR="00B07D6F" w:rsidRPr="00695F40" w:rsidRDefault="0016029B" w:rsidP="00695F40">
            <w:pPr>
              <w:jc w:val="right"/>
              <w:rPr>
                <w:rFonts w:ascii="Arial" w:hAnsi="Arial" w:cs="Arial"/>
                <w:b/>
                <w:sz w:val="18"/>
                <w:szCs w:val="18"/>
              </w:rPr>
            </w:pPr>
            <w:r>
              <w:rPr>
                <w:rFonts w:ascii="Arial" w:hAnsi="Arial" w:cs="Arial"/>
                <w:b/>
                <w:sz w:val="18"/>
                <w:szCs w:val="18"/>
              </w:rPr>
              <w:t>4,387</w:t>
            </w:r>
          </w:p>
        </w:tc>
        <w:tc>
          <w:tcPr>
            <w:tcW w:w="456" w:type="pct"/>
            <w:tcBorders>
              <w:top w:val="single" w:sz="2" w:space="0" w:color="auto"/>
              <w:left w:val="nil"/>
              <w:bottom w:val="single" w:sz="4" w:space="0" w:color="auto"/>
              <w:right w:val="nil"/>
            </w:tcBorders>
            <w:shd w:val="clear" w:color="auto" w:fill="auto"/>
            <w:noWrap/>
            <w:vAlign w:val="bottom"/>
          </w:tcPr>
          <w:p w:rsidR="00B07D6F" w:rsidRPr="00695F40" w:rsidRDefault="0016029B" w:rsidP="00695F40">
            <w:pPr>
              <w:jc w:val="right"/>
              <w:rPr>
                <w:rFonts w:ascii="Arial" w:hAnsi="Arial" w:cs="Arial"/>
                <w:b/>
                <w:sz w:val="18"/>
                <w:szCs w:val="18"/>
              </w:rPr>
            </w:pPr>
            <w:r>
              <w:rPr>
                <w:rFonts w:ascii="Arial" w:hAnsi="Arial" w:cs="Arial"/>
                <w:b/>
                <w:sz w:val="18"/>
                <w:szCs w:val="18"/>
              </w:rPr>
              <w:t>1,384</w:t>
            </w:r>
          </w:p>
        </w:tc>
        <w:tc>
          <w:tcPr>
            <w:tcW w:w="442" w:type="pct"/>
            <w:tcBorders>
              <w:top w:val="single" w:sz="2" w:space="0" w:color="auto"/>
              <w:left w:val="nil"/>
              <w:bottom w:val="single" w:sz="4" w:space="0" w:color="auto"/>
              <w:right w:val="nil"/>
            </w:tcBorders>
            <w:shd w:val="clear" w:color="auto" w:fill="auto"/>
            <w:noWrap/>
            <w:vAlign w:val="bottom"/>
          </w:tcPr>
          <w:p w:rsidR="00B07D6F" w:rsidRPr="00695F40" w:rsidRDefault="0016029B" w:rsidP="00695F40">
            <w:pPr>
              <w:jc w:val="right"/>
              <w:rPr>
                <w:rFonts w:ascii="Arial" w:hAnsi="Arial" w:cs="Arial"/>
                <w:b/>
                <w:sz w:val="18"/>
                <w:szCs w:val="18"/>
              </w:rPr>
            </w:pPr>
            <w:r>
              <w:rPr>
                <w:rFonts w:ascii="Arial" w:hAnsi="Arial" w:cs="Arial"/>
                <w:b/>
                <w:sz w:val="18"/>
                <w:szCs w:val="18"/>
              </w:rPr>
              <w:t>881</w:t>
            </w:r>
          </w:p>
        </w:tc>
        <w:tc>
          <w:tcPr>
            <w:tcW w:w="439" w:type="pct"/>
            <w:tcBorders>
              <w:top w:val="single" w:sz="2" w:space="0" w:color="auto"/>
              <w:left w:val="nil"/>
              <w:bottom w:val="single" w:sz="4" w:space="0" w:color="auto"/>
              <w:right w:val="nil"/>
            </w:tcBorders>
            <w:shd w:val="clear" w:color="auto" w:fill="auto"/>
            <w:noWrap/>
            <w:vAlign w:val="bottom"/>
          </w:tcPr>
          <w:p w:rsidR="00B07D6F" w:rsidRPr="00695F40" w:rsidRDefault="0016029B" w:rsidP="00695F40">
            <w:pPr>
              <w:jc w:val="right"/>
              <w:rPr>
                <w:rFonts w:ascii="Arial" w:hAnsi="Arial" w:cs="Arial"/>
                <w:b/>
                <w:sz w:val="18"/>
                <w:szCs w:val="18"/>
              </w:rPr>
            </w:pPr>
            <w:r>
              <w:rPr>
                <w:rFonts w:ascii="Arial" w:hAnsi="Arial" w:cs="Arial"/>
                <w:b/>
                <w:sz w:val="18"/>
                <w:szCs w:val="18"/>
              </w:rPr>
              <w:t>11,655</w:t>
            </w:r>
          </w:p>
        </w:tc>
      </w:tr>
      <w:tr w:rsidR="00B07D6F" w:rsidRPr="004E18F2" w:rsidTr="00FA21A3">
        <w:trPr>
          <w:gridAfter w:val="1"/>
          <w:wAfter w:w="8" w:type="pct"/>
          <w:trHeight w:val="240"/>
        </w:trPr>
        <w:tc>
          <w:tcPr>
            <w:tcW w:w="2516" w:type="pct"/>
            <w:tcBorders>
              <w:top w:val="nil"/>
              <w:left w:val="nil"/>
              <w:right w:val="nil"/>
            </w:tcBorders>
            <w:shd w:val="clear" w:color="auto" w:fill="auto"/>
            <w:noWrap/>
            <w:vAlign w:val="bottom"/>
          </w:tcPr>
          <w:p w:rsidR="00B07D6F" w:rsidRPr="0080364A" w:rsidRDefault="00B07D6F" w:rsidP="00912BFE">
            <w:pPr>
              <w:rPr>
                <w:rFonts w:ascii="Arial" w:hAnsi="Arial" w:cs="Arial"/>
                <w:b/>
                <w:sz w:val="18"/>
                <w:szCs w:val="18"/>
              </w:rPr>
            </w:pPr>
            <w:r w:rsidRPr="0080364A">
              <w:rPr>
                <w:rFonts w:ascii="Arial" w:hAnsi="Arial" w:cs="Arial"/>
                <w:b/>
                <w:sz w:val="18"/>
                <w:szCs w:val="18"/>
              </w:rPr>
              <w:t xml:space="preserve">Retail profit </w:t>
            </w:r>
          </w:p>
        </w:tc>
        <w:tc>
          <w:tcPr>
            <w:tcW w:w="698" w:type="pct"/>
            <w:tcBorders>
              <w:top w:val="nil"/>
              <w:left w:val="nil"/>
              <w:right w:val="nil"/>
            </w:tcBorders>
            <w:shd w:val="clear" w:color="auto" w:fill="auto"/>
            <w:noWrap/>
            <w:vAlign w:val="bottom"/>
          </w:tcPr>
          <w:p w:rsidR="00B07D6F" w:rsidRPr="00695F40" w:rsidRDefault="00473513" w:rsidP="00695F40">
            <w:pPr>
              <w:jc w:val="right"/>
              <w:rPr>
                <w:rFonts w:ascii="Arial" w:hAnsi="Arial" w:cs="Arial"/>
                <w:b/>
                <w:sz w:val="18"/>
                <w:szCs w:val="18"/>
              </w:rPr>
            </w:pPr>
            <w:r>
              <w:rPr>
                <w:rFonts w:ascii="Arial" w:hAnsi="Arial" w:cs="Arial"/>
                <w:b/>
                <w:sz w:val="18"/>
                <w:szCs w:val="18"/>
              </w:rPr>
              <w:t>375</w:t>
            </w:r>
          </w:p>
        </w:tc>
        <w:tc>
          <w:tcPr>
            <w:tcW w:w="440" w:type="pct"/>
            <w:tcBorders>
              <w:top w:val="nil"/>
              <w:left w:val="nil"/>
              <w:right w:val="nil"/>
            </w:tcBorders>
            <w:shd w:val="clear" w:color="auto" w:fill="auto"/>
            <w:noWrap/>
            <w:vAlign w:val="bottom"/>
          </w:tcPr>
          <w:p w:rsidR="00B07D6F" w:rsidRPr="00695F40" w:rsidRDefault="0016029B" w:rsidP="00695F40">
            <w:pPr>
              <w:jc w:val="right"/>
              <w:rPr>
                <w:rFonts w:ascii="Arial" w:hAnsi="Arial" w:cs="Arial"/>
                <w:b/>
                <w:sz w:val="18"/>
                <w:szCs w:val="18"/>
              </w:rPr>
            </w:pPr>
            <w:r>
              <w:rPr>
                <w:rFonts w:ascii="Arial" w:hAnsi="Arial" w:cs="Arial"/>
                <w:b/>
                <w:sz w:val="18"/>
                <w:szCs w:val="18"/>
              </w:rPr>
              <w:t>320</w:t>
            </w:r>
          </w:p>
        </w:tc>
        <w:tc>
          <w:tcPr>
            <w:tcW w:w="456" w:type="pct"/>
            <w:tcBorders>
              <w:top w:val="nil"/>
              <w:left w:val="nil"/>
              <w:right w:val="nil"/>
            </w:tcBorders>
            <w:shd w:val="clear" w:color="auto" w:fill="auto"/>
            <w:noWrap/>
            <w:vAlign w:val="bottom"/>
          </w:tcPr>
          <w:p w:rsidR="00B07D6F" w:rsidRPr="00695F40" w:rsidRDefault="0016029B" w:rsidP="00695F40">
            <w:pPr>
              <w:jc w:val="right"/>
              <w:rPr>
                <w:rFonts w:ascii="Arial" w:hAnsi="Arial" w:cs="Arial"/>
                <w:b/>
                <w:sz w:val="18"/>
                <w:szCs w:val="18"/>
              </w:rPr>
            </w:pPr>
            <w:r>
              <w:rPr>
                <w:rFonts w:ascii="Arial" w:hAnsi="Arial" w:cs="Arial"/>
                <w:b/>
                <w:sz w:val="18"/>
                <w:szCs w:val="18"/>
              </w:rPr>
              <w:t>170</w:t>
            </w:r>
          </w:p>
        </w:tc>
        <w:tc>
          <w:tcPr>
            <w:tcW w:w="442" w:type="pct"/>
            <w:tcBorders>
              <w:top w:val="nil"/>
              <w:left w:val="nil"/>
              <w:right w:val="nil"/>
            </w:tcBorders>
            <w:shd w:val="clear" w:color="auto" w:fill="auto"/>
            <w:noWrap/>
            <w:vAlign w:val="bottom"/>
          </w:tcPr>
          <w:p w:rsidR="00B07D6F" w:rsidRPr="00695F40" w:rsidRDefault="00473513" w:rsidP="00695F40">
            <w:pPr>
              <w:jc w:val="right"/>
              <w:rPr>
                <w:rFonts w:ascii="Arial" w:hAnsi="Arial" w:cs="Arial"/>
                <w:b/>
                <w:sz w:val="18"/>
                <w:szCs w:val="18"/>
              </w:rPr>
            </w:pPr>
            <w:r>
              <w:rPr>
                <w:rFonts w:ascii="Arial" w:hAnsi="Arial" w:cs="Arial"/>
                <w:b/>
                <w:sz w:val="18"/>
                <w:szCs w:val="18"/>
              </w:rPr>
              <w:t>(16)</w:t>
            </w:r>
          </w:p>
        </w:tc>
        <w:tc>
          <w:tcPr>
            <w:tcW w:w="439" w:type="pct"/>
            <w:tcBorders>
              <w:top w:val="nil"/>
              <w:left w:val="nil"/>
              <w:right w:val="nil"/>
            </w:tcBorders>
            <w:shd w:val="clear" w:color="auto" w:fill="auto"/>
            <w:noWrap/>
            <w:vAlign w:val="bottom"/>
          </w:tcPr>
          <w:p w:rsidR="00B07D6F" w:rsidRPr="00695F40" w:rsidRDefault="0016029B" w:rsidP="00695F40">
            <w:pPr>
              <w:jc w:val="right"/>
              <w:rPr>
                <w:rFonts w:ascii="Arial" w:hAnsi="Arial" w:cs="Arial"/>
                <w:b/>
                <w:bCs/>
                <w:sz w:val="18"/>
                <w:szCs w:val="18"/>
              </w:rPr>
            </w:pPr>
            <w:r>
              <w:rPr>
                <w:rFonts w:ascii="Arial" w:hAnsi="Arial" w:cs="Arial"/>
                <w:b/>
                <w:bCs/>
                <w:sz w:val="18"/>
                <w:szCs w:val="18"/>
              </w:rPr>
              <w:t>849</w:t>
            </w:r>
          </w:p>
        </w:tc>
      </w:tr>
      <w:tr w:rsidR="00B07D6F" w:rsidRPr="004E18F2" w:rsidTr="00FA21A3">
        <w:trPr>
          <w:gridAfter w:val="1"/>
          <w:wAfter w:w="8" w:type="pct"/>
          <w:trHeight w:val="240"/>
        </w:trPr>
        <w:tc>
          <w:tcPr>
            <w:tcW w:w="2516" w:type="pct"/>
            <w:tcBorders>
              <w:top w:val="nil"/>
              <w:left w:val="nil"/>
              <w:right w:val="nil"/>
            </w:tcBorders>
            <w:shd w:val="clear" w:color="auto" w:fill="auto"/>
            <w:noWrap/>
            <w:vAlign w:val="bottom"/>
          </w:tcPr>
          <w:p w:rsidR="00B07D6F" w:rsidRDefault="00B07D6F" w:rsidP="00912BFE">
            <w:pPr>
              <w:rPr>
                <w:rFonts w:ascii="Arial" w:hAnsi="Arial" w:cs="Arial"/>
                <w:sz w:val="18"/>
                <w:szCs w:val="18"/>
              </w:rPr>
            </w:pPr>
            <w:r>
              <w:rPr>
                <w:rFonts w:ascii="Arial" w:hAnsi="Arial" w:cs="Arial"/>
                <w:sz w:val="18"/>
                <w:szCs w:val="18"/>
              </w:rPr>
              <w:t>Central costs</w:t>
            </w:r>
          </w:p>
        </w:tc>
        <w:tc>
          <w:tcPr>
            <w:tcW w:w="698" w:type="pct"/>
            <w:tcBorders>
              <w:top w:val="nil"/>
              <w:left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40" w:type="pct"/>
            <w:tcBorders>
              <w:top w:val="nil"/>
              <w:left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56" w:type="pct"/>
            <w:tcBorders>
              <w:top w:val="nil"/>
              <w:left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42" w:type="pct"/>
            <w:tcBorders>
              <w:top w:val="nil"/>
              <w:left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39" w:type="pct"/>
            <w:tcBorders>
              <w:top w:val="nil"/>
              <w:left w:val="nil"/>
              <w:right w:val="nil"/>
            </w:tcBorders>
            <w:shd w:val="clear" w:color="auto" w:fill="auto"/>
            <w:noWrap/>
            <w:vAlign w:val="bottom"/>
          </w:tcPr>
          <w:p w:rsidR="00B07D6F" w:rsidRPr="00695F40" w:rsidRDefault="0016029B" w:rsidP="00695F40">
            <w:pPr>
              <w:jc w:val="right"/>
              <w:rPr>
                <w:rFonts w:ascii="Arial" w:hAnsi="Arial" w:cs="Arial"/>
                <w:b/>
                <w:bCs/>
                <w:sz w:val="18"/>
                <w:szCs w:val="18"/>
              </w:rPr>
            </w:pPr>
            <w:r>
              <w:rPr>
                <w:rFonts w:ascii="Arial" w:hAnsi="Arial" w:cs="Arial"/>
                <w:b/>
                <w:bCs/>
                <w:sz w:val="18"/>
                <w:szCs w:val="18"/>
              </w:rPr>
              <w:t>(46)</w:t>
            </w:r>
          </w:p>
        </w:tc>
      </w:tr>
      <w:tr w:rsidR="00B07D6F" w:rsidRPr="004E18F2" w:rsidTr="00FA21A3">
        <w:trPr>
          <w:gridAfter w:val="1"/>
          <w:wAfter w:w="8" w:type="pct"/>
          <w:trHeight w:val="240"/>
        </w:trPr>
        <w:tc>
          <w:tcPr>
            <w:tcW w:w="2516" w:type="pct"/>
            <w:tcBorders>
              <w:top w:val="nil"/>
              <w:left w:val="nil"/>
              <w:right w:val="nil"/>
            </w:tcBorders>
            <w:shd w:val="clear" w:color="auto" w:fill="auto"/>
            <w:noWrap/>
            <w:vAlign w:val="bottom"/>
          </w:tcPr>
          <w:p w:rsidR="00B07D6F" w:rsidRPr="0080723D" w:rsidRDefault="00B07D6F" w:rsidP="00912BFE">
            <w:pPr>
              <w:rPr>
                <w:rFonts w:ascii="Arial" w:hAnsi="Arial" w:cs="Arial"/>
                <w:sz w:val="18"/>
                <w:szCs w:val="18"/>
              </w:rPr>
            </w:pPr>
            <w:r>
              <w:rPr>
                <w:rFonts w:ascii="Arial" w:hAnsi="Arial" w:cs="Arial"/>
                <w:sz w:val="18"/>
                <w:szCs w:val="18"/>
              </w:rPr>
              <w:t>Share of interest and tax of joint ventures and associates</w:t>
            </w:r>
          </w:p>
        </w:tc>
        <w:tc>
          <w:tcPr>
            <w:tcW w:w="698" w:type="pct"/>
            <w:tcBorders>
              <w:top w:val="nil"/>
              <w:left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40" w:type="pct"/>
            <w:tcBorders>
              <w:top w:val="nil"/>
              <w:left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56" w:type="pct"/>
            <w:tcBorders>
              <w:top w:val="nil"/>
              <w:left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42" w:type="pct"/>
            <w:tcBorders>
              <w:top w:val="nil"/>
              <w:left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39" w:type="pct"/>
            <w:tcBorders>
              <w:top w:val="nil"/>
              <w:left w:val="nil"/>
              <w:right w:val="nil"/>
            </w:tcBorders>
            <w:shd w:val="clear" w:color="auto" w:fill="auto"/>
            <w:noWrap/>
            <w:vAlign w:val="bottom"/>
          </w:tcPr>
          <w:p w:rsidR="00B07D6F" w:rsidRPr="00695F40" w:rsidRDefault="0016029B" w:rsidP="00695F40">
            <w:pPr>
              <w:jc w:val="right"/>
              <w:rPr>
                <w:rFonts w:ascii="Arial" w:hAnsi="Arial" w:cs="Arial"/>
                <w:b/>
                <w:bCs/>
                <w:sz w:val="18"/>
                <w:szCs w:val="18"/>
              </w:rPr>
            </w:pPr>
            <w:r>
              <w:rPr>
                <w:rFonts w:ascii="Arial" w:hAnsi="Arial" w:cs="Arial"/>
                <w:b/>
                <w:bCs/>
                <w:sz w:val="18"/>
                <w:szCs w:val="18"/>
              </w:rPr>
              <w:t>(4)</w:t>
            </w:r>
          </w:p>
        </w:tc>
      </w:tr>
      <w:tr w:rsidR="00055FA5" w:rsidRPr="004E18F2" w:rsidTr="00FA21A3">
        <w:trPr>
          <w:gridAfter w:val="1"/>
          <w:wAfter w:w="8" w:type="pct"/>
          <w:trHeight w:val="240"/>
        </w:trPr>
        <w:tc>
          <w:tcPr>
            <w:tcW w:w="2516" w:type="pct"/>
            <w:tcBorders>
              <w:top w:val="nil"/>
              <w:left w:val="nil"/>
              <w:right w:val="nil"/>
            </w:tcBorders>
            <w:shd w:val="clear" w:color="auto" w:fill="auto"/>
            <w:noWrap/>
            <w:vAlign w:val="bottom"/>
          </w:tcPr>
          <w:p w:rsidR="00055FA5" w:rsidRDefault="00FA43D3" w:rsidP="00912BFE">
            <w:pPr>
              <w:rPr>
                <w:rFonts w:ascii="Arial" w:hAnsi="Arial" w:cs="Arial"/>
                <w:sz w:val="18"/>
                <w:szCs w:val="18"/>
              </w:rPr>
            </w:pPr>
            <w:r>
              <w:rPr>
                <w:rFonts w:ascii="Arial" w:hAnsi="Arial" w:cs="Arial"/>
                <w:sz w:val="18"/>
                <w:szCs w:val="18"/>
              </w:rPr>
              <w:t>Transformation costs before exceptional items</w:t>
            </w:r>
          </w:p>
        </w:tc>
        <w:tc>
          <w:tcPr>
            <w:tcW w:w="698" w:type="pct"/>
            <w:tcBorders>
              <w:top w:val="nil"/>
              <w:left w:val="nil"/>
              <w:right w:val="nil"/>
            </w:tcBorders>
            <w:shd w:val="clear" w:color="auto" w:fill="auto"/>
            <w:noWrap/>
            <w:vAlign w:val="bottom"/>
          </w:tcPr>
          <w:p w:rsidR="00055FA5" w:rsidRPr="00695F40" w:rsidRDefault="00055FA5" w:rsidP="00695F40">
            <w:pPr>
              <w:jc w:val="right"/>
              <w:rPr>
                <w:rFonts w:ascii="Arial" w:hAnsi="Arial" w:cs="Arial"/>
                <w:b/>
                <w:sz w:val="18"/>
                <w:szCs w:val="18"/>
              </w:rPr>
            </w:pPr>
          </w:p>
        </w:tc>
        <w:tc>
          <w:tcPr>
            <w:tcW w:w="440" w:type="pct"/>
            <w:tcBorders>
              <w:top w:val="nil"/>
              <w:left w:val="nil"/>
              <w:right w:val="nil"/>
            </w:tcBorders>
            <w:shd w:val="clear" w:color="auto" w:fill="auto"/>
            <w:noWrap/>
            <w:vAlign w:val="bottom"/>
          </w:tcPr>
          <w:p w:rsidR="00055FA5" w:rsidRPr="00695F40" w:rsidRDefault="00055FA5" w:rsidP="00695F40">
            <w:pPr>
              <w:jc w:val="right"/>
              <w:rPr>
                <w:rFonts w:ascii="Arial" w:hAnsi="Arial" w:cs="Arial"/>
                <w:b/>
                <w:sz w:val="18"/>
                <w:szCs w:val="18"/>
              </w:rPr>
            </w:pPr>
          </w:p>
        </w:tc>
        <w:tc>
          <w:tcPr>
            <w:tcW w:w="456" w:type="pct"/>
            <w:tcBorders>
              <w:top w:val="nil"/>
              <w:left w:val="nil"/>
              <w:right w:val="nil"/>
            </w:tcBorders>
            <w:shd w:val="clear" w:color="auto" w:fill="auto"/>
            <w:noWrap/>
            <w:vAlign w:val="bottom"/>
          </w:tcPr>
          <w:p w:rsidR="00055FA5" w:rsidRPr="00695F40" w:rsidRDefault="00055FA5" w:rsidP="00695F40">
            <w:pPr>
              <w:jc w:val="right"/>
              <w:rPr>
                <w:rFonts w:ascii="Arial" w:hAnsi="Arial" w:cs="Arial"/>
                <w:b/>
                <w:sz w:val="18"/>
                <w:szCs w:val="18"/>
              </w:rPr>
            </w:pPr>
          </w:p>
        </w:tc>
        <w:tc>
          <w:tcPr>
            <w:tcW w:w="442" w:type="pct"/>
            <w:tcBorders>
              <w:top w:val="nil"/>
              <w:left w:val="nil"/>
              <w:right w:val="nil"/>
            </w:tcBorders>
            <w:shd w:val="clear" w:color="auto" w:fill="auto"/>
            <w:noWrap/>
            <w:vAlign w:val="bottom"/>
          </w:tcPr>
          <w:p w:rsidR="00055FA5" w:rsidRPr="00695F40" w:rsidRDefault="00055FA5" w:rsidP="00695F40">
            <w:pPr>
              <w:jc w:val="right"/>
              <w:rPr>
                <w:rFonts w:ascii="Arial" w:hAnsi="Arial" w:cs="Arial"/>
                <w:b/>
                <w:sz w:val="18"/>
                <w:szCs w:val="18"/>
              </w:rPr>
            </w:pPr>
          </w:p>
        </w:tc>
        <w:tc>
          <w:tcPr>
            <w:tcW w:w="439" w:type="pct"/>
            <w:tcBorders>
              <w:top w:val="nil"/>
              <w:left w:val="nil"/>
              <w:right w:val="nil"/>
            </w:tcBorders>
            <w:shd w:val="clear" w:color="auto" w:fill="auto"/>
            <w:noWrap/>
            <w:vAlign w:val="bottom"/>
          </w:tcPr>
          <w:p w:rsidR="00055FA5" w:rsidRPr="00695F40" w:rsidDel="005A350B" w:rsidRDefault="0016029B" w:rsidP="00695F40">
            <w:pPr>
              <w:jc w:val="right"/>
              <w:rPr>
                <w:rFonts w:ascii="Arial" w:hAnsi="Arial" w:cs="Arial"/>
                <w:b/>
                <w:sz w:val="18"/>
                <w:szCs w:val="18"/>
              </w:rPr>
            </w:pPr>
            <w:r>
              <w:rPr>
                <w:rFonts w:ascii="Arial" w:hAnsi="Arial" w:cs="Arial"/>
                <w:b/>
                <w:sz w:val="18"/>
                <w:szCs w:val="18"/>
              </w:rPr>
              <w:t>(114)</w:t>
            </w:r>
          </w:p>
        </w:tc>
      </w:tr>
      <w:tr w:rsidR="00B07D6F" w:rsidTr="00FA21A3">
        <w:trPr>
          <w:gridAfter w:val="1"/>
          <w:wAfter w:w="8" w:type="pct"/>
          <w:trHeight w:val="240"/>
        </w:trPr>
        <w:tc>
          <w:tcPr>
            <w:tcW w:w="2516" w:type="pct"/>
            <w:tcBorders>
              <w:top w:val="single" w:sz="4" w:space="0" w:color="auto"/>
              <w:left w:val="nil"/>
              <w:bottom w:val="nil"/>
              <w:right w:val="nil"/>
            </w:tcBorders>
            <w:shd w:val="clear" w:color="auto" w:fill="auto"/>
            <w:noWrap/>
            <w:vAlign w:val="bottom"/>
          </w:tcPr>
          <w:p w:rsidR="00B07D6F" w:rsidRPr="00CD0107" w:rsidRDefault="00B07D6F" w:rsidP="00912BFE">
            <w:pPr>
              <w:rPr>
                <w:rFonts w:ascii="Arial" w:hAnsi="Arial" w:cs="Arial"/>
                <w:sz w:val="18"/>
                <w:szCs w:val="18"/>
              </w:rPr>
            </w:pPr>
            <w:r w:rsidRPr="00FF3F75">
              <w:rPr>
                <w:rFonts w:ascii="Arial" w:hAnsi="Arial" w:cs="Arial"/>
                <w:b/>
                <w:sz w:val="18"/>
                <w:szCs w:val="18"/>
              </w:rPr>
              <w:t>Operating profit</w:t>
            </w:r>
          </w:p>
        </w:tc>
        <w:tc>
          <w:tcPr>
            <w:tcW w:w="698" w:type="pct"/>
            <w:tcBorders>
              <w:top w:val="single" w:sz="4" w:space="0" w:color="auto"/>
              <w:left w:val="nil"/>
              <w:bottom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40" w:type="pct"/>
            <w:tcBorders>
              <w:top w:val="single" w:sz="4" w:space="0" w:color="auto"/>
              <w:left w:val="nil"/>
              <w:bottom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56" w:type="pct"/>
            <w:tcBorders>
              <w:top w:val="single" w:sz="4" w:space="0" w:color="auto"/>
              <w:left w:val="nil"/>
              <w:bottom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42" w:type="pct"/>
            <w:tcBorders>
              <w:top w:val="single" w:sz="4" w:space="0" w:color="auto"/>
              <w:left w:val="nil"/>
              <w:bottom w:val="nil"/>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39" w:type="pct"/>
            <w:tcBorders>
              <w:top w:val="single" w:sz="4" w:space="0" w:color="auto"/>
              <w:left w:val="nil"/>
              <w:bottom w:val="nil"/>
              <w:right w:val="nil"/>
            </w:tcBorders>
            <w:shd w:val="clear" w:color="auto" w:fill="auto"/>
            <w:noWrap/>
            <w:vAlign w:val="bottom"/>
          </w:tcPr>
          <w:p w:rsidR="00B07D6F" w:rsidRPr="00695F40" w:rsidRDefault="0016029B" w:rsidP="00695F40">
            <w:pPr>
              <w:jc w:val="right"/>
              <w:rPr>
                <w:rFonts w:ascii="Arial" w:hAnsi="Arial" w:cs="Arial"/>
                <w:b/>
                <w:sz w:val="18"/>
                <w:szCs w:val="18"/>
              </w:rPr>
            </w:pPr>
            <w:r>
              <w:rPr>
                <w:rFonts w:ascii="Arial" w:hAnsi="Arial" w:cs="Arial"/>
                <w:b/>
                <w:sz w:val="18"/>
                <w:szCs w:val="18"/>
              </w:rPr>
              <w:t>685</w:t>
            </w:r>
          </w:p>
        </w:tc>
      </w:tr>
      <w:tr w:rsidR="00B07D6F" w:rsidRPr="004E18F2" w:rsidTr="00FA21A3">
        <w:trPr>
          <w:gridAfter w:val="1"/>
          <w:wAfter w:w="8" w:type="pct"/>
          <w:trHeight w:val="240"/>
        </w:trPr>
        <w:tc>
          <w:tcPr>
            <w:tcW w:w="2516" w:type="pct"/>
            <w:tcBorders>
              <w:top w:val="nil"/>
              <w:left w:val="nil"/>
              <w:bottom w:val="single" w:sz="4" w:space="0" w:color="auto"/>
              <w:right w:val="nil"/>
            </w:tcBorders>
            <w:shd w:val="clear" w:color="auto" w:fill="auto"/>
            <w:noWrap/>
            <w:vAlign w:val="bottom"/>
          </w:tcPr>
          <w:p w:rsidR="00B07D6F" w:rsidRPr="00CD0107" w:rsidRDefault="00B07D6F" w:rsidP="00AA6169">
            <w:pPr>
              <w:rPr>
                <w:rFonts w:ascii="Arial" w:hAnsi="Arial" w:cs="Arial"/>
                <w:sz w:val="18"/>
                <w:szCs w:val="18"/>
              </w:rPr>
            </w:pPr>
            <w:r w:rsidRPr="0080364A">
              <w:rPr>
                <w:rFonts w:ascii="Arial" w:hAnsi="Arial" w:cs="Arial"/>
                <w:sz w:val="18"/>
                <w:szCs w:val="18"/>
              </w:rPr>
              <w:t xml:space="preserve">Net finance </w:t>
            </w:r>
            <w:r w:rsidR="00463DB6">
              <w:rPr>
                <w:rFonts w:ascii="Arial" w:hAnsi="Arial" w:cs="Arial"/>
                <w:sz w:val="18"/>
                <w:szCs w:val="18"/>
              </w:rPr>
              <w:t>costs</w:t>
            </w:r>
          </w:p>
        </w:tc>
        <w:tc>
          <w:tcPr>
            <w:tcW w:w="698" w:type="pct"/>
            <w:tcBorders>
              <w:top w:val="nil"/>
              <w:left w:val="nil"/>
              <w:bottom w:val="single" w:sz="4" w:space="0" w:color="auto"/>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40" w:type="pct"/>
            <w:tcBorders>
              <w:top w:val="nil"/>
              <w:left w:val="nil"/>
              <w:bottom w:val="single" w:sz="4" w:space="0" w:color="auto"/>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56" w:type="pct"/>
            <w:tcBorders>
              <w:top w:val="nil"/>
              <w:left w:val="nil"/>
              <w:bottom w:val="single" w:sz="4" w:space="0" w:color="auto"/>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42" w:type="pct"/>
            <w:tcBorders>
              <w:top w:val="nil"/>
              <w:left w:val="nil"/>
              <w:bottom w:val="single" w:sz="4" w:space="0" w:color="auto"/>
              <w:right w:val="nil"/>
            </w:tcBorders>
            <w:shd w:val="clear" w:color="auto" w:fill="auto"/>
            <w:noWrap/>
            <w:vAlign w:val="bottom"/>
          </w:tcPr>
          <w:p w:rsidR="00B07D6F" w:rsidRPr="00695F40" w:rsidRDefault="00B07D6F" w:rsidP="00695F40">
            <w:pPr>
              <w:jc w:val="right"/>
              <w:rPr>
                <w:rFonts w:ascii="Arial" w:hAnsi="Arial" w:cs="Arial"/>
                <w:b/>
                <w:sz w:val="18"/>
                <w:szCs w:val="18"/>
              </w:rPr>
            </w:pPr>
          </w:p>
        </w:tc>
        <w:tc>
          <w:tcPr>
            <w:tcW w:w="439" w:type="pct"/>
            <w:tcBorders>
              <w:top w:val="nil"/>
              <w:left w:val="nil"/>
              <w:bottom w:val="single" w:sz="4" w:space="0" w:color="auto"/>
              <w:right w:val="nil"/>
            </w:tcBorders>
            <w:shd w:val="clear" w:color="auto" w:fill="auto"/>
            <w:noWrap/>
            <w:vAlign w:val="bottom"/>
          </w:tcPr>
          <w:p w:rsidR="00B07D6F" w:rsidRPr="00695F40" w:rsidRDefault="0016029B" w:rsidP="00695F40">
            <w:pPr>
              <w:jc w:val="right"/>
              <w:rPr>
                <w:rFonts w:ascii="Arial" w:hAnsi="Arial" w:cs="Arial"/>
                <w:b/>
                <w:sz w:val="18"/>
                <w:szCs w:val="18"/>
              </w:rPr>
            </w:pPr>
            <w:r>
              <w:rPr>
                <w:rFonts w:ascii="Arial" w:hAnsi="Arial" w:cs="Arial"/>
                <w:b/>
                <w:sz w:val="18"/>
                <w:szCs w:val="18"/>
              </w:rPr>
              <w:t>(3)</w:t>
            </w:r>
          </w:p>
        </w:tc>
      </w:tr>
      <w:tr w:rsidR="00B07D6F" w:rsidTr="00FA21A3">
        <w:trPr>
          <w:gridAfter w:val="1"/>
          <w:wAfter w:w="8" w:type="pct"/>
          <w:trHeight w:val="240"/>
        </w:trPr>
        <w:tc>
          <w:tcPr>
            <w:tcW w:w="2516" w:type="pct"/>
            <w:tcBorders>
              <w:top w:val="single" w:sz="4" w:space="0" w:color="auto"/>
              <w:left w:val="nil"/>
              <w:bottom w:val="single" w:sz="12" w:space="0" w:color="auto"/>
              <w:right w:val="nil"/>
            </w:tcBorders>
            <w:shd w:val="clear" w:color="auto" w:fill="auto"/>
            <w:vAlign w:val="bottom"/>
          </w:tcPr>
          <w:p w:rsidR="00B07D6F" w:rsidRPr="00C7107B" w:rsidRDefault="00B07D6F" w:rsidP="00912BFE">
            <w:pPr>
              <w:rPr>
                <w:rFonts w:ascii="Arial" w:hAnsi="Arial" w:cs="Arial"/>
                <w:b/>
                <w:bCs/>
                <w:sz w:val="18"/>
                <w:szCs w:val="18"/>
              </w:rPr>
            </w:pPr>
            <w:r w:rsidRPr="00024F35">
              <w:rPr>
                <w:rFonts w:ascii="Arial" w:hAnsi="Arial" w:cs="Arial"/>
                <w:b/>
                <w:bCs/>
                <w:sz w:val="18"/>
                <w:szCs w:val="18"/>
              </w:rPr>
              <w:t>Profit before taxation</w:t>
            </w:r>
          </w:p>
        </w:tc>
        <w:tc>
          <w:tcPr>
            <w:tcW w:w="698" w:type="pct"/>
            <w:tcBorders>
              <w:top w:val="single" w:sz="4" w:space="0" w:color="auto"/>
              <w:left w:val="nil"/>
              <w:bottom w:val="single" w:sz="12" w:space="0" w:color="auto"/>
              <w:right w:val="nil"/>
            </w:tcBorders>
            <w:shd w:val="clear" w:color="auto" w:fill="auto"/>
            <w:noWrap/>
            <w:vAlign w:val="bottom"/>
          </w:tcPr>
          <w:p w:rsidR="00B07D6F" w:rsidRPr="00695F40" w:rsidRDefault="00B07D6F" w:rsidP="00695F40">
            <w:pPr>
              <w:jc w:val="right"/>
              <w:rPr>
                <w:rFonts w:ascii="Arial" w:hAnsi="Arial" w:cs="Arial"/>
                <w:b/>
                <w:bCs/>
                <w:sz w:val="18"/>
                <w:szCs w:val="18"/>
              </w:rPr>
            </w:pPr>
          </w:p>
        </w:tc>
        <w:tc>
          <w:tcPr>
            <w:tcW w:w="440" w:type="pct"/>
            <w:tcBorders>
              <w:top w:val="single" w:sz="4" w:space="0" w:color="auto"/>
              <w:left w:val="nil"/>
              <w:bottom w:val="single" w:sz="12" w:space="0" w:color="auto"/>
              <w:right w:val="nil"/>
            </w:tcBorders>
            <w:shd w:val="clear" w:color="auto" w:fill="auto"/>
            <w:noWrap/>
            <w:vAlign w:val="bottom"/>
          </w:tcPr>
          <w:p w:rsidR="00B07D6F" w:rsidRPr="00695F40" w:rsidRDefault="00B07D6F" w:rsidP="00695F40">
            <w:pPr>
              <w:jc w:val="right"/>
              <w:rPr>
                <w:rFonts w:ascii="Arial" w:hAnsi="Arial" w:cs="Arial"/>
                <w:b/>
                <w:bCs/>
                <w:sz w:val="18"/>
                <w:szCs w:val="18"/>
              </w:rPr>
            </w:pPr>
          </w:p>
        </w:tc>
        <w:tc>
          <w:tcPr>
            <w:tcW w:w="456" w:type="pct"/>
            <w:tcBorders>
              <w:top w:val="single" w:sz="4" w:space="0" w:color="auto"/>
              <w:left w:val="nil"/>
              <w:bottom w:val="single" w:sz="12" w:space="0" w:color="auto"/>
              <w:right w:val="nil"/>
            </w:tcBorders>
            <w:shd w:val="clear" w:color="auto" w:fill="auto"/>
            <w:noWrap/>
            <w:vAlign w:val="bottom"/>
          </w:tcPr>
          <w:p w:rsidR="00B07D6F" w:rsidRPr="00695F40" w:rsidRDefault="00B07D6F" w:rsidP="00695F40">
            <w:pPr>
              <w:jc w:val="right"/>
              <w:rPr>
                <w:rFonts w:ascii="Arial" w:hAnsi="Arial" w:cs="Arial"/>
                <w:b/>
                <w:bCs/>
                <w:sz w:val="18"/>
                <w:szCs w:val="18"/>
              </w:rPr>
            </w:pPr>
          </w:p>
        </w:tc>
        <w:tc>
          <w:tcPr>
            <w:tcW w:w="442" w:type="pct"/>
            <w:tcBorders>
              <w:top w:val="single" w:sz="4" w:space="0" w:color="auto"/>
              <w:left w:val="nil"/>
              <w:bottom w:val="single" w:sz="12" w:space="0" w:color="auto"/>
              <w:right w:val="nil"/>
            </w:tcBorders>
            <w:shd w:val="clear" w:color="auto" w:fill="auto"/>
            <w:noWrap/>
            <w:vAlign w:val="bottom"/>
          </w:tcPr>
          <w:p w:rsidR="00B07D6F" w:rsidRPr="00695F40" w:rsidRDefault="00B07D6F" w:rsidP="00695F40">
            <w:pPr>
              <w:jc w:val="right"/>
              <w:rPr>
                <w:rFonts w:ascii="Arial" w:hAnsi="Arial" w:cs="Arial"/>
                <w:b/>
                <w:bCs/>
                <w:sz w:val="18"/>
                <w:szCs w:val="18"/>
              </w:rPr>
            </w:pPr>
          </w:p>
        </w:tc>
        <w:tc>
          <w:tcPr>
            <w:tcW w:w="439" w:type="pct"/>
            <w:tcBorders>
              <w:top w:val="single" w:sz="4" w:space="0" w:color="auto"/>
              <w:left w:val="nil"/>
              <w:bottom w:val="single" w:sz="12" w:space="0" w:color="auto"/>
              <w:right w:val="nil"/>
            </w:tcBorders>
            <w:shd w:val="clear" w:color="auto" w:fill="auto"/>
            <w:noWrap/>
            <w:vAlign w:val="bottom"/>
          </w:tcPr>
          <w:p w:rsidR="00B07D6F" w:rsidRPr="00695F40" w:rsidRDefault="0016029B" w:rsidP="00695F40">
            <w:pPr>
              <w:jc w:val="right"/>
              <w:rPr>
                <w:rFonts w:ascii="Arial" w:hAnsi="Arial" w:cs="Arial"/>
                <w:b/>
                <w:bCs/>
                <w:sz w:val="18"/>
                <w:szCs w:val="18"/>
              </w:rPr>
            </w:pPr>
            <w:r>
              <w:rPr>
                <w:rFonts w:ascii="Arial" w:hAnsi="Arial" w:cs="Arial"/>
                <w:b/>
                <w:bCs/>
                <w:sz w:val="18"/>
                <w:szCs w:val="18"/>
              </w:rPr>
              <w:t>682</w:t>
            </w:r>
          </w:p>
        </w:tc>
      </w:tr>
    </w:tbl>
    <w:p w:rsidR="000665A6" w:rsidRPr="00EF1091" w:rsidRDefault="000665A6">
      <w:pPr>
        <w:rPr>
          <w:rFonts w:ascii="Arial" w:hAnsi="Arial" w:cs="Arial"/>
          <w:sz w:val="18"/>
          <w:szCs w:val="18"/>
        </w:rPr>
      </w:pPr>
    </w:p>
    <w:tbl>
      <w:tblPr>
        <w:tblW w:w="5026" w:type="pct"/>
        <w:tblLayout w:type="fixed"/>
        <w:tblLook w:val="0000" w:firstRow="0" w:lastRow="0" w:firstColumn="0" w:lastColumn="0" w:noHBand="0" w:noVBand="0"/>
      </w:tblPr>
      <w:tblGrid>
        <w:gridCol w:w="4875"/>
        <w:gridCol w:w="1352"/>
        <w:gridCol w:w="849"/>
        <w:gridCol w:w="888"/>
        <w:gridCol w:w="858"/>
        <w:gridCol w:w="851"/>
        <w:gridCol w:w="16"/>
      </w:tblGrid>
      <w:tr w:rsidR="000665A6" w:rsidRPr="004E18F2" w:rsidTr="0011516C">
        <w:trPr>
          <w:trHeight w:val="240"/>
        </w:trPr>
        <w:tc>
          <w:tcPr>
            <w:tcW w:w="2516" w:type="pct"/>
            <w:tcBorders>
              <w:left w:val="nil"/>
              <w:right w:val="nil"/>
            </w:tcBorders>
            <w:shd w:val="clear" w:color="auto" w:fill="auto"/>
            <w:noWrap/>
            <w:vAlign w:val="bottom"/>
          </w:tcPr>
          <w:p w:rsidR="000665A6" w:rsidRPr="00462DCC" w:rsidRDefault="000665A6" w:rsidP="00912BFE">
            <w:pPr>
              <w:rPr>
                <w:rFonts w:ascii="Arial" w:hAnsi="Arial" w:cs="Arial"/>
                <w:bCs/>
                <w:sz w:val="18"/>
                <w:szCs w:val="18"/>
              </w:rPr>
            </w:pPr>
          </w:p>
        </w:tc>
        <w:tc>
          <w:tcPr>
            <w:tcW w:w="2484" w:type="pct"/>
            <w:gridSpan w:val="6"/>
            <w:tcBorders>
              <w:left w:val="nil"/>
              <w:bottom w:val="single" w:sz="4" w:space="0" w:color="auto"/>
              <w:right w:val="nil"/>
            </w:tcBorders>
            <w:shd w:val="clear" w:color="auto" w:fill="auto"/>
            <w:noWrap/>
            <w:vAlign w:val="bottom"/>
          </w:tcPr>
          <w:p w:rsidR="00A054B7" w:rsidRPr="001B4058" w:rsidDel="00096834" w:rsidRDefault="004702E4" w:rsidP="0011516C">
            <w:pPr>
              <w:jc w:val="right"/>
              <w:rPr>
                <w:rFonts w:ascii="Arial" w:hAnsi="Arial" w:cs="Arial"/>
                <w:sz w:val="18"/>
                <w:szCs w:val="18"/>
              </w:rPr>
            </w:pPr>
            <w:r>
              <w:rPr>
                <w:rFonts w:ascii="Arial" w:hAnsi="Arial" w:cs="Arial"/>
                <w:sz w:val="18"/>
                <w:szCs w:val="18"/>
              </w:rPr>
              <w:t>201</w:t>
            </w:r>
            <w:r w:rsidR="0011516C">
              <w:rPr>
                <w:rFonts w:ascii="Arial" w:hAnsi="Arial" w:cs="Arial"/>
                <w:sz w:val="18"/>
                <w:szCs w:val="18"/>
              </w:rPr>
              <w:t>6</w:t>
            </w:r>
            <w:r>
              <w:rPr>
                <w:rFonts w:ascii="Arial" w:hAnsi="Arial" w:cs="Arial"/>
                <w:sz w:val="18"/>
                <w:szCs w:val="18"/>
              </w:rPr>
              <w:t>/1</w:t>
            </w:r>
            <w:r w:rsidR="0011516C">
              <w:rPr>
                <w:rFonts w:ascii="Arial" w:hAnsi="Arial" w:cs="Arial"/>
                <w:sz w:val="18"/>
                <w:szCs w:val="18"/>
              </w:rPr>
              <w:t>7</w:t>
            </w:r>
            <w:r w:rsidRPr="00EB6FEB">
              <w:rPr>
                <w:rFonts w:ascii="Arial" w:hAnsi="Arial" w:cs="Arial"/>
                <w:sz w:val="18"/>
                <w:szCs w:val="18"/>
              </w:rPr>
              <w:t xml:space="preserve"> </w:t>
            </w:r>
          </w:p>
        </w:tc>
      </w:tr>
      <w:tr w:rsidR="000665A6" w:rsidTr="0011516C">
        <w:trPr>
          <w:gridAfter w:val="1"/>
          <w:wAfter w:w="8" w:type="pct"/>
          <w:trHeight w:val="240"/>
        </w:trPr>
        <w:tc>
          <w:tcPr>
            <w:tcW w:w="2516" w:type="pct"/>
            <w:vMerge w:val="restart"/>
            <w:tcBorders>
              <w:top w:val="nil"/>
              <w:left w:val="nil"/>
              <w:right w:val="nil"/>
            </w:tcBorders>
            <w:shd w:val="clear" w:color="auto" w:fill="auto"/>
            <w:vAlign w:val="bottom"/>
          </w:tcPr>
          <w:p w:rsidR="000665A6" w:rsidRPr="00CD0107" w:rsidRDefault="000665A6" w:rsidP="00912BFE">
            <w:pPr>
              <w:rPr>
                <w:rFonts w:ascii="Arial" w:hAnsi="Arial" w:cs="Arial"/>
                <w:sz w:val="18"/>
                <w:szCs w:val="18"/>
              </w:rPr>
            </w:pPr>
            <w:r w:rsidRPr="00CD0107">
              <w:rPr>
                <w:rFonts w:ascii="Arial" w:hAnsi="Arial" w:cs="Arial"/>
                <w:sz w:val="18"/>
                <w:szCs w:val="18"/>
              </w:rPr>
              <w:t>£ millions</w:t>
            </w:r>
          </w:p>
        </w:tc>
        <w:tc>
          <w:tcPr>
            <w:tcW w:w="698" w:type="pct"/>
            <w:vMerge w:val="restart"/>
            <w:tcBorders>
              <w:top w:val="nil"/>
              <w:left w:val="nil"/>
              <w:right w:val="nil"/>
            </w:tcBorders>
            <w:shd w:val="clear" w:color="auto" w:fill="auto"/>
            <w:vAlign w:val="bottom"/>
          </w:tcPr>
          <w:p w:rsidR="000665A6" w:rsidRPr="001F5B32" w:rsidRDefault="001F5B32" w:rsidP="00912BFE">
            <w:pPr>
              <w:jc w:val="right"/>
              <w:rPr>
                <w:rFonts w:ascii="Arial" w:hAnsi="Arial" w:cs="Arial"/>
                <w:sz w:val="18"/>
                <w:szCs w:val="18"/>
              </w:rPr>
            </w:pPr>
            <w:r w:rsidRPr="001F5B32">
              <w:rPr>
                <w:rFonts w:ascii="Arial" w:hAnsi="Arial" w:cs="Arial"/>
                <w:sz w:val="18"/>
                <w:szCs w:val="18"/>
              </w:rPr>
              <w:t>UK &amp; Ireland</w:t>
            </w:r>
          </w:p>
        </w:tc>
        <w:tc>
          <w:tcPr>
            <w:tcW w:w="438" w:type="pct"/>
            <w:vMerge w:val="restart"/>
            <w:tcBorders>
              <w:top w:val="nil"/>
              <w:left w:val="nil"/>
              <w:right w:val="nil"/>
            </w:tcBorders>
            <w:shd w:val="clear" w:color="auto" w:fill="auto"/>
            <w:vAlign w:val="bottom"/>
          </w:tcPr>
          <w:p w:rsidR="000665A6" w:rsidRPr="001F5B32" w:rsidRDefault="001F5B32" w:rsidP="00912BFE">
            <w:pPr>
              <w:jc w:val="right"/>
              <w:rPr>
                <w:rFonts w:ascii="Arial" w:hAnsi="Arial" w:cs="Arial"/>
                <w:sz w:val="18"/>
                <w:szCs w:val="18"/>
              </w:rPr>
            </w:pPr>
            <w:r w:rsidRPr="001F5B32">
              <w:rPr>
                <w:rFonts w:ascii="Arial" w:hAnsi="Arial" w:cs="Arial"/>
                <w:sz w:val="18"/>
                <w:szCs w:val="18"/>
              </w:rPr>
              <w:t>France</w:t>
            </w:r>
          </w:p>
        </w:tc>
        <w:tc>
          <w:tcPr>
            <w:tcW w:w="901" w:type="pct"/>
            <w:gridSpan w:val="2"/>
            <w:tcBorders>
              <w:top w:val="nil"/>
              <w:left w:val="nil"/>
              <w:bottom w:val="single" w:sz="2" w:space="0" w:color="auto"/>
              <w:right w:val="nil"/>
            </w:tcBorders>
            <w:shd w:val="clear" w:color="auto" w:fill="auto"/>
            <w:vAlign w:val="bottom"/>
          </w:tcPr>
          <w:p w:rsidR="000665A6" w:rsidRPr="00CD0107" w:rsidRDefault="000665A6" w:rsidP="00912BFE">
            <w:pPr>
              <w:jc w:val="right"/>
              <w:rPr>
                <w:rFonts w:ascii="Arial" w:hAnsi="Arial" w:cs="Arial"/>
                <w:sz w:val="18"/>
                <w:szCs w:val="18"/>
              </w:rPr>
            </w:pPr>
            <w:r>
              <w:rPr>
                <w:rFonts w:ascii="Arial" w:hAnsi="Arial" w:cs="Arial"/>
                <w:sz w:val="18"/>
                <w:szCs w:val="18"/>
              </w:rPr>
              <w:t>Other International</w:t>
            </w:r>
          </w:p>
        </w:tc>
        <w:tc>
          <w:tcPr>
            <w:tcW w:w="439" w:type="pct"/>
            <w:vMerge w:val="restart"/>
            <w:tcBorders>
              <w:top w:val="nil"/>
              <w:left w:val="nil"/>
              <w:right w:val="nil"/>
            </w:tcBorders>
            <w:shd w:val="clear" w:color="auto" w:fill="auto"/>
            <w:vAlign w:val="bottom"/>
          </w:tcPr>
          <w:p w:rsidR="000665A6" w:rsidRPr="00CD0107" w:rsidRDefault="000665A6" w:rsidP="00912BFE">
            <w:pPr>
              <w:jc w:val="right"/>
              <w:rPr>
                <w:rFonts w:ascii="Arial" w:hAnsi="Arial" w:cs="Arial"/>
                <w:sz w:val="18"/>
                <w:szCs w:val="18"/>
              </w:rPr>
            </w:pPr>
            <w:r w:rsidRPr="00CD0107">
              <w:rPr>
                <w:rFonts w:ascii="Arial" w:hAnsi="Arial" w:cs="Arial"/>
                <w:sz w:val="18"/>
                <w:szCs w:val="18"/>
              </w:rPr>
              <w:t>Total</w:t>
            </w:r>
          </w:p>
        </w:tc>
      </w:tr>
      <w:tr w:rsidR="000665A6" w:rsidTr="0011516C">
        <w:trPr>
          <w:gridAfter w:val="1"/>
          <w:wAfter w:w="8" w:type="pct"/>
          <w:trHeight w:val="240"/>
        </w:trPr>
        <w:tc>
          <w:tcPr>
            <w:tcW w:w="2516" w:type="pct"/>
            <w:vMerge/>
            <w:tcBorders>
              <w:left w:val="nil"/>
              <w:bottom w:val="single" w:sz="4" w:space="0" w:color="auto"/>
              <w:right w:val="nil"/>
            </w:tcBorders>
            <w:shd w:val="clear" w:color="auto" w:fill="auto"/>
            <w:vAlign w:val="bottom"/>
          </w:tcPr>
          <w:p w:rsidR="000665A6" w:rsidRPr="00CD0107" w:rsidRDefault="000665A6" w:rsidP="00912BFE">
            <w:pPr>
              <w:rPr>
                <w:rFonts w:ascii="Arial" w:hAnsi="Arial" w:cs="Arial"/>
                <w:sz w:val="18"/>
                <w:szCs w:val="18"/>
              </w:rPr>
            </w:pPr>
          </w:p>
        </w:tc>
        <w:tc>
          <w:tcPr>
            <w:tcW w:w="698" w:type="pct"/>
            <w:vMerge/>
            <w:tcBorders>
              <w:left w:val="nil"/>
              <w:bottom w:val="single" w:sz="4" w:space="0" w:color="auto"/>
              <w:right w:val="nil"/>
            </w:tcBorders>
            <w:shd w:val="clear" w:color="auto" w:fill="auto"/>
            <w:vAlign w:val="bottom"/>
          </w:tcPr>
          <w:p w:rsidR="000665A6" w:rsidRPr="001F5B32" w:rsidRDefault="000665A6" w:rsidP="00912BFE">
            <w:pPr>
              <w:jc w:val="right"/>
              <w:rPr>
                <w:rFonts w:ascii="Arial" w:hAnsi="Arial" w:cs="Arial"/>
                <w:sz w:val="18"/>
                <w:szCs w:val="18"/>
              </w:rPr>
            </w:pPr>
          </w:p>
        </w:tc>
        <w:tc>
          <w:tcPr>
            <w:tcW w:w="438" w:type="pct"/>
            <w:vMerge/>
            <w:tcBorders>
              <w:left w:val="nil"/>
              <w:bottom w:val="single" w:sz="4" w:space="0" w:color="auto"/>
              <w:right w:val="nil"/>
            </w:tcBorders>
            <w:shd w:val="clear" w:color="auto" w:fill="auto"/>
            <w:vAlign w:val="bottom"/>
          </w:tcPr>
          <w:p w:rsidR="000665A6" w:rsidRPr="001F5B32" w:rsidRDefault="000665A6" w:rsidP="00912BFE">
            <w:pPr>
              <w:jc w:val="right"/>
              <w:rPr>
                <w:rFonts w:ascii="Arial" w:hAnsi="Arial" w:cs="Arial"/>
                <w:sz w:val="18"/>
                <w:szCs w:val="18"/>
              </w:rPr>
            </w:pPr>
          </w:p>
        </w:tc>
        <w:tc>
          <w:tcPr>
            <w:tcW w:w="458" w:type="pct"/>
            <w:tcBorders>
              <w:top w:val="nil"/>
              <w:left w:val="nil"/>
              <w:bottom w:val="single" w:sz="4" w:space="0" w:color="auto"/>
              <w:right w:val="nil"/>
            </w:tcBorders>
            <w:shd w:val="clear" w:color="auto" w:fill="auto"/>
            <w:vAlign w:val="bottom"/>
          </w:tcPr>
          <w:p w:rsidR="000665A6" w:rsidRPr="00CD0107" w:rsidRDefault="000665A6" w:rsidP="00912BFE">
            <w:pPr>
              <w:jc w:val="right"/>
              <w:rPr>
                <w:rFonts w:ascii="Arial" w:hAnsi="Arial" w:cs="Arial"/>
                <w:sz w:val="18"/>
                <w:szCs w:val="18"/>
              </w:rPr>
            </w:pPr>
            <w:smartTag w:uri="urn:schemas-microsoft-com:office:smarttags" w:element="place">
              <w:smartTag w:uri="urn:schemas-microsoft-com:office:smarttags" w:element="country-region">
                <w:r w:rsidRPr="00CD0107">
                  <w:rPr>
                    <w:rFonts w:ascii="Arial" w:hAnsi="Arial" w:cs="Arial"/>
                    <w:sz w:val="18"/>
                    <w:szCs w:val="18"/>
                  </w:rPr>
                  <w:t>Poland</w:t>
                </w:r>
              </w:smartTag>
            </w:smartTag>
          </w:p>
        </w:tc>
        <w:tc>
          <w:tcPr>
            <w:tcW w:w="443" w:type="pct"/>
            <w:tcBorders>
              <w:top w:val="nil"/>
              <w:left w:val="nil"/>
              <w:bottom w:val="single" w:sz="4" w:space="0" w:color="auto"/>
              <w:right w:val="nil"/>
            </w:tcBorders>
            <w:shd w:val="clear" w:color="auto" w:fill="auto"/>
            <w:vAlign w:val="bottom"/>
          </w:tcPr>
          <w:p w:rsidR="000665A6" w:rsidRPr="00CD0107" w:rsidRDefault="000665A6" w:rsidP="00912BFE">
            <w:pPr>
              <w:jc w:val="right"/>
              <w:rPr>
                <w:rFonts w:ascii="Arial" w:hAnsi="Arial" w:cs="Arial"/>
                <w:sz w:val="18"/>
                <w:szCs w:val="18"/>
              </w:rPr>
            </w:pPr>
            <w:r>
              <w:rPr>
                <w:rFonts w:ascii="Arial" w:hAnsi="Arial" w:cs="Arial"/>
                <w:sz w:val="18"/>
                <w:szCs w:val="18"/>
              </w:rPr>
              <w:t>Other</w:t>
            </w:r>
          </w:p>
        </w:tc>
        <w:tc>
          <w:tcPr>
            <w:tcW w:w="439" w:type="pct"/>
            <w:vMerge/>
            <w:tcBorders>
              <w:left w:val="nil"/>
              <w:bottom w:val="single" w:sz="4" w:space="0" w:color="auto"/>
              <w:right w:val="nil"/>
            </w:tcBorders>
            <w:shd w:val="clear" w:color="auto" w:fill="auto"/>
            <w:vAlign w:val="bottom"/>
          </w:tcPr>
          <w:p w:rsidR="000665A6" w:rsidRPr="00CD0107" w:rsidRDefault="000665A6" w:rsidP="00912BFE">
            <w:pPr>
              <w:jc w:val="right"/>
              <w:rPr>
                <w:rFonts w:ascii="Arial" w:hAnsi="Arial" w:cs="Arial"/>
                <w:sz w:val="18"/>
                <w:szCs w:val="18"/>
              </w:rPr>
            </w:pPr>
          </w:p>
        </w:tc>
      </w:tr>
      <w:tr w:rsidR="0011516C" w:rsidTr="0011516C">
        <w:trPr>
          <w:gridAfter w:val="1"/>
          <w:wAfter w:w="8" w:type="pct"/>
          <w:trHeight w:val="240"/>
        </w:trPr>
        <w:tc>
          <w:tcPr>
            <w:tcW w:w="2516" w:type="pct"/>
            <w:tcBorders>
              <w:top w:val="single" w:sz="4" w:space="0" w:color="auto"/>
              <w:left w:val="nil"/>
              <w:bottom w:val="single" w:sz="4" w:space="0" w:color="auto"/>
              <w:right w:val="nil"/>
            </w:tcBorders>
            <w:shd w:val="clear" w:color="auto" w:fill="FFFFFF"/>
            <w:vAlign w:val="bottom"/>
          </w:tcPr>
          <w:p w:rsidR="0011516C" w:rsidRPr="00281AF4" w:rsidRDefault="0011516C" w:rsidP="0011516C">
            <w:pPr>
              <w:rPr>
                <w:rFonts w:ascii="Arial" w:hAnsi="Arial" w:cs="Arial"/>
                <w:b/>
                <w:sz w:val="18"/>
                <w:szCs w:val="18"/>
              </w:rPr>
            </w:pPr>
            <w:r>
              <w:rPr>
                <w:rFonts w:ascii="Arial" w:hAnsi="Arial" w:cs="Arial"/>
                <w:b/>
                <w:sz w:val="18"/>
                <w:szCs w:val="18"/>
              </w:rPr>
              <w:t>S</w:t>
            </w:r>
            <w:r w:rsidRPr="00281AF4">
              <w:rPr>
                <w:rFonts w:ascii="Arial" w:hAnsi="Arial" w:cs="Arial"/>
                <w:b/>
                <w:sz w:val="18"/>
                <w:szCs w:val="18"/>
              </w:rPr>
              <w:t>ales</w:t>
            </w:r>
          </w:p>
        </w:tc>
        <w:tc>
          <w:tcPr>
            <w:tcW w:w="698" w:type="pct"/>
            <w:tcBorders>
              <w:top w:val="single" w:sz="4" w:space="0" w:color="auto"/>
              <w:left w:val="nil"/>
              <w:bottom w:val="single" w:sz="4" w:space="0" w:color="auto"/>
              <w:right w:val="nil"/>
            </w:tcBorders>
            <w:shd w:val="clear" w:color="auto" w:fill="FFFFFF"/>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4,979</w:t>
            </w:r>
          </w:p>
        </w:tc>
        <w:tc>
          <w:tcPr>
            <w:tcW w:w="438" w:type="pct"/>
            <w:tcBorders>
              <w:top w:val="single" w:sz="4" w:space="0" w:color="auto"/>
              <w:left w:val="nil"/>
              <w:bottom w:val="single" w:sz="4" w:space="0" w:color="auto"/>
              <w:right w:val="nil"/>
            </w:tcBorders>
            <w:shd w:val="clear" w:color="auto" w:fill="FFFFFF"/>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4,254</w:t>
            </w:r>
          </w:p>
        </w:tc>
        <w:tc>
          <w:tcPr>
            <w:tcW w:w="458" w:type="pct"/>
            <w:tcBorders>
              <w:top w:val="single" w:sz="4" w:space="0" w:color="auto"/>
              <w:left w:val="nil"/>
              <w:bottom w:val="single" w:sz="4" w:space="0" w:color="auto"/>
              <w:right w:val="nil"/>
            </w:tcBorders>
            <w:shd w:val="clear" w:color="auto" w:fill="FFFFFF"/>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1,191</w:t>
            </w:r>
          </w:p>
        </w:tc>
        <w:tc>
          <w:tcPr>
            <w:tcW w:w="443" w:type="pct"/>
            <w:tcBorders>
              <w:top w:val="single" w:sz="4" w:space="0" w:color="auto"/>
              <w:left w:val="nil"/>
              <w:bottom w:val="single" w:sz="4" w:space="0" w:color="auto"/>
              <w:right w:val="nil"/>
            </w:tcBorders>
            <w:shd w:val="clear" w:color="auto" w:fill="FFFFFF"/>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801</w:t>
            </w:r>
          </w:p>
        </w:tc>
        <w:tc>
          <w:tcPr>
            <w:tcW w:w="439" w:type="pct"/>
            <w:tcBorders>
              <w:top w:val="single" w:sz="4" w:space="0" w:color="auto"/>
              <w:left w:val="nil"/>
              <w:bottom w:val="single" w:sz="4" w:space="0" w:color="auto"/>
              <w:right w:val="nil"/>
            </w:tcBorders>
            <w:shd w:val="clear" w:color="auto" w:fill="FFFFFF"/>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11,225</w:t>
            </w:r>
          </w:p>
        </w:tc>
      </w:tr>
      <w:tr w:rsidR="0011516C" w:rsidRPr="004E18F2" w:rsidTr="0011516C">
        <w:trPr>
          <w:gridAfter w:val="1"/>
          <w:wAfter w:w="8" w:type="pct"/>
          <w:trHeight w:val="240"/>
        </w:trPr>
        <w:tc>
          <w:tcPr>
            <w:tcW w:w="2516" w:type="pct"/>
            <w:tcBorders>
              <w:top w:val="nil"/>
              <w:left w:val="nil"/>
              <w:right w:val="nil"/>
            </w:tcBorders>
            <w:shd w:val="clear" w:color="auto" w:fill="auto"/>
            <w:noWrap/>
            <w:vAlign w:val="bottom"/>
          </w:tcPr>
          <w:p w:rsidR="0011516C" w:rsidRPr="0080364A" w:rsidRDefault="0011516C" w:rsidP="0011516C">
            <w:pPr>
              <w:rPr>
                <w:rFonts w:ascii="Arial" w:hAnsi="Arial" w:cs="Arial"/>
                <w:b/>
                <w:sz w:val="18"/>
                <w:szCs w:val="18"/>
              </w:rPr>
            </w:pPr>
            <w:r w:rsidRPr="0080364A">
              <w:rPr>
                <w:rFonts w:ascii="Arial" w:hAnsi="Arial" w:cs="Arial"/>
                <w:b/>
                <w:sz w:val="18"/>
                <w:szCs w:val="18"/>
              </w:rPr>
              <w:t xml:space="preserve">Retail profit </w:t>
            </w:r>
          </w:p>
        </w:tc>
        <w:tc>
          <w:tcPr>
            <w:tcW w:w="69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358</w:t>
            </w:r>
          </w:p>
        </w:tc>
        <w:tc>
          <w:tcPr>
            <w:tcW w:w="43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353</w:t>
            </w:r>
          </w:p>
        </w:tc>
        <w:tc>
          <w:tcPr>
            <w:tcW w:w="45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144</w:t>
            </w:r>
          </w:p>
        </w:tc>
        <w:tc>
          <w:tcPr>
            <w:tcW w:w="443"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(8)</w:t>
            </w:r>
          </w:p>
        </w:tc>
        <w:tc>
          <w:tcPr>
            <w:tcW w:w="439"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bCs/>
                <w:sz w:val="18"/>
                <w:szCs w:val="18"/>
              </w:rPr>
            </w:pPr>
            <w:r w:rsidRPr="0011516C">
              <w:rPr>
                <w:rFonts w:ascii="Arial" w:hAnsi="Arial" w:cs="Arial"/>
                <w:bCs/>
                <w:sz w:val="18"/>
                <w:szCs w:val="18"/>
              </w:rPr>
              <w:t>847</w:t>
            </w:r>
          </w:p>
        </w:tc>
      </w:tr>
      <w:tr w:rsidR="0011516C" w:rsidRPr="004E18F2" w:rsidTr="0011516C">
        <w:trPr>
          <w:gridAfter w:val="1"/>
          <w:wAfter w:w="8" w:type="pct"/>
          <w:trHeight w:val="240"/>
        </w:trPr>
        <w:tc>
          <w:tcPr>
            <w:tcW w:w="2516" w:type="pct"/>
            <w:tcBorders>
              <w:top w:val="nil"/>
              <w:left w:val="nil"/>
              <w:right w:val="nil"/>
            </w:tcBorders>
            <w:shd w:val="clear" w:color="auto" w:fill="auto"/>
            <w:noWrap/>
            <w:vAlign w:val="bottom"/>
          </w:tcPr>
          <w:p w:rsidR="0011516C" w:rsidRDefault="0011516C" w:rsidP="0011516C">
            <w:pPr>
              <w:rPr>
                <w:rFonts w:ascii="Arial" w:hAnsi="Arial" w:cs="Arial"/>
                <w:sz w:val="18"/>
                <w:szCs w:val="18"/>
              </w:rPr>
            </w:pPr>
            <w:r>
              <w:rPr>
                <w:rFonts w:ascii="Arial" w:hAnsi="Arial" w:cs="Arial"/>
                <w:sz w:val="18"/>
                <w:szCs w:val="18"/>
              </w:rPr>
              <w:t>Central costs</w:t>
            </w:r>
          </w:p>
        </w:tc>
        <w:tc>
          <w:tcPr>
            <w:tcW w:w="69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3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5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43"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39"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bCs/>
                <w:sz w:val="18"/>
                <w:szCs w:val="18"/>
              </w:rPr>
            </w:pPr>
            <w:r w:rsidRPr="0011516C">
              <w:rPr>
                <w:rFonts w:ascii="Arial" w:hAnsi="Arial" w:cs="Arial"/>
                <w:bCs/>
                <w:sz w:val="18"/>
                <w:szCs w:val="18"/>
              </w:rPr>
              <w:t>(48)</w:t>
            </w:r>
          </w:p>
        </w:tc>
      </w:tr>
      <w:tr w:rsidR="0011516C" w:rsidRPr="004E18F2" w:rsidTr="0011516C">
        <w:trPr>
          <w:gridAfter w:val="1"/>
          <w:wAfter w:w="8" w:type="pct"/>
          <w:trHeight w:val="240"/>
        </w:trPr>
        <w:tc>
          <w:tcPr>
            <w:tcW w:w="2516" w:type="pct"/>
            <w:tcBorders>
              <w:top w:val="nil"/>
              <w:left w:val="nil"/>
              <w:right w:val="nil"/>
            </w:tcBorders>
            <w:shd w:val="clear" w:color="auto" w:fill="auto"/>
            <w:noWrap/>
            <w:vAlign w:val="bottom"/>
          </w:tcPr>
          <w:p w:rsidR="0011516C" w:rsidRPr="0080723D" w:rsidRDefault="0011516C" w:rsidP="0011516C">
            <w:pPr>
              <w:rPr>
                <w:rFonts w:ascii="Arial" w:hAnsi="Arial" w:cs="Arial"/>
                <w:sz w:val="18"/>
                <w:szCs w:val="18"/>
              </w:rPr>
            </w:pPr>
            <w:r>
              <w:rPr>
                <w:rFonts w:ascii="Arial" w:hAnsi="Arial" w:cs="Arial"/>
                <w:sz w:val="18"/>
                <w:szCs w:val="18"/>
              </w:rPr>
              <w:t>Share of interest and tax of joint ventures and associates</w:t>
            </w:r>
          </w:p>
        </w:tc>
        <w:tc>
          <w:tcPr>
            <w:tcW w:w="69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3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5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43"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39"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bCs/>
                <w:sz w:val="18"/>
                <w:szCs w:val="18"/>
              </w:rPr>
            </w:pPr>
            <w:r w:rsidRPr="0011516C">
              <w:rPr>
                <w:rFonts w:ascii="Arial" w:hAnsi="Arial" w:cs="Arial"/>
                <w:bCs/>
                <w:sz w:val="18"/>
                <w:szCs w:val="18"/>
              </w:rPr>
              <w:t>(5)</w:t>
            </w:r>
          </w:p>
        </w:tc>
      </w:tr>
      <w:tr w:rsidR="0011516C" w:rsidRPr="004E18F2" w:rsidTr="0011516C">
        <w:trPr>
          <w:gridAfter w:val="1"/>
          <w:wAfter w:w="8" w:type="pct"/>
          <w:trHeight w:val="240"/>
        </w:trPr>
        <w:tc>
          <w:tcPr>
            <w:tcW w:w="2516" w:type="pct"/>
            <w:tcBorders>
              <w:top w:val="nil"/>
              <w:left w:val="nil"/>
              <w:right w:val="nil"/>
            </w:tcBorders>
            <w:shd w:val="clear" w:color="auto" w:fill="auto"/>
            <w:noWrap/>
            <w:vAlign w:val="bottom"/>
          </w:tcPr>
          <w:p w:rsidR="0011516C" w:rsidRDefault="0011516C" w:rsidP="0011516C">
            <w:pPr>
              <w:rPr>
                <w:rFonts w:ascii="Arial" w:hAnsi="Arial" w:cs="Arial"/>
                <w:sz w:val="18"/>
                <w:szCs w:val="18"/>
              </w:rPr>
            </w:pPr>
            <w:r>
              <w:rPr>
                <w:rFonts w:ascii="Arial" w:hAnsi="Arial" w:cs="Arial"/>
                <w:sz w:val="18"/>
                <w:szCs w:val="18"/>
              </w:rPr>
              <w:t>Transformation costs before exceptional items</w:t>
            </w:r>
          </w:p>
        </w:tc>
        <w:tc>
          <w:tcPr>
            <w:tcW w:w="69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3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58"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43" w:type="pct"/>
            <w:tcBorders>
              <w:top w:val="nil"/>
              <w:left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39" w:type="pct"/>
            <w:tcBorders>
              <w:top w:val="nil"/>
              <w:left w:val="nil"/>
              <w:right w:val="nil"/>
            </w:tcBorders>
            <w:shd w:val="clear" w:color="auto" w:fill="auto"/>
            <w:noWrap/>
            <w:vAlign w:val="bottom"/>
          </w:tcPr>
          <w:p w:rsidR="0011516C" w:rsidRPr="0011516C" w:rsidDel="005A350B" w:rsidRDefault="0011516C" w:rsidP="0011516C">
            <w:pPr>
              <w:jc w:val="right"/>
              <w:rPr>
                <w:rFonts w:ascii="Arial" w:hAnsi="Arial" w:cs="Arial"/>
                <w:sz w:val="18"/>
                <w:szCs w:val="18"/>
              </w:rPr>
            </w:pPr>
            <w:r w:rsidRPr="0011516C">
              <w:rPr>
                <w:rFonts w:ascii="Arial" w:hAnsi="Arial" w:cs="Arial"/>
                <w:sz w:val="18"/>
                <w:szCs w:val="18"/>
              </w:rPr>
              <w:t>(44)</w:t>
            </w:r>
          </w:p>
        </w:tc>
      </w:tr>
      <w:tr w:rsidR="0011516C" w:rsidTr="0011516C">
        <w:trPr>
          <w:gridAfter w:val="1"/>
          <w:wAfter w:w="8" w:type="pct"/>
          <w:trHeight w:val="240"/>
        </w:trPr>
        <w:tc>
          <w:tcPr>
            <w:tcW w:w="2516" w:type="pct"/>
            <w:tcBorders>
              <w:left w:val="nil"/>
              <w:bottom w:val="nil"/>
              <w:right w:val="nil"/>
            </w:tcBorders>
            <w:shd w:val="clear" w:color="auto" w:fill="auto"/>
            <w:noWrap/>
            <w:vAlign w:val="bottom"/>
          </w:tcPr>
          <w:p w:rsidR="0011516C" w:rsidRPr="00FF3F75" w:rsidRDefault="0011516C" w:rsidP="0011516C">
            <w:pPr>
              <w:rPr>
                <w:rFonts w:ascii="Arial" w:hAnsi="Arial" w:cs="Arial"/>
                <w:b/>
                <w:sz w:val="18"/>
                <w:szCs w:val="18"/>
              </w:rPr>
            </w:pPr>
            <w:r>
              <w:rPr>
                <w:rFonts w:ascii="Arial" w:hAnsi="Arial" w:cs="Arial"/>
                <w:sz w:val="18"/>
                <w:szCs w:val="18"/>
              </w:rPr>
              <w:t>Exceptional items</w:t>
            </w:r>
          </w:p>
        </w:tc>
        <w:tc>
          <w:tcPr>
            <w:tcW w:w="698" w:type="pct"/>
            <w:tcBorders>
              <w:left w:val="nil"/>
              <w:bottom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38" w:type="pct"/>
            <w:tcBorders>
              <w:left w:val="nil"/>
              <w:bottom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58" w:type="pct"/>
            <w:tcBorders>
              <w:left w:val="nil"/>
              <w:bottom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43" w:type="pct"/>
            <w:tcBorders>
              <w:left w:val="nil"/>
              <w:bottom w:val="nil"/>
              <w:right w:val="nil"/>
            </w:tcBorders>
            <w:shd w:val="clear" w:color="auto" w:fill="auto"/>
            <w:noWrap/>
            <w:vAlign w:val="bottom"/>
          </w:tcPr>
          <w:p w:rsidR="0011516C" w:rsidRPr="0011516C" w:rsidRDefault="0011516C" w:rsidP="0011516C">
            <w:pPr>
              <w:jc w:val="right"/>
              <w:rPr>
                <w:rFonts w:ascii="Arial" w:hAnsi="Arial" w:cs="Arial"/>
                <w:sz w:val="18"/>
                <w:szCs w:val="18"/>
              </w:rPr>
            </w:pPr>
          </w:p>
        </w:tc>
        <w:tc>
          <w:tcPr>
            <w:tcW w:w="439" w:type="pct"/>
            <w:tcBorders>
              <w:left w:val="nil"/>
              <w:bottom w:val="nil"/>
              <w:right w:val="nil"/>
            </w:tcBorders>
            <w:shd w:val="clear" w:color="auto" w:fill="auto"/>
            <w:noWrap/>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23</w:t>
            </w:r>
          </w:p>
        </w:tc>
      </w:tr>
      <w:tr w:rsidR="0011516C" w:rsidTr="0011516C">
        <w:trPr>
          <w:gridAfter w:val="1"/>
          <w:wAfter w:w="8" w:type="pct"/>
          <w:trHeight w:val="240"/>
        </w:trPr>
        <w:tc>
          <w:tcPr>
            <w:tcW w:w="2516" w:type="pct"/>
            <w:tcBorders>
              <w:top w:val="single" w:sz="4" w:space="0" w:color="auto"/>
              <w:left w:val="nil"/>
              <w:bottom w:val="nil"/>
              <w:right w:val="nil"/>
            </w:tcBorders>
            <w:shd w:val="clear" w:color="auto" w:fill="auto"/>
            <w:noWrap/>
            <w:vAlign w:val="bottom"/>
          </w:tcPr>
          <w:p w:rsidR="0011516C" w:rsidRPr="00E4769C" w:rsidRDefault="0011516C" w:rsidP="0011516C">
            <w:pPr>
              <w:rPr>
                <w:rFonts w:ascii="Arial" w:hAnsi="Arial" w:cs="Arial"/>
                <w:sz w:val="18"/>
                <w:szCs w:val="18"/>
              </w:rPr>
            </w:pPr>
            <w:r w:rsidRPr="00FF3F75">
              <w:rPr>
                <w:rFonts w:ascii="Arial" w:hAnsi="Arial" w:cs="Arial"/>
                <w:b/>
                <w:sz w:val="18"/>
                <w:szCs w:val="18"/>
              </w:rPr>
              <w:t>Operating profit</w:t>
            </w:r>
          </w:p>
        </w:tc>
        <w:tc>
          <w:tcPr>
            <w:tcW w:w="698" w:type="pct"/>
            <w:tcBorders>
              <w:top w:val="single" w:sz="4" w:space="0" w:color="auto"/>
              <w:left w:val="nil"/>
              <w:bottom w:val="nil"/>
              <w:right w:val="nil"/>
            </w:tcBorders>
            <w:shd w:val="clear" w:color="auto" w:fill="auto"/>
            <w:noWrap/>
            <w:vAlign w:val="bottom"/>
          </w:tcPr>
          <w:p w:rsidR="0011516C" w:rsidRPr="004702E4" w:rsidRDefault="0011516C" w:rsidP="0011516C">
            <w:pPr>
              <w:jc w:val="right"/>
              <w:rPr>
                <w:rFonts w:ascii="Arial" w:hAnsi="Arial" w:cs="Arial"/>
                <w:sz w:val="18"/>
                <w:szCs w:val="18"/>
              </w:rPr>
            </w:pPr>
          </w:p>
        </w:tc>
        <w:tc>
          <w:tcPr>
            <w:tcW w:w="438" w:type="pct"/>
            <w:tcBorders>
              <w:top w:val="single" w:sz="4" w:space="0" w:color="auto"/>
              <w:left w:val="nil"/>
              <w:bottom w:val="nil"/>
              <w:right w:val="nil"/>
            </w:tcBorders>
            <w:shd w:val="clear" w:color="auto" w:fill="auto"/>
            <w:noWrap/>
            <w:vAlign w:val="bottom"/>
          </w:tcPr>
          <w:p w:rsidR="0011516C" w:rsidRPr="004702E4" w:rsidRDefault="0011516C" w:rsidP="0011516C">
            <w:pPr>
              <w:jc w:val="right"/>
              <w:rPr>
                <w:rFonts w:ascii="Arial" w:hAnsi="Arial" w:cs="Arial"/>
                <w:sz w:val="18"/>
                <w:szCs w:val="18"/>
              </w:rPr>
            </w:pPr>
          </w:p>
        </w:tc>
        <w:tc>
          <w:tcPr>
            <w:tcW w:w="458" w:type="pct"/>
            <w:tcBorders>
              <w:top w:val="single" w:sz="4" w:space="0" w:color="auto"/>
              <w:left w:val="nil"/>
              <w:bottom w:val="nil"/>
              <w:right w:val="nil"/>
            </w:tcBorders>
            <w:shd w:val="clear" w:color="auto" w:fill="auto"/>
            <w:noWrap/>
            <w:vAlign w:val="bottom"/>
          </w:tcPr>
          <w:p w:rsidR="0011516C" w:rsidRPr="004702E4" w:rsidRDefault="0011516C" w:rsidP="0011516C">
            <w:pPr>
              <w:jc w:val="right"/>
              <w:rPr>
                <w:rFonts w:ascii="Arial" w:hAnsi="Arial" w:cs="Arial"/>
                <w:sz w:val="18"/>
                <w:szCs w:val="18"/>
              </w:rPr>
            </w:pPr>
          </w:p>
        </w:tc>
        <w:tc>
          <w:tcPr>
            <w:tcW w:w="443" w:type="pct"/>
            <w:tcBorders>
              <w:top w:val="single" w:sz="4" w:space="0" w:color="auto"/>
              <w:left w:val="nil"/>
              <w:bottom w:val="nil"/>
              <w:right w:val="nil"/>
            </w:tcBorders>
            <w:shd w:val="clear" w:color="auto" w:fill="auto"/>
            <w:noWrap/>
            <w:vAlign w:val="bottom"/>
          </w:tcPr>
          <w:p w:rsidR="0011516C" w:rsidRPr="004702E4" w:rsidRDefault="0011516C" w:rsidP="0011516C">
            <w:pPr>
              <w:jc w:val="right"/>
              <w:rPr>
                <w:rFonts w:ascii="Arial" w:hAnsi="Arial" w:cs="Arial"/>
                <w:sz w:val="18"/>
                <w:szCs w:val="18"/>
              </w:rPr>
            </w:pPr>
          </w:p>
        </w:tc>
        <w:tc>
          <w:tcPr>
            <w:tcW w:w="439" w:type="pct"/>
            <w:tcBorders>
              <w:top w:val="single" w:sz="4" w:space="0" w:color="auto"/>
              <w:left w:val="nil"/>
              <w:bottom w:val="nil"/>
              <w:right w:val="nil"/>
            </w:tcBorders>
            <w:shd w:val="clear" w:color="auto" w:fill="auto"/>
            <w:noWrap/>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773</w:t>
            </w:r>
          </w:p>
        </w:tc>
      </w:tr>
      <w:tr w:rsidR="0011516C" w:rsidRPr="004E18F2" w:rsidTr="0011516C">
        <w:trPr>
          <w:gridAfter w:val="1"/>
          <w:wAfter w:w="8" w:type="pct"/>
          <w:trHeight w:val="240"/>
        </w:trPr>
        <w:tc>
          <w:tcPr>
            <w:tcW w:w="2516" w:type="pct"/>
            <w:tcBorders>
              <w:top w:val="nil"/>
              <w:left w:val="nil"/>
              <w:bottom w:val="single" w:sz="4" w:space="0" w:color="auto"/>
              <w:right w:val="nil"/>
            </w:tcBorders>
            <w:shd w:val="clear" w:color="auto" w:fill="auto"/>
            <w:noWrap/>
            <w:vAlign w:val="bottom"/>
          </w:tcPr>
          <w:p w:rsidR="0011516C" w:rsidRPr="00E4769C" w:rsidRDefault="0011516C" w:rsidP="0011516C">
            <w:pPr>
              <w:rPr>
                <w:rFonts w:ascii="Arial" w:hAnsi="Arial" w:cs="Arial"/>
                <w:sz w:val="18"/>
                <w:szCs w:val="18"/>
              </w:rPr>
            </w:pPr>
            <w:r w:rsidRPr="0080364A">
              <w:rPr>
                <w:rFonts w:ascii="Arial" w:hAnsi="Arial" w:cs="Arial"/>
                <w:sz w:val="18"/>
                <w:szCs w:val="18"/>
              </w:rPr>
              <w:t xml:space="preserve">Net finance </w:t>
            </w:r>
            <w:r>
              <w:rPr>
                <w:rFonts w:ascii="Arial" w:hAnsi="Arial" w:cs="Arial"/>
                <w:sz w:val="18"/>
                <w:szCs w:val="18"/>
              </w:rPr>
              <w:t>costs</w:t>
            </w:r>
          </w:p>
        </w:tc>
        <w:tc>
          <w:tcPr>
            <w:tcW w:w="698" w:type="pct"/>
            <w:tcBorders>
              <w:top w:val="nil"/>
              <w:left w:val="nil"/>
              <w:bottom w:val="single" w:sz="4" w:space="0" w:color="auto"/>
              <w:right w:val="nil"/>
            </w:tcBorders>
            <w:shd w:val="clear" w:color="auto" w:fill="auto"/>
            <w:noWrap/>
            <w:vAlign w:val="bottom"/>
          </w:tcPr>
          <w:p w:rsidR="0011516C" w:rsidRPr="004702E4" w:rsidRDefault="0011516C" w:rsidP="0011516C">
            <w:pPr>
              <w:jc w:val="right"/>
              <w:rPr>
                <w:rFonts w:ascii="Arial" w:hAnsi="Arial" w:cs="Arial"/>
                <w:sz w:val="18"/>
                <w:szCs w:val="18"/>
              </w:rPr>
            </w:pPr>
          </w:p>
        </w:tc>
        <w:tc>
          <w:tcPr>
            <w:tcW w:w="438" w:type="pct"/>
            <w:tcBorders>
              <w:top w:val="nil"/>
              <w:left w:val="nil"/>
              <w:bottom w:val="single" w:sz="4" w:space="0" w:color="auto"/>
              <w:right w:val="nil"/>
            </w:tcBorders>
            <w:shd w:val="clear" w:color="auto" w:fill="auto"/>
            <w:noWrap/>
            <w:vAlign w:val="bottom"/>
          </w:tcPr>
          <w:p w:rsidR="0011516C" w:rsidRPr="004702E4" w:rsidRDefault="0011516C" w:rsidP="0011516C">
            <w:pPr>
              <w:jc w:val="right"/>
              <w:rPr>
                <w:rFonts w:ascii="Arial" w:hAnsi="Arial" w:cs="Arial"/>
                <w:sz w:val="18"/>
                <w:szCs w:val="18"/>
              </w:rPr>
            </w:pPr>
          </w:p>
        </w:tc>
        <w:tc>
          <w:tcPr>
            <w:tcW w:w="458" w:type="pct"/>
            <w:tcBorders>
              <w:top w:val="nil"/>
              <w:left w:val="nil"/>
              <w:bottom w:val="single" w:sz="4" w:space="0" w:color="auto"/>
              <w:right w:val="nil"/>
            </w:tcBorders>
            <w:shd w:val="clear" w:color="auto" w:fill="auto"/>
            <w:noWrap/>
            <w:vAlign w:val="bottom"/>
          </w:tcPr>
          <w:p w:rsidR="0011516C" w:rsidRPr="004702E4" w:rsidRDefault="0011516C" w:rsidP="0011516C">
            <w:pPr>
              <w:jc w:val="right"/>
              <w:rPr>
                <w:rFonts w:ascii="Arial" w:hAnsi="Arial" w:cs="Arial"/>
                <w:sz w:val="18"/>
                <w:szCs w:val="18"/>
              </w:rPr>
            </w:pPr>
          </w:p>
        </w:tc>
        <w:tc>
          <w:tcPr>
            <w:tcW w:w="443" w:type="pct"/>
            <w:tcBorders>
              <w:top w:val="nil"/>
              <w:left w:val="nil"/>
              <w:bottom w:val="single" w:sz="4" w:space="0" w:color="auto"/>
              <w:right w:val="nil"/>
            </w:tcBorders>
            <w:shd w:val="clear" w:color="auto" w:fill="auto"/>
            <w:noWrap/>
            <w:vAlign w:val="bottom"/>
          </w:tcPr>
          <w:p w:rsidR="0011516C" w:rsidRPr="004702E4" w:rsidRDefault="0011516C" w:rsidP="0011516C">
            <w:pPr>
              <w:jc w:val="right"/>
              <w:rPr>
                <w:rFonts w:ascii="Arial" w:hAnsi="Arial" w:cs="Arial"/>
                <w:sz w:val="18"/>
                <w:szCs w:val="18"/>
              </w:rPr>
            </w:pPr>
          </w:p>
        </w:tc>
        <w:tc>
          <w:tcPr>
            <w:tcW w:w="439" w:type="pct"/>
            <w:tcBorders>
              <w:top w:val="nil"/>
              <w:left w:val="nil"/>
              <w:bottom w:val="single" w:sz="4" w:space="0" w:color="auto"/>
              <w:right w:val="nil"/>
            </w:tcBorders>
            <w:shd w:val="clear" w:color="auto" w:fill="auto"/>
            <w:noWrap/>
            <w:vAlign w:val="bottom"/>
          </w:tcPr>
          <w:p w:rsidR="0011516C" w:rsidRPr="0011516C" w:rsidRDefault="0011516C" w:rsidP="0011516C">
            <w:pPr>
              <w:jc w:val="right"/>
              <w:rPr>
                <w:rFonts w:ascii="Arial" w:hAnsi="Arial" w:cs="Arial"/>
                <w:sz w:val="18"/>
                <w:szCs w:val="18"/>
              </w:rPr>
            </w:pPr>
            <w:r w:rsidRPr="0011516C">
              <w:rPr>
                <w:rFonts w:ascii="Arial" w:hAnsi="Arial" w:cs="Arial"/>
                <w:sz w:val="18"/>
                <w:szCs w:val="18"/>
              </w:rPr>
              <w:t>(14)</w:t>
            </w:r>
          </w:p>
        </w:tc>
      </w:tr>
      <w:tr w:rsidR="0011516C" w:rsidTr="0011516C">
        <w:trPr>
          <w:gridAfter w:val="1"/>
          <w:wAfter w:w="8" w:type="pct"/>
          <w:trHeight w:val="240"/>
        </w:trPr>
        <w:tc>
          <w:tcPr>
            <w:tcW w:w="2516" w:type="pct"/>
            <w:tcBorders>
              <w:top w:val="single" w:sz="4" w:space="0" w:color="auto"/>
              <w:left w:val="nil"/>
              <w:bottom w:val="single" w:sz="12" w:space="0" w:color="auto"/>
              <w:right w:val="nil"/>
            </w:tcBorders>
            <w:shd w:val="clear" w:color="auto" w:fill="auto"/>
            <w:vAlign w:val="bottom"/>
          </w:tcPr>
          <w:p w:rsidR="0011516C" w:rsidRPr="00E4769C" w:rsidRDefault="0011516C" w:rsidP="0011516C">
            <w:pPr>
              <w:rPr>
                <w:rFonts w:ascii="Arial" w:hAnsi="Arial" w:cs="Arial"/>
                <w:sz w:val="18"/>
                <w:szCs w:val="18"/>
              </w:rPr>
            </w:pPr>
            <w:r w:rsidRPr="00024F35">
              <w:rPr>
                <w:rFonts w:ascii="Arial" w:hAnsi="Arial" w:cs="Arial"/>
                <w:b/>
                <w:bCs/>
                <w:sz w:val="18"/>
                <w:szCs w:val="18"/>
              </w:rPr>
              <w:t>Profit before taxation</w:t>
            </w:r>
          </w:p>
        </w:tc>
        <w:tc>
          <w:tcPr>
            <w:tcW w:w="698" w:type="pct"/>
            <w:tcBorders>
              <w:top w:val="single" w:sz="4" w:space="0" w:color="auto"/>
              <w:left w:val="nil"/>
              <w:bottom w:val="single" w:sz="12" w:space="0" w:color="auto"/>
              <w:right w:val="nil"/>
            </w:tcBorders>
            <w:shd w:val="clear" w:color="auto" w:fill="auto"/>
            <w:noWrap/>
            <w:vAlign w:val="bottom"/>
          </w:tcPr>
          <w:p w:rsidR="0011516C" w:rsidRPr="004702E4" w:rsidRDefault="0011516C" w:rsidP="0011516C">
            <w:pPr>
              <w:jc w:val="right"/>
              <w:rPr>
                <w:rFonts w:ascii="Arial" w:hAnsi="Arial" w:cs="Arial"/>
                <w:bCs/>
                <w:sz w:val="18"/>
                <w:szCs w:val="18"/>
              </w:rPr>
            </w:pPr>
          </w:p>
        </w:tc>
        <w:tc>
          <w:tcPr>
            <w:tcW w:w="438" w:type="pct"/>
            <w:tcBorders>
              <w:top w:val="single" w:sz="4" w:space="0" w:color="auto"/>
              <w:left w:val="nil"/>
              <w:bottom w:val="single" w:sz="12" w:space="0" w:color="auto"/>
              <w:right w:val="nil"/>
            </w:tcBorders>
            <w:shd w:val="clear" w:color="auto" w:fill="auto"/>
            <w:noWrap/>
            <w:vAlign w:val="bottom"/>
          </w:tcPr>
          <w:p w:rsidR="0011516C" w:rsidRPr="004702E4" w:rsidRDefault="0011516C" w:rsidP="0011516C">
            <w:pPr>
              <w:jc w:val="right"/>
              <w:rPr>
                <w:rFonts w:ascii="Arial" w:hAnsi="Arial" w:cs="Arial"/>
                <w:bCs/>
                <w:sz w:val="18"/>
                <w:szCs w:val="18"/>
              </w:rPr>
            </w:pPr>
          </w:p>
        </w:tc>
        <w:tc>
          <w:tcPr>
            <w:tcW w:w="458" w:type="pct"/>
            <w:tcBorders>
              <w:top w:val="single" w:sz="4" w:space="0" w:color="auto"/>
              <w:left w:val="nil"/>
              <w:bottom w:val="single" w:sz="12" w:space="0" w:color="auto"/>
              <w:right w:val="nil"/>
            </w:tcBorders>
            <w:shd w:val="clear" w:color="auto" w:fill="auto"/>
            <w:noWrap/>
            <w:vAlign w:val="bottom"/>
          </w:tcPr>
          <w:p w:rsidR="0011516C" w:rsidRPr="004702E4" w:rsidRDefault="0011516C" w:rsidP="0011516C">
            <w:pPr>
              <w:jc w:val="right"/>
              <w:rPr>
                <w:rFonts w:ascii="Arial" w:hAnsi="Arial" w:cs="Arial"/>
                <w:bCs/>
                <w:sz w:val="18"/>
                <w:szCs w:val="18"/>
              </w:rPr>
            </w:pPr>
          </w:p>
        </w:tc>
        <w:tc>
          <w:tcPr>
            <w:tcW w:w="443" w:type="pct"/>
            <w:tcBorders>
              <w:top w:val="single" w:sz="4" w:space="0" w:color="auto"/>
              <w:left w:val="nil"/>
              <w:bottom w:val="single" w:sz="12" w:space="0" w:color="auto"/>
              <w:right w:val="nil"/>
            </w:tcBorders>
            <w:shd w:val="clear" w:color="auto" w:fill="auto"/>
            <w:noWrap/>
            <w:vAlign w:val="bottom"/>
          </w:tcPr>
          <w:p w:rsidR="0011516C" w:rsidRPr="004702E4" w:rsidRDefault="0011516C" w:rsidP="0011516C">
            <w:pPr>
              <w:jc w:val="right"/>
              <w:rPr>
                <w:rFonts w:ascii="Arial" w:hAnsi="Arial" w:cs="Arial"/>
                <w:bCs/>
                <w:sz w:val="18"/>
                <w:szCs w:val="18"/>
              </w:rPr>
            </w:pPr>
          </w:p>
        </w:tc>
        <w:tc>
          <w:tcPr>
            <w:tcW w:w="439" w:type="pct"/>
            <w:tcBorders>
              <w:top w:val="single" w:sz="4" w:space="0" w:color="auto"/>
              <w:left w:val="nil"/>
              <w:bottom w:val="single" w:sz="12" w:space="0" w:color="auto"/>
              <w:right w:val="nil"/>
            </w:tcBorders>
            <w:shd w:val="clear" w:color="auto" w:fill="auto"/>
            <w:noWrap/>
            <w:vAlign w:val="bottom"/>
          </w:tcPr>
          <w:p w:rsidR="0011516C" w:rsidRPr="0011516C" w:rsidRDefault="0011516C" w:rsidP="0011516C">
            <w:pPr>
              <w:jc w:val="right"/>
              <w:rPr>
                <w:rFonts w:ascii="Arial" w:hAnsi="Arial" w:cs="Arial"/>
                <w:bCs/>
                <w:sz w:val="18"/>
                <w:szCs w:val="18"/>
              </w:rPr>
            </w:pPr>
            <w:r w:rsidRPr="0011516C">
              <w:rPr>
                <w:rFonts w:ascii="Arial" w:hAnsi="Arial" w:cs="Arial"/>
                <w:bCs/>
                <w:sz w:val="18"/>
                <w:szCs w:val="18"/>
              </w:rPr>
              <w:t>759</w:t>
            </w:r>
          </w:p>
        </w:tc>
      </w:tr>
    </w:tbl>
    <w:p w:rsidR="007331A9" w:rsidRPr="009D3BC9" w:rsidRDefault="007331A9" w:rsidP="009D3BC9">
      <w:pPr>
        <w:jc w:val="both"/>
        <w:rPr>
          <w:rFonts w:ascii="Arial" w:hAnsi="Arial" w:cs="Arial"/>
          <w:sz w:val="18"/>
          <w:szCs w:val="18"/>
        </w:rPr>
      </w:pPr>
    </w:p>
    <w:p w:rsidR="009D3BC9" w:rsidRPr="009D3BC9" w:rsidRDefault="009D3BC9" w:rsidP="00FA21A3">
      <w:pPr>
        <w:jc w:val="both"/>
        <w:rPr>
          <w:rFonts w:ascii="Arial" w:hAnsi="Arial" w:cs="Arial"/>
          <w:sz w:val="18"/>
          <w:szCs w:val="18"/>
        </w:rPr>
      </w:pPr>
      <w:r w:rsidRPr="009D3BC9">
        <w:rPr>
          <w:rFonts w:ascii="Arial" w:hAnsi="Arial" w:cs="Arial"/>
          <w:sz w:val="18"/>
          <w:szCs w:val="18"/>
        </w:rPr>
        <w:t>The operating segments disclosed above are based on the information reported internally to the Board of Directors and Group Executive</w:t>
      </w:r>
      <w:r w:rsidR="001B59D5">
        <w:rPr>
          <w:rFonts w:ascii="Arial" w:hAnsi="Arial" w:cs="Arial"/>
          <w:sz w:val="18"/>
          <w:szCs w:val="18"/>
        </w:rPr>
        <w:t xml:space="preserve">, representing the </w:t>
      </w:r>
      <w:r w:rsidRPr="009D3BC9">
        <w:rPr>
          <w:rFonts w:ascii="Arial" w:hAnsi="Arial" w:cs="Arial"/>
          <w:sz w:val="18"/>
          <w:szCs w:val="18"/>
        </w:rPr>
        <w:t>geographical areas in which the Group operates. The Group only has one business segment being the supply of home improvement products and services.</w:t>
      </w:r>
    </w:p>
    <w:p w:rsidR="009D3BC9" w:rsidRPr="009D3BC9" w:rsidRDefault="009D3BC9" w:rsidP="00FA21A3">
      <w:pPr>
        <w:jc w:val="both"/>
        <w:rPr>
          <w:rFonts w:ascii="Arial" w:hAnsi="Arial" w:cs="Arial"/>
          <w:sz w:val="18"/>
          <w:szCs w:val="18"/>
        </w:rPr>
      </w:pPr>
    </w:p>
    <w:p w:rsidR="009D3BC9" w:rsidRPr="009D3BC9" w:rsidRDefault="009D3BC9" w:rsidP="00FA21A3">
      <w:pPr>
        <w:jc w:val="both"/>
        <w:rPr>
          <w:rFonts w:ascii="Arial" w:hAnsi="Arial" w:cs="Arial"/>
          <w:sz w:val="18"/>
          <w:szCs w:val="18"/>
        </w:rPr>
      </w:pPr>
      <w:r w:rsidRPr="009D3BC9">
        <w:rPr>
          <w:rFonts w:ascii="Arial" w:hAnsi="Arial" w:cs="Arial"/>
          <w:sz w:val="18"/>
          <w:szCs w:val="18"/>
        </w:rPr>
        <w:t xml:space="preserve">The ‘Other International’ segment consists of Poland, Spain, Portugal, Germany, Russia, Romania and the joint venture </w:t>
      </w:r>
      <w:r w:rsidR="00384C70" w:rsidRPr="00384C70">
        <w:rPr>
          <w:rFonts w:ascii="Arial" w:hAnsi="Arial" w:cs="Arial"/>
          <w:sz w:val="18"/>
          <w:szCs w:val="18"/>
        </w:rPr>
        <w:t>Koçtaş</w:t>
      </w:r>
      <w:r w:rsidRPr="009D3BC9">
        <w:rPr>
          <w:rFonts w:ascii="Arial" w:hAnsi="Arial" w:cs="Arial"/>
          <w:sz w:val="18"/>
          <w:szCs w:val="18"/>
        </w:rPr>
        <w:t xml:space="preserve"> in Turkey. Poland has been shown separately due to its significance.</w:t>
      </w:r>
    </w:p>
    <w:p w:rsidR="009D3BC9" w:rsidRPr="009D3BC9" w:rsidRDefault="009D3BC9" w:rsidP="00FA21A3">
      <w:pPr>
        <w:jc w:val="both"/>
        <w:rPr>
          <w:rFonts w:ascii="Arial" w:hAnsi="Arial" w:cs="Arial"/>
          <w:sz w:val="18"/>
          <w:szCs w:val="18"/>
        </w:rPr>
      </w:pPr>
    </w:p>
    <w:p w:rsidR="001F5B32" w:rsidRDefault="001F5B32" w:rsidP="00FA21A3">
      <w:pPr>
        <w:jc w:val="both"/>
        <w:rPr>
          <w:rFonts w:ascii="Arial" w:hAnsi="Arial" w:cs="Arial"/>
          <w:bCs/>
          <w:sz w:val="18"/>
          <w:szCs w:val="18"/>
        </w:rPr>
      </w:pPr>
      <w:r w:rsidRPr="00EF1091">
        <w:rPr>
          <w:rFonts w:ascii="Arial" w:hAnsi="Arial" w:cs="Arial"/>
          <w:bCs/>
          <w:sz w:val="18"/>
          <w:szCs w:val="18"/>
        </w:rPr>
        <w:t xml:space="preserve">Central </w:t>
      </w:r>
      <w:r>
        <w:rPr>
          <w:rFonts w:ascii="Arial" w:hAnsi="Arial" w:cs="Arial"/>
          <w:bCs/>
          <w:sz w:val="18"/>
          <w:szCs w:val="18"/>
        </w:rPr>
        <w:t>costs principally comprise</w:t>
      </w:r>
      <w:r w:rsidRPr="00EF1091">
        <w:rPr>
          <w:rFonts w:ascii="Arial" w:hAnsi="Arial" w:cs="Arial"/>
          <w:bCs/>
          <w:sz w:val="18"/>
          <w:szCs w:val="18"/>
        </w:rPr>
        <w:t xml:space="preserve"> the </w:t>
      </w:r>
      <w:r>
        <w:rPr>
          <w:rFonts w:ascii="Arial" w:hAnsi="Arial" w:cs="Arial"/>
          <w:bCs/>
          <w:sz w:val="18"/>
          <w:szCs w:val="18"/>
        </w:rPr>
        <w:t>costs of the Group’s h</w:t>
      </w:r>
      <w:r w:rsidRPr="00EF1091">
        <w:rPr>
          <w:rFonts w:ascii="Arial" w:hAnsi="Arial" w:cs="Arial"/>
          <w:bCs/>
          <w:sz w:val="18"/>
          <w:szCs w:val="18"/>
        </w:rPr>
        <w:t xml:space="preserve">ead </w:t>
      </w:r>
      <w:r>
        <w:rPr>
          <w:rFonts w:ascii="Arial" w:hAnsi="Arial" w:cs="Arial"/>
          <w:bCs/>
          <w:sz w:val="18"/>
          <w:szCs w:val="18"/>
        </w:rPr>
        <w:t>o</w:t>
      </w:r>
      <w:r w:rsidRPr="00EF1091">
        <w:rPr>
          <w:rFonts w:ascii="Arial" w:hAnsi="Arial" w:cs="Arial"/>
          <w:bCs/>
          <w:sz w:val="18"/>
          <w:szCs w:val="18"/>
        </w:rPr>
        <w:t>ffice</w:t>
      </w:r>
      <w:r>
        <w:rPr>
          <w:rFonts w:ascii="Arial" w:hAnsi="Arial" w:cs="Arial"/>
          <w:bCs/>
          <w:sz w:val="18"/>
          <w:szCs w:val="18"/>
        </w:rPr>
        <w:t xml:space="preserve"> before transformation costs</w:t>
      </w:r>
      <w:r w:rsidRPr="00EF1091">
        <w:rPr>
          <w:rFonts w:ascii="Arial" w:hAnsi="Arial" w:cs="Arial"/>
          <w:bCs/>
          <w:sz w:val="18"/>
          <w:szCs w:val="18"/>
        </w:rPr>
        <w:t>.</w:t>
      </w:r>
    </w:p>
    <w:p w:rsidR="00EA2B1A" w:rsidRDefault="00EA2B1A" w:rsidP="00FA21A3">
      <w:pPr>
        <w:jc w:val="both"/>
        <w:rPr>
          <w:rFonts w:ascii="Arial" w:hAnsi="Arial" w:cs="Arial"/>
          <w:bCs/>
          <w:sz w:val="18"/>
          <w:szCs w:val="18"/>
        </w:rPr>
      </w:pPr>
    </w:p>
    <w:p w:rsidR="00EA2B1A" w:rsidRPr="00FA21A3" w:rsidRDefault="00EA2B1A" w:rsidP="00FA21A3">
      <w:pPr>
        <w:jc w:val="both"/>
        <w:rPr>
          <w:rFonts w:ascii="Arial" w:hAnsi="Arial" w:cs="Arial"/>
          <w:sz w:val="18"/>
          <w:szCs w:val="18"/>
        </w:rPr>
      </w:pPr>
      <w:r w:rsidRPr="00FA21A3">
        <w:rPr>
          <w:rFonts w:ascii="Arial" w:hAnsi="Arial" w:cs="Arial"/>
          <w:sz w:val="18"/>
          <w:szCs w:val="18"/>
        </w:rPr>
        <w:t>Transformation costs before exceptional items principally relate to the unified and unique offer range implementation and the digital strategic pillar, with £42m (2016/17: £19m) included within selling and distribution expenses and £72m (2016/17: £25m) included within administrative expenses.</w:t>
      </w:r>
    </w:p>
    <w:p w:rsidR="00EA2B1A" w:rsidRDefault="00EA2B1A" w:rsidP="001F5B32">
      <w:pPr>
        <w:rPr>
          <w:rFonts w:ascii="Arial" w:hAnsi="Arial" w:cs="Arial"/>
          <w:bCs/>
          <w:sz w:val="18"/>
          <w:szCs w:val="18"/>
        </w:rPr>
      </w:pPr>
    </w:p>
    <w:p w:rsidR="00C62B0C" w:rsidRDefault="00C62B0C" w:rsidP="001F5B32">
      <w:pPr>
        <w:rPr>
          <w:rFonts w:ascii="Arial" w:hAnsi="Arial" w:cs="Arial"/>
          <w:bCs/>
          <w:sz w:val="18"/>
          <w:szCs w:val="18"/>
        </w:rPr>
      </w:pPr>
    </w:p>
    <w:p w:rsidR="00C62B0C" w:rsidRDefault="00C62B0C" w:rsidP="001F5B32">
      <w:pPr>
        <w:rPr>
          <w:rFonts w:ascii="Arial" w:hAnsi="Arial" w:cs="Arial"/>
          <w:sz w:val="18"/>
          <w:szCs w:val="18"/>
        </w:rPr>
      </w:pPr>
    </w:p>
    <w:p w:rsidR="00B6538D" w:rsidRPr="00690302" w:rsidRDefault="00B6538D" w:rsidP="00BA0967">
      <w:pPr>
        <w:jc w:val="both"/>
        <w:rPr>
          <w:rFonts w:ascii="Arial" w:hAnsi="Arial" w:cs="Arial"/>
          <w:sz w:val="18"/>
          <w:szCs w:val="18"/>
        </w:rPr>
      </w:pPr>
    </w:p>
    <w:p w:rsidR="0088762F" w:rsidRDefault="00063243" w:rsidP="00BA0967">
      <w:pPr>
        <w:pStyle w:val="Heading1"/>
        <w:ind w:left="-456"/>
        <w:jc w:val="both"/>
        <w:rPr>
          <w:rFonts w:ascii="Arial" w:hAnsi="Arial" w:cs="Arial"/>
          <w:b w:val="0"/>
          <w:bCs/>
          <w:szCs w:val="18"/>
        </w:rPr>
      </w:pPr>
      <w:r>
        <w:rPr>
          <w:rFonts w:ascii="Arial" w:hAnsi="Arial" w:cs="Arial"/>
          <w:b w:val="0"/>
          <w:bCs/>
          <w:szCs w:val="18"/>
        </w:rPr>
        <w:br w:type="page"/>
      </w:r>
    </w:p>
    <w:p w:rsidR="00DC25B4" w:rsidRPr="00FE7604" w:rsidRDefault="00F764F7" w:rsidP="00FE7604">
      <w:pPr>
        <w:pStyle w:val="Heading1"/>
        <w:ind w:left="-456"/>
        <w:rPr>
          <w:rFonts w:ascii="Arial" w:hAnsi="Arial" w:cs="Arial"/>
          <w:szCs w:val="18"/>
        </w:rPr>
      </w:pPr>
      <w:r w:rsidRPr="002C7BBF">
        <w:rPr>
          <w:rFonts w:ascii="Arial" w:hAnsi="Arial" w:cs="Arial"/>
          <w:szCs w:val="18"/>
        </w:rPr>
        <w:lastRenderedPageBreak/>
        <w:t>4</w:t>
      </w:r>
      <w:r w:rsidR="00FE7604" w:rsidRPr="002C7BBF">
        <w:rPr>
          <w:rFonts w:ascii="Arial" w:hAnsi="Arial" w:cs="Arial"/>
          <w:b w:val="0"/>
          <w:szCs w:val="18"/>
        </w:rPr>
        <w:tab/>
      </w:r>
      <w:r w:rsidR="00DC25B4" w:rsidRPr="002C7BBF">
        <w:rPr>
          <w:rFonts w:ascii="Arial" w:hAnsi="Arial" w:cs="Arial"/>
          <w:szCs w:val="18"/>
        </w:rPr>
        <w:t>Exceptional items</w:t>
      </w:r>
      <w:r w:rsidR="00DC25B4" w:rsidRPr="00FE7604">
        <w:rPr>
          <w:rFonts w:ascii="Arial" w:hAnsi="Arial" w:cs="Arial"/>
          <w:szCs w:val="18"/>
        </w:rPr>
        <w:t xml:space="preserve"> </w:t>
      </w:r>
    </w:p>
    <w:p w:rsidR="00DC25B4" w:rsidRDefault="00DC25B4">
      <w:pPr>
        <w:pStyle w:val="BodyText3"/>
        <w:rPr>
          <w:rFonts w:ascii="Arial" w:hAnsi="Arial" w:cs="Arial"/>
          <w:color w:val="auto"/>
          <w:szCs w:val="18"/>
        </w:rPr>
      </w:pPr>
    </w:p>
    <w:tbl>
      <w:tblPr>
        <w:tblW w:w="5015" w:type="pct"/>
        <w:tblLook w:val="0000" w:firstRow="0" w:lastRow="0" w:firstColumn="0" w:lastColumn="0" w:noHBand="0" w:noVBand="0"/>
      </w:tblPr>
      <w:tblGrid>
        <w:gridCol w:w="7067"/>
        <w:gridCol w:w="1118"/>
        <w:gridCol w:w="1483"/>
      </w:tblGrid>
      <w:tr w:rsidR="00F84270" w:rsidTr="00281AF4">
        <w:trPr>
          <w:trHeight w:val="238"/>
        </w:trPr>
        <w:tc>
          <w:tcPr>
            <w:tcW w:w="3655" w:type="pct"/>
            <w:tcBorders>
              <w:top w:val="nil"/>
              <w:left w:val="nil"/>
              <w:bottom w:val="single" w:sz="4" w:space="0" w:color="auto"/>
              <w:right w:val="nil"/>
            </w:tcBorders>
            <w:shd w:val="clear" w:color="auto" w:fill="auto"/>
            <w:noWrap/>
            <w:vAlign w:val="bottom"/>
          </w:tcPr>
          <w:p w:rsidR="00F84270" w:rsidRPr="00171BB9" w:rsidRDefault="00F84270" w:rsidP="0093504B">
            <w:pPr>
              <w:rPr>
                <w:rFonts w:ascii="Arial" w:hAnsi="Arial" w:cs="Arial"/>
                <w:sz w:val="18"/>
                <w:szCs w:val="18"/>
              </w:rPr>
            </w:pPr>
            <w:r w:rsidRPr="00171BB9">
              <w:rPr>
                <w:rFonts w:ascii="Arial" w:hAnsi="Arial" w:cs="Arial"/>
                <w:sz w:val="18"/>
                <w:szCs w:val="18"/>
              </w:rPr>
              <w:t>£ millions</w:t>
            </w:r>
          </w:p>
        </w:tc>
        <w:tc>
          <w:tcPr>
            <w:tcW w:w="578" w:type="pct"/>
            <w:tcBorders>
              <w:top w:val="nil"/>
              <w:left w:val="nil"/>
              <w:bottom w:val="single" w:sz="4" w:space="0" w:color="auto"/>
              <w:right w:val="nil"/>
            </w:tcBorders>
            <w:shd w:val="clear" w:color="auto" w:fill="auto"/>
            <w:noWrap/>
            <w:vAlign w:val="bottom"/>
          </w:tcPr>
          <w:p w:rsidR="00F84270" w:rsidRPr="00CA4777" w:rsidRDefault="00F84270" w:rsidP="00010337">
            <w:pPr>
              <w:jc w:val="right"/>
              <w:rPr>
                <w:rFonts w:ascii="Arial" w:hAnsi="Arial" w:cs="Arial"/>
                <w:bCs/>
                <w:sz w:val="18"/>
                <w:szCs w:val="18"/>
              </w:rPr>
            </w:pPr>
            <w:r w:rsidRPr="00D83C7E">
              <w:rPr>
                <w:rFonts w:ascii="Arial" w:hAnsi="Arial" w:cs="Arial"/>
                <w:sz w:val="18"/>
                <w:szCs w:val="18"/>
              </w:rPr>
              <w:t>20</w:t>
            </w:r>
            <w:r w:rsidR="004702E4">
              <w:rPr>
                <w:rFonts w:ascii="Arial" w:hAnsi="Arial" w:cs="Arial"/>
                <w:sz w:val="18"/>
                <w:szCs w:val="18"/>
              </w:rPr>
              <w:t>1</w:t>
            </w:r>
            <w:r w:rsidR="00010337">
              <w:rPr>
                <w:rFonts w:ascii="Arial" w:hAnsi="Arial" w:cs="Arial"/>
                <w:sz w:val="18"/>
                <w:szCs w:val="18"/>
              </w:rPr>
              <w:t>7</w:t>
            </w:r>
            <w:r>
              <w:rPr>
                <w:rFonts w:ascii="Arial" w:hAnsi="Arial" w:cs="Arial"/>
                <w:sz w:val="18"/>
                <w:szCs w:val="18"/>
              </w:rPr>
              <w:t>/1</w:t>
            </w:r>
            <w:r w:rsidR="00010337">
              <w:rPr>
                <w:rFonts w:ascii="Arial" w:hAnsi="Arial" w:cs="Arial"/>
                <w:sz w:val="18"/>
                <w:szCs w:val="18"/>
              </w:rPr>
              <w:t>8</w:t>
            </w:r>
          </w:p>
        </w:tc>
        <w:tc>
          <w:tcPr>
            <w:tcW w:w="767" w:type="pct"/>
            <w:tcBorders>
              <w:top w:val="nil"/>
              <w:left w:val="nil"/>
              <w:bottom w:val="single" w:sz="4" w:space="0" w:color="auto"/>
              <w:right w:val="nil"/>
            </w:tcBorders>
            <w:vAlign w:val="bottom"/>
          </w:tcPr>
          <w:p w:rsidR="00F84270" w:rsidRPr="00D83C7E" w:rsidRDefault="004702E4" w:rsidP="00010337">
            <w:pPr>
              <w:jc w:val="right"/>
              <w:rPr>
                <w:rFonts w:ascii="Arial" w:hAnsi="Arial" w:cs="Arial"/>
                <w:sz w:val="18"/>
                <w:szCs w:val="18"/>
              </w:rPr>
            </w:pPr>
            <w:r w:rsidRPr="00D83C7E">
              <w:rPr>
                <w:rFonts w:ascii="Arial" w:hAnsi="Arial" w:cs="Arial"/>
                <w:sz w:val="18"/>
                <w:szCs w:val="18"/>
              </w:rPr>
              <w:t>20</w:t>
            </w:r>
            <w:r>
              <w:rPr>
                <w:rFonts w:ascii="Arial" w:hAnsi="Arial" w:cs="Arial"/>
                <w:sz w:val="18"/>
                <w:szCs w:val="18"/>
              </w:rPr>
              <w:t>1</w:t>
            </w:r>
            <w:r w:rsidR="00010337">
              <w:rPr>
                <w:rFonts w:ascii="Arial" w:hAnsi="Arial" w:cs="Arial"/>
                <w:sz w:val="18"/>
                <w:szCs w:val="18"/>
              </w:rPr>
              <w:t>6</w:t>
            </w:r>
            <w:r>
              <w:rPr>
                <w:rFonts w:ascii="Arial" w:hAnsi="Arial" w:cs="Arial"/>
                <w:sz w:val="18"/>
                <w:szCs w:val="18"/>
              </w:rPr>
              <w:t>/1</w:t>
            </w:r>
            <w:r w:rsidR="00010337">
              <w:rPr>
                <w:rFonts w:ascii="Arial" w:hAnsi="Arial" w:cs="Arial"/>
                <w:sz w:val="18"/>
                <w:szCs w:val="18"/>
              </w:rPr>
              <w:t>7</w:t>
            </w:r>
          </w:p>
        </w:tc>
      </w:tr>
      <w:tr w:rsidR="00F84270" w:rsidRPr="00065E22" w:rsidTr="00281AF4">
        <w:trPr>
          <w:trHeight w:val="238"/>
        </w:trPr>
        <w:tc>
          <w:tcPr>
            <w:tcW w:w="3655" w:type="pct"/>
            <w:tcBorders>
              <w:left w:val="nil"/>
              <w:right w:val="nil"/>
            </w:tcBorders>
            <w:shd w:val="clear" w:color="auto" w:fill="auto"/>
            <w:noWrap/>
            <w:vAlign w:val="bottom"/>
          </w:tcPr>
          <w:p w:rsidR="00F84270" w:rsidRPr="001606EE" w:rsidRDefault="00F84270" w:rsidP="00491197">
            <w:pPr>
              <w:rPr>
                <w:rFonts w:ascii="Arial" w:hAnsi="Arial" w:cs="Arial"/>
                <w:b/>
                <w:bCs/>
                <w:sz w:val="18"/>
                <w:szCs w:val="18"/>
              </w:rPr>
            </w:pPr>
            <w:r w:rsidRPr="001606EE">
              <w:rPr>
                <w:rFonts w:ascii="Arial" w:hAnsi="Arial" w:cs="Arial"/>
                <w:b/>
                <w:bCs/>
                <w:sz w:val="18"/>
                <w:szCs w:val="18"/>
              </w:rPr>
              <w:t>Included within selling and distribution expenses</w:t>
            </w:r>
          </w:p>
        </w:tc>
        <w:tc>
          <w:tcPr>
            <w:tcW w:w="578" w:type="pct"/>
            <w:tcBorders>
              <w:left w:val="nil"/>
              <w:right w:val="nil"/>
            </w:tcBorders>
            <w:shd w:val="clear" w:color="auto" w:fill="auto"/>
            <w:noWrap/>
            <w:vAlign w:val="bottom"/>
          </w:tcPr>
          <w:p w:rsidR="00F84270" w:rsidRPr="00065E22" w:rsidRDefault="00F84270" w:rsidP="0093504B">
            <w:pPr>
              <w:rPr>
                <w:rFonts w:ascii="Arial" w:hAnsi="Arial" w:cs="Arial"/>
                <w:bCs/>
                <w:i/>
                <w:sz w:val="18"/>
                <w:szCs w:val="18"/>
              </w:rPr>
            </w:pPr>
          </w:p>
        </w:tc>
        <w:tc>
          <w:tcPr>
            <w:tcW w:w="767" w:type="pct"/>
            <w:tcBorders>
              <w:left w:val="nil"/>
              <w:right w:val="nil"/>
            </w:tcBorders>
            <w:vAlign w:val="bottom"/>
          </w:tcPr>
          <w:p w:rsidR="00F84270" w:rsidRPr="00E73540" w:rsidRDefault="00F84270" w:rsidP="00D2003E">
            <w:pPr>
              <w:rPr>
                <w:rFonts w:ascii="Arial" w:hAnsi="Arial" w:cs="Arial"/>
                <w:b/>
                <w:bCs/>
                <w:i/>
                <w:sz w:val="18"/>
                <w:szCs w:val="18"/>
              </w:rPr>
            </w:pPr>
          </w:p>
        </w:tc>
      </w:tr>
      <w:tr w:rsidR="00010337" w:rsidTr="00281AF4">
        <w:trPr>
          <w:trHeight w:val="238"/>
        </w:trPr>
        <w:tc>
          <w:tcPr>
            <w:tcW w:w="3655" w:type="pct"/>
            <w:tcBorders>
              <w:left w:val="nil"/>
              <w:right w:val="nil"/>
            </w:tcBorders>
            <w:shd w:val="clear" w:color="auto" w:fill="auto"/>
            <w:noWrap/>
            <w:vAlign w:val="bottom"/>
          </w:tcPr>
          <w:p w:rsidR="00010337" w:rsidRPr="008B0DA8" w:rsidRDefault="00010337" w:rsidP="00010337">
            <w:pPr>
              <w:rPr>
                <w:rFonts w:ascii="Arial" w:hAnsi="Arial" w:cs="Arial"/>
                <w:bCs/>
                <w:sz w:val="18"/>
                <w:szCs w:val="18"/>
              </w:rPr>
            </w:pPr>
            <w:r>
              <w:rPr>
                <w:rFonts w:ascii="Arial" w:hAnsi="Arial" w:cs="Arial"/>
                <w:bCs/>
                <w:sz w:val="18"/>
                <w:szCs w:val="18"/>
              </w:rPr>
              <w:t xml:space="preserve">UK &amp; Ireland and continental Europe </w:t>
            </w:r>
            <w:r w:rsidRPr="008B0DA8">
              <w:rPr>
                <w:rFonts w:ascii="Arial" w:hAnsi="Arial" w:cs="Arial"/>
                <w:bCs/>
                <w:sz w:val="18"/>
                <w:szCs w:val="18"/>
              </w:rPr>
              <w:t>restructuring</w:t>
            </w:r>
          </w:p>
        </w:tc>
        <w:tc>
          <w:tcPr>
            <w:tcW w:w="578" w:type="pct"/>
            <w:tcBorders>
              <w:left w:val="nil"/>
              <w:right w:val="nil"/>
            </w:tcBorders>
            <w:shd w:val="clear" w:color="auto" w:fill="auto"/>
            <w:noWrap/>
            <w:vAlign w:val="bottom"/>
          </w:tcPr>
          <w:p w:rsidR="00010337" w:rsidRPr="00782B24" w:rsidRDefault="0047719F" w:rsidP="00010337">
            <w:pPr>
              <w:jc w:val="right"/>
              <w:rPr>
                <w:rFonts w:ascii="Arial" w:hAnsi="Arial" w:cs="Arial"/>
                <w:b/>
                <w:bCs/>
                <w:sz w:val="18"/>
                <w:szCs w:val="18"/>
              </w:rPr>
            </w:pPr>
            <w:r>
              <w:rPr>
                <w:rFonts w:ascii="Arial" w:hAnsi="Arial" w:cs="Arial"/>
                <w:b/>
                <w:bCs/>
                <w:sz w:val="18"/>
                <w:szCs w:val="18"/>
              </w:rPr>
              <w:t>1</w:t>
            </w:r>
            <w:r w:rsidR="00861D4B">
              <w:rPr>
                <w:rFonts w:ascii="Arial" w:hAnsi="Arial" w:cs="Arial"/>
                <w:b/>
                <w:bCs/>
                <w:sz w:val="18"/>
                <w:szCs w:val="18"/>
              </w:rPr>
              <w:t>2</w:t>
            </w:r>
          </w:p>
        </w:tc>
        <w:tc>
          <w:tcPr>
            <w:tcW w:w="767" w:type="pct"/>
            <w:tcBorders>
              <w:left w:val="nil"/>
              <w:right w:val="nil"/>
            </w:tcBorders>
            <w:vAlign w:val="bottom"/>
          </w:tcPr>
          <w:p w:rsidR="00010337" w:rsidRPr="00010337" w:rsidRDefault="00010337" w:rsidP="00010337">
            <w:pPr>
              <w:jc w:val="right"/>
              <w:rPr>
                <w:rFonts w:ascii="Arial" w:hAnsi="Arial" w:cs="Arial"/>
                <w:bCs/>
                <w:sz w:val="18"/>
                <w:szCs w:val="18"/>
              </w:rPr>
            </w:pPr>
            <w:r w:rsidRPr="00010337">
              <w:rPr>
                <w:rFonts w:ascii="Arial" w:hAnsi="Arial" w:cs="Arial"/>
                <w:bCs/>
                <w:sz w:val="18"/>
                <w:szCs w:val="18"/>
              </w:rPr>
              <w:t>21</w:t>
            </w:r>
          </w:p>
        </w:tc>
      </w:tr>
      <w:tr w:rsidR="00010337" w:rsidTr="00281AF4">
        <w:trPr>
          <w:trHeight w:val="238"/>
        </w:trPr>
        <w:tc>
          <w:tcPr>
            <w:tcW w:w="3655" w:type="pct"/>
            <w:tcBorders>
              <w:left w:val="nil"/>
              <w:right w:val="nil"/>
            </w:tcBorders>
            <w:shd w:val="clear" w:color="auto" w:fill="auto"/>
            <w:noWrap/>
            <w:vAlign w:val="bottom"/>
          </w:tcPr>
          <w:p w:rsidR="00010337" w:rsidRPr="00745A92" w:rsidRDefault="00010337" w:rsidP="00010337">
            <w:pPr>
              <w:rPr>
                <w:rFonts w:ascii="Arial" w:hAnsi="Arial" w:cs="Arial"/>
                <w:bCs/>
                <w:sz w:val="18"/>
                <w:szCs w:val="18"/>
              </w:rPr>
            </w:pPr>
            <w:r w:rsidRPr="00745A92">
              <w:rPr>
                <w:rFonts w:ascii="Arial" w:hAnsi="Arial" w:cs="Arial"/>
                <w:bCs/>
                <w:sz w:val="18"/>
                <w:szCs w:val="18"/>
              </w:rPr>
              <w:t>Brico Dépôt Romania impairment</w:t>
            </w:r>
            <w:r w:rsidR="0047719F" w:rsidRPr="00745A92">
              <w:rPr>
                <w:rFonts w:ascii="Arial" w:hAnsi="Arial" w:cs="Arial"/>
                <w:bCs/>
                <w:sz w:val="18"/>
                <w:szCs w:val="18"/>
              </w:rPr>
              <w:t xml:space="preserve"> reversal</w:t>
            </w:r>
          </w:p>
        </w:tc>
        <w:tc>
          <w:tcPr>
            <w:tcW w:w="578" w:type="pct"/>
            <w:tcBorders>
              <w:left w:val="nil"/>
              <w:right w:val="nil"/>
            </w:tcBorders>
            <w:shd w:val="clear" w:color="auto" w:fill="auto"/>
            <w:noWrap/>
            <w:vAlign w:val="bottom"/>
          </w:tcPr>
          <w:p w:rsidR="00010337" w:rsidRPr="00745A92" w:rsidRDefault="0047719F" w:rsidP="00010337">
            <w:pPr>
              <w:jc w:val="right"/>
              <w:rPr>
                <w:rFonts w:ascii="Arial" w:hAnsi="Arial" w:cs="Arial"/>
                <w:b/>
                <w:bCs/>
                <w:sz w:val="18"/>
                <w:szCs w:val="18"/>
              </w:rPr>
            </w:pPr>
            <w:r w:rsidRPr="00745A92">
              <w:rPr>
                <w:rFonts w:ascii="Arial" w:hAnsi="Arial" w:cs="Arial"/>
                <w:b/>
                <w:bCs/>
                <w:sz w:val="18"/>
                <w:szCs w:val="18"/>
              </w:rPr>
              <w:t>2</w:t>
            </w:r>
          </w:p>
        </w:tc>
        <w:tc>
          <w:tcPr>
            <w:tcW w:w="767" w:type="pct"/>
            <w:tcBorders>
              <w:left w:val="nil"/>
              <w:right w:val="nil"/>
            </w:tcBorders>
            <w:vAlign w:val="bottom"/>
          </w:tcPr>
          <w:p w:rsidR="00010337" w:rsidRPr="00745A92" w:rsidRDefault="00010337" w:rsidP="00010337">
            <w:pPr>
              <w:jc w:val="right"/>
              <w:rPr>
                <w:rFonts w:ascii="Arial" w:hAnsi="Arial" w:cs="Arial"/>
                <w:bCs/>
                <w:sz w:val="18"/>
                <w:szCs w:val="18"/>
              </w:rPr>
            </w:pPr>
            <w:r w:rsidRPr="00745A92">
              <w:rPr>
                <w:rFonts w:ascii="Arial" w:hAnsi="Arial" w:cs="Arial"/>
                <w:bCs/>
                <w:sz w:val="18"/>
                <w:szCs w:val="18"/>
              </w:rPr>
              <w:t>–</w:t>
            </w:r>
          </w:p>
        </w:tc>
      </w:tr>
      <w:tr w:rsidR="00010337" w:rsidTr="00281AF4">
        <w:trPr>
          <w:trHeight w:val="238"/>
        </w:trPr>
        <w:tc>
          <w:tcPr>
            <w:tcW w:w="3655" w:type="pct"/>
            <w:tcBorders>
              <w:top w:val="single" w:sz="2" w:space="0" w:color="auto"/>
              <w:left w:val="nil"/>
              <w:bottom w:val="single" w:sz="4" w:space="0" w:color="auto"/>
              <w:right w:val="nil"/>
            </w:tcBorders>
            <w:shd w:val="clear" w:color="auto" w:fill="auto"/>
            <w:noWrap/>
            <w:vAlign w:val="bottom"/>
          </w:tcPr>
          <w:p w:rsidR="00010337" w:rsidRDefault="00010337" w:rsidP="00010337">
            <w:pPr>
              <w:rPr>
                <w:rFonts w:ascii="Arial" w:hAnsi="Arial" w:cs="Arial"/>
                <w:b/>
                <w:bCs/>
                <w:sz w:val="18"/>
                <w:szCs w:val="18"/>
              </w:rPr>
            </w:pPr>
          </w:p>
        </w:tc>
        <w:tc>
          <w:tcPr>
            <w:tcW w:w="578" w:type="pct"/>
            <w:tcBorders>
              <w:top w:val="single" w:sz="2" w:space="0" w:color="auto"/>
              <w:left w:val="nil"/>
              <w:bottom w:val="single" w:sz="4" w:space="0" w:color="auto"/>
              <w:right w:val="nil"/>
            </w:tcBorders>
            <w:shd w:val="clear" w:color="auto" w:fill="auto"/>
            <w:noWrap/>
            <w:vAlign w:val="bottom"/>
          </w:tcPr>
          <w:p w:rsidR="00010337" w:rsidRPr="00782B24" w:rsidRDefault="0047719F" w:rsidP="00010337">
            <w:pPr>
              <w:jc w:val="right"/>
              <w:rPr>
                <w:rFonts w:ascii="Arial" w:hAnsi="Arial" w:cs="Arial"/>
                <w:b/>
                <w:bCs/>
                <w:sz w:val="18"/>
                <w:szCs w:val="18"/>
              </w:rPr>
            </w:pPr>
            <w:r>
              <w:rPr>
                <w:rFonts w:ascii="Arial" w:hAnsi="Arial" w:cs="Arial"/>
                <w:b/>
                <w:bCs/>
                <w:sz w:val="18"/>
                <w:szCs w:val="18"/>
              </w:rPr>
              <w:t>14</w:t>
            </w:r>
          </w:p>
        </w:tc>
        <w:tc>
          <w:tcPr>
            <w:tcW w:w="767" w:type="pct"/>
            <w:tcBorders>
              <w:top w:val="single" w:sz="2" w:space="0" w:color="auto"/>
              <w:left w:val="nil"/>
              <w:bottom w:val="single" w:sz="4" w:space="0" w:color="auto"/>
              <w:right w:val="nil"/>
            </w:tcBorders>
            <w:vAlign w:val="bottom"/>
          </w:tcPr>
          <w:p w:rsidR="00010337" w:rsidRPr="00010337" w:rsidRDefault="00010337" w:rsidP="00010337">
            <w:pPr>
              <w:jc w:val="right"/>
              <w:rPr>
                <w:rFonts w:ascii="Arial" w:hAnsi="Arial" w:cs="Arial"/>
                <w:bCs/>
                <w:sz w:val="18"/>
                <w:szCs w:val="18"/>
              </w:rPr>
            </w:pPr>
            <w:r w:rsidRPr="00010337">
              <w:rPr>
                <w:rFonts w:ascii="Arial" w:hAnsi="Arial" w:cs="Arial"/>
                <w:bCs/>
                <w:sz w:val="18"/>
                <w:szCs w:val="18"/>
              </w:rPr>
              <w:t>21</w:t>
            </w:r>
          </w:p>
        </w:tc>
      </w:tr>
      <w:tr w:rsidR="00010337" w:rsidRPr="00065E22" w:rsidTr="0012283A">
        <w:trPr>
          <w:trHeight w:val="238"/>
        </w:trPr>
        <w:tc>
          <w:tcPr>
            <w:tcW w:w="3655" w:type="pct"/>
            <w:tcBorders>
              <w:left w:val="nil"/>
              <w:right w:val="nil"/>
            </w:tcBorders>
            <w:shd w:val="clear" w:color="auto" w:fill="auto"/>
            <w:noWrap/>
            <w:vAlign w:val="bottom"/>
          </w:tcPr>
          <w:p w:rsidR="00010337" w:rsidRPr="001606EE" w:rsidRDefault="00010337" w:rsidP="00010337">
            <w:pPr>
              <w:rPr>
                <w:rFonts w:ascii="Arial" w:hAnsi="Arial" w:cs="Arial"/>
                <w:b/>
                <w:bCs/>
                <w:sz w:val="18"/>
                <w:szCs w:val="18"/>
              </w:rPr>
            </w:pPr>
            <w:r w:rsidRPr="001606EE">
              <w:rPr>
                <w:rFonts w:ascii="Arial" w:hAnsi="Arial" w:cs="Arial"/>
                <w:b/>
                <w:bCs/>
                <w:sz w:val="18"/>
                <w:szCs w:val="18"/>
              </w:rPr>
              <w:t>Included within administrative expenses</w:t>
            </w:r>
          </w:p>
          <w:p w:rsidR="00010337" w:rsidRPr="00281AF4" w:rsidRDefault="00010337" w:rsidP="00010337">
            <w:pPr>
              <w:rPr>
                <w:rFonts w:ascii="Arial" w:hAnsi="Arial" w:cs="Arial"/>
                <w:bCs/>
                <w:sz w:val="18"/>
                <w:szCs w:val="18"/>
              </w:rPr>
            </w:pPr>
            <w:r>
              <w:rPr>
                <w:rFonts w:ascii="Arial" w:hAnsi="Arial" w:cs="Arial"/>
                <w:bCs/>
                <w:sz w:val="18"/>
                <w:szCs w:val="18"/>
              </w:rPr>
              <w:t>Transformation exceptional costs</w:t>
            </w:r>
          </w:p>
        </w:tc>
        <w:tc>
          <w:tcPr>
            <w:tcW w:w="578" w:type="pct"/>
            <w:tcBorders>
              <w:left w:val="nil"/>
              <w:right w:val="nil"/>
            </w:tcBorders>
            <w:shd w:val="clear" w:color="auto" w:fill="auto"/>
            <w:noWrap/>
            <w:vAlign w:val="bottom"/>
          </w:tcPr>
          <w:p w:rsidR="00010337" w:rsidRPr="00CA18CA" w:rsidRDefault="0047719F" w:rsidP="00010337">
            <w:pPr>
              <w:jc w:val="right"/>
              <w:rPr>
                <w:rFonts w:ascii="Arial" w:hAnsi="Arial" w:cs="Arial"/>
                <w:b/>
                <w:sz w:val="18"/>
                <w:szCs w:val="18"/>
              </w:rPr>
            </w:pPr>
            <w:r>
              <w:rPr>
                <w:rFonts w:ascii="Arial" w:hAnsi="Arial" w:cs="Arial"/>
                <w:b/>
                <w:sz w:val="18"/>
                <w:szCs w:val="18"/>
              </w:rPr>
              <w:t>(15)</w:t>
            </w:r>
          </w:p>
        </w:tc>
        <w:tc>
          <w:tcPr>
            <w:tcW w:w="767" w:type="pct"/>
            <w:tcBorders>
              <w:left w:val="nil"/>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(5)</w:t>
            </w:r>
          </w:p>
        </w:tc>
      </w:tr>
      <w:tr w:rsidR="00010337" w:rsidTr="0012283A">
        <w:trPr>
          <w:trHeight w:val="238"/>
        </w:trPr>
        <w:tc>
          <w:tcPr>
            <w:tcW w:w="3655" w:type="pct"/>
            <w:tcBorders>
              <w:top w:val="single" w:sz="4" w:space="0" w:color="auto"/>
              <w:left w:val="nil"/>
              <w:bottom w:val="single" w:sz="4" w:space="0" w:color="auto"/>
              <w:right w:val="nil"/>
            </w:tcBorders>
            <w:shd w:val="clear" w:color="auto" w:fill="auto"/>
            <w:noWrap/>
            <w:vAlign w:val="bottom"/>
          </w:tcPr>
          <w:p w:rsidR="00010337" w:rsidRPr="001E3112" w:rsidRDefault="00010337" w:rsidP="00010337">
            <w:pPr>
              <w:rPr>
                <w:rFonts w:ascii="Arial" w:hAnsi="Arial" w:cs="Arial"/>
                <w:bCs/>
                <w:sz w:val="18"/>
                <w:szCs w:val="18"/>
              </w:rPr>
            </w:pPr>
          </w:p>
        </w:tc>
        <w:tc>
          <w:tcPr>
            <w:tcW w:w="578" w:type="pct"/>
            <w:tcBorders>
              <w:top w:val="single" w:sz="4" w:space="0" w:color="auto"/>
              <w:left w:val="nil"/>
              <w:bottom w:val="single" w:sz="4" w:space="0" w:color="auto"/>
              <w:right w:val="nil"/>
            </w:tcBorders>
            <w:shd w:val="clear" w:color="auto" w:fill="auto"/>
            <w:noWrap/>
            <w:vAlign w:val="bottom"/>
          </w:tcPr>
          <w:p w:rsidR="00010337" w:rsidRPr="00695F40" w:rsidRDefault="0047719F" w:rsidP="00010337">
            <w:pPr>
              <w:jc w:val="right"/>
              <w:rPr>
                <w:rFonts w:ascii="Arial" w:hAnsi="Arial" w:cs="Arial"/>
                <w:b/>
                <w:bCs/>
                <w:sz w:val="18"/>
                <w:szCs w:val="18"/>
              </w:rPr>
            </w:pPr>
            <w:r>
              <w:rPr>
                <w:rFonts w:ascii="Arial" w:hAnsi="Arial" w:cs="Arial"/>
                <w:b/>
                <w:bCs/>
                <w:sz w:val="18"/>
                <w:szCs w:val="18"/>
              </w:rPr>
              <w:t>(15)</w:t>
            </w:r>
          </w:p>
        </w:tc>
        <w:tc>
          <w:tcPr>
            <w:tcW w:w="767" w:type="pct"/>
            <w:tcBorders>
              <w:top w:val="single" w:sz="4" w:space="0" w:color="auto"/>
              <w:left w:val="nil"/>
              <w:bottom w:val="single" w:sz="4" w:space="0" w:color="auto"/>
              <w:right w:val="nil"/>
            </w:tcBorders>
            <w:vAlign w:val="bottom"/>
          </w:tcPr>
          <w:p w:rsidR="00010337" w:rsidRPr="00010337" w:rsidRDefault="00010337" w:rsidP="00010337">
            <w:pPr>
              <w:jc w:val="right"/>
              <w:rPr>
                <w:rFonts w:ascii="Arial" w:hAnsi="Arial" w:cs="Arial"/>
                <w:bCs/>
                <w:sz w:val="18"/>
                <w:szCs w:val="18"/>
              </w:rPr>
            </w:pPr>
            <w:r w:rsidRPr="00010337">
              <w:rPr>
                <w:rFonts w:ascii="Arial" w:hAnsi="Arial" w:cs="Arial"/>
                <w:bCs/>
                <w:sz w:val="18"/>
                <w:szCs w:val="18"/>
              </w:rPr>
              <w:t>(5)</w:t>
            </w:r>
          </w:p>
        </w:tc>
      </w:tr>
      <w:tr w:rsidR="00010337" w:rsidRPr="00065E22" w:rsidTr="00281AF4">
        <w:trPr>
          <w:trHeight w:val="238"/>
        </w:trPr>
        <w:tc>
          <w:tcPr>
            <w:tcW w:w="3655" w:type="pct"/>
            <w:tcBorders>
              <w:left w:val="nil"/>
              <w:right w:val="nil"/>
            </w:tcBorders>
            <w:shd w:val="clear" w:color="auto" w:fill="auto"/>
            <w:noWrap/>
            <w:vAlign w:val="bottom"/>
          </w:tcPr>
          <w:p w:rsidR="00010337" w:rsidRPr="001606EE" w:rsidRDefault="00010337" w:rsidP="00010337">
            <w:pPr>
              <w:rPr>
                <w:rFonts w:ascii="Arial" w:hAnsi="Arial" w:cs="Arial"/>
                <w:b/>
                <w:bCs/>
                <w:sz w:val="18"/>
                <w:szCs w:val="18"/>
              </w:rPr>
            </w:pPr>
            <w:r w:rsidRPr="001606EE">
              <w:rPr>
                <w:rFonts w:ascii="Arial" w:hAnsi="Arial" w:cs="Arial"/>
                <w:b/>
                <w:bCs/>
                <w:sz w:val="18"/>
                <w:szCs w:val="18"/>
              </w:rPr>
              <w:t>Included within other income</w:t>
            </w:r>
          </w:p>
          <w:p w:rsidR="00010337" w:rsidRPr="00281AF4" w:rsidRDefault="00F942AC" w:rsidP="00010337">
            <w:pPr>
              <w:rPr>
                <w:rFonts w:ascii="Arial" w:hAnsi="Arial" w:cs="Arial"/>
                <w:bCs/>
                <w:sz w:val="18"/>
                <w:szCs w:val="18"/>
              </w:rPr>
            </w:pPr>
            <w:r>
              <w:rPr>
                <w:rFonts w:ascii="Arial" w:hAnsi="Arial" w:cs="Arial"/>
                <w:sz w:val="18"/>
                <w:szCs w:val="18"/>
              </w:rPr>
              <w:t>Profit on d</w:t>
            </w:r>
            <w:r w:rsidRPr="00171BB9">
              <w:rPr>
                <w:rFonts w:ascii="Arial" w:hAnsi="Arial" w:cs="Arial"/>
                <w:sz w:val="18"/>
                <w:szCs w:val="18"/>
              </w:rPr>
              <w:t>isposal of properties</w:t>
            </w:r>
          </w:p>
        </w:tc>
        <w:tc>
          <w:tcPr>
            <w:tcW w:w="578" w:type="pct"/>
            <w:tcBorders>
              <w:left w:val="nil"/>
              <w:right w:val="nil"/>
            </w:tcBorders>
            <w:shd w:val="clear" w:color="auto" w:fill="auto"/>
            <w:noWrap/>
            <w:vAlign w:val="bottom"/>
          </w:tcPr>
          <w:p w:rsidR="00010337" w:rsidRPr="00CA18CA" w:rsidRDefault="00F942AC" w:rsidP="00010337">
            <w:pPr>
              <w:jc w:val="right"/>
              <w:rPr>
                <w:rFonts w:ascii="Arial" w:hAnsi="Arial" w:cs="Arial"/>
                <w:b/>
                <w:sz w:val="18"/>
                <w:szCs w:val="18"/>
              </w:rPr>
            </w:pPr>
            <w:r>
              <w:rPr>
                <w:rFonts w:ascii="Arial" w:hAnsi="Arial" w:cs="Arial"/>
                <w:b/>
                <w:sz w:val="18"/>
                <w:szCs w:val="18"/>
              </w:rPr>
              <w:t>1</w:t>
            </w:r>
          </w:p>
        </w:tc>
        <w:tc>
          <w:tcPr>
            <w:tcW w:w="767" w:type="pct"/>
            <w:tcBorders>
              <w:left w:val="nil"/>
              <w:right w:val="nil"/>
            </w:tcBorders>
            <w:vAlign w:val="bottom"/>
          </w:tcPr>
          <w:p w:rsidR="00010337" w:rsidRPr="00010337" w:rsidRDefault="00F942AC" w:rsidP="00010337">
            <w:pPr>
              <w:jc w:val="right"/>
              <w:rPr>
                <w:rFonts w:ascii="Arial" w:hAnsi="Arial" w:cs="Arial"/>
                <w:sz w:val="18"/>
                <w:szCs w:val="18"/>
              </w:rPr>
            </w:pPr>
            <w:r>
              <w:rPr>
                <w:rFonts w:ascii="Arial" w:hAnsi="Arial" w:cs="Arial"/>
                <w:sz w:val="18"/>
                <w:szCs w:val="18"/>
              </w:rPr>
              <w:t>4</w:t>
            </w:r>
          </w:p>
        </w:tc>
      </w:tr>
      <w:tr w:rsidR="00010337" w:rsidTr="00281AF4">
        <w:trPr>
          <w:trHeight w:val="238"/>
        </w:trPr>
        <w:tc>
          <w:tcPr>
            <w:tcW w:w="3655" w:type="pct"/>
            <w:tcBorders>
              <w:left w:val="nil"/>
              <w:bottom w:val="single" w:sz="4" w:space="0" w:color="auto"/>
              <w:right w:val="nil"/>
            </w:tcBorders>
            <w:shd w:val="clear" w:color="auto" w:fill="auto"/>
            <w:noWrap/>
            <w:vAlign w:val="bottom"/>
          </w:tcPr>
          <w:p w:rsidR="00010337" w:rsidRDefault="00010337" w:rsidP="00010337">
            <w:pPr>
              <w:rPr>
                <w:rFonts w:ascii="Arial" w:hAnsi="Arial" w:cs="Arial"/>
                <w:b/>
                <w:bCs/>
                <w:sz w:val="18"/>
                <w:szCs w:val="18"/>
              </w:rPr>
            </w:pPr>
            <w:r>
              <w:rPr>
                <w:rFonts w:ascii="Arial" w:hAnsi="Arial" w:cs="Arial"/>
                <w:sz w:val="18"/>
                <w:szCs w:val="18"/>
              </w:rPr>
              <w:t>Profit on d</w:t>
            </w:r>
            <w:r w:rsidR="00F942AC">
              <w:rPr>
                <w:rFonts w:ascii="Arial" w:hAnsi="Arial" w:cs="Arial"/>
                <w:sz w:val="18"/>
                <w:szCs w:val="18"/>
              </w:rPr>
              <w:t>isposal of B&amp;Q China</w:t>
            </w:r>
          </w:p>
        </w:tc>
        <w:tc>
          <w:tcPr>
            <w:tcW w:w="578" w:type="pct"/>
            <w:tcBorders>
              <w:left w:val="nil"/>
              <w:bottom w:val="single" w:sz="4" w:space="0" w:color="auto"/>
              <w:right w:val="nil"/>
            </w:tcBorders>
            <w:shd w:val="clear" w:color="auto" w:fill="auto"/>
            <w:noWrap/>
            <w:vAlign w:val="bottom"/>
          </w:tcPr>
          <w:p w:rsidR="00010337" w:rsidRPr="00695F40" w:rsidRDefault="00F942AC" w:rsidP="00010337">
            <w:pPr>
              <w:jc w:val="right"/>
              <w:rPr>
                <w:rFonts w:ascii="Arial" w:hAnsi="Arial" w:cs="Arial"/>
                <w:b/>
                <w:sz w:val="18"/>
                <w:szCs w:val="18"/>
              </w:rPr>
            </w:pPr>
            <w:r>
              <w:rPr>
                <w:rFonts w:ascii="Arial" w:hAnsi="Arial" w:cs="Arial"/>
                <w:b/>
                <w:sz w:val="18"/>
                <w:szCs w:val="18"/>
              </w:rPr>
              <w:t>–</w:t>
            </w:r>
          </w:p>
        </w:tc>
        <w:tc>
          <w:tcPr>
            <w:tcW w:w="767" w:type="pct"/>
            <w:tcBorders>
              <w:left w:val="nil"/>
              <w:bottom w:val="single" w:sz="4" w:space="0" w:color="auto"/>
              <w:right w:val="nil"/>
            </w:tcBorders>
            <w:vAlign w:val="bottom"/>
          </w:tcPr>
          <w:p w:rsidR="00010337" w:rsidRPr="00010337" w:rsidRDefault="00F942AC" w:rsidP="00010337">
            <w:pPr>
              <w:jc w:val="right"/>
              <w:rPr>
                <w:rFonts w:ascii="Arial" w:hAnsi="Arial" w:cs="Arial"/>
                <w:sz w:val="18"/>
                <w:szCs w:val="18"/>
              </w:rPr>
            </w:pPr>
            <w:r>
              <w:rPr>
                <w:rFonts w:ascii="Arial" w:hAnsi="Arial" w:cs="Arial"/>
                <w:sz w:val="18"/>
                <w:szCs w:val="18"/>
              </w:rPr>
              <w:t>3</w:t>
            </w:r>
          </w:p>
        </w:tc>
      </w:tr>
      <w:tr w:rsidR="00010337" w:rsidTr="00031660">
        <w:trPr>
          <w:trHeight w:val="238"/>
        </w:trPr>
        <w:tc>
          <w:tcPr>
            <w:tcW w:w="3655" w:type="pct"/>
            <w:tcBorders>
              <w:top w:val="single" w:sz="4" w:space="0" w:color="auto"/>
              <w:left w:val="nil"/>
              <w:bottom w:val="single" w:sz="4" w:space="0" w:color="auto"/>
              <w:right w:val="nil"/>
            </w:tcBorders>
            <w:shd w:val="clear" w:color="auto" w:fill="auto"/>
            <w:noWrap/>
            <w:vAlign w:val="bottom"/>
          </w:tcPr>
          <w:p w:rsidR="00010337" w:rsidRPr="00EB5AFD" w:rsidRDefault="00010337" w:rsidP="00010337">
            <w:pPr>
              <w:rPr>
                <w:rFonts w:ascii="Arial" w:hAnsi="Arial" w:cs="Arial"/>
                <w:bCs/>
                <w:i/>
                <w:sz w:val="18"/>
                <w:szCs w:val="18"/>
              </w:rPr>
            </w:pPr>
          </w:p>
        </w:tc>
        <w:tc>
          <w:tcPr>
            <w:tcW w:w="578" w:type="pct"/>
            <w:tcBorders>
              <w:top w:val="single" w:sz="4" w:space="0" w:color="auto"/>
              <w:left w:val="nil"/>
              <w:bottom w:val="single" w:sz="4" w:space="0" w:color="auto"/>
              <w:right w:val="nil"/>
            </w:tcBorders>
            <w:shd w:val="clear" w:color="auto" w:fill="auto"/>
            <w:noWrap/>
            <w:vAlign w:val="bottom"/>
          </w:tcPr>
          <w:p w:rsidR="00010337" w:rsidRPr="00695F40" w:rsidRDefault="0047719F" w:rsidP="00010337">
            <w:pPr>
              <w:jc w:val="right"/>
              <w:rPr>
                <w:rFonts w:ascii="Arial" w:hAnsi="Arial" w:cs="Arial"/>
                <w:b/>
                <w:bCs/>
                <w:sz w:val="18"/>
                <w:szCs w:val="18"/>
              </w:rPr>
            </w:pPr>
            <w:r>
              <w:rPr>
                <w:rFonts w:ascii="Arial" w:hAnsi="Arial" w:cs="Arial"/>
                <w:b/>
                <w:bCs/>
                <w:sz w:val="18"/>
                <w:szCs w:val="18"/>
              </w:rPr>
              <w:t>1</w:t>
            </w:r>
          </w:p>
        </w:tc>
        <w:tc>
          <w:tcPr>
            <w:tcW w:w="767" w:type="pct"/>
            <w:tcBorders>
              <w:top w:val="single" w:sz="4" w:space="0" w:color="auto"/>
              <w:left w:val="nil"/>
              <w:bottom w:val="single" w:sz="4" w:space="0" w:color="auto"/>
              <w:right w:val="nil"/>
            </w:tcBorders>
            <w:vAlign w:val="bottom"/>
          </w:tcPr>
          <w:p w:rsidR="00010337" w:rsidRPr="00010337" w:rsidRDefault="00010337" w:rsidP="00010337">
            <w:pPr>
              <w:jc w:val="right"/>
              <w:rPr>
                <w:rFonts w:ascii="Arial" w:hAnsi="Arial" w:cs="Arial"/>
                <w:bCs/>
                <w:sz w:val="18"/>
                <w:szCs w:val="18"/>
              </w:rPr>
            </w:pPr>
            <w:r w:rsidRPr="00010337">
              <w:rPr>
                <w:rFonts w:ascii="Arial" w:hAnsi="Arial" w:cs="Arial"/>
                <w:bCs/>
                <w:sz w:val="18"/>
                <w:szCs w:val="18"/>
              </w:rPr>
              <w:t>7</w:t>
            </w:r>
          </w:p>
        </w:tc>
      </w:tr>
      <w:tr w:rsidR="00010337" w:rsidTr="00031660">
        <w:trPr>
          <w:trHeight w:val="238"/>
        </w:trPr>
        <w:tc>
          <w:tcPr>
            <w:tcW w:w="3655" w:type="pct"/>
            <w:tcBorders>
              <w:top w:val="single" w:sz="4" w:space="0" w:color="auto"/>
              <w:left w:val="nil"/>
              <w:right w:val="nil"/>
            </w:tcBorders>
            <w:shd w:val="clear" w:color="auto" w:fill="auto"/>
            <w:noWrap/>
            <w:vAlign w:val="bottom"/>
          </w:tcPr>
          <w:p w:rsidR="00010337" w:rsidRPr="001606EE" w:rsidRDefault="00010337" w:rsidP="00010337">
            <w:pPr>
              <w:rPr>
                <w:rFonts w:ascii="Arial" w:hAnsi="Arial" w:cs="Arial"/>
                <w:b/>
                <w:bCs/>
                <w:sz w:val="18"/>
                <w:szCs w:val="18"/>
              </w:rPr>
            </w:pPr>
            <w:r w:rsidRPr="001606EE">
              <w:rPr>
                <w:rFonts w:ascii="Arial" w:hAnsi="Arial" w:cs="Arial"/>
                <w:b/>
                <w:bCs/>
                <w:sz w:val="18"/>
                <w:szCs w:val="18"/>
              </w:rPr>
              <w:t>Included within net finance costs</w:t>
            </w:r>
          </w:p>
        </w:tc>
        <w:tc>
          <w:tcPr>
            <w:tcW w:w="578" w:type="pct"/>
            <w:tcBorders>
              <w:top w:val="single" w:sz="4" w:space="0" w:color="auto"/>
              <w:left w:val="nil"/>
              <w:right w:val="nil"/>
            </w:tcBorders>
            <w:shd w:val="clear" w:color="auto" w:fill="auto"/>
            <w:noWrap/>
            <w:vAlign w:val="bottom"/>
          </w:tcPr>
          <w:p w:rsidR="00010337" w:rsidRPr="00695F40" w:rsidRDefault="00010337" w:rsidP="00010337">
            <w:pPr>
              <w:jc w:val="right"/>
              <w:rPr>
                <w:rFonts w:ascii="Arial" w:hAnsi="Arial" w:cs="Arial"/>
                <w:b/>
                <w:bCs/>
                <w:sz w:val="18"/>
                <w:szCs w:val="18"/>
              </w:rPr>
            </w:pPr>
          </w:p>
        </w:tc>
        <w:tc>
          <w:tcPr>
            <w:tcW w:w="767" w:type="pct"/>
            <w:tcBorders>
              <w:top w:val="single" w:sz="4" w:space="0" w:color="auto"/>
              <w:left w:val="nil"/>
              <w:right w:val="nil"/>
            </w:tcBorders>
            <w:vAlign w:val="bottom"/>
          </w:tcPr>
          <w:p w:rsidR="00010337" w:rsidRPr="00010337" w:rsidRDefault="00010337" w:rsidP="00010337">
            <w:pPr>
              <w:jc w:val="right"/>
              <w:rPr>
                <w:rFonts w:ascii="Arial" w:hAnsi="Arial" w:cs="Arial"/>
                <w:bCs/>
                <w:sz w:val="18"/>
                <w:szCs w:val="18"/>
              </w:rPr>
            </w:pPr>
          </w:p>
        </w:tc>
      </w:tr>
      <w:tr w:rsidR="00010337" w:rsidTr="00EB5AFD">
        <w:trPr>
          <w:trHeight w:val="238"/>
        </w:trPr>
        <w:tc>
          <w:tcPr>
            <w:tcW w:w="3655" w:type="pct"/>
            <w:tcBorders>
              <w:left w:val="nil"/>
              <w:bottom w:val="single" w:sz="4" w:space="0" w:color="auto"/>
              <w:right w:val="nil"/>
            </w:tcBorders>
            <w:shd w:val="clear" w:color="auto" w:fill="auto"/>
            <w:noWrap/>
            <w:vAlign w:val="bottom"/>
          </w:tcPr>
          <w:p w:rsidR="00010337" w:rsidRPr="008B0DA8" w:rsidRDefault="00010337" w:rsidP="00010337">
            <w:pPr>
              <w:rPr>
                <w:rFonts w:ascii="Arial" w:hAnsi="Arial" w:cs="Arial"/>
                <w:bCs/>
                <w:sz w:val="18"/>
                <w:szCs w:val="18"/>
              </w:rPr>
            </w:pPr>
            <w:r>
              <w:rPr>
                <w:rFonts w:ascii="Arial" w:hAnsi="Arial" w:cs="Arial"/>
                <w:bCs/>
                <w:sz w:val="18"/>
                <w:szCs w:val="18"/>
              </w:rPr>
              <w:t xml:space="preserve">UK &amp; Ireland and continental Europe </w:t>
            </w:r>
            <w:r w:rsidRPr="008B0DA8">
              <w:rPr>
                <w:rFonts w:ascii="Arial" w:hAnsi="Arial" w:cs="Arial"/>
                <w:bCs/>
                <w:sz w:val="18"/>
                <w:szCs w:val="18"/>
              </w:rPr>
              <w:t>restructuring</w:t>
            </w:r>
          </w:p>
        </w:tc>
        <w:tc>
          <w:tcPr>
            <w:tcW w:w="578" w:type="pct"/>
            <w:tcBorders>
              <w:left w:val="nil"/>
              <w:bottom w:val="single" w:sz="4" w:space="0" w:color="auto"/>
              <w:right w:val="nil"/>
            </w:tcBorders>
            <w:shd w:val="clear" w:color="auto" w:fill="auto"/>
            <w:noWrap/>
            <w:vAlign w:val="bottom"/>
          </w:tcPr>
          <w:p w:rsidR="00010337" w:rsidRPr="0047719F" w:rsidRDefault="0047719F" w:rsidP="00010337">
            <w:pPr>
              <w:jc w:val="right"/>
              <w:rPr>
                <w:rFonts w:ascii="Arial" w:hAnsi="Arial" w:cs="Arial"/>
                <w:b/>
                <w:bCs/>
                <w:sz w:val="18"/>
                <w:szCs w:val="18"/>
              </w:rPr>
            </w:pPr>
            <w:r w:rsidRPr="0047719F">
              <w:rPr>
                <w:rFonts w:ascii="Arial" w:hAnsi="Arial" w:cs="Arial"/>
                <w:b/>
                <w:bCs/>
                <w:sz w:val="18"/>
                <w:szCs w:val="18"/>
              </w:rPr>
              <w:t>–</w:t>
            </w:r>
          </w:p>
        </w:tc>
        <w:tc>
          <w:tcPr>
            <w:tcW w:w="767" w:type="pct"/>
            <w:tcBorders>
              <w:left w:val="nil"/>
              <w:bottom w:val="single" w:sz="4" w:space="0" w:color="auto"/>
              <w:right w:val="nil"/>
            </w:tcBorders>
            <w:vAlign w:val="bottom"/>
          </w:tcPr>
          <w:p w:rsidR="00010337" w:rsidRPr="00010337" w:rsidRDefault="00010337" w:rsidP="00010337">
            <w:pPr>
              <w:jc w:val="right"/>
              <w:rPr>
                <w:rFonts w:ascii="Arial" w:hAnsi="Arial" w:cs="Arial"/>
                <w:bCs/>
                <w:sz w:val="18"/>
                <w:szCs w:val="18"/>
              </w:rPr>
            </w:pPr>
            <w:r w:rsidRPr="00010337">
              <w:rPr>
                <w:rFonts w:ascii="Arial" w:hAnsi="Arial" w:cs="Arial"/>
                <w:bCs/>
                <w:sz w:val="18"/>
                <w:szCs w:val="18"/>
              </w:rPr>
              <w:t>(6)</w:t>
            </w:r>
          </w:p>
        </w:tc>
      </w:tr>
      <w:tr w:rsidR="00010337" w:rsidTr="00EB5AFD">
        <w:trPr>
          <w:trHeight w:val="238"/>
        </w:trPr>
        <w:tc>
          <w:tcPr>
            <w:tcW w:w="3655" w:type="pct"/>
            <w:tcBorders>
              <w:left w:val="nil"/>
              <w:bottom w:val="single" w:sz="4" w:space="0" w:color="auto"/>
              <w:right w:val="nil"/>
            </w:tcBorders>
            <w:shd w:val="clear" w:color="auto" w:fill="auto"/>
            <w:noWrap/>
            <w:vAlign w:val="bottom"/>
          </w:tcPr>
          <w:p w:rsidR="00010337" w:rsidRDefault="00010337" w:rsidP="00010337">
            <w:pPr>
              <w:rPr>
                <w:rFonts w:ascii="Arial" w:hAnsi="Arial" w:cs="Arial"/>
                <w:bCs/>
                <w:sz w:val="18"/>
                <w:szCs w:val="18"/>
              </w:rPr>
            </w:pPr>
          </w:p>
        </w:tc>
        <w:tc>
          <w:tcPr>
            <w:tcW w:w="578" w:type="pct"/>
            <w:tcBorders>
              <w:left w:val="nil"/>
              <w:bottom w:val="single" w:sz="4" w:space="0" w:color="auto"/>
              <w:right w:val="nil"/>
            </w:tcBorders>
            <w:shd w:val="clear" w:color="auto" w:fill="auto"/>
            <w:noWrap/>
            <w:vAlign w:val="bottom"/>
          </w:tcPr>
          <w:p w:rsidR="00010337" w:rsidRPr="0047719F" w:rsidRDefault="0047719F" w:rsidP="00010337">
            <w:pPr>
              <w:jc w:val="right"/>
              <w:rPr>
                <w:rFonts w:ascii="Arial" w:hAnsi="Arial" w:cs="Arial"/>
                <w:b/>
                <w:bCs/>
                <w:sz w:val="18"/>
                <w:szCs w:val="18"/>
              </w:rPr>
            </w:pPr>
            <w:r w:rsidRPr="0047719F">
              <w:rPr>
                <w:rFonts w:ascii="Arial" w:hAnsi="Arial" w:cs="Arial"/>
                <w:b/>
                <w:bCs/>
                <w:sz w:val="18"/>
                <w:szCs w:val="18"/>
              </w:rPr>
              <w:t>–</w:t>
            </w:r>
          </w:p>
        </w:tc>
        <w:tc>
          <w:tcPr>
            <w:tcW w:w="767" w:type="pct"/>
            <w:tcBorders>
              <w:left w:val="nil"/>
              <w:bottom w:val="single" w:sz="4" w:space="0" w:color="auto"/>
              <w:right w:val="nil"/>
            </w:tcBorders>
            <w:vAlign w:val="bottom"/>
          </w:tcPr>
          <w:p w:rsidR="00010337" w:rsidRPr="00010337" w:rsidRDefault="00010337" w:rsidP="00010337">
            <w:pPr>
              <w:jc w:val="right"/>
              <w:rPr>
                <w:rFonts w:ascii="Arial" w:hAnsi="Arial" w:cs="Arial"/>
                <w:bCs/>
                <w:sz w:val="18"/>
                <w:szCs w:val="18"/>
              </w:rPr>
            </w:pPr>
            <w:r w:rsidRPr="00010337">
              <w:rPr>
                <w:rFonts w:ascii="Arial" w:hAnsi="Arial" w:cs="Arial"/>
                <w:bCs/>
                <w:sz w:val="18"/>
                <w:szCs w:val="18"/>
              </w:rPr>
              <w:t>(6)</w:t>
            </w:r>
          </w:p>
        </w:tc>
      </w:tr>
      <w:tr w:rsidR="00010337" w:rsidTr="00281AF4">
        <w:trPr>
          <w:trHeight w:val="238"/>
        </w:trPr>
        <w:tc>
          <w:tcPr>
            <w:tcW w:w="3655" w:type="pct"/>
            <w:tcBorders>
              <w:top w:val="single" w:sz="4" w:space="0" w:color="auto"/>
              <w:left w:val="nil"/>
              <w:right w:val="nil"/>
            </w:tcBorders>
            <w:shd w:val="clear" w:color="auto" w:fill="auto"/>
            <w:noWrap/>
            <w:vAlign w:val="bottom"/>
          </w:tcPr>
          <w:p w:rsidR="00010337" w:rsidRPr="00171BB9" w:rsidRDefault="00010337" w:rsidP="00010337">
            <w:pPr>
              <w:rPr>
                <w:rFonts w:ascii="Arial" w:hAnsi="Arial" w:cs="Arial"/>
                <w:b/>
                <w:bCs/>
                <w:sz w:val="18"/>
                <w:szCs w:val="18"/>
              </w:rPr>
            </w:pPr>
            <w:r>
              <w:rPr>
                <w:rFonts w:ascii="Arial" w:hAnsi="Arial" w:cs="Arial"/>
                <w:b/>
                <w:bCs/>
                <w:sz w:val="18"/>
                <w:szCs w:val="18"/>
              </w:rPr>
              <w:t>E</w:t>
            </w:r>
            <w:r w:rsidRPr="00171BB9">
              <w:rPr>
                <w:rFonts w:ascii="Arial" w:hAnsi="Arial" w:cs="Arial"/>
                <w:b/>
                <w:bCs/>
                <w:sz w:val="18"/>
                <w:szCs w:val="18"/>
              </w:rPr>
              <w:t>xceptional items</w:t>
            </w:r>
            <w:r>
              <w:rPr>
                <w:rFonts w:ascii="Arial" w:hAnsi="Arial" w:cs="Arial"/>
                <w:b/>
                <w:bCs/>
                <w:sz w:val="18"/>
                <w:szCs w:val="18"/>
              </w:rPr>
              <w:t xml:space="preserve"> before tax</w:t>
            </w:r>
          </w:p>
        </w:tc>
        <w:tc>
          <w:tcPr>
            <w:tcW w:w="578" w:type="pct"/>
            <w:tcBorders>
              <w:top w:val="single" w:sz="4" w:space="0" w:color="auto"/>
              <w:left w:val="nil"/>
              <w:right w:val="nil"/>
            </w:tcBorders>
            <w:shd w:val="clear" w:color="auto" w:fill="auto"/>
            <w:noWrap/>
            <w:vAlign w:val="bottom"/>
          </w:tcPr>
          <w:p w:rsidR="00010337" w:rsidRPr="00695F40" w:rsidRDefault="00A2244C" w:rsidP="00010337">
            <w:pPr>
              <w:jc w:val="right"/>
              <w:rPr>
                <w:rFonts w:ascii="Arial" w:hAnsi="Arial" w:cs="Arial"/>
                <w:b/>
                <w:bCs/>
                <w:sz w:val="18"/>
                <w:szCs w:val="18"/>
              </w:rPr>
            </w:pPr>
            <w:r>
              <w:rPr>
                <w:rFonts w:ascii="Arial" w:hAnsi="Arial" w:cs="Arial"/>
                <w:b/>
                <w:bCs/>
                <w:sz w:val="18"/>
                <w:szCs w:val="18"/>
              </w:rPr>
              <w:t>–</w:t>
            </w:r>
          </w:p>
        </w:tc>
        <w:tc>
          <w:tcPr>
            <w:tcW w:w="767" w:type="pct"/>
            <w:tcBorders>
              <w:top w:val="single" w:sz="4" w:space="0" w:color="auto"/>
              <w:left w:val="nil"/>
              <w:right w:val="nil"/>
            </w:tcBorders>
            <w:vAlign w:val="bottom"/>
          </w:tcPr>
          <w:p w:rsidR="00010337" w:rsidRPr="00010337" w:rsidRDefault="00010337" w:rsidP="00010337">
            <w:pPr>
              <w:jc w:val="right"/>
              <w:rPr>
                <w:rFonts w:ascii="Arial" w:hAnsi="Arial" w:cs="Arial"/>
                <w:bCs/>
                <w:sz w:val="18"/>
                <w:szCs w:val="18"/>
              </w:rPr>
            </w:pPr>
            <w:r w:rsidRPr="00010337">
              <w:rPr>
                <w:rFonts w:ascii="Arial" w:hAnsi="Arial" w:cs="Arial"/>
                <w:bCs/>
                <w:sz w:val="18"/>
                <w:szCs w:val="18"/>
              </w:rPr>
              <w:t>17</w:t>
            </w:r>
          </w:p>
        </w:tc>
      </w:tr>
      <w:tr w:rsidR="00010337" w:rsidRPr="009C1028" w:rsidTr="00281AF4">
        <w:trPr>
          <w:trHeight w:val="238"/>
        </w:trPr>
        <w:tc>
          <w:tcPr>
            <w:tcW w:w="3655" w:type="pct"/>
            <w:tcBorders>
              <w:left w:val="nil"/>
              <w:right w:val="nil"/>
            </w:tcBorders>
            <w:shd w:val="clear" w:color="auto" w:fill="auto"/>
            <w:noWrap/>
            <w:vAlign w:val="bottom"/>
          </w:tcPr>
          <w:p w:rsidR="00010337" w:rsidRPr="009C1028" w:rsidRDefault="00FF6765" w:rsidP="00010337">
            <w:pPr>
              <w:rPr>
                <w:rFonts w:ascii="Arial" w:hAnsi="Arial" w:cs="Arial"/>
                <w:bCs/>
                <w:sz w:val="18"/>
                <w:szCs w:val="18"/>
              </w:rPr>
            </w:pPr>
            <w:r>
              <w:rPr>
                <w:rFonts w:ascii="Arial" w:hAnsi="Arial" w:cs="Arial"/>
                <w:bCs/>
                <w:sz w:val="18"/>
                <w:szCs w:val="18"/>
              </w:rPr>
              <w:t>Tax on exceptional</w:t>
            </w:r>
            <w:r w:rsidR="00010337">
              <w:rPr>
                <w:rFonts w:ascii="Arial" w:hAnsi="Arial" w:cs="Arial"/>
                <w:bCs/>
                <w:sz w:val="18"/>
                <w:szCs w:val="18"/>
              </w:rPr>
              <w:t xml:space="preserve"> items </w:t>
            </w:r>
          </w:p>
        </w:tc>
        <w:tc>
          <w:tcPr>
            <w:tcW w:w="578" w:type="pct"/>
            <w:tcBorders>
              <w:left w:val="nil"/>
              <w:right w:val="nil"/>
            </w:tcBorders>
            <w:shd w:val="clear" w:color="auto" w:fill="auto"/>
            <w:noWrap/>
            <w:vAlign w:val="bottom"/>
          </w:tcPr>
          <w:p w:rsidR="00010337" w:rsidRPr="00695F40" w:rsidRDefault="00A2244C" w:rsidP="00010337">
            <w:pPr>
              <w:jc w:val="right"/>
              <w:rPr>
                <w:rFonts w:ascii="Arial" w:hAnsi="Arial" w:cs="Arial"/>
                <w:b/>
                <w:bCs/>
                <w:sz w:val="18"/>
                <w:szCs w:val="18"/>
              </w:rPr>
            </w:pPr>
            <w:r>
              <w:rPr>
                <w:rFonts w:ascii="Arial" w:hAnsi="Arial" w:cs="Arial"/>
                <w:b/>
                <w:bCs/>
                <w:sz w:val="18"/>
                <w:szCs w:val="18"/>
              </w:rPr>
              <w:t>–</w:t>
            </w:r>
          </w:p>
        </w:tc>
        <w:tc>
          <w:tcPr>
            <w:tcW w:w="767" w:type="pct"/>
            <w:tcBorders>
              <w:left w:val="nil"/>
              <w:right w:val="nil"/>
            </w:tcBorders>
            <w:vAlign w:val="bottom"/>
          </w:tcPr>
          <w:p w:rsidR="00010337" w:rsidRPr="00010337" w:rsidRDefault="00010337" w:rsidP="00010337">
            <w:pPr>
              <w:jc w:val="right"/>
              <w:rPr>
                <w:rFonts w:ascii="Arial" w:hAnsi="Arial" w:cs="Arial"/>
                <w:bCs/>
                <w:sz w:val="18"/>
                <w:szCs w:val="18"/>
              </w:rPr>
            </w:pPr>
            <w:r w:rsidRPr="00010337">
              <w:rPr>
                <w:rFonts w:ascii="Arial" w:hAnsi="Arial" w:cs="Arial"/>
                <w:bCs/>
                <w:sz w:val="18"/>
                <w:szCs w:val="18"/>
              </w:rPr>
              <w:t>(6)</w:t>
            </w:r>
          </w:p>
        </w:tc>
      </w:tr>
      <w:tr w:rsidR="00010337" w:rsidRPr="009C1028" w:rsidTr="00281AF4">
        <w:trPr>
          <w:trHeight w:val="238"/>
        </w:trPr>
        <w:tc>
          <w:tcPr>
            <w:tcW w:w="3655" w:type="pct"/>
            <w:tcBorders>
              <w:top w:val="single" w:sz="4" w:space="0" w:color="auto"/>
              <w:left w:val="nil"/>
              <w:bottom w:val="single" w:sz="12" w:space="0" w:color="auto"/>
              <w:right w:val="nil"/>
            </w:tcBorders>
            <w:shd w:val="clear" w:color="auto" w:fill="auto"/>
            <w:noWrap/>
            <w:vAlign w:val="bottom"/>
          </w:tcPr>
          <w:p w:rsidR="00010337" w:rsidRDefault="00010337" w:rsidP="00010337">
            <w:pPr>
              <w:rPr>
                <w:rFonts w:ascii="Arial" w:hAnsi="Arial" w:cs="Arial"/>
                <w:bCs/>
                <w:sz w:val="18"/>
                <w:szCs w:val="18"/>
              </w:rPr>
            </w:pPr>
            <w:r>
              <w:rPr>
                <w:rFonts w:ascii="Arial" w:hAnsi="Arial" w:cs="Arial"/>
                <w:b/>
                <w:bCs/>
                <w:sz w:val="18"/>
                <w:szCs w:val="18"/>
              </w:rPr>
              <w:t>E</w:t>
            </w:r>
            <w:r w:rsidRPr="00171BB9">
              <w:rPr>
                <w:rFonts w:ascii="Arial" w:hAnsi="Arial" w:cs="Arial"/>
                <w:b/>
                <w:bCs/>
                <w:sz w:val="18"/>
                <w:szCs w:val="18"/>
              </w:rPr>
              <w:t>xceptional items</w:t>
            </w:r>
          </w:p>
        </w:tc>
        <w:tc>
          <w:tcPr>
            <w:tcW w:w="578" w:type="pct"/>
            <w:tcBorders>
              <w:top w:val="single" w:sz="4" w:space="0" w:color="auto"/>
              <w:left w:val="nil"/>
              <w:bottom w:val="single" w:sz="12" w:space="0" w:color="auto"/>
              <w:right w:val="nil"/>
            </w:tcBorders>
            <w:shd w:val="clear" w:color="auto" w:fill="auto"/>
            <w:noWrap/>
            <w:vAlign w:val="bottom"/>
          </w:tcPr>
          <w:p w:rsidR="00010337" w:rsidRPr="00695F40" w:rsidRDefault="00A2244C" w:rsidP="00010337">
            <w:pPr>
              <w:jc w:val="right"/>
              <w:rPr>
                <w:rFonts w:ascii="Arial" w:hAnsi="Arial" w:cs="Arial"/>
                <w:b/>
                <w:bCs/>
                <w:sz w:val="18"/>
                <w:szCs w:val="18"/>
              </w:rPr>
            </w:pPr>
            <w:r>
              <w:rPr>
                <w:rFonts w:ascii="Arial" w:hAnsi="Arial" w:cs="Arial"/>
                <w:b/>
                <w:bCs/>
                <w:sz w:val="18"/>
                <w:szCs w:val="18"/>
              </w:rPr>
              <w:t>–</w:t>
            </w:r>
          </w:p>
        </w:tc>
        <w:tc>
          <w:tcPr>
            <w:tcW w:w="767" w:type="pct"/>
            <w:tcBorders>
              <w:top w:val="single" w:sz="4" w:space="0" w:color="auto"/>
              <w:left w:val="nil"/>
              <w:bottom w:val="single" w:sz="12" w:space="0" w:color="auto"/>
              <w:right w:val="nil"/>
            </w:tcBorders>
            <w:vAlign w:val="bottom"/>
          </w:tcPr>
          <w:p w:rsidR="00010337" w:rsidRPr="00010337" w:rsidRDefault="00010337" w:rsidP="00010337">
            <w:pPr>
              <w:jc w:val="right"/>
              <w:rPr>
                <w:rFonts w:ascii="Arial" w:hAnsi="Arial" w:cs="Arial"/>
                <w:bCs/>
                <w:sz w:val="18"/>
                <w:szCs w:val="18"/>
              </w:rPr>
            </w:pPr>
            <w:r w:rsidRPr="00010337">
              <w:rPr>
                <w:rFonts w:ascii="Arial" w:hAnsi="Arial" w:cs="Arial"/>
                <w:bCs/>
                <w:sz w:val="18"/>
                <w:szCs w:val="18"/>
              </w:rPr>
              <w:t>11</w:t>
            </w:r>
          </w:p>
        </w:tc>
      </w:tr>
    </w:tbl>
    <w:p w:rsidR="00B3144B" w:rsidRPr="00A72BB4" w:rsidRDefault="00B3144B" w:rsidP="00B3144B">
      <w:pPr>
        <w:rPr>
          <w:rFonts w:ascii="Arial" w:hAnsi="Arial" w:cs="Arial"/>
          <w:color w:val="0000FF"/>
          <w:sz w:val="18"/>
          <w:szCs w:val="18"/>
        </w:rPr>
      </w:pPr>
    </w:p>
    <w:p w:rsidR="008511EF" w:rsidRPr="00FA21A3" w:rsidRDefault="008511EF" w:rsidP="00FA21A3">
      <w:pPr>
        <w:jc w:val="both"/>
        <w:rPr>
          <w:rFonts w:ascii="Arial" w:hAnsi="Arial" w:cs="Arial"/>
          <w:bCs/>
          <w:sz w:val="18"/>
          <w:szCs w:val="18"/>
        </w:rPr>
      </w:pPr>
      <w:bookmarkStart w:id="1" w:name="_Hlk507925515"/>
      <w:r w:rsidRPr="00FA21A3">
        <w:rPr>
          <w:rFonts w:ascii="Arial" w:hAnsi="Arial" w:cs="Arial"/>
          <w:bCs/>
          <w:sz w:val="18"/>
          <w:szCs w:val="18"/>
        </w:rPr>
        <w:t>Current year exceptional items include a £12m credit principally arising due to savings on B&amp;Q store exit costs as compared with the original restructuring provisions recognised.</w:t>
      </w:r>
    </w:p>
    <w:p w:rsidR="008511EF" w:rsidRPr="00FA21A3" w:rsidRDefault="008511EF" w:rsidP="00FA21A3">
      <w:pPr>
        <w:jc w:val="both"/>
        <w:rPr>
          <w:rFonts w:ascii="Arial" w:hAnsi="Arial" w:cs="Arial"/>
          <w:bCs/>
          <w:sz w:val="18"/>
          <w:szCs w:val="18"/>
        </w:rPr>
      </w:pPr>
    </w:p>
    <w:p w:rsidR="008511EF" w:rsidRPr="00FA21A3" w:rsidRDefault="008511EF" w:rsidP="00FA21A3">
      <w:pPr>
        <w:jc w:val="both"/>
        <w:rPr>
          <w:rFonts w:ascii="Arial" w:hAnsi="Arial" w:cs="Arial"/>
          <w:bCs/>
          <w:sz w:val="18"/>
          <w:szCs w:val="18"/>
        </w:rPr>
      </w:pPr>
      <w:r w:rsidRPr="00FA21A3">
        <w:rPr>
          <w:rFonts w:ascii="Arial" w:hAnsi="Arial" w:cs="Arial"/>
          <w:bCs/>
          <w:sz w:val="18"/>
          <w:szCs w:val="18"/>
        </w:rPr>
        <w:t>In the prior year, a net credit of £21m was recognised relating principally to savings on B&amp;Q store exit costs, offset by store asset impairments relating to the closure of loss-making stores in continental Europe. In addition, a £6m exceptional interest charge relating to the reduction in discount rate used to measure the overall UK restructuring provision was recognised.</w:t>
      </w:r>
    </w:p>
    <w:p w:rsidR="008511EF" w:rsidRPr="00FA21A3" w:rsidRDefault="008511EF" w:rsidP="00FA21A3">
      <w:pPr>
        <w:jc w:val="both"/>
        <w:rPr>
          <w:rFonts w:ascii="Arial" w:hAnsi="Arial" w:cs="Arial"/>
          <w:bCs/>
          <w:sz w:val="18"/>
          <w:szCs w:val="18"/>
        </w:rPr>
      </w:pPr>
    </w:p>
    <w:p w:rsidR="008511EF" w:rsidRPr="00FA21A3" w:rsidRDefault="008511EF" w:rsidP="00FA21A3">
      <w:pPr>
        <w:jc w:val="both"/>
        <w:rPr>
          <w:rFonts w:ascii="Arial" w:hAnsi="Arial" w:cs="Arial"/>
          <w:bCs/>
          <w:sz w:val="18"/>
          <w:szCs w:val="18"/>
        </w:rPr>
      </w:pPr>
      <w:r w:rsidRPr="00FA21A3">
        <w:rPr>
          <w:rFonts w:ascii="Arial" w:hAnsi="Arial" w:cs="Arial"/>
          <w:bCs/>
          <w:sz w:val="18"/>
          <w:szCs w:val="18"/>
        </w:rPr>
        <w:t>A £2m impairment reversal has been recognised in the current year relating to the reversal of store impairments (previously charged to exceptional items in 2015/16) in the Brico Dépôt Romania business, as a result of a sustained improvement in the performance of those stores.</w:t>
      </w:r>
    </w:p>
    <w:p w:rsidR="008511EF" w:rsidRPr="00FA21A3" w:rsidRDefault="008511EF" w:rsidP="00FA21A3">
      <w:pPr>
        <w:jc w:val="both"/>
        <w:rPr>
          <w:rFonts w:ascii="Arial" w:hAnsi="Arial" w:cs="Arial"/>
          <w:bCs/>
          <w:sz w:val="18"/>
          <w:szCs w:val="18"/>
        </w:rPr>
      </w:pPr>
    </w:p>
    <w:p w:rsidR="008511EF" w:rsidRPr="00FA21A3" w:rsidRDefault="008511EF" w:rsidP="00FA21A3">
      <w:pPr>
        <w:jc w:val="both"/>
        <w:rPr>
          <w:rFonts w:ascii="Arial" w:hAnsi="Arial" w:cs="Arial"/>
          <w:bCs/>
          <w:sz w:val="18"/>
          <w:szCs w:val="18"/>
        </w:rPr>
      </w:pPr>
      <w:r w:rsidRPr="00FA21A3">
        <w:rPr>
          <w:rFonts w:ascii="Arial" w:hAnsi="Arial" w:cs="Arial"/>
          <w:bCs/>
          <w:sz w:val="18"/>
          <w:szCs w:val="18"/>
        </w:rPr>
        <w:t xml:space="preserve">Transformation exceptional costs of £15m </w:t>
      </w:r>
      <w:r w:rsidR="00802E00">
        <w:rPr>
          <w:rFonts w:ascii="Arial" w:hAnsi="Arial" w:cs="Arial"/>
          <w:bCs/>
          <w:sz w:val="18"/>
          <w:szCs w:val="18"/>
        </w:rPr>
        <w:t xml:space="preserve">have been recorded in the year driven by people changes associated with restructuring in the UK </w:t>
      </w:r>
      <w:r w:rsidR="00FE25CD">
        <w:rPr>
          <w:rFonts w:ascii="Arial" w:hAnsi="Arial" w:cs="Arial"/>
          <w:bCs/>
          <w:sz w:val="18"/>
          <w:szCs w:val="18"/>
        </w:rPr>
        <w:t xml:space="preserve">and other costs </w:t>
      </w:r>
      <w:r w:rsidR="00802E00">
        <w:rPr>
          <w:rFonts w:ascii="Arial" w:hAnsi="Arial" w:cs="Arial"/>
          <w:bCs/>
          <w:sz w:val="18"/>
          <w:szCs w:val="18"/>
        </w:rPr>
        <w:t>relating to the Group’s five-year transformation p</w:t>
      </w:r>
      <w:r w:rsidR="00264A01">
        <w:rPr>
          <w:rFonts w:ascii="Arial" w:hAnsi="Arial" w:cs="Arial"/>
          <w:bCs/>
          <w:sz w:val="18"/>
          <w:szCs w:val="18"/>
        </w:rPr>
        <w:t>lan</w:t>
      </w:r>
      <w:r w:rsidR="00802E00">
        <w:rPr>
          <w:rFonts w:ascii="Arial" w:hAnsi="Arial" w:cs="Arial"/>
          <w:bCs/>
          <w:sz w:val="18"/>
          <w:szCs w:val="18"/>
        </w:rPr>
        <w:t>. These include the move of transactional processing activity from the UK to a shared service centre in Poland.</w:t>
      </w:r>
    </w:p>
    <w:p w:rsidR="008511EF" w:rsidRPr="00FA21A3" w:rsidRDefault="008511EF" w:rsidP="00FA21A3">
      <w:pPr>
        <w:jc w:val="both"/>
        <w:rPr>
          <w:rFonts w:ascii="Arial" w:hAnsi="Arial" w:cs="Arial"/>
          <w:bCs/>
          <w:sz w:val="18"/>
          <w:szCs w:val="18"/>
        </w:rPr>
      </w:pPr>
    </w:p>
    <w:p w:rsidR="008511EF" w:rsidRPr="00FA21A3" w:rsidRDefault="008511EF" w:rsidP="00FA21A3">
      <w:pPr>
        <w:jc w:val="both"/>
        <w:rPr>
          <w:rFonts w:ascii="Arial" w:hAnsi="Arial" w:cs="Arial"/>
          <w:bCs/>
          <w:sz w:val="18"/>
          <w:szCs w:val="18"/>
        </w:rPr>
      </w:pPr>
      <w:r w:rsidRPr="00FA21A3">
        <w:rPr>
          <w:rFonts w:ascii="Arial" w:hAnsi="Arial" w:cs="Arial"/>
          <w:bCs/>
          <w:sz w:val="18"/>
          <w:szCs w:val="18"/>
        </w:rPr>
        <w:t>In the prior year, a profit of £3m was recognised on disposal of the Group’s remaining 30% stake in B&amp;Q China.</w:t>
      </w:r>
    </w:p>
    <w:bookmarkEnd w:id="1"/>
    <w:p w:rsidR="00E3482A" w:rsidRPr="000307F1" w:rsidRDefault="00E3482A" w:rsidP="00EB5AFD">
      <w:pPr>
        <w:rPr>
          <w:rFonts w:ascii="Arial" w:hAnsi="Arial" w:cs="Arial"/>
          <w:spacing w:val="-3"/>
          <w:sz w:val="18"/>
          <w:szCs w:val="18"/>
        </w:rPr>
      </w:pPr>
    </w:p>
    <w:p w:rsidR="00237980" w:rsidRDefault="00063243" w:rsidP="00FD32C6">
      <w:r>
        <w:br w:type="page"/>
      </w:r>
    </w:p>
    <w:p w:rsidR="005028B9" w:rsidRDefault="00F764F7" w:rsidP="00F764F7">
      <w:pPr>
        <w:pStyle w:val="Heading1"/>
        <w:ind w:left="-456"/>
        <w:rPr>
          <w:rFonts w:ascii="Arial" w:hAnsi="Arial" w:cs="Arial"/>
          <w:szCs w:val="18"/>
        </w:rPr>
      </w:pPr>
      <w:r>
        <w:rPr>
          <w:rFonts w:ascii="Arial" w:hAnsi="Arial" w:cs="Arial"/>
          <w:szCs w:val="18"/>
        </w:rPr>
        <w:lastRenderedPageBreak/>
        <w:t>5</w:t>
      </w:r>
      <w:r>
        <w:rPr>
          <w:rFonts w:ascii="Arial" w:hAnsi="Arial" w:cs="Arial"/>
          <w:szCs w:val="18"/>
        </w:rPr>
        <w:tab/>
      </w:r>
      <w:r w:rsidR="00DC25B4" w:rsidRPr="00EF1091">
        <w:rPr>
          <w:rFonts w:ascii="Arial" w:hAnsi="Arial" w:cs="Arial"/>
          <w:szCs w:val="18"/>
        </w:rPr>
        <w:t xml:space="preserve">Net finance </w:t>
      </w:r>
      <w:r w:rsidR="002C7BBF">
        <w:rPr>
          <w:rFonts w:ascii="Arial" w:hAnsi="Arial" w:cs="Arial"/>
          <w:szCs w:val="18"/>
        </w:rPr>
        <w:t>costs</w:t>
      </w:r>
    </w:p>
    <w:p w:rsidR="00DC25B4" w:rsidRPr="00EF1091" w:rsidRDefault="00DC25B4" w:rsidP="005028B9">
      <w:pPr>
        <w:pStyle w:val="Heading1"/>
        <w:ind w:left="-456"/>
      </w:pPr>
    </w:p>
    <w:tbl>
      <w:tblPr>
        <w:tblW w:w="5001" w:type="pct"/>
        <w:tblLook w:val="0000" w:firstRow="0" w:lastRow="0" w:firstColumn="0" w:lastColumn="0" w:noHBand="0" w:noVBand="0"/>
      </w:tblPr>
      <w:tblGrid>
        <w:gridCol w:w="6662"/>
        <w:gridCol w:w="1593"/>
        <w:gridCol w:w="1386"/>
      </w:tblGrid>
      <w:tr w:rsidR="00B11F69" w:rsidRPr="00D83C7E" w:rsidTr="00281AF4">
        <w:trPr>
          <w:trHeight w:val="240"/>
        </w:trPr>
        <w:tc>
          <w:tcPr>
            <w:tcW w:w="3455" w:type="pct"/>
            <w:tcBorders>
              <w:top w:val="nil"/>
              <w:left w:val="nil"/>
              <w:bottom w:val="single" w:sz="4" w:space="0" w:color="auto"/>
              <w:right w:val="nil"/>
            </w:tcBorders>
            <w:noWrap/>
            <w:vAlign w:val="bottom"/>
          </w:tcPr>
          <w:p w:rsidR="00B11F69" w:rsidRPr="00D83C7E" w:rsidRDefault="00B11F69" w:rsidP="00B11F69">
            <w:pPr>
              <w:rPr>
                <w:rFonts w:ascii="Arial" w:hAnsi="Arial" w:cs="Arial"/>
                <w:sz w:val="18"/>
                <w:szCs w:val="18"/>
              </w:rPr>
            </w:pPr>
            <w:r w:rsidRPr="00D83C7E">
              <w:rPr>
                <w:rFonts w:ascii="Arial" w:hAnsi="Arial" w:cs="Arial"/>
                <w:sz w:val="18"/>
                <w:szCs w:val="18"/>
              </w:rPr>
              <w:t>£ millions</w:t>
            </w:r>
          </w:p>
        </w:tc>
        <w:tc>
          <w:tcPr>
            <w:tcW w:w="826" w:type="pct"/>
            <w:tcBorders>
              <w:top w:val="nil"/>
              <w:left w:val="nil"/>
              <w:bottom w:val="single" w:sz="4" w:space="0" w:color="auto"/>
              <w:right w:val="nil"/>
            </w:tcBorders>
            <w:noWrap/>
            <w:vAlign w:val="bottom"/>
          </w:tcPr>
          <w:p w:rsidR="00B11F69" w:rsidRPr="00CD6F3E" w:rsidRDefault="00B11F69" w:rsidP="00010337">
            <w:pPr>
              <w:jc w:val="right"/>
              <w:rPr>
                <w:rFonts w:ascii="Arial" w:hAnsi="Arial" w:cs="Arial"/>
                <w:bCs/>
                <w:sz w:val="18"/>
                <w:szCs w:val="18"/>
              </w:rPr>
            </w:pPr>
            <w:r w:rsidRPr="008C583A">
              <w:rPr>
                <w:rFonts w:ascii="Arial" w:hAnsi="Arial" w:cs="Arial"/>
                <w:bCs/>
                <w:sz w:val="18"/>
                <w:szCs w:val="18"/>
              </w:rPr>
              <w:t>201</w:t>
            </w:r>
            <w:r w:rsidR="00010337">
              <w:rPr>
                <w:rFonts w:ascii="Arial" w:hAnsi="Arial" w:cs="Arial"/>
                <w:bCs/>
                <w:sz w:val="18"/>
                <w:szCs w:val="18"/>
              </w:rPr>
              <w:t>7</w:t>
            </w:r>
            <w:r w:rsidRPr="00FC37BE">
              <w:rPr>
                <w:rFonts w:ascii="Arial" w:hAnsi="Arial" w:cs="Arial"/>
                <w:bCs/>
                <w:sz w:val="18"/>
                <w:szCs w:val="18"/>
              </w:rPr>
              <w:t>/1</w:t>
            </w:r>
            <w:r w:rsidR="00010337">
              <w:rPr>
                <w:rFonts w:ascii="Arial" w:hAnsi="Arial" w:cs="Arial"/>
                <w:bCs/>
                <w:sz w:val="18"/>
                <w:szCs w:val="18"/>
              </w:rPr>
              <w:t>8</w:t>
            </w:r>
          </w:p>
        </w:tc>
        <w:tc>
          <w:tcPr>
            <w:tcW w:w="719" w:type="pct"/>
            <w:tcBorders>
              <w:top w:val="nil"/>
              <w:left w:val="nil"/>
              <w:bottom w:val="single" w:sz="4" w:space="0" w:color="auto"/>
              <w:right w:val="nil"/>
            </w:tcBorders>
            <w:vAlign w:val="bottom"/>
          </w:tcPr>
          <w:p w:rsidR="00B11F69" w:rsidRPr="00D83C7E" w:rsidRDefault="000206F0" w:rsidP="00010337">
            <w:pPr>
              <w:jc w:val="right"/>
              <w:rPr>
                <w:rFonts w:ascii="Arial" w:hAnsi="Arial" w:cs="Arial"/>
                <w:bCs/>
                <w:sz w:val="18"/>
                <w:szCs w:val="18"/>
              </w:rPr>
            </w:pPr>
            <w:r w:rsidRPr="008C583A">
              <w:rPr>
                <w:rFonts w:ascii="Arial" w:hAnsi="Arial" w:cs="Arial"/>
                <w:bCs/>
                <w:sz w:val="18"/>
                <w:szCs w:val="18"/>
              </w:rPr>
              <w:t>201</w:t>
            </w:r>
            <w:r w:rsidR="00010337">
              <w:rPr>
                <w:rFonts w:ascii="Arial" w:hAnsi="Arial" w:cs="Arial"/>
                <w:bCs/>
                <w:sz w:val="18"/>
                <w:szCs w:val="18"/>
              </w:rPr>
              <w:t>6</w:t>
            </w:r>
            <w:r w:rsidRPr="00FC37BE">
              <w:rPr>
                <w:rFonts w:ascii="Arial" w:hAnsi="Arial" w:cs="Arial"/>
                <w:bCs/>
                <w:sz w:val="18"/>
                <w:szCs w:val="18"/>
              </w:rPr>
              <w:t>/1</w:t>
            </w:r>
            <w:r w:rsidR="00010337">
              <w:rPr>
                <w:rFonts w:ascii="Arial" w:hAnsi="Arial" w:cs="Arial"/>
                <w:bCs/>
                <w:sz w:val="18"/>
                <w:szCs w:val="18"/>
              </w:rPr>
              <w:t>7</w:t>
            </w:r>
          </w:p>
        </w:tc>
      </w:tr>
      <w:tr w:rsidR="00010337" w:rsidRPr="00EF1091" w:rsidTr="00281AF4">
        <w:trPr>
          <w:trHeight w:val="240"/>
        </w:trPr>
        <w:tc>
          <w:tcPr>
            <w:tcW w:w="3455" w:type="pct"/>
            <w:tcBorders>
              <w:top w:val="nil"/>
              <w:left w:val="nil"/>
              <w:right w:val="nil"/>
            </w:tcBorders>
            <w:noWrap/>
            <w:vAlign w:val="bottom"/>
          </w:tcPr>
          <w:p w:rsidR="00010337" w:rsidRPr="00EF1091" w:rsidRDefault="00010337" w:rsidP="00010337">
            <w:pPr>
              <w:rPr>
                <w:rFonts w:ascii="Arial" w:hAnsi="Arial" w:cs="Arial"/>
                <w:sz w:val="18"/>
                <w:szCs w:val="18"/>
              </w:rPr>
            </w:pPr>
            <w:r w:rsidRPr="00EF1091">
              <w:rPr>
                <w:rFonts w:ascii="Arial" w:hAnsi="Arial" w:cs="Arial"/>
                <w:sz w:val="18"/>
                <w:szCs w:val="18"/>
              </w:rPr>
              <w:t xml:space="preserve">Bank </w:t>
            </w:r>
            <w:r>
              <w:rPr>
                <w:rFonts w:ascii="Arial" w:hAnsi="Arial" w:cs="Arial"/>
                <w:sz w:val="18"/>
                <w:szCs w:val="18"/>
              </w:rPr>
              <w:t>overdrafts and bank loans</w:t>
            </w:r>
          </w:p>
        </w:tc>
        <w:tc>
          <w:tcPr>
            <w:tcW w:w="826" w:type="pct"/>
            <w:tcBorders>
              <w:top w:val="nil"/>
              <w:left w:val="nil"/>
              <w:right w:val="nil"/>
            </w:tcBorders>
            <w:noWrap/>
            <w:vAlign w:val="bottom"/>
          </w:tcPr>
          <w:p w:rsidR="00010337" w:rsidRPr="00695F40" w:rsidRDefault="00242BB5" w:rsidP="00010337">
            <w:pPr>
              <w:jc w:val="right"/>
              <w:rPr>
                <w:rFonts w:ascii="Arial" w:hAnsi="Arial" w:cs="Arial"/>
                <w:b/>
                <w:sz w:val="18"/>
                <w:szCs w:val="18"/>
              </w:rPr>
            </w:pPr>
            <w:r>
              <w:rPr>
                <w:rFonts w:ascii="Arial" w:hAnsi="Arial" w:cs="Arial"/>
                <w:b/>
                <w:sz w:val="18"/>
                <w:szCs w:val="18"/>
              </w:rPr>
              <w:t>(10)</w:t>
            </w:r>
          </w:p>
        </w:tc>
        <w:tc>
          <w:tcPr>
            <w:tcW w:w="719" w:type="pct"/>
            <w:tcBorders>
              <w:top w:val="nil"/>
              <w:left w:val="nil"/>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(10)</w:t>
            </w:r>
          </w:p>
        </w:tc>
      </w:tr>
      <w:tr w:rsidR="00010337" w:rsidRPr="00EF1091" w:rsidTr="00281AF4">
        <w:trPr>
          <w:trHeight w:val="240"/>
        </w:trPr>
        <w:tc>
          <w:tcPr>
            <w:tcW w:w="3455" w:type="pct"/>
            <w:tcBorders>
              <w:top w:val="nil"/>
              <w:left w:val="nil"/>
              <w:right w:val="nil"/>
            </w:tcBorders>
            <w:noWrap/>
            <w:vAlign w:val="bottom"/>
          </w:tcPr>
          <w:p w:rsidR="00010337" w:rsidRPr="00EF1091" w:rsidRDefault="00010337" w:rsidP="00010337">
            <w:pPr>
              <w:rPr>
                <w:rFonts w:ascii="Arial" w:hAnsi="Arial" w:cs="Arial"/>
                <w:sz w:val="18"/>
                <w:szCs w:val="18"/>
              </w:rPr>
            </w:pPr>
            <w:r>
              <w:rPr>
                <w:rFonts w:ascii="Arial" w:hAnsi="Arial" w:cs="Arial"/>
                <w:sz w:val="18"/>
                <w:szCs w:val="18"/>
              </w:rPr>
              <w:t>Fixed term debt</w:t>
            </w:r>
          </w:p>
        </w:tc>
        <w:tc>
          <w:tcPr>
            <w:tcW w:w="826" w:type="pct"/>
            <w:tcBorders>
              <w:top w:val="nil"/>
              <w:left w:val="nil"/>
              <w:right w:val="nil"/>
            </w:tcBorders>
            <w:noWrap/>
            <w:vAlign w:val="bottom"/>
          </w:tcPr>
          <w:p w:rsidR="00010337" w:rsidRPr="00695F40" w:rsidRDefault="00242BB5" w:rsidP="00010337">
            <w:pPr>
              <w:jc w:val="right"/>
              <w:rPr>
                <w:rFonts w:ascii="Arial" w:hAnsi="Arial" w:cs="Arial"/>
                <w:b/>
                <w:sz w:val="18"/>
                <w:szCs w:val="18"/>
              </w:rPr>
            </w:pPr>
            <w:r>
              <w:rPr>
                <w:rFonts w:ascii="Arial" w:hAnsi="Arial" w:cs="Arial"/>
                <w:b/>
                <w:sz w:val="18"/>
                <w:szCs w:val="18"/>
              </w:rPr>
              <w:t>(2)</w:t>
            </w:r>
          </w:p>
        </w:tc>
        <w:tc>
          <w:tcPr>
            <w:tcW w:w="719" w:type="pct"/>
            <w:tcBorders>
              <w:top w:val="nil"/>
              <w:left w:val="nil"/>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(2)</w:t>
            </w:r>
          </w:p>
        </w:tc>
      </w:tr>
      <w:tr w:rsidR="00010337" w:rsidRPr="00EF1091" w:rsidTr="00281AF4">
        <w:trPr>
          <w:trHeight w:val="240"/>
        </w:trPr>
        <w:tc>
          <w:tcPr>
            <w:tcW w:w="3455" w:type="pct"/>
            <w:tcBorders>
              <w:left w:val="nil"/>
              <w:bottom w:val="nil"/>
              <w:right w:val="nil"/>
            </w:tcBorders>
            <w:noWrap/>
            <w:vAlign w:val="bottom"/>
          </w:tcPr>
          <w:p w:rsidR="00010337" w:rsidRPr="00EF1091" w:rsidRDefault="00010337" w:rsidP="00010337">
            <w:pPr>
              <w:rPr>
                <w:rFonts w:ascii="Arial" w:hAnsi="Arial" w:cs="Arial"/>
                <w:sz w:val="18"/>
                <w:szCs w:val="18"/>
              </w:rPr>
            </w:pPr>
            <w:r>
              <w:rPr>
                <w:rFonts w:ascii="Arial" w:hAnsi="Arial" w:cs="Arial"/>
                <w:sz w:val="18"/>
                <w:szCs w:val="18"/>
              </w:rPr>
              <w:t>Finance leases</w:t>
            </w:r>
          </w:p>
        </w:tc>
        <w:tc>
          <w:tcPr>
            <w:tcW w:w="826" w:type="pct"/>
            <w:tcBorders>
              <w:left w:val="nil"/>
              <w:bottom w:val="nil"/>
              <w:right w:val="nil"/>
            </w:tcBorders>
            <w:noWrap/>
            <w:vAlign w:val="bottom"/>
          </w:tcPr>
          <w:p w:rsidR="00010337" w:rsidRPr="00695F40" w:rsidRDefault="00242BB5" w:rsidP="00010337">
            <w:pPr>
              <w:jc w:val="right"/>
              <w:rPr>
                <w:rFonts w:ascii="Arial" w:hAnsi="Arial" w:cs="Arial"/>
                <w:b/>
                <w:sz w:val="18"/>
                <w:szCs w:val="18"/>
              </w:rPr>
            </w:pPr>
            <w:r>
              <w:rPr>
                <w:rFonts w:ascii="Arial" w:hAnsi="Arial" w:cs="Arial"/>
                <w:b/>
                <w:sz w:val="18"/>
                <w:szCs w:val="18"/>
              </w:rPr>
              <w:t>(2)</w:t>
            </w:r>
          </w:p>
        </w:tc>
        <w:tc>
          <w:tcPr>
            <w:tcW w:w="719" w:type="pct"/>
            <w:tcBorders>
              <w:left w:val="nil"/>
              <w:bottom w:val="nil"/>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(2)</w:t>
            </w:r>
          </w:p>
        </w:tc>
      </w:tr>
      <w:tr w:rsidR="00010337" w:rsidRPr="00EF1091" w:rsidTr="00281AF4">
        <w:trPr>
          <w:trHeight w:val="240"/>
        </w:trPr>
        <w:tc>
          <w:tcPr>
            <w:tcW w:w="3455" w:type="pct"/>
            <w:tcBorders>
              <w:top w:val="nil"/>
              <w:left w:val="nil"/>
              <w:right w:val="nil"/>
            </w:tcBorders>
            <w:noWrap/>
            <w:vAlign w:val="bottom"/>
          </w:tcPr>
          <w:p w:rsidR="00010337" w:rsidRDefault="00010337" w:rsidP="00010337">
            <w:pPr>
              <w:rPr>
                <w:rFonts w:ascii="Arial" w:hAnsi="Arial" w:cs="Arial"/>
                <w:sz w:val="18"/>
                <w:szCs w:val="18"/>
              </w:rPr>
            </w:pPr>
            <w:r>
              <w:rPr>
                <w:rFonts w:ascii="Arial" w:hAnsi="Arial" w:cs="Arial"/>
                <w:sz w:val="18"/>
                <w:szCs w:val="18"/>
              </w:rPr>
              <w:t>Financing fair value remeasurements</w:t>
            </w:r>
          </w:p>
        </w:tc>
        <w:tc>
          <w:tcPr>
            <w:tcW w:w="826" w:type="pct"/>
            <w:tcBorders>
              <w:top w:val="nil"/>
              <w:left w:val="nil"/>
              <w:right w:val="nil"/>
            </w:tcBorders>
            <w:noWrap/>
            <w:vAlign w:val="bottom"/>
          </w:tcPr>
          <w:p w:rsidR="00010337" w:rsidRPr="00695F40" w:rsidRDefault="00242BB5" w:rsidP="00010337">
            <w:pPr>
              <w:jc w:val="right"/>
              <w:rPr>
                <w:rFonts w:ascii="Arial" w:hAnsi="Arial" w:cs="Arial"/>
                <w:b/>
                <w:sz w:val="18"/>
                <w:szCs w:val="18"/>
              </w:rPr>
            </w:pPr>
            <w:r>
              <w:rPr>
                <w:rFonts w:ascii="Arial" w:hAnsi="Arial" w:cs="Arial"/>
                <w:b/>
                <w:sz w:val="18"/>
                <w:szCs w:val="18"/>
              </w:rPr>
              <w:t>(1)</w:t>
            </w:r>
          </w:p>
        </w:tc>
        <w:tc>
          <w:tcPr>
            <w:tcW w:w="719" w:type="pct"/>
            <w:tcBorders>
              <w:top w:val="nil"/>
              <w:left w:val="nil"/>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(1)</w:t>
            </w:r>
          </w:p>
        </w:tc>
      </w:tr>
      <w:tr w:rsidR="00010337" w:rsidRPr="00EF1091" w:rsidTr="00281AF4">
        <w:trPr>
          <w:trHeight w:val="240"/>
        </w:trPr>
        <w:tc>
          <w:tcPr>
            <w:tcW w:w="3455" w:type="pct"/>
            <w:tcBorders>
              <w:left w:val="nil"/>
              <w:right w:val="nil"/>
            </w:tcBorders>
            <w:noWrap/>
            <w:vAlign w:val="bottom"/>
          </w:tcPr>
          <w:p w:rsidR="00010337" w:rsidRDefault="00010337" w:rsidP="00010337">
            <w:pPr>
              <w:rPr>
                <w:rFonts w:ascii="Arial" w:hAnsi="Arial" w:cs="Arial"/>
                <w:sz w:val="18"/>
                <w:szCs w:val="18"/>
              </w:rPr>
            </w:pPr>
            <w:r>
              <w:rPr>
                <w:rFonts w:ascii="Arial" w:hAnsi="Arial" w:cs="Arial"/>
                <w:sz w:val="18"/>
                <w:szCs w:val="18"/>
              </w:rPr>
              <w:t>Unwinding of discount on provisions</w:t>
            </w:r>
          </w:p>
        </w:tc>
        <w:tc>
          <w:tcPr>
            <w:tcW w:w="826" w:type="pct"/>
            <w:tcBorders>
              <w:left w:val="nil"/>
              <w:right w:val="nil"/>
            </w:tcBorders>
            <w:noWrap/>
            <w:vAlign w:val="bottom"/>
          </w:tcPr>
          <w:p w:rsidR="00010337" w:rsidRDefault="00242BB5" w:rsidP="00010337">
            <w:pPr>
              <w:jc w:val="right"/>
              <w:rPr>
                <w:rFonts w:ascii="Arial" w:hAnsi="Arial" w:cs="Arial"/>
                <w:b/>
                <w:sz w:val="18"/>
                <w:szCs w:val="18"/>
              </w:rPr>
            </w:pPr>
            <w:r>
              <w:rPr>
                <w:rFonts w:ascii="Arial" w:hAnsi="Arial" w:cs="Arial"/>
                <w:b/>
                <w:sz w:val="18"/>
                <w:szCs w:val="18"/>
              </w:rPr>
              <w:t>(1)</w:t>
            </w:r>
          </w:p>
        </w:tc>
        <w:tc>
          <w:tcPr>
            <w:tcW w:w="719" w:type="pct"/>
            <w:tcBorders>
              <w:left w:val="nil"/>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(7)</w:t>
            </w:r>
          </w:p>
        </w:tc>
      </w:tr>
      <w:tr w:rsidR="0058358E" w:rsidRPr="00EF1091" w:rsidTr="00281AF4">
        <w:trPr>
          <w:trHeight w:val="240"/>
        </w:trPr>
        <w:tc>
          <w:tcPr>
            <w:tcW w:w="3455" w:type="pct"/>
            <w:tcBorders>
              <w:left w:val="nil"/>
              <w:right w:val="nil"/>
            </w:tcBorders>
            <w:noWrap/>
            <w:vAlign w:val="bottom"/>
          </w:tcPr>
          <w:p w:rsidR="0058358E" w:rsidRDefault="0058358E" w:rsidP="00010337">
            <w:pPr>
              <w:rPr>
                <w:rFonts w:ascii="Arial" w:hAnsi="Arial" w:cs="Arial"/>
                <w:sz w:val="18"/>
                <w:szCs w:val="18"/>
              </w:rPr>
            </w:pPr>
            <w:r>
              <w:rPr>
                <w:rFonts w:ascii="Arial" w:hAnsi="Arial" w:cs="Arial"/>
                <w:sz w:val="18"/>
                <w:szCs w:val="18"/>
              </w:rPr>
              <w:t>Capitalised interest</w:t>
            </w:r>
          </w:p>
        </w:tc>
        <w:tc>
          <w:tcPr>
            <w:tcW w:w="826" w:type="pct"/>
            <w:tcBorders>
              <w:left w:val="nil"/>
              <w:right w:val="nil"/>
            </w:tcBorders>
            <w:noWrap/>
            <w:vAlign w:val="bottom"/>
          </w:tcPr>
          <w:p w:rsidR="0058358E" w:rsidRDefault="0058358E" w:rsidP="00010337">
            <w:pPr>
              <w:jc w:val="right"/>
              <w:rPr>
                <w:rFonts w:ascii="Arial" w:hAnsi="Arial" w:cs="Arial"/>
                <w:b/>
                <w:sz w:val="18"/>
                <w:szCs w:val="18"/>
              </w:rPr>
            </w:pPr>
            <w:r>
              <w:rPr>
                <w:rFonts w:ascii="Arial" w:hAnsi="Arial" w:cs="Arial"/>
                <w:b/>
                <w:sz w:val="18"/>
                <w:szCs w:val="18"/>
              </w:rPr>
              <w:t>2</w:t>
            </w:r>
          </w:p>
        </w:tc>
        <w:tc>
          <w:tcPr>
            <w:tcW w:w="719" w:type="pct"/>
            <w:tcBorders>
              <w:left w:val="nil"/>
              <w:right w:val="nil"/>
            </w:tcBorders>
            <w:vAlign w:val="bottom"/>
          </w:tcPr>
          <w:p w:rsidR="0058358E" w:rsidRPr="00010337" w:rsidRDefault="0058358E" w:rsidP="00010337">
            <w:pPr>
              <w:jc w:val="right"/>
              <w:rPr>
                <w:rFonts w:ascii="Arial" w:hAnsi="Arial" w:cs="Arial"/>
                <w:sz w:val="18"/>
                <w:szCs w:val="18"/>
              </w:rPr>
            </w:pPr>
            <w:r>
              <w:rPr>
                <w:rFonts w:ascii="Arial" w:hAnsi="Arial" w:cs="Arial"/>
                <w:sz w:val="18"/>
                <w:szCs w:val="18"/>
              </w:rPr>
              <w:t>-</w:t>
            </w:r>
          </w:p>
        </w:tc>
      </w:tr>
      <w:tr w:rsidR="00010337" w:rsidRPr="00EF1091" w:rsidTr="00281AF4">
        <w:trPr>
          <w:trHeight w:val="240"/>
        </w:trPr>
        <w:tc>
          <w:tcPr>
            <w:tcW w:w="3455" w:type="pct"/>
            <w:tcBorders>
              <w:left w:val="nil"/>
              <w:right w:val="nil"/>
            </w:tcBorders>
            <w:noWrap/>
            <w:vAlign w:val="bottom"/>
          </w:tcPr>
          <w:p w:rsidR="00010337" w:rsidRDefault="00010337" w:rsidP="00010337">
            <w:pPr>
              <w:rPr>
                <w:rFonts w:ascii="Arial" w:hAnsi="Arial" w:cs="Arial"/>
                <w:sz w:val="18"/>
                <w:szCs w:val="18"/>
              </w:rPr>
            </w:pPr>
            <w:r>
              <w:rPr>
                <w:rFonts w:ascii="Arial" w:hAnsi="Arial" w:cs="Arial"/>
                <w:sz w:val="18"/>
                <w:szCs w:val="18"/>
              </w:rPr>
              <w:t>Other interest payable</w:t>
            </w:r>
          </w:p>
        </w:tc>
        <w:tc>
          <w:tcPr>
            <w:tcW w:w="826" w:type="pct"/>
            <w:tcBorders>
              <w:left w:val="nil"/>
              <w:right w:val="nil"/>
            </w:tcBorders>
            <w:noWrap/>
            <w:vAlign w:val="bottom"/>
          </w:tcPr>
          <w:p w:rsidR="00010337" w:rsidRDefault="0058358E" w:rsidP="00010337">
            <w:pPr>
              <w:jc w:val="right"/>
              <w:rPr>
                <w:rFonts w:ascii="Arial" w:hAnsi="Arial" w:cs="Arial"/>
                <w:b/>
                <w:sz w:val="18"/>
                <w:szCs w:val="18"/>
              </w:rPr>
            </w:pPr>
            <w:r>
              <w:rPr>
                <w:rFonts w:ascii="Arial" w:hAnsi="Arial" w:cs="Arial"/>
                <w:b/>
                <w:sz w:val="18"/>
                <w:szCs w:val="18"/>
              </w:rPr>
              <w:t>(5)</w:t>
            </w:r>
          </w:p>
        </w:tc>
        <w:tc>
          <w:tcPr>
            <w:tcW w:w="719" w:type="pct"/>
            <w:tcBorders>
              <w:left w:val="nil"/>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(5)</w:t>
            </w:r>
          </w:p>
        </w:tc>
      </w:tr>
      <w:tr w:rsidR="00010337" w:rsidRPr="00EF1091" w:rsidTr="00281AF4">
        <w:trPr>
          <w:trHeight w:val="240"/>
        </w:trPr>
        <w:tc>
          <w:tcPr>
            <w:tcW w:w="3455" w:type="pct"/>
            <w:tcBorders>
              <w:top w:val="single" w:sz="4" w:space="0" w:color="auto"/>
              <w:left w:val="nil"/>
              <w:bottom w:val="single" w:sz="4" w:space="0" w:color="auto"/>
              <w:right w:val="nil"/>
            </w:tcBorders>
            <w:noWrap/>
            <w:vAlign w:val="bottom"/>
          </w:tcPr>
          <w:p w:rsidR="00010337" w:rsidRPr="00EF1091" w:rsidRDefault="00010337" w:rsidP="00010337">
            <w:pPr>
              <w:rPr>
                <w:rFonts w:ascii="Arial" w:hAnsi="Arial" w:cs="Arial"/>
                <w:b/>
                <w:sz w:val="18"/>
                <w:szCs w:val="18"/>
              </w:rPr>
            </w:pPr>
            <w:r w:rsidRPr="00EF1091">
              <w:rPr>
                <w:rFonts w:ascii="Arial" w:hAnsi="Arial" w:cs="Arial"/>
                <w:b/>
                <w:sz w:val="18"/>
                <w:szCs w:val="18"/>
              </w:rPr>
              <w:t xml:space="preserve">Finance costs   </w:t>
            </w:r>
          </w:p>
        </w:tc>
        <w:tc>
          <w:tcPr>
            <w:tcW w:w="826" w:type="pct"/>
            <w:tcBorders>
              <w:top w:val="single" w:sz="4" w:space="0" w:color="auto"/>
              <w:left w:val="nil"/>
              <w:bottom w:val="single" w:sz="4" w:space="0" w:color="auto"/>
              <w:right w:val="nil"/>
            </w:tcBorders>
            <w:noWrap/>
            <w:vAlign w:val="bottom"/>
          </w:tcPr>
          <w:p w:rsidR="00010337" w:rsidRPr="00695F40" w:rsidRDefault="00BA65F2" w:rsidP="00010337">
            <w:pPr>
              <w:jc w:val="right"/>
              <w:rPr>
                <w:rFonts w:ascii="Arial" w:hAnsi="Arial" w:cs="Arial"/>
                <w:b/>
                <w:sz w:val="18"/>
                <w:szCs w:val="18"/>
              </w:rPr>
            </w:pPr>
            <w:r>
              <w:rPr>
                <w:rFonts w:ascii="Arial" w:hAnsi="Arial" w:cs="Arial"/>
                <w:b/>
                <w:sz w:val="18"/>
                <w:szCs w:val="18"/>
              </w:rPr>
              <w:t>(19</w:t>
            </w:r>
            <w:r w:rsidR="00242BB5">
              <w:rPr>
                <w:rFonts w:ascii="Arial" w:hAnsi="Arial" w:cs="Arial"/>
                <w:b/>
                <w:sz w:val="18"/>
                <w:szCs w:val="18"/>
              </w:rPr>
              <w:t>)</w:t>
            </w:r>
          </w:p>
        </w:tc>
        <w:tc>
          <w:tcPr>
            <w:tcW w:w="719" w:type="pct"/>
            <w:tcBorders>
              <w:top w:val="single" w:sz="4" w:space="0" w:color="auto"/>
              <w:left w:val="nil"/>
              <w:bottom w:val="single" w:sz="4" w:space="0" w:color="auto"/>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(27)</w:t>
            </w:r>
          </w:p>
        </w:tc>
      </w:tr>
      <w:tr w:rsidR="00010337" w:rsidRPr="00EF1091" w:rsidTr="00281AF4">
        <w:trPr>
          <w:trHeight w:val="240"/>
        </w:trPr>
        <w:tc>
          <w:tcPr>
            <w:tcW w:w="3455" w:type="pct"/>
            <w:tcBorders>
              <w:top w:val="single" w:sz="4" w:space="0" w:color="auto"/>
              <w:left w:val="nil"/>
              <w:right w:val="nil"/>
            </w:tcBorders>
            <w:noWrap/>
            <w:vAlign w:val="bottom"/>
          </w:tcPr>
          <w:p w:rsidR="00010337" w:rsidRDefault="00010337" w:rsidP="00010337">
            <w:pPr>
              <w:rPr>
                <w:rFonts w:ascii="Arial" w:hAnsi="Arial" w:cs="Arial"/>
                <w:sz w:val="18"/>
                <w:szCs w:val="18"/>
              </w:rPr>
            </w:pPr>
          </w:p>
        </w:tc>
        <w:tc>
          <w:tcPr>
            <w:tcW w:w="826" w:type="pct"/>
            <w:tcBorders>
              <w:top w:val="single" w:sz="4" w:space="0" w:color="auto"/>
              <w:left w:val="nil"/>
              <w:right w:val="nil"/>
            </w:tcBorders>
            <w:noWrap/>
            <w:vAlign w:val="bottom"/>
          </w:tcPr>
          <w:p w:rsidR="00010337" w:rsidRPr="00695F40" w:rsidRDefault="00010337" w:rsidP="00010337">
            <w:pPr>
              <w:jc w:val="right"/>
              <w:rPr>
                <w:rFonts w:ascii="Arial" w:hAnsi="Arial" w:cs="Arial"/>
                <w:b/>
                <w:sz w:val="18"/>
                <w:szCs w:val="18"/>
              </w:rPr>
            </w:pPr>
          </w:p>
        </w:tc>
        <w:tc>
          <w:tcPr>
            <w:tcW w:w="719" w:type="pct"/>
            <w:tcBorders>
              <w:top w:val="single" w:sz="4" w:space="0" w:color="auto"/>
              <w:left w:val="nil"/>
              <w:right w:val="nil"/>
            </w:tcBorders>
            <w:vAlign w:val="bottom"/>
          </w:tcPr>
          <w:p w:rsidR="00010337" w:rsidRPr="00010337" w:rsidRDefault="00010337" w:rsidP="00010337">
            <w:pPr>
              <w:jc w:val="right"/>
              <w:rPr>
                <w:rFonts w:ascii="Arial" w:hAnsi="Arial" w:cs="Arial"/>
                <w:sz w:val="18"/>
                <w:szCs w:val="18"/>
              </w:rPr>
            </w:pPr>
          </w:p>
        </w:tc>
      </w:tr>
      <w:tr w:rsidR="00010337" w:rsidRPr="00EF1091" w:rsidTr="00281AF4">
        <w:trPr>
          <w:trHeight w:val="240"/>
        </w:trPr>
        <w:tc>
          <w:tcPr>
            <w:tcW w:w="3455" w:type="pct"/>
            <w:tcBorders>
              <w:left w:val="nil"/>
              <w:bottom w:val="nil"/>
              <w:right w:val="nil"/>
            </w:tcBorders>
            <w:noWrap/>
            <w:vAlign w:val="bottom"/>
          </w:tcPr>
          <w:p w:rsidR="00010337" w:rsidRPr="00EF1091" w:rsidRDefault="00010337" w:rsidP="00010337">
            <w:pPr>
              <w:rPr>
                <w:rFonts w:ascii="Arial" w:hAnsi="Arial" w:cs="Arial"/>
                <w:sz w:val="18"/>
                <w:szCs w:val="18"/>
              </w:rPr>
            </w:pPr>
            <w:r>
              <w:rPr>
                <w:rFonts w:ascii="Arial" w:hAnsi="Arial" w:cs="Arial"/>
                <w:sz w:val="18"/>
                <w:szCs w:val="18"/>
              </w:rPr>
              <w:t xml:space="preserve">Cash and cash equivalents </w:t>
            </w:r>
            <w:r w:rsidR="00074B0D">
              <w:rPr>
                <w:rFonts w:ascii="Arial" w:hAnsi="Arial" w:cs="Arial"/>
                <w:sz w:val="18"/>
                <w:szCs w:val="18"/>
              </w:rPr>
              <w:t>and short term deposits</w:t>
            </w:r>
          </w:p>
        </w:tc>
        <w:tc>
          <w:tcPr>
            <w:tcW w:w="826" w:type="pct"/>
            <w:tcBorders>
              <w:left w:val="nil"/>
              <w:bottom w:val="nil"/>
              <w:right w:val="nil"/>
            </w:tcBorders>
            <w:noWrap/>
            <w:vAlign w:val="bottom"/>
          </w:tcPr>
          <w:p w:rsidR="00010337" w:rsidRPr="00FA21A3" w:rsidRDefault="0058358E" w:rsidP="00010337">
            <w:pPr>
              <w:jc w:val="right"/>
              <w:rPr>
                <w:rFonts w:ascii="Arial" w:hAnsi="Arial" w:cs="Arial"/>
                <w:b/>
                <w:sz w:val="18"/>
                <w:szCs w:val="18"/>
              </w:rPr>
            </w:pPr>
            <w:r w:rsidRPr="00FA21A3">
              <w:rPr>
                <w:rFonts w:ascii="Arial" w:hAnsi="Arial" w:cs="Arial"/>
                <w:b/>
                <w:sz w:val="18"/>
                <w:szCs w:val="18"/>
              </w:rPr>
              <w:t>8</w:t>
            </w:r>
          </w:p>
        </w:tc>
        <w:tc>
          <w:tcPr>
            <w:tcW w:w="719" w:type="pct"/>
            <w:tcBorders>
              <w:left w:val="nil"/>
              <w:bottom w:val="nil"/>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6</w:t>
            </w:r>
          </w:p>
        </w:tc>
      </w:tr>
      <w:tr w:rsidR="00010337" w:rsidRPr="00EF1091" w:rsidTr="00281AF4">
        <w:trPr>
          <w:trHeight w:val="240"/>
        </w:trPr>
        <w:tc>
          <w:tcPr>
            <w:tcW w:w="3455" w:type="pct"/>
            <w:tcBorders>
              <w:left w:val="nil"/>
              <w:right w:val="nil"/>
            </w:tcBorders>
            <w:noWrap/>
            <w:vAlign w:val="bottom"/>
          </w:tcPr>
          <w:p w:rsidR="00010337" w:rsidRDefault="00010337" w:rsidP="00010337">
            <w:pPr>
              <w:rPr>
                <w:rFonts w:ascii="Arial" w:hAnsi="Arial" w:cs="Arial"/>
                <w:sz w:val="18"/>
                <w:szCs w:val="18"/>
              </w:rPr>
            </w:pPr>
            <w:r>
              <w:rPr>
                <w:rFonts w:ascii="Arial" w:hAnsi="Arial" w:cs="Arial"/>
                <w:sz w:val="18"/>
                <w:szCs w:val="18"/>
              </w:rPr>
              <w:t>Net interest income on defined benefit pension schemes</w:t>
            </w:r>
          </w:p>
        </w:tc>
        <w:tc>
          <w:tcPr>
            <w:tcW w:w="826" w:type="pct"/>
            <w:tcBorders>
              <w:left w:val="nil"/>
              <w:right w:val="nil"/>
            </w:tcBorders>
            <w:noWrap/>
            <w:vAlign w:val="bottom"/>
          </w:tcPr>
          <w:p w:rsidR="00010337" w:rsidRPr="00FA21A3" w:rsidRDefault="00BA65F2" w:rsidP="00010337">
            <w:pPr>
              <w:jc w:val="right"/>
              <w:rPr>
                <w:rFonts w:ascii="Arial" w:hAnsi="Arial" w:cs="Arial"/>
                <w:b/>
                <w:sz w:val="18"/>
                <w:szCs w:val="18"/>
              </w:rPr>
            </w:pPr>
            <w:r w:rsidRPr="00FA21A3">
              <w:rPr>
                <w:rFonts w:ascii="Arial" w:hAnsi="Arial" w:cs="Arial"/>
                <w:b/>
                <w:sz w:val="18"/>
                <w:szCs w:val="18"/>
              </w:rPr>
              <w:t>5</w:t>
            </w:r>
          </w:p>
        </w:tc>
        <w:tc>
          <w:tcPr>
            <w:tcW w:w="719" w:type="pct"/>
            <w:tcBorders>
              <w:left w:val="nil"/>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7</w:t>
            </w:r>
          </w:p>
        </w:tc>
      </w:tr>
      <w:tr w:rsidR="0058358E" w:rsidRPr="00EF1091" w:rsidTr="00281AF4">
        <w:trPr>
          <w:trHeight w:val="240"/>
        </w:trPr>
        <w:tc>
          <w:tcPr>
            <w:tcW w:w="3455" w:type="pct"/>
            <w:tcBorders>
              <w:left w:val="nil"/>
              <w:right w:val="nil"/>
            </w:tcBorders>
            <w:noWrap/>
            <w:vAlign w:val="bottom"/>
          </w:tcPr>
          <w:p w:rsidR="0058358E" w:rsidRDefault="0058358E" w:rsidP="00010337">
            <w:pPr>
              <w:rPr>
                <w:rFonts w:ascii="Arial" w:hAnsi="Arial" w:cs="Arial"/>
                <w:sz w:val="18"/>
                <w:szCs w:val="18"/>
              </w:rPr>
            </w:pPr>
            <w:r>
              <w:rPr>
                <w:rFonts w:ascii="Arial" w:hAnsi="Arial" w:cs="Arial"/>
                <w:sz w:val="18"/>
                <w:szCs w:val="18"/>
              </w:rPr>
              <w:t>Other interest income</w:t>
            </w:r>
          </w:p>
        </w:tc>
        <w:tc>
          <w:tcPr>
            <w:tcW w:w="826" w:type="pct"/>
            <w:tcBorders>
              <w:left w:val="nil"/>
              <w:right w:val="nil"/>
            </w:tcBorders>
            <w:noWrap/>
            <w:vAlign w:val="bottom"/>
          </w:tcPr>
          <w:p w:rsidR="0058358E" w:rsidRPr="00FA21A3" w:rsidRDefault="0058358E" w:rsidP="00010337">
            <w:pPr>
              <w:jc w:val="right"/>
              <w:rPr>
                <w:rFonts w:ascii="Arial" w:hAnsi="Arial" w:cs="Arial"/>
                <w:b/>
                <w:sz w:val="18"/>
                <w:szCs w:val="18"/>
              </w:rPr>
            </w:pPr>
            <w:r w:rsidRPr="00FA21A3">
              <w:rPr>
                <w:rFonts w:ascii="Arial" w:hAnsi="Arial" w:cs="Arial"/>
                <w:b/>
                <w:sz w:val="18"/>
                <w:szCs w:val="18"/>
              </w:rPr>
              <w:t>3</w:t>
            </w:r>
          </w:p>
        </w:tc>
        <w:tc>
          <w:tcPr>
            <w:tcW w:w="719" w:type="pct"/>
            <w:tcBorders>
              <w:left w:val="nil"/>
              <w:right w:val="nil"/>
            </w:tcBorders>
            <w:vAlign w:val="bottom"/>
          </w:tcPr>
          <w:p w:rsidR="0058358E" w:rsidRPr="00010337" w:rsidRDefault="0058358E" w:rsidP="00010337">
            <w:pPr>
              <w:jc w:val="right"/>
              <w:rPr>
                <w:rFonts w:ascii="Arial" w:hAnsi="Arial" w:cs="Arial"/>
                <w:sz w:val="18"/>
                <w:szCs w:val="18"/>
              </w:rPr>
            </w:pPr>
            <w:r>
              <w:rPr>
                <w:rFonts w:ascii="Arial" w:hAnsi="Arial" w:cs="Arial"/>
                <w:sz w:val="18"/>
                <w:szCs w:val="18"/>
              </w:rPr>
              <w:t>-</w:t>
            </w:r>
          </w:p>
        </w:tc>
      </w:tr>
      <w:tr w:rsidR="00010337" w:rsidRPr="00EF1091" w:rsidTr="00281AF4">
        <w:trPr>
          <w:trHeight w:val="240"/>
        </w:trPr>
        <w:tc>
          <w:tcPr>
            <w:tcW w:w="3455" w:type="pct"/>
            <w:tcBorders>
              <w:top w:val="single" w:sz="4" w:space="0" w:color="auto"/>
              <w:left w:val="nil"/>
              <w:bottom w:val="single" w:sz="2" w:space="0" w:color="auto"/>
              <w:right w:val="nil"/>
            </w:tcBorders>
            <w:noWrap/>
            <w:vAlign w:val="bottom"/>
          </w:tcPr>
          <w:p w:rsidR="00010337" w:rsidRPr="00EF1091" w:rsidRDefault="00010337" w:rsidP="00010337">
            <w:pPr>
              <w:rPr>
                <w:rFonts w:ascii="Arial" w:hAnsi="Arial" w:cs="Arial"/>
                <w:b/>
                <w:sz w:val="18"/>
                <w:szCs w:val="18"/>
              </w:rPr>
            </w:pPr>
            <w:r w:rsidRPr="00EF1091">
              <w:rPr>
                <w:rFonts w:ascii="Arial" w:hAnsi="Arial" w:cs="Arial"/>
                <w:b/>
                <w:sz w:val="18"/>
                <w:szCs w:val="18"/>
              </w:rPr>
              <w:t xml:space="preserve">Finance income </w:t>
            </w:r>
          </w:p>
        </w:tc>
        <w:tc>
          <w:tcPr>
            <w:tcW w:w="826" w:type="pct"/>
            <w:tcBorders>
              <w:top w:val="single" w:sz="4" w:space="0" w:color="auto"/>
              <w:left w:val="nil"/>
              <w:bottom w:val="single" w:sz="2" w:space="0" w:color="auto"/>
              <w:right w:val="nil"/>
            </w:tcBorders>
            <w:noWrap/>
            <w:vAlign w:val="bottom"/>
          </w:tcPr>
          <w:p w:rsidR="00010337" w:rsidRPr="00FA21A3" w:rsidRDefault="00BA65F2" w:rsidP="00010337">
            <w:pPr>
              <w:jc w:val="right"/>
              <w:rPr>
                <w:rFonts w:ascii="Arial" w:hAnsi="Arial" w:cs="Arial"/>
                <w:b/>
                <w:sz w:val="18"/>
                <w:szCs w:val="18"/>
              </w:rPr>
            </w:pPr>
            <w:r w:rsidRPr="00FA21A3">
              <w:rPr>
                <w:rFonts w:ascii="Arial" w:hAnsi="Arial" w:cs="Arial"/>
                <w:b/>
                <w:sz w:val="18"/>
                <w:szCs w:val="18"/>
              </w:rPr>
              <w:t>1</w:t>
            </w:r>
            <w:r w:rsidR="00B54937" w:rsidRPr="00FA21A3">
              <w:rPr>
                <w:rFonts w:ascii="Arial" w:hAnsi="Arial" w:cs="Arial"/>
                <w:b/>
                <w:sz w:val="18"/>
                <w:szCs w:val="18"/>
              </w:rPr>
              <w:t>6</w:t>
            </w:r>
          </w:p>
        </w:tc>
        <w:tc>
          <w:tcPr>
            <w:tcW w:w="719" w:type="pct"/>
            <w:tcBorders>
              <w:top w:val="single" w:sz="4" w:space="0" w:color="auto"/>
              <w:left w:val="nil"/>
              <w:bottom w:val="single" w:sz="2" w:space="0" w:color="auto"/>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13</w:t>
            </w:r>
          </w:p>
        </w:tc>
      </w:tr>
      <w:tr w:rsidR="00010337" w:rsidRPr="0054593F" w:rsidTr="00281AF4">
        <w:trPr>
          <w:trHeight w:val="255"/>
        </w:trPr>
        <w:tc>
          <w:tcPr>
            <w:tcW w:w="3455" w:type="pct"/>
            <w:tcBorders>
              <w:top w:val="single" w:sz="2" w:space="0" w:color="auto"/>
              <w:left w:val="nil"/>
              <w:right w:val="nil"/>
            </w:tcBorders>
            <w:noWrap/>
            <w:vAlign w:val="bottom"/>
          </w:tcPr>
          <w:p w:rsidR="00010337" w:rsidRPr="0054593F" w:rsidRDefault="00010337" w:rsidP="00010337">
            <w:pPr>
              <w:rPr>
                <w:rFonts w:ascii="Arial" w:hAnsi="Arial" w:cs="Arial"/>
                <w:b/>
                <w:sz w:val="18"/>
                <w:szCs w:val="18"/>
              </w:rPr>
            </w:pPr>
          </w:p>
        </w:tc>
        <w:tc>
          <w:tcPr>
            <w:tcW w:w="826" w:type="pct"/>
            <w:tcBorders>
              <w:top w:val="single" w:sz="2" w:space="0" w:color="auto"/>
              <w:left w:val="nil"/>
              <w:right w:val="nil"/>
            </w:tcBorders>
            <w:noWrap/>
            <w:vAlign w:val="bottom"/>
          </w:tcPr>
          <w:p w:rsidR="00010337" w:rsidRPr="00695F40" w:rsidRDefault="00010337" w:rsidP="00010337">
            <w:pPr>
              <w:jc w:val="right"/>
              <w:rPr>
                <w:rFonts w:ascii="Arial" w:hAnsi="Arial" w:cs="Arial"/>
                <w:b/>
                <w:sz w:val="18"/>
                <w:szCs w:val="18"/>
              </w:rPr>
            </w:pPr>
          </w:p>
        </w:tc>
        <w:tc>
          <w:tcPr>
            <w:tcW w:w="719" w:type="pct"/>
            <w:tcBorders>
              <w:top w:val="single" w:sz="2" w:space="0" w:color="auto"/>
              <w:left w:val="nil"/>
              <w:right w:val="nil"/>
            </w:tcBorders>
            <w:vAlign w:val="bottom"/>
          </w:tcPr>
          <w:p w:rsidR="00010337" w:rsidRPr="00010337" w:rsidRDefault="00010337" w:rsidP="00010337">
            <w:pPr>
              <w:jc w:val="right"/>
              <w:rPr>
                <w:rFonts w:ascii="Arial" w:hAnsi="Arial" w:cs="Arial"/>
                <w:sz w:val="18"/>
                <w:szCs w:val="18"/>
              </w:rPr>
            </w:pPr>
          </w:p>
        </w:tc>
      </w:tr>
      <w:tr w:rsidR="00010337" w:rsidRPr="0054593F" w:rsidTr="00281AF4">
        <w:trPr>
          <w:trHeight w:val="255"/>
        </w:trPr>
        <w:tc>
          <w:tcPr>
            <w:tcW w:w="3455" w:type="pct"/>
            <w:tcBorders>
              <w:left w:val="nil"/>
              <w:bottom w:val="single" w:sz="12" w:space="0" w:color="auto"/>
              <w:right w:val="nil"/>
            </w:tcBorders>
            <w:noWrap/>
            <w:vAlign w:val="bottom"/>
          </w:tcPr>
          <w:p w:rsidR="00010337" w:rsidRPr="00146A33" w:rsidRDefault="00010337" w:rsidP="00010337">
            <w:pPr>
              <w:rPr>
                <w:rFonts w:ascii="Arial" w:hAnsi="Arial" w:cs="Arial"/>
                <w:b/>
                <w:sz w:val="18"/>
                <w:szCs w:val="18"/>
              </w:rPr>
            </w:pPr>
            <w:r w:rsidRPr="00146A33">
              <w:rPr>
                <w:rFonts w:ascii="Arial" w:hAnsi="Arial" w:cs="Arial"/>
                <w:b/>
                <w:bCs/>
                <w:sz w:val="18"/>
                <w:szCs w:val="18"/>
              </w:rPr>
              <w:t>Net finance costs</w:t>
            </w:r>
          </w:p>
        </w:tc>
        <w:tc>
          <w:tcPr>
            <w:tcW w:w="826" w:type="pct"/>
            <w:tcBorders>
              <w:left w:val="nil"/>
              <w:bottom w:val="single" w:sz="12" w:space="0" w:color="auto"/>
              <w:right w:val="nil"/>
            </w:tcBorders>
            <w:noWrap/>
            <w:vAlign w:val="bottom"/>
          </w:tcPr>
          <w:p w:rsidR="00010337" w:rsidRPr="00146A33" w:rsidRDefault="00242BB5" w:rsidP="00010337">
            <w:pPr>
              <w:jc w:val="right"/>
              <w:rPr>
                <w:rFonts w:ascii="Arial" w:hAnsi="Arial" w:cs="Arial"/>
                <w:b/>
                <w:sz w:val="18"/>
                <w:szCs w:val="18"/>
              </w:rPr>
            </w:pPr>
            <w:r>
              <w:rPr>
                <w:rFonts w:ascii="Arial" w:hAnsi="Arial" w:cs="Arial"/>
                <w:b/>
                <w:sz w:val="18"/>
                <w:szCs w:val="18"/>
              </w:rPr>
              <w:t>(3)</w:t>
            </w:r>
          </w:p>
        </w:tc>
        <w:tc>
          <w:tcPr>
            <w:tcW w:w="719" w:type="pct"/>
            <w:tcBorders>
              <w:left w:val="nil"/>
              <w:bottom w:val="single" w:sz="12" w:space="0" w:color="auto"/>
              <w:right w:val="nil"/>
            </w:tcBorders>
            <w:vAlign w:val="bottom"/>
          </w:tcPr>
          <w:p w:rsidR="00010337" w:rsidRPr="00010337" w:rsidRDefault="00010337" w:rsidP="00010337">
            <w:pPr>
              <w:jc w:val="right"/>
              <w:rPr>
                <w:rFonts w:ascii="Arial" w:hAnsi="Arial" w:cs="Arial"/>
                <w:sz w:val="18"/>
                <w:szCs w:val="18"/>
              </w:rPr>
            </w:pPr>
            <w:r w:rsidRPr="00010337">
              <w:rPr>
                <w:rFonts w:ascii="Arial" w:hAnsi="Arial" w:cs="Arial"/>
                <w:sz w:val="18"/>
                <w:szCs w:val="18"/>
              </w:rPr>
              <w:t>(14)</w:t>
            </w:r>
          </w:p>
        </w:tc>
      </w:tr>
    </w:tbl>
    <w:p w:rsidR="0067757E" w:rsidRDefault="0067757E" w:rsidP="005028B9">
      <w:pPr>
        <w:rPr>
          <w:rFonts w:ascii="Arial" w:hAnsi="Arial" w:cs="Arial"/>
          <w:color w:val="0000FF"/>
          <w:sz w:val="18"/>
          <w:szCs w:val="18"/>
        </w:rPr>
      </w:pPr>
    </w:p>
    <w:p w:rsidR="00522507" w:rsidRPr="00F65467" w:rsidRDefault="00522507" w:rsidP="00FA21A3">
      <w:pPr>
        <w:jc w:val="both"/>
        <w:rPr>
          <w:rFonts w:ascii="Proxima Nova" w:hAnsi="Proxima Nova"/>
          <w:sz w:val="16"/>
        </w:rPr>
      </w:pPr>
      <w:bookmarkStart w:id="2" w:name="_Hlk507925624"/>
      <w:r w:rsidRPr="00FA21A3">
        <w:rPr>
          <w:rFonts w:ascii="Arial" w:hAnsi="Arial" w:cs="Arial"/>
          <w:sz w:val="18"/>
        </w:rPr>
        <w:t>In the prior year, the £7m charge relating to the unwinding of discount on provisions included a £6m exceptional finance charge relating to the reduction in discount rate used to measure the overall UK restructuring provision</w:t>
      </w:r>
      <w:r w:rsidRPr="00F65467">
        <w:rPr>
          <w:rFonts w:ascii="Proxima Nova" w:hAnsi="Proxima Nova"/>
          <w:spacing w:val="-3"/>
          <w:sz w:val="16"/>
        </w:rPr>
        <w:t>.</w:t>
      </w:r>
    </w:p>
    <w:p w:rsidR="00522507" w:rsidRDefault="00522507" w:rsidP="005028B9">
      <w:pPr>
        <w:rPr>
          <w:rFonts w:ascii="Arial" w:hAnsi="Arial" w:cs="Arial"/>
          <w:color w:val="0000FF"/>
          <w:sz w:val="18"/>
          <w:szCs w:val="18"/>
        </w:rPr>
      </w:pPr>
    </w:p>
    <w:bookmarkEnd w:id="2"/>
    <w:p w:rsidR="001F5B32" w:rsidRPr="005028B9" w:rsidRDefault="001F5B32" w:rsidP="005028B9">
      <w:pPr>
        <w:rPr>
          <w:rFonts w:ascii="Arial" w:hAnsi="Arial" w:cs="Arial"/>
          <w:color w:val="0000FF"/>
          <w:sz w:val="18"/>
          <w:szCs w:val="18"/>
        </w:rPr>
      </w:pPr>
    </w:p>
    <w:p w:rsidR="00DC25B4" w:rsidRPr="00EF1091" w:rsidRDefault="00F764F7" w:rsidP="00F764F7">
      <w:pPr>
        <w:pStyle w:val="Heading1"/>
        <w:ind w:left="-456"/>
        <w:rPr>
          <w:rFonts w:ascii="Arial" w:hAnsi="Arial" w:cs="Arial"/>
          <w:szCs w:val="18"/>
        </w:rPr>
      </w:pPr>
      <w:r>
        <w:rPr>
          <w:rFonts w:ascii="Arial" w:hAnsi="Arial" w:cs="Arial"/>
          <w:szCs w:val="18"/>
        </w:rPr>
        <w:t>6</w:t>
      </w:r>
      <w:r>
        <w:rPr>
          <w:rFonts w:ascii="Arial" w:hAnsi="Arial" w:cs="Arial"/>
          <w:szCs w:val="18"/>
        </w:rPr>
        <w:tab/>
      </w:r>
      <w:r w:rsidR="00DC25B4" w:rsidRPr="00EF1091">
        <w:rPr>
          <w:rFonts w:ascii="Arial" w:hAnsi="Arial" w:cs="Arial"/>
          <w:szCs w:val="18"/>
        </w:rPr>
        <w:t>Income tax expense</w:t>
      </w:r>
    </w:p>
    <w:p w:rsidR="00DC25B4" w:rsidRDefault="00DC25B4">
      <w:pPr>
        <w:rPr>
          <w:rFonts w:ascii="Arial" w:hAnsi="Arial" w:cs="Arial"/>
          <w:sz w:val="18"/>
          <w:szCs w:val="18"/>
        </w:rPr>
      </w:pPr>
    </w:p>
    <w:tbl>
      <w:tblPr>
        <w:tblW w:w="4986" w:type="pct"/>
        <w:tblLook w:val="0000" w:firstRow="0" w:lastRow="0" w:firstColumn="0" w:lastColumn="0" w:noHBand="0" w:noVBand="0"/>
      </w:tblPr>
      <w:tblGrid>
        <w:gridCol w:w="6661"/>
        <w:gridCol w:w="1592"/>
        <w:gridCol w:w="1359"/>
      </w:tblGrid>
      <w:tr w:rsidR="00B11F69" w:rsidRPr="002A7D7A" w:rsidTr="00281AF4">
        <w:trPr>
          <w:trHeight w:val="255"/>
        </w:trPr>
        <w:tc>
          <w:tcPr>
            <w:tcW w:w="3465" w:type="pct"/>
            <w:tcBorders>
              <w:top w:val="nil"/>
              <w:left w:val="nil"/>
              <w:bottom w:val="single" w:sz="4" w:space="0" w:color="auto"/>
              <w:right w:val="nil"/>
            </w:tcBorders>
            <w:shd w:val="clear" w:color="auto" w:fill="auto"/>
            <w:noWrap/>
            <w:vAlign w:val="bottom"/>
          </w:tcPr>
          <w:p w:rsidR="00B11F69" w:rsidRPr="002A7D7A" w:rsidRDefault="00B11F69" w:rsidP="00B11F69">
            <w:pPr>
              <w:rPr>
                <w:rFonts w:ascii="Arial" w:hAnsi="Arial" w:cs="Arial"/>
                <w:sz w:val="18"/>
                <w:szCs w:val="18"/>
              </w:rPr>
            </w:pPr>
            <w:r w:rsidRPr="002A7D7A">
              <w:rPr>
                <w:rFonts w:ascii="Arial" w:hAnsi="Arial" w:cs="Arial"/>
                <w:sz w:val="18"/>
                <w:szCs w:val="18"/>
              </w:rPr>
              <w:t>£ millions</w:t>
            </w:r>
          </w:p>
        </w:tc>
        <w:tc>
          <w:tcPr>
            <w:tcW w:w="828" w:type="pct"/>
            <w:tcBorders>
              <w:left w:val="nil"/>
              <w:bottom w:val="single" w:sz="4" w:space="0" w:color="auto"/>
              <w:right w:val="nil"/>
            </w:tcBorders>
            <w:shd w:val="clear" w:color="auto" w:fill="auto"/>
            <w:noWrap/>
            <w:vAlign w:val="bottom"/>
          </w:tcPr>
          <w:p w:rsidR="00B11F69" w:rsidRPr="00CD6F3E" w:rsidRDefault="00B11F69" w:rsidP="00A40C53">
            <w:pPr>
              <w:jc w:val="right"/>
              <w:rPr>
                <w:rFonts w:ascii="Arial" w:hAnsi="Arial" w:cs="Arial"/>
                <w:bCs/>
                <w:sz w:val="18"/>
                <w:szCs w:val="18"/>
              </w:rPr>
            </w:pPr>
            <w:r w:rsidRPr="008C583A">
              <w:rPr>
                <w:rFonts w:ascii="Arial" w:hAnsi="Arial" w:cs="Arial"/>
                <w:bCs/>
                <w:sz w:val="18"/>
                <w:szCs w:val="18"/>
              </w:rPr>
              <w:t>201</w:t>
            </w:r>
            <w:r w:rsidR="00A40C53">
              <w:rPr>
                <w:rFonts w:ascii="Arial" w:hAnsi="Arial" w:cs="Arial"/>
                <w:bCs/>
                <w:sz w:val="18"/>
                <w:szCs w:val="18"/>
              </w:rPr>
              <w:t>7</w:t>
            </w:r>
            <w:r w:rsidRPr="00FC37BE">
              <w:rPr>
                <w:rFonts w:ascii="Arial" w:hAnsi="Arial" w:cs="Arial"/>
                <w:bCs/>
                <w:sz w:val="18"/>
                <w:szCs w:val="18"/>
              </w:rPr>
              <w:t>/1</w:t>
            </w:r>
            <w:r w:rsidR="00A40C53">
              <w:rPr>
                <w:rFonts w:ascii="Arial" w:hAnsi="Arial" w:cs="Arial"/>
                <w:bCs/>
                <w:sz w:val="18"/>
                <w:szCs w:val="18"/>
              </w:rPr>
              <w:t>8</w:t>
            </w:r>
          </w:p>
        </w:tc>
        <w:tc>
          <w:tcPr>
            <w:tcW w:w="707" w:type="pct"/>
            <w:tcBorders>
              <w:left w:val="nil"/>
              <w:bottom w:val="single" w:sz="4" w:space="0" w:color="auto"/>
              <w:right w:val="nil"/>
            </w:tcBorders>
            <w:vAlign w:val="bottom"/>
          </w:tcPr>
          <w:p w:rsidR="00B11F69" w:rsidRPr="000206F0" w:rsidRDefault="000206F0" w:rsidP="00A40C53">
            <w:pPr>
              <w:jc w:val="right"/>
              <w:rPr>
                <w:rFonts w:ascii="Arial" w:hAnsi="Arial" w:cs="Arial"/>
                <w:b/>
                <w:bCs/>
                <w:sz w:val="18"/>
                <w:szCs w:val="18"/>
              </w:rPr>
            </w:pPr>
            <w:r w:rsidRPr="008C583A">
              <w:rPr>
                <w:rFonts w:ascii="Arial" w:hAnsi="Arial" w:cs="Arial"/>
                <w:bCs/>
                <w:sz w:val="18"/>
                <w:szCs w:val="18"/>
              </w:rPr>
              <w:t>201</w:t>
            </w:r>
            <w:r w:rsidR="00A40C53">
              <w:rPr>
                <w:rFonts w:ascii="Arial" w:hAnsi="Arial" w:cs="Arial"/>
                <w:bCs/>
                <w:sz w:val="18"/>
                <w:szCs w:val="18"/>
              </w:rPr>
              <w:t>6</w:t>
            </w:r>
            <w:r w:rsidRPr="00FC37BE">
              <w:rPr>
                <w:rFonts w:ascii="Arial" w:hAnsi="Arial" w:cs="Arial"/>
                <w:bCs/>
                <w:sz w:val="18"/>
                <w:szCs w:val="18"/>
              </w:rPr>
              <w:t>/1</w:t>
            </w:r>
            <w:r w:rsidR="00A40C53">
              <w:rPr>
                <w:rFonts w:ascii="Arial" w:hAnsi="Arial" w:cs="Arial"/>
                <w:bCs/>
                <w:sz w:val="18"/>
                <w:szCs w:val="18"/>
              </w:rPr>
              <w:t>7</w:t>
            </w:r>
          </w:p>
        </w:tc>
      </w:tr>
      <w:tr w:rsidR="00B11F69" w:rsidRPr="002A7D7A" w:rsidTr="00281AF4">
        <w:trPr>
          <w:trHeight w:val="255"/>
        </w:trPr>
        <w:tc>
          <w:tcPr>
            <w:tcW w:w="3465" w:type="pct"/>
            <w:tcBorders>
              <w:top w:val="single" w:sz="4" w:space="0" w:color="auto"/>
              <w:left w:val="nil"/>
              <w:bottom w:val="nil"/>
              <w:right w:val="nil"/>
            </w:tcBorders>
            <w:shd w:val="clear" w:color="auto" w:fill="auto"/>
            <w:noWrap/>
            <w:vAlign w:val="bottom"/>
          </w:tcPr>
          <w:p w:rsidR="00B11F69" w:rsidRPr="002A7D7A" w:rsidRDefault="00FB58AD" w:rsidP="00B11F69">
            <w:pPr>
              <w:rPr>
                <w:rFonts w:ascii="Arial" w:hAnsi="Arial" w:cs="Arial"/>
                <w:b/>
                <w:bCs/>
                <w:sz w:val="18"/>
                <w:szCs w:val="18"/>
              </w:rPr>
            </w:pPr>
            <w:r>
              <w:rPr>
                <w:rFonts w:ascii="Arial" w:hAnsi="Arial" w:cs="Arial"/>
                <w:b/>
                <w:bCs/>
                <w:sz w:val="18"/>
                <w:szCs w:val="18"/>
              </w:rPr>
              <w:t>UK corporation tax</w:t>
            </w:r>
          </w:p>
        </w:tc>
        <w:tc>
          <w:tcPr>
            <w:tcW w:w="828" w:type="pct"/>
            <w:tcBorders>
              <w:top w:val="single" w:sz="4" w:space="0" w:color="auto"/>
              <w:left w:val="nil"/>
              <w:bottom w:val="nil"/>
              <w:right w:val="nil"/>
            </w:tcBorders>
            <w:shd w:val="clear" w:color="auto" w:fill="auto"/>
            <w:noWrap/>
            <w:vAlign w:val="bottom"/>
          </w:tcPr>
          <w:p w:rsidR="00B11F69" w:rsidRPr="008D47B9" w:rsidRDefault="00B11F69" w:rsidP="00B11F69">
            <w:pPr>
              <w:jc w:val="right"/>
              <w:rPr>
                <w:rFonts w:ascii="Arial" w:hAnsi="Arial" w:cs="Arial"/>
                <w:sz w:val="18"/>
                <w:szCs w:val="18"/>
              </w:rPr>
            </w:pPr>
          </w:p>
        </w:tc>
        <w:tc>
          <w:tcPr>
            <w:tcW w:w="707" w:type="pct"/>
            <w:tcBorders>
              <w:top w:val="single" w:sz="4" w:space="0" w:color="auto"/>
              <w:left w:val="nil"/>
              <w:bottom w:val="nil"/>
              <w:right w:val="nil"/>
            </w:tcBorders>
            <w:vAlign w:val="bottom"/>
          </w:tcPr>
          <w:p w:rsidR="00B11F69" w:rsidRPr="000206F0" w:rsidRDefault="00B11F69" w:rsidP="00B11F69">
            <w:pPr>
              <w:rPr>
                <w:rFonts w:ascii="Arial" w:hAnsi="Arial" w:cs="Arial"/>
                <w:b/>
                <w:sz w:val="18"/>
                <w:szCs w:val="18"/>
              </w:rPr>
            </w:pPr>
          </w:p>
        </w:tc>
      </w:tr>
      <w:tr w:rsidR="00A40C53" w:rsidRPr="00281AF4" w:rsidTr="00281AF4">
        <w:trPr>
          <w:trHeight w:val="255"/>
        </w:trPr>
        <w:tc>
          <w:tcPr>
            <w:tcW w:w="3465" w:type="pct"/>
            <w:tcBorders>
              <w:top w:val="nil"/>
              <w:left w:val="nil"/>
              <w:right w:val="nil"/>
            </w:tcBorders>
            <w:shd w:val="clear" w:color="auto" w:fill="auto"/>
            <w:noWrap/>
            <w:vAlign w:val="bottom"/>
          </w:tcPr>
          <w:p w:rsidR="00A40C53" w:rsidRPr="002A7D7A" w:rsidRDefault="00A40C53" w:rsidP="00A40C53">
            <w:pPr>
              <w:rPr>
                <w:rFonts w:ascii="Arial" w:hAnsi="Arial" w:cs="Arial"/>
                <w:sz w:val="18"/>
                <w:szCs w:val="18"/>
              </w:rPr>
            </w:pPr>
            <w:r>
              <w:rPr>
                <w:rFonts w:ascii="Arial" w:hAnsi="Arial" w:cs="Arial"/>
                <w:sz w:val="18"/>
                <w:szCs w:val="18"/>
              </w:rPr>
              <w:t>Current tax on profits for the year</w:t>
            </w:r>
          </w:p>
        </w:tc>
        <w:tc>
          <w:tcPr>
            <w:tcW w:w="828" w:type="pct"/>
            <w:tcBorders>
              <w:top w:val="nil"/>
              <w:left w:val="nil"/>
              <w:right w:val="nil"/>
            </w:tcBorders>
            <w:shd w:val="clear" w:color="auto" w:fill="auto"/>
            <w:noWrap/>
            <w:vAlign w:val="bottom"/>
          </w:tcPr>
          <w:p w:rsidR="00A40C53" w:rsidRPr="008D47B9" w:rsidRDefault="0088324F" w:rsidP="00A40C53">
            <w:pPr>
              <w:jc w:val="right"/>
              <w:rPr>
                <w:rFonts w:ascii="Arial" w:hAnsi="Arial" w:cs="Arial"/>
                <w:b/>
                <w:sz w:val="18"/>
                <w:szCs w:val="18"/>
              </w:rPr>
            </w:pPr>
            <w:r>
              <w:rPr>
                <w:rFonts w:ascii="Arial" w:hAnsi="Arial" w:cs="Arial"/>
                <w:b/>
                <w:sz w:val="18"/>
                <w:szCs w:val="18"/>
              </w:rPr>
              <w:t>(3</w:t>
            </w:r>
            <w:r w:rsidR="0000739C">
              <w:rPr>
                <w:rFonts w:ascii="Arial" w:hAnsi="Arial" w:cs="Arial"/>
                <w:b/>
                <w:sz w:val="18"/>
                <w:szCs w:val="18"/>
              </w:rPr>
              <w:t>2</w:t>
            </w:r>
            <w:r>
              <w:rPr>
                <w:rFonts w:ascii="Arial" w:hAnsi="Arial" w:cs="Arial"/>
                <w:b/>
                <w:sz w:val="18"/>
                <w:szCs w:val="18"/>
              </w:rPr>
              <w:t>)</w:t>
            </w:r>
          </w:p>
        </w:tc>
        <w:tc>
          <w:tcPr>
            <w:tcW w:w="707" w:type="pct"/>
            <w:tcBorders>
              <w:top w:val="nil"/>
              <w:left w:val="nil"/>
              <w:right w:val="nil"/>
            </w:tcBorders>
            <w:vAlign w:val="bottom"/>
          </w:tcPr>
          <w:p w:rsidR="00A40C53" w:rsidRPr="00A40C53" w:rsidRDefault="00A40C53" w:rsidP="00A40C53">
            <w:pPr>
              <w:jc w:val="right"/>
              <w:rPr>
                <w:rFonts w:ascii="Arial" w:hAnsi="Arial" w:cs="Arial"/>
                <w:sz w:val="18"/>
                <w:szCs w:val="18"/>
              </w:rPr>
            </w:pPr>
            <w:r w:rsidRPr="00A40C53">
              <w:rPr>
                <w:rFonts w:ascii="Arial" w:hAnsi="Arial" w:cs="Arial"/>
                <w:sz w:val="18"/>
                <w:szCs w:val="18"/>
              </w:rPr>
              <w:t>(66)</w:t>
            </w:r>
          </w:p>
        </w:tc>
      </w:tr>
      <w:tr w:rsidR="00A40C53" w:rsidRPr="00281AF4" w:rsidTr="00281AF4">
        <w:trPr>
          <w:trHeight w:val="255"/>
        </w:trPr>
        <w:tc>
          <w:tcPr>
            <w:tcW w:w="3465" w:type="pct"/>
            <w:tcBorders>
              <w:left w:val="nil"/>
              <w:right w:val="nil"/>
            </w:tcBorders>
            <w:shd w:val="clear" w:color="auto" w:fill="auto"/>
            <w:noWrap/>
            <w:vAlign w:val="bottom"/>
          </w:tcPr>
          <w:p w:rsidR="00A40C53" w:rsidRPr="002A7D7A" w:rsidRDefault="00A40C53" w:rsidP="00A40C53">
            <w:pPr>
              <w:rPr>
                <w:rFonts w:ascii="Arial" w:hAnsi="Arial" w:cs="Arial"/>
                <w:sz w:val="18"/>
                <w:szCs w:val="18"/>
              </w:rPr>
            </w:pPr>
            <w:r>
              <w:rPr>
                <w:rFonts w:ascii="Arial" w:hAnsi="Arial" w:cs="Arial"/>
                <w:sz w:val="18"/>
                <w:szCs w:val="18"/>
              </w:rPr>
              <w:t>Adjustments in respect of prior years</w:t>
            </w:r>
          </w:p>
        </w:tc>
        <w:tc>
          <w:tcPr>
            <w:tcW w:w="828" w:type="pct"/>
            <w:tcBorders>
              <w:left w:val="nil"/>
              <w:right w:val="nil"/>
            </w:tcBorders>
            <w:shd w:val="clear" w:color="auto" w:fill="auto"/>
            <w:noWrap/>
            <w:vAlign w:val="bottom"/>
          </w:tcPr>
          <w:p w:rsidR="00A40C53" w:rsidRPr="008D47B9" w:rsidRDefault="0088324F" w:rsidP="00A40C53">
            <w:pPr>
              <w:jc w:val="right"/>
              <w:rPr>
                <w:rFonts w:ascii="Arial" w:hAnsi="Arial" w:cs="Arial"/>
                <w:b/>
                <w:sz w:val="18"/>
                <w:szCs w:val="18"/>
              </w:rPr>
            </w:pPr>
            <w:r>
              <w:rPr>
                <w:rFonts w:ascii="Arial" w:hAnsi="Arial" w:cs="Arial"/>
                <w:b/>
                <w:sz w:val="18"/>
                <w:szCs w:val="18"/>
              </w:rPr>
              <w:t>(</w:t>
            </w:r>
            <w:r w:rsidR="0000739C">
              <w:rPr>
                <w:rFonts w:ascii="Arial" w:hAnsi="Arial" w:cs="Arial"/>
                <w:b/>
                <w:sz w:val="18"/>
                <w:szCs w:val="18"/>
              </w:rPr>
              <w:t>8</w:t>
            </w:r>
            <w:r>
              <w:rPr>
                <w:rFonts w:ascii="Arial" w:hAnsi="Arial" w:cs="Arial"/>
                <w:b/>
                <w:sz w:val="18"/>
                <w:szCs w:val="18"/>
              </w:rPr>
              <w:t>)</w:t>
            </w:r>
          </w:p>
        </w:tc>
        <w:tc>
          <w:tcPr>
            <w:tcW w:w="707" w:type="pct"/>
            <w:tcBorders>
              <w:left w:val="nil"/>
              <w:right w:val="nil"/>
            </w:tcBorders>
            <w:vAlign w:val="bottom"/>
          </w:tcPr>
          <w:p w:rsidR="00A40C53" w:rsidRPr="00A40C53" w:rsidRDefault="00A40C53" w:rsidP="00A40C53">
            <w:pPr>
              <w:jc w:val="right"/>
              <w:rPr>
                <w:rFonts w:ascii="Arial" w:hAnsi="Arial" w:cs="Arial"/>
                <w:sz w:val="18"/>
                <w:szCs w:val="18"/>
              </w:rPr>
            </w:pPr>
            <w:r w:rsidRPr="00A40C53">
              <w:rPr>
                <w:rFonts w:ascii="Arial" w:hAnsi="Arial" w:cs="Arial"/>
                <w:sz w:val="18"/>
                <w:szCs w:val="18"/>
              </w:rPr>
              <w:t>10</w:t>
            </w:r>
          </w:p>
        </w:tc>
      </w:tr>
      <w:tr w:rsidR="00A40C53" w:rsidRPr="00281AF4" w:rsidTr="00281AF4">
        <w:trPr>
          <w:trHeight w:val="255"/>
        </w:trPr>
        <w:tc>
          <w:tcPr>
            <w:tcW w:w="3465" w:type="pct"/>
            <w:tcBorders>
              <w:top w:val="single" w:sz="4" w:space="0" w:color="auto"/>
              <w:left w:val="nil"/>
              <w:bottom w:val="single" w:sz="4" w:space="0" w:color="auto"/>
              <w:right w:val="nil"/>
            </w:tcBorders>
            <w:shd w:val="clear" w:color="auto" w:fill="auto"/>
            <w:noWrap/>
            <w:vAlign w:val="bottom"/>
          </w:tcPr>
          <w:p w:rsidR="00A40C53" w:rsidRPr="00282B11" w:rsidRDefault="00A40C53" w:rsidP="00A40C53">
            <w:pPr>
              <w:rPr>
                <w:rFonts w:ascii="Arial" w:hAnsi="Arial" w:cs="Arial"/>
                <w:b/>
                <w:bCs/>
                <w:sz w:val="18"/>
                <w:szCs w:val="18"/>
              </w:rPr>
            </w:pPr>
          </w:p>
        </w:tc>
        <w:tc>
          <w:tcPr>
            <w:tcW w:w="828" w:type="pct"/>
            <w:tcBorders>
              <w:top w:val="single" w:sz="4" w:space="0" w:color="auto"/>
              <w:left w:val="nil"/>
              <w:bottom w:val="single" w:sz="4" w:space="0" w:color="auto"/>
              <w:right w:val="nil"/>
            </w:tcBorders>
            <w:shd w:val="clear" w:color="auto" w:fill="auto"/>
            <w:noWrap/>
            <w:vAlign w:val="bottom"/>
          </w:tcPr>
          <w:p w:rsidR="00A40C53" w:rsidRPr="008D47B9" w:rsidRDefault="0088324F" w:rsidP="00A40C53">
            <w:pPr>
              <w:jc w:val="right"/>
              <w:rPr>
                <w:rFonts w:ascii="Arial" w:hAnsi="Arial" w:cs="Arial"/>
                <w:b/>
                <w:sz w:val="18"/>
                <w:szCs w:val="18"/>
              </w:rPr>
            </w:pPr>
            <w:r>
              <w:rPr>
                <w:rFonts w:ascii="Arial" w:hAnsi="Arial" w:cs="Arial"/>
                <w:b/>
                <w:sz w:val="18"/>
                <w:szCs w:val="18"/>
              </w:rPr>
              <w:t>(40)</w:t>
            </w:r>
          </w:p>
        </w:tc>
        <w:tc>
          <w:tcPr>
            <w:tcW w:w="707" w:type="pct"/>
            <w:tcBorders>
              <w:top w:val="single" w:sz="4" w:space="0" w:color="auto"/>
              <w:left w:val="nil"/>
              <w:bottom w:val="single" w:sz="4" w:space="0" w:color="auto"/>
              <w:right w:val="nil"/>
            </w:tcBorders>
            <w:vAlign w:val="bottom"/>
          </w:tcPr>
          <w:p w:rsidR="00A40C53" w:rsidRPr="00A40C53" w:rsidRDefault="00A40C53" w:rsidP="00A40C53">
            <w:pPr>
              <w:jc w:val="right"/>
              <w:rPr>
                <w:rFonts w:ascii="Arial" w:hAnsi="Arial" w:cs="Arial"/>
                <w:sz w:val="18"/>
                <w:szCs w:val="18"/>
              </w:rPr>
            </w:pPr>
            <w:r w:rsidRPr="00A40C53">
              <w:rPr>
                <w:rFonts w:ascii="Arial" w:hAnsi="Arial" w:cs="Arial"/>
                <w:sz w:val="18"/>
                <w:szCs w:val="18"/>
              </w:rPr>
              <w:t>(56)</w:t>
            </w:r>
          </w:p>
        </w:tc>
      </w:tr>
      <w:tr w:rsidR="00A40C53" w:rsidRPr="00281AF4" w:rsidTr="00FB58AD">
        <w:trPr>
          <w:trHeight w:val="255"/>
        </w:trPr>
        <w:tc>
          <w:tcPr>
            <w:tcW w:w="3465" w:type="pct"/>
            <w:tcBorders>
              <w:top w:val="single" w:sz="4" w:space="0" w:color="auto"/>
              <w:left w:val="nil"/>
              <w:right w:val="nil"/>
            </w:tcBorders>
            <w:shd w:val="clear" w:color="auto" w:fill="auto"/>
            <w:noWrap/>
            <w:vAlign w:val="bottom"/>
          </w:tcPr>
          <w:p w:rsidR="00A40C53" w:rsidRPr="00282B11" w:rsidRDefault="00A40C53" w:rsidP="00A40C53">
            <w:pPr>
              <w:rPr>
                <w:rFonts w:ascii="Arial" w:hAnsi="Arial" w:cs="Arial"/>
                <w:b/>
                <w:bCs/>
                <w:sz w:val="18"/>
                <w:szCs w:val="18"/>
              </w:rPr>
            </w:pPr>
            <w:r>
              <w:rPr>
                <w:rFonts w:ascii="Arial" w:hAnsi="Arial" w:cs="Arial"/>
                <w:b/>
                <w:bCs/>
                <w:sz w:val="18"/>
                <w:szCs w:val="18"/>
              </w:rPr>
              <w:t>Overseas tax</w:t>
            </w:r>
          </w:p>
        </w:tc>
        <w:tc>
          <w:tcPr>
            <w:tcW w:w="828" w:type="pct"/>
            <w:tcBorders>
              <w:top w:val="single" w:sz="4" w:space="0" w:color="auto"/>
              <w:left w:val="nil"/>
              <w:right w:val="nil"/>
            </w:tcBorders>
            <w:shd w:val="clear" w:color="auto" w:fill="auto"/>
            <w:noWrap/>
            <w:vAlign w:val="bottom"/>
          </w:tcPr>
          <w:p w:rsidR="00A40C53" w:rsidDel="00B11F69" w:rsidRDefault="00A40C53" w:rsidP="00A40C53">
            <w:pPr>
              <w:jc w:val="right"/>
              <w:rPr>
                <w:rFonts w:ascii="Arial" w:hAnsi="Arial" w:cs="Arial"/>
                <w:b/>
                <w:sz w:val="18"/>
                <w:szCs w:val="18"/>
              </w:rPr>
            </w:pPr>
          </w:p>
        </w:tc>
        <w:tc>
          <w:tcPr>
            <w:tcW w:w="707" w:type="pct"/>
            <w:tcBorders>
              <w:top w:val="single" w:sz="4" w:space="0" w:color="auto"/>
              <w:left w:val="nil"/>
              <w:right w:val="nil"/>
            </w:tcBorders>
            <w:vAlign w:val="bottom"/>
          </w:tcPr>
          <w:p w:rsidR="00A40C53" w:rsidRPr="00A40C53" w:rsidDel="00B11F69" w:rsidRDefault="00A40C53" w:rsidP="00A40C53">
            <w:pPr>
              <w:jc w:val="right"/>
              <w:rPr>
                <w:rFonts w:ascii="Arial" w:hAnsi="Arial" w:cs="Arial"/>
                <w:sz w:val="18"/>
                <w:szCs w:val="18"/>
              </w:rPr>
            </w:pPr>
          </w:p>
        </w:tc>
      </w:tr>
      <w:tr w:rsidR="00A40C53" w:rsidRPr="00281AF4" w:rsidTr="00FB58AD">
        <w:trPr>
          <w:trHeight w:val="255"/>
        </w:trPr>
        <w:tc>
          <w:tcPr>
            <w:tcW w:w="3465" w:type="pct"/>
            <w:tcBorders>
              <w:left w:val="nil"/>
              <w:right w:val="nil"/>
            </w:tcBorders>
            <w:shd w:val="clear" w:color="auto" w:fill="auto"/>
            <w:noWrap/>
            <w:vAlign w:val="bottom"/>
          </w:tcPr>
          <w:p w:rsidR="00A40C53" w:rsidRDefault="00A40C53" w:rsidP="00A40C53">
            <w:pPr>
              <w:rPr>
                <w:rFonts w:ascii="Arial" w:hAnsi="Arial" w:cs="Arial"/>
                <w:b/>
                <w:bCs/>
                <w:sz w:val="18"/>
                <w:szCs w:val="18"/>
              </w:rPr>
            </w:pPr>
            <w:r>
              <w:rPr>
                <w:rFonts w:ascii="Arial" w:hAnsi="Arial" w:cs="Arial"/>
                <w:sz w:val="18"/>
                <w:szCs w:val="18"/>
              </w:rPr>
              <w:t>Current tax on profits for the year</w:t>
            </w:r>
          </w:p>
        </w:tc>
        <w:tc>
          <w:tcPr>
            <w:tcW w:w="828" w:type="pct"/>
            <w:tcBorders>
              <w:left w:val="nil"/>
              <w:right w:val="nil"/>
            </w:tcBorders>
            <w:shd w:val="clear" w:color="auto" w:fill="auto"/>
            <w:noWrap/>
            <w:vAlign w:val="bottom"/>
          </w:tcPr>
          <w:p w:rsidR="00A40C53" w:rsidDel="00B11F69" w:rsidRDefault="0088324F" w:rsidP="00A40C53">
            <w:pPr>
              <w:jc w:val="right"/>
              <w:rPr>
                <w:rFonts w:ascii="Arial" w:hAnsi="Arial" w:cs="Arial"/>
                <w:b/>
                <w:sz w:val="18"/>
                <w:szCs w:val="18"/>
              </w:rPr>
            </w:pPr>
            <w:r>
              <w:rPr>
                <w:rFonts w:ascii="Arial" w:hAnsi="Arial" w:cs="Arial"/>
                <w:b/>
                <w:sz w:val="18"/>
                <w:szCs w:val="18"/>
              </w:rPr>
              <w:t>(152)</w:t>
            </w:r>
          </w:p>
        </w:tc>
        <w:tc>
          <w:tcPr>
            <w:tcW w:w="707" w:type="pct"/>
            <w:tcBorders>
              <w:left w:val="nil"/>
              <w:right w:val="nil"/>
            </w:tcBorders>
            <w:vAlign w:val="bottom"/>
          </w:tcPr>
          <w:p w:rsidR="00A40C53" w:rsidRPr="00A40C53" w:rsidDel="00B11F69" w:rsidRDefault="00A40C53" w:rsidP="00A40C53">
            <w:pPr>
              <w:jc w:val="right"/>
              <w:rPr>
                <w:rFonts w:ascii="Arial" w:hAnsi="Arial" w:cs="Arial"/>
                <w:sz w:val="18"/>
                <w:szCs w:val="18"/>
              </w:rPr>
            </w:pPr>
            <w:r w:rsidRPr="00A40C53">
              <w:rPr>
                <w:rFonts w:ascii="Arial" w:hAnsi="Arial" w:cs="Arial"/>
                <w:sz w:val="18"/>
                <w:szCs w:val="18"/>
              </w:rPr>
              <w:t>(155)</w:t>
            </w:r>
          </w:p>
        </w:tc>
      </w:tr>
      <w:tr w:rsidR="00A40C53" w:rsidRPr="00281AF4" w:rsidTr="00FB58AD">
        <w:trPr>
          <w:trHeight w:val="255"/>
        </w:trPr>
        <w:tc>
          <w:tcPr>
            <w:tcW w:w="3465" w:type="pct"/>
            <w:tcBorders>
              <w:left w:val="nil"/>
              <w:bottom w:val="single" w:sz="4" w:space="0" w:color="auto"/>
              <w:right w:val="nil"/>
            </w:tcBorders>
            <w:shd w:val="clear" w:color="auto" w:fill="auto"/>
            <w:noWrap/>
            <w:vAlign w:val="bottom"/>
          </w:tcPr>
          <w:p w:rsidR="00A40C53" w:rsidRDefault="00A40C53" w:rsidP="00A40C53">
            <w:pPr>
              <w:rPr>
                <w:rFonts w:ascii="Arial" w:hAnsi="Arial" w:cs="Arial"/>
                <w:b/>
                <w:bCs/>
                <w:sz w:val="18"/>
                <w:szCs w:val="18"/>
              </w:rPr>
            </w:pPr>
            <w:r>
              <w:rPr>
                <w:rFonts w:ascii="Arial" w:hAnsi="Arial" w:cs="Arial"/>
                <w:sz w:val="18"/>
                <w:szCs w:val="18"/>
              </w:rPr>
              <w:t>Adjustments in respect of prior years</w:t>
            </w:r>
          </w:p>
        </w:tc>
        <w:tc>
          <w:tcPr>
            <w:tcW w:w="828" w:type="pct"/>
            <w:tcBorders>
              <w:left w:val="nil"/>
              <w:bottom w:val="single" w:sz="4" w:space="0" w:color="auto"/>
              <w:right w:val="nil"/>
            </w:tcBorders>
            <w:shd w:val="clear" w:color="auto" w:fill="auto"/>
            <w:noWrap/>
            <w:vAlign w:val="bottom"/>
          </w:tcPr>
          <w:p w:rsidR="00A40C53" w:rsidDel="00B11F69" w:rsidRDefault="0088324F" w:rsidP="00A40C53">
            <w:pPr>
              <w:jc w:val="right"/>
              <w:rPr>
                <w:rFonts w:ascii="Arial" w:hAnsi="Arial" w:cs="Arial"/>
                <w:b/>
                <w:sz w:val="18"/>
                <w:szCs w:val="18"/>
              </w:rPr>
            </w:pPr>
            <w:r>
              <w:rPr>
                <w:rFonts w:ascii="Arial" w:hAnsi="Arial" w:cs="Arial"/>
                <w:b/>
                <w:sz w:val="18"/>
                <w:szCs w:val="18"/>
              </w:rPr>
              <w:t>(2)</w:t>
            </w:r>
          </w:p>
        </w:tc>
        <w:tc>
          <w:tcPr>
            <w:tcW w:w="707" w:type="pct"/>
            <w:tcBorders>
              <w:left w:val="nil"/>
              <w:bottom w:val="single" w:sz="4" w:space="0" w:color="auto"/>
              <w:right w:val="nil"/>
            </w:tcBorders>
            <w:vAlign w:val="bottom"/>
          </w:tcPr>
          <w:p w:rsidR="00A40C53" w:rsidRPr="00A40C53" w:rsidDel="00B11F69" w:rsidRDefault="00A40C53" w:rsidP="00A40C53">
            <w:pPr>
              <w:jc w:val="right"/>
              <w:rPr>
                <w:rFonts w:ascii="Arial" w:hAnsi="Arial" w:cs="Arial"/>
                <w:sz w:val="18"/>
                <w:szCs w:val="18"/>
              </w:rPr>
            </w:pPr>
            <w:r w:rsidRPr="00A40C53">
              <w:rPr>
                <w:rFonts w:ascii="Arial" w:hAnsi="Arial" w:cs="Arial"/>
                <w:sz w:val="18"/>
                <w:szCs w:val="18"/>
              </w:rPr>
              <w:t>(11)</w:t>
            </w:r>
          </w:p>
        </w:tc>
      </w:tr>
      <w:tr w:rsidR="00A40C53" w:rsidRPr="00281AF4" w:rsidTr="00FB58AD">
        <w:trPr>
          <w:trHeight w:val="255"/>
        </w:trPr>
        <w:tc>
          <w:tcPr>
            <w:tcW w:w="3465" w:type="pct"/>
            <w:tcBorders>
              <w:top w:val="single" w:sz="4" w:space="0" w:color="auto"/>
              <w:left w:val="nil"/>
              <w:bottom w:val="single" w:sz="4" w:space="0" w:color="auto"/>
              <w:right w:val="nil"/>
            </w:tcBorders>
            <w:shd w:val="clear" w:color="auto" w:fill="auto"/>
            <w:noWrap/>
            <w:vAlign w:val="bottom"/>
          </w:tcPr>
          <w:p w:rsidR="00A40C53" w:rsidRPr="00282B11" w:rsidRDefault="00A40C53" w:rsidP="00A40C53">
            <w:pPr>
              <w:rPr>
                <w:rFonts w:ascii="Arial" w:hAnsi="Arial" w:cs="Arial"/>
                <w:b/>
                <w:bCs/>
                <w:sz w:val="18"/>
                <w:szCs w:val="18"/>
              </w:rPr>
            </w:pPr>
          </w:p>
        </w:tc>
        <w:tc>
          <w:tcPr>
            <w:tcW w:w="828" w:type="pct"/>
            <w:tcBorders>
              <w:top w:val="single" w:sz="4" w:space="0" w:color="auto"/>
              <w:left w:val="nil"/>
              <w:bottom w:val="single" w:sz="4" w:space="0" w:color="auto"/>
              <w:right w:val="nil"/>
            </w:tcBorders>
            <w:shd w:val="clear" w:color="auto" w:fill="auto"/>
            <w:noWrap/>
            <w:vAlign w:val="bottom"/>
          </w:tcPr>
          <w:p w:rsidR="00A40C53" w:rsidDel="00B11F69" w:rsidRDefault="0088324F" w:rsidP="00A40C53">
            <w:pPr>
              <w:jc w:val="right"/>
              <w:rPr>
                <w:rFonts w:ascii="Arial" w:hAnsi="Arial" w:cs="Arial"/>
                <w:b/>
                <w:sz w:val="18"/>
                <w:szCs w:val="18"/>
              </w:rPr>
            </w:pPr>
            <w:r>
              <w:rPr>
                <w:rFonts w:ascii="Arial" w:hAnsi="Arial" w:cs="Arial"/>
                <w:b/>
                <w:sz w:val="18"/>
                <w:szCs w:val="18"/>
              </w:rPr>
              <w:t>(154)</w:t>
            </w:r>
          </w:p>
        </w:tc>
        <w:tc>
          <w:tcPr>
            <w:tcW w:w="707" w:type="pct"/>
            <w:tcBorders>
              <w:top w:val="single" w:sz="4" w:space="0" w:color="auto"/>
              <w:left w:val="nil"/>
              <w:bottom w:val="single" w:sz="4" w:space="0" w:color="auto"/>
              <w:right w:val="nil"/>
            </w:tcBorders>
            <w:vAlign w:val="bottom"/>
          </w:tcPr>
          <w:p w:rsidR="00A40C53" w:rsidRPr="00A40C53" w:rsidDel="00B11F69" w:rsidRDefault="00A40C53" w:rsidP="00A40C53">
            <w:pPr>
              <w:jc w:val="right"/>
              <w:rPr>
                <w:rFonts w:ascii="Arial" w:hAnsi="Arial" w:cs="Arial"/>
                <w:sz w:val="18"/>
                <w:szCs w:val="18"/>
              </w:rPr>
            </w:pPr>
            <w:r w:rsidRPr="00A40C53">
              <w:rPr>
                <w:rFonts w:ascii="Arial" w:hAnsi="Arial" w:cs="Arial"/>
                <w:sz w:val="18"/>
                <w:szCs w:val="18"/>
              </w:rPr>
              <w:t>(166)</w:t>
            </w:r>
          </w:p>
        </w:tc>
      </w:tr>
      <w:tr w:rsidR="00A40C53" w:rsidRPr="00281AF4" w:rsidTr="00281AF4">
        <w:trPr>
          <w:trHeight w:val="255"/>
        </w:trPr>
        <w:tc>
          <w:tcPr>
            <w:tcW w:w="3465" w:type="pct"/>
            <w:tcBorders>
              <w:top w:val="single" w:sz="4" w:space="0" w:color="auto"/>
              <w:left w:val="nil"/>
              <w:bottom w:val="nil"/>
              <w:right w:val="nil"/>
            </w:tcBorders>
            <w:shd w:val="clear" w:color="auto" w:fill="auto"/>
            <w:noWrap/>
            <w:vAlign w:val="bottom"/>
          </w:tcPr>
          <w:p w:rsidR="00A40C53" w:rsidRPr="00282B11" w:rsidRDefault="00A40C53" w:rsidP="00A40C53">
            <w:pPr>
              <w:rPr>
                <w:rFonts w:ascii="Arial" w:hAnsi="Arial" w:cs="Arial"/>
                <w:b/>
                <w:bCs/>
                <w:sz w:val="18"/>
                <w:szCs w:val="18"/>
              </w:rPr>
            </w:pPr>
            <w:r w:rsidRPr="00282B11">
              <w:rPr>
                <w:rFonts w:ascii="Arial" w:hAnsi="Arial" w:cs="Arial"/>
                <w:b/>
                <w:bCs/>
                <w:sz w:val="18"/>
                <w:szCs w:val="18"/>
              </w:rPr>
              <w:t>Deferred tax</w:t>
            </w:r>
          </w:p>
        </w:tc>
        <w:tc>
          <w:tcPr>
            <w:tcW w:w="828" w:type="pct"/>
            <w:tcBorders>
              <w:top w:val="single" w:sz="4" w:space="0" w:color="auto"/>
              <w:left w:val="nil"/>
              <w:bottom w:val="nil"/>
              <w:right w:val="nil"/>
            </w:tcBorders>
            <w:shd w:val="clear" w:color="auto" w:fill="auto"/>
            <w:noWrap/>
            <w:vAlign w:val="bottom"/>
          </w:tcPr>
          <w:p w:rsidR="00A40C53" w:rsidRPr="008D47B9" w:rsidRDefault="00A40C53" w:rsidP="00A40C53">
            <w:pPr>
              <w:jc w:val="right"/>
              <w:rPr>
                <w:rFonts w:ascii="Arial" w:hAnsi="Arial" w:cs="Arial"/>
                <w:b/>
                <w:sz w:val="18"/>
                <w:szCs w:val="18"/>
              </w:rPr>
            </w:pPr>
          </w:p>
        </w:tc>
        <w:tc>
          <w:tcPr>
            <w:tcW w:w="707" w:type="pct"/>
            <w:tcBorders>
              <w:top w:val="single" w:sz="4" w:space="0" w:color="auto"/>
              <w:left w:val="nil"/>
              <w:bottom w:val="nil"/>
              <w:right w:val="nil"/>
            </w:tcBorders>
            <w:vAlign w:val="bottom"/>
          </w:tcPr>
          <w:p w:rsidR="00A40C53" w:rsidRPr="00A40C53" w:rsidRDefault="00A40C53" w:rsidP="00A40C53">
            <w:pPr>
              <w:jc w:val="right"/>
              <w:rPr>
                <w:rFonts w:ascii="Arial" w:hAnsi="Arial" w:cs="Arial"/>
                <w:sz w:val="18"/>
                <w:szCs w:val="18"/>
              </w:rPr>
            </w:pPr>
          </w:p>
        </w:tc>
      </w:tr>
      <w:tr w:rsidR="00A40C53" w:rsidRPr="00281AF4" w:rsidTr="00281AF4">
        <w:trPr>
          <w:trHeight w:val="255"/>
        </w:trPr>
        <w:tc>
          <w:tcPr>
            <w:tcW w:w="3465" w:type="pct"/>
            <w:tcBorders>
              <w:top w:val="nil"/>
              <w:left w:val="nil"/>
              <w:right w:val="nil"/>
            </w:tcBorders>
            <w:shd w:val="clear" w:color="auto" w:fill="auto"/>
            <w:noWrap/>
            <w:vAlign w:val="bottom"/>
          </w:tcPr>
          <w:p w:rsidR="00A40C53" w:rsidRPr="000D7188" w:rsidRDefault="00A40C53" w:rsidP="00A40C53">
            <w:pPr>
              <w:rPr>
                <w:rFonts w:ascii="Arial" w:hAnsi="Arial" w:cs="Arial"/>
                <w:bCs/>
                <w:sz w:val="18"/>
                <w:szCs w:val="18"/>
              </w:rPr>
            </w:pPr>
            <w:r>
              <w:rPr>
                <w:rFonts w:ascii="Arial" w:hAnsi="Arial" w:cs="Arial"/>
                <w:bCs/>
                <w:sz w:val="18"/>
                <w:szCs w:val="18"/>
              </w:rPr>
              <w:t>Current year</w:t>
            </w:r>
          </w:p>
        </w:tc>
        <w:tc>
          <w:tcPr>
            <w:tcW w:w="828" w:type="pct"/>
            <w:tcBorders>
              <w:top w:val="nil"/>
              <w:left w:val="nil"/>
              <w:right w:val="nil"/>
            </w:tcBorders>
            <w:shd w:val="clear" w:color="auto" w:fill="auto"/>
            <w:noWrap/>
            <w:vAlign w:val="bottom"/>
          </w:tcPr>
          <w:p w:rsidR="00A40C53" w:rsidRPr="008D47B9" w:rsidRDefault="00E5110D" w:rsidP="00A40C53">
            <w:pPr>
              <w:jc w:val="right"/>
              <w:rPr>
                <w:rFonts w:ascii="Arial" w:hAnsi="Arial" w:cs="Arial"/>
                <w:b/>
                <w:sz w:val="18"/>
                <w:szCs w:val="18"/>
              </w:rPr>
            </w:pPr>
            <w:r>
              <w:rPr>
                <w:rFonts w:ascii="Arial" w:hAnsi="Arial" w:cs="Arial"/>
                <w:b/>
                <w:sz w:val="18"/>
                <w:szCs w:val="18"/>
              </w:rPr>
              <w:t>(20)</w:t>
            </w:r>
          </w:p>
        </w:tc>
        <w:tc>
          <w:tcPr>
            <w:tcW w:w="707" w:type="pct"/>
            <w:tcBorders>
              <w:top w:val="nil"/>
              <w:left w:val="nil"/>
              <w:right w:val="nil"/>
            </w:tcBorders>
            <w:vAlign w:val="bottom"/>
          </w:tcPr>
          <w:p w:rsidR="00A40C53" w:rsidRPr="00A40C53" w:rsidRDefault="00A40C53" w:rsidP="00A40C53">
            <w:pPr>
              <w:jc w:val="right"/>
              <w:rPr>
                <w:rFonts w:ascii="Arial" w:hAnsi="Arial" w:cs="Arial"/>
                <w:sz w:val="18"/>
                <w:szCs w:val="18"/>
              </w:rPr>
            </w:pPr>
            <w:r w:rsidRPr="00A40C53">
              <w:rPr>
                <w:rFonts w:ascii="Arial" w:hAnsi="Arial" w:cs="Arial"/>
                <w:sz w:val="18"/>
                <w:szCs w:val="18"/>
              </w:rPr>
              <w:t>22</w:t>
            </w:r>
          </w:p>
        </w:tc>
      </w:tr>
      <w:tr w:rsidR="00A40C53" w:rsidRPr="00281AF4" w:rsidTr="00281AF4">
        <w:trPr>
          <w:trHeight w:val="255"/>
        </w:trPr>
        <w:tc>
          <w:tcPr>
            <w:tcW w:w="3465" w:type="pct"/>
            <w:tcBorders>
              <w:top w:val="nil"/>
              <w:left w:val="nil"/>
              <w:right w:val="nil"/>
            </w:tcBorders>
            <w:shd w:val="clear" w:color="auto" w:fill="auto"/>
            <w:noWrap/>
            <w:vAlign w:val="bottom"/>
          </w:tcPr>
          <w:p w:rsidR="00A40C53" w:rsidRDefault="00A40C53">
            <w:pPr>
              <w:rPr>
                <w:rFonts w:ascii="Arial" w:hAnsi="Arial" w:cs="Arial"/>
                <w:bCs/>
                <w:sz w:val="18"/>
                <w:szCs w:val="18"/>
              </w:rPr>
            </w:pPr>
            <w:r>
              <w:rPr>
                <w:rFonts w:ascii="Arial" w:hAnsi="Arial" w:cs="Arial"/>
                <w:bCs/>
                <w:sz w:val="18"/>
                <w:szCs w:val="18"/>
              </w:rPr>
              <w:t xml:space="preserve">Adjustments in respect of prior years </w:t>
            </w:r>
          </w:p>
        </w:tc>
        <w:tc>
          <w:tcPr>
            <w:tcW w:w="828" w:type="pct"/>
            <w:tcBorders>
              <w:top w:val="nil"/>
              <w:left w:val="nil"/>
              <w:right w:val="nil"/>
            </w:tcBorders>
            <w:shd w:val="clear" w:color="auto" w:fill="auto"/>
            <w:noWrap/>
            <w:vAlign w:val="bottom"/>
          </w:tcPr>
          <w:p w:rsidR="00A40C53" w:rsidRDefault="00E5110D" w:rsidP="00A40C53">
            <w:pPr>
              <w:jc w:val="right"/>
              <w:rPr>
                <w:rFonts w:ascii="Arial" w:hAnsi="Arial" w:cs="Arial"/>
                <w:b/>
                <w:sz w:val="18"/>
                <w:szCs w:val="18"/>
              </w:rPr>
            </w:pPr>
            <w:r>
              <w:rPr>
                <w:rFonts w:ascii="Arial" w:hAnsi="Arial" w:cs="Arial"/>
                <w:b/>
                <w:sz w:val="18"/>
                <w:szCs w:val="18"/>
              </w:rPr>
              <w:t>1</w:t>
            </w:r>
          </w:p>
        </w:tc>
        <w:tc>
          <w:tcPr>
            <w:tcW w:w="707" w:type="pct"/>
            <w:tcBorders>
              <w:top w:val="nil"/>
              <w:left w:val="nil"/>
              <w:right w:val="nil"/>
            </w:tcBorders>
            <w:vAlign w:val="bottom"/>
          </w:tcPr>
          <w:p w:rsidR="00A40C53" w:rsidRPr="00A40C53" w:rsidRDefault="00A40C53" w:rsidP="00A40C53">
            <w:pPr>
              <w:jc w:val="right"/>
              <w:rPr>
                <w:rFonts w:ascii="Arial" w:hAnsi="Arial" w:cs="Arial"/>
                <w:sz w:val="18"/>
                <w:szCs w:val="18"/>
              </w:rPr>
            </w:pPr>
            <w:r w:rsidRPr="00A40C53">
              <w:rPr>
                <w:rFonts w:ascii="Arial" w:hAnsi="Arial" w:cs="Arial"/>
                <w:sz w:val="18"/>
                <w:szCs w:val="18"/>
              </w:rPr>
              <w:t>1</w:t>
            </w:r>
            <w:r w:rsidR="00246249">
              <w:rPr>
                <w:rFonts w:ascii="Arial" w:hAnsi="Arial" w:cs="Arial"/>
                <w:sz w:val="18"/>
                <w:szCs w:val="18"/>
              </w:rPr>
              <w:t>6</w:t>
            </w:r>
          </w:p>
        </w:tc>
      </w:tr>
      <w:tr w:rsidR="00246249" w:rsidRPr="00281AF4" w:rsidTr="00281AF4">
        <w:trPr>
          <w:trHeight w:val="255"/>
        </w:trPr>
        <w:tc>
          <w:tcPr>
            <w:tcW w:w="3465" w:type="pct"/>
            <w:tcBorders>
              <w:top w:val="nil"/>
              <w:left w:val="nil"/>
              <w:right w:val="nil"/>
            </w:tcBorders>
            <w:shd w:val="clear" w:color="auto" w:fill="auto"/>
            <w:noWrap/>
            <w:vAlign w:val="bottom"/>
          </w:tcPr>
          <w:p w:rsidR="00246249" w:rsidRDefault="00B51BEF" w:rsidP="00A40C53">
            <w:pPr>
              <w:rPr>
                <w:rFonts w:ascii="Arial" w:hAnsi="Arial" w:cs="Arial"/>
                <w:bCs/>
                <w:sz w:val="18"/>
                <w:szCs w:val="18"/>
              </w:rPr>
            </w:pPr>
            <w:r w:rsidRPr="00FA21A3">
              <w:rPr>
                <w:rFonts w:ascii="Arial" w:hAnsi="Arial" w:cs="Arial"/>
                <w:sz w:val="18"/>
                <w:szCs w:val="18"/>
              </w:rPr>
              <w:t>Adjustments in respect of changes in tax rates</w:t>
            </w:r>
          </w:p>
        </w:tc>
        <w:tc>
          <w:tcPr>
            <w:tcW w:w="828" w:type="pct"/>
            <w:tcBorders>
              <w:top w:val="nil"/>
              <w:left w:val="nil"/>
              <w:right w:val="nil"/>
            </w:tcBorders>
            <w:shd w:val="clear" w:color="auto" w:fill="auto"/>
            <w:noWrap/>
            <w:vAlign w:val="bottom"/>
          </w:tcPr>
          <w:p w:rsidR="00246249" w:rsidRDefault="00246249" w:rsidP="00A40C53">
            <w:pPr>
              <w:jc w:val="right"/>
              <w:rPr>
                <w:rFonts w:ascii="Arial" w:hAnsi="Arial" w:cs="Arial"/>
                <w:b/>
                <w:sz w:val="18"/>
                <w:szCs w:val="18"/>
              </w:rPr>
            </w:pPr>
            <w:r>
              <w:rPr>
                <w:rFonts w:ascii="Arial" w:hAnsi="Arial" w:cs="Arial"/>
                <w:b/>
                <w:sz w:val="18"/>
                <w:szCs w:val="18"/>
              </w:rPr>
              <w:t>16</w:t>
            </w:r>
          </w:p>
        </w:tc>
        <w:tc>
          <w:tcPr>
            <w:tcW w:w="707" w:type="pct"/>
            <w:tcBorders>
              <w:top w:val="nil"/>
              <w:left w:val="nil"/>
              <w:right w:val="nil"/>
            </w:tcBorders>
            <w:vAlign w:val="bottom"/>
          </w:tcPr>
          <w:p w:rsidR="00246249" w:rsidRPr="00A40C53" w:rsidRDefault="00246249" w:rsidP="00A40C53">
            <w:pPr>
              <w:jc w:val="right"/>
              <w:rPr>
                <w:rFonts w:ascii="Arial" w:hAnsi="Arial" w:cs="Arial"/>
                <w:sz w:val="18"/>
                <w:szCs w:val="18"/>
              </w:rPr>
            </w:pPr>
            <w:r>
              <w:rPr>
                <w:rFonts w:ascii="Arial" w:hAnsi="Arial" w:cs="Arial"/>
                <w:sz w:val="18"/>
                <w:szCs w:val="18"/>
              </w:rPr>
              <w:t>35</w:t>
            </w:r>
          </w:p>
        </w:tc>
      </w:tr>
      <w:tr w:rsidR="00A40C53" w:rsidRPr="00281AF4" w:rsidTr="00281AF4">
        <w:trPr>
          <w:trHeight w:val="255"/>
        </w:trPr>
        <w:tc>
          <w:tcPr>
            <w:tcW w:w="3465" w:type="pct"/>
            <w:tcBorders>
              <w:top w:val="single" w:sz="2" w:space="0" w:color="auto"/>
              <w:left w:val="nil"/>
              <w:bottom w:val="single" w:sz="2" w:space="0" w:color="auto"/>
              <w:right w:val="nil"/>
            </w:tcBorders>
            <w:shd w:val="clear" w:color="auto" w:fill="auto"/>
            <w:noWrap/>
            <w:vAlign w:val="bottom"/>
          </w:tcPr>
          <w:p w:rsidR="00A40C53" w:rsidRPr="001749DC" w:rsidRDefault="00A40C53" w:rsidP="00A40C53">
            <w:pPr>
              <w:rPr>
                <w:rFonts w:ascii="Arial" w:hAnsi="Arial" w:cs="Arial"/>
                <w:bCs/>
                <w:sz w:val="18"/>
                <w:szCs w:val="18"/>
              </w:rPr>
            </w:pPr>
          </w:p>
        </w:tc>
        <w:tc>
          <w:tcPr>
            <w:tcW w:w="828" w:type="pct"/>
            <w:tcBorders>
              <w:top w:val="single" w:sz="2" w:space="0" w:color="auto"/>
              <w:left w:val="nil"/>
              <w:bottom w:val="single" w:sz="2" w:space="0" w:color="auto"/>
              <w:right w:val="nil"/>
            </w:tcBorders>
            <w:shd w:val="clear" w:color="auto" w:fill="auto"/>
            <w:noWrap/>
            <w:vAlign w:val="bottom"/>
          </w:tcPr>
          <w:p w:rsidR="00A40C53" w:rsidRPr="008D47B9" w:rsidRDefault="0088324F" w:rsidP="00A40C53">
            <w:pPr>
              <w:jc w:val="right"/>
              <w:rPr>
                <w:rFonts w:ascii="Arial" w:hAnsi="Arial" w:cs="Arial"/>
                <w:b/>
                <w:bCs/>
                <w:sz w:val="18"/>
                <w:szCs w:val="18"/>
              </w:rPr>
            </w:pPr>
            <w:r>
              <w:rPr>
                <w:rFonts w:ascii="Arial" w:hAnsi="Arial" w:cs="Arial"/>
                <w:b/>
                <w:bCs/>
                <w:sz w:val="18"/>
                <w:szCs w:val="18"/>
              </w:rPr>
              <w:t>(3)</w:t>
            </w:r>
          </w:p>
        </w:tc>
        <w:tc>
          <w:tcPr>
            <w:tcW w:w="707" w:type="pct"/>
            <w:tcBorders>
              <w:top w:val="single" w:sz="2" w:space="0" w:color="auto"/>
              <w:left w:val="nil"/>
              <w:bottom w:val="single" w:sz="2" w:space="0" w:color="auto"/>
              <w:right w:val="nil"/>
            </w:tcBorders>
            <w:vAlign w:val="bottom"/>
          </w:tcPr>
          <w:p w:rsidR="00A40C53" w:rsidRPr="00A40C53" w:rsidRDefault="00A40C53" w:rsidP="00A40C53">
            <w:pPr>
              <w:jc w:val="right"/>
              <w:rPr>
                <w:rFonts w:ascii="Arial" w:hAnsi="Arial" w:cs="Arial"/>
                <w:bCs/>
                <w:sz w:val="18"/>
                <w:szCs w:val="18"/>
              </w:rPr>
            </w:pPr>
            <w:r w:rsidRPr="00A40C53">
              <w:rPr>
                <w:rFonts w:ascii="Arial" w:hAnsi="Arial" w:cs="Arial"/>
                <w:bCs/>
                <w:sz w:val="18"/>
                <w:szCs w:val="18"/>
              </w:rPr>
              <w:t>73</w:t>
            </w:r>
          </w:p>
        </w:tc>
      </w:tr>
      <w:tr w:rsidR="00A40C53" w:rsidRPr="00281AF4" w:rsidTr="00281AF4">
        <w:trPr>
          <w:trHeight w:val="255"/>
        </w:trPr>
        <w:tc>
          <w:tcPr>
            <w:tcW w:w="3465" w:type="pct"/>
            <w:tcBorders>
              <w:top w:val="single" w:sz="2" w:space="0" w:color="auto"/>
              <w:left w:val="nil"/>
              <w:right w:val="nil"/>
            </w:tcBorders>
            <w:shd w:val="clear" w:color="auto" w:fill="auto"/>
            <w:noWrap/>
            <w:vAlign w:val="bottom"/>
          </w:tcPr>
          <w:p w:rsidR="00A40C53" w:rsidRPr="00CA4777" w:rsidRDefault="00A40C53" w:rsidP="00A40C53">
            <w:pPr>
              <w:rPr>
                <w:rFonts w:ascii="Arial" w:hAnsi="Arial" w:cs="Arial"/>
                <w:b/>
                <w:bCs/>
                <w:sz w:val="18"/>
                <w:szCs w:val="18"/>
              </w:rPr>
            </w:pPr>
          </w:p>
        </w:tc>
        <w:tc>
          <w:tcPr>
            <w:tcW w:w="828" w:type="pct"/>
            <w:tcBorders>
              <w:top w:val="single" w:sz="2" w:space="0" w:color="auto"/>
              <w:left w:val="nil"/>
              <w:right w:val="nil"/>
            </w:tcBorders>
            <w:shd w:val="clear" w:color="auto" w:fill="auto"/>
            <w:noWrap/>
            <w:vAlign w:val="bottom"/>
          </w:tcPr>
          <w:p w:rsidR="00A40C53" w:rsidRPr="008D47B9" w:rsidRDefault="00A40C53" w:rsidP="00A40C53">
            <w:pPr>
              <w:jc w:val="right"/>
              <w:rPr>
                <w:rFonts w:ascii="Arial" w:hAnsi="Arial" w:cs="Arial"/>
                <w:b/>
                <w:sz w:val="18"/>
                <w:szCs w:val="18"/>
              </w:rPr>
            </w:pPr>
          </w:p>
        </w:tc>
        <w:tc>
          <w:tcPr>
            <w:tcW w:w="707" w:type="pct"/>
            <w:tcBorders>
              <w:top w:val="single" w:sz="2" w:space="0" w:color="auto"/>
              <w:left w:val="nil"/>
              <w:right w:val="nil"/>
            </w:tcBorders>
            <w:vAlign w:val="bottom"/>
          </w:tcPr>
          <w:p w:rsidR="00A40C53" w:rsidRPr="00A40C53" w:rsidRDefault="00A40C53" w:rsidP="00A40C53">
            <w:pPr>
              <w:jc w:val="right"/>
              <w:rPr>
                <w:rFonts w:ascii="Arial" w:hAnsi="Arial" w:cs="Arial"/>
                <w:sz w:val="18"/>
                <w:szCs w:val="18"/>
              </w:rPr>
            </w:pPr>
          </w:p>
        </w:tc>
      </w:tr>
      <w:tr w:rsidR="00A40C53" w:rsidRPr="00281AF4" w:rsidTr="00281AF4">
        <w:trPr>
          <w:trHeight w:val="255"/>
        </w:trPr>
        <w:tc>
          <w:tcPr>
            <w:tcW w:w="3465" w:type="pct"/>
            <w:tcBorders>
              <w:left w:val="nil"/>
              <w:bottom w:val="single" w:sz="12" w:space="0" w:color="auto"/>
              <w:right w:val="nil"/>
            </w:tcBorders>
            <w:shd w:val="clear" w:color="auto" w:fill="auto"/>
            <w:noWrap/>
            <w:vAlign w:val="bottom"/>
          </w:tcPr>
          <w:p w:rsidR="00A40C53" w:rsidRPr="00CA4777" w:rsidRDefault="00A40C53" w:rsidP="00A40C53">
            <w:pPr>
              <w:rPr>
                <w:rFonts w:ascii="Arial" w:hAnsi="Arial" w:cs="Arial"/>
                <w:b/>
                <w:bCs/>
                <w:sz w:val="18"/>
                <w:szCs w:val="18"/>
              </w:rPr>
            </w:pPr>
            <w:r w:rsidRPr="00CA4777">
              <w:rPr>
                <w:rFonts w:ascii="Arial" w:hAnsi="Arial" w:cs="Arial"/>
                <w:b/>
                <w:bCs/>
                <w:sz w:val="18"/>
                <w:szCs w:val="18"/>
              </w:rPr>
              <w:t>Income tax</w:t>
            </w:r>
            <w:r>
              <w:rPr>
                <w:rFonts w:ascii="Arial" w:hAnsi="Arial" w:cs="Arial"/>
                <w:b/>
                <w:bCs/>
                <w:sz w:val="18"/>
                <w:szCs w:val="18"/>
              </w:rPr>
              <w:t xml:space="preserve"> expense</w:t>
            </w:r>
          </w:p>
        </w:tc>
        <w:tc>
          <w:tcPr>
            <w:tcW w:w="828" w:type="pct"/>
            <w:tcBorders>
              <w:left w:val="nil"/>
              <w:bottom w:val="single" w:sz="12" w:space="0" w:color="auto"/>
              <w:right w:val="nil"/>
            </w:tcBorders>
            <w:shd w:val="clear" w:color="auto" w:fill="auto"/>
            <w:noWrap/>
            <w:vAlign w:val="bottom"/>
          </w:tcPr>
          <w:p w:rsidR="00A40C53" w:rsidRPr="008D47B9" w:rsidRDefault="0088324F" w:rsidP="00A40C53">
            <w:pPr>
              <w:jc w:val="right"/>
              <w:rPr>
                <w:rFonts w:ascii="Arial" w:hAnsi="Arial" w:cs="Arial"/>
                <w:b/>
                <w:sz w:val="18"/>
                <w:szCs w:val="18"/>
              </w:rPr>
            </w:pPr>
            <w:r>
              <w:rPr>
                <w:rFonts w:ascii="Arial" w:hAnsi="Arial" w:cs="Arial"/>
                <w:b/>
                <w:sz w:val="18"/>
                <w:szCs w:val="18"/>
              </w:rPr>
              <w:t>(197)</w:t>
            </w:r>
          </w:p>
        </w:tc>
        <w:tc>
          <w:tcPr>
            <w:tcW w:w="707" w:type="pct"/>
            <w:tcBorders>
              <w:left w:val="nil"/>
              <w:bottom w:val="single" w:sz="12" w:space="0" w:color="auto"/>
              <w:right w:val="nil"/>
            </w:tcBorders>
            <w:vAlign w:val="bottom"/>
          </w:tcPr>
          <w:p w:rsidR="00A40C53" w:rsidRPr="00A40C53" w:rsidRDefault="00A40C53" w:rsidP="00A40C53">
            <w:pPr>
              <w:jc w:val="right"/>
              <w:rPr>
                <w:rFonts w:ascii="Arial" w:hAnsi="Arial" w:cs="Arial"/>
                <w:sz w:val="18"/>
                <w:szCs w:val="18"/>
              </w:rPr>
            </w:pPr>
            <w:r w:rsidRPr="00A40C53">
              <w:rPr>
                <w:rFonts w:ascii="Arial" w:hAnsi="Arial" w:cs="Arial"/>
                <w:sz w:val="18"/>
                <w:szCs w:val="18"/>
              </w:rPr>
              <w:t>(149)</w:t>
            </w:r>
          </w:p>
        </w:tc>
      </w:tr>
    </w:tbl>
    <w:p w:rsidR="002130A0" w:rsidRPr="00F515DB" w:rsidRDefault="002130A0" w:rsidP="00FA21A3">
      <w:pPr>
        <w:jc w:val="both"/>
        <w:rPr>
          <w:rFonts w:ascii="Arial" w:hAnsi="Arial" w:cs="Arial"/>
          <w:sz w:val="18"/>
          <w:szCs w:val="18"/>
        </w:rPr>
      </w:pPr>
    </w:p>
    <w:p w:rsidR="00B11F69" w:rsidRDefault="00F53DBE" w:rsidP="00FA21A3">
      <w:pPr>
        <w:jc w:val="both"/>
        <w:rPr>
          <w:rFonts w:ascii="Arial" w:hAnsi="Arial" w:cs="Arial"/>
          <w:sz w:val="18"/>
          <w:szCs w:val="18"/>
        </w:rPr>
      </w:pPr>
      <w:r w:rsidRPr="009A6CEA">
        <w:rPr>
          <w:rFonts w:ascii="Arial" w:hAnsi="Arial" w:cs="Arial"/>
          <w:sz w:val="18"/>
          <w:szCs w:val="18"/>
        </w:rPr>
        <w:t xml:space="preserve">The effective </w:t>
      </w:r>
      <w:r w:rsidR="005219B4" w:rsidRPr="009A6CEA">
        <w:rPr>
          <w:rFonts w:ascii="Arial" w:hAnsi="Arial" w:cs="Arial"/>
          <w:sz w:val="18"/>
          <w:szCs w:val="18"/>
        </w:rPr>
        <w:t>tax rate</w:t>
      </w:r>
      <w:r w:rsidRPr="009A6CEA">
        <w:rPr>
          <w:rFonts w:ascii="Arial" w:hAnsi="Arial" w:cs="Arial"/>
          <w:sz w:val="18"/>
          <w:szCs w:val="18"/>
        </w:rPr>
        <w:t xml:space="preserve"> on profit before exceptional items and excluding prior year tax adjustments and the impact of changes in tax rates on deferred tax is </w:t>
      </w:r>
      <w:r w:rsidR="009A6CEA" w:rsidRPr="009A6CEA">
        <w:rPr>
          <w:rFonts w:ascii="Arial" w:hAnsi="Arial" w:cs="Arial"/>
          <w:sz w:val="18"/>
          <w:szCs w:val="18"/>
        </w:rPr>
        <w:t>30</w:t>
      </w:r>
      <w:r w:rsidR="002354A1" w:rsidRPr="009A6CEA">
        <w:rPr>
          <w:rFonts w:ascii="Arial" w:hAnsi="Arial" w:cs="Arial"/>
          <w:sz w:val="18"/>
          <w:szCs w:val="18"/>
        </w:rPr>
        <w:t>%</w:t>
      </w:r>
      <w:r w:rsidR="002354A1">
        <w:rPr>
          <w:rFonts w:ascii="Arial" w:hAnsi="Arial" w:cs="Arial"/>
          <w:sz w:val="18"/>
          <w:szCs w:val="18"/>
        </w:rPr>
        <w:t xml:space="preserve"> </w:t>
      </w:r>
      <w:r w:rsidR="000206F0">
        <w:rPr>
          <w:rFonts w:ascii="Arial" w:hAnsi="Arial" w:cs="Arial"/>
          <w:sz w:val="18"/>
          <w:szCs w:val="18"/>
        </w:rPr>
        <w:t>(201</w:t>
      </w:r>
      <w:r w:rsidR="00A40C53">
        <w:rPr>
          <w:rFonts w:ascii="Arial" w:hAnsi="Arial" w:cs="Arial"/>
          <w:sz w:val="18"/>
          <w:szCs w:val="18"/>
        </w:rPr>
        <w:t>6</w:t>
      </w:r>
      <w:r w:rsidR="000206F0">
        <w:rPr>
          <w:rFonts w:ascii="Arial" w:hAnsi="Arial" w:cs="Arial"/>
          <w:sz w:val="18"/>
          <w:szCs w:val="18"/>
        </w:rPr>
        <w:t>/1</w:t>
      </w:r>
      <w:r w:rsidR="00A40C53">
        <w:rPr>
          <w:rFonts w:ascii="Arial" w:hAnsi="Arial" w:cs="Arial"/>
          <w:sz w:val="18"/>
          <w:szCs w:val="18"/>
        </w:rPr>
        <w:t>7</w:t>
      </w:r>
      <w:r w:rsidRPr="00F53DBE">
        <w:rPr>
          <w:rFonts w:ascii="Arial" w:hAnsi="Arial" w:cs="Arial"/>
          <w:sz w:val="18"/>
          <w:szCs w:val="18"/>
        </w:rPr>
        <w:t>:</w:t>
      </w:r>
      <w:r w:rsidR="002354A1">
        <w:rPr>
          <w:rFonts w:ascii="Arial" w:hAnsi="Arial" w:cs="Arial"/>
          <w:sz w:val="18"/>
          <w:szCs w:val="18"/>
        </w:rPr>
        <w:t xml:space="preserve"> </w:t>
      </w:r>
      <w:r w:rsidR="000206F0">
        <w:rPr>
          <w:rFonts w:ascii="Arial" w:hAnsi="Arial" w:cs="Arial"/>
          <w:sz w:val="18"/>
          <w:szCs w:val="18"/>
        </w:rPr>
        <w:t>26</w:t>
      </w:r>
      <w:r w:rsidRPr="00F53DBE">
        <w:rPr>
          <w:rFonts w:ascii="Arial" w:hAnsi="Arial" w:cs="Arial"/>
          <w:sz w:val="18"/>
          <w:szCs w:val="18"/>
        </w:rPr>
        <w:t>%).</w:t>
      </w:r>
      <w:r w:rsidR="00A063AD">
        <w:rPr>
          <w:rFonts w:ascii="Arial" w:hAnsi="Arial" w:cs="Arial"/>
          <w:sz w:val="18"/>
          <w:szCs w:val="18"/>
        </w:rPr>
        <w:t xml:space="preserve"> </w:t>
      </w:r>
      <w:bookmarkStart w:id="3" w:name="_Hlk507927519"/>
      <w:r w:rsidR="00A063AD">
        <w:rPr>
          <w:rFonts w:ascii="Arial" w:hAnsi="Arial" w:cs="Arial"/>
          <w:sz w:val="18"/>
          <w:szCs w:val="18"/>
        </w:rPr>
        <w:t>The increase in the effective tax rate is largely due to a one</w:t>
      </w:r>
      <w:r w:rsidR="0086100F">
        <w:rPr>
          <w:rFonts w:ascii="Arial" w:hAnsi="Arial" w:cs="Arial"/>
          <w:sz w:val="18"/>
          <w:szCs w:val="18"/>
        </w:rPr>
        <w:t xml:space="preserve"> </w:t>
      </w:r>
      <w:r w:rsidR="00A063AD">
        <w:rPr>
          <w:rFonts w:ascii="Arial" w:hAnsi="Arial" w:cs="Arial"/>
          <w:sz w:val="18"/>
          <w:szCs w:val="18"/>
        </w:rPr>
        <w:t>off French tax surcharge in 2017/18.</w:t>
      </w:r>
      <w:r w:rsidRPr="00F53DBE">
        <w:rPr>
          <w:rFonts w:ascii="Arial" w:hAnsi="Arial" w:cs="Arial"/>
          <w:sz w:val="18"/>
          <w:szCs w:val="18"/>
        </w:rPr>
        <w:t xml:space="preserve"> </w:t>
      </w:r>
      <w:r w:rsidR="000B58B8">
        <w:rPr>
          <w:rFonts w:ascii="Arial" w:hAnsi="Arial" w:cs="Arial"/>
          <w:sz w:val="18"/>
          <w:szCs w:val="18"/>
        </w:rPr>
        <w:t xml:space="preserve">Tax on </w:t>
      </w:r>
      <w:r w:rsidR="00FC3F5D">
        <w:rPr>
          <w:rFonts w:ascii="Arial" w:hAnsi="Arial" w:cs="Arial"/>
          <w:sz w:val="18"/>
          <w:szCs w:val="18"/>
        </w:rPr>
        <w:t>e</w:t>
      </w:r>
      <w:r w:rsidR="009A6CEA">
        <w:rPr>
          <w:rFonts w:ascii="Arial" w:hAnsi="Arial" w:cs="Arial"/>
          <w:sz w:val="18"/>
          <w:szCs w:val="18"/>
        </w:rPr>
        <w:t xml:space="preserve">xceptional items for the year </w:t>
      </w:r>
      <w:r w:rsidR="000B58B8">
        <w:rPr>
          <w:rFonts w:ascii="Arial" w:hAnsi="Arial" w:cs="Arial"/>
          <w:sz w:val="18"/>
          <w:szCs w:val="18"/>
        </w:rPr>
        <w:t>amount to a charge of £nil</w:t>
      </w:r>
      <w:r w:rsidR="009A6CEA">
        <w:rPr>
          <w:rFonts w:ascii="Arial" w:hAnsi="Arial" w:cs="Arial"/>
          <w:sz w:val="18"/>
          <w:szCs w:val="18"/>
        </w:rPr>
        <w:t xml:space="preserve">. </w:t>
      </w:r>
      <w:r w:rsidR="009A6CEA" w:rsidRPr="009A6CEA">
        <w:rPr>
          <w:rFonts w:ascii="Arial" w:hAnsi="Arial" w:cs="Arial"/>
          <w:sz w:val="18"/>
          <w:szCs w:val="18"/>
        </w:rPr>
        <w:t xml:space="preserve">In 2016/17, </w:t>
      </w:r>
      <w:r w:rsidR="000B58B8">
        <w:rPr>
          <w:rFonts w:ascii="Arial" w:hAnsi="Arial" w:cs="Arial"/>
          <w:sz w:val="18"/>
          <w:szCs w:val="18"/>
        </w:rPr>
        <w:t xml:space="preserve">tax on </w:t>
      </w:r>
      <w:r w:rsidR="009A6CEA" w:rsidRPr="009A6CEA">
        <w:rPr>
          <w:rFonts w:ascii="Arial" w:hAnsi="Arial" w:cs="Arial"/>
          <w:sz w:val="18"/>
          <w:szCs w:val="18"/>
        </w:rPr>
        <w:t>e</w:t>
      </w:r>
      <w:r w:rsidRPr="009A6CEA">
        <w:rPr>
          <w:rFonts w:ascii="Arial" w:hAnsi="Arial" w:cs="Arial"/>
          <w:sz w:val="18"/>
          <w:szCs w:val="18"/>
        </w:rPr>
        <w:t xml:space="preserve">xceptional </w:t>
      </w:r>
      <w:r w:rsidR="002354A1" w:rsidRPr="009A6CEA">
        <w:rPr>
          <w:rFonts w:ascii="Arial" w:hAnsi="Arial" w:cs="Arial"/>
          <w:sz w:val="18"/>
          <w:szCs w:val="18"/>
        </w:rPr>
        <w:t xml:space="preserve">items </w:t>
      </w:r>
      <w:r w:rsidR="009A6CEA" w:rsidRPr="009A6CEA">
        <w:rPr>
          <w:rFonts w:ascii="Arial" w:hAnsi="Arial" w:cs="Arial"/>
          <w:sz w:val="18"/>
          <w:szCs w:val="18"/>
        </w:rPr>
        <w:t>a</w:t>
      </w:r>
      <w:r w:rsidR="002354A1" w:rsidRPr="009A6CEA">
        <w:rPr>
          <w:rFonts w:ascii="Arial" w:hAnsi="Arial" w:cs="Arial"/>
          <w:sz w:val="18"/>
          <w:szCs w:val="18"/>
        </w:rPr>
        <w:t>mount</w:t>
      </w:r>
      <w:r w:rsidR="009A6CEA" w:rsidRPr="009A6CEA">
        <w:rPr>
          <w:rFonts w:ascii="Arial" w:hAnsi="Arial" w:cs="Arial"/>
          <w:sz w:val="18"/>
          <w:szCs w:val="18"/>
        </w:rPr>
        <w:t>ed</w:t>
      </w:r>
      <w:r w:rsidR="002354A1" w:rsidRPr="009A6CEA">
        <w:rPr>
          <w:rFonts w:ascii="Arial" w:hAnsi="Arial" w:cs="Arial"/>
          <w:sz w:val="18"/>
          <w:szCs w:val="18"/>
        </w:rPr>
        <w:t xml:space="preserve"> to a </w:t>
      </w:r>
      <w:r w:rsidR="00363433" w:rsidRPr="009A6CEA">
        <w:rPr>
          <w:rFonts w:ascii="Arial" w:hAnsi="Arial" w:cs="Arial"/>
          <w:sz w:val="18"/>
          <w:szCs w:val="18"/>
        </w:rPr>
        <w:t>charge of</w:t>
      </w:r>
      <w:r w:rsidR="002354A1" w:rsidRPr="009A6CEA">
        <w:rPr>
          <w:rFonts w:ascii="Arial" w:hAnsi="Arial" w:cs="Arial"/>
          <w:sz w:val="18"/>
          <w:szCs w:val="18"/>
        </w:rPr>
        <w:t xml:space="preserve"> £</w:t>
      </w:r>
      <w:r w:rsidR="00363433" w:rsidRPr="009A6CEA">
        <w:rPr>
          <w:rFonts w:ascii="Arial" w:hAnsi="Arial" w:cs="Arial"/>
          <w:sz w:val="18"/>
          <w:szCs w:val="18"/>
        </w:rPr>
        <w:t>6</w:t>
      </w:r>
      <w:r w:rsidR="00245242" w:rsidRPr="009A6CEA">
        <w:rPr>
          <w:rFonts w:ascii="Arial" w:hAnsi="Arial" w:cs="Arial"/>
          <w:sz w:val="18"/>
          <w:szCs w:val="18"/>
        </w:rPr>
        <w:t>m,</w:t>
      </w:r>
      <w:r w:rsidR="00363433" w:rsidRPr="009A6CEA">
        <w:rPr>
          <w:rFonts w:ascii="Arial" w:hAnsi="Arial" w:cs="Arial"/>
          <w:sz w:val="18"/>
          <w:szCs w:val="18"/>
        </w:rPr>
        <w:t xml:space="preserve"> </w:t>
      </w:r>
      <w:r w:rsidR="000B58B8">
        <w:rPr>
          <w:rFonts w:ascii="Arial" w:hAnsi="Arial" w:cs="Arial"/>
          <w:sz w:val="18"/>
          <w:szCs w:val="18"/>
        </w:rPr>
        <w:t>including</w:t>
      </w:r>
      <w:r w:rsidR="008E4A8C" w:rsidRPr="009A6CEA">
        <w:rPr>
          <w:rFonts w:ascii="Arial" w:hAnsi="Arial" w:cs="Arial"/>
          <w:sz w:val="18"/>
          <w:szCs w:val="18"/>
        </w:rPr>
        <w:t xml:space="preserve"> a</w:t>
      </w:r>
      <w:r w:rsidRPr="009A6CEA">
        <w:rPr>
          <w:rFonts w:ascii="Arial" w:hAnsi="Arial" w:cs="Arial"/>
          <w:sz w:val="18"/>
          <w:szCs w:val="18"/>
        </w:rPr>
        <w:t xml:space="preserve"> </w:t>
      </w:r>
      <w:r w:rsidR="00363433" w:rsidRPr="009A6CEA">
        <w:rPr>
          <w:rFonts w:ascii="Arial" w:hAnsi="Arial" w:cs="Arial"/>
          <w:sz w:val="18"/>
          <w:szCs w:val="18"/>
        </w:rPr>
        <w:t>credit</w:t>
      </w:r>
      <w:r w:rsidR="000B58B8">
        <w:rPr>
          <w:rFonts w:ascii="Arial" w:hAnsi="Arial" w:cs="Arial"/>
          <w:sz w:val="18"/>
          <w:szCs w:val="18"/>
        </w:rPr>
        <w:t xml:space="preserve"> of £1m</w:t>
      </w:r>
      <w:r w:rsidR="00363433" w:rsidRPr="009A6CEA">
        <w:rPr>
          <w:rFonts w:ascii="Arial" w:hAnsi="Arial" w:cs="Arial"/>
          <w:sz w:val="18"/>
          <w:szCs w:val="18"/>
        </w:rPr>
        <w:t xml:space="preserve"> </w:t>
      </w:r>
      <w:r w:rsidRPr="009A6CEA">
        <w:rPr>
          <w:rFonts w:ascii="Arial" w:hAnsi="Arial" w:cs="Arial"/>
          <w:sz w:val="18"/>
          <w:szCs w:val="18"/>
        </w:rPr>
        <w:t>rela</w:t>
      </w:r>
      <w:r w:rsidR="003847F5">
        <w:rPr>
          <w:rFonts w:ascii="Arial" w:hAnsi="Arial" w:cs="Arial"/>
          <w:sz w:val="18"/>
          <w:szCs w:val="18"/>
        </w:rPr>
        <w:t>t</w:t>
      </w:r>
      <w:r w:rsidR="000B58B8">
        <w:rPr>
          <w:rFonts w:ascii="Arial" w:hAnsi="Arial" w:cs="Arial"/>
          <w:sz w:val="18"/>
          <w:szCs w:val="18"/>
        </w:rPr>
        <w:t>ing</w:t>
      </w:r>
      <w:r w:rsidR="003847F5">
        <w:rPr>
          <w:rFonts w:ascii="Arial" w:hAnsi="Arial" w:cs="Arial"/>
          <w:sz w:val="18"/>
          <w:szCs w:val="18"/>
        </w:rPr>
        <w:t xml:space="preserve"> to prior year items.</w:t>
      </w:r>
    </w:p>
    <w:bookmarkEnd w:id="3"/>
    <w:p w:rsidR="00DC25B4" w:rsidRPr="00EF1091" w:rsidRDefault="0088762F" w:rsidP="00BA0967">
      <w:pPr>
        <w:pStyle w:val="Heading1"/>
        <w:jc w:val="both"/>
        <w:rPr>
          <w:rFonts w:ascii="Arial" w:hAnsi="Arial" w:cs="Arial"/>
          <w:szCs w:val="18"/>
        </w:rPr>
      </w:pPr>
      <w:r w:rsidRPr="00253A4D">
        <w:rPr>
          <w:rFonts w:ascii="Arial" w:hAnsi="Arial" w:cs="Arial"/>
          <w:b w:val="0"/>
          <w:szCs w:val="18"/>
        </w:rPr>
        <w:br w:type="page"/>
      </w:r>
      <w:r w:rsidR="00F764F7">
        <w:rPr>
          <w:rFonts w:ascii="Arial" w:hAnsi="Arial" w:cs="Arial"/>
          <w:szCs w:val="18"/>
        </w:rPr>
        <w:lastRenderedPageBreak/>
        <w:t>7</w:t>
      </w:r>
      <w:r w:rsidR="00DC25B4" w:rsidRPr="00EF1091">
        <w:rPr>
          <w:rFonts w:ascii="Arial" w:hAnsi="Arial" w:cs="Arial"/>
          <w:szCs w:val="18"/>
        </w:rPr>
        <w:tab/>
        <w:t>Earnings per share</w:t>
      </w:r>
    </w:p>
    <w:p w:rsidR="00DC25B4" w:rsidRPr="00EF1091" w:rsidRDefault="00DC25B4">
      <w:pPr>
        <w:rPr>
          <w:rFonts w:ascii="Arial" w:hAnsi="Arial" w:cs="Arial"/>
          <w:sz w:val="18"/>
          <w:szCs w:val="18"/>
        </w:rPr>
      </w:pPr>
    </w:p>
    <w:tbl>
      <w:tblPr>
        <w:tblW w:w="5236" w:type="pct"/>
        <w:tblLayout w:type="fixed"/>
        <w:tblLook w:val="0000" w:firstRow="0" w:lastRow="0" w:firstColumn="0" w:lastColumn="0" w:noHBand="0" w:noVBand="0"/>
      </w:tblPr>
      <w:tblGrid>
        <w:gridCol w:w="3374"/>
        <w:gridCol w:w="1064"/>
        <w:gridCol w:w="1240"/>
        <w:gridCol w:w="1066"/>
        <w:gridCol w:w="1056"/>
        <w:gridCol w:w="1242"/>
        <w:gridCol w:w="1052"/>
      </w:tblGrid>
      <w:tr w:rsidR="00B6088F" w:rsidTr="00990965">
        <w:trPr>
          <w:trHeight w:val="238"/>
        </w:trPr>
        <w:tc>
          <w:tcPr>
            <w:tcW w:w="1671" w:type="pct"/>
            <w:tcBorders>
              <w:top w:val="nil"/>
              <w:left w:val="nil"/>
              <w:bottom w:val="nil"/>
              <w:right w:val="nil"/>
            </w:tcBorders>
            <w:shd w:val="clear" w:color="auto" w:fill="auto"/>
            <w:noWrap/>
            <w:vAlign w:val="bottom"/>
          </w:tcPr>
          <w:p w:rsidR="007C6C03" w:rsidRPr="007C6C03" w:rsidRDefault="007C6C03" w:rsidP="007C6C03">
            <w:pPr>
              <w:rPr>
                <w:rFonts w:ascii="Arial" w:hAnsi="Arial" w:cs="Arial"/>
                <w:sz w:val="18"/>
                <w:szCs w:val="18"/>
              </w:rPr>
            </w:pPr>
          </w:p>
        </w:tc>
        <w:tc>
          <w:tcPr>
            <w:tcW w:w="527" w:type="pct"/>
            <w:tcBorders>
              <w:top w:val="nil"/>
              <w:left w:val="nil"/>
              <w:bottom w:val="single" w:sz="4" w:space="0" w:color="auto"/>
              <w:right w:val="nil"/>
            </w:tcBorders>
            <w:shd w:val="clear" w:color="auto" w:fill="auto"/>
            <w:noWrap/>
            <w:vAlign w:val="bottom"/>
          </w:tcPr>
          <w:p w:rsidR="007C6C03" w:rsidRPr="007C6C03" w:rsidRDefault="007C6C03" w:rsidP="007C6C03">
            <w:pPr>
              <w:jc w:val="right"/>
              <w:rPr>
                <w:rFonts w:ascii="Arial" w:hAnsi="Arial" w:cs="Arial"/>
                <w:sz w:val="18"/>
                <w:szCs w:val="18"/>
              </w:rPr>
            </w:pPr>
            <w:r w:rsidRPr="007C6C03">
              <w:rPr>
                <w:rFonts w:ascii="Arial" w:hAnsi="Arial" w:cs="Arial"/>
                <w:sz w:val="18"/>
                <w:szCs w:val="18"/>
              </w:rPr>
              <w:t> </w:t>
            </w:r>
          </w:p>
        </w:tc>
        <w:tc>
          <w:tcPr>
            <w:tcW w:w="1142" w:type="pct"/>
            <w:gridSpan w:val="2"/>
            <w:tcBorders>
              <w:top w:val="nil"/>
              <w:left w:val="nil"/>
              <w:bottom w:val="single" w:sz="4" w:space="0" w:color="auto"/>
              <w:right w:val="nil"/>
            </w:tcBorders>
            <w:shd w:val="clear" w:color="auto" w:fill="auto"/>
            <w:noWrap/>
            <w:vAlign w:val="bottom"/>
          </w:tcPr>
          <w:p w:rsidR="007C6C03" w:rsidRPr="00CD6F3E" w:rsidRDefault="007C6C03" w:rsidP="00990965">
            <w:pPr>
              <w:jc w:val="right"/>
              <w:rPr>
                <w:rFonts w:ascii="Arial" w:hAnsi="Arial" w:cs="Arial"/>
                <w:sz w:val="18"/>
                <w:szCs w:val="18"/>
              </w:rPr>
            </w:pPr>
            <w:r w:rsidRPr="00281AF4">
              <w:rPr>
                <w:rFonts w:ascii="Arial" w:hAnsi="Arial" w:cs="Arial"/>
                <w:b/>
                <w:sz w:val="18"/>
                <w:szCs w:val="18"/>
              </w:rPr>
              <w:t> </w:t>
            </w:r>
            <w:r w:rsidR="00934686" w:rsidRPr="008C583A">
              <w:rPr>
                <w:rFonts w:ascii="Arial" w:hAnsi="Arial" w:cs="Arial"/>
                <w:sz w:val="18"/>
                <w:szCs w:val="18"/>
              </w:rPr>
              <w:t>201</w:t>
            </w:r>
            <w:r w:rsidR="00990965">
              <w:rPr>
                <w:rFonts w:ascii="Arial" w:hAnsi="Arial" w:cs="Arial"/>
                <w:sz w:val="18"/>
                <w:szCs w:val="18"/>
              </w:rPr>
              <w:t>7</w:t>
            </w:r>
            <w:r w:rsidRPr="00FC37BE">
              <w:rPr>
                <w:rFonts w:ascii="Arial" w:hAnsi="Arial" w:cs="Arial"/>
                <w:sz w:val="18"/>
                <w:szCs w:val="18"/>
              </w:rPr>
              <w:t>/</w:t>
            </w:r>
            <w:r w:rsidR="00934686" w:rsidRPr="00FC37BE">
              <w:rPr>
                <w:rFonts w:ascii="Arial" w:hAnsi="Arial" w:cs="Arial"/>
                <w:sz w:val="18"/>
                <w:szCs w:val="18"/>
              </w:rPr>
              <w:t>1</w:t>
            </w:r>
            <w:r w:rsidR="00990965">
              <w:rPr>
                <w:rFonts w:ascii="Arial" w:hAnsi="Arial" w:cs="Arial"/>
                <w:sz w:val="18"/>
                <w:szCs w:val="18"/>
              </w:rPr>
              <w:t>8</w:t>
            </w:r>
          </w:p>
        </w:tc>
        <w:tc>
          <w:tcPr>
            <w:tcW w:w="523" w:type="pct"/>
            <w:tcBorders>
              <w:top w:val="nil"/>
              <w:left w:val="nil"/>
              <w:bottom w:val="single" w:sz="4" w:space="0" w:color="auto"/>
              <w:right w:val="nil"/>
            </w:tcBorders>
            <w:shd w:val="clear" w:color="auto" w:fill="auto"/>
            <w:vAlign w:val="bottom"/>
          </w:tcPr>
          <w:p w:rsidR="007C6C03" w:rsidRPr="007C6C03" w:rsidRDefault="007C6C03" w:rsidP="007C6C03">
            <w:pPr>
              <w:jc w:val="right"/>
              <w:rPr>
                <w:rFonts w:ascii="Arial" w:hAnsi="Arial" w:cs="Arial"/>
                <w:sz w:val="18"/>
                <w:szCs w:val="18"/>
              </w:rPr>
            </w:pPr>
            <w:r w:rsidRPr="007C6C03">
              <w:rPr>
                <w:rFonts w:ascii="Arial" w:hAnsi="Arial" w:cs="Arial"/>
                <w:sz w:val="18"/>
                <w:szCs w:val="18"/>
              </w:rPr>
              <w:t> </w:t>
            </w:r>
          </w:p>
        </w:tc>
        <w:tc>
          <w:tcPr>
            <w:tcW w:w="1136" w:type="pct"/>
            <w:gridSpan w:val="2"/>
            <w:tcBorders>
              <w:top w:val="nil"/>
              <w:left w:val="nil"/>
              <w:bottom w:val="single" w:sz="4" w:space="0" w:color="auto"/>
              <w:right w:val="nil"/>
            </w:tcBorders>
            <w:shd w:val="clear" w:color="auto" w:fill="auto"/>
            <w:vAlign w:val="bottom"/>
          </w:tcPr>
          <w:p w:rsidR="004248DE" w:rsidRPr="007C6C03" w:rsidRDefault="007C6C03" w:rsidP="00990965">
            <w:pPr>
              <w:jc w:val="right"/>
              <w:rPr>
                <w:rFonts w:ascii="Arial" w:hAnsi="Arial" w:cs="Arial"/>
                <w:sz w:val="18"/>
                <w:szCs w:val="18"/>
              </w:rPr>
            </w:pPr>
            <w:r w:rsidRPr="007C6C03">
              <w:rPr>
                <w:rFonts w:ascii="Arial" w:hAnsi="Arial" w:cs="Arial"/>
                <w:sz w:val="18"/>
                <w:szCs w:val="18"/>
              </w:rPr>
              <w:t> </w:t>
            </w:r>
            <w:r w:rsidR="00B11F69" w:rsidRPr="007C6C03">
              <w:rPr>
                <w:rFonts w:ascii="Arial" w:hAnsi="Arial" w:cs="Arial"/>
                <w:sz w:val="18"/>
                <w:szCs w:val="18"/>
              </w:rPr>
              <w:t> </w:t>
            </w:r>
            <w:r w:rsidR="00494055" w:rsidRPr="008C583A">
              <w:rPr>
                <w:rFonts w:ascii="Arial" w:hAnsi="Arial" w:cs="Arial"/>
                <w:sz w:val="18"/>
                <w:szCs w:val="18"/>
              </w:rPr>
              <w:t>201</w:t>
            </w:r>
            <w:r w:rsidR="00990965">
              <w:rPr>
                <w:rFonts w:ascii="Arial" w:hAnsi="Arial" w:cs="Arial"/>
                <w:sz w:val="18"/>
                <w:szCs w:val="18"/>
              </w:rPr>
              <w:t>6</w:t>
            </w:r>
            <w:r w:rsidR="00494055" w:rsidRPr="00FC37BE">
              <w:rPr>
                <w:rFonts w:ascii="Arial" w:hAnsi="Arial" w:cs="Arial"/>
                <w:sz w:val="18"/>
                <w:szCs w:val="18"/>
              </w:rPr>
              <w:t>/1</w:t>
            </w:r>
            <w:r w:rsidR="00990965">
              <w:rPr>
                <w:rFonts w:ascii="Arial" w:hAnsi="Arial" w:cs="Arial"/>
                <w:sz w:val="18"/>
                <w:szCs w:val="18"/>
              </w:rPr>
              <w:t>7</w:t>
            </w:r>
          </w:p>
        </w:tc>
      </w:tr>
      <w:tr w:rsidR="00B6088F" w:rsidTr="00990965">
        <w:trPr>
          <w:trHeight w:val="238"/>
        </w:trPr>
        <w:tc>
          <w:tcPr>
            <w:tcW w:w="1671" w:type="pct"/>
            <w:tcBorders>
              <w:top w:val="nil"/>
              <w:left w:val="nil"/>
              <w:bottom w:val="nil"/>
              <w:right w:val="nil"/>
            </w:tcBorders>
            <w:shd w:val="clear" w:color="auto" w:fill="auto"/>
            <w:noWrap/>
            <w:vAlign w:val="bottom"/>
          </w:tcPr>
          <w:p w:rsidR="007C6C03" w:rsidRPr="007C6C03" w:rsidRDefault="007C6C03" w:rsidP="007C6C03">
            <w:pPr>
              <w:rPr>
                <w:rFonts w:ascii="Arial" w:hAnsi="Arial" w:cs="Arial"/>
                <w:sz w:val="16"/>
                <w:szCs w:val="16"/>
              </w:rPr>
            </w:pPr>
          </w:p>
        </w:tc>
        <w:tc>
          <w:tcPr>
            <w:tcW w:w="527" w:type="pct"/>
            <w:tcBorders>
              <w:top w:val="nil"/>
              <w:left w:val="nil"/>
              <w:bottom w:val="nil"/>
              <w:right w:val="nil"/>
            </w:tcBorders>
            <w:shd w:val="clear" w:color="auto" w:fill="auto"/>
            <w:noWrap/>
          </w:tcPr>
          <w:p w:rsidR="007246CE" w:rsidRDefault="007246CE" w:rsidP="007C6C03">
            <w:pPr>
              <w:jc w:val="right"/>
              <w:rPr>
                <w:rFonts w:ascii="Arial" w:hAnsi="Arial" w:cs="Arial"/>
                <w:sz w:val="18"/>
                <w:szCs w:val="18"/>
              </w:rPr>
            </w:pPr>
          </w:p>
          <w:p w:rsidR="007246CE" w:rsidRDefault="007246CE" w:rsidP="007C6C03">
            <w:pPr>
              <w:jc w:val="right"/>
              <w:rPr>
                <w:rFonts w:ascii="Arial" w:hAnsi="Arial" w:cs="Arial"/>
                <w:sz w:val="18"/>
                <w:szCs w:val="18"/>
              </w:rPr>
            </w:pPr>
          </w:p>
          <w:p w:rsidR="007246CE" w:rsidRDefault="007246CE" w:rsidP="007C6C03">
            <w:pPr>
              <w:jc w:val="right"/>
              <w:rPr>
                <w:rFonts w:ascii="Arial" w:hAnsi="Arial" w:cs="Arial"/>
                <w:sz w:val="18"/>
                <w:szCs w:val="18"/>
              </w:rPr>
            </w:pPr>
          </w:p>
          <w:p w:rsidR="007C6C03" w:rsidRPr="001F1FAD" w:rsidRDefault="007C6C03" w:rsidP="007C6C03">
            <w:pPr>
              <w:jc w:val="right"/>
              <w:rPr>
                <w:rFonts w:ascii="Arial" w:hAnsi="Arial" w:cs="Arial"/>
                <w:sz w:val="18"/>
                <w:szCs w:val="18"/>
              </w:rPr>
            </w:pPr>
            <w:r w:rsidRPr="001F1FAD">
              <w:rPr>
                <w:rFonts w:ascii="Arial" w:hAnsi="Arial" w:cs="Arial"/>
                <w:sz w:val="18"/>
                <w:szCs w:val="18"/>
              </w:rPr>
              <w:t>Earnings</w:t>
            </w:r>
          </w:p>
        </w:tc>
        <w:tc>
          <w:tcPr>
            <w:tcW w:w="614" w:type="pct"/>
            <w:tcBorders>
              <w:top w:val="nil"/>
              <w:left w:val="nil"/>
              <w:bottom w:val="nil"/>
              <w:right w:val="nil"/>
            </w:tcBorders>
            <w:shd w:val="clear" w:color="auto" w:fill="auto"/>
          </w:tcPr>
          <w:p w:rsidR="007C6C03" w:rsidRPr="001F1FAD" w:rsidRDefault="007C6C03" w:rsidP="007C6C03">
            <w:pPr>
              <w:jc w:val="right"/>
              <w:rPr>
                <w:rFonts w:ascii="Arial" w:hAnsi="Arial" w:cs="Arial"/>
                <w:sz w:val="18"/>
                <w:szCs w:val="18"/>
              </w:rPr>
            </w:pPr>
            <w:r w:rsidRPr="001F1FAD">
              <w:rPr>
                <w:rFonts w:ascii="Arial" w:hAnsi="Arial" w:cs="Arial"/>
                <w:sz w:val="18"/>
                <w:szCs w:val="18"/>
              </w:rPr>
              <w:t>Weighted</w:t>
            </w:r>
            <w:r w:rsidRPr="001F1FAD">
              <w:rPr>
                <w:rFonts w:ascii="Arial" w:hAnsi="Arial" w:cs="Arial"/>
                <w:sz w:val="18"/>
                <w:szCs w:val="18"/>
              </w:rPr>
              <w:br/>
              <w:t>average</w:t>
            </w:r>
            <w:r w:rsidRPr="001F1FAD">
              <w:rPr>
                <w:rFonts w:ascii="Arial" w:hAnsi="Arial" w:cs="Arial"/>
                <w:sz w:val="18"/>
                <w:szCs w:val="18"/>
              </w:rPr>
              <w:br/>
              <w:t>number</w:t>
            </w:r>
            <w:r w:rsidRPr="001F1FAD">
              <w:rPr>
                <w:rFonts w:ascii="Arial" w:hAnsi="Arial" w:cs="Arial"/>
                <w:sz w:val="18"/>
                <w:szCs w:val="18"/>
              </w:rPr>
              <w:br/>
              <w:t xml:space="preserve">of shares </w:t>
            </w:r>
          </w:p>
        </w:tc>
        <w:tc>
          <w:tcPr>
            <w:tcW w:w="528" w:type="pct"/>
            <w:tcBorders>
              <w:top w:val="nil"/>
              <w:left w:val="nil"/>
              <w:bottom w:val="nil"/>
              <w:right w:val="nil"/>
            </w:tcBorders>
            <w:shd w:val="clear" w:color="auto" w:fill="auto"/>
          </w:tcPr>
          <w:p w:rsidR="007246CE" w:rsidRDefault="007246CE" w:rsidP="007C6C03">
            <w:pPr>
              <w:jc w:val="right"/>
              <w:rPr>
                <w:rFonts w:ascii="Arial" w:hAnsi="Arial" w:cs="Arial"/>
                <w:sz w:val="18"/>
                <w:szCs w:val="18"/>
              </w:rPr>
            </w:pPr>
          </w:p>
          <w:p w:rsidR="007246CE" w:rsidRDefault="007246CE" w:rsidP="007C6C03">
            <w:pPr>
              <w:jc w:val="right"/>
              <w:rPr>
                <w:rFonts w:ascii="Arial" w:hAnsi="Arial" w:cs="Arial"/>
                <w:sz w:val="18"/>
                <w:szCs w:val="18"/>
              </w:rPr>
            </w:pPr>
          </w:p>
          <w:p w:rsidR="007C6C03" w:rsidRPr="001F1FAD" w:rsidRDefault="007246CE" w:rsidP="007C6C03">
            <w:pPr>
              <w:jc w:val="right"/>
              <w:rPr>
                <w:rFonts w:ascii="Arial" w:hAnsi="Arial" w:cs="Arial"/>
                <w:sz w:val="18"/>
                <w:szCs w:val="18"/>
              </w:rPr>
            </w:pPr>
            <w:r>
              <w:rPr>
                <w:rFonts w:ascii="Arial" w:hAnsi="Arial" w:cs="Arial"/>
                <w:sz w:val="18"/>
                <w:szCs w:val="18"/>
              </w:rPr>
              <w:t>Earnings per share</w:t>
            </w:r>
          </w:p>
        </w:tc>
        <w:tc>
          <w:tcPr>
            <w:tcW w:w="523" w:type="pct"/>
            <w:tcBorders>
              <w:top w:val="nil"/>
              <w:left w:val="nil"/>
              <w:bottom w:val="nil"/>
              <w:right w:val="nil"/>
            </w:tcBorders>
            <w:shd w:val="clear" w:color="auto" w:fill="auto"/>
            <w:noWrap/>
          </w:tcPr>
          <w:p w:rsidR="007246CE" w:rsidRPr="00D21EEE" w:rsidRDefault="007246CE" w:rsidP="007C6C03">
            <w:pPr>
              <w:jc w:val="right"/>
              <w:rPr>
                <w:rFonts w:ascii="Arial" w:hAnsi="Arial" w:cs="Arial"/>
                <w:sz w:val="18"/>
                <w:szCs w:val="18"/>
              </w:rPr>
            </w:pPr>
          </w:p>
          <w:p w:rsidR="007246CE" w:rsidRPr="00D21EEE" w:rsidRDefault="007246CE" w:rsidP="007C6C03">
            <w:pPr>
              <w:jc w:val="right"/>
              <w:rPr>
                <w:rFonts w:ascii="Arial" w:hAnsi="Arial" w:cs="Arial"/>
                <w:sz w:val="18"/>
                <w:szCs w:val="18"/>
              </w:rPr>
            </w:pPr>
          </w:p>
          <w:p w:rsidR="007246CE" w:rsidRPr="00D21EEE" w:rsidRDefault="007246CE" w:rsidP="007C6C03">
            <w:pPr>
              <w:jc w:val="right"/>
              <w:rPr>
                <w:rFonts w:ascii="Arial" w:hAnsi="Arial" w:cs="Arial"/>
                <w:sz w:val="18"/>
                <w:szCs w:val="18"/>
              </w:rPr>
            </w:pPr>
          </w:p>
          <w:p w:rsidR="007C6C03" w:rsidRPr="00D21EEE" w:rsidRDefault="007C6C03" w:rsidP="007C6C03">
            <w:pPr>
              <w:jc w:val="right"/>
              <w:rPr>
                <w:rFonts w:ascii="Arial" w:hAnsi="Arial" w:cs="Arial"/>
                <w:sz w:val="18"/>
                <w:szCs w:val="18"/>
              </w:rPr>
            </w:pPr>
            <w:r w:rsidRPr="00D21EEE">
              <w:rPr>
                <w:rFonts w:ascii="Arial" w:hAnsi="Arial" w:cs="Arial"/>
                <w:sz w:val="18"/>
                <w:szCs w:val="18"/>
              </w:rPr>
              <w:t>Earnings</w:t>
            </w:r>
          </w:p>
        </w:tc>
        <w:tc>
          <w:tcPr>
            <w:tcW w:w="615" w:type="pct"/>
            <w:tcBorders>
              <w:top w:val="nil"/>
              <w:left w:val="nil"/>
              <w:bottom w:val="nil"/>
              <w:right w:val="nil"/>
            </w:tcBorders>
            <w:shd w:val="clear" w:color="auto" w:fill="auto"/>
          </w:tcPr>
          <w:p w:rsidR="007C6C03" w:rsidRPr="00D21EEE" w:rsidRDefault="007C6C03" w:rsidP="007C6C03">
            <w:pPr>
              <w:jc w:val="right"/>
              <w:rPr>
                <w:rFonts w:ascii="Arial" w:hAnsi="Arial" w:cs="Arial"/>
                <w:sz w:val="18"/>
                <w:szCs w:val="18"/>
              </w:rPr>
            </w:pPr>
            <w:r w:rsidRPr="00D21EEE">
              <w:rPr>
                <w:rFonts w:ascii="Arial" w:hAnsi="Arial" w:cs="Arial"/>
                <w:sz w:val="18"/>
                <w:szCs w:val="18"/>
              </w:rPr>
              <w:t>Weighted</w:t>
            </w:r>
            <w:r w:rsidRPr="00D21EEE">
              <w:rPr>
                <w:rFonts w:ascii="Arial" w:hAnsi="Arial" w:cs="Arial"/>
                <w:sz w:val="18"/>
                <w:szCs w:val="18"/>
              </w:rPr>
              <w:br/>
              <w:t>average</w:t>
            </w:r>
            <w:r w:rsidRPr="00D21EEE">
              <w:rPr>
                <w:rFonts w:ascii="Arial" w:hAnsi="Arial" w:cs="Arial"/>
                <w:sz w:val="18"/>
                <w:szCs w:val="18"/>
              </w:rPr>
              <w:br/>
              <w:t>number</w:t>
            </w:r>
            <w:r w:rsidRPr="00D21EEE">
              <w:rPr>
                <w:rFonts w:ascii="Arial" w:hAnsi="Arial" w:cs="Arial"/>
                <w:sz w:val="18"/>
                <w:szCs w:val="18"/>
              </w:rPr>
              <w:br/>
              <w:t xml:space="preserve">of shares </w:t>
            </w:r>
          </w:p>
        </w:tc>
        <w:tc>
          <w:tcPr>
            <w:tcW w:w="521" w:type="pct"/>
            <w:tcBorders>
              <w:top w:val="nil"/>
              <w:left w:val="nil"/>
              <w:bottom w:val="nil"/>
              <w:right w:val="nil"/>
            </w:tcBorders>
            <w:shd w:val="clear" w:color="auto" w:fill="auto"/>
          </w:tcPr>
          <w:p w:rsidR="007246CE" w:rsidRPr="00D21EEE" w:rsidRDefault="007246CE" w:rsidP="007C6C03">
            <w:pPr>
              <w:jc w:val="right"/>
              <w:rPr>
                <w:rFonts w:ascii="Arial" w:hAnsi="Arial" w:cs="Arial"/>
                <w:sz w:val="18"/>
                <w:szCs w:val="18"/>
              </w:rPr>
            </w:pPr>
          </w:p>
          <w:p w:rsidR="007246CE" w:rsidRPr="00D21EEE" w:rsidRDefault="007246CE" w:rsidP="007C6C03">
            <w:pPr>
              <w:jc w:val="right"/>
              <w:rPr>
                <w:rFonts w:ascii="Arial" w:hAnsi="Arial" w:cs="Arial"/>
                <w:sz w:val="18"/>
                <w:szCs w:val="18"/>
              </w:rPr>
            </w:pPr>
          </w:p>
          <w:p w:rsidR="007C6C03" w:rsidRPr="00D21EEE" w:rsidRDefault="00F57469" w:rsidP="007C6C03">
            <w:pPr>
              <w:jc w:val="right"/>
              <w:rPr>
                <w:rFonts w:ascii="Arial" w:hAnsi="Arial" w:cs="Arial"/>
                <w:sz w:val="18"/>
                <w:szCs w:val="18"/>
              </w:rPr>
            </w:pPr>
            <w:r w:rsidRPr="00D21EEE">
              <w:rPr>
                <w:rFonts w:ascii="Arial" w:hAnsi="Arial" w:cs="Arial"/>
                <w:sz w:val="18"/>
                <w:szCs w:val="18"/>
              </w:rPr>
              <w:t>Earnings per share</w:t>
            </w:r>
          </w:p>
        </w:tc>
      </w:tr>
      <w:tr w:rsidR="00B6088F" w:rsidTr="00990965">
        <w:trPr>
          <w:trHeight w:val="238"/>
        </w:trPr>
        <w:tc>
          <w:tcPr>
            <w:tcW w:w="1671" w:type="pct"/>
            <w:tcBorders>
              <w:top w:val="nil"/>
              <w:left w:val="nil"/>
              <w:bottom w:val="single" w:sz="4" w:space="0" w:color="auto"/>
              <w:right w:val="nil"/>
            </w:tcBorders>
            <w:shd w:val="clear" w:color="auto" w:fill="auto"/>
            <w:noWrap/>
            <w:vAlign w:val="bottom"/>
          </w:tcPr>
          <w:p w:rsidR="007C6C03" w:rsidRPr="007C6C03" w:rsidRDefault="007C6C03" w:rsidP="001F1FAD">
            <w:pPr>
              <w:rPr>
                <w:rFonts w:ascii="Arial" w:hAnsi="Arial" w:cs="Arial"/>
                <w:sz w:val="16"/>
                <w:szCs w:val="16"/>
              </w:rPr>
            </w:pPr>
          </w:p>
        </w:tc>
        <w:tc>
          <w:tcPr>
            <w:tcW w:w="527" w:type="pct"/>
            <w:tcBorders>
              <w:top w:val="nil"/>
              <w:left w:val="nil"/>
              <w:bottom w:val="single" w:sz="4" w:space="0" w:color="auto"/>
              <w:right w:val="nil"/>
            </w:tcBorders>
            <w:shd w:val="clear" w:color="auto" w:fill="auto"/>
            <w:noWrap/>
            <w:vAlign w:val="bottom"/>
          </w:tcPr>
          <w:p w:rsidR="007C6C03" w:rsidRPr="001F1FAD" w:rsidRDefault="007C6C03" w:rsidP="001F1FAD">
            <w:pPr>
              <w:jc w:val="right"/>
              <w:rPr>
                <w:rFonts w:ascii="Arial" w:hAnsi="Arial" w:cs="Arial"/>
                <w:sz w:val="18"/>
                <w:szCs w:val="18"/>
              </w:rPr>
            </w:pPr>
            <w:r w:rsidRPr="001F1FAD">
              <w:rPr>
                <w:rFonts w:ascii="Arial" w:hAnsi="Arial" w:cs="Arial"/>
                <w:sz w:val="18"/>
                <w:szCs w:val="18"/>
              </w:rPr>
              <w:t>£ millions</w:t>
            </w:r>
          </w:p>
        </w:tc>
        <w:tc>
          <w:tcPr>
            <w:tcW w:w="614" w:type="pct"/>
            <w:tcBorders>
              <w:top w:val="nil"/>
              <w:left w:val="nil"/>
              <w:bottom w:val="single" w:sz="4" w:space="0" w:color="auto"/>
              <w:right w:val="nil"/>
            </w:tcBorders>
            <w:shd w:val="clear" w:color="auto" w:fill="auto"/>
            <w:noWrap/>
            <w:vAlign w:val="bottom"/>
          </w:tcPr>
          <w:p w:rsidR="007C6C03" w:rsidRPr="001F1FAD" w:rsidRDefault="008E4A8C" w:rsidP="001F1FAD">
            <w:pPr>
              <w:jc w:val="right"/>
              <w:rPr>
                <w:rFonts w:ascii="Arial" w:hAnsi="Arial" w:cs="Arial"/>
                <w:sz w:val="18"/>
                <w:szCs w:val="18"/>
              </w:rPr>
            </w:pPr>
            <w:r>
              <w:rPr>
                <w:rFonts w:ascii="Arial" w:hAnsi="Arial" w:cs="Arial"/>
                <w:sz w:val="18"/>
                <w:szCs w:val="18"/>
              </w:rPr>
              <w:t>m</w:t>
            </w:r>
            <w:r w:rsidR="007C6C03" w:rsidRPr="001F1FAD">
              <w:rPr>
                <w:rFonts w:ascii="Arial" w:hAnsi="Arial" w:cs="Arial"/>
                <w:sz w:val="18"/>
                <w:szCs w:val="18"/>
              </w:rPr>
              <w:t>illions</w:t>
            </w:r>
          </w:p>
        </w:tc>
        <w:tc>
          <w:tcPr>
            <w:tcW w:w="528" w:type="pct"/>
            <w:tcBorders>
              <w:top w:val="nil"/>
              <w:left w:val="nil"/>
              <w:bottom w:val="single" w:sz="4" w:space="0" w:color="auto"/>
              <w:right w:val="nil"/>
            </w:tcBorders>
            <w:shd w:val="clear" w:color="auto" w:fill="auto"/>
            <w:noWrap/>
            <w:vAlign w:val="bottom"/>
          </w:tcPr>
          <w:p w:rsidR="007C6C03" w:rsidRPr="001F1FAD" w:rsidRDefault="001B3CE1" w:rsidP="001F1FAD">
            <w:pPr>
              <w:jc w:val="right"/>
              <w:rPr>
                <w:rFonts w:ascii="Arial" w:hAnsi="Arial" w:cs="Arial"/>
                <w:sz w:val="18"/>
                <w:szCs w:val="18"/>
              </w:rPr>
            </w:pPr>
            <w:r w:rsidRPr="001F1FAD">
              <w:rPr>
                <w:rFonts w:ascii="Arial" w:hAnsi="Arial" w:cs="Arial"/>
                <w:sz w:val="18"/>
                <w:szCs w:val="18"/>
              </w:rPr>
              <w:t>P</w:t>
            </w:r>
            <w:r w:rsidR="007C6C03" w:rsidRPr="001F1FAD">
              <w:rPr>
                <w:rFonts w:ascii="Arial" w:hAnsi="Arial" w:cs="Arial"/>
                <w:sz w:val="18"/>
                <w:szCs w:val="18"/>
              </w:rPr>
              <w:t>ence</w:t>
            </w:r>
          </w:p>
        </w:tc>
        <w:tc>
          <w:tcPr>
            <w:tcW w:w="523" w:type="pct"/>
            <w:tcBorders>
              <w:top w:val="nil"/>
              <w:left w:val="nil"/>
              <w:bottom w:val="single" w:sz="4" w:space="0" w:color="auto"/>
              <w:right w:val="nil"/>
            </w:tcBorders>
            <w:shd w:val="clear" w:color="auto" w:fill="auto"/>
            <w:noWrap/>
            <w:vAlign w:val="bottom"/>
          </w:tcPr>
          <w:p w:rsidR="007C6C03" w:rsidRPr="00D21EEE" w:rsidRDefault="007C6C03" w:rsidP="001F1FAD">
            <w:pPr>
              <w:jc w:val="right"/>
              <w:rPr>
                <w:rFonts w:ascii="Arial" w:hAnsi="Arial" w:cs="Arial"/>
                <w:sz w:val="18"/>
                <w:szCs w:val="18"/>
              </w:rPr>
            </w:pPr>
            <w:r w:rsidRPr="00D21EEE">
              <w:rPr>
                <w:rFonts w:ascii="Arial" w:hAnsi="Arial" w:cs="Arial"/>
                <w:sz w:val="18"/>
                <w:szCs w:val="18"/>
              </w:rPr>
              <w:t>£ millions</w:t>
            </w:r>
          </w:p>
        </w:tc>
        <w:tc>
          <w:tcPr>
            <w:tcW w:w="615" w:type="pct"/>
            <w:tcBorders>
              <w:top w:val="nil"/>
              <w:left w:val="nil"/>
              <w:bottom w:val="single" w:sz="4" w:space="0" w:color="auto"/>
              <w:right w:val="nil"/>
            </w:tcBorders>
            <w:shd w:val="clear" w:color="auto" w:fill="auto"/>
            <w:noWrap/>
            <w:vAlign w:val="bottom"/>
          </w:tcPr>
          <w:p w:rsidR="007C6C03" w:rsidRPr="00D21EEE" w:rsidRDefault="007C6C03" w:rsidP="001F1FAD">
            <w:pPr>
              <w:jc w:val="right"/>
              <w:rPr>
                <w:rFonts w:ascii="Arial" w:hAnsi="Arial" w:cs="Arial"/>
                <w:sz w:val="18"/>
                <w:szCs w:val="18"/>
              </w:rPr>
            </w:pPr>
            <w:r w:rsidRPr="00D21EEE">
              <w:rPr>
                <w:rFonts w:ascii="Arial" w:hAnsi="Arial" w:cs="Arial"/>
                <w:sz w:val="18"/>
                <w:szCs w:val="18"/>
              </w:rPr>
              <w:t>millions</w:t>
            </w:r>
          </w:p>
        </w:tc>
        <w:tc>
          <w:tcPr>
            <w:tcW w:w="521" w:type="pct"/>
            <w:tcBorders>
              <w:top w:val="nil"/>
              <w:left w:val="nil"/>
              <w:bottom w:val="single" w:sz="4" w:space="0" w:color="auto"/>
              <w:right w:val="nil"/>
            </w:tcBorders>
            <w:shd w:val="clear" w:color="auto" w:fill="auto"/>
            <w:noWrap/>
            <w:vAlign w:val="bottom"/>
          </w:tcPr>
          <w:p w:rsidR="007C6C03" w:rsidRPr="00D21EEE" w:rsidRDefault="007C6C03" w:rsidP="001F1FAD">
            <w:pPr>
              <w:jc w:val="right"/>
              <w:rPr>
                <w:rFonts w:ascii="Arial" w:hAnsi="Arial" w:cs="Arial"/>
                <w:sz w:val="18"/>
                <w:szCs w:val="18"/>
              </w:rPr>
            </w:pPr>
            <w:r w:rsidRPr="00D21EEE">
              <w:rPr>
                <w:rFonts w:ascii="Arial" w:hAnsi="Arial" w:cs="Arial"/>
                <w:sz w:val="18"/>
                <w:szCs w:val="18"/>
              </w:rPr>
              <w:t>pence</w:t>
            </w:r>
          </w:p>
        </w:tc>
      </w:tr>
      <w:tr w:rsidR="00990965" w:rsidTr="00990965">
        <w:trPr>
          <w:trHeight w:val="238"/>
        </w:trPr>
        <w:tc>
          <w:tcPr>
            <w:tcW w:w="1671" w:type="pct"/>
            <w:tcBorders>
              <w:top w:val="nil"/>
              <w:left w:val="nil"/>
              <w:bottom w:val="nil"/>
              <w:right w:val="nil"/>
            </w:tcBorders>
            <w:shd w:val="clear" w:color="auto" w:fill="auto"/>
            <w:noWrap/>
            <w:vAlign w:val="bottom"/>
          </w:tcPr>
          <w:p w:rsidR="00990965" w:rsidRPr="00CC1A2D" w:rsidRDefault="00990965" w:rsidP="00990965">
            <w:pPr>
              <w:rPr>
                <w:rFonts w:ascii="Arial" w:hAnsi="Arial" w:cs="Arial"/>
                <w:bCs/>
                <w:sz w:val="18"/>
                <w:szCs w:val="18"/>
              </w:rPr>
            </w:pPr>
            <w:r w:rsidRPr="00CC1A2D">
              <w:rPr>
                <w:rFonts w:ascii="Arial" w:hAnsi="Arial" w:cs="Arial"/>
                <w:b/>
                <w:bCs/>
                <w:sz w:val="18"/>
                <w:szCs w:val="18"/>
              </w:rPr>
              <w:t>Basic earnings per share</w:t>
            </w:r>
          </w:p>
        </w:tc>
        <w:tc>
          <w:tcPr>
            <w:tcW w:w="527"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485</w:t>
            </w:r>
          </w:p>
        </w:tc>
        <w:tc>
          <w:tcPr>
            <w:tcW w:w="614"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2,192</w:t>
            </w:r>
          </w:p>
        </w:tc>
        <w:tc>
          <w:tcPr>
            <w:tcW w:w="528"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22.1</w:t>
            </w:r>
          </w:p>
        </w:tc>
        <w:tc>
          <w:tcPr>
            <w:tcW w:w="523"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610</w:t>
            </w:r>
          </w:p>
        </w:tc>
        <w:tc>
          <w:tcPr>
            <w:tcW w:w="615"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2,256</w:t>
            </w:r>
          </w:p>
        </w:tc>
        <w:tc>
          <w:tcPr>
            <w:tcW w:w="521"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27.1</w:t>
            </w:r>
          </w:p>
        </w:tc>
      </w:tr>
      <w:tr w:rsidR="00990965" w:rsidTr="00990965">
        <w:trPr>
          <w:trHeight w:val="238"/>
        </w:trPr>
        <w:tc>
          <w:tcPr>
            <w:tcW w:w="1671" w:type="pct"/>
            <w:tcBorders>
              <w:top w:val="nil"/>
              <w:left w:val="nil"/>
              <w:bottom w:val="single" w:sz="4" w:space="0" w:color="auto"/>
              <w:right w:val="nil"/>
            </w:tcBorders>
            <w:shd w:val="clear" w:color="auto" w:fill="auto"/>
            <w:noWrap/>
            <w:vAlign w:val="bottom"/>
          </w:tcPr>
          <w:p w:rsidR="00990965" w:rsidRPr="007550F3" w:rsidRDefault="00990965" w:rsidP="00990965">
            <w:pPr>
              <w:rPr>
                <w:rFonts w:ascii="Arial" w:hAnsi="Arial" w:cs="Arial"/>
                <w:b/>
                <w:bCs/>
                <w:sz w:val="18"/>
                <w:szCs w:val="18"/>
              </w:rPr>
            </w:pPr>
            <w:r w:rsidRPr="007550F3">
              <w:rPr>
                <w:rFonts w:ascii="Arial" w:hAnsi="Arial" w:cs="Arial"/>
                <w:sz w:val="18"/>
                <w:szCs w:val="18"/>
              </w:rPr>
              <w:t>Effect of dilutive share options</w:t>
            </w:r>
            <w:r w:rsidRPr="007550F3">
              <w:rPr>
                <w:rFonts w:ascii="Arial" w:hAnsi="Arial" w:cs="Arial"/>
                <w:noProof/>
                <w:sz w:val="18"/>
                <w:szCs w:val="18"/>
              </w:rPr>
              <mc:AlternateContent>
                <mc:Choice Requires="wps">
                  <w:drawing>
                    <wp:anchor distT="0" distB="0" distL="114300" distR="114300" simplePos="0" relativeHeight="251659776" behindDoc="0" locked="0" layoutInCell="1" allowOverlap="1" wp14:anchorId="7E2CED2D" wp14:editId="1C93C4BF">
                      <wp:simplePos x="0" y="0"/>
                      <wp:positionH relativeFrom="column">
                        <wp:posOffset>1057275</wp:posOffset>
                      </wp:positionH>
                      <wp:positionV relativeFrom="paragraph">
                        <wp:posOffset>9525</wp:posOffset>
                      </wp:positionV>
                      <wp:extent cx="638175" cy="638175"/>
                      <wp:effectExtent l="9525" t="9525" r="9525" b="9525"/>
                      <wp:wrapNone/>
                      <wp:docPr id="1" name="ColorPalett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38175"/>
                              </a:xfrm>
                              <a:prstGeom prst="rect">
                                <a:avLst/>
                              </a:prstGeom>
                              <a:solidFill>
                                <a:srgbClr val="FFFFFF"/>
                              </a:solidFill>
                              <a:ln w="9525">
                                <a:solidFill>
                                  <a:srgbClr val="000000"/>
                                </a:solidFill>
                                <a:miter lim="800000"/>
                                <a:headEnd/>
                                <a:tailEnd/>
                              </a:ln>
                            </wps:spPr>
                            <wps:txbx>
                              <w:txbxContent>
                                <w:p w:rsidR="00FA21A3" w:rsidRDefault="00FA21A3" w:rsidP="00934686">
                                  <w:pPr>
                                    <w:spacing w:after="240"/>
                                  </w:pPr>
                                  <w:r>
                                    <w:rPr>
                                      <w:rFonts w:ascii="Arial" w:hAnsi="Arial" w:cs="Arial"/>
                                    </w:rPr>
                                    <w:t>&lt;root&gt;&lt;color rgb="0" index="2"/&gt;&lt;color rgb="6619135" index="5"/&gt;&lt;color rgb="12632256" index="1"/&gt;&lt;color rgb="15194827" index="3"/&gt;&lt;color rgb="6134509" index="6"/&gt;&lt;color rgb="13754062" index="4"/&gt;&lt;/root&gt;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CED2D" id="_x0000_t202" coordsize="21600,21600" o:spt="202" path="m,l,21600r21600,l21600,xe">
                      <v:stroke joinstyle="miter"/>
                      <v:path gradientshapeok="t" o:connecttype="rect"/>
                    </v:shapetype>
                    <v:shape id="ColorPalette" o:spid="_x0000_s1026" type="#_x0000_t202" style="position:absolute;margin-left:83.25pt;margin-top:.75pt;width:50.25pt;height:50.2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">
                      <v:textbox>
                        <w:txbxContent>
                          <w:p w:rsidR="00FA21A3" w:rsidRDefault="00FA21A3" w:rsidP="00934686">
                            <w:pPr>
                              <w:spacing w:after="240"/>
                            </w:pPr>
                            <w:r>
                              <w:rPr>
                                <w:rFonts w:ascii="Arial" w:hAnsi="Arial" w:cs="Arial"/>
                              </w:rPr>
                              <w:t>&lt;root&gt;&lt;color rgb="0" index="2"/&gt;&lt;color rgb="6619135" index="5"/&gt;&lt;color rgb="12632256" index="1"/&gt;&lt;color rgb="15194827" index="3"/&gt;&lt;color rgb="6134509" index="6"/&gt;&lt;color rgb="13754062" index="4"/&gt;&lt;/root&gt;</w:t>
                            </w:r>
                          </w:p>
                        </w:txbxContent>
                      </v:textbox>
                    </v:shape>
                  </w:pict>
                </mc:Fallback>
              </mc:AlternateContent>
            </w:r>
          </w:p>
        </w:tc>
        <w:tc>
          <w:tcPr>
            <w:tcW w:w="527" w:type="pct"/>
            <w:tcBorders>
              <w:top w:val="nil"/>
              <w:left w:val="nil"/>
              <w:bottom w:val="nil"/>
              <w:right w:val="nil"/>
            </w:tcBorders>
            <w:shd w:val="clear" w:color="auto" w:fill="auto"/>
            <w:noWrap/>
            <w:vAlign w:val="bottom"/>
          </w:tcPr>
          <w:p w:rsidR="00990965" w:rsidRPr="007550F3" w:rsidRDefault="004422DE" w:rsidP="00990965">
            <w:pPr>
              <w:jc w:val="right"/>
              <w:rPr>
                <w:rFonts w:ascii="Arial" w:hAnsi="Arial" w:cs="Arial"/>
                <w:b/>
                <w:bCs/>
                <w:sz w:val="18"/>
                <w:szCs w:val="18"/>
              </w:rPr>
            </w:pPr>
            <w:r w:rsidRPr="00CC1A2D">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9</w:t>
            </w:r>
          </w:p>
        </w:tc>
        <w:tc>
          <w:tcPr>
            <w:tcW w:w="528" w:type="pct"/>
            <w:tcBorders>
              <w:top w:val="nil"/>
              <w:left w:val="nil"/>
              <w:bottom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(0.1)</w:t>
            </w:r>
          </w:p>
        </w:tc>
        <w:tc>
          <w:tcPr>
            <w:tcW w:w="523" w:type="pct"/>
            <w:tcBorders>
              <w:top w:val="nil"/>
              <w:left w:val="nil"/>
              <w:bottom w:val="single" w:sz="4" w:space="0" w:color="auto"/>
              <w:right w:val="nil"/>
            </w:tcBorders>
            <w:shd w:val="clear" w:color="auto" w:fill="auto"/>
            <w:noWrap/>
            <w:vAlign w:val="bottom"/>
          </w:tcPr>
          <w:p w:rsidR="00990965" w:rsidRPr="00990965" w:rsidRDefault="004422DE" w:rsidP="00990965">
            <w:pPr>
              <w:jc w:val="right"/>
              <w:rPr>
                <w:rFonts w:ascii="Arial" w:hAnsi="Arial" w:cs="Arial"/>
                <w:bCs/>
                <w:sz w:val="18"/>
                <w:szCs w:val="18"/>
              </w:rPr>
            </w:pPr>
            <w:r w:rsidRPr="00CC1A2D">
              <w:rPr>
                <w:rFonts w:ascii="Arial" w:hAnsi="Arial" w:cs="Arial"/>
                <w:b/>
                <w:bCs/>
                <w:sz w:val="18"/>
                <w:szCs w:val="18"/>
              </w:rPr>
              <w:t>–</w:t>
            </w:r>
          </w:p>
        </w:tc>
        <w:tc>
          <w:tcPr>
            <w:tcW w:w="615" w:type="pct"/>
            <w:tcBorders>
              <w:top w:val="nil"/>
              <w:left w:val="nil"/>
              <w:bottom w:val="single" w:sz="4"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7</w:t>
            </w:r>
          </w:p>
        </w:tc>
        <w:tc>
          <w:tcPr>
            <w:tcW w:w="521" w:type="pct"/>
            <w:tcBorders>
              <w:top w:val="nil"/>
              <w:left w:val="nil"/>
              <w:bottom w:val="single" w:sz="4"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(0.1)</w:t>
            </w:r>
          </w:p>
        </w:tc>
      </w:tr>
      <w:tr w:rsidR="00990965" w:rsidTr="00990965">
        <w:trPr>
          <w:trHeight w:val="238"/>
        </w:trPr>
        <w:tc>
          <w:tcPr>
            <w:tcW w:w="1671" w:type="pct"/>
            <w:tcBorders>
              <w:top w:val="single" w:sz="4" w:space="0" w:color="auto"/>
              <w:left w:val="nil"/>
              <w:bottom w:val="single" w:sz="12" w:space="0" w:color="auto"/>
              <w:right w:val="nil"/>
            </w:tcBorders>
            <w:shd w:val="clear" w:color="auto" w:fill="auto"/>
            <w:noWrap/>
            <w:vAlign w:val="bottom"/>
          </w:tcPr>
          <w:p w:rsidR="00990965" w:rsidRPr="007550F3" w:rsidRDefault="00990965" w:rsidP="00990965">
            <w:pPr>
              <w:rPr>
                <w:rFonts w:ascii="Arial" w:hAnsi="Arial" w:cs="Arial"/>
                <w:sz w:val="18"/>
                <w:szCs w:val="18"/>
              </w:rPr>
            </w:pPr>
            <w:r w:rsidRPr="007550F3">
              <w:rPr>
                <w:rFonts w:ascii="Arial" w:hAnsi="Arial" w:cs="Arial"/>
                <w:b/>
                <w:bCs/>
                <w:sz w:val="18"/>
                <w:szCs w:val="18"/>
              </w:rPr>
              <w:t>Diluted earnings per share</w:t>
            </w:r>
          </w:p>
        </w:tc>
        <w:tc>
          <w:tcPr>
            <w:tcW w:w="527" w:type="pct"/>
            <w:tcBorders>
              <w:top w:val="single" w:sz="4" w:space="0" w:color="auto"/>
              <w:left w:val="nil"/>
              <w:bottom w:val="single" w:sz="12" w:space="0" w:color="auto"/>
              <w:right w:val="nil"/>
            </w:tcBorders>
            <w:shd w:val="clear" w:color="auto" w:fill="auto"/>
            <w:noWrap/>
            <w:vAlign w:val="bottom"/>
          </w:tcPr>
          <w:p w:rsidR="00990965" w:rsidRPr="007550F3" w:rsidRDefault="00A94BDA" w:rsidP="00990965">
            <w:pPr>
              <w:jc w:val="right"/>
              <w:rPr>
                <w:rFonts w:ascii="Arial" w:hAnsi="Arial" w:cs="Arial"/>
                <w:b/>
                <w:bCs/>
                <w:sz w:val="18"/>
                <w:szCs w:val="18"/>
              </w:rPr>
            </w:pPr>
            <w:r w:rsidRPr="00CC1A2D">
              <w:rPr>
                <w:rFonts w:ascii="Arial" w:hAnsi="Arial" w:cs="Arial"/>
                <w:b/>
                <w:bCs/>
                <w:sz w:val="18"/>
                <w:szCs w:val="18"/>
              </w:rPr>
              <w:t>485</w:t>
            </w:r>
          </w:p>
        </w:tc>
        <w:tc>
          <w:tcPr>
            <w:tcW w:w="614" w:type="pct"/>
            <w:tcBorders>
              <w:top w:val="single" w:sz="4" w:space="0" w:color="auto"/>
              <w:left w:val="nil"/>
              <w:bottom w:val="single" w:sz="12" w:space="0" w:color="auto"/>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2,201</w:t>
            </w:r>
          </w:p>
        </w:tc>
        <w:tc>
          <w:tcPr>
            <w:tcW w:w="528" w:type="pct"/>
            <w:tcBorders>
              <w:top w:val="single" w:sz="4" w:space="0" w:color="auto"/>
              <w:left w:val="nil"/>
              <w:bottom w:val="single" w:sz="12" w:space="0" w:color="auto"/>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22.0</w:t>
            </w:r>
          </w:p>
        </w:tc>
        <w:tc>
          <w:tcPr>
            <w:tcW w:w="523" w:type="pct"/>
            <w:tcBorders>
              <w:top w:val="single" w:sz="4" w:space="0" w:color="auto"/>
              <w:left w:val="nil"/>
              <w:bottom w:val="single" w:sz="12"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610</w:t>
            </w:r>
          </w:p>
        </w:tc>
        <w:tc>
          <w:tcPr>
            <w:tcW w:w="615" w:type="pct"/>
            <w:tcBorders>
              <w:top w:val="single" w:sz="4" w:space="0" w:color="auto"/>
              <w:left w:val="nil"/>
              <w:bottom w:val="single" w:sz="12"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2,263</w:t>
            </w:r>
          </w:p>
        </w:tc>
        <w:tc>
          <w:tcPr>
            <w:tcW w:w="521" w:type="pct"/>
            <w:tcBorders>
              <w:top w:val="single" w:sz="4" w:space="0" w:color="auto"/>
              <w:left w:val="nil"/>
              <w:bottom w:val="single" w:sz="12"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27.0</w:t>
            </w:r>
          </w:p>
        </w:tc>
      </w:tr>
      <w:tr w:rsidR="00990965" w:rsidTr="00990965">
        <w:trPr>
          <w:trHeight w:val="238"/>
        </w:trPr>
        <w:tc>
          <w:tcPr>
            <w:tcW w:w="1671" w:type="pct"/>
            <w:tcBorders>
              <w:top w:val="single" w:sz="12" w:space="0" w:color="auto"/>
              <w:left w:val="nil"/>
              <w:right w:val="nil"/>
            </w:tcBorders>
            <w:shd w:val="clear" w:color="auto" w:fill="auto"/>
            <w:noWrap/>
            <w:vAlign w:val="bottom"/>
          </w:tcPr>
          <w:p w:rsidR="00990965" w:rsidRPr="00CC1A2D" w:rsidRDefault="00990965" w:rsidP="00990965">
            <w:pPr>
              <w:rPr>
                <w:rFonts w:ascii="Arial" w:hAnsi="Arial" w:cs="Arial"/>
                <w:b/>
                <w:bCs/>
                <w:sz w:val="18"/>
                <w:szCs w:val="18"/>
              </w:rPr>
            </w:pPr>
          </w:p>
        </w:tc>
        <w:tc>
          <w:tcPr>
            <w:tcW w:w="527" w:type="pct"/>
            <w:tcBorders>
              <w:top w:val="single" w:sz="12" w:space="0" w:color="auto"/>
              <w:left w:val="nil"/>
              <w:bottom w:val="nil"/>
              <w:right w:val="nil"/>
            </w:tcBorders>
            <w:shd w:val="clear" w:color="auto" w:fill="auto"/>
            <w:noWrap/>
            <w:vAlign w:val="bottom"/>
          </w:tcPr>
          <w:p w:rsidR="00990965" w:rsidRPr="00CC1A2D" w:rsidRDefault="00990965" w:rsidP="00990965">
            <w:pPr>
              <w:jc w:val="right"/>
              <w:rPr>
                <w:rFonts w:ascii="Arial" w:hAnsi="Arial" w:cs="Arial"/>
                <w:b/>
                <w:bCs/>
                <w:sz w:val="18"/>
                <w:szCs w:val="18"/>
              </w:rPr>
            </w:pPr>
          </w:p>
        </w:tc>
        <w:tc>
          <w:tcPr>
            <w:tcW w:w="614" w:type="pct"/>
            <w:tcBorders>
              <w:top w:val="single" w:sz="12" w:space="0" w:color="auto"/>
              <w:left w:val="nil"/>
              <w:bottom w:val="nil"/>
              <w:right w:val="nil"/>
            </w:tcBorders>
            <w:shd w:val="clear" w:color="auto" w:fill="auto"/>
            <w:noWrap/>
            <w:vAlign w:val="bottom"/>
          </w:tcPr>
          <w:p w:rsidR="00990965" w:rsidRPr="00CC1A2D" w:rsidRDefault="00990965" w:rsidP="00990965">
            <w:pPr>
              <w:rPr>
                <w:sz w:val="18"/>
                <w:szCs w:val="18"/>
              </w:rPr>
            </w:pPr>
          </w:p>
        </w:tc>
        <w:tc>
          <w:tcPr>
            <w:tcW w:w="528" w:type="pct"/>
            <w:tcBorders>
              <w:top w:val="single" w:sz="12" w:space="0" w:color="auto"/>
              <w:left w:val="nil"/>
              <w:bottom w:val="nil"/>
              <w:right w:val="nil"/>
            </w:tcBorders>
            <w:shd w:val="clear" w:color="auto" w:fill="auto"/>
            <w:noWrap/>
            <w:vAlign w:val="bottom"/>
          </w:tcPr>
          <w:p w:rsidR="00990965" w:rsidRPr="00CC1A2D" w:rsidRDefault="00990965" w:rsidP="00990965">
            <w:pPr>
              <w:rPr>
                <w:sz w:val="18"/>
                <w:szCs w:val="18"/>
              </w:rPr>
            </w:pPr>
          </w:p>
        </w:tc>
        <w:tc>
          <w:tcPr>
            <w:tcW w:w="523" w:type="pct"/>
            <w:tcBorders>
              <w:top w:val="single" w:sz="12" w:space="0" w:color="auto"/>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615" w:type="pct"/>
            <w:tcBorders>
              <w:top w:val="single" w:sz="12" w:space="0" w:color="auto"/>
              <w:left w:val="nil"/>
              <w:right w:val="nil"/>
            </w:tcBorders>
            <w:shd w:val="clear" w:color="auto" w:fill="auto"/>
            <w:noWrap/>
            <w:vAlign w:val="bottom"/>
          </w:tcPr>
          <w:p w:rsidR="00990965" w:rsidRPr="00990965" w:rsidRDefault="00990965" w:rsidP="00990965">
            <w:pPr>
              <w:rPr>
                <w:sz w:val="18"/>
                <w:szCs w:val="18"/>
              </w:rPr>
            </w:pPr>
          </w:p>
        </w:tc>
        <w:tc>
          <w:tcPr>
            <w:tcW w:w="521" w:type="pct"/>
            <w:tcBorders>
              <w:top w:val="single" w:sz="12" w:space="0" w:color="auto"/>
              <w:left w:val="nil"/>
              <w:right w:val="nil"/>
            </w:tcBorders>
            <w:shd w:val="clear" w:color="auto" w:fill="auto"/>
            <w:noWrap/>
            <w:vAlign w:val="bottom"/>
          </w:tcPr>
          <w:p w:rsidR="00990965" w:rsidRPr="00990965" w:rsidRDefault="00990965" w:rsidP="00990965">
            <w:pPr>
              <w:rPr>
                <w:sz w:val="18"/>
                <w:szCs w:val="18"/>
              </w:rPr>
            </w:pPr>
          </w:p>
        </w:tc>
      </w:tr>
      <w:tr w:rsidR="00990965" w:rsidTr="00990965">
        <w:trPr>
          <w:trHeight w:val="238"/>
        </w:trPr>
        <w:tc>
          <w:tcPr>
            <w:tcW w:w="1671" w:type="pct"/>
            <w:tcBorders>
              <w:top w:val="nil"/>
              <w:left w:val="nil"/>
              <w:bottom w:val="nil"/>
              <w:right w:val="nil"/>
            </w:tcBorders>
            <w:shd w:val="clear" w:color="auto" w:fill="auto"/>
            <w:noWrap/>
            <w:vAlign w:val="bottom"/>
          </w:tcPr>
          <w:p w:rsidR="00990965" w:rsidRPr="00CC1A2D" w:rsidRDefault="00990965" w:rsidP="00990965">
            <w:pPr>
              <w:rPr>
                <w:rFonts w:ascii="Arial" w:hAnsi="Arial" w:cs="Arial"/>
                <w:b/>
                <w:bCs/>
                <w:sz w:val="18"/>
                <w:szCs w:val="18"/>
              </w:rPr>
            </w:pPr>
            <w:r w:rsidRPr="00CC1A2D">
              <w:rPr>
                <w:rFonts w:ascii="Arial" w:hAnsi="Arial" w:cs="Arial"/>
                <w:b/>
                <w:bCs/>
                <w:sz w:val="18"/>
                <w:szCs w:val="18"/>
              </w:rPr>
              <w:t>Basic earnings per share</w:t>
            </w:r>
          </w:p>
        </w:tc>
        <w:tc>
          <w:tcPr>
            <w:tcW w:w="527"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485</w:t>
            </w:r>
          </w:p>
        </w:tc>
        <w:tc>
          <w:tcPr>
            <w:tcW w:w="614"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2,192</w:t>
            </w:r>
          </w:p>
        </w:tc>
        <w:tc>
          <w:tcPr>
            <w:tcW w:w="528"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22.1</w:t>
            </w:r>
          </w:p>
        </w:tc>
        <w:tc>
          <w:tcPr>
            <w:tcW w:w="523"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610</w:t>
            </w:r>
          </w:p>
        </w:tc>
        <w:tc>
          <w:tcPr>
            <w:tcW w:w="615"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2,256</w:t>
            </w:r>
          </w:p>
        </w:tc>
        <w:tc>
          <w:tcPr>
            <w:tcW w:w="521"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27.1</w:t>
            </w:r>
          </w:p>
        </w:tc>
      </w:tr>
      <w:tr w:rsidR="00990965" w:rsidTr="00990965">
        <w:trPr>
          <w:trHeight w:val="238"/>
        </w:trPr>
        <w:tc>
          <w:tcPr>
            <w:tcW w:w="1671" w:type="pct"/>
            <w:tcBorders>
              <w:top w:val="nil"/>
              <w:left w:val="nil"/>
              <w:bottom w:val="nil"/>
              <w:right w:val="nil"/>
            </w:tcBorders>
            <w:shd w:val="clear" w:color="auto" w:fill="auto"/>
            <w:noWrap/>
            <w:vAlign w:val="bottom"/>
          </w:tcPr>
          <w:p w:rsidR="00990965" w:rsidRPr="00CC1A2D" w:rsidRDefault="00990965" w:rsidP="00990965">
            <w:pPr>
              <w:rPr>
                <w:rFonts w:ascii="Arial" w:hAnsi="Arial" w:cs="Arial"/>
                <w:b/>
                <w:bCs/>
                <w:sz w:val="18"/>
                <w:szCs w:val="18"/>
              </w:rPr>
            </w:pPr>
            <w:r w:rsidRPr="00CC1A2D">
              <w:rPr>
                <w:rFonts w:ascii="Arial" w:hAnsi="Arial" w:cs="Arial"/>
                <w:sz w:val="18"/>
                <w:szCs w:val="18"/>
              </w:rPr>
              <w:t>Exceptional items before tax</w:t>
            </w:r>
          </w:p>
        </w:tc>
        <w:tc>
          <w:tcPr>
            <w:tcW w:w="527"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rsidR="00990965" w:rsidRPr="00CC1A2D" w:rsidRDefault="00990965" w:rsidP="00990965">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w:t>
            </w:r>
          </w:p>
        </w:tc>
        <w:tc>
          <w:tcPr>
            <w:tcW w:w="523"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(17)</w:t>
            </w:r>
          </w:p>
        </w:tc>
        <w:tc>
          <w:tcPr>
            <w:tcW w:w="615"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521"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(0.8)</w:t>
            </w:r>
          </w:p>
        </w:tc>
      </w:tr>
      <w:tr w:rsidR="00990965" w:rsidTr="00990965">
        <w:trPr>
          <w:trHeight w:val="238"/>
        </w:trPr>
        <w:tc>
          <w:tcPr>
            <w:tcW w:w="1671" w:type="pct"/>
            <w:tcBorders>
              <w:top w:val="nil"/>
              <w:left w:val="nil"/>
              <w:bottom w:val="nil"/>
              <w:right w:val="nil"/>
            </w:tcBorders>
            <w:shd w:val="clear" w:color="auto" w:fill="auto"/>
            <w:noWrap/>
            <w:vAlign w:val="bottom"/>
          </w:tcPr>
          <w:p w:rsidR="00990965" w:rsidRPr="00CC1A2D" w:rsidRDefault="00990965" w:rsidP="00990965">
            <w:pPr>
              <w:rPr>
                <w:rFonts w:ascii="Arial" w:hAnsi="Arial" w:cs="Arial"/>
                <w:b/>
                <w:bCs/>
                <w:sz w:val="18"/>
                <w:szCs w:val="18"/>
              </w:rPr>
            </w:pPr>
            <w:r w:rsidRPr="00CC1A2D">
              <w:rPr>
                <w:rFonts w:ascii="Arial" w:hAnsi="Arial" w:cs="Arial"/>
                <w:sz w:val="18"/>
                <w:szCs w:val="18"/>
              </w:rPr>
              <w:t>Tax on exceptional and prior year items</w:t>
            </w:r>
          </w:p>
        </w:tc>
        <w:tc>
          <w:tcPr>
            <w:tcW w:w="527"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(7)</w:t>
            </w:r>
          </w:p>
        </w:tc>
        <w:tc>
          <w:tcPr>
            <w:tcW w:w="614" w:type="pct"/>
            <w:tcBorders>
              <w:top w:val="nil"/>
              <w:left w:val="nil"/>
              <w:bottom w:val="nil"/>
              <w:right w:val="nil"/>
            </w:tcBorders>
            <w:shd w:val="clear" w:color="auto" w:fill="auto"/>
            <w:noWrap/>
            <w:vAlign w:val="bottom"/>
          </w:tcPr>
          <w:p w:rsidR="00990965" w:rsidRPr="00CC1A2D" w:rsidRDefault="00990965" w:rsidP="00990965">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(0.3)</w:t>
            </w:r>
          </w:p>
        </w:tc>
        <w:tc>
          <w:tcPr>
            <w:tcW w:w="523"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(43)</w:t>
            </w:r>
          </w:p>
        </w:tc>
        <w:tc>
          <w:tcPr>
            <w:tcW w:w="615"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521"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(2.0)</w:t>
            </w:r>
          </w:p>
        </w:tc>
      </w:tr>
      <w:tr w:rsidR="00990965" w:rsidTr="00990965">
        <w:trPr>
          <w:trHeight w:val="238"/>
        </w:trPr>
        <w:tc>
          <w:tcPr>
            <w:tcW w:w="1671" w:type="pct"/>
            <w:tcBorders>
              <w:top w:val="nil"/>
              <w:left w:val="nil"/>
              <w:bottom w:val="nil"/>
              <w:right w:val="nil"/>
            </w:tcBorders>
            <w:shd w:val="clear" w:color="auto" w:fill="auto"/>
            <w:noWrap/>
            <w:vAlign w:val="bottom"/>
          </w:tcPr>
          <w:p w:rsidR="00990965" w:rsidRPr="00CC1A2D" w:rsidRDefault="00990965" w:rsidP="00990965">
            <w:pPr>
              <w:rPr>
                <w:rFonts w:ascii="Arial" w:hAnsi="Arial" w:cs="Arial"/>
                <w:b/>
                <w:bCs/>
                <w:sz w:val="18"/>
                <w:szCs w:val="18"/>
              </w:rPr>
            </w:pPr>
            <w:r w:rsidRPr="00CC1A2D">
              <w:rPr>
                <w:rFonts w:ascii="Arial" w:hAnsi="Arial" w:cs="Arial"/>
                <w:sz w:val="18"/>
                <w:szCs w:val="18"/>
              </w:rPr>
              <w:t>Financing fair value remeasurements</w:t>
            </w:r>
          </w:p>
        </w:tc>
        <w:tc>
          <w:tcPr>
            <w:tcW w:w="527"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1</w:t>
            </w:r>
          </w:p>
        </w:tc>
        <w:tc>
          <w:tcPr>
            <w:tcW w:w="614" w:type="pct"/>
            <w:tcBorders>
              <w:top w:val="nil"/>
              <w:left w:val="nil"/>
              <w:bottom w:val="nil"/>
              <w:right w:val="nil"/>
            </w:tcBorders>
            <w:shd w:val="clear" w:color="auto" w:fill="auto"/>
            <w:noWrap/>
            <w:vAlign w:val="bottom"/>
          </w:tcPr>
          <w:p w:rsidR="00990965" w:rsidRPr="00CC1A2D" w:rsidRDefault="00990965" w:rsidP="00990965">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w:t>
            </w:r>
          </w:p>
        </w:tc>
        <w:tc>
          <w:tcPr>
            <w:tcW w:w="523"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1</w:t>
            </w:r>
          </w:p>
        </w:tc>
        <w:tc>
          <w:tcPr>
            <w:tcW w:w="615"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521"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0.1</w:t>
            </w:r>
          </w:p>
        </w:tc>
      </w:tr>
      <w:tr w:rsidR="00990965" w:rsidTr="00990965">
        <w:trPr>
          <w:trHeight w:val="238"/>
        </w:trPr>
        <w:tc>
          <w:tcPr>
            <w:tcW w:w="1671" w:type="pct"/>
            <w:tcBorders>
              <w:top w:val="single" w:sz="4" w:space="0" w:color="auto"/>
              <w:left w:val="nil"/>
              <w:right w:val="nil"/>
            </w:tcBorders>
            <w:shd w:val="clear" w:color="auto" w:fill="auto"/>
            <w:noWrap/>
            <w:vAlign w:val="bottom"/>
          </w:tcPr>
          <w:p w:rsidR="00990965" w:rsidRPr="00CC1A2D" w:rsidRDefault="00990965" w:rsidP="00990965">
            <w:pPr>
              <w:rPr>
                <w:rFonts w:ascii="Arial" w:hAnsi="Arial" w:cs="Arial"/>
                <w:b/>
                <w:bCs/>
                <w:sz w:val="18"/>
                <w:szCs w:val="18"/>
              </w:rPr>
            </w:pPr>
            <w:r w:rsidRPr="00CC1A2D">
              <w:rPr>
                <w:rFonts w:ascii="Arial" w:hAnsi="Arial" w:cs="Arial"/>
                <w:b/>
                <w:bCs/>
                <w:sz w:val="18"/>
                <w:szCs w:val="18"/>
              </w:rPr>
              <w:t>Adjusted basic earnings per share</w:t>
            </w:r>
          </w:p>
        </w:tc>
        <w:tc>
          <w:tcPr>
            <w:tcW w:w="527" w:type="pct"/>
            <w:tcBorders>
              <w:top w:val="single" w:sz="4" w:space="0" w:color="auto"/>
              <w:left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479</w:t>
            </w:r>
          </w:p>
        </w:tc>
        <w:tc>
          <w:tcPr>
            <w:tcW w:w="614" w:type="pct"/>
            <w:tcBorders>
              <w:top w:val="single" w:sz="4" w:space="0" w:color="auto"/>
              <w:left w:val="nil"/>
              <w:right w:val="nil"/>
            </w:tcBorders>
            <w:shd w:val="clear" w:color="auto" w:fill="auto"/>
            <w:noWrap/>
            <w:vAlign w:val="bottom"/>
          </w:tcPr>
          <w:p w:rsidR="00990965" w:rsidRPr="00CC1A2D" w:rsidRDefault="00C07DD0" w:rsidP="00990965">
            <w:pPr>
              <w:jc w:val="right"/>
              <w:rPr>
                <w:rFonts w:ascii="Arial" w:hAnsi="Arial" w:cs="Arial"/>
                <w:b/>
                <w:bCs/>
                <w:sz w:val="18"/>
                <w:szCs w:val="18"/>
              </w:rPr>
            </w:pPr>
            <w:r w:rsidRPr="00CC1A2D">
              <w:rPr>
                <w:rFonts w:ascii="Arial" w:hAnsi="Arial" w:cs="Arial"/>
                <w:b/>
                <w:bCs/>
                <w:sz w:val="18"/>
                <w:szCs w:val="18"/>
              </w:rPr>
              <w:t>2,192</w:t>
            </w:r>
          </w:p>
        </w:tc>
        <w:tc>
          <w:tcPr>
            <w:tcW w:w="528" w:type="pct"/>
            <w:tcBorders>
              <w:top w:val="single" w:sz="4" w:space="0" w:color="auto"/>
              <w:left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21.8</w:t>
            </w:r>
          </w:p>
        </w:tc>
        <w:tc>
          <w:tcPr>
            <w:tcW w:w="523" w:type="pct"/>
            <w:tcBorders>
              <w:top w:val="single" w:sz="4" w:space="0" w:color="auto"/>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551</w:t>
            </w:r>
          </w:p>
        </w:tc>
        <w:tc>
          <w:tcPr>
            <w:tcW w:w="615" w:type="pct"/>
            <w:tcBorders>
              <w:top w:val="single" w:sz="4" w:space="0" w:color="auto"/>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2,256</w:t>
            </w:r>
          </w:p>
        </w:tc>
        <w:tc>
          <w:tcPr>
            <w:tcW w:w="521" w:type="pct"/>
            <w:tcBorders>
              <w:top w:val="single" w:sz="4" w:space="0" w:color="auto"/>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24.4</w:t>
            </w:r>
          </w:p>
        </w:tc>
      </w:tr>
      <w:tr w:rsidR="00990965" w:rsidTr="00990965">
        <w:trPr>
          <w:trHeight w:val="238"/>
        </w:trPr>
        <w:tc>
          <w:tcPr>
            <w:tcW w:w="1671" w:type="pct"/>
            <w:tcBorders>
              <w:left w:val="nil"/>
              <w:right w:val="nil"/>
            </w:tcBorders>
            <w:shd w:val="clear" w:color="auto" w:fill="auto"/>
            <w:noWrap/>
            <w:vAlign w:val="bottom"/>
          </w:tcPr>
          <w:p w:rsidR="00990965" w:rsidRPr="00CC1A2D" w:rsidRDefault="00990965" w:rsidP="00990965">
            <w:pPr>
              <w:rPr>
                <w:rFonts w:ascii="Arial" w:hAnsi="Arial" w:cs="Arial"/>
                <w:bCs/>
                <w:sz w:val="18"/>
                <w:szCs w:val="18"/>
              </w:rPr>
            </w:pPr>
            <w:r w:rsidRPr="00CC1A2D">
              <w:rPr>
                <w:rFonts w:ascii="Arial" w:hAnsi="Arial" w:cs="Arial"/>
                <w:bCs/>
                <w:sz w:val="18"/>
                <w:szCs w:val="18"/>
              </w:rPr>
              <w:t>Transformation costs before exceptional items</w:t>
            </w:r>
          </w:p>
        </w:tc>
        <w:tc>
          <w:tcPr>
            <w:tcW w:w="527" w:type="pct"/>
            <w:tcBorders>
              <w:left w:val="nil"/>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114</w:t>
            </w:r>
          </w:p>
        </w:tc>
        <w:tc>
          <w:tcPr>
            <w:tcW w:w="614" w:type="pct"/>
            <w:tcBorders>
              <w:left w:val="nil"/>
              <w:right w:val="nil"/>
            </w:tcBorders>
            <w:shd w:val="clear" w:color="auto" w:fill="auto"/>
            <w:noWrap/>
            <w:vAlign w:val="bottom"/>
          </w:tcPr>
          <w:p w:rsidR="00990965" w:rsidRPr="00CC1A2D" w:rsidRDefault="00990965" w:rsidP="00990965">
            <w:pPr>
              <w:jc w:val="right"/>
              <w:rPr>
                <w:rFonts w:ascii="Arial" w:hAnsi="Arial" w:cs="Arial"/>
                <w:b/>
                <w:bCs/>
                <w:sz w:val="18"/>
                <w:szCs w:val="18"/>
              </w:rPr>
            </w:pPr>
          </w:p>
        </w:tc>
        <w:tc>
          <w:tcPr>
            <w:tcW w:w="528" w:type="pct"/>
            <w:tcBorders>
              <w:left w:val="nil"/>
              <w:right w:val="nil"/>
            </w:tcBorders>
            <w:shd w:val="clear" w:color="auto" w:fill="auto"/>
            <w:noWrap/>
            <w:vAlign w:val="bottom"/>
          </w:tcPr>
          <w:p w:rsidR="00990965" w:rsidRPr="00CC1A2D" w:rsidRDefault="002F7FDA" w:rsidP="00990965">
            <w:pPr>
              <w:jc w:val="right"/>
              <w:rPr>
                <w:rFonts w:ascii="Arial" w:hAnsi="Arial" w:cs="Arial"/>
                <w:b/>
                <w:bCs/>
                <w:sz w:val="18"/>
                <w:szCs w:val="18"/>
              </w:rPr>
            </w:pPr>
            <w:r>
              <w:rPr>
                <w:rFonts w:ascii="Arial" w:hAnsi="Arial" w:cs="Arial"/>
                <w:b/>
                <w:bCs/>
                <w:sz w:val="18"/>
                <w:szCs w:val="18"/>
              </w:rPr>
              <w:t>5.2</w:t>
            </w:r>
          </w:p>
        </w:tc>
        <w:tc>
          <w:tcPr>
            <w:tcW w:w="523" w:type="pct"/>
            <w:tcBorders>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44</w:t>
            </w:r>
          </w:p>
        </w:tc>
        <w:tc>
          <w:tcPr>
            <w:tcW w:w="615" w:type="pct"/>
            <w:tcBorders>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521" w:type="pct"/>
            <w:tcBorders>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2.0</w:t>
            </w:r>
          </w:p>
        </w:tc>
      </w:tr>
      <w:tr w:rsidR="00990965" w:rsidTr="00990965">
        <w:trPr>
          <w:trHeight w:val="238"/>
        </w:trPr>
        <w:tc>
          <w:tcPr>
            <w:tcW w:w="1671" w:type="pct"/>
            <w:tcBorders>
              <w:left w:val="nil"/>
              <w:bottom w:val="single" w:sz="4" w:space="0" w:color="auto"/>
              <w:right w:val="nil"/>
            </w:tcBorders>
            <w:shd w:val="clear" w:color="auto" w:fill="auto"/>
            <w:noWrap/>
            <w:vAlign w:val="bottom"/>
          </w:tcPr>
          <w:p w:rsidR="00990965" w:rsidRPr="00CC1A2D" w:rsidRDefault="00990965" w:rsidP="00990965">
            <w:pPr>
              <w:rPr>
                <w:rFonts w:ascii="Arial" w:hAnsi="Arial" w:cs="Arial"/>
                <w:bCs/>
                <w:sz w:val="18"/>
                <w:szCs w:val="18"/>
              </w:rPr>
            </w:pPr>
            <w:r w:rsidRPr="00CC1A2D">
              <w:rPr>
                <w:rFonts w:ascii="Arial" w:hAnsi="Arial" w:cs="Arial"/>
                <w:bCs/>
                <w:sz w:val="18"/>
                <w:szCs w:val="18"/>
              </w:rPr>
              <w:t>Tax on transformation costs before exceptional items</w:t>
            </w:r>
          </w:p>
        </w:tc>
        <w:tc>
          <w:tcPr>
            <w:tcW w:w="527" w:type="pct"/>
            <w:tcBorders>
              <w:left w:val="nil"/>
              <w:bottom w:val="single" w:sz="4" w:space="0" w:color="auto"/>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(35)</w:t>
            </w:r>
          </w:p>
        </w:tc>
        <w:tc>
          <w:tcPr>
            <w:tcW w:w="614" w:type="pct"/>
            <w:tcBorders>
              <w:left w:val="nil"/>
              <w:bottom w:val="single" w:sz="4" w:space="0" w:color="auto"/>
              <w:right w:val="nil"/>
            </w:tcBorders>
            <w:shd w:val="clear" w:color="auto" w:fill="auto"/>
            <w:noWrap/>
            <w:vAlign w:val="bottom"/>
          </w:tcPr>
          <w:p w:rsidR="00990965" w:rsidRPr="00CC1A2D" w:rsidRDefault="00990965" w:rsidP="00990965">
            <w:pPr>
              <w:jc w:val="right"/>
              <w:rPr>
                <w:rFonts w:ascii="Arial" w:hAnsi="Arial" w:cs="Arial"/>
                <w:b/>
                <w:bCs/>
                <w:sz w:val="18"/>
                <w:szCs w:val="18"/>
              </w:rPr>
            </w:pPr>
          </w:p>
        </w:tc>
        <w:tc>
          <w:tcPr>
            <w:tcW w:w="528" w:type="pct"/>
            <w:tcBorders>
              <w:left w:val="nil"/>
              <w:bottom w:val="single" w:sz="4" w:space="0" w:color="auto"/>
              <w:right w:val="nil"/>
            </w:tcBorders>
            <w:shd w:val="clear" w:color="auto" w:fill="auto"/>
            <w:noWrap/>
            <w:vAlign w:val="bottom"/>
          </w:tcPr>
          <w:p w:rsidR="00990965" w:rsidRPr="00CC1A2D" w:rsidRDefault="002F7FDA" w:rsidP="00990965">
            <w:pPr>
              <w:jc w:val="right"/>
              <w:rPr>
                <w:rFonts w:ascii="Arial" w:hAnsi="Arial" w:cs="Arial"/>
                <w:b/>
                <w:bCs/>
                <w:sz w:val="18"/>
                <w:szCs w:val="18"/>
              </w:rPr>
            </w:pPr>
            <w:r>
              <w:rPr>
                <w:rFonts w:ascii="Arial" w:hAnsi="Arial" w:cs="Arial"/>
                <w:b/>
                <w:bCs/>
                <w:sz w:val="18"/>
                <w:szCs w:val="18"/>
              </w:rPr>
              <w:t>(1.5)</w:t>
            </w:r>
          </w:p>
        </w:tc>
        <w:tc>
          <w:tcPr>
            <w:tcW w:w="523" w:type="pct"/>
            <w:tcBorders>
              <w:left w:val="nil"/>
              <w:bottom w:val="single" w:sz="4"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(11)</w:t>
            </w:r>
          </w:p>
        </w:tc>
        <w:tc>
          <w:tcPr>
            <w:tcW w:w="615" w:type="pct"/>
            <w:tcBorders>
              <w:left w:val="nil"/>
              <w:bottom w:val="single" w:sz="4"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521" w:type="pct"/>
            <w:tcBorders>
              <w:left w:val="nil"/>
              <w:bottom w:val="single" w:sz="4"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(0.5)</w:t>
            </w:r>
          </w:p>
        </w:tc>
      </w:tr>
      <w:tr w:rsidR="00990965" w:rsidTr="00990965">
        <w:trPr>
          <w:trHeight w:val="238"/>
        </w:trPr>
        <w:tc>
          <w:tcPr>
            <w:tcW w:w="1671" w:type="pct"/>
            <w:tcBorders>
              <w:top w:val="single" w:sz="4" w:space="0" w:color="auto"/>
              <w:left w:val="nil"/>
              <w:bottom w:val="single" w:sz="12" w:space="0" w:color="auto"/>
              <w:right w:val="nil"/>
            </w:tcBorders>
            <w:shd w:val="clear" w:color="auto" w:fill="auto"/>
            <w:noWrap/>
            <w:vAlign w:val="bottom"/>
          </w:tcPr>
          <w:p w:rsidR="00990965" w:rsidRPr="00CC1A2D" w:rsidRDefault="00990965" w:rsidP="00990965">
            <w:pPr>
              <w:rPr>
                <w:rFonts w:ascii="Arial" w:hAnsi="Arial" w:cs="Arial"/>
                <w:b/>
                <w:bCs/>
                <w:sz w:val="18"/>
                <w:szCs w:val="18"/>
              </w:rPr>
            </w:pPr>
            <w:r w:rsidRPr="00CC1A2D">
              <w:rPr>
                <w:rFonts w:ascii="Arial" w:hAnsi="Arial" w:cs="Arial"/>
                <w:b/>
                <w:bCs/>
                <w:sz w:val="18"/>
                <w:szCs w:val="18"/>
              </w:rPr>
              <w:t>Underlying basic earnings per share</w:t>
            </w:r>
          </w:p>
        </w:tc>
        <w:tc>
          <w:tcPr>
            <w:tcW w:w="527" w:type="pct"/>
            <w:tcBorders>
              <w:top w:val="single" w:sz="4" w:space="0" w:color="auto"/>
              <w:left w:val="nil"/>
              <w:bottom w:val="single" w:sz="12" w:space="0" w:color="auto"/>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558</w:t>
            </w:r>
          </w:p>
        </w:tc>
        <w:tc>
          <w:tcPr>
            <w:tcW w:w="614" w:type="pct"/>
            <w:tcBorders>
              <w:top w:val="single" w:sz="4" w:space="0" w:color="auto"/>
              <w:left w:val="nil"/>
              <w:bottom w:val="single" w:sz="12" w:space="0" w:color="auto"/>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2,192</w:t>
            </w:r>
          </w:p>
        </w:tc>
        <w:tc>
          <w:tcPr>
            <w:tcW w:w="528" w:type="pct"/>
            <w:tcBorders>
              <w:top w:val="single" w:sz="4" w:space="0" w:color="auto"/>
              <w:left w:val="nil"/>
              <w:bottom w:val="single" w:sz="12" w:space="0" w:color="auto"/>
              <w:right w:val="nil"/>
            </w:tcBorders>
            <w:shd w:val="clear" w:color="auto" w:fill="auto"/>
            <w:noWrap/>
            <w:vAlign w:val="bottom"/>
          </w:tcPr>
          <w:p w:rsidR="00990965" w:rsidRPr="00CC1A2D" w:rsidRDefault="00B4663A" w:rsidP="00990965">
            <w:pPr>
              <w:jc w:val="right"/>
              <w:rPr>
                <w:rFonts w:ascii="Arial" w:hAnsi="Arial" w:cs="Arial"/>
                <w:b/>
                <w:bCs/>
                <w:sz w:val="18"/>
                <w:szCs w:val="18"/>
              </w:rPr>
            </w:pPr>
            <w:r w:rsidRPr="00CC1A2D">
              <w:rPr>
                <w:rFonts w:ascii="Arial" w:hAnsi="Arial" w:cs="Arial"/>
                <w:b/>
                <w:bCs/>
                <w:sz w:val="18"/>
                <w:szCs w:val="18"/>
              </w:rPr>
              <w:t>25.5</w:t>
            </w:r>
          </w:p>
        </w:tc>
        <w:tc>
          <w:tcPr>
            <w:tcW w:w="523" w:type="pct"/>
            <w:tcBorders>
              <w:top w:val="single" w:sz="4" w:space="0" w:color="auto"/>
              <w:left w:val="nil"/>
              <w:bottom w:val="single" w:sz="12"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584</w:t>
            </w:r>
          </w:p>
        </w:tc>
        <w:tc>
          <w:tcPr>
            <w:tcW w:w="615" w:type="pct"/>
            <w:tcBorders>
              <w:top w:val="single" w:sz="4" w:space="0" w:color="auto"/>
              <w:left w:val="nil"/>
              <w:bottom w:val="single" w:sz="12"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2,256</w:t>
            </w:r>
          </w:p>
        </w:tc>
        <w:tc>
          <w:tcPr>
            <w:tcW w:w="521" w:type="pct"/>
            <w:tcBorders>
              <w:top w:val="single" w:sz="4" w:space="0" w:color="auto"/>
              <w:left w:val="nil"/>
              <w:bottom w:val="single" w:sz="12"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25.9</w:t>
            </w:r>
          </w:p>
        </w:tc>
      </w:tr>
      <w:tr w:rsidR="00990965" w:rsidTr="00990965">
        <w:trPr>
          <w:trHeight w:val="238"/>
        </w:trPr>
        <w:tc>
          <w:tcPr>
            <w:tcW w:w="1671" w:type="pct"/>
            <w:tcBorders>
              <w:top w:val="single" w:sz="12" w:space="0" w:color="auto"/>
              <w:left w:val="nil"/>
              <w:bottom w:val="nil"/>
              <w:right w:val="nil"/>
            </w:tcBorders>
            <w:shd w:val="clear" w:color="auto" w:fill="auto"/>
            <w:noWrap/>
            <w:vAlign w:val="bottom"/>
          </w:tcPr>
          <w:p w:rsidR="00990965" w:rsidRPr="00CC1A2D" w:rsidRDefault="00990965" w:rsidP="00990965">
            <w:pPr>
              <w:rPr>
                <w:rFonts w:ascii="Arial" w:hAnsi="Arial" w:cs="Arial"/>
                <w:b/>
                <w:bCs/>
                <w:sz w:val="18"/>
                <w:szCs w:val="18"/>
              </w:rPr>
            </w:pPr>
          </w:p>
        </w:tc>
        <w:tc>
          <w:tcPr>
            <w:tcW w:w="527" w:type="pct"/>
            <w:tcBorders>
              <w:top w:val="single" w:sz="12" w:space="0" w:color="auto"/>
              <w:left w:val="nil"/>
              <w:bottom w:val="nil"/>
              <w:right w:val="nil"/>
            </w:tcBorders>
            <w:shd w:val="clear" w:color="auto" w:fill="auto"/>
            <w:noWrap/>
            <w:vAlign w:val="bottom"/>
          </w:tcPr>
          <w:p w:rsidR="00990965" w:rsidRPr="00CC1A2D" w:rsidRDefault="00990965" w:rsidP="00990965">
            <w:pPr>
              <w:jc w:val="right"/>
              <w:rPr>
                <w:rFonts w:ascii="Arial" w:hAnsi="Arial" w:cs="Arial"/>
                <w:b/>
                <w:bCs/>
                <w:sz w:val="18"/>
                <w:szCs w:val="18"/>
              </w:rPr>
            </w:pPr>
          </w:p>
        </w:tc>
        <w:tc>
          <w:tcPr>
            <w:tcW w:w="614" w:type="pct"/>
            <w:tcBorders>
              <w:top w:val="single" w:sz="12" w:space="0" w:color="auto"/>
              <w:left w:val="nil"/>
              <w:bottom w:val="nil"/>
              <w:right w:val="nil"/>
            </w:tcBorders>
            <w:shd w:val="clear" w:color="auto" w:fill="auto"/>
            <w:noWrap/>
            <w:vAlign w:val="bottom"/>
          </w:tcPr>
          <w:p w:rsidR="00990965" w:rsidRPr="00CC1A2D" w:rsidRDefault="00990965" w:rsidP="00990965">
            <w:pPr>
              <w:rPr>
                <w:sz w:val="18"/>
                <w:szCs w:val="18"/>
              </w:rPr>
            </w:pPr>
          </w:p>
        </w:tc>
        <w:tc>
          <w:tcPr>
            <w:tcW w:w="528" w:type="pct"/>
            <w:tcBorders>
              <w:top w:val="single" w:sz="12" w:space="0" w:color="auto"/>
              <w:left w:val="nil"/>
              <w:bottom w:val="nil"/>
              <w:right w:val="nil"/>
            </w:tcBorders>
            <w:shd w:val="clear" w:color="auto" w:fill="auto"/>
            <w:noWrap/>
            <w:vAlign w:val="bottom"/>
          </w:tcPr>
          <w:p w:rsidR="00990965" w:rsidRPr="00CC1A2D" w:rsidRDefault="00990965" w:rsidP="00990965">
            <w:pPr>
              <w:rPr>
                <w:sz w:val="18"/>
                <w:szCs w:val="18"/>
              </w:rPr>
            </w:pPr>
          </w:p>
        </w:tc>
        <w:tc>
          <w:tcPr>
            <w:tcW w:w="523" w:type="pct"/>
            <w:tcBorders>
              <w:top w:val="single" w:sz="12" w:space="0" w:color="auto"/>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615" w:type="pct"/>
            <w:tcBorders>
              <w:top w:val="single" w:sz="12" w:space="0" w:color="auto"/>
              <w:left w:val="nil"/>
              <w:bottom w:val="nil"/>
              <w:right w:val="nil"/>
            </w:tcBorders>
            <w:shd w:val="clear" w:color="auto" w:fill="auto"/>
            <w:noWrap/>
            <w:vAlign w:val="bottom"/>
          </w:tcPr>
          <w:p w:rsidR="00990965" w:rsidRPr="00990965" w:rsidRDefault="00990965" w:rsidP="00990965">
            <w:pPr>
              <w:rPr>
                <w:sz w:val="18"/>
                <w:szCs w:val="18"/>
              </w:rPr>
            </w:pPr>
          </w:p>
        </w:tc>
        <w:tc>
          <w:tcPr>
            <w:tcW w:w="521" w:type="pct"/>
            <w:tcBorders>
              <w:top w:val="single" w:sz="12" w:space="0" w:color="auto"/>
              <w:left w:val="nil"/>
              <w:bottom w:val="nil"/>
              <w:right w:val="nil"/>
            </w:tcBorders>
            <w:shd w:val="clear" w:color="auto" w:fill="auto"/>
            <w:noWrap/>
            <w:vAlign w:val="bottom"/>
          </w:tcPr>
          <w:p w:rsidR="00990965" w:rsidRPr="00990965" w:rsidRDefault="00990965" w:rsidP="00990965">
            <w:pPr>
              <w:rPr>
                <w:sz w:val="18"/>
                <w:szCs w:val="18"/>
              </w:rPr>
            </w:pPr>
          </w:p>
        </w:tc>
      </w:tr>
      <w:tr w:rsidR="00990965" w:rsidTr="00990965">
        <w:trPr>
          <w:trHeight w:val="238"/>
        </w:trPr>
        <w:tc>
          <w:tcPr>
            <w:tcW w:w="1671" w:type="pct"/>
            <w:tcBorders>
              <w:top w:val="nil"/>
              <w:left w:val="nil"/>
              <w:bottom w:val="nil"/>
              <w:right w:val="nil"/>
            </w:tcBorders>
            <w:shd w:val="clear" w:color="auto" w:fill="auto"/>
            <w:noWrap/>
            <w:vAlign w:val="bottom"/>
          </w:tcPr>
          <w:p w:rsidR="00990965" w:rsidRPr="007550F3" w:rsidRDefault="00990965" w:rsidP="00990965">
            <w:pPr>
              <w:rPr>
                <w:rFonts w:ascii="Arial" w:hAnsi="Arial" w:cs="Arial"/>
                <w:b/>
                <w:bCs/>
                <w:sz w:val="18"/>
                <w:szCs w:val="18"/>
              </w:rPr>
            </w:pPr>
            <w:r w:rsidRPr="007550F3">
              <w:rPr>
                <w:rFonts w:ascii="Arial" w:hAnsi="Arial" w:cs="Arial"/>
                <w:b/>
                <w:bCs/>
                <w:sz w:val="18"/>
                <w:szCs w:val="18"/>
              </w:rPr>
              <w:t>Diluted earnings per share</w:t>
            </w:r>
          </w:p>
        </w:tc>
        <w:tc>
          <w:tcPr>
            <w:tcW w:w="527" w:type="pct"/>
            <w:tcBorders>
              <w:top w:val="nil"/>
              <w:left w:val="nil"/>
              <w:bottom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485</w:t>
            </w:r>
          </w:p>
        </w:tc>
        <w:tc>
          <w:tcPr>
            <w:tcW w:w="614" w:type="pct"/>
            <w:tcBorders>
              <w:top w:val="nil"/>
              <w:left w:val="nil"/>
              <w:bottom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2,201</w:t>
            </w:r>
          </w:p>
        </w:tc>
        <w:tc>
          <w:tcPr>
            <w:tcW w:w="528" w:type="pct"/>
            <w:tcBorders>
              <w:top w:val="nil"/>
              <w:left w:val="nil"/>
              <w:bottom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22.0</w:t>
            </w:r>
          </w:p>
        </w:tc>
        <w:tc>
          <w:tcPr>
            <w:tcW w:w="523"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610</w:t>
            </w:r>
          </w:p>
        </w:tc>
        <w:tc>
          <w:tcPr>
            <w:tcW w:w="615"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2,263</w:t>
            </w:r>
          </w:p>
        </w:tc>
        <w:tc>
          <w:tcPr>
            <w:tcW w:w="521"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27.0</w:t>
            </w:r>
          </w:p>
        </w:tc>
      </w:tr>
      <w:tr w:rsidR="00990965" w:rsidTr="00990965">
        <w:trPr>
          <w:trHeight w:val="238"/>
        </w:trPr>
        <w:tc>
          <w:tcPr>
            <w:tcW w:w="1671" w:type="pct"/>
            <w:tcBorders>
              <w:top w:val="nil"/>
              <w:left w:val="nil"/>
              <w:bottom w:val="nil"/>
              <w:right w:val="nil"/>
            </w:tcBorders>
            <w:shd w:val="clear" w:color="auto" w:fill="auto"/>
            <w:noWrap/>
            <w:vAlign w:val="bottom"/>
          </w:tcPr>
          <w:p w:rsidR="00990965" w:rsidRPr="007550F3" w:rsidRDefault="00990965" w:rsidP="00990965">
            <w:pPr>
              <w:rPr>
                <w:rFonts w:ascii="Arial" w:hAnsi="Arial" w:cs="Arial"/>
                <w:b/>
                <w:bCs/>
                <w:sz w:val="18"/>
                <w:szCs w:val="18"/>
              </w:rPr>
            </w:pPr>
            <w:r w:rsidRPr="007550F3">
              <w:rPr>
                <w:rFonts w:ascii="Arial" w:hAnsi="Arial" w:cs="Arial"/>
                <w:sz w:val="18"/>
                <w:szCs w:val="18"/>
              </w:rPr>
              <w:t>Exceptional items before tax</w:t>
            </w:r>
          </w:p>
        </w:tc>
        <w:tc>
          <w:tcPr>
            <w:tcW w:w="527" w:type="pct"/>
            <w:tcBorders>
              <w:top w:val="nil"/>
              <w:left w:val="nil"/>
              <w:bottom w:val="nil"/>
              <w:right w:val="nil"/>
            </w:tcBorders>
            <w:shd w:val="clear" w:color="auto" w:fill="auto"/>
            <w:noWrap/>
            <w:vAlign w:val="bottom"/>
          </w:tcPr>
          <w:p w:rsidR="00990965" w:rsidRPr="007550F3" w:rsidRDefault="006467FA" w:rsidP="00990965">
            <w:pPr>
              <w:jc w:val="right"/>
              <w:rPr>
                <w:rFonts w:ascii="Arial" w:hAnsi="Arial" w:cs="Arial"/>
                <w:b/>
                <w:bCs/>
                <w:sz w:val="18"/>
                <w:szCs w:val="18"/>
              </w:rPr>
            </w:pPr>
            <w:r w:rsidRPr="00CC1A2D">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rsidR="00990965" w:rsidRPr="007550F3" w:rsidRDefault="00990965" w:rsidP="00990965">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rsidR="00990965" w:rsidRPr="007550F3" w:rsidRDefault="006467FA" w:rsidP="00990965">
            <w:pPr>
              <w:jc w:val="right"/>
              <w:rPr>
                <w:rFonts w:ascii="Arial" w:hAnsi="Arial" w:cs="Arial"/>
                <w:b/>
                <w:bCs/>
                <w:sz w:val="18"/>
                <w:szCs w:val="18"/>
              </w:rPr>
            </w:pPr>
            <w:r w:rsidRPr="00CC1A2D">
              <w:rPr>
                <w:rFonts w:ascii="Arial" w:hAnsi="Arial" w:cs="Arial"/>
                <w:b/>
                <w:bCs/>
                <w:sz w:val="18"/>
                <w:szCs w:val="18"/>
              </w:rPr>
              <w:t>–</w:t>
            </w:r>
          </w:p>
        </w:tc>
        <w:tc>
          <w:tcPr>
            <w:tcW w:w="523"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(17)</w:t>
            </w:r>
          </w:p>
        </w:tc>
        <w:tc>
          <w:tcPr>
            <w:tcW w:w="615"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521"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(0.8)</w:t>
            </w:r>
          </w:p>
        </w:tc>
      </w:tr>
      <w:tr w:rsidR="00990965" w:rsidTr="00990965">
        <w:trPr>
          <w:trHeight w:val="238"/>
        </w:trPr>
        <w:tc>
          <w:tcPr>
            <w:tcW w:w="1671" w:type="pct"/>
            <w:tcBorders>
              <w:top w:val="nil"/>
              <w:left w:val="nil"/>
              <w:bottom w:val="nil"/>
              <w:right w:val="nil"/>
            </w:tcBorders>
            <w:shd w:val="clear" w:color="auto" w:fill="auto"/>
            <w:noWrap/>
            <w:vAlign w:val="bottom"/>
          </w:tcPr>
          <w:p w:rsidR="00990965" w:rsidRPr="007550F3" w:rsidRDefault="00990965" w:rsidP="00990965">
            <w:pPr>
              <w:rPr>
                <w:rFonts w:ascii="Arial" w:hAnsi="Arial" w:cs="Arial"/>
                <w:b/>
                <w:bCs/>
                <w:sz w:val="18"/>
                <w:szCs w:val="18"/>
              </w:rPr>
            </w:pPr>
            <w:r w:rsidRPr="007550F3">
              <w:rPr>
                <w:rFonts w:ascii="Arial" w:hAnsi="Arial" w:cs="Arial"/>
                <w:sz w:val="18"/>
                <w:szCs w:val="18"/>
              </w:rPr>
              <w:t>Tax on exceptional and prior year items</w:t>
            </w:r>
          </w:p>
        </w:tc>
        <w:tc>
          <w:tcPr>
            <w:tcW w:w="527" w:type="pct"/>
            <w:tcBorders>
              <w:top w:val="nil"/>
              <w:left w:val="nil"/>
              <w:bottom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(7)</w:t>
            </w:r>
          </w:p>
        </w:tc>
        <w:tc>
          <w:tcPr>
            <w:tcW w:w="614" w:type="pct"/>
            <w:tcBorders>
              <w:top w:val="nil"/>
              <w:left w:val="nil"/>
              <w:bottom w:val="nil"/>
              <w:right w:val="nil"/>
            </w:tcBorders>
            <w:shd w:val="clear" w:color="auto" w:fill="auto"/>
            <w:noWrap/>
            <w:vAlign w:val="bottom"/>
          </w:tcPr>
          <w:p w:rsidR="00990965" w:rsidRPr="007550F3" w:rsidRDefault="00990965" w:rsidP="00990965">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(0.3)</w:t>
            </w:r>
          </w:p>
        </w:tc>
        <w:tc>
          <w:tcPr>
            <w:tcW w:w="523"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(43)</w:t>
            </w:r>
          </w:p>
        </w:tc>
        <w:tc>
          <w:tcPr>
            <w:tcW w:w="615"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521"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(2.0)</w:t>
            </w:r>
          </w:p>
        </w:tc>
      </w:tr>
      <w:tr w:rsidR="00990965" w:rsidTr="00990965">
        <w:trPr>
          <w:trHeight w:val="238"/>
        </w:trPr>
        <w:tc>
          <w:tcPr>
            <w:tcW w:w="1671" w:type="pct"/>
            <w:tcBorders>
              <w:top w:val="nil"/>
              <w:left w:val="nil"/>
              <w:bottom w:val="nil"/>
              <w:right w:val="nil"/>
            </w:tcBorders>
            <w:shd w:val="clear" w:color="auto" w:fill="auto"/>
            <w:noWrap/>
            <w:vAlign w:val="bottom"/>
          </w:tcPr>
          <w:p w:rsidR="00990965" w:rsidRPr="007550F3" w:rsidRDefault="00990965" w:rsidP="00990965">
            <w:pPr>
              <w:rPr>
                <w:rFonts w:ascii="Arial" w:hAnsi="Arial" w:cs="Arial"/>
                <w:b/>
                <w:bCs/>
                <w:sz w:val="18"/>
                <w:szCs w:val="18"/>
              </w:rPr>
            </w:pPr>
            <w:r w:rsidRPr="007550F3">
              <w:rPr>
                <w:rFonts w:ascii="Arial" w:hAnsi="Arial" w:cs="Arial"/>
                <w:sz w:val="18"/>
                <w:szCs w:val="18"/>
              </w:rPr>
              <w:t>Financing fair value remeasurements</w:t>
            </w:r>
          </w:p>
        </w:tc>
        <w:tc>
          <w:tcPr>
            <w:tcW w:w="527" w:type="pct"/>
            <w:tcBorders>
              <w:top w:val="nil"/>
              <w:left w:val="nil"/>
              <w:bottom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1</w:t>
            </w:r>
          </w:p>
        </w:tc>
        <w:tc>
          <w:tcPr>
            <w:tcW w:w="614" w:type="pct"/>
            <w:tcBorders>
              <w:top w:val="nil"/>
              <w:left w:val="nil"/>
              <w:bottom w:val="nil"/>
              <w:right w:val="nil"/>
            </w:tcBorders>
            <w:shd w:val="clear" w:color="auto" w:fill="auto"/>
            <w:noWrap/>
            <w:vAlign w:val="bottom"/>
          </w:tcPr>
          <w:p w:rsidR="00990965" w:rsidRPr="007550F3" w:rsidRDefault="00990965" w:rsidP="00990965">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rsidR="00990965" w:rsidRPr="007550F3" w:rsidRDefault="006467FA" w:rsidP="00990965">
            <w:pPr>
              <w:jc w:val="right"/>
              <w:rPr>
                <w:rFonts w:ascii="Arial" w:hAnsi="Arial" w:cs="Arial"/>
                <w:b/>
                <w:bCs/>
                <w:sz w:val="18"/>
                <w:szCs w:val="18"/>
              </w:rPr>
            </w:pPr>
            <w:r w:rsidRPr="00CC1A2D">
              <w:rPr>
                <w:rFonts w:ascii="Arial" w:hAnsi="Arial" w:cs="Arial"/>
                <w:b/>
                <w:bCs/>
                <w:sz w:val="18"/>
                <w:szCs w:val="18"/>
              </w:rPr>
              <w:t>–</w:t>
            </w:r>
          </w:p>
        </w:tc>
        <w:tc>
          <w:tcPr>
            <w:tcW w:w="523"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1</w:t>
            </w:r>
          </w:p>
        </w:tc>
        <w:tc>
          <w:tcPr>
            <w:tcW w:w="615" w:type="pct"/>
            <w:tcBorders>
              <w:top w:val="nil"/>
              <w:left w:val="nil"/>
              <w:bottom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521" w:type="pct"/>
            <w:tcBorders>
              <w:top w:val="nil"/>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0.1</w:t>
            </w:r>
          </w:p>
        </w:tc>
      </w:tr>
      <w:tr w:rsidR="00990965" w:rsidTr="00990965">
        <w:trPr>
          <w:trHeight w:val="238"/>
        </w:trPr>
        <w:tc>
          <w:tcPr>
            <w:tcW w:w="1671" w:type="pct"/>
            <w:tcBorders>
              <w:top w:val="single" w:sz="4" w:space="0" w:color="auto"/>
              <w:left w:val="nil"/>
              <w:right w:val="nil"/>
            </w:tcBorders>
            <w:shd w:val="clear" w:color="auto" w:fill="auto"/>
            <w:noWrap/>
            <w:vAlign w:val="bottom"/>
          </w:tcPr>
          <w:p w:rsidR="00990965" w:rsidRPr="007550F3" w:rsidRDefault="00990965" w:rsidP="00990965">
            <w:pPr>
              <w:rPr>
                <w:rFonts w:ascii="Arial" w:hAnsi="Arial" w:cs="Arial"/>
                <w:b/>
                <w:bCs/>
                <w:sz w:val="18"/>
                <w:szCs w:val="18"/>
              </w:rPr>
            </w:pPr>
            <w:r w:rsidRPr="007550F3">
              <w:rPr>
                <w:rFonts w:ascii="Arial" w:hAnsi="Arial" w:cs="Arial"/>
                <w:b/>
                <w:bCs/>
                <w:sz w:val="18"/>
                <w:szCs w:val="18"/>
              </w:rPr>
              <w:t>Adjusted diluted earnings per share</w:t>
            </w:r>
          </w:p>
        </w:tc>
        <w:tc>
          <w:tcPr>
            <w:tcW w:w="527" w:type="pct"/>
            <w:tcBorders>
              <w:top w:val="single" w:sz="4" w:space="0" w:color="auto"/>
              <w:left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479</w:t>
            </w:r>
          </w:p>
        </w:tc>
        <w:tc>
          <w:tcPr>
            <w:tcW w:w="614" w:type="pct"/>
            <w:tcBorders>
              <w:top w:val="single" w:sz="4" w:space="0" w:color="auto"/>
              <w:left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2,201</w:t>
            </w:r>
          </w:p>
        </w:tc>
        <w:tc>
          <w:tcPr>
            <w:tcW w:w="528" w:type="pct"/>
            <w:tcBorders>
              <w:top w:val="single" w:sz="4" w:space="0" w:color="auto"/>
              <w:left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21.7</w:t>
            </w:r>
          </w:p>
        </w:tc>
        <w:tc>
          <w:tcPr>
            <w:tcW w:w="523" w:type="pct"/>
            <w:tcBorders>
              <w:top w:val="single" w:sz="4" w:space="0" w:color="auto"/>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551</w:t>
            </w:r>
          </w:p>
        </w:tc>
        <w:tc>
          <w:tcPr>
            <w:tcW w:w="615" w:type="pct"/>
            <w:tcBorders>
              <w:top w:val="single" w:sz="4" w:space="0" w:color="auto"/>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2,263</w:t>
            </w:r>
          </w:p>
        </w:tc>
        <w:tc>
          <w:tcPr>
            <w:tcW w:w="521" w:type="pct"/>
            <w:tcBorders>
              <w:top w:val="single" w:sz="4" w:space="0" w:color="auto"/>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24.3</w:t>
            </w:r>
          </w:p>
        </w:tc>
      </w:tr>
      <w:tr w:rsidR="00990965" w:rsidTr="00990965">
        <w:trPr>
          <w:trHeight w:val="238"/>
        </w:trPr>
        <w:tc>
          <w:tcPr>
            <w:tcW w:w="1671" w:type="pct"/>
            <w:tcBorders>
              <w:left w:val="nil"/>
              <w:right w:val="nil"/>
            </w:tcBorders>
            <w:shd w:val="clear" w:color="auto" w:fill="auto"/>
            <w:noWrap/>
            <w:vAlign w:val="bottom"/>
          </w:tcPr>
          <w:p w:rsidR="00990965" w:rsidRPr="007550F3" w:rsidRDefault="00990965" w:rsidP="00990965">
            <w:pPr>
              <w:rPr>
                <w:rFonts w:ascii="Arial" w:hAnsi="Arial" w:cs="Arial"/>
                <w:bCs/>
                <w:sz w:val="18"/>
                <w:szCs w:val="18"/>
              </w:rPr>
            </w:pPr>
            <w:r w:rsidRPr="007550F3">
              <w:rPr>
                <w:rFonts w:ascii="Arial" w:hAnsi="Arial" w:cs="Arial"/>
                <w:bCs/>
                <w:sz w:val="18"/>
                <w:szCs w:val="18"/>
              </w:rPr>
              <w:t>Transformation costs before exceptional items</w:t>
            </w:r>
          </w:p>
        </w:tc>
        <w:tc>
          <w:tcPr>
            <w:tcW w:w="527" w:type="pct"/>
            <w:tcBorders>
              <w:left w:val="nil"/>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114</w:t>
            </w:r>
          </w:p>
        </w:tc>
        <w:tc>
          <w:tcPr>
            <w:tcW w:w="614" w:type="pct"/>
            <w:tcBorders>
              <w:left w:val="nil"/>
              <w:right w:val="nil"/>
            </w:tcBorders>
            <w:shd w:val="clear" w:color="auto" w:fill="auto"/>
            <w:noWrap/>
            <w:vAlign w:val="bottom"/>
          </w:tcPr>
          <w:p w:rsidR="00990965" w:rsidRPr="007550F3" w:rsidRDefault="00990965" w:rsidP="00990965">
            <w:pPr>
              <w:jc w:val="right"/>
              <w:rPr>
                <w:rFonts w:ascii="Arial" w:hAnsi="Arial" w:cs="Arial"/>
                <w:b/>
                <w:bCs/>
                <w:sz w:val="18"/>
                <w:szCs w:val="18"/>
              </w:rPr>
            </w:pPr>
          </w:p>
        </w:tc>
        <w:tc>
          <w:tcPr>
            <w:tcW w:w="528" w:type="pct"/>
            <w:tcBorders>
              <w:left w:val="nil"/>
              <w:right w:val="nil"/>
            </w:tcBorders>
            <w:shd w:val="clear" w:color="auto" w:fill="auto"/>
            <w:noWrap/>
            <w:vAlign w:val="bottom"/>
          </w:tcPr>
          <w:p w:rsidR="00990965" w:rsidRPr="007550F3" w:rsidRDefault="002F7FDA" w:rsidP="00990965">
            <w:pPr>
              <w:jc w:val="right"/>
              <w:rPr>
                <w:rFonts w:ascii="Arial" w:hAnsi="Arial" w:cs="Arial"/>
                <w:b/>
                <w:bCs/>
                <w:sz w:val="18"/>
                <w:szCs w:val="18"/>
              </w:rPr>
            </w:pPr>
            <w:r>
              <w:rPr>
                <w:rFonts w:ascii="Arial" w:hAnsi="Arial" w:cs="Arial"/>
                <w:b/>
                <w:bCs/>
                <w:sz w:val="18"/>
                <w:szCs w:val="18"/>
              </w:rPr>
              <w:t>5.2</w:t>
            </w:r>
          </w:p>
        </w:tc>
        <w:tc>
          <w:tcPr>
            <w:tcW w:w="523" w:type="pct"/>
            <w:tcBorders>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44</w:t>
            </w:r>
          </w:p>
        </w:tc>
        <w:tc>
          <w:tcPr>
            <w:tcW w:w="615" w:type="pct"/>
            <w:tcBorders>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521" w:type="pct"/>
            <w:tcBorders>
              <w:left w:val="nil"/>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2.0</w:t>
            </w:r>
          </w:p>
        </w:tc>
      </w:tr>
      <w:tr w:rsidR="00990965" w:rsidTr="00990965">
        <w:trPr>
          <w:trHeight w:val="238"/>
        </w:trPr>
        <w:tc>
          <w:tcPr>
            <w:tcW w:w="1671" w:type="pct"/>
            <w:tcBorders>
              <w:left w:val="nil"/>
              <w:bottom w:val="single" w:sz="4" w:space="0" w:color="auto"/>
              <w:right w:val="nil"/>
            </w:tcBorders>
            <w:shd w:val="clear" w:color="auto" w:fill="auto"/>
            <w:noWrap/>
            <w:vAlign w:val="bottom"/>
          </w:tcPr>
          <w:p w:rsidR="00990965" w:rsidRPr="007550F3" w:rsidRDefault="00990965" w:rsidP="00990965">
            <w:pPr>
              <w:rPr>
                <w:rFonts w:ascii="Arial" w:hAnsi="Arial" w:cs="Arial"/>
                <w:bCs/>
                <w:sz w:val="18"/>
                <w:szCs w:val="18"/>
              </w:rPr>
            </w:pPr>
            <w:r w:rsidRPr="007550F3">
              <w:rPr>
                <w:rFonts w:ascii="Arial" w:hAnsi="Arial" w:cs="Arial"/>
                <w:bCs/>
                <w:sz w:val="18"/>
                <w:szCs w:val="18"/>
              </w:rPr>
              <w:t>Tax on transformation costs before exceptional items</w:t>
            </w:r>
          </w:p>
        </w:tc>
        <w:tc>
          <w:tcPr>
            <w:tcW w:w="527" w:type="pct"/>
            <w:tcBorders>
              <w:left w:val="nil"/>
              <w:bottom w:val="single" w:sz="4" w:space="0" w:color="auto"/>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(35)</w:t>
            </w:r>
          </w:p>
        </w:tc>
        <w:tc>
          <w:tcPr>
            <w:tcW w:w="614" w:type="pct"/>
            <w:tcBorders>
              <w:left w:val="nil"/>
              <w:bottom w:val="single" w:sz="4" w:space="0" w:color="auto"/>
              <w:right w:val="nil"/>
            </w:tcBorders>
            <w:shd w:val="clear" w:color="auto" w:fill="auto"/>
            <w:noWrap/>
            <w:vAlign w:val="bottom"/>
          </w:tcPr>
          <w:p w:rsidR="00990965" w:rsidRPr="007550F3" w:rsidRDefault="00990965" w:rsidP="00990965">
            <w:pPr>
              <w:jc w:val="right"/>
              <w:rPr>
                <w:rFonts w:ascii="Arial" w:hAnsi="Arial" w:cs="Arial"/>
                <w:b/>
                <w:bCs/>
                <w:sz w:val="18"/>
                <w:szCs w:val="18"/>
              </w:rPr>
            </w:pPr>
          </w:p>
        </w:tc>
        <w:tc>
          <w:tcPr>
            <w:tcW w:w="528" w:type="pct"/>
            <w:tcBorders>
              <w:left w:val="nil"/>
              <w:bottom w:val="single" w:sz="4" w:space="0" w:color="auto"/>
              <w:right w:val="nil"/>
            </w:tcBorders>
            <w:shd w:val="clear" w:color="auto" w:fill="auto"/>
            <w:noWrap/>
            <w:vAlign w:val="bottom"/>
          </w:tcPr>
          <w:p w:rsidR="00990965" w:rsidRPr="007550F3" w:rsidRDefault="002F7FDA" w:rsidP="00990965">
            <w:pPr>
              <w:jc w:val="right"/>
              <w:rPr>
                <w:rFonts w:ascii="Arial" w:hAnsi="Arial" w:cs="Arial"/>
                <w:b/>
                <w:bCs/>
                <w:sz w:val="18"/>
                <w:szCs w:val="18"/>
              </w:rPr>
            </w:pPr>
            <w:r>
              <w:rPr>
                <w:rFonts w:ascii="Arial" w:hAnsi="Arial" w:cs="Arial"/>
                <w:b/>
                <w:bCs/>
                <w:sz w:val="18"/>
                <w:szCs w:val="18"/>
              </w:rPr>
              <w:t>(1.5)</w:t>
            </w:r>
          </w:p>
        </w:tc>
        <w:tc>
          <w:tcPr>
            <w:tcW w:w="523" w:type="pct"/>
            <w:tcBorders>
              <w:left w:val="nil"/>
              <w:bottom w:val="single" w:sz="4"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(11)</w:t>
            </w:r>
          </w:p>
        </w:tc>
        <w:tc>
          <w:tcPr>
            <w:tcW w:w="615" w:type="pct"/>
            <w:tcBorders>
              <w:left w:val="nil"/>
              <w:bottom w:val="single" w:sz="4"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p>
        </w:tc>
        <w:tc>
          <w:tcPr>
            <w:tcW w:w="521" w:type="pct"/>
            <w:tcBorders>
              <w:left w:val="nil"/>
              <w:bottom w:val="single" w:sz="4"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(0.5)</w:t>
            </w:r>
          </w:p>
        </w:tc>
      </w:tr>
      <w:tr w:rsidR="00990965" w:rsidTr="00990965">
        <w:trPr>
          <w:trHeight w:val="238"/>
        </w:trPr>
        <w:tc>
          <w:tcPr>
            <w:tcW w:w="1671" w:type="pct"/>
            <w:tcBorders>
              <w:top w:val="single" w:sz="4" w:space="0" w:color="auto"/>
              <w:left w:val="nil"/>
              <w:bottom w:val="single" w:sz="12" w:space="0" w:color="auto"/>
              <w:right w:val="nil"/>
            </w:tcBorders>
            <w:shd w:val="clear" w:color="auto" w:fill="auto"/>
            <w:noWrap/>
            <w:vAlign w:val="bottom"/>
          </w:tcPr>
          <w:p w:rsidR="00990965" w:rsidRPr="007550F3" w:rsidRDefault="00990965" w:rsidP="00990965">
            <w:pPr>
              <w:rPr>
                <w:rFonts w:ascii="Arial" w:hAnsi="Arial" w:cs="Arial"/>
                <w:b/>
                <w:bCs/>
                <w:sz w:val="18"/>
                <w:szCs w:val="18"/>
              </w:rPr>
            </w:pPr>
            <w:r w:rsidRPr="007550F3">
              <w:rPr>
                <w:rFonts w:ascii="Arial" w:hAnsi="Arial" w:cs="Arial"/>
                <w:b/>
                <w:bCs/>
                <w:sz w:val="18"/>
                <w:szCs w:val="18"/>
              </w:rPr>
              <w:t>Underlying diluted earnings per share</w:t>
            </w:r>
          </w:p>
        </w:tc>
        <w:tc>
          <w:tcPr>
            <w:tcW w:w="527" w:type="pct"/>
            <w:tcBorders>
              <w:top w:val="single" w:sz="4" w:space="0" w:color="auto"/>
              <w:left w:val="nil"/>
              <w:bottom w:val="single" w:sz="12" w:space="0" w:color="auto"/>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558</w:t>
            </w:r>
          </w:p>
        </w:tc>
        <w:tc>
          <w:tcPr>
            <w:tcW w:w="614" w:type="pct"/>
            <w:tcBorders>
              <w:top w:val="single" w:sz="4" w:space="0" w:color="auto"/>
              <w:left w:val="nil"/>
              <w:bottom w:val="single" w:sz="12" w:space="0" w:color="auto"/>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2,201</w:t>
            </w:r>
          </w:p>
        </w:tc>
        <w:tc>
          <w:tcPr>
            <w:tcW w:w="528" w:type="pct"/>
            <w:tcBorders>
              <w:top w:val="single" w:sz="4" w:space="0" w:color="auto"/>
              <w:left w:val="nil"/>
              <w:bottom w:val="single" w:sz="12" w:space="0" w:color="auto"/>
              <w:right w:val="nil"/>
            </w:tcBorders>
            <w:shd w:val="clear" w:color="auto" w:fill="auto"/>
            <w:noWrap/>
            <w:vAlign w:val="bottom"/>
          </w:tcPr>
          <w:p w:rsidR="00990965" w:rsidRPr="007550F3" w:rsidRDefault="00F875F6" w:rsidP="00990965">
            <w:pPr>
              <w:jc w:val="right"/>
              <w:rPr>
                <w:rFonts w:ascii="Arial" w:hAnsi="Arial" w:cs="Arial"/>
                <w:b/>
                <w:bCs/>
                <w:sz w:val="18"/>
                <w:szCs w:val="18"/>
              </w:rPr>
            </w:pPr>
            <w:r>
              <w:rPr>
                <w:rFonts w:ascii="Arial" w:hAnsi="Arial" w:cs="Arial"/>
                <w:b/>
                <w:bCs/>
                <w:sz w:val="18"/>
                <w:szCs w:val="18"/>
              </w:rPr>
              <w:t>25.4</w:t>
            </w:r>
          </w:p>
        </w:tc>
        <w:tc>
          <w:tcPr>
            <w:tcW w:w="523" w:type="pct"/>
            <w:tcBorders>
              <w:top w:val="single" w:sz="4" w:space="0" w:color="auto"/>
              <w:left w:val="nil"/>
              <w:bottom w:val="single" w:sz="12"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584</w:t>
            </w:r>
          </w:p>
        </w:tc>
        <w:tc>
          <w:tcPr>
            <w:tcW w:w="615" w:type="pct"/>
            <w:tcBorders>
              <w:top w:val="single" w:sz="4" w:space="0" w:color="auto"/>
              <w:left w:val="nil"/>
              <w:bottom w:val="single" w:sz="12"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2,263</w:t>
            </w:r>
          </w:p>
        </w:tc>
        <w:tc>
          <w:tcPr>
            <w:tcW w:w="521" w:type="pct"/>
            <w:tcBorders>
              <w:top w:val="single" w:sz="4" w:space="0" w:color="auto"/>
              <w:left w:val="nil"/>
              <w:bottom w:val="single" w:sz="12" w:space="0" w:color="auto"/>
              <w:right w:val="nil"/>
            </w:tcBorders>
            <w:shd w:val="clear" w:color="auto" w:fill="auto"/>
            <w:noWrap/>
            <w:vAlign w:val="bottom"/>
          </w:tcPr>
          <w:p w:rsidR="00990965" w:rsidRPr="00990965" w:rsidRDefault="00990965" w:rsidP="00990965">
            <w:pPr>
              <w:jc w:val="right"/>
              <w:rPr>
                <w:rFonts w:ascii="Arial" w:hAnsi="Arial" w:cs="Arial"/>
                <w:bCs/>
                <w:sz w:val="18"/>
                <w:szCs w:val="18"/>
              </w:rPr>
            </w:pPr>
            <w:r w:rsidRPr="00990965">
              <w:rPr>
                <w:rFonts w:ascii="Arial" w:hAnsi="Arial" w:cs="Arial"/>
                <w:bCs/>
                <w:sz w:val="18"/>
                <w:szCs w:val="18"/>
              </w:rPr>
              <w:t>25.8</w:t>
            </w:r>
          </w:p>
        </w:tc>
      </w:tr>
    </w:tbl>
    <w:p w:rsidR="007C6C03" w:rsidRDefault="007C6C03">
      <w:pPr>
        <w:rPr>
          <w:rFonts w:ascii="Arial" w:hAnsi="Arial" w:cs="Arial"/>
          <w:sz w:val="18"/>
          <w:szCs w:val="18"/>
        </w:rPr>
      </w:pPr>
    </w:p>
    <w:p w:rsidR="0039493A" w:rsidRDefault="00CB209D" w:rsidP="00FA21A3">
      <w:pPr>
        <w:jc w:val="both"/>
        <w:rPr>
          <w:rFonts w:ascii="Arial" w:hAnsi="Arial" w:cs="Arial"/>
          <w:sz w:val="18"/>
          <w:szCs w:val="18"/>
        </w:rPr>
      </w:pPr>
      <w:r w:rsidRPr="00CB209D">
        <w:rPr>
          <w:rFonts w:ascii="Arial" w:hAnsi="Arial" w:cs="Arial"/>
          <w:sz w:val="18"/>
          <w:szCs w:val="18"/>
        </w:rPr>
        <w:t xml:space="preserve">Basic earnings per share is calculated by dividing the </w:t>
      </w:r>
      <w:r w:rsidR="000079A7">
        <w:rPr>
          <w:rFonts w:ascii="Arial" w:hAnsi="Arial" w:cs="Arial"/>
          <w:sz w:val="18"/>
          <w:szCs w:val="18"/>
        </w:rPr>
        <w:t>profit for the year</w:t>
      </w:r>
      <w:r w:rsidRPr="00CB209D">
        <w:rPr>
          <w:rFonts w:ascii="Arial" w:hAnsi="Arial" w:cs="Arial"/>
          <w:sz w:val="18"/>
          <w:szCs w:val="18"/>
        </w:rPr>
        <w:t xml:space="preserve"> attributable to </w:t>
      </w:r>
      <w:r w:rsidR="003B40A4">
        <w:rPr>
          <w:rFonts w:ascii="Arial" w:hAnsi="Arial" w:cs="Arial"/>
          <w:sz w:val="18"/>
          <w:szCs w:val="18"/>
        </w:rPr>
        <w:t xml:space="preserve">equity </w:t>
      </w:r>
      <w:r w:rsidRPr="00CB209D">
        <w:rPr>
          <w:rFonts w:ascii="Arial" w:hAnsi="Arial" w:cs="Arial"/>
          <w:sz w:val="18"/>
          <w:szCs w:val="18"/>
        </w:rPr>
        <w:t xml:space="preserve">shareholders </w:t>
      </w:r>
      <w:r w:rsidR="00254EDF">
        <w:rPr>
          <w:rFonts w:ascii="Arial" w:hAnsi="Arial" w:cs="Arial"/>
          <w:sz w:val="18"/>
          <w:szCs w:val="18"/>
        </w:rPr>
        <w:t xml:space="preserve">of the Company </w:t>
      </w:r>
      <w:r w:rsidRPr="00CB209D">
        <w:rPr>
          <w:rFonts w:ascii="Arial" w:hAnsi="Arial" w:cs="Arial"/>
          <w:sz w:val="18"/>
          <w:szCs w:val="18"/>
        </w:rPr>
        <w:t>by the weighted average number of shares in issue during the year, excluding those held in the Employee Share Ownership Plan Trust (</w:t>
      </w:r>
      <w:r w:rsidR="009A4BBE">
        <w:rPr>
          <w:rFonts w:ascii="Arial" w:hAnsi="Arial" w:cs="Arial"/>
          <w:sz w:val="18"/>
          <w:szCs w:val="18"/>
        </w:rPr>
        <w:t>‘</w:t>
      </w:r>
      <w:r w:rsidRPr="00CB209D">
        <w:rPr>
          <w:rFonts w:ascii="Arial" w:hAnsi="Arial" w:cs="Arial"/>
          <w:sz w:val="18"/>
          <w:szCs w:val="18"/>
        </w:rPr>
        <w:t>ESOP</w:t>
      </w:r>
      <w:r w:rsidR="009A4BBE">
        <w:rPr>
          <w:rFonts w:ascii="Arial" w:hAnsi="Arial" w:cs="Arial"/>
          <w:sz w:val="18"/>
          <w:szCs w:val="18"/>
        </w:rPr>
        <w:t>’</w:t>
      </w:r>
      <w:r w:rsidRPr="00CB209D">
        <w:rPr>
          <w:rFonts w:ascii="Arial" w:hAnsi="Arial" w:cs="Arial"/>
          <w:sz w:val="18"/>
          <w:szCs w:val="18"/>
        </w:rPr>
        <w:t>) which for the purpose of this calculation are treated as cancelled.</w:t>
      </w:r>
    </w:p>
    <w:p w:rsidR="00CB209D" w:rsidRPr="00CB209D" w:rsidRDefault="00CB209D" w:rsidP="00FA21A3">
      <w:pPr>
        <w:jc w:val="both"/>
        <w:rPr>
          <w:rFonts w:ascii="Arial" w:hAnsi="Arial" w:cs="Arial"/>
          <w:sz w:val="18"/>
          <w:szCs w:val="18"/>
        </w:rPr>
      </w:pPr>
    </w:p>
    <w:p w:rsidR="0039493A" w:rsidRPr="00CB209D" w:rsidRDefault="00CB209D" w:rsidP="00FA21A3">
      <w:pPr>
        <w:jc w:val="both"/>
        <w:rPr>
          <w:rFonts w:ascii="Arial" w:hAnsi="Arial" w:cs="Arial"/>
          <w:sz w:val="18"/>
          <w:szCs w:val="18"/>
        </w:rPr>
      </w:pPr>
      <w:r w:rsidRPr="00CB209D">
        <w:rPr>
          <w:rFonts w:ascii="Arial" w:hAnsi="Arial" w:cs="Arial"/>
          <w:sz w:val="18"/>
          <w:szCs w:val="18"/>
        </w:rPr>
        <w:t xml:space="preserve">For diluted earnings per share, the weighted average number of shares is adjusted to assume conversion of all dilutive potential ordinary shares. These represent share options granted to employees where </w:t>
      </w:r>
      <w:r w:rsidR="00F14EAD">
        <w:rPr>
          <w:rFonts w:ascii="Arial" w:hAnsi="Arial" w:cs="Arial"/>
          <w:sz w:val="18"/>
          <w:szCs w:val="18"/>
        </w:rPr>
        <w:t xml:space="preserve">both </w:t>
      </w:r>
      <w:r w:rsidRPr="00CB209D">
        <w:rPr>
          <w:rFonts w:ascii="Arial" w:hAnsi="Arial" w:cs="Arial"/>
          <w:sz w:val="18"/>
          <w:szCs w:val="18"/>
        </w:rPr>
        <w:t>the exercise price is less than the average market price of the Company’s shares during the year</w:t>
      </w:r>
      <w:r w:rsidR="00F14EAD">
        <w:rPr>
          <w:rFonts w:ascii="Arial" w:hAnsi="Arial" w:cs="Arial"/>
          <w:sz w:val="18"/>
          <w:szCs w:val="18"/>
        </w:rPr>
        <w:t xml:space="preserve"> and any related performance conditions have been met</w:t>
      </w:r>
      <w:r w:rsidR="00F14EAD" w:rsidRPr="00CB209D">
        <w:rPr>
          <w:rFonts w:ascii="Arial" w:hAnsi="Arial" w:cs="Arial"/>
          <w:sz w:val="18"/>
          <w:szCs w:val="18"/>
        </w:rPr>
        <w:t>.</w:t>
      </w:r>
    </w:p>
    <w:p w:rsidR="007C6C03" w:rsidRDefault="007C6C03">
      <w:pPr>
        <w:rPr>
          <w:rFonts w:ascii="Arial" w:hAnsi="Arial" w:cs="Arial"/>
          <w:sz w:val="18"/>
          <w:szCs w:val="18"/>
        </w:rPr>
      </w:pPr>
    </w:p>
    <w:p w:rsidR="00703B2B" w:rsidRPr="00EF1091" w:rsidRDefault="00F764F7" w:rsidP="00703B2B">
      <w:pPr>
        <w:pStyle w:val="Heading1"/>
        <w:rPr>
          <w:rFonts w:ascii="Arial" w:hAnsi="Arial" w:cs="Arial"/>
          <w:szCs w:val="18"/>
        </w:rPr>
      </w:pPr>
      <w:r>
        <w:rPr>
          <w:rFonts w:ascii="Arial" w:hAnsi="Arial" w:cs="Arial"/>
          <w:szCs w:val="18"/>
        </w:rPr>
        <w:t>8</w:t>
      </w:r>
      <w:r w:rsidR="00703B2B">
        <w:rPr>
          <w:rFonts w:ascii="Arial" w:hAnsi="Arial" w:cs="Arial"/>
          <w:szCs w:val="18"/>
        </w:rPr>
        <w:tab/>
      </w:r>
      <w:r w:rsidR="00703B2B" w:rsidRPr="00EF1091">
        <w:rPr>
          <w:rFonts w:ascii="Arial" w:hAnsi="Arial" w:cs="Arial"/>
          <w:szCs w:val="18"/>
        </w:rPr>
        <w:t xml:space="preserve">Dividends </w:t>
      </w:r>
    </w:p>
    <w:p w:rsidR="00703B2B" w:rsidRPr="00EF1091" w:rsidRDefault="00703B2B" w:rsidP="00703B2B">
      <w:pPr>
        <w:rPr>
          <w:rFonts w:ascii="Arial" w:hAnsi="Arial" w:cs="Arial"/>
          <w:sz w:val="18"/>
          <w:szCs w:val="18"/>
        </w:rPr>
      </w:pPr>
    </w:p>
    <w:tbl>
      <w:tblPr>
        <w:tblW w:w="5000" w:type="pct"/>
        <w:tblLook w:val="0000" w:firstRow="0" w:lastRow="0" w:firstColumn="0" w:lastColumn="0" w:noHBand="0" w:noVBand="0"/>
      </w:tblPr>
      <w:tblGrid>
        <w:gridCol w:w="7001"/>
        <w:gridCol w:w="1211"/>
        <w:gridCol w:w="1427"/>
      </w:tblGrid>
      <w:tr w:rsidR="00703B2B" w:rsidRPr="00EF1091" w:rsidTr="001606EE">
        <w:trPr>
          <w:trHeight w:val="240"/>
        </w:trPr>
        <w:tc>
          <w:tcPr>
            <w:tcW w:w="3632" w:type="pct"/>
            <w:tcBorders>
              <w:top w:val="nil"/>
              <w:left w:val="nil"/>
              <w:bottom w:val="single" w:sz="4" w:space="0" w:color="auto"/>
              <w:right w:val="nil"/>
            </w:tcBorders>
            <w:noWrap/>
            <w:vAlign w:val="bottom"/>
          </w:tcPr>
          <w:p w:rsidR="00703B2B" w:rsidRPr="00EF1091" w:rsidRDefault="00703B2B" w:rsidP="003C698C">
            <w:pPr>
              <w:rPr>
                <w:rFonts w:ascii="Arial" w:hAnsi="Arial" w:cs="Arial"/>
                <w:sz w:val="18"/>
                <w:szCs w:val="18"/>
              </w:rPr>
            </w:pPr>
            <w:r w:rsidRPr="00EF1091">
              <w:rPr>
                <w:rFonts w:ascii="Arial" w:hAnsi="Arial" w:cs="Arial"/>
                <w:sz w:val="18"/>
                <w:szCs w:val="18"/>
              </w:rPr>
              <w:t>£ millions</w:t>
            </w:r>
          </w:p>
        </w:tc>
        <w:tc>
          <w:tcPr>
            <w:tcW w:w="628" w:type="pct"/>
            <w:tcBorders>
              <w:top w:val="nil"/>
              <w:left w:val="nil"/>
              <w:bottom w:val="single" w:sz="4" w:space="0" w:color="auto"/>
              <w:right w:val="nil"/>
            </w:tcBorders>
            <w:noWrap/>
            <w:vAlign w:val="bottom"/>
          </w:tcPr>
          <w:p w:rsidR="00703B2B" w:rsidRPr="00CD6F3E" w:rsidRDefault="00703B2B" w:rsidP="001F707B">
            <w:pPr>
              <w:jc w:val="right"/>
              <w:rPr>
                <w:rFonts w:ascii="Arial" w:hAnsi="Arial" w:cs="Arial"/>
                <w:sz w:val="18"/>
                <w:szCs w:val="18"/>
              </w:rPr>
            </w:pPr>
            <w:r w:rsidRPr="008C583A">
              <w:rPr>
                <w:rFonts w:ascii="Arial" w:hAnsi="Arial" w:cs="Arial"/>
                <w:sz w:val="18"/>
                <w:szCs w:val="18"/>
              </w:rPr>
              <w:t>20</w:t>
            </w:r>
            <w:r w:rsidR="00934686" w:rsidRPr="00FC37BE">
              <w:rPr>
                <w:rFonts w:ascii="Arial" w:hAnsi="Arial" w:cs="Arial"/>
                <w:sz w:val="18"/>
                <w:szCs w:val="18"/>
              </w:rPr>
              <w:t>1</w:t>
            </w:r>
            <w:r w:rsidR="001F707B">
              <w:rPr>
                <w:rFonts w:ascii="Arial" w:hAnsi="Arial" w:cs="Arial"/>
                <w:sz w:val="18"/>
                <w:szCs w:val="18"/>
              </w:rPr>
              <w:t>7</w:t>
            </w:r>
            <w:r w:rsidR="00D948E4" w:rsidRPr="00FC37BE">
              <w:rPr>
                <w:rFonts w:ascii="Arial" w:hAnsi="Arial" w:cs="Arial"/>
                <w:sz w:val="18"/>
                <w:szCs w:val="18"/>
              </w:rPr>
              <w:t>/1</w:t>
            </w:r>
            <w:r w:rsidR="001F707B">
              <w:rPr>
                <w:rFonts w:ascii="Arial" w:hAnsi="Arial" w:cs="Arial"/>
                <w:sz w:val="18"/>
                <w:szCs w:val="18"/>
              </w:rPr>
              <w:t>8</w:t>
            </w:r>
          </w:p>
        </w:tc>
        <w:tc>
          <w:tcPr>
            <w:tcW w:w="740" w:type="pct"/>
            <w:tcBorders>
              <w:top w:val="nil"/>
              <w:left w:val="nil"/>
              <w:bottom w:val="single" w:sz="4" w:space="0" w:color="auto"/>
              <w:right w:val="nil"/>
            </w:tcBorders>
            <w:noWrap/>
            <w:vAlign w:val="bottom"/>
          </w:tcPr>
          <w:p w:rsidR="00703B2B" w:rsidRPr="00EF1091" w:rsidRDefault="00494055" w:rsidP="001F707B">
            <w:pPr>
              <w:jc w:val="right"/>
              <w:rPr>
                <w:rFonts w:ascii="Arial" w:hAnsi="Arial" w:cs="Arial"/>
                <w:sz w:val="18"/>
                <w:szCs w:val="18"/>
              </w:rPr>
            </w:pPr>
            <w:r w:rsidRPr="008C583A">
              <w:rPr>
                <w:rFonts w:ascii="Arial" w:hAnsi="Arial" w:cs="Arial"/>
                <w:sz w:val="18"/>
                <w:szCs w:val="18"/>
              </w:rPr>
              <w:t>20</w:t>
            </w:r>
            <w:r w:rsidR="001F707B">
              <w:rPr>
                <w:rFonts w:ascii="Arial" w:hAnsi="Arial" w:cs="Arial"/>
                <w:sz w:val="18"/>
                <w:szCs w:val="18"/>
              </w:rPr>
              <w:t>16</w:t>
            </w:r>
            <w:r w:rsidRPr="00FC37BE">
              <w:rPr>
                <w:rFonts w:ascii="Arial" w:hAnsi="Arial" w:cs="Arial"/>
                <w:sz w:val="18"/>
                <w:szCs w:val="18"/>
              </w:rPr>
              <w:t>/1</w:t>
            </w:r>
            <w:r w:rsidR="001F707B">
              <w:rPr>
                <w:rFonts w:ascii="Arial" w:hAnsi="Arial" w:cs="Arial"/>
                <w:sz w:val="18"/>
                <w:szCs w:val="18"/>
              </w:rPr>
              <w:t>7</w:t>
            </w:r>
          </w:p>
        </w:tc>
      </w:tr>
      <w:tr w:rsidR="00703B2B" w:rsidRPr="00314E13" w:rsidTr="001606EE">
        <w:trPr>
          <w:trHeight w:val="255"/>
        </w:trPr>
        <w:tc>
          <w:tcPr>
            <w:tcW w:w="3632" w:type="pct"/>
            <w:tcBorders>
              <w:top w:val="nil"/>
              <w:left w:val="nil"/>
              <w:right w:val="nil"/>
            </w:tcBorders>
            <w:noWrap/>
            <w:vAlign w:val="bottom"/>
          </w:tcPr>
          <w:p w:rsidR="00703B2B" w:rsidRPr="00314E13" w:rsidRDefault="00703B2B" w:rsidP="00073A57">
            <w:pPr>
              <w:rPr>
                <w:rFonts w:ascii="Arial" w:hAnsi="Arial" w:cs="Arial"/>
                <w:b/>
                <w:bCs/>
                <w:sz w:val="18"/>
                <w:szCs w:val="18"/>
              </w:rPr>
            </w:pPr>
            <w:r w:rsidRPr="00314E13">
              <w:rPr>
                <w:rFonts w:ascii="Arial" w:hAnsi="Arial" w:cs="Arial"/>
                <w:b/>
                <w:bCs/>
                <w:sz w:val="18"/>
                <w:szCs w:val="18"/>
              </w:rPr>
              <w:t>Dividends to equity shareholders of the Company</w:t>
            </w:r>
          </w:p>
        </w:tc>
        <w:tc>
          <w:tcPr>
            <w:tcW w:w="628" w:type="pct"/>
            <w:tcBorders>
              <w:top w:val="nil"/>
              <w:left w:val="nil"/>
              <w:right w:val="nil"/>
            </w:tcBorders>
            <w:noWrap/>
            <w:vAlign w:val="bottom"/>
          </w:tcPr>
          <w:p w:rsidR="00703B2B" w:rsidRPr="00C10372" w:rsidRDefault="00703B2B" w:rsidP="003C698C">
            <w:pPr>
              <w:jc w:val="right"/>
              <w:rPr>
                <w:rFonts w:ascii="Arial" w:hAnsi="Arial" w:cs="Arial"/>
                <w:b/>
                <w:sz w:val="18"/>
                <w:szCs w:val="18"/>
              </w:rPr>
            </w:pPr>
          </w:p>
        </w:tc>
        <w:tc>
          <w:tcPr>
            <w:tcW w:w="740" w:type="pct"/>
            <w:tcBorders>
              <w:top w:val="nil"/>
              <w:left w:val="nil"/>
              <w:right w:val="nil"/>
            </w:tcBorders>
            <w:noWrap/>
            <w:vAlign w:val="bottom"/>
          </w:tcPr>
          <w:p w:rsidR="00703B2B" w:rsidRPr="00314E13" w:rsidRDefault="00703B2B" w:rsidP="003C698C">
            <w:pPr>
              <w:jc w:val="right"/>
              <w:rPr>
                <w:rFonts w:ascii="Arial" w:hAnsi="Arial" w:cs="Arial"/>
                <w:sz w:val="18"/>
                <w:szCs w:val="18"/>
              </w:rPr>
            </w:pPr>
          </w:p>
        </w:tc>
      </w:tr>
      <w:tr w:rsidR="001F707B" w:rsidRPr="00073A57" w:rsidTr="001606EE">
        <w:trPr>
          <w:trHeight w:val="480"/>
        </w:trPr>
        <w:tc>
          <w:tcPr>
            <w:tcW w:w="3632" w:type="pct"/>
            <w:tcBorders>
              <w:top w:val="nil"/>
              <w:left w:val="nil"/>
              <w:right w:val="nil"/>
            </w:tcBorders>
            <w:vAlign w:val="bottom"/>
          </w:tcPr>
          <w:p w:rsidR="001F707B" w:rsidRDefault="001F707B" w:rsidP="001F707B">
            <w:pPr>
              <w:rPr>
                <w:rFonts w:ascii="Arial" w:hAnsi="Arial" w:cs="Arial"/>
                <w:sz w:val="18"/>
                <w:szCs w:val="18"/>
              </w:rPr>
            </w:pPr>
            <w:r w:rsidRPr="00AF63D8">
              <w:rPr>
                <w:rFonts w:ascii="Arial" w:hAnsi="Arial" w:cs="Arial"/>
                <w:sz w:val="18"/>
                <w:szCs w:val="18"/>
              </w:rPr>
              <w:t>Ordinary interim dividend fo</w:t>
            </w:r>
            <w:r>
              <w:rPr>
                <w:rFonts w:ascii="Arial" w:hAnsi="Arial" w:cs="Arial"/>
                <w:sz w:val="18"/>
                <w:szCs w:val="18"/>
              </w:rPr>
              <w:t>r the year ended 31 January 2018</w:t>
            </w:r>
            <w:r w:rsidRPr="00AF63D8">
              <w:rPr>
                <w:rFonts w:ascii="Arial" w:hAnsi="Arial" w:cs="Arial"/>
                <w:sz w:val="18"/>
                <w:szCs w:val="18"/>
              </w:rPr>
              <w:t xml:space="preserve"> of </w:t>
            </w:r>
            <w:r w:rsidR="00C10372" w:rsidRPr="00C10372">
              <w:rPr>
                <w:rFonts w:ascii="Arial" w:hAnsi="Arial" w:cs="Arial"/>
                <w:sz w:val="18"/>
                <w:szCs w:val="18"/>
              </w:rPr>
              <w:t>3.33</w:t>
            </w:r>
            <w:r w:rsidRPr="00C10372">
              <w:rPr>
                <w:rFonts w:ascii="Arial" w:hAnsi="Arial" w:cs="Arial"/>
                <w:sz w:val="18"/>
                <w:szCs w:val="18"/>
              </w:rPr>
              <w:t>p</w:t>
            </w:r>
            <w:r>
              <w:rPr>
                <w:rFonts w:ascii="Arial" w:hAnsi="Arial" w:cs="Arial"/>
                <w:sz w:val="18"/>
                <w:szCs w:val="18"/>
              </w:rPr>
              <w:t xml:space="preserve"> per share</w:t>
            </w:r>
          </w:p>
          <w:p w:rsidR="001F707B" w:rsidRPr="00073A57" w:rsidRDefault="001F707B" w:rsidP="001F707B">
            <w:pPr>
              <w:rPr>
                <w:rFonts w:ascii="Arial" w:hAnsi="Arial" w:cs="Arial"/>
                <w:sz w:val="18"/>
                <w:szCs w:val="18"/>
              </w:rPr>
            </w:pPr>
            <w:r>
              <w:rPr>
                <w:rFonts w:ascii="Arial" w:hAnsi="Arial" w:cs="Arial"/>
                <w:sz w:val="18"/>
                <w:szCs w:val="18"/>
              </w:rPr>
              <w:t>(year ended 31 January 2017: 3.25</w:t>
            </w:r>
            <w:r w:rsidRPr="00AF63D8">
              <w:rPr>
                <w:rFonts w:ascii="Arial" w:hAnsi="Arial" w:cs="Arial"/>
                <w:sz w:val="18"/>
                <w:szCs w:val="18"/>
              </w:rPr>
              <w:t>p per share)</w:t>
            </w:r>
          </w:p>
        </w:tc>
        <w:tc>
          <w:tcPr>
            <w:tcW w:w="628" w:type="pct"/>
            <w:tcBorders>
              <w:top w:val="nil"/>
              <w:left w:val="nil"/>
              <w:right w:val="nil"/>
            </w:tcBorders>
            <w:noWrap/>
            <w:vAlign w:val="bottom"/>
          </w:tcPr>
          <w:p w:rsidR="001F707B" w:rsidRPr="00C10372" w:rsidRDefault="00C10372" w:rsidP="001F707B">
            <w:pPr>
              <w:jc w:val="right"/>
              <w:rPr>
                <w:rFonts w:ascii="Arial" w:hAnsi="Arial" w:cs="Arial"/>
                <w:b/>
                <w:sz w:val="18"/>
                <w:szCs w:val="18"/>
              </w:rPr>
            </w:pPr>
            <w:r w:rsidRPr="00C10372">
              <w:rPr>
                <w:rFonts w:ascii="Arial" w:hAnsi="Arial" w:cs="Arial"/>
                <w:b/>
                <w:sz w:val="18"/>
                <w:szCs w:val="18"/>
              </w:rPr>
              <w:t>72</w:t>
            </w:r>
          </w:p>
        </w:tc>
        <w:tc>
          <w:tcPr>
            <w:tcW w:w="740" w:type="pct"/>
            <w:tcBorders>
              <w:top w:val="nil"/>
              <w:left w:val="nil"/>
              <w:right w:val="nil"/>
            </w:tcBorders>
            <w:noWrap/>
            <w:vAlign w:val="bottom"/>
          </w:tcPr>
          <w:p w:rsidR="001F707B" w:rsidRPr="001F707B" w:rsidRDefault="001F707B" w:rsidP="001F707B">
            <w:pPr>
              <w:jc w:val="right"/>
              <w:rPr>
                <w:rFonts w:ascii="Arial" w:hAnsi="Arial" w:cs="Arial"/>
                <w:sz w:val="18"/>
                <w:szCs w:val="18"/>
              </w:rPr>
            </w:pPr>
            <w:r w:rsidRPr="001F707B">
              <w:rPr>
                <w:rFonts w:ascii="Arial" w:hAnsi="Arial" w:cs="Arial"/>
                <w:sz w:val="18"/>
                <w:szCs w:val="18"/>
              </w:rPr>
              <w:t>73</w:t>
            </w:r>
          </w:p>
        </w:tc>
      </w:tr>
      <w:tr w:rsidR="001F707B" w:rsidRPr="00073A57" w:rsidTr="001606EE">
        <w:trPr>
          <w:trHeight w:val="480"/>
        </w:trPr>
        <w:tc>
          <w:tcPr>
            <w:tcW w:w="3632" w:type="pct"/>
            <w:tcBorders>
              <w:top w:val="nil"/>
              <w:left w:val="nil"/>
              <w:bottom w:val="nil"/>
              <w:right w:val="nil"/>
            </w:tcBorders>
            <w:vAlign w:val="bottom"/>
          </w:tcPr>
          <w:p w:rsidR="001F707B" w:rsidRDefault="001F707B" w:rsidP="001F707B">
            <w:pPr>
              <w:rPr>
                <w:rFonts w:ascii="Arial" w:hAnsi="Arial" w:cs="Arial"/>
                <w:sz w:val="18"/>
                <w:szCs w:val="18"/>
              </w:rPr>
            </w:pPr>
            <w:r w:rsidRPr="00AF63D8">
              <w:rPr>
                <w:rFonts w:ascii="Arial" w:hAnsi="Arial" w:cs="Arial"/>
                <w:sz w:val="18"/>
                <w:szCs w:val="18"/>
              </w:rPr>
              <w:t>Ordinary final dividend fo</w:t>
            </w:r>
            <w:r>
              <w:rPr>
                <w:rFonts w:ascii="Arial" w:hAnsi="Arial" w:cs="Arial"/>
                <w:sz w:val="18"/>
                <w:szCs w:val="18"/>
              </w:rPr>
              <w:t>r the year ended 31 January 2017</w:t>
            </w:r>
            <w:r w:rsidRPr="00AF63D8">
              <w:rPr>
                <w:rFonts w:ascii="Arial" w:hAnsi="Arial" w:cs="Arial"/>
                <w:sz w:val="18"/>
                <w:szCs w:val="18"/>
              </w:rPr>
              <w:t xml:space="preserve"> of </w:t>
            </w:r>
            <w:r w:rsidRPr="001F707B">
              <w:rPr>
                <w:rFonts w:ascii="Arial" w:hAnsi="Arial" w:cs="Arial"/>
                <w:sz w:val="18"/>
                <w:szCs w:val="18"/>
              </w:rPr>
              <w:t>7.15p</w:t>
            </w:r>
            <w:r>
              <w:rPr>
                <w:rFonts w:ascii="Arial" w:hAnsi="Arial" w:cs="Arial"/>
                <w:sz w:val="18"/>
                <w:szCs w:val="18"/>
              </w:rPr>
              <w:t xml:space="preserve"> per share</w:t>
            </w:r>
          </w:p>
          <w:p w:rsidR="001F707B" w:rsidRPr="00073A57" w:rsidRDefault="001F707B" w:rsidP="001F707B">
            <w:pPr>
              <w:rPr>
                <w:rFonts w:ascii="Arial" w:hAnsi="Arial" w:cs="Arial"/>
                <w:sz w:val="18"/>
                <w:szCs w:val="18"/>
              </w:rPr>
            </w:pPr>
            <w:r w:rsidRPr="00AF63D8">
              <w:rPr>
                <w:rFonts w:ascii="Arial" w:hAnsi="Arial" w:cs="Arial"/>
                <w:sz w:val="18"/>
                <w:szCs w:val="18"/>
              </w:rPr>
              <w:t>(</w:t>
            </w:r>
            <w:r>
              <w:rPr>
                <w:rFonts w:ascii="Arial" w:hAnsi="Arial" w:cs="Arial"/>
                <w:sz w:val="18"/>
                <w:szCs w:val="18"/>
              </w:rPr>
              <w:t xml:space="preserve">year ended </w:t>
            </w:r>
            <w:r w:rsidRPr="00AF63D8">
              <w:rPr>
                <w:rFonts w:ascii="Arial" w:hAnsi="Arial" w:cs="Arial"/>
                <w:sz w:val="18"/>
                <w:szCs w:val="18"/>
              </w:rPr>
              <w:t>31 January 201</w:t>
            </w:r>
            <w:r>
              <w:rPr>
                <w:rFonts w:ascii="Arial" w:hAnsi="Arial" w:cs="Arial"/>
                <w:sz w:val="18"/>
                <w:szCs w:val="18"/>
              </w:rPr>
              <w:t>6: 6.92</w:t>
            </w:r>
            <w:r w:rsidRPr="00AF63D8">
              <w:rPr>
                <w:rFonts w:ascii="Arial" w:hAnsi="Arial" w:cs="Arial"/>
                <w:sz w:val="18"/>
                <w:szCs w:val="18"/>
              </w:rPr>
              <w:t>p per share)</w:t>
            </w:r>
          </w:p>
        </w:tc>
        <w:tc>
          <w:tcPr>
            <w:tcW w:w="628" w:type="pct"/>
            <w:tcBorders>
              <w:top w:val="nil"/>
              <w:left w:val="nil"/>
              <w:bottom w:val="nil"/>
              <w:right w:val="nil"/>
            </w:tcBorders>
            <w:noWrap/>
            <w:vAlign w:val="bottom"/>
          </w:tcPr>
          <w:p w:rsidR="001F707B" w:rsidRPr="00C10372" w:rsidRDefault="001F707B" w:rsidP="001F707B">
            <w:pPr>
              <w:jc w:val="right"/>
              <w:rPr>
                <w:rFonts w:ascii="Arial" w:hAnsi="Arial" w:cs="Arial"/>
                <w:b/>
                <w:sz w:val="18"/>
                <w:szCs w:val="18"/>
              </w:rPr>
            </w:pPr>
            <w:r w:rsidRPr="00C10372">
              <w:rPr>
                <w:rFonts w:ascii="Arial" w:hAnsi="Arial" w:cs="Arial"/>
                <w:b/>
                <w:sz w:val="18"/>
                <w:szCs w:val="18"/>
              </w:rPr>
              <w:t>159</w:t>
            </w:r>
          </w:p>
        </w:tc>
        <w:tc>
          <w:tcPr>
            <w:tcW w:w="740" w:type="pct"/>
            <w:tcBorders>
              <w:top w:val="nil"/>
              <w:left w:val="nil"/>
              <w:bottom w:val="nil"/>
              <w:right w:val="nil"/>
            </w:tcBorders>
            <w:noWrap/>
            <w:vAlign w:val="bottom"/>
          </w:tcPr>
          <w:p w:rsidR="001F707B" w:rsidRPr="001F707B" w:rsidRDefault="001F707B" w:rsidP="001F707B">
            <w:pPr>
              <w:jc w:val="right"/>
              <w:rPr>
                <w:rFonts w:ascii="Arial" w:hAnsi="Arial" w:cs="Arial"/>
                <w:sz w:val="18"/>
                <w:szCs w:val="18"/>
              </w:rPr>
            </w:pPr>
            <w:r w:rsidRPr="001F707B">
              <w:rPr>
                <w:rFonts w:ascii="Arial" w:hAnsi="Arial" w:cs="Arial"/>
                <w:sz w:val="18"/>
                <w:szCs w:val="18"/>
              </w:rPr>
              <w:t>157</w:t>
            </w:r>
          </w:p>
        </w:tc>
      </w:tr>
      <w:tr w:rsidR="001F707B" w:rsidRPr="00314E13" w:rsidTr="001606EE">
        <w:trPr>
          <w:trHeight w:val="255"/>
        </w:trPr>
        <w:tc>
          <w:tcPr>
            <w:tcW w:w="3632" w:type="pct"/>
            <w:tcBorders>
              <w:top w:val="single" w:sz="4" w:space="0" w:color="auto"/>
              <w:left w:val="nil"/>
              <w:bottom w:val="single" w:sz="12" w:space="0" w:color="auto"/>
              <w:right w:val="nil"/>
            </w:tcBorders>
            <w:noWrap/>
            <w:vAlign w:val="bottom"/>
          </w:tcPr>
          <w:p w:rsidR="001F707B" w:rsidRPr="00073A57" w:rsidRDefault="001F707B" w:rsidP="001F707B">
            <w:pPr>
              <w:rPr>
                <w:rFonts w:ascii="Arial" w:hAnsi="Arial" w:cs="Arial"/>
                <w:sz w:val="18"/>
                <w:szCs w:val="18"/>
              </w:rPr>
            </w:pPr>
            <w:r w:rsidRPr="00073A57">
              <w:rPr>
                <w:rFonts w:ascii="Arial" w:hAnsi="Arial" w:cs="Arial"/>
                <w:sz w:val="18"/>
                <w:szCs w:val="18"/>
              </w:rPr>
              <w:t> </w:t>
            </w:r>
          </w:p>
        </w:tc>
        <w:tc>
          <w:tcPr>
            <w:tcW w:w="628" w:type="pct"/>
            <w:tcBorders>
              <w:top w:val="single" w:sz="4" w:space="0" w:color="auto"/>
              <w:left w:val="nil"/>
              <w:bottom w:val="single" w:sz="12" w:space="0" w:color="auto"/>
              <w:right w:val="nil"/>
            </w:tcBorders>
            <w:noWrap/>
            <w:vAlign w:val="bottom"/>
          </w:tcPr>
          <w:p w:rsidR="001F707B" w:rsidRPr="00C10372" w:rsidRDefault="00C10372" w:rsidP="001F707B">
            <w:pPr>
              <w:jc w:val="right"/>
              <w:rPr>
                <w:rFonts w:ascii="Arial" w:hAnsi="Arial" w:cs="Arial"/>
                <w:b/>
                <w:sz w:val="18"/>
                <w:szCs w:val="18"/>
              </w:rPr>
            </w:pPr>
            <w:r w:rsidRPr="00C10372">
              <w:rPr>
                <w:rFonts w:ascii="Arial" w:hAnsi="Arial" w:cs="Arial"/>
                <w:b/>
                <w:sz w:val="18"/>
                <w:szCs w:val="18"/>
              </w:rPr>
              <w:t>231</w:t>
            </w:r>
          </w:p>
        </w:tc>
        <w:tc>
          <w:tcPr>
            <w:tcW w:w="740" w:type="pct"/>
            <w:tcBorders>
              <w:top w:val="single" w:sz="4" w:space="0" w:color="auto"/>
              <w:left w:val="nil"/>
              <w:bottom w:val="single" w:sz="12" w:space="0" w:color="auto"/>
              <w:right w:val="nil"/>
            </w:tcBorders>
            <w:noWrap/>
            <w:vAlign w:val="bottom"/>
          </w:tcPr>
          <w:p w:rsidR="001F707B" w:rsidRPr="001F707B" w:rsidRDefault="001F707B" w:rsidP="001F707B">
            <w:pPr>
              <w:jc w:val="right"/>
              <w:rPr>
                <w:rFonts w:ascii="Arial" w:hAnsi="Arial" w:cs="Arial"/>
                <w:sz w:val="18"/>
                <w:szCs w:val="18"/>
              </w:rPr>
            </w:pPr>
            <w:r w:rsidRPr="001F707B">
              <w:rPr>
                <w:rFonts w:ascii="Arial" w:hAnsi="Arial" w:cs="Arial"/>
                <w:sz w:val="18"/>
                <w:szCs w:val="18"/>
              </w:rPr>
              <w:t>230</w:t>
            </w:r>
          </w:p>
        </w:tc>
      </w:tr>
    </w:tbl>
    <w:p w:rsidR="00703B2B" w:rsidRPr="00314E13" w:rsidRDefault="00703B2B" w:rsidP="00703B2B">
      <w:pPr>
        <w:rPr>
          <w:rFonts w:ascii="Arial" w:hAnsi="Arial" w:cs="Arial"/>
          <w:sz w:val="18"/>
          <w:szCs w:val="18"/>
        </w:rPr>
      </w:pPr>
    </w:p>
    <w:p w:rsidR="00703B2B" w:rsidRPr="00EF1091" w:rsidRDefault="00AF63D8" w:rsidP="00BA0967">
      <w:pPr>
        <w:pStyle w:val="BodyText3"/>
        <w:jc w:val="both"/>
        <w:rPr>
          <w:rFonts w:ascii="Arial" w:hAnsi="Arial" w:cs="Arial"/>
          <w:color w:val="auto"/>
          <w:szCs w:val="18"/>
        </w:rPr>
      </w:pPr>
      <w:r w:rsidRPr="00AF63D8">
        <w:rPr>
          <w:rFonts w:ascii="Arial" w:hAnsi="Arial" w:cs="Arial"/>
          <w:color w:val="auto"/>
          <w:szCs w:val="18"/>
        </w:rPr>
        <w:t>The proposed final dividend fo</w:t>
      </w:r>
      <w:r w:rsidR="00494055">
        <w:rPr>
          <w:rFonts w:ascii="Arial" w:hAnsi="Arial" w:cs="Arial"/>
          <w:color w:val="auto"/>
          <w:szCs w:val="18"/>
        </w:rPr>
        <w:t>r the year ended 31 January 201</w:t>
      </w:r>
      <w:r w:rsidR="001F707B">
        <w:rPr>
          <w:rFonts w:ascii="Arial" w:hAnsi="Arial" w:cs="Arial"/>
          <w:color w:val="auto"/>
          <w:szCs w:val="18"/>
        </w:rPr>
        <w:t>8</w:t>
      </w:r>
      <w:r w:rsidR="00B4663A">
        <w:rPr>
          <w:rFonts w:ascii="Arial" w:hAnsi="Arial" w:cs="Arial"/>
          <w:color w:val="auto"/>
          <w:szCs w:val="18"/>
        </w:rPr>
        <w:t xml:space="preserve"> of </w:t>
      </w:r>
      <w:r w:rsidR="00B1135B">
        <w:rPr>
          <w:rFonts w:ascii="Arial" w:hAnsi="Arial" w:cs="Arial"/>
          <w:color w:val="auto"/>
          <w:szCs w:val="18"/>
        </w:rPr>
        <w:t>7.4</w:t>
      </w:r>
      <w:r w:rsidR="00344DA2">
        <w:rPr>
          <w:rFonts w:ascii="Arial" w:hAnsi="Arial" w:cs="Arial"/>
          <w:color w:val="auto"/>
          <w:szCs w:val="18"/>
        </w:rPr>
        <w:t>9</w:t>
      </w:r>
      <w:r w:rsidR="00B1135B">
        <w:rPr>
          <w:rFonts w:ascii="Arial" w:hAnsi="Arial" w:cs="Arial"/>
          <w:color w:val="auto"/>
          <w:szCs w:val="18"/>
        </w:rPr>
        <w:t>p</w:t>
      </w:r>
      <w:r w:rsidRPr="00AF63D8">
        <w:rPr>
          <w:rFonts w:ascii="Arial" w:hAnsi="Arial" w:cs="Arial"/>
          <w:color w:val="auto"/>
          <w:szCs w:val="18"/>
        </w:rPr>
        <w:t xml:space="preserve"> per </w:t>
      </w:r>
      <w:r w:rsidR="00FA6DC8">
        <w:rPr>
          <w:rFonts w:ascii="Arial" w:hAnsi="Arial" w:cs="Arial"/>
          <w:color w:val="auto"/>
          <w:szCs w:val="18"/>
        </w:rPr>
        <w:t xml:space="preserve">ordinary </w:t>
      </w:r>
      <w:r w:rsidRPr="00AF63D8">
        <w:rPr>
          <w:rFonts w:ascii="Arial" w:hAnsi="Arial" w:cs="Arial"/>
          <w:color w:val="auto"/>
          <w:szCs w:val="18"/>
        </w:rPr>
        <w:t xml:space="preserve">share </w:t>
      </w:r>
      <w:r w:rsidR="00A96339" w:rsidRPr="00FA21A3">
        <w:rPr>
          <w:rFonts w:ascii="Arial" w:hAnsi="Arial" w:cs="Arial"/>
          <w:color w:val="auto"/>
          <w:szCs w:val="18"/>
        </w:rPr>
        <w:t>(amounting to £162m, based on the issued share capital at year end)</w:t>
      </w:r>
      <w:r w:rsidR="00A96339" w:rsidRPr="00FA6DC8" w:rsidDel="00A96339">
        <w:rPr>
          <w:rFonts w:ascii="Arial" w:hAnsi="Arial" w:cs="Arial"/>
          <w:color w:val="auto"/>
          <w:szCs w:val="18"/>
        </w:rPr>
        <w:t xml:space="preserve"> </w:t>
      </w:r>
      <w:r w:rsidRPr="00AF63D8">
        <w:rPr>
          <w:rFonts w:ascii="Arial" w:hAnsi="Arial" w:cs="Arial"/>
          <w:color w:val="auto"/>
          <w:szCs w:val="18"/>
        </w:rPr>
        <w:t>is subject to approval by shareholders at the Annual General Meeting and has not been included as a liability</w:t>
      </w:r>
      <w:r w:rsidR="00D61AF8">
        <w:rPr>
          <w:rFonts w:ascii="Arial" w:hAnsi="Arial" w:cs="Arial"/>
          <w:color w:val="auto"/>
          <w:szCs w:val="18"/>
        </w:rPr>
        <w:t xml:space="preserve"> in the financial statements</w:t>
      </w:r>
      <w:r w:rsidRPr="00AF63D8">
        <w:rPr>
          <w:rFonts w:ascii="Arial" w:hAnsi="Arial" w:cs="Arial"/>
          <w:color w:val="auto"/>
          <w:szCs w:val="18"/>
        </w:rPr>
        <w:t>.</w:t>
      </w:r>
    </w:p>
    <w:p w:rsidR="00417AA7" w:rsidRPr="00D06092" w:rsidRDefault="000B05B7" w:rsidP="00BA0967">
      <w:pPr>
        <w:pStyle w:val="Heading1"/>
        <w:ind w:left="-709"/>
        <w:rPr>
          <w:rFonts w:ascii="Arial" w:hAnsi="Arial" w:cs="Arial"/>
          <w:szCs w:val="18"/>
        </w:rPr>
      </w:pPr>
      <w:r>
        <w:rPr>
          <w:rFonts w:ascii="Arial" w:hAnsi="Arial" w:cs="Arial"/>
          <w:szCs w:val="18"/>
        </w:rPr>
        <w:br w:type="page"/>
      </w:r>
      <w:r w:rsidR="00F5490C" w:rsidRPr="00D06092">
        <w:rPr>
          <w:rFonts w:ascii="Arial" w:hAnsi="Arial" w:cs="Arial"/>
          <w:szCs w:val="18"/>
        </w:rPr>
        <w:lastRenderedPageBreak/>
        <w:t xml:space="preserve"> </w:t>
      </w:r>
      <w:r w:rsidR="00F764F7" w:rsidRPr="00237C1D">
        <w:rPr>
          <w:rFonts w:ascii="Arial" w:hAnsi="Arial" w:cs="Arial"/>
          <w:szCs w:val="18"/>
        </w:rPr>
        <w:t>9</w:t>
      </w:r>
      <w:r w:rsidR="00063837" w:rsidRPr="00237C1D">
        <w:rPr>
          <w:rFonts w:ascii="Arial" w:hAnsi="Arial" w:cs="Arial"/>
          <w:szCs w:val="18"/>
        </w:rPr>
        <w:tab/>
      </w:r>
      <w:r w:rsidR="00417AA7" w:rsidRPr="00237C1D">
        <w:rPr>
          <w:rFonts w:ascii="Arial" w:hAnsi="Arial" w:cs="Arial"/>
          <w:szCs w:val="18"/>
        </w:rPr>
        <w:t>Post</w:t>
      </w:r>
      <w:r w:rsidR="00C7725C" w:rsidRPr="00237C1D">
        <w:rPr>
          <w:rFonts w:ascii="Arial" w:hAnsi="Arial" w:cs="Arial"/>
          <w:szCs w:val="18"/>
        </w:rPr>
        <w:t>-</w:t>
      </w:r>
      <w:r w:rsidR="00417AA7" w:rsidRPr="00237C1D">
        <w:rPr>
          <w:rFonts w:ascii="Arial" w:hAnsi="Arial" w:cs="Arial"/>
          <w:szCs w:val="18"/>
        </w:rPr>
        <w:t>employment benefits</w:t>
      </w:r>
    </w:p>
    <w:p w:rsidR="003F63F2" w:rsidRDefault="003F63F2" w:rsidP="00192C71">
      <w:pPr>
        <w:rPr>
          <w:rFonts w:ascii="Arial" w:hAnsi="Arial" w:cs="Arial"/>
          <w:sz w:val="18"/>
          <w:szCs w:val="18"/>
        </w:rPr>
      </w:pPr>
    </w:p>
    <w:tbl>
      <w:tblPr>
        <w:tblW w:w="5010" w:type="pct"/>
        <w:tblLayout w:type="fixed"/>
        <w:tblLook w:val="0000" w:firstRow="0" w:lastRow="0" w:firstColumn="0" w:lastColumn="0" w:noHBand="0" w:noVBand="0"/>
      </w:tblPr>
      <w:tblGrid>
        <w:gridCol w:w="4184"/>
        <w:gridCol w:w="919"/>
        <w:gridCol w:w="993"/>
        <w:gridCol w:w="807"/>
        <w:gridCol w:w="804"/>
        <w:gridCol w:w="1136"/>
        <w:gridCol w:w="815"/>
      </w:tblGrid>
      <w:tr w:rsidR="0056367A" w:rsidRPr="00D83C7E" w:rsidTr="001606EE">
        <w:trPr>
          <w:trHeight w:val="255"/>
        </w:trPr>
        <w:tc>
          <w:tcPr>
            <w:tcW w:w="2166" w:type="pct"/>
            <w:tcBorders>
              <w:top w:val="nil"/>
              <w:left w:val="nil"/>
              <w:bottom w:val="nil"/>
              <w:right w:val="nil"/>
            </w:tcBorders>
            <w:noWrap/>
            <w:vAlign w:val="bottom"/>
          </w:tcPr>
          <w:p w:rsidR="0056367A" w:rsidRPr="00D83C7E" w:rsidRDefault="0056367A" w:rsidP="00645FF3">
            <w:pPr>
              <w:rPr>
                <w:rFonts w:ascii="Arial" w:hAnsi="Arial" w:cs="Arial"/>
                <w:sz w:val="18"/>
                <w:szCs w:val="18"/>
              </w:rPr>
            </w:pPr>
          </w:p>
        </w:tc>
        <w:tc>
          <w:tcPr>
            <w:tcW w:w="1408" w:type="pct"/>
            <w:gridSpan w:val="3"/>
            <w:tcBorders>
              <w:top w:val="nil"/>
              <w:left w:val="nil"/>
              <w:bottom w:val="single" w:sz="4" w:space="0" w:color="auto"/>
              <w:right w:val="nil"/>
            </w:tcBorders>
            <w:noWrap/>
            <w:vAlign w:val="bottom"/>
          </w:tcPr>
          <w:p w:rsidR="002E3A5E" w:rsidRPr="00EF1091" w:rsidRDefault="0023662D" w:rsidP="00A93726">
            <w:pPr>
              <w:jc w:val="right"/>
              <w:rPr>
                <w:rFonts w:ascii="Arial" w:hAnsi="Arial" w:cs="Arial"/>
                <w:sz w:val="18"/>
                <w:szCs w:val="18"/>
              </w:rPr>
            </w:pPr>
            <w:r>
              <w:rPr>
                <w:rFonts w:ascii="Arial" w:hAnsi="Arial" w:cs="Arial"/>
                <w:sz w:val="18"/>
                <w:szCs w:val="18"/>
              </w:rPr>
              <w:t>201</w:t>
            </w:r>
            <w:r w:rsidR="00A93726">
              <w:rPr>
                <w:rFonts w:ascii="Arial" w:hAnsi="Arial" w:cs="Arial"/>
                <w:sz w:val="18"/>
                <w:szCs w:val="18"/>
              </w:rPr>
              <w:t>7</w:t>
            </w:r>
            <w:r w:rsidR="0056367A">
              <w:rPr>
                <w:rFonts w:ascii="Arial" w:hAnsi="Arial" w:cs="Arial"/>
                <w:sz w:val="18"/>
                <w:szCs w:val="18"/>
              </w:rPr>
              <w:t>/1</w:t>
            </w:r>
            <w:r w:rsidR="00A93726">
              <w:rPr>
                <w:rFonts w:ascii="Arial" w:hAnsi="Arial" w:cs="Arial"/>
                <w:sz w:val="18"/>
                <w:szCs w:val="18"/>
              </w:rPr>
              <w:t>8</w:t>
            </w:r>
          </w:p>
        </w:tc>
        <w:tc>
          <w:tcPr>
            <w:tcW w:w="1426" w:type="pct"/>
            <w:gridSpan w:val="3"/>
            <w:tcBorders>
              <w:top w:val="nil"/>
              <w:left w:val="nil"/>
              <w:bottom w:val="single" w:sz="4" w:space="0" w:color="auto"/>
              <w:right w:val="nil"/>
            </w:tcBorders>
            <w:noWrap/>
            <w:vAlign w:val="bottom"/>
          </w:tcPr>
          <w:p w:rsidR="002E3A5E" w:rsidRPr="00EF1091" w:rsidRDefault="00A93726" w:rsidP="00A93726">
            <w:pPr>
              <w:jc w:val="right"/>
              <w:rPr>
                <w:rFonts w:ascii="Arial" w:hAnsi="Arial" w:cs="Arial"/>
                <w:sz w:val="18"/>
                <w:szCs w:val="18"/>
              </w:rPr>
            </w:pPr>
            <w:r>
              <w:rPr>
                <w:rFonts w:ascii="Arial" w:hAnsi="Arial" w:cs="Arial"/>
                <w:sz w:val="18"/>
                <w:szCs w:val="18"/>
              </w:rPr>
              <w:t>2016</w:t>
            </w:r>
            <w:r w:rsidR="00A16DC9">
              <w:rPr>
                <w:rFonts w:ascii="Arial" w:hAnsi="Arial" w:cs="Arial"/>
                <w:sz w:val="18"/>
                <w:szCs w:val="18"/>
              </w:rPr>
              <w:t>/1</w:t>
            </w:r>
            <w:r>
              <w:rPr>
                <w:rFonts w:ascii="Arial" w:hAnsi="Arial" w:cs="Arial"/>
                <w:sz w:val="18"/>
                <w:szCs w:val="18"/>
              </w:rPr>
              <w:t>7</w:t>
            </w:r>
          </w:p>
        </w:tc>
      </w:tr>
      <w:tr w:rsidR="00C9319D" w:rsidRPr="00D83C7E" w:rsidTr="00A93726">
        <w:trPr>
          <w:trHeight w:val="240"/>
        </w:trPr>
        <w:tc>
          <w:tcPr>
            <w:tcW w:w="2166" w:type="pct"/>
            <w:tcBorders>
              <w:top w:val="nil"/>
              <w:left w:val="nil"/>
              <w:bottom w:val="nil"/>
              <w:right w:val="nil"/>
            </w:tcBorders>
            <w:noWrap/>
            <w:vAlign w:val="bottom"/>
          </w:tcPr>
          <w:p w:rsidR="003F63F2" w:rsidRPr="00D83C7E" w:rsidRDefault="003F63F2" w:rsidP="00645FF3">
            <w:pPr>
              <w:rPr>
                <w:rFonts w:ascii="Arial" w:hAnsi="Arial" w:cs="Arial"/>
                <w:sz w:val="18"/>
                <w:szCs w:val="18"/>
              </w:rPr>
            </w:pPr>
            <w:r w:rsidRPr="00D83C7E">
              <w:rPr>
                <w:rFonts w:ascii="Arial" w:hAnsi="Arial" w:cs="Arial"/>
                <w:sz w:val="18"/>
                <w:szCs w:val="18"/>
              </w:rPr>
              <w:t>£ millions</w:t>
            </w:r>
          </w:p>
        </w:tc>
        <w:tc>
          <w:tcPr>
            <w:tcW w:w="476" w:type="pct"/>
            <w:tcBorders>
              <w:top w:val="nil"/>
              <w:left w:val="nil"/>
              <w:bottom w:val="single" w:sz="4" w:space="0" w:color="auto"/>
              <w:right w:val="nil"/>
            </w:tcBorders>
            <w:noWrap/>
            <w:vAlign w:val="bottom"/>
          </w:tcPr>
          <w:p w:rsidR="003F63F2" w:rsidRPr="00D83C7E" w:rsidRDefault="003F63F2" w:rsidP="00645FF3">
            <w:pPr>
              <w:jc w:val="right"/>
              <w:rPr>
                <w:rFonts w:ascii="Arial" w:hAnsi="Arial" w:cs="Arial"/>
                <w:sz w:val="18"/>
                <w:szCs w:val="18"/>
              </w:rPr>
            </w:pPr>
            <w:smartTag w:uri="urn:schemas-microsoft-com:office:smarttags" w:element="place">
              <w:smartTag w:uri="urn:schemas-microsoft-com:office:smarttags" w:element="country-region">
                <w:r w:rsidRPr="00D83C7E">
                  <w:rPr>
                    <w:rFonts w:ascii="Arial" w:hAnsi="Arial" w:cs="Arial"/>
                    <w:sz w:val="18"/>
                    <w:szCs w:val="18"/>
                  </w:rPr>
                  <w:t>UK</w:t>
                </w:r>
              </w:smartTag>
            </w:smartTag>
          </w:p>
        </w:tc>
        <w:tc>
          <w:tcPr>
            <w:tcW w:w="514" w:type="pct"/>
            <w:tcBorders>
              <w:top w:val="nil"/>
              <w:left w:val="nil"/>
              <w:bottom w:val="single" w:sz="4" w:space="0" w:color="auto"/>
              <w:right w:val="nil"/>
            </w:tcBorders>
            <w:noWrap/>
            <w:vAlign w:val="bottom"/>
          </w:tcPr>
          <w:p w:rsidR="003F63F2" w:rsidRPr="00D83C7E" w:rsidRDefault="009B491D" w:rsidP="00645FF3">
            <w:pPr>
              <w:jc w:val="right"/>
              <w:rPr>
                <w:rFonts w:ascii="Arial" w:hAnsi="Arial" w:cs="Arial"/>
                <w:sz w:val="18"/>
                <w:szCs w:val="18"/>
              </w:rPr>
            </w:pPr>
            <w:r>
              <w:rPr>
                <w:rFonts w:ascii="Arial" w:hAnsi="Arial" w:cs="Arial"/>
                <w:sz w:val="18"/>
                <w:szCs w:val="18"/>
              </w:rPr>
              <w:t>Overseas</w:t>
            </w:r>
          </w:p>
        </w:tc>
        <w:tc>
          <w:tcPr>
            <w:tcW w:w="418" w:type="pct"/>
            <w:tcBorders>
              <w:top w:val="nil"/>
              <w:left w:val="nil"/>
              <w:bottom w:val="single" w:sz="4" w:space="0" w:color="auto"/>
              <w:right w:val="nil"/>
            </w:tcBorders>
            <w:noWrap/>
            <w:vAlign w:val="bottom"/>
          </w:tcPr>
          <w:p w:rsidR="003F63F2" w:rsidRPr="00D83C7E" w:rsidRDefault="003F63F2" w:rsidP="00645FF3">
            <w:pPr>
              <w:jc w:val="right"/>
              <w:rPr>
                <w:rFonts w:ascii="Arial" w:hAnsi="Arial" w:cs="Arial"/>
                <w:sz w:val="18"/>
                <w:szCs w:val="18"/>
              </w:rPr>
            </w:pPr>
            <w:r w:rsidRPr="00D83C7E">
              <w:rPr>
                <w:rFonts w:ascii="Arial" w:hAnsi="Arial" w:cs="Arial"/>
                <w:sz w:val="18"/>
                <w:szCs w:val="18"/>
              </w:rPr>
              <w:t>Total</w:t>
            </w:r>
          </w:p>
        </w:tc>
        <w:tc>
          <w:tcPr>
            <w:tcW w:w="416" w:type="pct"/>
            <w:tcBorders>
              <w:top w:val="nil"/>
              <w:left w:val="nil"/>
              <w:bottom w:val="single" w:sz="4" w:space="0" w:color="auto"/>
              <w:right w:val="nil"/>
            </w:tcBorders>
            <w:noWrap/>
            <w:vAlign w:val="bottom"/>
          </w:tcPr>
          <w:p w:rsidR="003F63F2" w:rsidRPr="00D83C7E" w:rsidRDefault="003F63F2" w:rsidP="00645FF3">
            <w:pPr>
              <w:jc w:val="right"/>
              <w:rPr>
                <w:rFonts w:ascii="Arial" w:hAnsi="Arial" w:cs="Arial"/>
                <w:sz w:val="18"/>
                <w:szCs w:val="18"/>
              </w:rPr>
            </w:pPr>
            <w:smartTag w:uri="urn:schemas-microsoft-com:office:smarttags" w:element="place">
              <w:smartTag w:uri="urn:schemas-microsoft-com:office:smarttags" w:element="country-region">
                <w:r w:rsidRPr="00D83C7E">
                  <w:rPr>
                    <w:rFonts w:ascii="Arial" w:hAnsi="Arial" w:cs="Arial"/>
                    <w:sz w:val="18"/>
                    <w:szCs w:val="18"/>
                  </w:rPr>
                  <w:t>UK</w:t>
                </w:r>
              </w:smartTag>
            </w:smartTag>
          </w:p>
        </w:tc>
        <w:tc>
          <w:tcPr>
            <w:tcW w:w="588" w:type="pct"/>
            <w:tcBorders>
              <w:top w:val="nil"/>
              <w:left w:val="nil"/>
              <w:bottom w:val="single" w:sz="4" w:space="0" w:color="auto"/>
              <w:right w:val="nil"/>
            </w:tcBorders>
            <w:noWrap/>
            <w:vAlign w:val="bottom"/>
          </w:tcPr>
          <w:p w:rsidR="003F63F2" w:rsidRPr="00D83C7E" w:rsidRDefault="009B491D" w:rsidP="00645FF3">
            <w:pPr>
              <w:jc w:val="right"/>
              <w:rPr>
                <w:rFonts w:ascii="Arial" w:hAnsi="Arial" w:cs="Arial"/>
                <w:sz w:val="18"/>
                <w:szCs w:val="18"/>
              </w:rPr>
            </w:pPr>
            <w:r>
              <w:rPr>
                <w:rFonts w:ascii="Arial" w:hAnsi="Arial" w:cs="Arial"/>
                <w:sz w:val="18"/>
                <w:szCs w:val="18"/>
              </w:rPr>
              <w:t>Overseas</w:t>
            </w:r>
          </w:p>
        </w:tc>
        <w:tc>
          <w:tcPr>
            <w:tcW w:w="422" w:type="pct"/>
            <w:tcBorders>
              <w:top w:val="nil"/>
              <w:left w:val="nil"/>
              <w:bottom w:val="single" w:sz="4" w:space="0" w:color="auto"/>
              <w:right w:val="nil"/>
            </w:tcBorders>
            <w:noWrap/>
            <w:vAlign w:val="bottom"/>
          </w:tcPr>
          <w:p w:rsidR="003F63F2" w:rsidRPr="00D83C7E" w:rsidRDefault="003F63F2" w:rsidP="00645FF3">
            <w:pPr>
              <w:jc w:val="right"/>
              <w:rPr>
                <w:rFonts w:ascii="Arial" w:hAnsi="Arial" w:cs="Arial"/>
                <w:sz w:val="18"/>
                <w:szCs w:val="18"/>
              </w:rPr>
            </w:pPr>
            <w:r w:rsidRPr="00D83C7E">
              <w:rPr>
                <w:rFonts w:ascii="Arial" w:hAnsi="Arial" w:cs="Arial"/>
                <w:sz w:val="18"/>
                <w:szCs w:val="18"/>
              </w:rPr>
              <w:t>Total</w:t>
            </w:r>
          </w:p>
        </w:tc>
      </w:tr>
      <w:tr w:rsidR="00A93726" w:rsidRPr="003D431A" w:rsidTr="00A93726">
        <w:trPr>
          <w:trHeight w:val="240"/>
        </w:trPr>
        <w:tc>
          <w:tcPr>
            <w:tcW w:w="2166" w:type="pct"/>
            <w:tcBorders>
              <w:top w:val="single" w:sz="4" w:space="0" w:color="auto"/>
              <w:left w:val="nil"/>
              <w:bottom w:val="nil"/>
              <w:right w:val="nil"/>
            </w:tcBorders>
            <w:noWrap/>
            <w:vAlign w:val="bottom"/>
          </w:tcPr>
          <w:p w:rsidR="00A93726" w:rsidRPr="00443469" w:rsidRDefault="00A93726" w:rsidP="00A93726">
            <w:pPr>
              <w:rPr>
                <w:rFonts w:ascii="Arial" w:hAnsi="Arial" w:cs="Arial"/>
                <w:b/>
                <w:sz w:val="18"/>
                <w:szCs w:val="18"/>
              </w:rPr>
            </w:pPr>
            <w:r>
              <w:rPr>
                <w:rFonts w:ascii="Arial" w:hAnsi="Arial" w:cs="Arial"/>
                <w:b/>
                <w:sz w:val="18"/>
                <w:szCs w:val="18"/>
              </w:rPr>
              <w:t>Net surplus/(deficit) in schemes</w:t>
            </w:r>
            <w:r>
              <w:rPr>
                <w:rFonts w:ascii="Arial" w:hAnsi="Arial" w:cs="Arial"/>
                <w:b/>
                <w:sz w:val="18"/>
                <w:szCs w:val="18"/>
              </w:rPr>
              <w:br/>
            </w:r>
            <w:r w:rsidRPr="00443469">
              <w:rPr>
                <w:rFonts w:ascii="Arial" w:hAnsi="Arial" w:cs="Arial"/>
                <w:b/>
                <w:sz w:val="18"/>
                <w:szCs w:val="18"/>
              </w:rPr>
              <w:t>at beginning of year</w:t>
            </w:r>
          </w:p>
        </w:tc>
        <w:tc>
          <w:tcPr>
            <w:tcW w:w="476"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239</w:t>
            </w:r>
          </w:p>
        </w:tc>
        <w:tc>
          <w:tcPr>
            <w:tcW w:w="514"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(108)</w:t>
            </w:r>
          </w:p>
        </w:tc>
        <w:tc>
          <w:tcPr>
            <w:tcW w:w="418"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131</w:t>
            </w:r>
          </w:p>
        </w:tc>
        <w:tc>
          <w:tcPr>
            <w:tcW w:w="416"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246</w:t>
            </w:r>
          </w:p>
        </w:tc>
        <w:tc>
          <w:tcPr>
            <w:tcW w:w="588"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(87)</w:t>
            </w:r>
          </w:p>
        </w:tc>
        <w:tc>
          <w:tcPr>
            <w:tcW w:w="422"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159</w:t>
            </w:r>
          </w:p>
        </w:tc>
      </w:tr>
      <w:tr w:rsidR="00A93726" w:rsidRPr="003D431A" w:rsidTr="00A93726">
        <w:trPr>
          <w:trHeight w:val="240"/>
        </w:trPr>
        <w:tc>
          <w:tcPr>
            <w:tcW w:w="2166" w:type="pct"/>
            <w:tcBorders>
              <w:top w:val="nil"/>
              <w:left w:val="nil"/>
              <w:bottom w:val="nil"/>
              <w:right w:val="nil"/>
            </w:tcBorders>
            <w:noWrap/>
            <w:vAlign w:val="bottom"/>
          </w:tcPr>
          <w:p w:rsidR="00A93726" w:rsidRDefault="00A93726" w:rsidP="00A93726">
            <w:pPr>
              <w:rPr>
                <w:rFonts w:ascii="Arial" w:hAnsi="Arial" w:cs="Arial"/>
                <w:sz w:val="18"/>
                <w:szCs w:val="18"/>
              </w:rPr>
            </w:pPr>
            <w:r>
              <w:rPr>
                <w:rFonts w:ascii="Arial" w:hAnsi="Arial" w:cs="Arial"/>
                <w:sz w:val="18"/>
                <w:szCs w:val="18"/>
              </w:rPr>
              <w:t>Current service cost</w:t>
            </w:r>
          </w:p>
        </w:tc>
        <w:tc>
          <w:tcPr>
            <w:tcW w:w="476"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(2)</w:t>
            </w:r>
          </w:p>
        </w:tc>
        <w:tc>
          <w:tcPr>
            <w:tcW w:w="514"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(9)</w:t>
            </w:r>
          </w:p>
        </w:tc>
        <w:tc>
          <w:tcPr>
            <w:tcW w:w="418"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(11)</w:t>
            </w:r>
          </w:p>
        </w:tc>
        <w:tc>
          <w:tcPr>
            <w:tcW w:w="416"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(2)</w:t>
            </w:r>
          </w:p>
        </w:tc>
        <w:tc>
          <w:tcPr>
            <w:tcW w:w="588"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(7)</w:t>
            </w:r>
          </w:p>
        </w:tc>
        <w:tc>
          <w:tcPr>
            <w:tcW w:w="422"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(9)</w:t>
            </w:r>
          </w:p>
        </w:tc>
      </w:tr>
      <w:tr w:rsidR="00A93726" w:rsidRPr="003D431A" w:rsidTr="00A93726">
        <w:trPr>
          <w:trHeight w:val="240"/>
        </w:trPr>
        <w:tc>
          <w:tcPr>
            <w:tcW w:w="2166" w:type="pct"/>
            <w:tcBorders>
              <w:top w:val="nil"/>
              <w:left w:val="nil"/>
              <w:bottom w:val="nil"/>
              <w:right w:val="nil"/>
            </w:tcBorders>
            <w:noWrap/>
            <w:vAlign w:val="bottom"/>
          </w:tcPr>
          <w:p w:rsidR="00A93726" w:rsidRDefault="00A93726" w:rsidP="00A93726">
            <w:pPr>
              <w:rPr>
                <w:rFonts w:ascii="Arial" w:hAnsi="Arial" w:cs="Arial"/>
                <w:sz w:val="18"/>
                <w:szCs w:val="18"/>
              </w:rPr>
            </w:pPr>
            <w:r>
              <w:rPr>
                <w:rFonts w:ascii="Arial" w:hAnsi="Arial" w:cs="Arial"/>
                <w:sz w:val="18"/>
                <w:szCs w:val="18"/>
              </w:rPr>
              <w:t>Administration costs</w:t>
            </w:r>
          </w:p>
        </w:tc>
        <w:tc>
          <w:tcPr>
            <w:tcW w:w="476"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(4)</w:t>
            </w:r>
          </w:p>
        </w:tc>
        <w:tc>
          <w:tcPr>
            <w:tcW w:w="514"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w:t>
            </w:r>
          </w:p>
        </w:tc>
        <w:tc>
          <w:tcPr>
            <w:tcW w:w="418"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(4)</w:t>
            </w:r>
          </w:p>
        </w:tc>
        <w:tc>
          <w:tcPr>
            <w:tcW w:w="416"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(4)</w:t>
            </w:r>
          </w:p>
        </w:tc>
        <w:tc>
          <w:tcPr>
            <w:tcW w:w="588"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w:t>
            </w:r>
          </w:p>
        </w:tc>
        <w:tc>
          <w:tcPr>
            <w:tcW w:w="422"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(4)</w:t>
            </w:r>
          </w:p>
        </w:tc>
      </w:tr>
      <w:tr w:rsidR="00A93726" w:rsidRPr="003D431A" w:rsidTr="00A93726">
        <w:trPr>
          <w:trHeight w:val="240"/>
        </w:trPr>
        <w:tc>
          <w:tcPr>
            <w:tcW w:w="2166" w:type="pct"/>
            <w:tcBorders>
              <w:top w:val="nil"/>
              <w:left w:val="nil"/>
              <w:bottom w:val="nil"/>
              <w:right w:val="nil"/>
            </w:tcBorders>
            <w:noWrap/>
            <w:vAlign w:val="bottom"/>
          </w:tcPr>
          <w:p w:rsidR="00A93726" w:rsidRPr="00B85BA8" w:rsidRDefault="00A93726" w:rsidP="00A93726">
            <w:pPr>
              <w:rPr>
                <w:rFonts w:ascii="Arial" w:hAnsi="Arial" w:cs="Arial"/>
                <w:sz w:val="18"/>
                <w:szCs w:val="18"/>
              </w:rPr>
            </w:pPr>
            <w:r w:rsidRPr="00B85BA8">
              <w:rPr>
                <w:rFonts w:ascii="Arial" w:hAnsi="Arial" w:cs="Arial"/>
                <w:sz w:val="18"/>
                <w:szCs w:val="18"/>
              </w:rPr>
              <w:t>Net interest income/(expense)</w:t>
            </w:r>
          </w:p>
        </w:tc>
        <w:tc>
          <w:tcPr>
            <w:tcW w:w="476" w:type="pct"/>
            <w:tcBorders>
              <w:top w:val="nil"/>
              <w:left w:val="nil"/>
              <w:bottom w:val="nil"/>
              <w:right w:val="nil"/>
            </w:tcBorders>
            <w:noWrap/>
            <w:vAlign w:val="bottom"/>
          </w:tcPr>
          <w:p w:rsidR="00A93726" w:rsidRPr="00B85BA8" w:rsidRDefault="00047D31" w:rsidP="00A93726">
            <w:pPr>
              <w:jc w:val="right"/>
              <w:rPr>
                <w:rFonts w:ascii="Arial" w:hAnsi="Arial" w:cs="Arial"/>
                <w:b/>
                <w:sz w:val="18"/>
                <w:szCs w:val="18"/>
              </w:rPr>
            </w:pPr>
            <w:r>
              <w:rPr>
                <w:rFonts w:ascii="Arial" w:hAnsi="Arial" w:cs="Arial"/>
                <w:b/>
                <w:sz w:val="18"/>
                <w:szCs w:val="18"/>
              </w:rPr>
              <w:t>7</w:t>
            </w:r>
          </w:p>
        </w:tc>
        <w:tc>
          <w:tcPr>
            <w:tcW w:w="514"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(2)</w:t>
            </w:r>
          </w:p>
        </w:tc>
        <w:tc>
          <w:tcPr>
            <w:tcW w:w="418" w:type="pct"/>
            <w:tcBorders>
              <w:top w:val="nil"/>
              <w:left w:val="nil"/>
              <w:bottom w:val="nil"/>
              <w:right w:val="nil"/>
            </w:tcBorders>
            <w:noWrap/>
            <w:vAlign w:val="bottom"/>
          </w:tcPr>
          <w:p w:rsidR="00A93726" w:rsidRPr="00B85BA8" w:rsidRDefault="00047D31" w:rsidP="00A93726">
            <w:pPr>
              <w:jc w:val="right"/>
              <w:rPr>
                <w:rFonts w:ascii="Arial" w:hAnsi="Arial" w:cs="Arial"/>
                <w:b/>
                <w:sz w:val="18"/>
                <w:szCs w:val="18"/>
              </w:rPr>
            </w:pPr>
            <w:r>
              <w:rPr>
                <w:rFonts w:ascii="Arial" w:hAnsi="Arial" w:cs="Arial"/>
                <w:b/>
                <w:sz w:val="18"/>
                <w:szCs w:val="18"/>
              </w:rPr>
              <w:t>5</w:t>
            </w:r>
          </w:p>
        </w:tc>
        <w:tc>
          <w:tcPr>
            <w:tcW w:w="416"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9</w:t>
            </w:r>
          </w:p>
        </w:tc>
        <w:tc>
          <w:tcPr>
            <w:tcW w:w="588"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(2)</w:t>
            </w:r>
          </w:p>
        </w:tc>
        <w:tc>
          <w:tcPr>
            <w:tcW w:w="422"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7</w:t>
            </w:r>
          </w:p>
        </w:tc>
      </w:tr>
      <w:tr w:rsidR="00A93726" w:rsidRPr="003D431A" w:rsidTr="00A93726">
        <w:trPr>
          <w:trHeight w:val="240"/>
        </w:trPr>
        <w:tc>
          <w:tcPr>
            <w:tcW w:w="2166" w:type="pct"/>
            <w:tcBorders>
              <w:top w:val="nil"/>
              <w:left w:val="nil"/>
              <w:bottom w:val="nil"/>
              <w:right w:val="nil"/>
            </w:tcBorders>
            <w:noWrap/>
            <w:vAlign w:val="bottom"/>
          </w:tcPr>
          <w:p w:rsidR="00A93726" w:rsidRDefault="00A93726" w:rsidP="00A93726">
            <w:pPr>
              <w:rPr>
                <w:rFonts w:ascii="Arial" w:hAnsi="Arial" w:cs="Arial"/>
                <w:sz w:val="18"/>
                <w:szCs w:val="18"/>
              </w:rPr>
            </w:pPr>
            <w:r>
              <w:rPr>
                <w:rFonts w:ascii="Arial" w:hAnsi="Arial" w:cs="Arial"/>
                <w:sz w:val="18"/>
                <w:szCs w:val="18"/>
              </w:rPr>
              <w:t>Net actuarial (losses)/gains</w:t>
            </w:r>
          </w:p>
        </w:tc>
        <w:tc>
          <w:tcPr>
            <w:tcW w:w="476"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(62)</w:t>
            </w:r>
          </w:p>
        </w:tc>
        <w:tc>
          <w:tcPr>
            <w:tcW w:w="514" w:type="pct"/>
            <w:tcBorders>
              <w:top w:val="nil"/>
              <w:left w:val="nil"/>
              <w:bottom w:val="nil"/>
              <w:right w:val="nil"/>
            </w:tcBorders>
            <w:noWrap/>
            <w:vAlign w:val="bottom"/>
          </w:tcPr>
          <w:p w:rsidR="00A93726" w:rsidRPr="00B85BA8" w:rsidRDefault="00047D31" w:rsidP="00A93726">
            <w:pPr>
              <w:jc w:val="right"/>
              <w:rPr>
                <w:rFonts w:ascii="Arial" w:hAnsi="Arial" w:cs="Arial"/>
                <w:b/>
                <w:sz w:val="18"/>
                <w:szCs w:val="18"/>
              </w:rPr>
            </w:pPr>
            <w:r>
              <w:rPr>
                <w:rFonts w:ascii="Arial" w:hAnsi="Arial" w:cs="Arial"/>
                <w:b/>
                <w:sz w:val="18"/>
                <w:szCs w:val="18"/>
              </w:rPr>
              <w:t>4</w:t>
            </w:r>
          </w:p>
        </w:tc>
        <w:tc>
          <w:tcPr>
            <w:tcW w:w="418"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(58)</w:t>
            </w:r>
          </w:p>
        </w:tc>
        <w:tc>
          <w:tcPr>
            <w:tcW w:w="416"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(46)</w:t>
            </w:r>
          </w:p>
        </w:tc>
        <w:tc>
          <w:tcPr>
            <w:tcW w:w="588"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(4)</w:t>
            </w:r>
          </w:p>
        </w:tc>
        <w:tc>
          <w:tcPr>
            <w:tcW w:w="422"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(50)</w:t>
            </w:r>
          </w:p>
        </w:tc>
      </w:tr>
      <w:tr w:rsidR="00A93726" w:rsidRPr="003D431A" w:rsidTr="00A93726">
        <w:trPr>
          <w:trHeight w:val="240"/>
        </w:trPr>
        <w:tc>
          <w:tcPr>
            <w:tcW w:w="2166" w:type="pct"/>
            <w:tcBorders>
              <w:top w:val="nil"/>
              <w:left w:val="nil"/>
              <w:bottom w:val="nil"/>
              <w:right w:val="nil"/>
            </w:tcBorders>
            <w:noWrap/>
            <w:vAlign w:val="bottom"/>
          </w:tcPr>
          <w:p w:rsidR="00A93726" w:rsidRDefault="00A93726" w:rsidP="00A93726">
            <w:pPr>
              <w:rPr>
                <w:rFonts w:ascii="Arial" w:hAnsi="Arial" w:cs="Arial"/>
                <w:sz w:val="18"/>
                <w:szCs w:val="18"/>
              </w:rPr>
            </w:pPr>
            <w:r w:rsidRPr="00EF1091">
              <w:rPr>
                <w:rFonts w:ascii="Arial" w:hAnsi="Arial" w:cs="Arial"/>
                <w:sz w:val="18"/>
                <w:szCs w:val="18"/>
              </w:rPr>
              <w:t>Contributions paid by employer</w:t>
            </w:r>
          </w:p>
        </w:tc>
        <w:tc>
          <w:tcPr>
            <w:tcW w:w="476"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36</w:t>
            </w:r>
          </w:p>
        </w:tc>
        <w:tc>
          <w:tcPr>
            <w:tcW w:w="514"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2</w:t>
            </w:r>
          </w:p>
        </w:tc>
        <w:tc>
          <w:tcPr>
            <w:tcW w:w="418" w:type="pct"/>
            <w:tcBorders>
              <w:top w:val="nil"/>
              <w:left w:val="nil"/>
              <w:bottom w:val="nil"/>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38</w:t>
            </w:r>
          </w:p>
        </w:tc>
        <w:tc>
          <w:tcPr>
            <w:tcW w:w="416"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36</w:t>
            </w:r>
          </w:p>
        </w:tc>
        <w:tc>
          <w:tcPr>
            <w:tcW w:w="588"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2</w:t>
            </w:r>
          </w:p>
        </w:tc>
        <w:tc>
          <w:tcPr>
            <w:tcW w:w="422" w:type="pct"/>
            <w:tcBorders>
              <w:top w:val="nil"/>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38</w:t>
            </w:r>
          </w:p>
        </w:tc>
      </w:tr>
      <w:tr w:rsidR="00A93726" w:rsidRPr="003D431A" w:rsidTr="00A93726">
        <w:trPr>
          <w:trHeight w:val="240"/>
        </w:trPr>
        <w:tc>
          <w:tcPr>
            <w:tcW w:w="2166" w:type="pct"/>
            <w:tcBorders>
              <w:top w:val="nil"/>
              <w:left w:val="nil"/>
              <w:bottom w:val="single" w:sz="4" w:space="0" w:color="auto"/>
              <w:right w:val="nil"/>
            </w:tcBorders>
            <w:noWrap/>
            <w:vAlign w:val="bottom"/>
          </w:tcPr>
          <w:p w:rsidR="00A93726" w:rsidRDefault="00A93726" w:rsidP="00A93726">
            <w:pPr>
              <w:rPr>
                <w:rFonts w:ascii="Arial" w:hAnsi="Arial" w:cs="Arial"/>
                <w:sz w:val="18"/>
                <w:szCs w:val="18"/>
              </w:rPr>
            </w:pPr>
            <w:r>
              <w:rPr>
                <w:rFonts w:ascii="Arial" w:hAnsi="Arial" w:cs="Arial"/>
                <w:sz w:val="18"/>
                <w:szCs w:val="18"/>
              </w:rPr>
              <w:t>Exchange differences</w:t>
            </w:r>
          </w:p>
        </w:tc>
        <w:tc>
          <w:tcPr>
            <w:tcW w:w="476" w:type="pct"/>
            <w:tcBorders>
              <w:top w:val="nil"/>
              <w:left w:val="nil"/>
              <w:bottom w:val="single" w:sz="4" w:space="0" w:color="auto"/>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w:t>
            </w:r>
          </w:p>
        </w:tc>
        <w:tc>
          <w:tcPr>
            <w:tcW w:w="514" w:type="pct"/>
            <w:tcBorders>
              <w:top w:val="nil"/>
              <w:left w:val="nil"/>
              <w:bottom w:val="single" w:sz="4" w:space="0" w:color="auto"/>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(2)</w:t>
            </w:r>
          </w:p>
        </w:tc>
        <w:tc>
          <w:tcPr>
            <w:tcW w:w="418" w:type="pct"/>
            <w:tcBorders>
              <w:top w:val="nil"/>
              <w:left w:val="nil"/>
              <w:bottom w:val="single" w:sz="4" w:space="0" w:color="auto"/>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(2)</w:t>
            </w:r>
          </w:p>
        </w:tc>
        <w:tc>
          <w:tcPr>
            <w:tcW w:w="416" w:type="pct"/>
            <w:tcBorders>
              <w:top w:val="nil"/>
              <w:left w:val="nil"/>
              <w:bottom w:val="single" w:sz="4"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w:t>
            </w:r>
          </w:p>
        </w:tc>
        <w:tc>
          <w:tcPr>
            <w:tcW w:w="588" w:type="pct"/>
            <w:tcBorders>
              <w:top w:val="nil"/>
              <w:left w:val="nil"/>
              <w:bottom w:val="single" w:sz="4"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(10)</w:t>
            </w:r>
          </w:p>
        </w:tc>
        <w:tc>
          <w:tcPr>
            <w:tcW w:w="422" w:type="pct"/>
            <w:tcBorders>
              <w:top w:val="nil"/>
              <w:left w:val="nil"/>
              <w:bottom w:val="single" w:sz="4"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(10)</w:t>
            </w:r>
          </w:p>
        </w:tc>
      </w:tr>
      <w:tr w:rsidR="00A93726" w:rsidRPr="003D431A" w:rsidTr="00A93726">
        <w:trPr>
          <w:trHeight w:val="255"/>
        </w:trPr>
        <w:tc>
          <w:tcPr>
            <w:tcW w:w="2166" w:type="pct"/>
            <w:tcBorders>
              <w:top w:val="single" w:sz="4" w:space="0" w:color="auto"/>
              <w:left w:val="nil"/>
              <w:bottom w:val="single" w:sz="12" w:space="0" w:color="auto"/>
              <w:right w:val="nil"/>
            </w:tcBorders>
            <w:noWrap/>
            <w:vAlign w:val="bottom"/>
          </w:tcPr>
          <w:p w:rsidR="00A93726" w:rsidRPr="00443469" w:rsidRDefault="00A93726" w:rsidP="00A93726">
            <w:pPr>
              <w:rPr>
                <w:rFonts w:ascii="Arial" w:hAnsi="Arial" w:cs="Arial"/>
                <w:b/>
                <w:sz w:val="18"/>
                <w:szCs w:val="18"/>
              </w:rPr>
            </w:pPr>
            <w:r w:rsidRPr="00B85BA8">
              <w:rPr>
                <w:rFonts w:ascii="Arial" w:hAnsi="Arial" w:cs="Arial"/>
                <w:b/>
                <w:sz w:val="18"/>
                <w:szCs w:val="18"/>
              </w:rPr>
              <w:t>Net surplus/(deficit) in</w:t>
            </w:r>
            <w:r w:rsidRPr="00443469">
              <w:rPr>
                <w:rFonts w:ascii="Arial" w:hAnsi="Arial" w:cs="Arial"/>
                <w:b/>
                <w:sz w:val="18"/>
                <w:szCs w:val="18"/>
              </w:rPr>
              <w:t xml:space="preserve"> scheme</w:t>
            </w:r>
            <w:r>
              <w:rPr>
                <w:rFonts w:ascii="Arial" w:hAnsi="Arial" w:cs="Arial"/>
                <w:b/>
                <w:sz w:val="18"/>
                <w:szCs w:val="18"/>
              </w:rPr>
              <w:t>s</w:t>
            </w:r>
            <w:r w:rsidRPr="00443469">
              <w:rPr>
                <w:rFonts w:ascii="Arial" w:hAnsi="Arial" w:cs="Arial"/>
                <w:b/>
                <w:sz w:val="18"/>
                <w:szCs w:val="18"/>
              </w:rPr>
              <w:t xml:space="preserve"> at end of year</w:t>
            </w:r>
          </w:p>
        </w:tc>
        <w:tc>
          <w:tcPr>
            <w:tcW w:w="476" w:type="pct"/>
            <w:tcBorders>
              <w:top w:val="single" w:sz="4" w:space="0" w:color="auto"/>
              <w:left w:val="nil"/>
              <w:bottom w:val="single" w:sz="12" w:space="0" w:color="auto"/>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214</w:t>
            </w:r>
          </w:p>
        </w:tc>
        <w:tc>
          <w:tcPr>
            <w:tcW w:w="514" w:type="pct"/>
            <w:tcBorders>
              <w:top w:val="single" w:sz="4" w:space="0" w:color="auto"/>
              <w:left w:val="nil"/>
              <w:bottom w:val="single" w:sz="12" w:space="0" w:color="auto"/>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(115)</w:t>
            </w:r>
          </w:p>
        </w:tc>
        <w:tc>
          <w:tcPr>
            <w:tcW w:w="418" w:type="pct"/>
            <w:tcBorders>
              <w:top w:val="single" w:sz="4" w:space="0" w:color="auto"/>
              <w:left w:val="nil"/>
              <w:bottom w:val="single" w:sz="12" w:space="0" w:color="auto"/>
              <w:right w:val="nil"/>
            </w:tcBorders>
            <w:noWrap/>
            <w:vAlign w:val="bottom"/>
          </w:tcPr>
          <w:p w:rsidR="00A93726" w:rsidRPr="00B5215A" w:rsidRDefault="00047D31" w:rsidP="00A93726">
            <w:pPr>
              <w:jc w:val="right"/>
              <w:rPr>
                <w:rFonts w:ascii="Arial" w:hAnsi="Arial" w:cs="Arial"/>
                <w:b/>
                <w:sz w:val="18"/>
                <w:szCs w:val="18"/>
              </w:rPr>
            </w:pPr>
            <w:r>
              <w:rPr>
                <w:rFonts w:ascii="Arial" w:hAnsi="Arial" w:cs="Arial"/>
                <w:b/>
                <w:sz w:val="18"/>
                <w:szCs w:val="18"/>
              </w:rPr>
              <w:t>99</w:t>
            </w:r>
          </w:p>
        </w:tc>
        <w:tc>
          <w:tcPr>
            <w:tcW w:w="416" w:type="pct"/>
            <w:tcBorders>
              <w:top w:val="single" w:sz="4" w:space="0" w:color="auto"/>
              <w:left w:val="nil"/>
              <w:bottom w:val="single" w:sz="12"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239</w:t>
            </w:r>
          </w:p>
        </w:tc>
        <w:tc>
          <w:tcPr>
            <w:tcW w:w="588" w:type="pct"/>
            <w:tcBorders>
              <w:top w:val="single" w:sz="4" w:space="0" w:color="auto"/>
              <w:left w:val="nil"/>
              <w:bottom w:val="single" w:sz="12"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(108)</w:t>
            </w:r>
          </w:p>
        </w:tc>
        <w:tc>
          <w:tcPr>
            <w:tcW w:w="422" w:type="pct"/>
            <w:tcBorders>
              <w:top w:val="single" w:sz="4" w:space="0" w:color="auto"/>
              <w:left w:val="nil"/>
              <w:bottom w:val="single" w:sz="12"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131</w:t>
            </w:r>
          </w:p>
        </w:tc>
      </w:tr>
      <w:tr w:rsidR="00A93726" w:rsidRPr="003D431A" w:rsidTr="00A93726">
        <w:trPr>
          <w:trHeight w:val="255"/>
        </w:trPr>
        <w:tc>
          <w:tcPr>
            <w:tcW w:w="2166" w:type="pct"/>
            <w:tcBorders>
              <w:top w:val="single" w:sz="12" w:space="0" w:color="auto"/>
              <w:left w:val="nil"/>
              <w:right w:val="nil"/>
            </w:tcBorders>
            <w:noWrap/>
            <w:vAlign w:val="bottom"/>
          </w:tcPr>
          <w:p w:rsidR="00A93726" w:rsidRDefault="00A93726" w:rsidP="00A93726">
            <w:pPr>
              <w:rPr>
                <w:rFonts w:ascii="Arial" w:hAnsi="Arial" w:cs="Arial"/>
                <w:b/>
                <w:sz w:val="18"/>
                <w:szCs w:val="18"/>
              </w:rPr>
            </w:pPr>
          </w:p>
        </w:tc>
        <w:tc>
          <w:tcPr>
            <w:tcW w:w="476" w:type="pct"/>
            <w:tcBorders>
              <w:top w:val="single" w:sz="12" w:space="0" w:color="auto"/>
              <w:left w:val="nil"/>
              <w:right w:val="nil"/>
            </w:tcBorders>
            <w:noWrap/>
            <w:vAlign w:val="bottom"/>
          </w:tcPr>
          <w:p w:rsidR="00A93726" w:rsidRPr="00B5215A" w:rsidRDefault="00A93726" w:rsidP="00A93726">
            <w:pPr>
              <w:jc w:val="right"/>
              <w:rPr>
                <w:rFonts w:ascii="Arial" w:hAnsi="Arial" w:cs="Arial"/>
                <w:b/>
                <w:sz w:val="18"/>
                <w:szCs w:val="18"/>
              </w:rPr>
            </w:pPr>
          </w:p>
        </w:tc>
        <w:tc>
          <w:tcPr>
            <w:tcW w:w="514" w:type="pct"/>
            <w:tcBorders>
              <w:top w:val="single" w:sz="12" w:space="0" w:color="auto"/>
              <w:left w:val="nil"/>
              <w:right w:val="nil"/>
            </w:tcBorders>
            <w:noWrap/>
            <w:vAlign w:val="bottom"/>
          </w:tcPr>
          <w:p w:rsidR="00A93726" w:rsidRPr="00B5215A" w:rsidRDefault="00A93726" w:rsidP="00A93726">
            <w:pPr>
              <w:jc w:val="right"/>
              <w:rPr>
                <w:rFonts w:ascii="Arial" w:hAnsi="Arial" w:cs="Arial"/>
                <w:b/>
                <w:sz w:val="18"/>
                <w:szCs w:val="18"/>
              </w:rPr>
            </w:pPr>
          </w:p>
        </w:tc>
        <w:tc>
          <w:tcPr>
            <w:tcW w:w="418" w:type="pct"/>
            <w:tcBorders>
              <w:top w:val="single" w:sz="12" w:space="0" w:color="auto"/>
              <w:left w:val="nil"/>
              <w:right w:val="nil"/>
            </w:tcBorders>
            <w:noWrap/>
            <w:vAlign w:val="bottom"/>
          </w:tcPr>
          <w:p w:rsidR="00A93726" w:rsidRPr="00B5215A" w:rsidRDefault="00A93726" w:rsidP="00A93726">
            <w:pPr>
              <w:jc w:val="right"/>
              <w:rPr>
                <w:rFonts w:ascii="Arial" w:hAnsi="Arial" w:cs="Arial"/>
                <w:b/>
                <w:sz w:val="18"/>
                <w:szCs w:val="18"/>
              </w:rPr>
            </w:pPr>
          </w:p>
        </w:tc>
        <w:tc>
          <w:tcPr>
            <w:tcW w:w="416" w:type="pct"/>
            <w:tcBorders>
              <w:top w:val="single" w:sz="12" w:space="0" w:color="auto"/>
              <w:left w:val="nil"/>
              <w:right w:val="nil"/>
            </w:tcBorders>
            <w:noWrap/>
            <w:vAlign w:val="bottom"/>
          </w:tcPr>
          <w:p w:rsidR="00A93726" w:rsidRPr="00A93726" w:rsidRDefault="00A93726" w:rsidP="00A93726">
            <w:pPr>
              <w:jc w:val="right"/>
              <w:rPr>
                <w:rFonts w:ascii="Arial" w:hAnsi="Arial" w:cs="Arial"/>
                <w:sz w:val="18"/>
                <w:szCs w:val="18"/>
              </w:rPr>
            </w:pPr>
          </w:p>
        </w:tc>
        <w:tc>
          <w:tcPr>
            <w:tcW w:w="588" w:type="pct"/>
            <w:tcBorders>
              <w:top w:val="single" w:sz="12" w:space="0" w:color="auto"/>
              <w:left w:val="nil"/>
              <w:right w:val="nil"/>
            </w:tcBorders>
            <w:noWrap/>
            <w:vAlign w:val="bottom"/>
          </w:tcPr>
          <w:p w:rsidR="00A93726" w:rsidRPr="00A93726" w:rsidRDefault="00A93726" w:rsidP="00A93726">
            <w:pPr>
              <w:jc w:val="right"/>
              <w:rPr>
                <w:rFonts w:ascii="Arial" w:hAnsi="Arial" w:cs="Arial"/>
                <w:sz w:val="18"/>
                <w:szCs w:val="18"/>
              </w:rPr>
            </w:pPr>
          </w:p>
        </w:tc>
        <w:tc>
          <w:tcPr>
            <w:tcW w:w="422" w:type="pct"/>
            <w:tcBorders>
              <w:top w:val="single" w:sz="12" w:space="0" w:color="auto"/>
              <w:left w:val="nil"/>
              <w:right w:val="nil"/>
            </w:tcBorders>
            <w:noWrap/>
            <w:vAlign w:val="bottom"/>
          </w:tcPr>
          <w:p w:rsidR="00A93726" w:rsidRPr="00A93726" w:rsidRDefault="00A93726" w:rsidP="00A93726">
            <w:pPr>
              <w:jc w:val="right"/>
              <w:rPr>
                <w:rFonts w:ascii="Arial" w:hAnsi="Arial" w:cs="Arial"/>
                <w:sz w:val="18"/>
                <w:szCs w:val="18"/>
              </w:rPr>
            </w:pPr>
          </w:p>
        </w:tc>
      </w:tr>
      <w:tr w:rsidR="00A93726" w:rsidRPr="003D431A" w:rsidTr="00A93726">
        <w:trPr>
          <w:trHeight w:val="240"/>
        </w:trPr>
        <w:tc>
          <w:tcPr>
            <w:tcW w:w="2166" w:type="pct"/>
            <w:tcBorders>
              <w:left w:val="nil"/>
              <w:bottom w:val="nil"/>
              <w:right w:val="nil"/>
            </w:tcBorders>
            <w:noWrap/>
            <w:vAlign w:val="bottom"/>
          </w:tcPr>
          <w:p w:rsidR="00A93726" w:rsidRDefault="00A93726" w:rsidP="00A93726">
            <w:pPr>
              <w:rPr>
                <w:rFonts w:ascii="Arial" w:hAnsi="Arial" w:cs="Arial"/>
                <w:sz w:val="18"/>
                <w:szCs w:val="18"/>
              </w:rPr>
            </w:pPr>
            <w:r>
              <w:rPr>
                <w:rFonts w:ascii="Arial" w:hAnsi="Arial" w:cs="Arial"/>
                <w:sz w:val="18"/>
                <w:szCs w:val="18"/>
              </w:rPr>
              <w:t>Present value of defined benefit obligations</w:t>
            </w:r>
          </w:p>
        </w:tc>
        <w:tc>
          <w:tcPr>
            <w:tcW w:w="476" w:type="pct"/>
            <w:tcBorders>
              <w:left w:val="nil"/>
              <w:bottom w:val="nil"/>
              <w:right w:val="nil"/>
            </w:tcBorders>
            <w:noWrap/>
            <w:vAlign w:val="bottom"/>
          </w:tcPr>
          <w:p w:rsidR="00A93726" w:rsidRPr="00B5215A" w:rsidRDefault="001276C7" w:rsidP="00A93726">
            <w:pPr>
              <w:jc w:val="right"/>
              <w:rPr>
                <w:rFonts w:ascii="Arial" w:hAnsi="Arial" w:cs="Arial"/>
                <w:b/>
                <w:sz w:val="18"/>
                <w:szCs w:val="18"/>
              </w:rPr>
            </w:pPr>
            <w:r>
              <w:rPr>
                <w:rFonts w:ascii="Arial" w:hAnsi="Arial" w:cs="Arial"/>
                <w:b/>
                <w:sz w:val="18"/>
                <w:szCs w:val="18"/>
              </w:rPr>
              <w:t>(3,002)</w:t>
            </w:r>
          </w:p>
        </w:tc>
        <w:tc>
          <w:tcPr>
            <w:tcW w:w="514" w:type="pct"/>
            <w:tcBorders>
              <w:left w:val="nil"/>
              <w:bottom w:val="nil"/>
              <w:right w:val="nil"/>
            </w:tcBorders>
            <w:noWrap/>
            <w:vAlign w:val="bottom"/>
          </w:tcPr>
          <w:p w:rsidR="00A93726" w:rsidRPr="00B5215A" w:rsidRDefault="001276C7" w:rsidP="00A93726">
            <w:pPr>
              <w:jc w:val="right"/>
              <w:rPr>
                <w:rFonts w:ascii="Arial" w:hAnsi="Arial" w:cs="Arial"/>
                <w:b/>
                <w:sz w:val="18"/>
                <w:szCs w:val="18"/>
              </w:rPr>
            </w:pPr>
            <w:r>
              <w:rPr>
                <w:rFonts w:ascii="Arial" w:hAnsi="Arial" w:cs="Arial"/>
                <w:b/>
                <w:sz w:val="18"/>
                <w:szCs w:val="18"/>
              </w:rPr>
              <w:t>(134)</w:t>
            </w:r>
          </w:p>
        </w:tc>
        <w:tc>
          <w:tcPr>
            <w:tcW w:w="418" w:type="pct"/>
            <w:tcBorders>
              <w:left w:val="nil"/>
              <w:bottom w:val="nil"/>
              <w:right w:val="nil"/>
            </w:tcBorders>
            <w:noWrap/>
            <w:vAlign w:val="bottom"/>
          </w:tcPr>
          <w:p w:rsidR="00A93726" w:rsidRPr="00B5215A" w:rsidRDefault="001276C7" w:rsidP="00A93726">
            <w:pPr>
              <w:jc w:val="right"/>
              <w:rPr>
                <w:rFonts w:ascii="Arial" w:hAnsi="Arial" w:cs="Arial"/>
                <w:b/>
                <w:sz w:val="18"/>
                <w:szCs w:val="18"/>
              </w:rPr>
            </w:pPr>
            <w:r>
              <w:rPr>
                <w:rFonts w:ascii="Arial" w:hAnsi="Arial" w:cs="Arial"/>
                <w:b/>
                <w:sz w:val="18"/>
                <w:szCs w:val="18"/>
              </w:rPr>
              <w:t>(3,136)</w:t>
            </w:r>
          </w:p>
        </w:tc>
        <w:tc>
          <w:tcPr>
            <w:tcW w:w="416" w:type="pct"/>
            <w:tcBorders>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(2,999)</w:t>
            </w:r>
          </w:p>
        </w:tc>
        <w:tc>
          <w:tcPr>
            <w:tcW w:w="588" w:type="pct"/>
            <w:tcBorders>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(126)</w:t>
            </w:r>
          </w:p>
        </w:tc>
        <w:tc>
          <w:tcPr>
            <w:tcW w:w="422" w:type="pct"/>
            <w:tcBorders>
              <w:left w:val="nil"/>
              <w:bottom w:val="nil"/>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(3,125)</w:t>
            </w:r>
          </w:p>
        </w:tc>
      </w:tr>
      <w:tr w:rsidR="00A93726" w:rsidRPr="003D431A" w:rsidTr="00A93726">
        <w:trPr>
          <w:trHeight w:val="240"/>
        </w:trPr>
        <w:tc>
          <w:tcPr>
            <w:tcW w:w="2166" w:type="pct"/>
            <w:tcBorders>
              <w:top w:val="nil"/>
              <w:left w:val="nil"/>
              <w:bottom w:val="single" w:sz="4" w:space="0" w:color="auto"/>
              <w:right w:val="nil"/>
            </w:tcBorders>
            <w:noWrap/>
            <w:vAlign w:val="bottom"/>
          </w:tcPr>
          <w:p w:rsidR="00A93726" w:rsidRDefault="00A93726" w:rsidP="00A93726">
            <w:pPr>
              <w:rPr>
                <w:rFonts w:ascii="Arial" w:hAnsi="Arial" w:cs="Arial"/>
                <w:sz w:val="18"/>
                <w:szCs w:val="18"/>
              </w:rPr>
            </w:pPr>
            <w:r>
              <w:rPr>
                <w:rFonts w:ascii="Arial" w:hAnsi="Arial" w:cs="Arial"/>
                <w:sz w:val="18"/>
                <w:szCs w:val="18"/>
              </w:rPr>
              <w:t>Fair value of scheme assets</w:t>
            </w:r>
          </w:p>
        </w:tc>
        <w:tc>
          <w:tcPr>
            <w:tcW w:w="476" w:type="pct"/>
            <w:tcBorders>
              <w:top w:val="nil"/>
              <w:left w:val="nil"/>
              <w:bottom w:val="single" w:sz="4" w:space="0" w:color="auto"/>
              <w:right w:val="nil"/>
            </w:tcBorders>
            <w:noWrap/>
            <w:vAlign w:val="bottom"/>
          </w:tcPr>
          <w:p w:rsidR="00A93726" w:rsidRPr="00B5215A" w:rsidRDefault="001276C7" w:rsidP="00A93726">
            <w:pPr>
              <w:jc w:val="right"/>
              <w:rPr>
                <w:rFonts w:ascii="Arial" w:hAnsi="Arial" w:cs="Arial"/>
                <w:b/>
                <w:sz w:val="18"/>
                <w:szCs w:val="18"/>
              </w:rPr>
            </w:pPr>
            <w:r>
              <w:rPr>
                <w:rFonts w:ascii="Arial" w:hAnsi="Arial" w:cs="Arial"/>
                <w:b/>
                <w:sz w:val="18"/>
                <w:szCs w:val="18"/>
              </w:rPr>
              <w:t>3,216</w:t>
            </w:r>
          </w:p>
        </w:tc>
        <w:tc>
          <w:tcPr>
            <w:tcW w:w="514" w:type="pct"/>
            <w:tcBorders>
              <w:top w:val="nil"/>
              <w:left w:val="nil"/>
              <w:bottom w:val="single" w:sz="4" w:space="0" w:color="auto"/>
              <w:right w:val="nil"/>
            </w:tcBorders>
            <w:noWrap/>
            <w:vAlign w:val="bottom"/>
          </w:tcPr>
          <w:p w:rsidR="00A93726" w:rsidRPr="00B5215A" w:rsidRDefault="001276C7" w:rsidP="00A93726">
            <w:pPr>
              <w:jc w:val="right"/>
              <w:rPr>
                <w:rFonts w:ascii="Arial" w:hAnsi="Arial" w:cs="Arial"/>
                <w:b/>
                <w:sz w:val="18"/>
                <w:szCs w:val="18"/>
              </w:rPr>
            </w:pPr>
            <w:r>
              <w:rPr>
                <w:rFonts w:ascii="Arial" w:hAnsi="Arial" w:cs="Arial"/>
                <w:b/>
                <w:sz w:val="18"/>
                <w:szCs w:val="18"/>
              </w:rPr>
              <w:t>19</w:t>
            </w:r>
          </w:p>
        </w:tc>
        <w:tc>
          <w:tcPr>
            <w:tcW w:w="418" w:type="pct"/>
            <w:tcBorders>
              <w:top w:val="nil"/>
              <w:left w:val="nil"/>
              <w:bottom w:val="single" w:sz="4" w:space="0" w:color="auto"/>
              <w:right w:val="nil"/>
            </w:tcBorders>
            <w:noWrap/>
            <w:vAlign w:val="bottom"/>
          </w:tcPr>
          <w:p w:rsidR="00A93726" w:rsidRPr="00B5215A" w:rsidRDefault="001276C7" w:rsidP="00A93726">
            <w:pPr>
              <w:jc w:val="right"/>
              <w:rPr>
                <w:rFonts w:ascii="Arial" w:hAnsi="Arial" w:cs="Arial"/>
                <w:b/>
                <w:sz w:val="18"/>
                <w:szCs w:val="18"/>
              </w:rPr>
            </w:pPr>
            <w:r>
              <w:rPr>
                <w:rFonts w:ascii="Arial" w:hAnsi="Arial" w:cs="Arial"/>
                <w:b/>
                <w:sz w:val="18"/>
                <w:szCs w:val="18"/>
              </w:rPr>
              <w:t>3,235</w:t>
            </w:r>
          </w:p>
        </w:tc>
        <w:tc>
          <w:tcPr>
            <w:tcW w:w="416" w:type="pct"/>
            <w:tcBorders>
              <w:top w:val="nil"/>
              <w:left w:val="nil"/>
              <w:bottom w:val="single" w:sz="4"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3,238</w:t>
            </w:r>
          </w:p>
        </w:tc>
        <w:tc>
          <w:tcPr>
            <w:tcW w:w="588" w:type="pct"/>
            <w:tcBorders>
              <w:top w:val="nil"/>
              <w:left w:val="nil"/>
              <w:bottom w:val="single" w:sz="4"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18</w:t>
            </w:r>
          </w:p>
        </w:tc>
        <w:tc>
          <w:tcPr>
            <w:tcW w:w="422" w:type="pct"/>
            <w:tcBorders>
              <w:top w:val="nil"/>
              <w:left w:val="nil"/>
              <w:bottom w:val="single" w:sz="4"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3,256</w:t>
            </w:r>
          </w:p>
        </w:tc>
      </w:tr>
      <w:tr w:rsidR="00A93726" w:rsidRPr="003D431A" w:rsidTr="00A93726">
        <w:trPr>
          <w:trHeight w:val="255"/>
        </w:trPr>
        <w:tc>
          <w:tcPr>
            <w:tcW w:w="2166" w:type="pct"/>
            <w:tcBorders>
              <w:top w:val="single" w:sz="4" w:space="0" w:color="auto"/>
              <w:left w:val="nil"/>
              <w:bottom w:val="single" w:sz="12" w:space="0" w:color="auto"/>
              <w:right w:val="nil"/>
            </w:tcBorders>
            <w:noWrap/>
            <w:vAlign w:val="bottom"/>
          </w:tcPr>
          <w:p w:rsidR="00A93726" w:rsidRPr="00B85BA8" w:rsidRDefault="00A93726" w:rsidP="00A93726">
            <w:pPr>
              <w:rPr>
                <w:rFonts w:ascii="Arial" w:hAnsi="Arial" w:cs="Arial"/>
                <w:b/>
                <w:sz w:val="18"/>
                <w:szCs w:val="18"/>
              </w:rPr>
            </w:pPr>
            <w:r w:rsidRPr="00B85BA8">
              <w:rPr>
                <w:rFonts w:ascii="Arial" w:hAnsi="Arial" w:cs="Arial"/>
                <w:b/>
                <w:sz w:val="18"/>
                <w:szCs w:val="18"/>
              </w:rPr>
              <w:t>Net surplus/(deficit) in schemes</w:t>
            </w:r>
          </w:p>
        </w:tc>
        <w:tc>
          <w:tcPr>
            <w:tcW w:w="476" w:type="pct"/>
            <w:tcBorders>
              <w:top w:val="single" w:sz="4" w:space="0" w:color="auto"/>
              <w:left w:val="nil"/>
              <w:bottom w:val="single" w:sz="12" w:space="0" w:color="auto"/>
              <w:right w:val="nil"/>
            </w:tcBorders>
            <w:noWrap/>
            <w:vAlign w:val="bottom"/>
          </w:tcPr>
          <w:p w:rsidR="00A93726" w:rsidRPr="00B85BA8" w:rsidRDefault="001276C7" w:rsidP="00A93726">
            <w:pPr>
              <w:jc w:val="right"/>
              <w:rPr>
                <w:rFonts w:ascii="Arial" w:hAnsi="Arial" w:cs="Arial"/>
                <w:b/>
                <w:sz w:val="18"/>
                <w:szCs w:val="18"/>
              </w:rPr>
            </w:pPr>
            <w:r>
              <w:rPr>
                <w:rFonts w:ascii="Arial" w:hAnsi="Arial" w:cs="Arial"/>
                <w:b/>
                <w:sz w:val="18"/>
                <w:szCs w:val="18"/>
              </w:rPr>
              <w:t>214</w:t>
            </w:r>
          </w:p>
        </w:tc>
        <w:tc>
          <w:tcPr>
            <w:tcW w:w="514" w:type="pct"/>
            <w:tcBorders>
              <w:top w:val="single" w:sz="4" w:space="0" w:color="auto"/>
              <w:left w:val="nil"/>
              <w:bottom w:val="single" w:sz="12" w:space="0" w:color="auto"/>
              <w:right w:val="nil"/>
            </w:tcBorders>
            <w:noWrap/>
            <w:vAlign w:val="bottom"/>
          </w:tcPr>
          <w:p w:rsidR="00A93726" w:rsidRPr="00B85BA8" w:rsidRDefault="001276C7" w:rsidP="00A93726">
            <w:pPr>
              <w:jc w:val="right"/>
              <w:rPr>
                <w:rFonts w:ascii="Arial" w:hAnsi="Arial" w:cs="Arial"/>
                <w:b/>
                <w:sz w:val="18"/>
                <w:szCs w:val="18"/>
              </w:rPr>
            </w:pPr>
            <w:r>
              <w:rPr>
                <w:rFonts w:ascii="Arial" w:hAnsi="Arial" w:cs="Arial"/>
                <w:b/>
                <w:sz w:val="18"/>
                <w:szCs w:val="18"/>
              </w:rPr>
              <w:t>(115)</w:t>
            </w:r>
          </w:p>
        </w:tc>
        <w:tc>
          <w:tcPr>
            <w:tcW w:w="418" w:type="pct"/>
            <w:tcBorders>
              <w:top w:val="single" w:sz="4" w:space="0" w:color="auto"/>
              <w:left w:val="nil"/>
              <w:bottom w:val="single" w:sz="12" w:space="0" w:color="auto"/>
              <w:right w:val="nil"/>
            </w:tcBorders>
            <w:noWrap/>
            <w:vAlign w:val="bottom"/>
          </w:tcPr>
          <w:p w:rsidR="00A93726" w:rsidRPr="00B85BA8" w:rsidRDefault="001276C7" w:rsidP="00A93726">
            <w:pPr>
              <w:jc w:val="right"/>
              <w:rPr>
                <w:rFonts w:ascii="Arial" w:hAnsi="Arial" w:cs="Arial"/>
                <w:b/>
                <w:sz w:val="18"/>
                <w:szCs w:val="18"/>
              </w:rPr>
            </w:pPr>
            <w:r>
              <w:rPr>
                <w:rFonts w:ascii="Arial" w:hAnsi="Arial" w:cs="Arial"/>
                <w:b/>
                <w:sz w:val="18"/>
                <w:szCs w:val="18"/>
              </w:rPr>
              <w:t>99</w:t>
            </w:r>
          </w:p>
        </w:tc>
        <w:tc>
          <w:tcPr>
            <w:tcW w:w="416" w:type="pct"/>
            <w:tcBorders>
              <w:top w:val="single" w:sz="4" w:space="0" w:color="auto"/>
              <w:left w:val="nil"/>
              <w:bottom w:val="single" w:sz="12"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239</w:t>
            </w:r>
          </w:p>
        </w:tc>
        <w:tc>
          <w:tcPr>
            <w:tcW w:w="588" w:type="pct"/>
            <w:tcBorders>
              <w:top w:val="single" w:sz="4" w:space="0" w:color="auto"/>
              <w:left w:val="nil"/>
              <w:bottom w:val="single" w:sz="12"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(108)</w:t>
            </w:r>
          </w:p>
        </w:tc>
        <w:tc>
          <w:tcPr>
            <w:tcW w:w="422" w:type="pct"/>
            <w:tcBorders>
              <w:top w:val="single" w:sz="4" w:space="0" w:color="auto"/>
              <w:left w:val="nil"/>
              <w:bottom w:val="single" w:sz="12" w:space="0" w:color="auto"/>
              <w:right w:val="nil"/>
            </w:tcBorders>
            <w:noWrap/>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131</w:t>
            </w:r>
          </w:p>
        </w:tc>
      </w:tr>
    </w:tbl>
    <w:p w:rsidR="00BC22B5" w:rsidRDefault="00BC22B5" w:rsidP="000D6142">
      <w:pPr>
        <w:rPr>
          <w:rFonts w:ascii="Arial" w:hAnsi="Arial" w:cs="Arial"/>
          <w:sz w:val="18"/>
          <w:szCs w:val="18"/>
        </w:rPr>
      </w:pPr>
    </w:p>
    <w:p w:rsidR="00845C22" w:rsidRPr="00342772" w:rsidRDefault="000D6142" w:rsidP="00BA0967">
      <w:pPr>
        <w:jc w:val="both"/>
        <w:rPr>
          <w:rFonts w:ascii="Arial" w:hAnsi="Arial" w:cs="Arial"/>
          <w:sz w:val="18"/>
          <w:szCs w:val="18"/>
        </w:rPr>
      </w:pPr>
      <w:r w:rsidRPr="00342772">
        <w:rPr>
          <w:rFonts w:ascii="Arial" w:hAnsi="Arial" w:cs="Arial"/>
          <w:sz w:val="18"/>
          <w:szCs w:val="18"/>
        </w:rPr>
        <w:t>The assumptions used in calculating the costs and obligations of the Group’s defined benefit pension schemes are set by the Directors after consultation with independent professionally qualified actuaries. The assumptions are based on the conditions at the time and changes in these assumptions can lead to significant movements in the estimated obligations, as illustrated in the sensitivity analysis.</w:t>
      </w:r>
    </w:p>
    <w:p w:rsidR="00845C22" w:rsidRPr="00342772" w:rsidRDefault="00845C22" w:rsidP="00BA0967">
      <w:pPr>
        <w:jc w:val="both"/>
        <w:rPr>
          <w:rFonts w:ascii="Arial" w:hAnsi="Arial" w:cs="Arial"/>
          <w:sz w:val="18"/>
          <w:szCs w:val="18"/>
        </w:rPr>
      </w:pPr>
    </w:p>
    <w:p w:rsidR="00447FDC" w:rsidRDefault="00845C22" w:rsidP="00BA0967">
      <w:pPr>
        <w:jc w:val="both"/>
        <w:rPr>
          <w:rFonts w:ascii="Arial" w:hAnsi="Arial" w:cs="Arial"/>
          <w:sz w:val="18"/>
          <w:szCs w:val="18"/>
        </w:rPr>
      </w:pPr>
      <w:r w:rsidRPr="00342772">
        <w:rPr>
          <w:rFonts w:ascii="Arial" w:hAnsi="Arial" w:cs="Arial"/>
          <w:sz w:val="18"/>
          <w:szCs w:val="18"/>
        </w:rPr>
        <w:t>A key assumption in valuing the pension obligation</w:t>
      </w:r>
      <w:r w:rsidR="006A2FCC" w:rsidRPr="00342772">
        <w:rPr>
          <w:rFonts w:ascii="Arial" w:hAnsi="Arial" w:cs="Arial"/>
          <w:sz w:val="18"/>
          <w:szCs w:val="18"/>
        </w:rPr>
        <w:t>s</w:t>
      </w:r>
      <w:r w:rsidRPr="00342772">
        <w:rPr>
          <w:rFonts w:ascii="Arial" w:hAnsi="Arial" w:cs="Arial"/>
          <w:sz w:val="18"/>
          <w:szCs w:val="18"/>
        </w:rPr>
        <w:t xml:space="preserve"> is the discount </w:t>
      </w:r>
      <w:r w:rsidRPr="00C00F54">
        <w:rPr>
          <w:rFonts w:ascii="Arial" w:hAnsi="Arial" w:cs="Arial"/>
          <w:sz w:val="18"/>
          <w:szCs w:val="18"/>
        </w:rPr>
        <w:t xml:space="preserve">rate. </w:t>
      </w:r>
      <w:r w:rsidR="00294AC8" w:rsidRPr="00C00F54">
        <w:rPr>
          <w:rFonts w:ascii="Arial" w:hAnsi="Arial" w:cs="Arial"/>
          <w:sz w:val="18"/>
          <w:szCs w:val="18"/>
        </w:rPr>
        <w:t xml:space="preserve">Accounting standards require this to be set based on market yields on high quality corporate bonds at the balance sheet date. </w:t>
      </w:r>
      <w:r w:rsidR="00C00F54" w:rsidRPr="00C00F54">
        <w:rPr>
          <w:rFonts w:ascii="Arial" w:hAnsi="Arial" w:cs="Arial"/>
          <w:sz w:val="18"/>
          <w:szCs w:val="18"/>
        </w:rPr>
        <w:t xml:space="preserve">The UK scheme discount rate is derived using a single equivalent discount rate approach, based on the yields available on a portfolio of high-quality </w:t>
      </w:r>
      <w:r w:rsidR="00447FDC">
        <w:rPr>
          <w:rFonts w:ascii="Arial" w:hAnsi="Arial" w:cs="Arial"/>
          <w:sz w:val="18"/>
          <w:szCs w:val="18"/>
        </w:rPr>
        <w:t>S</w:t>
      </w:r>
      <w:r w:rsidR="00C00F54" w:rsidRPr="00C00F54">
        <w:rPr>
          <w:rFonts w:ascii="Arial" w:hAnsi="Arial" w:cs="Arial"/>
          <w:sz w:val="18"/>
          <w:szCs w:val="18"/>
        </w:rPr>
        <w:t xml:space="preserve">terling corporate bonds with the same duration </w:t>
      </w:r>
      <w:r w:rsidR="002C64DE">
        <w:rPr>
          <w:rFonts w:ascii="Arial" w:hAnsi="Arial" w:cs="Arial"/>
          <w:sz w:val="18"/>
          <w:szCs w:val="18"/>
        </w:rPr>
        <w:t>as</w:t>
      </w:r>
      <w:r w:rsidR="00C00F54" w:rsidRPr="00C00F54">
        <w:rPr>
          <w:rFonts w:ascii="Arial" w:hAnsi="Arial" w:cs="Arial"/>
          <w:sz w:val="18"/>
          <w:szCs w:val="18"/>
        </w:rPr>
        <w:t xml:space="preserve"> that of the scheme liabilities</w:t>
      </w:r>
      <w:r w:rsidR="00447FDC">
        <w:rPr>
          <w:rFonts w:ascii="Arial" w:hAnsi="Arial" w:cs="Arial"/>
          <w:sz w:val="18"/>
          <w:szCs w:val="18"/>
        </w:rPr>
        <w:t>.</w:t>
      </w:r>
    </w:p>
    <w:p w:rsidR="00447FDC" w:rsidRDefault="00447FDC" w:rsidP="00BA0967">
      <w:pPr>
        <w:jc w:val="both"/>
        <w:rPr>
          <w:rFonts w:ascii="Arial" w:hAnsi="Arial" w:cs="Arial"/>
          <w:sz w:val="18"/>
          <w:szCs w:val="18"/>
        </w:rPr>
      </w:pPr>
    </w:p>
    <w:p w:rsidR="0071106F" w:rsidRDefault="004E5B4D" w:rsidP="00BA0967">
      <w:pPr>
        <w:jc w:val="both"/>
        <w:rPr>
          <w:rFonts w:ascii="Arial" w:hAnsi="Arial" w:cs="Arial"/>
          <w:sz w:val="18"/>
          <w:szCs w:val="18"/>
        </w:rPr>
      </w:pPr>
      <w:r w:rsidRPr="00C00F54">
        <w:rPr>
          <w:rFonts w:ascii="Arial" w:hAnsi="Arial" w:cs="Arial"/>
          <w:sz w:val="18"/>
          <w:szCs w:val="18"/>
        </w:rPr>
        <w:t>The principal</w:t>
      </w:r>
      <w:r w:rsidRPr="00342772">
        <w:rPr>
          <w:rFonts w:ascii="Arial" w:hAnsi="Arial" w:cs="Arial"/>
          <w:sz w:val="18"/>
          <w:szCs w:val="18"/>
        </w:rPr>
        <w:t xml:space="preserve"> financial assumptions for the UK scheme are as follows:</w:t>
      </w:r>
    </w:p>
    <w:p w:rsidR="0071106F" w:rsidRDefault="0071106F" w:rsidP="0071106F">
      <w:pPr>
        <w:ind w:right="-993"/>
        <w:jc w:val="both"/>
        <w:rPr>
          <w:rFonts w:ascii="Arial" w:hAnsi="Arial" w:cs="Arial"/>
          <w:sz w:val="18"/>
          <w:szCs w:val="18"/>
        </w:rPr>
      </w:pPr>
    </w:p>
    <w:tbl>
      <w:tblPr>
        <w:tblW w:w="5000" w:type="pct"/>
        <w:tblLook w:val="01E0" w:firstRow="1" w:lastRow="1" w:firstColumn="1" w:lastColumn="1" w:noHBand="0" w:noVBand="0"/>
      </w:tblPr>
      <w:tblGrid>
        <w:gridCol w:w="6725"/>
        <w:gridCol w:w="1796"/>
        <w:gridCol w:w="1118"/>
      </w:tblGrid>
      <w:tr w:rsidR="007F04A4" w:rsidRPr="002565C4" w:rsidTr="00A93726">
        <w:tc>
          <w:tcPr>
            <w:tcW w:w="6725" w:type="dxa"/>
            <w:tcBorders>
              <w:bottom w:val="single" w:sz="4" w:space="0" w:color="auto"/>
            </w:tcBorders>
            <w:shd w:val="clear" w:color="auto" w:fill="auto"/>
            <w:vAlign w:val="bottom"/>
          </w:tcPr>
          <w:p w:rsidR="007F04A4" w:rsidRPr="002565C4" w:rsidRDefault="007F04A4" w:rsidP="007F04A4">
            <w:pPr>
              <w:ind w:right="-993"/>
              <w:jc w:val="both"/>
              <w:rPr>
                <w:rFonts w:ascii="Arial" w:hAnsi="Arial" w:cs="Arial"/>
                <w:sz w:val="18"/>
                <w:szCs w:val="18"/>
              </w:rPr>
            </w:pPr>
            <w:r w:rsidRPr="002565C4">
              <w:rPr>
                <w:rFonts w:ascii="Arial" w:hAnsi="Arial" w:cs="Arial"/>
                <w:sz w:val="18"/>
                <w:szCs w:val="18"/>
              </w:rPr>
              <w:t>Annual % rate</w:t>
            </w:r>
          </w:p>
        </w:tc>
        <w:tc>
          <w:tcPr>
            <w:tcW w:w="1796" w:type="dxa"/>
            <w:tcBorders>
              <w:bottom w:val="single" w:sz="4" w:space="0" w:color="auto"/>
            </w:tcBorders>
            <w:shd w:val="clear" w:color="auto" w:fill="auto"/>
            <w:vAlign w:val="bottom"/>
          </w:tcPr>
          <w:p w:rsidR="007F04A4" w:rsidRPr="002565C4" w:rsidRDefault="007F04A4" w:rsidP="00A93726">
            <w:pPr>
              <w:jc w:val="right"/>
              <w:rPr>
                <w:rFonts w:ascii="Arial" w:hAnsi="Arial" w:cs="Arial"/>
                <w:sz w:val="18"/>
                <w:szCs w:val="18"/>
              </w:rPr>
            </w:pPr>
            <w:r w:rsidRPr="002565C4">
              <w:rPr>
                <w:rFonts w:ascii="Arial" w:hAnsi="Arial" w:cs="Arial"/>
                <w:sz w:val="18"/>
                <w:szCs w:val="18"/>
              </w:rPr>
              <w:t>201</w:t>
            </w:r>
            <w:r w:rsidR="00A93726">
              <w:rPr>
                <w:rFonts w:ascii="Arial" w:hAnsi="Arial" w:cs="Arial"/>
                <w:sz w:val="18"/>
                <w:szCs w:val="18"/>
              </w:rPr>
              <w:t>7</w:t>
            </w:r>
            <w:r w:rsidRPr="002565C4">
              <w:rPr>
                <w:rFonts w:ascii="Arial" w:hAnsi="Arial" w:cs="Arial"/>
                <w:sz w:val="18"/>
                <w:szCs w:val="18"/>
              </w:rPr>
              <w:t>/1</w:t>
            </w:r>
            <w:r w:rsidR="00A93726">
              <w:rPr>
                <w:rFonts w:ascii="Arial" w:hAnsi="Arial" w:cs="Arial"/>
                <w:sz w:val="18"/>
                <w:szCs w:val="18"/>
              </w:rPr>
              <w:t>8</w:t>
            </w:r>
          </w:p>
        </w:tc>
        <w:tc>
          <w:tcPr>
            <w:tcW w:w="1118" w:type="dxa"/>
            <w:tcBorders>
              <w:bottom w:val="single" w:sz="4" w:space="0" w:color="auto"/>
            </w:tcBorders>
            <w:vAlign w:val="bottom"/>
          </w:tcPr>
          <w:p w:rsidR="007F04A4" w:rsidRPr="002565C4" w:rsidRDefault="007F04A4" w:rsidP="00A93726">
            <w:pPr>
              <w:jc w:val="right"/>
              <w:rPr>
                <w:rFonts w:ascii="Arial" w:hAnsi="Arial" w:cs="Arial"/>
                <w:sz w:val="18"/>
                <w:szCs w:val="18"/>
              </w:rPr>
            </w:pPr>
            <w:r w:rsidRPr="002565C4">
              <w:rPr>
                <w:rFonts w:ascii="Arial" w:hAnsi="Arial" w:cs="Arial"/>
                <w:sz w:val="18"/>
                <w:szCs w:val="18"/>
              </w:rPr>
              <w:t>201</w:t>
            </w:r>
            <w:r w:rsidR="00A93726">
              <w:rPr>
                <w:rFonts w:ascii="Arial" w:hAnsi="Arial" w:cs="Arial"/>
                <w:sz w:val="18"/>
                <w:szCs w:val="18"/>
              </w:rPr>
              <w:t>6</w:t>
            </w:r>
            <w:r w:rsidRPr="002565C4">
              <w:rPr>
                <w:rFonts w:ascii="Arial" w:hAnsi="Arial" w:cs="Arial"/>
                <w:sz w:val="18"/>
                <w:szCs w:val="18"/>
              </w:rPr>
              <w:t>/1</w:t>
            </w:r>
            <w:r w:rsidR="00A93726">
              <w:rPr>
                <w:rFonts w:ascii="Arial" w:hAnsi="Arial" w:cs="Arial"/>
                <w:sz w:val="18"/>
                <w:szCs w:val="18"/>
              </w:rPr>
              <w:t>7</w:t>
            </w:r>
          </w:p>
        </w:tc>
      </w:tr>
      <w:tr w:rsidR="00A93726" w:rsidRPr="002565C4" w:rsidTr="00A93726">
        <w:tc>
          <w:tcPr>
            <w:tcW w:w="6725" w:type="dxa"/>
            <w:tcBorders>
              <w:top w:val="single" w:sz="4" w:space="0" w:color="auto"/>
            </w:tcBorders>
            <w:shd w:val="clear" w:color="auto" w:fill="auto"/>
            <w:vAlign w:val="bottom"/>
          </w:tcPr>
          <w:p w:rsidR="00A93726" w:rsidRPr="002565C4" w:rsidRDefault="00A93726" w:rsidP="00A93726">
            <w:pPr>
              <w:ind w:right="-993"/>
              <w:jc w:val="both"/>
              <w:rPr>
                <w:rFonts w:ascii="Arial" w:hAnsi="Arial" w:cs="Arial"/>
                <w:sz w:val="18"/>
                <w:szCs w:val="18"/>
              </w:rPr>
            </w:pPr>
            <w:r w:rsidRPr="002565C4">
              <w:rPr>
                <w:rFonts w:ascii="Arial" w:hAnsi="Arial" w:cs="Arial"/>
                <w:sz w:val="18"/>
                <w:szCs w:val="18"/>
              </w:rPr>
              <w:t>Discount rate</w:t>
            </w:r>
          </w:p>
        </w:tc>
        <w:tc>
          <w:tcPr>
            <w:tcW w:w="1796" w:type="dxa"/>
            <w:tcBorders>
              <w:top w:val="single" w:sz="4" w:space="0" w:color="auto"/>
            </w:tcBorders>
            <w:shd w:val="clear" w:color="auto" w:fill="auto"/>
            <w:vAlign w:val="bottom"/>
          </w:tcPr>
          <w:p w:rsidR="00A93726" w:rsidRPr="002565C4" w:rsidRDefault="008B73CA" w:rsidP="00A93726">
            <w:pPr>
              <w:jc w:val="right"/>
              <w:rPr>
                <w:rFonts w:ascii="Arial" w:hAnsi="Arial" w:cs="Arial"/>
                <w:b/>
                <w:sz w:val="18"/>
                <w:szCs w:val="18"/>
              </w:rPr>
            </w:pPr>
            <w:r>
              <w:rPr>
                <w:rFonts w:ascii="Arial" w:hAnsi="Arial" w:cs="Arial"/>
                <w:b/>
                <w:sz w:val="18"/>
                <w:szCs w:val="18"/>
              </w:rPr>
              <w:t>2.5</w:t>
            </w:r>
          </w:p>
        </w:tc>
        <w:tc>
          <w:tcPr>
            <w:tcW w:w="1118" w:type="dxa"/>
            <w:tcBorders>
              <w:top w:val="single" w:sz="4" w:space="0" w:color="auto"/>
            </w:tcBorders>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2.7</w:t>
            </w:r>
          </w:p>
        </w:tc>
      </w:tr>
      <w:tr w:rsidR="00A93726" w:rsidRPr="002565C4" w:rsidTr="00A93726">
        <w:tc>
          <w:tcPr>
            <w:tcW w:w="6725" w:type="dxa"/>
            <w:tcBorders>
              <w:bottom w:val="single" w:sz="12" w:space="0" w:color="auto"/>
            </w:tcBorders>
            <w:shd w:val="clear" w:color="auto" w:fill="auto"/>
            <w:vAlign w:val="bottom"/>
          </w:tcPr>
          <w:p w:rsidR="00A93726" w:rsidRPr="002565C4" w:rsidRDefault="00A93726" w:rsidP="00A93726">
            <w:pPr>
              <w:ind w:right="-993"/>
              <w:jc w:val="both"/>
              <w:rPr>
                <w:rFonts w:ascii="Arial" w:hAnsi="Arial" w:cs="Arial"/>
                <w:sz w:val="18"/>
                <w:szCs w:val="18"/>
              </w:rPr>
            </w:pPr>
            <w:r>
              <w:rPr>
                <w:rFonts w:ascii="Arial" w:hAnsi="Arial" w:cs="Arial"/>
                <w:sz w:val="18"/>
                <w:szCs w:val="18"/>
              </w:rPr>
              <w:t>Price inflation</w:t>
            </w:r>
          </w:p>
        </w:tc>
        <w:tc>
          <w:tcPr>
            <w:tcW w:w="1796" w:type="dxa"/>
            <w:tcBorders>
              <w:bottom w:val="single" w:sz="12" w:space="0" w:color="auto"/>
            </w:tcBorders>
            <w:shd w:val="clear" w:color="auto" w:fill="auto"/>
            <w:vAlign w:val="bottom"/>
          </w:tcPr>
          <w:p w:rsidR="00A93726" w:rsidRDefault="008B73CA" w:rsidP="00A93726">
            <w:pPr>
              <w:jc w:val="right"/>
              <w:rPr>
                <w:rFonts w:ascii="Arial" w:hAnsi="Arial" w:cs="Arial"/>
                <w:b/>
                <w:sz w:val="18"/>
                <w:szCs w:val="18"/>
              </w:rPr>
            </w:pPr>
            <w:r>
              <w:rPr>
                <w:rFonts w:ascii="Arial" w:hAnsi="Arial" w:cs="Arial"/>
                <w:b/>
                <w:sz w:val="18"/>
                <w:szCs w:val="18"/>
              </w:rPr>
              <w:t>3.</w:t>
            </w:r>
            <w:r w:rsidR="00105C1C">
              <w:rPr>
                <w:rFonts w:ascii="Arial" w:hAnsi="Arial" w:cs="Arial"/>
                <w:b/>
                <w:sz w:val="18"/>
                <w:szCs w:val="18"/>
              </w:rPr>
              <w:t>4</w:t>
            </w:r>
          </w:p>
        </w:tc>
        <w:tc>
          <w:tcPr>
            <w:tcW w:w="1118" w:type="dxa"/>
            <w:tcBorders>
              <w:bottom w:val="single" w:sz="12" w:space="0" w:color="auto"/>
            </w:tcBorders>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3.6</w:t>
            </w:r>
          </w:p>
        </w:tc>
      </w:tr>
    </w:tbl>
    <w:p w:rsidR="0071106F" w:rsidRDefault="0071106F" w:rsidP="0071106F">
      <w:pPr>
        <w:ind w:right="-993"/>
        <w:jc w:val="both"/>
        <w:rPr>
          <w:rFonts w:ascii="Arial" w:hAnsi="Arial" w:cs="Arial"/>
          <w:sz w:val="18"/>
          <w:szCs w:val="18"/>
        </w:rPr>
      </w:pPr>
    </w:p>
    <w:p w:rsidR="000D6142" w:rsidRDefault="00F26611" w:rsidP="00BA0967">
      <w:pPr>
        <w:ind w:right="53"/>
        <w:jc w:val="both"/>
        <w:rPr>
          <w:rFonts w:ascii="Arial" w:hAnsi="Arial" w:cs="Arial"/>
          <w:sz w:val="18"/>
          <w:szCs w:val="18"/>
        </w:rPr>
      </w:pPr>
      <w:r w:rsidRPr="00EC5A81">
        <w:rPr>
          <w:rFonts w:ascii="Arial" w:hAnsi="Arial" w:cs="Arial"/>
          <w:sz w:val="18"/>
          <w:szCs w:val="18"/>
        </w:rPr>
        <w:t xml:space="preserve">For the UK scheme, the mortality assumptions used have been selected with regard to the characteristics and experience of the membership of the </w:t>
      </w:r>
      <w:r w:rsidR="00FD5F6F" w:rsidRPr="00B74A6B">
        <w:rPr>
          <w:rFonts w:ascii="Arial" w:hAnsi="Arial" w:cs="Arial"/>
          <w:sz w:val="18"/>
          <w:szCs w:val="18"/>
        </w:rPr>
        <w:t xml:space="preserve">scheme </w:t>
      </w:r>
      <w:r w:rsidR="003A03FA">
        <w:rPr>
          <w:rFonts w:ascii="Arial" w:hAnsi="Arial" w:cs="Arial"/>
          <w:sz w:val="18"/>
          <w:szCs w:val="18"/>
        </w:rPr>
        <w:t xml:space="preserve">as assessed </w:t>
      </w:r>
      <w:r w:rsidR="00FD5F6F" w:rsidRPr="00B87BBF">
        <w:rPr>
          <w:rFonts w:ascii="Arial" w:hAnsi="Arial" w:cs="Arial"/>
          <w:sz w:val="18"/>
          <w:szCs w:val="18"/>
        </w:rPr>
        <w:t>from</w:t>
      </w:r>
      <w:r w:rsidR="00E174BE">
        <w:rPr>
          <w:rFonts w:ascii="Arial" w:hAnsi="Arial" w:cs="Arial"/>
          <w:sz w:val="18"/>
          <w:szCs w:val="18"/>
        </w:rPr>
        <w:t xml:space="preserve"> time to time</w:t>
      </w:r>
      <w:r w:rsidR="00C312AA">
        <w:rPr>
          <w:rFonts w:ascii="Arial" w:hAnsi="Arial" w:cs="Arial"/>
          <w:sz w:val="18"/>
          <w:szCs w:val="18"/>
        </w:rPr>
        <w:t xml:space="preserve"> relating to</w:t>
      </w:r>
      <w:r w:rsidR="00E174BE">
        <w:rPr>
          <w:rFonts w:ascii="Arial" w:hAnsi="Arial" w:cs="Arial"/>
          <w:sz w:val="18"/>
          <w:szCs w:val="18"/>
        </w:rPr>
        <w:t xml:space="preserve"> triennial funding valuations</w:t>
      </w:r>
      <w:r w:rsidRPr="00B978C9">
        <w:rPr>
          <w:rFonts w:ascii="Arial" w:hAnsi="Arial" w:cs="Arial"/>
          <w:sz w:val="18"/>
          <w:szCs w:val="18"/>
        </w:rPr>
        <w:t>.</w:t>
      </w:r>
      <w:r w:rsidRPr="00B74A6B">
        <w:rPr>
          <w:rFonts w:ascii="Arial" w:hAnsi="Arial" w:cs="Arial"/>
          <w:sz w:val="18"/>
          <w:szCs w:val="18"/>
        </w:rPr>
        <w:t xml:space="preserve"> </w:t>
      </w:r>
      <w:r w:rsidR="000D6142" w:rsidRPr="00B74A6B">
        <w:rPr>
          <w:rFonts w:ascii="Arial" w:hAnsi="Arial" w:cs="Arial"/>
          <w:sz w:val="18"/>
          <w:szCs w:val="18"/>
        </w:rPr>
        <w:t>The</w:t>
      </w:r>
      <w:r w:rsidR="000D6142" w:rsidRPr="00EC5A81">
        <w:rPr>
          <w:rFonts w:ascii="Arial" w:hAnsi="Arial" w:cs="Arial"/>
          <w:sz w:val="18"/>
          <w:szCs w:val="18"/>
        </w:rPr>
        <w:t xml:space="preserve"> assumptions for life expectancy of </w:t>
      </w:r>
      <w:smartTag w:uri="urn:schemas-microsoft-com:office:smarttags" w:element="country-region">
        <w:smartTag w:uri="urn:schemas-microsoft-com:office:smarttags" w:element="place">
          <w:r w:rsidR="000D6142" w:rsidRPr="00EC5A81">
            <w:rPr>
              <w:rFonts w:ascii="Arial" w:hAnsi="Arial" w:cs="Arial"/>
              <w:sz w:val="18"/>
              <w:szCs w:val="18"/>
            </w:rPr>
            <w:t>UK</w:t>
          </w:r>
        </w:smartTag>
      </w:smartTag>
      <w:r w:rsidR="000D6142" w:rsidRPr="00EC5A81">
        <w:rPr>
          <w:rFonts w:ascii="Arial" w:hAnsi="Arial" w:cs="Arial"/>
          <w:sz w:val="18"/>
          <w:szCs w:val="18"/>
        </w:rPr>
        <w:t xml:space="preserve"> scheme members are as follows:</w:t>
      </w:r>
    </w:p>
    <w:p w:rsidR="000D6142" w:rsidRDefault="000D6142" w:rsidP="000D6142">
      <w:pPr>
        <w:ind w:right="-993"/>
        <w:jc w:val="both"/>
        <w:rPr>
          <w:rFonts w:ascii="Arial" w:hAnsi="Arial" w:cs="Arial"/>
          <w:sz w:val="18"/>
          <w:szCs w:val="18"/>
        </w:rPr>
      </w:pPr>
    </w:p>
    <w:tbl>
      <w:tblPr>
        <w:tblW w:w="5000" w:type="pct"/>
        <w:tblLook w:val="01E0" w:firstRow="1" w:lastRow="1" w:firstColumn="1" w:lastColumn="1" w:noHBand="0" w:noVBand="0"/>
      </w:tblPr>
      <w:tblGrid>
        <w:gridCol w:w="5483"/>
        <w:gridCol w:w="564"/>
        <w:gridCol w:w="930"/>
        <w:gridCol w:w="1496"/>
        <w:gridCol w:w="1166"/>
      </w:tblGrid>
      <w:tr w:rsidR="007F04A4" w:rsidRPr="002565C4" w:rsidTr="00A93726">
        <w:tc>
          <w:tcPr>
            <w:tcW w:w="5483" w:type="dxa"/>
            <w:tcBorders>
              <w:bottom w:val="single" w:sz="4" w:space="0" w:color="auto"/>
            </w:tcBorders>
            <w:shd w:val="clear" w:color="auto" w:fill="auto"/>
            <w:vAlign w:val="bottom"/>
          </w:tcPr>
          <w:p w:rsidR="007F04A4" w:rsidRPr="002565C4" w:rsidRDefault="007F04A4" w:rsidP="007F04A4">
            <w:pPr>
              <w:ind w:right="-993"/>
              <w:jc w:val="both"/>
              <w:rPr>
                <w:rFonts w:ascii="Arial" w:hAnsi="Arial" w:cs="Arial"/>
                <w:sz w:val="18"/>
                <w:szCs w:val="18"/>
              </w:rPr>
            </w:pPr>
            <w:r w:rsidRPr="002565C4">
              <w:rPr>
                <w:rFonts w:ascii="Arial" w:hAnsi="Arial" w:cs="Arial"/>
                <w:sz w:val="18"/>
                <w:szCs w:val="18"/>
              </w:rPr>
              <w:t>Years</w:t>
            </w:r>
          </w:p>
        </w:tc>
        <w:tc>
          <w:tcPr>
            <w:tcW w:w="1494" w:type="dxa"/>
            <w:gridSpan w:val="2"/>
            <w:tcBorders>
              <w:bottom w:val="single" w:sz="4" w:space="0" w:color="auto"/>
            </w:tcBorders>
            <w:vAlign w:val="bottom"/>
          </w:tcPr>
          <w:p w:rsidR="007F04A4" w:rsidRPr="002565C4" w:rsidRDefault="007F04A4" w:rsidP="007F04A4">
            <w:pPr>
              <w:jc w:val="right"/>
              <w:rPr>
                <w:rFonts w:ascii="Arial" w:hAnsi="Arial" w:cs="Arial"/>
                <w:sz w:val="18"/>
                <w:szCs w:val="18"/>
              </w:rPr>
            </w:pPr>
          </w:p>
        </w:tc>
        <w:tc>
          <w:tcPr>
            <w:tcW w:w="1496" w:type="dxa"/>
            <w:tcBorders>
              <w:bottom w:val="single" w:sz="4" w:space="0" w:color="auto"/>
            </w:tcBorders>
            <w:vAlign w:val="bottom"/>
          </w:tcPr>
          <w:p w:rsidR="007F04A4" w:rsidRPr="002565C4" w:rsidRDefault="007F04A4" w:rsidP="007F04A4">
            <w:pPr>
              <w:jc w:val="right"/>
              <w:rPr>
                <w:rFonts w:ascii="Arial" w:hAnsi="Arial" w:cs="Arial"/>
                <w:sz w:val="18"/>
                <w:szCs w:val="18"/>
              </w:rPr>
            </w:pPr>
            <w:r w:rsidRPr="002565C4">
              <w:rPr>
                <w:rFonts w:ascii="Arial" w:hAnsi="Arial" w:cs="Arial"/>
                <w:sz w:val="18"/>
                <w:szCs w:val="18"/>
              </w:rPr>
              <w:t>201</w:t>
            </w:r>
            <w:r w:rsidR="00A93726">
              <w:rPr>
                <w:rFonts w:ascii="Arial" w:hAnsi="Arial" w:cs="Arial"/>
                <w:sz w:val="18"/>
                <w:szCs w:val="18"/>
              </w:rPr>
              <w:t>7</w:t>
            </w:r>
            <w:r w:rsidRPr="002565C4">
              <w:rPr>
                <w:rFonts w:ascii="Arial" w:hAnsi="Arial" w:cs="Arial"/>
                <w:sz w:val="18"/>
                <w:szCs w:val="18"/>
              </w:rPr>
              <w:t>/1</w:t>
            </w:r>
            <w:r w:rsidR="00A93726">
              <w:rPr>
                <w:rFonts w:ascii="Arial" w:hAnsi="Arial" w:cs="Arial"/>
                <w:sz w:val="18"/>
                <w:szCs w:val="18"/>
              </w:rPr>
              <w:t>8</w:t>
            </w:r>
          </w:p>
        </w:tc>
        <w:tc>
          <w:tcPr>
            <w:tcW w:w="1166" w:type="dxa"/>
            <w:tcBorders>
              <w:bottom w:val="single" w:sz="4" w:space="0" w:color="auto"/>
            </w:tcBorders>
            <w:vAlign w:val="bottom"/>
          </w:tcPr>
          <w:p w:rsidR="007F04A4" w:rsidRPr="008C583A" w:rsidRDefault="006D73B8" w:rsidP="00A93726">
            <w:pPr>
              <w:tabs>
                <w:tab w:val="left" w:pos="1235"/>
              </w:tabs>
              <w:jc w:val="right"/>
              <w:rPr>
                <w:rFonts w:ascii="Arial" w:hAnsi="Arial" w:cs="Arial"/>
                <w:sz w:val="18"/>
                <w:szCs w:val="18"/>
              </w:rPr>
            </w:pPr>
            <w:r>
              <w:rPr>
                <w:rFonts w:ascii="Arial" w:hAnsi="Arial" w:cs="Arial"/>
                <w:sz w:val="18"/>
                <w:szCs w:val="18"/>
              </w:rPr>
              <w:t>201</w:t>
            </w:r>
            <w:r w:rsidR="00A93726">
              <w:rPr>
                <w:rFonts w:ascii="Arial" w:hAnsi="Arial" w:cs="Arial"/>
                <w:sz w:val="18"/>
                <w:szCs w:val="18"/>
              </w:rPr>
              <w:t>6</w:t>
            </w:r>
            <w:r>
              <w:rPr>
                <w:rFonts w:ascii="Arial" w:hAnsi="Arial" w:cs="Arial"/>
                <w:sz w:val="18"/>
                <w:szCs w:val="18"/>
              </w:rPr>
              <w:t>/1</w:t>
            </w:r>
            <w:r w:rsidR="00A93726">
              <w:rPr>
                <w:rFonts w:ascii="Arial" w:hAnsi="Arial" w:cs="Arial"/>
                <w:sz w:val="18"/>
                <w:szCs w:val="18"/>
              </w:rPr>
              <w:t>7</w:t>
            </w:r>
          </w:p>
        </w:tc>
      </w:tr>
      <w:tr w:rsidR="007F04A4" w:rsidRPr="002565C4" w:rsidTr="00A93726">
        <w:tc>
          <w:tcPr>
            <w:tcW w:w="6047" w:type="dxa"/>
            <w:gridSpan w:val="2"/>
            <w:tcBorders>
              <w:top w:val="single" w:sz="4" w:space="0" w:color="auto"/>
            </w:tcBorders>
            <w:shd w:val="clear" w:color="auto" w:fill="auto"/>
            <w:vAlign w:val="bottom"/>
          </w:tcPr>
          <w:p w:rsidR="007F04A4" w:rsidRPr="002565C4" w:rsidRDefault="007F04A4" w:rsidP="007F04A4">
            <w:pPr>
              <w:ind w:right="-993"/>
              <w:jc w:val="both"/>
              <w:rPr>
                <w:rFonts w:ascii="Arial" w:hAnsi="Arial" w:cs="Arial"/>
                <w:sz w:val="18"/>
                <w:szCs w:val="18"/>
              </w:rPr>
            </w:pPr>
            <w:r w:rsidRPr="002565C4">
              <w:rPr>
                <w:rFonts w:ascii="Arial" w:hAnsi="Arial" w:cs="Arial"/>
                <w:sz w:val="18"/>
                <w:szCs w:val="18"/>
              </w:rPr>
              <w:t>Age to which current pensioners are expected to live (60 now)</w:t>
            </w:r>
          </w:p>
        </w:tc>
        <w:tc>
          <w:tcPr>
            <w:tcW w:w="930" w:type="dxa"/>
            <w:tcBorders>
              <w:top w:val="single" w:sz="4" w:space="0" w:color="auto"/>
            </w:tcBorders>
            <w:vAlign w:val="bottom"/>
          </w:tcPr>
          <w:p w:rsidR="007F04A4" w:rsidRPr="002565C4" w:rsidRDefault="007F04A4" w:rsidP="007F04A4">
            <w:pPr>
              <w:jc w:val="right"/>
              <w:rPr>
                <w:rFonts w:ascii="Arial" w:hAnsi="Arial" w:cs="Arial"/>
                <w:b/>
                <w:sz w:val="18"/>
                <w:szCs w:val="18"/>
              </w:rPr>
            </w:pPr>
          </w:p>
        </w:tc>
        <w:tc>
          <w:tcPr>
            <w:tcW w:w="1496" w:type="dxa"/>
            <w:tcBorders>
              <w:top w:val="single" w:sz="4" w:space="0" w:color="auto"/>
            </w:tcBorders>
            <w:vAlign w:val="bottom"/>
          </w:tcPr>
          <w:p w:rsidR="007F04A4" w:rsidRPr="002565C4" w:rsidRDefault="007F04A4" w:rsidP="007F04A4">
            <w:pPr>
              <w:jc w:val="right"/>
              <w:rPr>
                <w:rFonts w:ascii="Arial" w:hAnsi="Arial" w:cs="Arial"/>
                <w:b/>
                <w:sz w:val="18"/>
                <w:szCs w:val="18"/>
              </w:rPr>
            </w:pPr>
          </w:p>
        </w:tc>
        <w:tc>
          <w:tcPr>
            <w:tcW w:w="1166" w:type="dxa"/>
            <w:tcBorders>
              <w:top w:val="single" w:sz="4" w:space="0" w:color="auto"/>
            </w:tcBorders>
            <w:vAlign w:val="bottom"/>
          </w:tcPr>
          <w:p w:rsidR="007F04A4" w:rsidRPr="00281AF4" w:rsidRDefault="007F04A4" w:rsidP="007F04A4">
            <w:pPr>
              <w:jc w:val="right"/>
              <w:rPr>
                <w:rFonts w:ascii="Arial" w:hAnsi="Arial" w:cs="Arial"/>
                <w:sz w:val="18"/>
                <w:szCs w:val="18"/>
              </w:rPr>
            </w:pPr>
          </w:p>
        </w:tc>
      </w:tr>
      <w:tr w:rsidR="00A93726" w:rsidRPr="002565C4" w:rsidTr="00A93726">
        <w:tc>
          <w:tcPr>
            <w:tcW w:w="6047" w:type="dxa"/>
            <w:gridSpan w:val="2"/>
            <w:shd w:val="clear" w:color="auto" w:fill="auto"/>
            <w:vAlign w:val="bottom"/>
          </w:tcPr>
          <w:p w:rsidR="00A93726" w:rsidRPr="002565C4" w:rsidRDefault="00A93726" w:rsidP="00A93726">
            <w:pPr>
              <w:ind w:right="-993"/>
              <w:jc w:val="both"/>
              <w:rPr>
                <w:rFonts w:ascii="Arial" w:hAnsi="Arial" w:cs="Arial"/>
                <w:sz w:val="18"/>
                <w:szCs w:val="18"/>
              </w:rPr>
            </w:pPr>
            <w:r w:rsidRPr="002565C4">
              <w:rPr>
                <w:rFonts w:ascii="Arial" w:hAnsi="Arial" w:cs="Arial"/>
                <w:sz w:val="18"/>
                <w:szCs w:val="18"/>
              </w:rPr>
              <w:t>- Male</w:t>
            </w:r>
          </w:p>
        </w:tc>
        <w:tc>
          <w:tcPr>
            <w:tcW w:w="930" w:type="dxa"/>
          </w:tcPr>
          <w:p w:rsidR="00A93726" w:rsidRPr="002565C4" w:rsidRDefault="00A93726" w:rsidP="00A93726">
            <w:pPr>
              <w:jc w:val="right"/>
              <w:rPr>
                <w:rFonts w:ascii="Arial" w:hAnsi="Arial" w:cs="Arial"/>
                <w:b/>
                <w:sz w:val="18"/>
                <w:szCs w:val="18"/>
              </w:rPr>
            </w:pPr>
          </w:p>
        </w:tc>
        <w:tc>
          <w:tcPr>
            <w:tcW w:w="1496" w:type="dxa"/>
            <w:vAlign w:val="bottom"/>
          </w:tcPr>
          <w:p w:rsidR="00A93726" w:rsidRPr="00EC5A81" w:rsidRDefault="00FD3C05" w:rsidP="00A93726">
            <w:pPr>
              <w:jc w:val="right"/>
              <w:rPr>
                <w:rFonts w:ascii="Arial" w:hAnsi="Arial" w:cs="Arial"/>
                <w:b/>
                <w:sz w:val="18"/>
                <w:szCs w:val="18"/>
              </w:rPr>
            </w:pPr>
            <w:r>
              <w:rPr>
                <w:rFonts w:ascii="Arial" w:hAnsi="Arial" w:cs="Arial"/>
                <w:b/>
                <w:sz w:val="18"/>
                <w:szCs w:val="18"/>
              </w:rPr>
              <w:t>87.2</w:t>
            </w:r>
          </w:p>
        </w:tc>
        <w:tc>
          <w:tcPr>
            <w:tcW w:w="1166" w:type="dxa"/>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87.1</w:t>
            </w:r>
          </w:p>
        </w:tc>
      </w:tr>
      <w:tr w:rsidR="00A93726" w:rsidRPr="002565C4" w:rsidTr="00A93726">
        <w:tc>
          <w:tcPr>
            <w:tcW w:w="6047" w:type="dxa"/>
            <w:gridSpan w:val="2"/>
            <w:shd w:val="clear" w:color="auto" w:fill="auto"/>
            <w:vAlign w:val="bottom"/>
          </w:tcPr>
          <w:p w:rsidR="00A93726" w:rsidRPr="002565C4" w:rsidRDefault="00A93726" w:rsidP="00A93726">
            <w:pPr>
              <w:ind w:right="-993"/>
              <w:jc w:val="both"/>
              <w:rPr>
                <w:rFonts w:ascii="Arial" w:hAnsi="Arial" w:cs="Arial"/>
                <w:sz w:val="18"/>
                <w:szCs w:val="18"/>
              </w:rPr>
            </w:pPr>
            <w:r w:rsidRPr="002565C4">
              <w:rPr>
                <w:rFonts w:ascii="Arial" w:hAnsi="Arial" w:cs="Arial"/>
                <w:sz w:val="18"/>
                <w:szCs w:val="18"/>
              </w:rPr>
              <w:t xml:space="preserve">- Female </w:t>
            </w:r>
          </w:p>
        </w:tc>
        <w:tc>
          <w:tcPr>
            <w:tcW w:w="930" w:type="dxa"/>
          </w:tcPr>
          <w:p w:rsidR="00A93726" w:rsidRPr="002565C4" w:rsidRDefault="00A93726" w:rsidP="00A93726">
            <w:pPr>
              <w:jc w:val="right"/>
              <w:rPr>
                <w:rFonts w:ascii="Arial" w:hAnsi="Arial" w:cs="Arial"/>
                <w:b/>
                <w:sz w:val="18"/>
                <w:szCs w:val="18"/>
              </w:rPr>
            </w:pPr>
          </w:p>
        </w:tc>
        <w:tc>
          <w:tcPr>
            <w:tcW w:w="1496" w:type="dxa"/>
            <w:vAlign w:val="bottom"/>
          </w:tcPr>
          <w:p w:rsidR="00A93726" w:rsidRPr="00EC5A81" w:rsidRDefault="00FD3C05" w:rsidP="00A93726">
            <w:pPr>
              <w:jc w:val="right"/>
              <w:rPr>
                <w:rFonts w:ascii="Arial" w:hAnsi="Arial" w:cs="Arial"/>
                <w:b/>
                <w:sz w:val="18"/>
                <w:szCs w:val="18"/>
              </w:rPr>
            </w:pPr>
            <w:r>
              <w:rPr>
                <w:rFonts w:ascii="Arial" w:hAnsi="Arial" w:cs="Arial"/>
                <w:b/>
                <w:sz w:val="18"/>
                <w:szCs w:val="18"/>
              </w:rPr>
              <w:t>88.9</w:t>
            </w:r>
          </w:p>
        </w:tc>
        <w:tc>
          <w:tcPr>
            <w:tcW w:w="1166" w:type="dxa"/>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88.8</w:t>
            </w:r>
          </w:p>
        </w:tc>
      </w:tr>
      <w:tr w:rsidR="00A93726" w:rsidRPr="002565C4" w:rsidTr="00A93726">
        <w:tc>
          <w:tcPr>
            <w:tcW w:w="6047" w:type="dxa"/>
            <w:gridSpan w:val="2"/>
            <w:shd w:val="clear" w:color="auto" w:fill="auto"/>
            <w:vAlign w:val="bottom"/>
          </w:tcPr>
          <w:p w:rsidR="00A93726" w:rsidRPr="002565C4" w:rsidRDefault="00A93726" w:rsidP="00A93726">
            <w:pPr>
              <w:ind w:right="-993"/>
              <w:jc w:val="both"/>
              <w:rPr>
                <w:rFonts w:ascii="Arial" w:hAnsi="Arial" w:cs="Arial"/>
                <w:sz w:val="18"/>
                <w:szCs w:val="18"/>
              </w:rPr>
            </w:pPr>
            <w:r w:rsidRPr="002565C4">
              <w:rPr>
                <w:rFonts w:ascii="Arial" w:hAnsi="Arial" w:cs="Arial"/>
                <w:sz w:val="18"/>
                <w:szCs w:val="18"/>
              </w:rPr>
              <w:t>Age to which future pensioners are expected to live (60 in 15 years</w:t>
            </w:r>
            <w:r>
              <w:rPr>
                <w:rFonts w:ascii="Arial" w:hAnsi="Arial" w:cs="Arial"/>
                <w:sz w:val="18"/>
                <w:szCs w:val="18"/>
              </w:rPr>
              <w:t>’ t</w:t>
            </w:r>
            <w:r w:rsidRPr="002565C4">
              <w:rPr>
                <w:rFonts w:ascii="Arial" w:hAnsi="Arial" w:cs="Arial"/>
                <w:sz w:val="18"/>
                <w:szCs w:val="18"/>
              </w:rPr>
              <w:t>ime)</w:t>
            </w:r>
          </w:p>
        </w:tc>
        <w:tc>
          <w:tcPr>
            <w:tcW w:w="930" w:type="dxa"/>
          </w:tcPr>
          <w:p w:rsidR="00A93726" w:rsidRPr="002565C4" w:rsidRDefault="00A93726" w:rsidP="00A93726">
            <w:pPr>
              <w:jc w:val="right"/>
              <w:rPr>
                <w:rFonts w:ascii="Arial" w:hAnsi="Arial" w:cs="Arial"/>
                <w:b/>
                <w:sz w:val="18"/>
                <w:szCs w:val="18"/>
              </w:rPr>
            </w:pPr>
          </w:p>
        </w:tc>
        <w:tc>
          <w:tcPr>
            <w:tcW w:w="1496" w:type="dxa"/>
            <w:vAlign w:val="bottom"/>
          </w:tcPr>
          <w:p w:rsidR="00A93726" w:rsidRPr="00EC5A81" w:rsidRDefault="00A93726" w:rsidP="00A93726">
            <w:pPr>
              <w:jc w:val="right"/>
              <w:rPr>
                <w:rFonts w:ascii="Arial" w:hAnsi="Arial" w:cs="Arial"/>
                <w:b/>
                <w:sz w:val="18"/>
                <w:szCs w:val="18"/>
              </w:rPr>
            </w:pPr>
          </w:p>
        </w:tc>
        <w:tc>
          <w:tcPr>
            <w:tcW w:w="1166" w:type="dxa"/>
            <w:vAlign w:val="bottom"/>
          </w:tcPr>
          <w:p w:rsidR="00A93726" w:rsidRPr="00A93726" w:rsidRDefault="00A93726" w:rsidP="00A93726">
            <w:pPr>
              <w:jc w:val="right"/>
              <w:rPr>
                <w:rFonts w:ascii="Arial" w:hAnsi="Arial" w:cs="Arial"/>
                <w:sz w:val="18"/>
                <w:szCs w:val="18"/>
              </w:rPr>
            </w:pPr>
          </w:p>
        </w:tc>
      </w:tr>
      <w:tr w:rsidR="00A93726" w:rsidRPr="002565C4" w:rsidTr="00A93726">
        <w:tc>
          <w:tcPr>
            <w:tcW w:w="6047" w:type="dxa"/>
            <w:gridSpan w:val="2"/>
            <w:shd w:val="clear" w:color="auto" w:fill="auto"/>
            <w:vAlign w:val="bottom"/>
          </w:tcPr>
          <w:p w:rsidR="00A93726" w:rsidRPr="002565C4" w:rsidRDefault="00A93726" w:rsidP="00A93726">
            <w:pPr>
              <w:ind w:right="-993"/>
              <w:jc w:val="both"/>
              <w:rPr>
                <w:rFonts w:ascii="Arial" w:hAnsi="Arial" w:cs="Arial"/>
                <w:sz w:val="18"/>
                <w:szCs w:val="18"/>
              </w:rPr>
            </w:pPr>
            <w:r w:rsidRPr="002565C4">
              <w:rPr>
                <w:rFonts w:ascii="Arial" w:hAnsi="Arial" w:cs="Arial"/>
                <w:sz w:val="18"/>
                <w:szCs w:val="18"/>
              </w:rPr>
              <w:t>- Male</w:t>
            </w:r>
          </w:p>
        </w:tc>
        <w:tc>
          <w:tcPr>
            <w:tcW w:w="930" w:type="dxa"/>
          </w:tcPr>
          <w:p w:rsidR="00A93726" w:rsidRPr="002565C4" w:rsidRDefault="00A93726" w:rsidP="00A93726">
            <w:pPr>
              <w:jc w:val="right"/>
              <w:rPr>
                <w:rFonts w:ascii="Arial" w:hAnsi="Arial" w:cs="Arial"/>
                <w:b/>
                <w:sz w:val="18"/>
                <w:szCs w:val="18"/>
              </w:rPr>
            </w:pPr>
          </w:p>
        </w:tc>
        <w:tc>
          <w:tcPr>
            <w:tcW w:w="1496" w:type="dxa"/>
            <w:vAlign w:val="bottom"/>
          </w:tcPr>
          <w:p w:rsidR="00A93726" w:rsidRPr="00EC5A81" w:rsidRDefault="00FD3C05" w:rsidP="00A93726">
            <w:pPr>
              <w:jc w:val="right"/>
              <w:rPr>
                <w:rFonts w:ascii="Arial" w:hAnsi="Arial" w:cs="Arial"/>
                <w:b/>
                <w:sz w:val="18"/>
                <w:szCs w:val="18"/>
              </w:rPr>
            </w:pPr>
            <w:r>
              <w:rPr>
                <w:rFonts w:ascii="Arial" w:hAnsi="Arial" w:cs="Arial"/>
                <w:b/>
                <w:sz w:val="18"/>
                <w:szCs w:val="18"/>
              </w:rPr>
              <w:t>88.4</w:t>
            </w:r>
          </w:p>
        </w:tc>
        <w:tc>
          <w:tcPr>
            <w:tcW w:w="1166" w:type="dxa"/>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88.3</w:t>
            </w:r>
          </w:p>
        </w:tc>
      </w:tr>
      <w:tr w:rsidR="00A93726" w:rsidRPr="002565C4" w:rsidTr="00A93726">
        <w:tc>
          <w:tcPr>
            <w:tcW w:w="6047" w:type="dxa"/>
            <w:gridSpan w:val="2"/>
            <w:tcBorders>
              <w:bottom w:val="single" w:sz="12" w:space="0" w:color="auto"/>
            </w:tcBorders>
            <w:shd w:val="clear" w:color="auto" w:fill="auto"/>
            <w:vAlign w:val="bottom"/>
          </w:tcPr>
          <w:p w:rsidR="00A93726" w:rsidRPr="002565C4" w:rsidRDefault="00A93726" w:rsidP="00A93726">
            <w:pPr>
              <w:ind w:right="-993"/>
              <w:jc w:val="both"/>
              <w:rPr>
                <w:rFonts w:ascii="Arial" w:hAnsi="Arial" w:cs="Arial"/>
                <w:sz w:val="18"/>
                <w:szCs w:val="18"/>
              </w:rPr>
            </w:pPr>
            <w:r w:rsidRPr="002565C4">
              <w:rPr>
                <w:rFonts w:ascii="Arial" w:hAnsi="Arial" w:cs="Arial"/>
                <w:sz w:val="18"/>
                <w:szCs w:val="18"/>
              </w:rPr>
              <w:t>- Female</w:t>
            </w:r>
          </w:p>
        </w:tc>
        <w:tc>
          <w:tcPr>
            <w:tcW w:w="930" w:type="dxa"/>
            <w:tcBorders>
              <w:bottom w:val="single" w:sz="12" w:space="0" w:color="auto"/>
            </w:tcBorders>
          </w:tcPr>
          <w:p w:rsidR="00A93726" w:rsidRPr="002565C4" w:rsidRDefault="00A93726" w:rsidP="00A93726">
            <w:pPr>
              <w:jc w:val="right"/>
              <w:rPr>
                <w:rFonts w:ascii="Arial" w:hAnsi="Arial" w:cs="Arial"/>
                <w:b/>
                <w:sz w:val="18"/>
                <w:szCs w:val="18"/>
              </w:rPr>
            </w:pPr>
          </w:p>
        </w:tc>
        <w:tc>
          <w:tcPr>
            <w:tcW w:w="1496" w:type="dxa"/>
            <w:tcBorders>
              <w:bottom w:val="single" w:sz="12" w:space="0" w:color="auto"/>
            </w:tcBorders>
            <w:vAlign w:val="bottom"/>
          </w:tcPr>
          <w:p w:rsidR="00A93726" w:rsidRPr="00EC5A81" w:rsidRDefault="00FD3C05" w:rsidP="00A93726">
            <w:pPr>
              <w:jc w:val="right"/>
              <w:rPr>
                <w:rFonts w:ascii="Arial" w:hAnsi="Arial" w:cs="Arial"/>
                <w:b/>
                <w:sz w:val="18"/>
                <w:szCs w:val="18"/>
              </w:rPr>
            </w:pPr>
            <w:r>
              <w:rPr>
                <w:rFonts w:ascii="Arial" w:hAnsi="Arial" w:cs="Arial"/>
                <w:b/>
                <w:sz w:val="18"/>
                <w:szCs w:val="18"/>
              </w:rPr>
              <w:t>90.8</w:t>
            </w:r>
          </w:p>
        </w:tc>
        <w:tc>
          <w:tcPr>
            <w:tcW w:w="1166" w:type="dxa"/>
            <w:tcBorders>
              <w:bottom w:val="single" w:sz="12" w:space="0" w:color="auto"/>
            </w:tcBorders>
            <w:vAlign w:val="bottom"/>
          </w:tcPr>
          <w:p w:rsidR="00A93726" w:rsidRPr="00A93726" w:rsidRDefault="00A93726" w:rsidP="00A93726">
            <w:pPr>
              <w:jc w:val="right"/>
              <w:rPr>
                <w:rFonts w:ascii="Arial" w:hAnsi="Arial" w:cs="Arial"/>
                <w:sz w:val="18"/>
                <w:szCs w:val="18"/>
              </w:rPr>
            </w:pPr>
            <w:r w:rsidRPr="00A93726">
              <w:rPr>
                <w:rFonts w:ascii="Arial" w:hAnsi="Arial" w:cs="Arial"/>
                <w:sz w:val="18"/>
                <w:szCs w:val="18"/>
              </w:rPr>
              <w:t>90.7</w:t>
            </w:r>
          </w:p>
        </w:tc>
      </w:tr>
    </w:tbl>
    <w:p w:rsidR="000D6142" w:rsidRDefault="000D6142" w:rsidP="000D6142">
      <w:pPr>
        <w:ind w:right="53"/>
        <w:rPr>
          <w:rFonts w:ascii="Arial" w:hAnsi="Arial" w:cs="Arial"/>
          <w:sz w:val="18"/>
          <w:szCs w:val="18"/>
        </w:rPr>
      </w:pPr>
    </w:p>
    <w:p w:rsidR="000D6142" w:rsidRPr="00B74A6B" w:rsidRDefault="000D6142" w:rsidP="00BA0967">
      <w:pPr>
        <w:ind w:right="53"/>
        <w:jc w:val="both"/>
        <w:rPr>
          <w:rFonts w:ascii="Arial" w:hAnsi="Arial" w:cs="Arial"/>
          <w:sz w:val="18"/>
          <w:szCs w:val="18"/>
        </w:rPr>
      </w:pPr>
      <w:r w:rsidRPr="00EC5A81">
        <w:rPr>
          <w:rFonts w:ascii="Arial" w:hAnsi="Arial" w:cs="Arial"/>
          <w:sz w:val="18"/>
          <w:szCs w:val="18"/>
        </w:rPr>
        <w:t xml:space="preserve">The following sensitivity analysis for the UK scheme shows the estimated impact on </w:t>
      </w:r>
      <w:r w:rsidR="0023399A" w:rsidRPr="00EC5A81">
        <w:rPr>
          <w:rFonts w:ascii="Arial" w:hAnsi="Arial" w:cs="Arial"/>
          <w:sz w:val="18"/>
          <w:szCs w:val="18"/>
        </w:rPr>
        <w:t xml:space="preserve">the </w:t>
      </w:r>
      <w:r w:rsidRPr="00EC5A81">
        <w:rPr>
          <w:rFonts w:ascii="Arial" w:hAnsi="Arial" w:cs="Arial"/>
          <w:sz w:val="18"/>
          <w:szCs w:val="18"/>
        </w:rPr>
        <w:t xml:space="preserve">obligation resulting from </w:t>
      </w:r>
      <w:r w:rsidRPr="00B74A6B">
        <w:rPr>
          <w:rFonts w:ascii="Arial" w:hAnsi="Arial" w:cs="Arial"/>
          <w:sz w:val="18"/>
          <w:szCs w:val="18"/>
        </w:rPr>
        <w:t>changes to key actuarial assumptions, whilst holding all other assumptions constant.</w:t>
      </w:r>
    </w:p>
    <w:p w:rsidR="000D6142" w:rsidRPr="00B74A6B" w:rsidRDefault="000D6142" w:rsidP="000D6142">
      <w:pPr>
        <w:ind w:right="53"/>
        <w:jc w:val="both"/>
        <w:rPr>
          <w:rFonts w:ascii="Arial" w:hAnsi="Arial" w:cs="Arial"/>
          <w:sz w:val="18"/>
          <w:szCs w:val="18"/>
        </w:rPr>
      </w:pPr>
    </w:p>
    <w:tbl>
      <w:tblPr>
        <w:tblW w:w="5000" w:type="pct"/>
        <w:tblLook w:val="01E0" w:firstRow="1" w:lastRow="1" w:firstColumn="1" w:lastColumn="1" w:noHBand="0" w:noVBand="0"/>
      </w:tblPr>
      <w:tblGrid>
        <w:gridCol w:w="2398"/>
        <w:gridCol w:w="3839"/>
        <w:gridCol w:w="3402"/>
      </w:tblGrid>
      <w:tr w:rsidR="000D6142" w:rsidRPr="00B74A6B" w:rsidTr="001606EE">
        <w:tc>
          <w:tcPr>
            <w:tcW w:w="2398" w:type="dxa"/>
            <w:tcBorders>
              <w:bottom w:val="single" w:sz="4" w:space="0" w:color="auto"/>
            </w:tcBorders>
            <w:shd w:val="clear" w:color="auto" w:fill="auto"/>
            <w:vAlign w:val="bottom"/>
          </w:tcPr>
          <w:p w:rsidR="000D6142" w:rsidRPr="00B74A6B" w:rsidRDefault="000D6142" w:rsidP="002565C4">
            <w:pPr>
              <w:ind w:right="-993"/>
              <w:jc w:val="both"/>
              <w:rPr>
                <w:rFonts w:ascii="Arial" w:hAnsi="Arial" w:cs="Arial"/>
                <w:sz w:val="18"/>
                <w:szCs w:val="18"/>
              </w:rPr>
            </w:pPr>
            <w:r w:rsidRPr="00B74A6B">
              <w:rPr>
                <w:rFonts w:ascii="Arial" w:hAnsi="Arial" w:cs="Arial"/>
                <w:sz w:val="18"/>
                <w:szCs w:val="18"/>
              </w:rPr>
              <w:t>Assumption</w:t>
            </w:r>
          </w:p>
        </w:tc>
        <w:tc>
          <w:tcPr>
            <w:tcW w:w="3839" w:type="dxa"/>
            <w:tcBorders>
              <w:bottom w:val="single" w:sz="4" w:space="0" w:color="auto"/>
            </w:tcBorders>
            <w:shd w:val="clear" w:color="auto" w:fill="auto"/>
            <w:vAlign w:val="bottom"/>
          </w:tcPr>
          <w:p w:rsidR="000D6142" w:rsidRPr="00B74A6B" w:rsidRDefault="000D6142" w:rsidP="002565C4">
            <w:pPr>
              <w:jc w:val="right"/>
              <w:rPr>
                <w:rFonts w:ascii="Arial" w:hAnsi="Arial" w:cs="Arial"/>
                <w:sz w:val="18"/>
                <w:szCs w:val="18"/>
              </w:rPr>
            </w:pPr>
            <w:r w:rsidRPr="00B74A6B">
              <w:rPr>
                <w:rFonts w:ascii="Arial" w:hAnsi="Arial" w:cs="Arial"/>
                <w:sz w:val="18"/>
                <w:szCs w:val="18"/>
              </w:rPr>
              <w:t>Change in assumption</w:t>
            </w:r>
          </w:p>
        </w:tc>
        <w:tc>
          <w:tcPr>
            <w:tcW w:w="3402" w:type="dxa"/>
            <w:tcBorders>
              <w:bottom w:val="single" w:sz="4" w:space="0" w:color="auto"/>
            </w:tcBorders>
            <w:shd w:val="clear" w:color="auto" w:fill="auto"/>
            <w:vAlign w:val="bottom"/>
          </w:tcPr>
          <w:p w:rsidR="000D6142" w:rsidRPr="00B74A6B" w:rsidRDefault="000D6142" w:rsidP="002565C4">
            <w:pPr>
              <w:jc w:val="right"/>
              <w:rPr>
                <w:rFonts w:ascii="Arial" w:hAnsi="Arial" w:cs="Arial"/>
                <w:sz w:val="18"/>
                <w:szCs w:val="18"/>
              </w:rPr>
            </w:pPr>
            <w:r w:rsidRPr="00B74A6B">
              <w:rPr>
                <w:rFonts w:ascii="Arial" w:hAnsi="Arial" w:cs="Arial"/>
                <w:sz w:val="18"/>
                <w:szCs w:val="18"/>
              </w:rPr>
              <w:t>Impact on defined benefit obligation</w:t>
            </w:r>
          </w:p>
        </w:tc>
      </w:tr>
      <w:tr w:rsidR="00B74A6B" w:rsidRPr="00B74A6B" w:rsidTr="001606EE">
        <w:tc>
          <w:tcPr>
            <w:tcW w:w="2398" w:type="dxa"/>
            <w:tcBorders>
              <w:top w:val="single" w:sz="4" w:space="0" w:color="auto"/>
            </w:tcBorders>
            <w:shd w:val="clear" w:color="auto" w:fill="auto"/>
            <w:vAlign w:val="bottom"/>
          </w:tcPr>
          <w:p w:rsidR="00B74A6B" w:rsidRPr="00B74A6B" w:rsidRDefault="00B74A6B" w:rsidP="00B74A6B">
            <w:pPr>
              <w:ind w:right="-993"/>
              <w:jc w:val="both"/>
              <w:rPr>
                <w:rFonts w:ascii="Arial" w:hAnsi="Arial" w:cs="Arial"/>
                <w:sz w:val="18"/>
                <w:szCs w:val="18"/>
              </w:rPr>
            </w:pPr>
            <w:r w:rsidRPr="00B74A6B">
              <w:rPr>
                <w:rFonts w:ascii="Arial" w:hAnsi="Arial" w:cs="Arial"/>
                <w:sz w:val="18"/>
                <w:szCs w:val="18"/>
              </w:rPr>
              <w:t>Discount rate</w:t>
            </w:r>
          </w:p>
        </w:tc>
        <w:tc>
          <w:tcPr>
            <w:tcW w:w="3839" w:type="dxa"/>
            <w:tcBorders>
              <w:top w:val="single" w:sz="4" w:space="0" w:color="auto"/>
            </w:tcBorders>
            <w:shd w:val="clear" w:color="auto" w:fill="auto"/>
            <w:vAlign w:val="bottom"/>
          </w:tcPr>
          <w:p w:rsidR="00B74A6B" w:rsidRPr="00B74A6B" w:rsidRDefault="00B74A6B" w:rsidP="00B74A6B">
            <w:pPr>
              <w:jc w:val="right"/>
              <w:rPr>
                <w:rFonts w:ascii="Arial" w:hAnsi="Arial" w:cs="Arial"/>
                <w:sz w:val="18"/>
                <w:szCs w:val="18"/>
              </w:rPr>
            </w:pPr>
            <w:r w:rsidRPr="00B74A6B">
              <w:rPr>
                <w:rFonts w:ascii="Arial" w:hAnsi="Arial" w:cs="Arial"/>
                <w:sz w:val="18"/>
                <w:szCs w:val="18"/>
              </w:rPr>
              <w:t>Increase/decrease by 0.</w:t>
            </w:r>
            <w:r w:rsidR="00426A81">
              <w:rPr>
                <w:rFonts w:ascii="Arial" w:hAnsi="Arial" w:cs="Arial"/>
                <w:sz w:val="18"/>
                <w:szCs w:val="18"/>
              </w:rPr>
              <w:t>5</w:t>
            </w:r>
            <w:r w:rsidRPr="00B74A6B">
              <w:rPr>
                <w:rFonts w:ascii="Arial" w:hAnsi="Arial" w:cs="Arial"/>
                <w:sz w:val="18"/>
                <w:szCs w:val="18"/>
              </w:rPr>
              <w:t>%</w:t>
            </w:r>
          </w:p>
        </w:tc>
        <w:tc>
          <w:tcPr>
            <w:tcW w:w="3402" w:type="dxa"/>
            <w:tcBorders>
              <w:top w:val="single" w:sz="4" w:space="0" w:color="auto"/>
            </w:tcBorders>
            <w:shd w:val="clear" w:color="auto" w:fill="auto"/>
            <w:vAlign w:val="bottom"/>
          </w:tcPr>
          <w:p w:rsidR="00B74A6B" w:rsidRPr="001B5EFC" w:rsidRDefault="00843046" w:rsidP="00B74A6B">
            <w:pPr>
              <w:jc w:val="right"/>
              <w:rPr>
                <w:rFonts w:ascii="Arial" w:hAnsi="Arial" w:cs="Arial"/>
                <w:sz w:val="18"/>
                <w:szCs w:val="18"/>
              </w:rPr>
            </w:pPr>
            <w:r w:rsidRPr="001B5EFC">
              <w:rPr>
                <w:rFonts w:ascii="Arial" w:hAnsi="Arial" w:cs="Arial"/>
                <w:sz w:val="18"/>
                <w:szCs w:val="18"/>
              </w:rPr>
              <w:t>Decrease/increase by £</w:t>
            </w:r>
            <w:r w:rsidR="00426A81">
              <w:rPr>
                <w:rFonts w:ascii="Arial" w:hAnsi="Arial" w:cs="Arial"/>
                <w:sz w:val="18"/>
                <w:szCs w:val="18"/>
              </w:rPr>
              <w:t>3</w:t>
            </w:r>
            <w:r w:rsidR="00190480">
              <w:rPr>
                <w:rFonts w:ascii="Arial" w:hAnsi="Arial" w:cs="Arial"/>
                <w:sz w:val="18"/>
                <w:szCs w:val="18"/>
              </w:rPr>
              <w:t>33</w:t>
            </w:r>
            <w:r w:rsidR="00B74A6B" w:rsidRPr="001B5EFC">
              <w:rPr>
                <w:rFonts w:ascii="Arial" w:hAnsi="Arial" w:cs="Arial"/>
                <w:sz w:val="18"/>
                <w:szCs w:val="18"/>
              </w:rPr>
              <w:t>m</w:t>
            </w:r>
          </w:p>
        </w:tc>
      </w:tr>
      <w:tr w:rsidR="00B74A6B" w:rsidRPr="00B74A6B" w:rsidTr="001606EE">
        <w:tc>
          <w:tcPr>
            <w:tcW w:w="2398" w:type="dxa"/>
            <w:shd w:val="clear" w:color="auto" w:fill="auto"/>
            <w:vAlign w:val="bottom"/>
          </w:tcPr>
          <w:p w:rsidR="00B74A6B" w:rsidRPr="00B74A6B" w:rsidRDefault="00B74A6B" w:rsidP="00B74A6B">
            <w:pPr>
              <w:ind w:right="-993"/>
              <w:jc w:val="both"/>
              <w:rPr>
                <w:rFonts w:ascii="Arial" w:hAnsi="Arial" w:cs="Arial"/>
                <w:sz w:val="18"/>
                <w:szCs w:val="18"/>
              </w:rPr>
            </w:pPr>
            <w:r w:rsidRPr="00B74A6B">
              <w:rPr>
                <w:rFonts w:ascii="Arial" w:hAnsi="Arial" w:cs="Arial"/>
                <w:sz w:val="18"/>
                <w:szCs w:val="18"/>
              </w:rPr>
              <w:t>Price inflation</w:t>
            </w:r>
          </w:p>
        </w:tc>
        <w:tc>
          <w:tcPr>
            <w:tcW w:w="3839" w:type="dxa"/>
            <w:shd w:val="clear" w:color="auto" w:fill="auto"/>
            <w:vAlign w:val="bottom"/>
          </w:tcPr>
          <w:p w:rsidR="00B74A6B" w:rsidRPr="00B74A6B" w:rsidRDefault="00B74A6B" w:rsidP="00B74A6B">
            <w:pPr>
              <w:jc w:val="right"/>
              <w:rPr>
                <w:rFonts w:ascii="Arial" w:hAnsi="Arial" w:cs="Arial"/>
                <w:sz w:val="18"/>
                <w:szCs w:val="18"/>
              </w:rPr>
            </w:pPr>
            <w:r w:rsidRPr="00B74A6B">
              <w:rPr>
                <w:rFonts w:ascii="Arial" w:hAnsi="Arial" w:cs="Arial"/>
                <w:sz w:val="18"/>
                <w:szCs w:val="18"/>
              </w:rPr>
              <w:t>Increase/decrease by 0.</w:t>
            </w:r>
            <w:r w:rsidR="00426A81">
              <w:rPr>
                <w:rFonts w:ascii="Arial" w:hAnsi="Arial" w:cs="Arial"/>
                <w:sz w:val="18"/>
                <w:szCs w:val="18"/>
              </w:rPr>
              <w:t>5</w:t>
            </w:r>
            <w:r w:rsidRPr="00B74A6B">
              <w:rPr>
                <w:rFonts w:ascii="Arial" w:hAnsi="Arial" w:cs="Arial"/>
                <w:sz w:val="18"/>
                <w:szCs w:val="18"/>
              </w:rPr>
              <w:t>%</w:t>
            </w:r>
          </w:p>
        </w:tc>
        <w:tc>
          <w:tcPr>
            <w:tcW w:w="3402" w:type="dxa"/>
            <w:shd w:val="clear" w:color="auto" w:fill="auto"/>
            <w:vAlign w:val="bottom"/>
          </w:tcPr>
          <w:p w:rsidR="00B74A6B" w:rsidRPr="001B5EFC" w:rsidRDefault="000E253E" w:rsidP="00B74A6B">
            <w:pPr>
              <w:jc w:val="right"/>
              <w:rPr>
                <w:rFonts w:ascii="Arial" w:hAnsi="Arial" w:cs="Arial"/>
                <w:sz w:val="18"/>
                <w:szCs w:val="18"/>
              </w:rPr>
            </w:pPr>
            <w:r w:rsidRPr="001B5EFC">
              <w:rPr>
                <w:rFonts w:ascii="Arial" w:hAnsi="Arial" w:cs="Arial"/>
                <w:sz w:val="18"/>
                <w:szCs w:val="18"/>
              </w:rPr>
              <w:t>Increase/decrease by £</w:t>
            </w:r>
            <w:r w:rsidR="00426A81">
              <w:rPr>
                <w:rFonts w:ascii="Arial" w:hAnsi="Arial" w:cs="Arial"/>
                <w:sz w:val="18"/>
                <w:szCs w:val="18"/>
              </w:rPr>
              <w:t>2</w:t>
            </w:r>
            <w:r w:rsidR="00190480">
              <w:rPr>
                <w:rFonts w:ascii="Arial" w:hAnsi="Arial" w:cs="Arial"/>
                <w:sz w:val="18"/>
                <w:szCs w:val="18"/>
              </w:rPr>
              <w:t>66</w:t>
            </w:r>
            <w:r w:rsidR="00B74A6B" w:rsidRPr="001B5EFC">
              <w:rPr>
                <w:rFonts w:ascii="Arial" w:hAnsi="Arial" w:cs="Arial"/>
                <w:sz w:val="18"/>
                <w:szCs w:val="18"/>
              </w:rPr>
              <w:t>m</w:t>
            </w:r>
          </w:p>
        </w:tc>
      </w:tr>
      <w:tr w:rsidR="00B74A6B" w:rsidRPr="00B74A6B" w:rsidTr="001606EE">
        <w:tc>
          <w:tcPr>
            <w:tcW w:w="2398" w:type="dxa"/>
            <w:tcBorders>
              <w:bottom w:val="single" w:sz="12" w:space="0" w:color="auto"/>
            </w:tcBorders>
            <w:shd w:val="clear" w:color="auto" w:fill="auto"/>
            <w:vAlign w:val="bottom"/>
          </w:tcPr>
          <w:p w:rsidR="00B74A6B" w:rsidRPr="00B74A6B" w:rsidRDefault="00B74A6B" w:rsidP="00B74A6B">
            <w:pPr>
              <w:ind w:right="-993"/>
              <w:jc w:val="both"/>
              <w:rPr>
                <w:rFonts w:ascii="Arial" w:hAnsi="Arial" w:cs="Arial"/>
                <w:sz w:val="18"/>
                <w:szCs w:val="18"/>
              </w:rPr>
            </w:pPr>
            <w:r w:rsidRPr="00B74A6B">
              <w:rPr>
                <w:rFonts w:ascii="Arial" w:hAnsi="Arial" w:cs="Arial"/>
                <w:sz w:val="18"/>
                <w:szCs w:val="18"/>
              </w:rPr>
              <w:t>Mortality</w:t>
            </w:r>
          </w:p>
        </w:tc>
        <w:tc>
          <w:tcPr>
            <w:tcW w:w="3839" w:type="dxa"/>
            <w:tcBorders>
              <w:bottom w:val="single" w:sz="12" w:space="0" w:color="auto"/>
            </w:tcBorders>
            <w:shd w:val="clear" w:color="auto" w:fill="auto"/>
            <w:vAlign w:val="bottom"/>
          </w:tcPr>
          <w:p w:rsidR="00B74A6B" w:rsidRPr="00B74A6B" w:rsidRDefault="00B74A6B" w:rsidP="00B74A6B">
            <w:pPr>
              <w:jc w:val="right"/>
              <w:rPr>
                <w:rFonts w:ascii="Arial" w:hAnsi="Arial" w:cs="Arial"/>
                <w:sz w:val="18"/>
                <w:szCs w:val="18"/>
              </w:rPr>
            </w:pPr>
            <w:r w:rsidRPr="00B74A6B">
              <w:rPr>
                <w:rFonts w:ascii="Arial" w:hAnsi="Arial" w:cs="Arial"/>
                <w:sz w:val="18"/>
                <w:szCs w:val="18"/>
              </w:rPr>
              <w:t>Increase in life expectancy by one year</w:t>
            </w:r>
          </w:p>
        </w:tc>
        <w:tc>
          <w:tcPr>
            <w:tcW w:w="3402" w:type="dxa"/>
            <w:tcBorders>
              <w:bottom w:val="single" w:sz="12" w:space="0" w:color="auto"/>
            </w:tcBorders>
            <w:shd w:val="clear" w:color="auto" w:fill="auto"/>
            <w:vAlign w:val="bottom"/>
          </w:tcPr>
          <w:p w:rsidR="00B74A6B" w:rsidRPr="001B5EFC" w:rsidRDefault="00843046" w:rsidP="00B74A6B">
            <w:pPr>
              <w:jc w:val="right"/>
              <w:rPr>
                <w:rFonts w:ascii="Arial" w:hAnsi="Arial" w:cs="Arial"/>
                <w:sz w:val="18"/>
                <w:szCs w:val="18"/>
              </w:rPr>
            </w:pPr>
            <w:r w:rsidRPr="001B5EFC">
              <w:rPr>
                <w:rFonts w:ascii="Arial" w:hAnsi="Arial" w:cs="Arial"/>
                <w:sz w:val="18"/>
                <w:szCs w:val="18"/>
              </w:rPr>
              <w:t>Increase by £9</w:t>
            </w:r>
            <w:r w:rsidR="001B5EFC" w:rsidRPr="001B5EFC">
              <w:rPr>
                <w:rFonts w:ascii="Arial" w:hAnsi="Arial" w:cs="Arial"/>
                <w:sz w:val="18"/>
                <w:szCs w:val="18"/>
              </w:rPr>
              <w:t>9</w:t>
            </w:r>
            <w:r w:rsidR="00B74A6B" w:rsidRPr="001B5EFC">
              <w:rPr>
                <w:rFonts w:ascii="Arial" w:hAnsi="Arial" w:cs="Arial"/>
                <w:sz w:val="18"/>
                <w:szCs w:val="18"/>
              </w:rPr>
              <w:t>m</w:t>
            </w:r>
          </w:p>
        </w:tc>
      </w:tr>
    </w:tbl>
    <w:p w:rsidR="00DC25B4" w:rsidRPr="00EF1091" w:rsidRDefault="00C84CF0">
      <w:pPr>
        <w:rPr>
          <w:rFonts w:ascii="Arial" w:hAnsi="Arial" w:cs="Arial"/>
          <w:sz w:val="18"/>
          <w:szCs w:val="18"/>
        </w:rPr>
      </w:pPr>
      <w:r>
        <w:rPr>
          <w:rFonts w:ascii="Arial" w:hAnsi="Arial" w:cs="Arial"/>
          <w:sz w:val="18"/>
          <w:szCs w:val="18"/>
        </w:rPr>
        <w:br w:type="page"/>
      </w:r>
    </w:p>
    <w:p w:rsidR="00DC25B4" w:rsidRPr="00EF1091" w:rsidRDefault="007B1AD5" w:rsidP="00D5655F">
      <w:pPr>
        <w:ind w:hanging="540"/>
        <w:rPr>
          <w:rFonts w:ascii="Arial" w:hAnsi="Arial" w:cs="Arial"/>
          <w:b/>
          <w:sz w:val="18"/>
          <w:szCs w:val="18"/>
        </w:rPr>
      </w:pPr>
      <w:r>
        <w:rPr>
          <w:rFonts w:ascii="Arial" w:hAnsi="Arial" w:cs="Arial"/>
          <w:b/>
          <w:sz w:val="18"/>
          <w:szCs w:val="18"/>
        </w:rPr>
        <w:lastRenderedPageBreak/>
        <w:t>1</w:t>
      </w:r>
      <w:r w:rsidR="000D44B7">
        <w:rPr>
          <w:rFonts w:ascii="Arial" w:hAnsi="Arial" w:cs="Arial"/>
          <w:b/>
          <w:sz w:val="18"/>
          <w:szCs w:val="18"/>
        </w:rPr>
        <w:t>0</w:t>
      </w:r>
      <w:r w:rsidR="00DC25B4" w:rsidRPr="00EF1091">
        <w:rPr>
          <w:rFonts w:ascii="Arial" w:hAnsi="Arial" w:cs="Arial"/>
          <w:b/>
          <w:sz w:val="18"/>
          <w:szCs w:val="18"/>
        </w:rPr>
        <w:tab/>
      </w:r>
      <w:r w:rsidR="00E82DA8">
        <w:rPr>
          <w:rFonts w:ascii="Arial" w:hAnsi="Arial" w:cs="Arial"/>
          <w:b/>
          <w:sz w:val="18"/>
          <w:szCs w:val="18"/>
        </w:rPr>
        <w:t>Cash generated by operations</w:t>
      </w:r>
    </w:p>
    <w:p w:rsidR="00DC25B4" w:rsidRDefault="00DC25B4" w:rsidP="00A70836">
      <w:pPr>
        <w:pStyle w:val="Header"/>
        <w:tabs>
          <w:tab w:val="clear" w:pos="4153"/>
          <w:tab w:val="clear" w:pos="8306"/>
        </w:tabs>
      </w:pPr>
    </w:p>
    <w:tbl>
      <w:tblPr>
        <w:tblW w:w="5000" w:type="pct"/>
        <w:tblLook w:val="0000" w:firstRow="0" w:lastRow="0" w:firstColumn="0" w:lastColumn="0" w:noHBand="0" w:noVBand="0"/>
      </w:tblPr>
      <w:tblGrid>
        <w:gridCol w:w="7574"/>
        <w:gridCol w:w="1041"/>
        <w:gridCol w:w="1024"/>
      </w:tblGrid>
      <w:tr w:rsidR="00CF1FC2" w:rsidRPr="00232C68" w:rsidTr="001606EE">
        <w:trPr>
          <w:trHeight w:val="255"/>
        </w:trPr>
        <w:tc>
          <w:tcPr>
            <w:tcW w:w="3929" w:type="pct"/>
            <w:tcBorders>
              <w:top w:val="nil"/>
              <w:left w:val="nil"/>
              <w:bottom w:val="single" w:sz="4" w:space="0" w:color="auto"/>
              <w:right w:val="nil"/>
            </w:tcBorders>
            <w:shd w:val="clear" w:color="auto" w:fill="auto"/>
            <w:noWrap/>
            <w:vAlign w:val="bottom"/>
          </w:tcPr>
          <w:p w:rsidR="00CF1FC2" w:rsidRPr="00232C68" w:rsidRDefault="00CF1FC2" w:rsidP="00CF1FC2">
            <w:pPr>
              <w:rPr>
                <w:rFonts w:ascii="Arial" w:hAnsi="Arial" w:cs="Arial"/>
                <w:sz w:val="18"/>
                <w:szCs w:val="18"/>
              </w:rPr>
            </w:pPr>
            <w:r w:rsidRPr="00232C68">
              <w:rPr>
                <w:rFonts w:ascii="Arial" w:hAnsi="Arial" w:cs="Arial"/>
                <w:sz w:val="18"/>
                <w:szCs w:val="18"/>
              </w:rPr>
              <w:t>£ millions</w:t>
            </w:r>
          </w:p>
        </w:tc>
        <w:tc>
          <w:tcPr>
            <w:tcW w:w="540" w:type="pct"/>
            <w:tcBorders>
              <w:top w:val="nil"/>
              <w:left w:val="nil"/>
              <w:bottom w:val="single" w:sz="4" w:space="0" w:color="auto"/>
              <w:right w:val="nil"/>
            </w:tcBorders>
            <w:shd w:val="clear" w:color="auto" w:fill="auto"/>
            <w:noWrap/>
            <w:vAlign w:val="bottom"/>
          </w:tcPr>
          <w:p w:rsidR="00CF1FC2" w:rsidRPr="00EF1091" w:rsidRDefault="008328D7" w:rsidP="008328D7">
            <w:pPr>
              <w:jc w:val="right"/>
              <w:rPr>
                <w:rFonts w:ascii="Arial" w:hAnsi="Arial" w:cs="Arial"/>
                <w:sz w:val="18"/>
                <w:szCs w:val="18"/>
              </w:rPr>
            </w:pPr>
            <w:r>
              <w:rPr>
                <w:rFonts w:ascii="Arial" w:hAnsi="Arial" w:cs="Arial"/>
                <w:sz w:val="18"/>
                <w:szCs w:val="18"/>
              </w:rPr>
              <w:t>2017</w:t>
            </w:r>
            <w:r w:rsidR="00CF1FC2">
              <w:rPr>
                <w:rFonts w:ascii="Arial" w:hAnsi="Arial" w:cs="Arial"/>
                <w:sz w:val="18"/>
                <w:szCs w:val="18"/>
              </w:rPr>
              <w:t>/1</w:t>
            </w:r>
            <w:r>
              <w:rPr>
                <w:rFonts w:ascii="Arial" w:hAnsi="Arial" w:cs="Arial"/>
                <w:sz w:val="18"/>
                <w:szCs w:val="18"/>
              </w:rPr>
              <w:t>8</w:t>
            </w:r>
          </w:p>
        </w:tc>
        <w:tc>
          <w:tcPr>
            <w:tcW w:w="531" w:type="pct"/>
            <w:tcBorders>
              <w:top w:val="nil"/>
              <w:left w:val="nil"/>
              <w:bottom w:val="single" w:sz="4" w:space="0" w:color="auto"/>
              <w:right w:val="nil"/>
            </w:tcBorders>
            <w:vAlign w:val="bottom"/>
          </w:tcPr>
          <w:p w:rsidR="00CF1FC2" w:rsidRPr="00EF1091" w:rsidRDefault="005F4DFB" w:rsidP="008328D7">
            <w:pPr>
              <w:jc w:val="right"/>
              <w:rPr>
                <w:rFonts w:ascii="Arial" w:hAnsi="Arial" w:cs="Arial"/>
                <w:sz w:val="18"/>
                <w:szCs w:val="18"/>
              </w:rPr>
            </w:pPr>
            <w:r>
              <w:rPr>
                <w:rFonts w:ascii="Arial" w:hAnsi="Arial" w:cs="Arial"/>
                <w:sz w:val="18"/>
                <w:szCs w:val="18"/>
              </w:rPr>
              <w:t>201</w:t>
            </w:r>
            <w:r w:rsidR="008328D7">
              <w:rPr>
                <w:rFonts w:ascii="Arial" w:hAnsi="Arial" w:cs="Arial"/>
                <w:sz w:val="18"/>
                <w:szCs w:val="18"/>
              </w:rPr>
              <w:t>6</w:t>
            </w:r>
            <w:r w:rsidR="00CF1FC2">
              <w:rPr>
                <w:rFonts w:ascii="Arial" w:hAnsi="Arial" w:cs="Arial"/>
                <w:sz w:val="18"/>
                <w:szCs w:val="18"/>
              </w:rPr>
              <w:t>/1</w:t>
            </w:r>
            <w:r w:rsidR="008328D7">
              <w:rPr>
                <w:rFonts w:ascii="Arial" w:hAnsi="Arial" w:cs="Arial"/>
                <w:sz w:val="18"/>
                <w:szCs w:val="18"/>
              </w:rPr>
              <w:t>7</w:t>
            </w:r>
          </w:p>
        </w:tc>
      </w:tr>
      <w:tr w:rsidR="008328D7" w:rsidRPr="00232C68" w:rsidTr="001606EE">
        <w:trPr>
          <w:trHeight w:val="255"/>
        </w:trPr>
        <w:tc>
          <w:tcPr>
            <w:tcW w:w="3929" w:type="pct"/>
            <w:tcBorders>
              <w:top w:val="nil"/>
              <w:left w:val="nil"/>
              <w:bottom w:val="nil"/>
              <w:right w:val="nil"/>
            </w:tcBorders>
            <w:shd w:val="clear" w:color="auto" w:fill="auto"/>
            <w:noWrap/>
            <w:vAlign w:val="bottom"/>
          </w:tcPr>
          <w:p w:rsidR="008328D7" w:rsidRPr="002A7D7A" w:rsidRDefault="008328D7" w:rsidP="008328D7">
            <w:pPr>
              <w:rPr>
                <w:rFonts w:ascii="Arial" w:hAnsi="Arial" w:cs="Arial"/>
                <w:b/>
                <w:sz w:val="18"/>
                <w:szCs w:val="18"/>
              </w:rPr>
            </w:pPr>
            <w:r>
              <w:rPr>
                <w:rFonts w:ascii="Arial" w:hAnsi="Arial" w:cs="Arial"/>
                <w:b/>
                <w:sz w:val="18"/>
                <w:szCs w:val="18"/>
              </w:rPr>
              <w:t>O</w:t>
            </w:r>
            <w:r w:rsidRPr="002A7D7A">
              <w:rPr>
                <w:rFonts w:ascii="Arial" w:hAnsi="Arial" w:cs="Arial"/>
                <w:b/>
                <w:sz w:val="18"/>
                <w:szCs w:val="18"/>
              </w:rPr>
              <w:t>perating profit</w:t>
            </w:r>
          </w:p>
        </w:tc>
        <w:tc>
          <w:tcPr>
            <w:tcW w:w="540" w:type="pct"/>
            <w:tcBorders>
              <w:top w:val="nil"/>
              <w:left w:val="nil"/>
              <w:bottom w:val="nil"/>
              <w:right w:val="nil"/>
            </w:tcBorders>
            <w:shd w:val="clear" w:color="auto" w:fill="auto"/>
            <w:noWrap/>
            <w:vAlign w:val="bottom"/>
          </w:tcPr>
          <w:p w:rsidR="008328D7" w:rsidRPr="00E83BC7" w:rsidRDefault="009D257F" w:rsidP="008328D7">
            <w:pPr>
              <w:jc w:val="right"/>
              <w:rPr>
                <w:rFonts w:ascii="Arial" w:hAnsi="Arial" w:cs="Arial"/>
                <w:b/>
                <w:bCs/>
                <w:sz w:val="18"/>
                <w:szCs w:val="18"/>
              </w:rPr>
            </w:pPr>
            <w:r>
              <w:rPr>
                <w:rFonts w:ascii="Arial" w:hAnsi="Arial" w:cs="Arial"/>
                <w:b/>
                <w:bCs/>
                <w:sz w:val="18"/>
                <w:szCs w:val="18"/>
              </w:rPr>
              <w:t>685</w:t>
            </w:r>
          </w:p>
        </w:tc>
        <w:tc>
          <w:tcPr>
            <w:tcW w:w="531" w:type="pct"/>
            <w:tcBorders>
              <w:top w:val="nil"/>
              <w:left w:val="nil"/>
              <w:bottom w:val="nil"/>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773</w:t>
            </w:r>
          </w:p>
        </w:tc>
      </w:tr>
      <w:tr w:rsidR="008328D7" w:rsidRPr="00232C68" w:rsidTr="001606EE">
        <w:trPr>
          <w:trHeight w:val="255"/>
        </w:trPr>
        <w:tc>
          <w:tcPr>
            <w:tcW w:w="3929" w:type="pct"/>
            <w:tcBorders>
              <w:top w:val="nil"/>
              <w:left w:val="nil"/>
              <w:bottom w:val="nil"/>
              <w:right w:val="nil"/>
            </w:tcBorders>
            <w:shd w:val="clear" w:color="auto" w:fill="auto"/>
            <w:noWrap/>
            <w:vAlign w:val="bottom"/>
          </w:tcPr>
          <w:p w:rsidR="008328D7" w:rsidRPr="002A7D7A" w:rsidRDefault="008328D7" w:rsidP="008328D7">
            <w:pPr>
              <w:rPr>
                <w:rFonts w:ascii="Arial" w:hAnsi="Arial" w:cs="Arial"/>
                <w:sz w:val="18"/>
                <w:szCs w:val="18"/>
              </w:rPr>
            </w:pPr>
            <w:r>
              <w:rPr>
                <w:rFonts w:ascii="Arial" w:hAnsi="Arial" w:cs="Arial"/>
                <w:sz w:val="18"/>
                <w:szCs w:val="18"/>
              </w:rPr>
              <w:t>Share of post-</w:t>
            </w:r>
            <w:r w:rsidRPr="002A7D7A">
              <w:rPr>
                <w:rFonts w:ascii="Arial" w:hAnsi="Arial" w:cs="Arial"/>
                <w:sz w:val="18"/>
                <w:szCs w:val="18"/>
              </w:rPr>
              <w:t>tax results of joint ventures and associates</w:t>
            </w:r>
          </w:p>
        </w:tc>
        <w:tc>
          <w:tcPr>
            <w:tcW w:w="540" w:type="pct"/>
            <w:tcBorders>
              <w:top w:val="nil"/>
              <w:left w:val="nil"/>
              <w:bottom w:val="nil"/>
              <w:right w:val="nil"/>
            </w:tcBorders>
            <w:shd w:val="clear" w:color="auto" w:fill="auto"/>
            <w:noWrap/>
            <w:vAlign w:val="bottom"/>
          </w:tcPr>
          <w:p w:rsidR="008328D7" w:rsidRPr="00E83BC7" w:rsidRDefault="00BF2E1B" w:rsidP="008328D7">
            <w:pPr>
              <w:jc w:val="right"/>
              <w:rPr>
                <w:rFonts w:ascii="Arial" w:hAnsi="Arial" w:cs="Arial"/>
                <w:b/>
                <w:bCs/>
                <w:sz w:val="18"/>
                <w:szCs w:val="18"/>
              </w:rPr>
            </w:pPr>
            <w:r>
              <w:rPr>
                <w:rFonts w:ascii="Arial" w:hAnsi="Arial" w:cs="Arial"/>
                <w:b/>
                <w:bCs/>
                <w:sz w:val="18"/>
                <w:szCs w:val="18"/>
              </w:rPr>
              <w:t>(3)</w:t>
            </w:r>
          </w:p>
        </w:tc>
        <w:tc>
          <w:tcPr>
            <w:tcW w:w="531" w:type="pct"/>
            <w:tcBorders>
              <w:top w:val="nil"/>
              <w:left w:val="nil"/>
              <w:bottom w:val="nil"/>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(1)</w:t>
            </w:r>
          </w:p>
        </w:tc>
      </w:tr>
      <w:tr w:rsidR="008328D7" w:rsidRPr="00232C68" w:rsidTr="001606EE">
        <w:trPr>
          <w:trHeight w:val="255"/>
        </w:trPr>
        <w:tc>
          <w:tcPr>
            <w:tcW w:w="3929" w:type="pct"/>
            <w:tcBorders>
              <w:top w:val="nil"/>
              <w:left w:val="nil"/>
              <w:bottom w:val="nil"/>
              <w:right w:val="nil"/>
            </w:tcBorders>
            <w:shd w:val="clear" w:color="auto" w:fill="auto"/>
            <w:noWrap/>
            <w:vAlign w:val="bottom"/>
          </w:tcPr>
          <w:p w:rsidR="008328D7" w:rsidRPr="002A7D7A" w:rsidRDefault="008328D7" w:rsidP="008328D7">
            <w:pPr>
              <w:rPr>
                <w:rFonts w:ascii="Arial" w:hAnsi="Arial" w:cs="Arial"/>
                <w:sz w:val="18"/>
                <w:szCs w:val="18"/>
              </w:rPr>
            </w:pPr>
            <w:r>
              <w:rPr>
                <w:rFonts w:ascii="Arial" w:hAnsi="Arial" w:cs="Arial"/>
                <w:sz w:val="18"/>
                <w:szCs w:val="18"/>
              </w:rPr>
              <w:t>D</w:t>
            </w:r>
            <w:r w:rsidRPr="002A7D7A">
              <w:rPr>
                <w:rFonts w:ascii="Arial" w:hAnsi="Arial" w:cs="Arial"/>
                <w:sz w:val="18"/>
                <w:szCs w:val="18"/>
              </w:rPr>
              <w:t>epreciation</w:t>
            </w:r>
            <w:r>
              <w:rPr>
                <w:rFonts w:ascii="Arial" w:hAnsi="Arial" w:cs="Arial"/>
                <w:sz w:val="18"/>
                <w:szCs w:val="18"/>
              </w:rPr>
              <w:t xml:space="preserve"> and amortisation</w:t>
            </w:r>
            <w:r w:rsidRPr="002A7D7A">
              <w:rPr>
                <w:rFonts w:ascii="Arial" w:hAnsi="Arial" w:cs="Arial"/>
                <w:sz w:val="18"/>
                <w:szCs w:val="18"/>
              </w:rPr>
              <w:t xml:space="preserve"> </w:t>
            </w:r>
          </w:p>
        </w:tc>
        <w:tc>
          <w:tcPr>
            <w:tcW w:w="540" w:type="pct"/>
            <w:tcBorders>
              <w:top w:val="nil"/>
              <w:left w:val="nil"/>
              <w:bottom w:val="nil"/>
              <w:right w:val="nil"/>
            </w:tcBorders>
            <w:shd w:val="clear" w:color="auto" w:fill="auto"/>
            <w:noWrap/>
            <w:vAlign w:val="bottom"/>
          </w:tcPr>
          <w:p w:rsidR="008328D7" w:rsidRPr="00E83BC7" w:rsidRDefault="009D257F" w:rsidP="008328D7">
            <w:pPr>
              <w:jc w:val="right"/>
              <w:rPr>
                <w:rFonts w:ascii="Arial" w:hAnsi="Arial" w:cs="Arial"/>
                <w:b/>
                <w:bCs/>
                <w:sz w:val="18"/>
                <w:szCs w:val="18"/>
              </w:rPr>
            </w:pPr>
            <w:r>
              <w:rPr>
                <w:rFonts w:ascii="Arial" w:hAnsi="Arial" w:cs="Arial"/>
                <w:b/>
                <w:bCs/>
                <w:sz w:val="18"/>
                <w:szCs w:val="18"/>
              </w:rPr>
              <w:t>25</w:t>
            </w:r>
            <w:r w:rsidR="00801B3D">
              <w:rPr>
                <w:rFonts w:ascii="Arial" w:hAnsi="Arial" w:cs="Arial"/>
                <w:b/>
                <w:bCs/>
                <w:sz w:val="18"/>
                <w:szCs w:val="18"/>
              </w:rPr>
              <w:t>4</w:t>
            </w:r>
          </w:p>
        </w:tc>
        <w:tc>
          <w:tcPr>
            <w:tcW w:w="531" w:type="pct"/>
            <w:tcBorders>
              <w:top w:val="nil"/>
              <w:left w:val="nil"/>
              <w:bottom w:val="nil"/>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253</w:t>
            </w:r>
          </w:p>
        </w:tc>
      </w:tr>
      <w:tr w:rsidR="008328D7" w:rsidRPr="00232C68" w:rsidTr="001606EE">
        <w:trPr>
          <w:trHeight w:val="255"/>
        </w:trPr>
        <w:tc>
          <w:tcPr>
            <w:tcW w:w="3929" w:type="pct"/>
            <w:tcBorders>
              <w:top w:val="nil"/>
              <w:left w:val="nil"/>
              <w:bottom w:val="nil"/>
              <w:right w:val="nil"/>
            </w:tcBorders>
            <w:shd w:val="clear" w:color="auto" w:fill="auto"/>
            <w:noWrap/>
            <w:vAlign w:val="bottom"/>
          </w:tcPr>
          <w:p w:rsidR="008328D7" w:rsidRPr="002A7D7A" w:rsidRDefault="00C312AA" w:rsidP="008328D7">
            <w:pPr>
              <w:rPr>
                <w:rFonts w:ascii="Arial" w:hAnsi="Arial" w:cs="Arial"/>
                <w:sz w:val="18"/>
                <w:szCs w:val="18"/>
              </w:rPr>
            </w:pPr>
            <w:r>
              <w:rPr>
                <w:rFonts w:ascii="Arial" w:hAnsi="Arial" w:cs="Arial"/>
                <w:sz w:val="18"/>
                <w:szCs w:val="18"/>
              </w:rPr>
              <w:t>Net i</w:t>
            </w:r>
            <w:r w:rsidR="008328D7" w:rsidRPr="002A7D7A">
              <w:rPr>
                <w:rFonts w:ascii="Arial" w:hAnsi="Arial" w:cs="Arial"/>
                <w:sz w:val="18"/>
                <w:szCs w:val="18"/>
              </w:rPr>
              <w:t>mpairment losses</w:t>
            </w:r>
          </w:p>
        </w:tc>
        <w:tc>
          <w:tcPr>
            <w:tcW w:w="540" w:type="pct"/>
            <w:tcBorders>
              <w:top w:val="nil"/>
              <w:left w:val="nil"/>
              <w:bottom w:val="nil"/>
              <w:right w:val="nil"/>
            </w:tcBorders>
            <w:shd w:val="clear" w:color="auto" w:fill="auto"/>
            <w:noWrap/>
            <w:vAlign w:val="bottom"/>
          </w:tcPr>
          <w:p w:rsidR="008328D7" w:rsidRPr="00E83BC7" w:rsidRDefault="007D3F1A" w:rsidP="008328D7">
            <w:pPr>
              <w:jc w:val="right"/>
              <w:rPr>
                <w:rFonts w:ascii="Arial" w:hAnsi="Arial" w:cs="Arial"/>
                <w:b/>
                <w:bCs/>
                <w:sz w:val="18"/>
                <w:szCs w:val="18"/>
              </w:rPr>
            </w:pPr>
            <w:r>
              <w:rPr>
                <w:rFonts w:ascii="Arial" w:hAnsi="Arial" w:cs="Arial"/>
                <w:b/>
                <w:bCs/>
                <w:sz w:val="18"/>
                <w:szCs w:val="18"/>
              </w:rPr>
              <w:t>1</w:t>
            </w:r>
          </w:p>
        </w:tc>
        <w:tc>
          <w:tcPr>
            <w:tcW w:w="531" w:type="pct"/>
            <w:tcBorders>
              <w:top w:val="nil"/>
              <w:left w:val="nil"/>
              <w:bottom w:val="nil"/>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14</w:t>
            </w:r>
          </w:p>
        </w:tc>
      </w:tr>
      <w:tr w:rsidR="008328D7" w:rsidRPr="00232C68" w:rsidTr="001606EE">
        <w:trPr>
          <w:trHeight w:val="255"/>
        </w:trPr>
        <w:tc>
          <w:tcPr>
            <w:tcW w:w="3929" w:type="pct"/>
            <w:tcBorders>
              <w:top w:val="nil"/>
              <w:left w:val="nil"/>
              <w:bottom w:val="nil"/>
              <w:right w:val="nil"/>
            </w:tcBorders>
            <w:shd w:val="clear" w:color="auto" w:fill="auto"/>
            <w:noWrap/>
            <w:vAlign w:val="bottom"/>
          </w:tcPr>
          <w:p w:rsidR="008328D7" w:rsidRPr="002A7D7A" w:rsidRDefault="008328D7" w:rsidP="000A0F74">
            <w:pPr>
              <w:rPr>
                <w:rFonts w:ascii="Arial" w:hAnsi="Arial" w:cs="Arial"/>
                <w:sz w:val="12"/>
                <w:szCs w:val="12"/>
              </w:rPr>
            </w:pPr>
            <w:r w:rsidRPr="00E113AB">
              <w:rPr>
                <w:rFonts w:ascii="Arial" w:hAnsi="Arial" w:cs="Arial"/>
                <w:sz w:val="18"/>
                <w:szCs w:val="18"/>
              </w:rPr>
              <w:t>Loss on</w:t>
            </w:r>
            <w:r w:rsidRPr="002A7D7A">
              <w:rPr>
                <w:rFonts w:ascii="Arial" w:hAnsi="Arial" w:cs="Arial"/>
                <w:sz w:val="18"/>
                <w:szCs w:val="18"/>
              </w:rPr>
              <w:t xml:space="preserve"> disposal of property, plant and equipment</w:t>
            </w:r>
            <w:r w:rsidR="004B0B40">
              <w:rPr>
                <w:rFonts w:ascii="Arial" w:hAnsi="Arial" w:cs="Arial"/>
                <w:sz w:val="18"/>
                <w:szCs w:val="18"/>
              </w:rPr>
              <w:t xml:space="preserve"> and investment property</w:t>
            </w:r>
          </w:p>
        </w:tc>
        <w:tc>
          <w:tcPr>
            <w:tcW w:w="540" w:type="pct"/>
            <w:tcBorders>
              <w:top w:val="nil"/>
              <w:left w:val="nil"/>
              <w:bottom w:val="nil"/>
              <w:right w:val="nil"/>
            </w:tcBorders>
            <w:shd w:val="clear" w:color="auto" w:fill="auto"/>
            <w:noWrap/>
            <w:vAlign w:val="bottom"/>
          </w:tcPr>
          <w:p w:rsidR="008328D7" w:rsidRPr="00E83BC7" w:rsidRDefault="007D3F1A" w:rsidP="008328D7">
            <w:pPr>
              <w:jc w:val="right"/>
              <w:rPr>
                <w:rFonts w:ascii="Arial" w:hAnsi="Arial" w:cs="Arial"/>
                <w:b/>
                <w:bCs/>
                <w:sz w:val="18"/>
                <w:szCs w:val="18"/>
              </w:rPr>
            </w:pPr>
            <w:r>
              <w:rPr>
                <w:rFonts w:ascii="Arial" w:hAnsi="Arial" w:cs="Arial"/>
                <w:b/>
                <w:bCs/>
                <w:sz w:val="18"/>
                <w:szCs w:val="18"/>
              </w:rPr>
              <w:t>2</w:t>
            </w:r>
          </w:p>
        </w:tc>
        <w:tc>
          <w:tcPr>
            <w:tcW w:w="531" w:type="pct"/>
            <w:tcBorders>
              <w:top w:val="nil"/>
              <w:left w:val="nil"/>
              <w:bottom w:val="nil"/>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4</w:t>
            </w:r>
          </w:p>
        </w:tc>
      </w:tr>
      <w:tr w:rsidR="008328D7" w:rsidRPr="00232C68" w:rsidTr="001606EE">
        <w:trPr>
          <w:trHeight w:val="255"/>
        </w:trPr>
        <w:tc>
          <w:tcPr>
            <w:tcW w:w="3929" w:type="pct"/>
            <w:tcBorders>
              <w:top w:val="nil"/>
              <w:left w:val="nil"/>
              <w:bottom w:val="nil"/>
              <w:right w:val="nil"/>
            </w:tcBorders>
            <w:shd w:val="clear" w:color="auto" w:fill="auto"/>
            <w:noWrap/>
            <w:vAlign w:val="bottom"/>
          </w:tcPr>
          <w:p w:rsidR="008328D7" w:rsidRPr="00C058EE" w:rsidRDefault="008328D7" w:rsidP="008328D7">
            <w:pPr>
              <w:rPr>
                <w:rFonts w:ascii="Arial" w:hAnsi="Arial" w:cs="Arial"/>
                <w:sz w:val="18"/>
                <w:szCs w:val="18"/>
                <w:highlight w:val="yellow"/>
              </w:rPr>
            </w:pPr>
            <w:r>
              <w:rPr>
                <w:rFonts w:ascii="Arial" w:hAnsi="Arial" w:cs="Arial"/>
                <w:sz w:val="18"/>
                <w:szCs w:val="18"/>
              </w:rPr>
              <w:t>Profit on disposal of B&amp;Q China</w:t>
            </w:r>
          </w:p>
        </w:tc>
        <w:tc>
          <w:tcPr>
            <w:tcW w:w="540" w:type="pct"/>
            <w:tcBorders>
              <w:top w:val="nil"/>
              <w:left w:val="nil"/>
              <w:bottom w:val="nil"/>
              <w:right w:val="nil"/>
            </w:tcBorders>
            <w:shd w:val="clear" w:color="auto" w:fill="auto"/>
            <w:noWrap/>
            <w:vAlign w:val="bottom"/>
          </w:tcPr>
          <w:p w:rsidR="008328D7" w:rsidRPr="00E83BC7" w:rsidDel="00CF1FC2" w:rsidRDefault="00C0733E" w:rsidP="008328D7">
            <w:pPr>
              <w:jc w:val="right"/>
              <w:rPr>
                <w:rFonts w:ascii="Arial" w:hAnsi="Arial" w:cs="Arial"/>
                <w:b/>
                <w:bCs/>
                <w:sz w:val="18"/>
                <w:szCs w:val="18"/>
              </w:rPr>
            </w:pPr>
            <w:r>
              <w:rPr>
                <w:rFonts w:ascii="Arial" w:hAnsi="Arial" w:cs="Arial"/>
                <w:b/>
                <w:bCs/>
                <w:sz w:val="18"/>
                <w:szCs w:val="18"/>
              </w:rPr>
              <w:t>–</w:t>
            </w:r>
          </w:p>
        </w:tc>
        <w:tc>
          <w:tcPr>
            <w:tcW w:w="531" w:type="pct"/>
            <w:tcBorders>
              <w:top w:val="nil"/>
              <w:left w:val="nil"/>
              <w:bottom w:val="nil"/>
              <w:right w:val="nil"/>
            </w:tcBorders>
            <w:vAlign w:val="bottom"/>
          </w:tcPr>
          <w:p w:rsidR="008328D7" w:rsidRPr="008328D7" w:rsidDel="00CF1FC2" w:rsidRDefault="008328D7" w:rsidP="008328D7">
            <w:pPr>
              <w:jc w:val="right"/>
              <w:rPr>
                <w:rFonts w:ascii="Arial" w:hAnsi="Arial" w:cs="Arial"/>
                <w:bCs/>
                <w:sz w:val="18"/>
                <w:szCs w:val="18"/>
              </w:rPr>
            </w:pPr>
            <w:r w:rsidRPr="008328D7">
              <w:rPr>
                <w:rFonts w:ascii="Arial" w:hAnsi="Arial" w:cs="Arial"/>
                <w:bCs/>
                <w:sz w:val="18"/>
                <w:szCs w:val="18"/>
              </w:rPr>
              <w:t>(3)</w:t>
            </w:r>
          </w:p>
        </w:tc>
      </w:tr>
      <w:tr w:rsidR="008328D7" w:rsidRPr="00232C68" w:rsidTr="001606EE">
        <w:trPr>
          <w:trHeight w:val="255"/>
        </w:trPr>
        <w:tc>
          <w:tcPr>
            <w:tcW w:w="3929" w:type="pct"/>
            <w:tcBorders>
              <w:top w:val="nil"/>
              <w:left w:val="nil"/>
              <w:right w:val="nil"/>
            </w:tcBorders>
            <w:shd w:val="clear" w:color="auto" w:fill="auto"/>
            <w:noWrap/>
            <w:vAlign w:val="bottom"/>
          </w:tcPr>
          <w:p w:rsidR="008328D7" w:rsidRPr="002A7D7A" w:rsidRDefault="008328D7" w:rsidP="008328D7">
            <w:pPr>
              <w:rPr>
                <w:rFonts w:ascii="Arial" w:hAnsi="Arial" w:cs="Arial"/>
                <w:sz w:val="18"/>
                <w:szCs w:val="18"/>
              </w:rPr>
            </w:pPr>
            <w:r>
              <w:rPr>
                <w:rFonts w:ascii="Arial" w:hAnsi="Arial" w:cs="Arial"/>
                <w:sz w:val="18"/>
                <w:szCs w:val="18"/>
              </w:rPr>
              <w:t>Share-based compensation charge</w:t>
            </w:r>
          </w:p>
        </w:tc>
        <w:tc>
          <w:tcPr>
            <w:tcW w:w="540" w:type="pct"/>
            <w:tcBorders>
              <w:top w:val="nil"/>
              <w:left w:val="nil"/>
              <w:right w:val="nil"/>
            </w:tcBorders>
            <w:shd w:val="clear" w:color="auto" w:fill="auto"/>
            <w:noWrap/>
            <w:vAlign w:val="bottom"/>
          </w:tcPr>
          <w:p w:rsidR="008328D7" w:rsidRPr="00E83BC7" w:rsidRDefault="00C0733E" w:rsidP="008328D7">
            <w:pPr>
              <w:jc w:val="right"/>
              <w:rPr>
                <w:rFonts w:ascii="Arial" w:hAnsi="Arial" w:cs="Arial"/>
                <w:b/>
                <w:bCs/>
                <w:sz w:val="18"/>
                <w:szCs w:val="18"/>
              </w:rPr>
            </w:pPr>
            <w:r>
              <w:rPr>
                <w:rFonts w:ascii="Arial" w:hAnsi="Arial" w:cs="Arial"/>
                <w:b/>
                <w:bCs/>
                <w:sz w:val="18"/>
                <w:szCs w:val="18"/>
              </w:rPr>
              <w:t>8</w:t>
            </w:r>
          </w:p>
        </w:tc>
        <w:tc>
          <w:tcPr>
            <w:tcW w:w="531" w:type="pct"/>
            <w:tcBorders>
              <w:top w:val="nil"/>
              <w:left w:val="nil"/>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15</w:t>
            </w:r>
          </w:p>
        </w:tc>
      </w:tr>
      <w:tr w:rsidR="008328D7" w:rsidRPr="00232C68" w:rsidTr="001606EE">
        <w:trPr>
          <w:trHeight w:val="255"/>
        </w:trPr>
        <w:tc>
          <w:tcPr>
            <w:tcW w:w="3929" w:type="pct"/>
            <w:tcBorders>
              <w:top w:val="nil"/>
              <w:left w:val="nil"/>
              <w:right w:val="nil"/>
            </w:tcBorders>
            <w:shd w:val="clear" w:color="auto" w:fill="auto"/>
            <w:noWrap/>
            <w:vAlign w:val="bottom"/>
          </w:tcPr>
          <w:p w:rsidR="008328D7" w:rsidRPr="002A7D7A" w:rsidRDefault="00C0733E" w:rsidP="008328D7">
            <w:pPr>
              <w:rPr>
                <w:rFonts w:ascii="Arial" w:hAnsi="Arial" w:cs="Arial"/>
                <w:sz w:val="18"/>
                <w:szCs w:val="18"/>
              </w:rPr>
            </w:pPr>
            <w:r>
              <w:rPr>
                <w:rFonts w:ascii="Arial" w:hAnsi="Arial" w:cs="Arial"/>
                <w:sz w:val="18"/>
                <w:szCs w:val="18"/>
              </w:rPr>
              <w:t>Increase</w:t>
            </w:r>
            <w:r w:rsidR="008328D7" w:rsidRPr="007B7091">
              <w:rPr>
                <w:rFonts w:ascii="Arial" w:hAnsi="Arial" w:cs="Arial"/>
                <w:sz w:val="18"/>
                <w:szCs w:val="18"/>
              </w:rPr>
              <w:t xml:space="preserve"> in inventories</w:t>
            </w:r>
          </w:p>
        </w:tc>
        <w:tc>
          <w:tcPr>
            <w:tcW w:w="540" w:type="pct"/>
            <w:tcBorders>
              <w:top w:val="nil"/>
              <w:left w:val="nil"/>
              <w:right w:val="nil"/>
            </w:tcBorders>
            <w:shd w:val="clear" w:color="auto" w:fill="auto"/>
            <w:noWrap/>
            <w:vAlign w:val="bottom"/>
          </w:tcPr>
          <w:p w:rsidR="008328D7" w:rsidRPr="00E83BC7" w:rsidRDefault="00F33ACC" w:rsidP="008328D7">
            <w:pPr>
              <w:jc w:val="right"/>
              <w:rPr>
                <w:rFonts w:ascii="Arial" w:hAnsi="Arial" w:cs="Arial"/>
                <w:b/>
                <w:bCs/>
                <w:sz w:val="18"/>
                <w:szCs w:val="18"/>
              </w:rPr>
            </w:pPr>
            <w:r>
              <w:rPr>
                <w:rFonts w:ascii="Arial" w:hAnsi="Arial" w:cs="Arial"/>
                <w:b/>
                <w:bCs/>
                <w:sz w:val="18"/>
                <w:szCs w:val="18"/>
              </w:rPr>
              <w:t>(473</w:t>
            </w:r>
            <w:r w:rsidR="00C0733E">
              <w:rPr>
                <w:rFonts w:ascii="Arial" w:hAnsi="Arial" w:cs="Arial"/>
                <w:b/>
                <w:bCs/>
                <w:sz w:val="18"/>
                <w:szCs w:val="18"/>
              </w:rPr>
              <w:t>)</w:t>
            </w:r>
          </w:p>
        </w:tc>
        <w:tc>
          <w:tcPr>
            <w:tcW w:w="531" w:type="pct"/>
            <w:tcBorders>
              <w:top w:val="nil"/>
              <w:left w:val="nil"/>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(46)</w:t>
            </w:r>
          </w:p>
        </w:tc>
      </w:tr>
      <w:tr w:rsidR="008328D7" w:rsidRPr="00232C68" w:rsidTr="001606EE">
        <w:trPr>
          <w:trHeight w:val="255"/>
        </w:trPr>
        <w:tc>
          <w:tcPr>
            <w:tcW w:w="3929" w:type="pct"/>
            <w:tcBorders>
              <w:bottom w:val="nil"/>
              <w:right w:val="nil"/>
            </w:tcBorders>
            <w:shd w:val="clear" w:color="auto" w:fill="auto"/>
            <w:noWrap/>
            <w:vAlign w:val="bottom"/>
          </w:tcPr>
          <w:p w:rsidR="008328D7" w:rsidRPr="002A7D7A" w:rsidRDefault="008328D7" w:rsidP="008328D7">
            <w:pPr>
              <w:rPr>
                <w:rFonts w:ascii="Arial" w:hAnsi="Arial" w:cs="Arial"/>
                <w:sz w:val="18"/>
                <w:szCs w:val="18"/>
              </w:rPr>
            </w:pPr>
            <w:r>
              <w:rPr>
                <w:rFonts w:ascii="Arial" w:hAnsi="Arial" w:cs="Arial"/>
                <w:sz w:val="18"/>
                <w:szCs w:val="18"/>
              </w:rPr>
              <w:t>D</w:t>
            </w:r>
            <w:r w:rsidRPr="007B7091">
              <w:rPr>
                <w:rFonts w:ascii="Arial" w:hAnsi="Arial" w:cs="Arial"/>
                <w:sz w:val="18"/>
                <w:szCs w:val="18"/>
              </w:rPr>
              <w:t>ecrease in trade and other receivables</w:t>
            </w:r>
          </w:p>
        </w:tc>
        <w:tc>
          <w:tcPr>
            <w:tcW w:w="540" w:type="pct"/>
            <w:tcBorders>
              <w:left w:val="nil"/>
              <w:bottom w:val="nil"/>
              <w:right w:val="nil"/>
            </w:tcBorders>
            <w:shd w:val="clear" w:color="auto" w:fill="auto"/>
            <w:noWrap/>
            <w:vAlign w:val="bottom"/>
          </w:tcPr>
          <w:p w:rsidR="008328D7" w:rsidRPr="00E83BC7" w:rsidRDefault="00C0733E" w:rsidP="008328D7">
            <w:pPr>
              <w:jc w:val="right"/>
              <w:rPr>
                <w:rFonts w:ascii="Arial" w:hAnsi="Arial" w:cs="Arial"/>
                <w:b/>
                <w:bCs/>
                <w:sz w:val="18"/>
                <w:szCs w:val="18"/>
              </w:rPr>
            </w:pPr>
            <w:r>
              <w:rPr>
                <w:rFonts w:ascii="Arial" w:hAnsi="Arial" w:cs="Arial"/>
                <w:b/>
                <w:bCs/>
                <w:sz w:val="18"/>
                <w:szCs w:val="18"/>
              </w:rPr>
              <w:t>12</w:t>
            </w:r>
          </w:p>
        </w:tc>
        <w:tc>
          <w:tcPr>
            <w:tcW w:w="531" w:type="pct"/>
            <w:tcBorders>
              <w:left w:val="nil"/>
              <w:bottom w:val="nil"/>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62</w:t>
            </w:r>
          </w:p>
        </w:tc>
      </w:tr>
      <w:tr w:rsidR="008328D7" w:rsidRPr="00232C68" w:rsidTr="001606EE">
        <w:trPr>
          <w:trHeight w:val="255"/>
        </w:trPr>
        <w:tc>
          <w:tcPr>
            <w:tcW w:w="3929" w:type="pct"/>
            <w:tcBorders>
              <w:top w:val="nil"/>
              <w:bottom w:val="nil"/>
              <w:right w:val="nil"/>
            </w:tcBorders>
            <w:shd w:val="clear" w:color="auto" w:fill="auto"/>
            <w:noWrap/>
            <w:vAlign w:val="bottom"/>
          </w:tcPr>
          <w:p w:rsidR="008328D7" w:rsidRPr="002A7D7A" w:rsidRDefault="008328D7" w:rsidP="008328D7">
            <w:pPr>
              <w:rPr>
                <w:rFonts w:ascii="Arial" w:hAnsi="Arial" w:cs="Arial"/>
                <w:sz w:val="18"/>
                <w:szCs w:val="18"/>
              </w:rPr>
            </w:pPr>
            <w:r>
              <w:rPr>
                <w:rFonts w:ascii="Arial" w:hAnsi="Arial" w:cs="Arial"/>
                <w:sz w:val="18"/>
                <w:szCs w:val="18"/>
              </w:rPr>
              <w:t>Increase</w:t>
            </w:r>
            <w:r w:rsidRPr="002A7D7A">
              <w:rPr>
                <w:rFonts w:ascii="Arial" w:hAnsi="Arial" w:cs="Arial"/>
                <w:sz w:val="18"/>
                <w:szCs w:val="18"/>
              </w:rPr>
              <w:t xml:space="preserve"> in trade and other payables</w:t>
            </w:r>
          </w:p>
        </w:tc>
        <w:tc>
          <w:tcPr>
            <w:tcW w:w="540" w:type="pct"/>
            <w:tcBorders>
              <w:top w:val="nil"/>
              <w:left w:val="nil"/>
              <w:bottom w:val="nil"/>
              <w:right w:val="nil"/>
            </w:tcBorders>
            <w:shd w:val="clear" w:color="auto" w:fill="auto"/>
            <w:noWrap/>
            <w:vAlign w:val="bottom"/>
          </w:tcPr>
          <w:p w:rsidR="008328D7" w:rsidRPr="00E83BC7" w:rsidRDefault="00C0733E" w:rsidP="008328D7">
            <w:pPr>
              <w:jc w:val="right"/>
              <w:rPr>
                <w:rFonts w:ascii="Arial" w:hAnsi="Arial" w:cs="Arial"/>
                <w:b/>
                <w:bCs/>
                <w:sz w:val="18"/>
                <w:szCs w:val="18"/>
              </w:rPr>
            </w:pPr>
            <w:r>
              <w:rPr>
                <w:rFonts w:ascii="Arial" w:hAnsi="Arial" w:cs="Arial"/>
                <w:b/>
                <w:bCs/>
                <w:sz w:val="18"/>
                <w:szCs w:val="18"/>
              </w:rPr>
              <w:t>8</w:t>
            </w:r>
            <w:r w:rsidR="00801B3D">
              <w:rPr>
                <w:rFonts w:ascii="Arial" w:hAnsi="Arial" w:cs="Arial"/>
                <w:b/>
                <w:bCs/>
                <w:sz w:val="18"/>
                <w:szCs w:val="18"/>
              </w:rPr>
              <w:t>7</w:t>
            </w:r>
          </w:p>
        </w:tc>
        <w:tc>
          <w:tcPr>
            <w:tcW w:w="531" w:type="pct"/>
            <w:tcBorders>
              <w:top w:val="nil"/>
              <w:left w:val="nil"/>
              <w:bottom w:val="nil"/>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4</w:t>
            </w:r>
          </w:p>
        </w:tc>
      </w:tr>
      <w:tr w:rsidR="008328D7" w:rsidRPr="00232C68" w:rsidTr="001606EE">
        <w:trPr>
          <w:trHeight w:val="255"/>
        </w:trPr>
        <w:tc>
          <w:tcPr>
            <w:tcW w:w="3929" w:type="pct"/>
            <w:tcBorders>
              <w:left w:val="nil"/>
              <w:right w:val="nil"/>
            </w:tcBorders>
            <w:shd w:val="clear" w:color="auto" w:fill="auto"/>
            <w:noWrap/>
            <w:vAlign w:val="bottom"/>
          </w:tcPr>
          <w:p w:rsidR="008328D7" w:rsidRDefault="008328D7" w:rsidP="008328D7">
            <w:pPr>
              <w:rPr>
                <w:rFonts w:ascii="Arial" w:hAnsi="Arial" w:cs="Arial"/>
                <w:sz w:val="18"/>
                <w:szCs w:val="18"/>
              </w:rPr>
            </w:pPr>
            <w:r>
              <w:rPr>
                <w:rFonts w:ascii="Arial" w:hAnsi="Arial" w:cs="Arial"/>
                <w:bCs/>
                <w:sz w:val="18"/>
                <w:szCs w:val="18"/>
              </w:rPr>
              <w:t>Movement</w:t>
            </w:r>
            <w:r w:rsidRPr="002A7D7A">
              <w:rPr>
                <w:rFonts w:ascii="Arial" w:hAnsi="Arial" w:cs="Arial"/>
                <w:bCs/>
                <w:sz w:val="18"/>
                <w:szCs w:val="18"/>
              </w:rPr>
              <w:t xml:space="preserve"> in provisions</w:t>
            </w:r>
          </w:p>
        </w:tc>
        <w:tc>
          <w:tcPr>
            <w:tcW w:w="540" w:type="pct"/>
            <w:tcBorders>
              <w:left w:val="nil"/>
              <w:right w:val="nil"/>
            </w:tcBorders>
            <w:shd w:val="clear" w:color="auto" w:fill="auto"/>
            <w:noWrap/>
            <w:vAlign w:val="bottom"/>
          </w:tcPr>
          <w:p w:rsidR="008328D7" w:rsidRPr="00E83BC7" w:rsidRDefault="00F33ACC" w:rsidP="008328D7">
            <w:pPr>
              <w:jc w:val="right"/>
              <w:rPr>
                <w:rFonts w:ascii="Arial" w:hAnsi="Arial" w:cs="Arial"/>
                <w:b/>
                <w:bCs/>
                <w:sz w:val="18"/>
                <w:szCs w:val="18"/>
              </w:rPr>
            </w:pPr>
            <w:r>
              <w:rPr>
                <w:rFonts w:ascii="Arial" w:hAnsi="Arial" w:cs="Arial"/>
                <w:b/>
                <w:bCs/>
                <w:sz w:val="18"/>
                <w:szCs w:val="18"/>
              </w:rPr>
              <w:t>(7</w:t>
            </w:r>
            <w:r w:rsidR="00801B3D">
              <w:rPr>
                <w:rFonts w:ascii="Arial" w:hAnsi="Arial" w:cs="Arial"/>
                <w:b/>
                <w:bCs/>
                <w:sz w:val="18"/>
                <w:szCs w:val="18"/>
              </w:rPr>
              <w:t>5</w:t>
            </w:r>
            <w:r>
              <w:rPr>
                <w:rFonts w:ascii="Arial" w:hAnsi="Arial" w:cs="Arial"/>
                <w:b/>
                <w:bCs/>
                <w:sz w:val="18"/>
                <w:szCs w:val="18"/>
              </w:rPr>
              <w:t>)</w:t>
            </w:r>
          </w:p>
        </w:tc>
        <w:tc>
          <w:tcPr>
            <w:tcW w:w="531" w:type="pct"/>
            <w:tcBorders>
              <w:left w:val="nil"/>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(125)</w:t>
            </w:r>
          </w:p>
        </w:tc>
      </w:tr>
      <w:tr w:rsidR="008328D7" w:rsidRPr="00232C68" w:rsidTr="001606EE">
        <w:trPr>
          <w:trHeight w:val="255"/>
        </w:trPr>
        <w:tc>
          <w:tcPr>
            <w:tcW w:w="3929" w:type="pct"/>
            <w:tcBorders>
              <w:top w:val="nil"/>
              <w:left w:val="nil"/>
              <w:bottom w:val="single" w:sz="4" w:space="0" w:color="auto"/>
              <w:right w:val="nil"/>
            </w:tcBorders>
            <w:shd w:val="clear" w:color="auto" w:fill="auto"/>
            <w:noWrap/>
            <w:vAlign w:val="bottom"/>
          </w:tcPr>
          <w:p w:rsidR="008328D7" w:rsidRPr="002A7D7A" w:rsidRDefault="008328D7" w:rsidP="008328D7">
            <w:pPr>
              <w:rPr>
                <w:rFonts w:ascii="Arial" w:hAnsi="Arial" w:cs="Arial"/>
                <w:sz w:val="18"/>
                <w:szCs w:val="18"/>
              </w:rPr>
            </w:pPr>
            <w:r>
              <w:rPr>
                <w:rFonts w:ascii="Arial" w:hAnsi="Arial" w:cs="Arial"/>
                <w:sz w:val="18"/>
                <w:szCs w:val="18"/>
              </w:rPr>
              <w:t>Movement</w:t>
            </w:r>
            <w:r w:rsidRPr="002A7D7A">
              <w:rPr>
                <w:rFonts w:ascii="Arial" w:hAnsi="Arial" w:cs="Arial"/>
                <w:sz w:val="18"/>
                <w:szCs w:val="18"/>
              </w:rPr>
              <w:t xml:space="preserve"> in post</w:t>
            </w:r>
            <w:r>
              <w:rPr>
                <w:rFonts w:ascii="Arial" w:hAnsi="Arial" w:cs="Arial"/>
                <w:sz w:val="18"/>
                <w:szCs w:val="18"/>
              </w:rPr>
              <w:t>-</w:t>
            </w:r>
            <w:r w:rsidRPr="002A7D7A">
              <w:rPr>
                <w:rFonts w:ascii="Arial" w:hAnsi="Arial" w:cs="Arial"/>
                <w:sz w:val="18"/>
                <w:szCs w:val="18"/>
              </w:rPr>
              <w:t>employment benefits</w:t>
            </w:r>
          </w:p>
        </w:tc>
        <w:tc>
          <w:tcPr>
            <w:tcW w:w="540" w:type="pct"/>
            <w:tcBorders>
              <w:top w:val="nil"/>
              <w:left w:val="nil"/>
              <w:bottom w:val="single" w:sz="4" w:space="0" w:color="auto"/>
              <w:right w:val="nil"/>
            </w:tcBorders>
            <w:shd w:val="clear" w:color="auto" w:fill="auto"/>
            <w:noWrap/>
            <w:vAlign w:val="bottom"/>
          </w:tcPr>
          <w:p w:rsidR="008328D7" w:rsidRPr="00E83BC7" w:rsidRDefault="00F33ACC" w:rsidP="008328D7">
            <w:pPr>
              <w:jc w:val="right"/>
              <w:rPr>
                <w:rFonts w:ascii="Arial" w:hAnsi="Arial" w:cs="Arial"/>
                <w:b/>
                <w:bCs/>
                <w:sz w:val="18"/>
                <w:szCs w:val="18"/>
              </w:rPr>
            </w:pPr>
            <w:r>
              <w:rPr>
                <w:rFonts w:ascii="Arial" w:hAnsi="Arial" w:cs="Arial"/>
                <w:b/>
                <w:bCs/>
                <w:sz w:val="18"/>
                <w:szCs w:val="18"/>
              </w:rPr>
              <w:t>(23</w:t>
            </w:r>
            <w:r w:rsidR="00C0733E">
              <w:rPr>
                <w:rFonts w:ascii="Arial" w:hAnsi="Arial" w:cs="Arial"/>
                <w:b/>
                <w:bCs/>
                <w:sz w:val="18"/>
                <w:szCs w:val="18"/>
              </w:rPr>
              <w:t>)</w:t>
            </w:r>
          </w:p>
        </w:tc>
        <w:tc>
          <w:tcPr>
            <w:tcW w:w="531" w:type="pct"/>
            <w:tcBorders>
              <w:top w:val="nil"/>
              <w:left w:val="nil"/>
              <w:bottom w:val="single" w:sz="4" w:space="0" w:color="auto"/>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(25)</w:t>
            </w:r>
          </w:p>
        </w:tc>
      </w:tr>
      <w:tr w:rsidR="008328D7" w:rsidRPr="00232C68" w:rsidTr="001606EE">
        <w:trPr>
          <w:trHeight w:val="255"/>
        </w:trPr>
        <w:tc>
          <w:tcPr>
            <w:tcW w:w="3929" w:type="pct"/>
            <w:tcBorders>
              <w:top w:val="single" w:sz="4" w:space="0" w:color="auto"/>
              <w:left w:val="nil"/>
              <w:bottom w:val="single" w:sz="12" w:space="0" w:color="auto"/>
              <w:right w:val="nil"/>
            </w:tcBorders>
            <w:shd w:val="clear" w:color="auto" w:fill="auto"/>
            <w:noWrap/>
            <w:vAlign w:val="bottom"/>
          </w:tcPr>
          <w:p w:rsidR="008328D7" w:rsidRPr="002A7D7A" w:rsidRDefault="008328D7" w:rsidP="008328D7">
            <w:pPr>
              <w:rPr>
                <w:rFonts w:ascii="Arial" w:hAnsi="Arial" w:cs="Arial"/>
                <w:sz w:val="18"/>
                <w:szCs w:val="18"/>
              </w:rPr>
            </w:pPr>
            <w:r w:rsidRPr="002A7D7A">
              <w:rPr>
                <w:rFonts w:ascii="Arial" w:hAnsi="Arial" w:cs="Arial"/>
                <w:b/>
                <w:bCs/>
                <w:sz w:val="18"/>
                <w:szCs w:val="18"/>
              </w:rPr>
              <w:t>Cash generated by operations</w:t>
            </w:r>
          </w:p>
        </w:tc>
        <w:tc>
          <w:tcPr>
            <w:tcW w:w="540" w:type="pct"/>
            <w:tcBorders>
              <w:top w:val="single" w:sz="4" w:space="0" w:color="auto"/>
              <w:left w:val="nil"/>
              <w:bottom w:val="single" w:sz="12" w:space="0" w:color="auto"/>
              <w:right w:val="nil"/>
            </w:tcBorders>
            <w:shd w:val="clear" w:color="auto" w:fill="auto"/>
            <w:noWrap/>
            <w:vAlign w:val="bottom"/>
          </w:tcPr>
          <w:p w:rsidR="008328D7" w:rsidRPr="00E83BC7" w:rsidRDefault="00C0733E" w:rsidP="008328D7">
            <w:pPr>
              <w:jc w:val="right"/>
              <w:rPr>
                <w:rFonts w:ascii="Arial" w:hAnsi="Arial" w:cs="Arial"/>
                <w:b/>
                <w:bCs/>
                <w:sz w:val="18"/>
                <w:szCs w:val="18"/>
              </w:rPr>
            </w:pPr>
            <w:r>
              <w:rPr>
                <w:rFonts w:ascii="Arial" w:hAnsi="Arial" w:cs="Arial"/>
                <w:b/>
                <w:bCs/>
                <w:sz w:val="18"/>
                <w:szCs w:val="18"/>
              </w:rPr>
              <w:t>47</w:t>
            </w:r>
            <w:r w:rsidR="005825BA">
              <w:rPr>
                <w:rFonts w:ascii="Arial" w:hAnsi="Arial" w:cs="Arial"/>
                <w:b/>
                <w:bCs/>
                <w:sz w:val="18"/>
                <w:szCs w:val="18"/>
              </w:rPr>
              <w:t>5</w:t>
            </w:r>
          </w:p>
        </w:tc>
        <w:tc>
          <w:tcPr>
            <w:tcW w:w="531" w:type="pct"/>
            <w:tcBorders>
              <w:top w:val="single" w:sz="4" w:space="0" w:color="auto"/>
              <w:left w:val="nil"/>
              <w:bottom w:val="single" w:sz="12" w:space="0" w:color="auto"/>
              <w:right w:val="nil"/>
            </w:tcBorders>
            <w:vAlign w:val="bottom"/>
          </w:tcPr>
          <w:p w:rsidR="008328D7" w:rsidRPr="008328D7" w:rsidRDefault="008328D7" w:rsidP="008328D7">
            <w:pPr>
              <w:jc w:val="right"/>
              <w:rPr>
                <w:rFonts w:ascii="Arial" w:hAnsi="Arial" w:cs="Arial"/>
                <w:bCs/>
                <w:sz w:val="18"/>
                <w:szCs w:val="18"/>
              </w:rPr>
            </w:pPr>
            <w:r w:rsidRPr="008328D7">
              <w:rPr>
                <w:rFonts w:ascii="Arial" w:hAnsi="Arial" w:cs="Arial"/>
                <w:bCs/>
                <w:sz w:val="18"/>
                <w:szCs w:val="18"/>
              </w:rPr>
              <w:t>925</w:t>
            </w:r>
          </w:p>
        </w:tc>
      </w:tr>
    </w:tbl>
    <w:p w:rsidR="00D5655F" w:rsidRPr="00EF1091" w:rsidRDefault="00D5655F">
      <w:pPr>
        <w:rPr>
          <w:rFonts w:ascii="Arial" w:hAnsi="Arial" w:cs="Arial"/>
          <w:sz w:val="18"/>
          <w:szCs w:val="18"/>
        </w:rPr>
      </w:pPr>
    </w:p>
    <w:p w:rsidR="001E2491" w:rsidRDefault="001E2491" w:rsidP="00DE26A3">
      <w:pPr>
        <w:ind w:left="-567"/>
        <w:rPr>
          <w:rFonts w:ascii="Arial" w:hAnsi="Arial" w:cs="Arial"/>
          <w:b/>
          <w:sz w:val="18"/>
          <w:szCs w:val="18"/>
        </w:rPr>
      </w:pPr>
    </w:p>
    <w:p w:rsidR="00387314" w:rsidRDefault="000D44B7" w:rsidP="00DE26A3">
      <w:pPr>
        <w:ind w:left="-567"/>
        <w:rPr>
          <w:rFonts w:ascii="Arial" w:hAnsi="Arial" w:cs="Arial"/>
          <w:sz w:val="18"/>
          <w:szCs w:val="18"/>
        </w:rPr>
      </w:pPr>
      <w:r>
        <w:rPr>
          <w:rFonts w:ascii="Arial" w:hAnsi="Arial" w:cs="Arial"/>
          <w:b/>
          <w:sz w:val="18"/>
          <w:szCs w:val="18"/>
        </w:rPr>
        <w:t>11</w:t>
      </w:r>
      <w:r w:rsidR="004B3A37">
        <w:rPr>
          <w:rFonts w:ascii="Arial" w:hAnsi="Arial" w:cs="Arial"/>
          <w:b/>
          <w:sz w:val="18"/>
          <w:szCs w:val="18"/>
        </w:rPr>
        <w:tab/>
        <w:t xml:space="preserve">Net </w:t>
      </w:r>
      <w:r w:rsidR="00833664">
        <w:rPr>
          <w:rFonts w:ascii="Arial" w:hAnsi="Arial" w:cs="Arial"/>
          <w:b/>
          <w:sz w:val="18"/>
          <w:szCs w:val="18"/>
        </w:rPr>
        <w:t>cash</w:t>
      </w:r>
    </w:p>
    <w:p w:rsidR="00307C86" w:rsidRDefault="00307C86">
      <w:pPr>
        <w:rPr>
          <w:rFonts w:ascii="Arial" w:hAnsi="Arial" w:cs="Arial"/>
          <w:sz w:val="18"/>
          <w:szCs w:val="18"/>
        </w:rPr>
      </w:pPr>
    </w:p>
    <w:tbl>
      <w:tblPr>
        <w:tblW w:w="5000" w:type="pct"/>
        <w:tblLayout w:type="fixed"/>
        <w:tblLook w:val="0000" w:firstRow="0" w:lastRow="0" w:firstColumn="0" w:lastColumn="0" w:noHBand="0" w:noVBand="0"/>
      </w:tblPr>
      <w:tblGrid>
        <w:gridCol w:w="7496"/>
        <w:gridCol w:w="692"/>
        <w:gridCol w:w="418"/>
        <w:gridCol w:w="1033"/>
      </w:tblGrid>
      <w:tr w:rsidR="00CF1FC2" w:rsidTr="001606EE">
        <w:trPr>
          <w:trHeight w:val="255"/>
        </w:trPr>
        <w:tc>
          <w:tcPr>
            <w:tcW w:w="3888" w:type="pct"/>
            <w:tcBorders>
              <w:top w:val="nil"/>
              <w:left w:val="nil"/>
              <w:bottom w:val="single" w:sz="4" w:space="0" w:color="auto"/>
              <w:right w:val="nil"/>
            </w:tcBorders>
            <w:shd w:val="clear" w:color="auto" w:fill="auto"/>
            <w:noWrap/>
            <w:vAlign w:val="bottom"/>
          </w:tcPr>
          <w:p w:rsidR="00CF1FC2" w:rsidRPr="00232C68" w:rsidRDefault="00CF1FC2" w:rsidP="00CF1FC2">
            <w:pPr>
              <w:rPr>
                <w:rFonts w:ascii="Arial" w:hAnsi="Arial" w:cs="Arial"/>
                <w:sz w:val="18"/>
                <w:szCs w:val="18"/>
              </w:rPr>
            </w:pPr>
            <w:r w:rsidRPr="00232C68">
              <w:rPr>
                <w:rFonts w:ascii="Arial" w:hAnsi="Arial" w:cs="Arial"/>
                <w:sz w:val="18"/>
                <w:szCs w:val="18"/>
              </w:rPr>
              <w:t>£ millions</w:t>
            </w:r>
          </w:p>
        </w:tc>
        <w:tc>
          <w:tcPr>
            <w:tcW w:w="576" w:type="pct"/>
            <w:gridSpan w:val="2"/>
            <w:tcBorders>
              <w:top w:val="nil"/>
              <w:left w:val="nil"/>
              <w:bottom w:val="single" w:sz="4" w:space="0" w:color="auto"/>
              <w:right w:val="nil"/>
            </w:tcBorders>
            <w:shd w:val="clear" w:color="auto" w:fill="auto"/>
            <w:noWrap/>
            <w:vAlign w:val="bottom"/>
          </w:tcPr>
          <w:p w:rsidR="00CF1FC2" w:rsidRPr="00EF1091" w:rsidRDefault="005F4DFB" w:rsidP="00A25FDB">
            <w:pPr>
              <w:jc w:val="right"/>
              <w:rPr>
                <w:rFonts w:ascii="Arial" w:hAnsi="Arial" w:cs="Arial"/>
                <w:sz w:val="18"/>
                <w:szCs w:val="18"/>
              </w:rPr>
            </w:pPr>
            <w:r>
              <w:rPr>
                <w:rFonts w:ascii="Arial" w:hAnsi="Arial" w:cs="Arial"/>
                <w:sz w:val="18"/>
                <w:szCs w:val="18"/>
              </w:rPr>
              <w:t>201</w:t>
            </w:r>
            <w:r w:rsidR="00A25FDB">
              <w:rPr>
                <w:rFonts w:ascii="Arial" w:hAnsi="Arial" w:cs="Arial"/>
                <w:sz w:val="18"/>
                <w:szCs w:val="18"/>
              </w:rPr>
              <w:t>7</w:t>
            </w:r>
            <w:r w:rsidR="00CF1FC2">
              <w:rPr>
                <w:rFonts w:ascii="Arial" w:hAnsi="Arial" w:cs="Arial"/>
                <w:sz w:val="18"/>
                <w:szCs w:val="18"/>
              </w:rPr>
              <w:t>/1</w:t>
            </w:r>
            <w:r w:rsidR="00A25FDB">
              <w:rPr>
                <w:rFonts w:ascii="Arial" w:hAnsi="Arial" w:cs="Arial"/>
                <w:sz w:val="18"/>
                <w:szCs w:val="18"/>
              </w:rPr>
              <w:t>8</w:t>
            </w:r>
          </w:p>
        </w:tc>
        <w:tc>
          <w:tcPr>
            <w:tcW w:w="536" w:type="pct"/>
            <w:tcBorders>
              <w:top w:val="nil"/>
              <w:left w:val="nil"/>
              <w:bottom w:val="single" w:sz="4" w:space="0" w:color="auto"/>
              <w:right w:val="nil"/>
            </w:tcBorders>
            <w:shd w:val="clear" w:color="auto" w:fill="auto"/>
            <w:noWrap/>
            <w:vAlign w:val="bottom"/>
          </w:tcPr>
          <w:p w:rsidR="00CF1FC2" w:rsidRPr="00EF1091" w:rsidRDefault="005F4DFB" w:rsidP="00A25FDB">
            <w:pPr>
              <w:jc w:val="right"/>
              <w:rPr>
                <w:rFonts w:ascii="Arial" w:hAnsi="Arial" w:cs="Arial"/>
                <w:sz w:val="18"/>
                <w:szCs w:val="18"/>
              </w:rPr>
            </w:pPr>
            <w:r>
              <w:rPr>
                <w:rFonts w:ascii="Arial" w:hAnsi="Arial" w:cs="Arial"/>
                <w:sz w:val="18"/>
                <w:szCs w:val="18"/>
              </w:rPr>
              <w:t>201</w:t>
            </w:r>
            <w:r w:rsidR="00A25FDB">
              <w:rPr>
                <w:rFonts w:ascii="Arial" w:hAnsi="Arial" w:cs="Arial"/>
                <w:sz w:val="18"/>
                <w:szCs w:val="18"/>
              </w:rPr>
              <w:t>6</w:t>
            </w:r>
            <w:r>
              <w:rPr>
                <w:rFonts w:ascii="Arial" w:hAnsi="Arial" w:cs="Arial"/>
                <w:sz w:val="18"/>
                <w:szCs w:val="18"/>
              </w:rPr>
              <w:t>/1</w:t>
            </w:r>
            <w:r w:rsidR="00A25FDB">
              <w:rPr>
                <w:rFonts w:ascii="Arial" w:hAnsi="Arial" w:cs="Arial"/>
                <w:sz w:val="18"/>
                <w:szCs w:val="18"/>
              </w:rPr>
              <w:t>7</w:t>
            </w:r>
          </w:p>
        </w:tc>
      </w:tr>
      <w:tr w:rsidR="00A25FDB" w:rsidRPr="00AC4FCB" w:rsidTr="001606EE">
        <w:trPr>
          <w:trHeight w:val="255"/>
        </w:trPr>
        <w:tc>
          <w:tcPr>
            <w:tcW w:w="3888" w:type="pct"/>
            <w:tcBorders>
              <w:top w:val="single" w:sz="4" w:space="0" w:color="auto"/>
              <w:left w:val="nil"/>
              <w:bottom w:val="nil"/>
              <w:right w:val="nil"/>
            </w:tcBorders>
            <w:shd w:val="clear" w:color="auto" w:fill="auto"/>
            <w:noWrap/>
            <w:vAlign w:val="bottom"/>
          </w:tcPr>
          <w:p w:rsidR="00A25FDB" w:rsidRPr="00267DAC" w:rsidRDefault="00A25FDB" w:rsidP="00A25FDB">
            <w:pPr>
              <w:rPr>
                <w:rFonts w:ascii="Arial" w:hAnsi="Arial" w:cs="Arial"/>
                <w:b/>
                <w:sz w:val="18"/>
                <w:szCs w:val="18"/>
              </w:rPr>
            </w:pPr>
            <w:r w:rsidRPr="00267DAC">
              <w:rPr>
                <w:rFonts w:ascii="Arial" w:hAnsi="Arial" w:cs="Arial"/>
                <w:b/>
                <w:sz w:val="18"/>
                <w:szCs w:val="18"/>
              </w:rPr>
              <w:t>Cash and cash equivalents</w:t>
            </w:r>
          </w:p>
        </w:tc>
        <w:tc>
          <w:tcPr>
            <w:tcW w:w="576" w:type="pct"/>
            <w:gridSpan w:val="2"/>
            <w:tcBorders>
              <w:top w:val="single" w:sz="4" w:space="0" w:color="auto"/>
              <w:left w:val="nil"/>
              <w:bottom w:val="nil"/>
              <w:right w:val="nil"/>
            </w:tcBorders>
            <w:shd w:val="clear" w:color="auto" w:fill="auto"/>
            <w:noWrap/>
            <w:vAlign w:val="bottom"/>
          </w:tcPr>
          <w:p w:rsidR="00A25FDB" w:rsidRPr="00652C72" w:rsidRDefault="00C0733E" w:rsidP="00A25FDB">
            <w:pPr>
              <w:jc w:val="right"/>
              <w:rPr>
                <w:rFonts w:ascii="Arial" w:hAnsi="Arial" w:cs="Arial"/>
                <w:b/>
                <w:bCs/>
                <w:sz w:val="18"/>
                <w:szCs w:val="18"/>
              </w:rPr>
            </w:pPr>
            <w:r>
              <w:rPr>
                <w:rFonts w:ascii="Arial" w:hAnsi="Arial" w:cs="Arial"/>
                <w:b/>
                <w:bCs/>
                <w:sz w:val="18"/>
                <w:szCs w:val="18"/>
              </w:rPr>
              <w:t>230</w:t>
            </w:r>
          </w:p>
        </w:tc>
        <w:tc>
          <w:tcPr>
            <w:tcW w:w="536" w:type="pct"/>
            <w:tcBorders>
              <w:top w:val="single" w:sz="4" w:space="0" w:color="auto"/>
              <w:left w:val="nil"/>
              <w:bottom w:val="nil"/>
              <w:right w:val="nil"/>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795</w:t>
            </w:r>
          </w:p>
        </w:tc>
      </w:tr>
      <w:tr w:rsidR="00A25FDB" w:rsidRPr="00AC4FCB" w:rsidTr="001606EE">
        <w:trPr>
          <w:trHeight w:val="255"/>
        </w:trPr>
        <w:tc>
          <w:tcPr>
            <w:tcW w:w="3888" w:type="pct"/>
            <w:tcBorders>
              <w:top w:val="nil"/>
              <w:left w:val="nil"/>
              <w:bottom w:val="nil"/>
              <w:right w:val="nil"/>
            </w:tcBorders>
            <w:shd w:val="clear" w:color="auto" w:fill="auto"/>
            <w:noWrap/>
            <w:vAlign w:val="bottom"/>
          </w:tcPr>
          <w:p w:rsidR="00A25FDB" w:rsidRPr="00232C68" w:rsidRDefault="00A25FDB" w:rsidP="00A25FDB">
            <w:pPr>
              <w:rPr>
                <w:rFonts w:ascii="Arial" w:hAnsi="Arial" w:cs="Arial"/>
                <w:sz w:val="18"/>
                <w:szCs w:val="18"/>
              </w:rPr>
            </w:pPr>
            <w:r w:rsidRPr="00232C68">
              <w:rPr>
                <w:rFonts w:ascii="Arial" w:hAnsi="Arial" w:cs="Arial"/>
                <w:sz w:val="18"/>
                <w:szCs w:val="18"/>
              </w:rPr>
              <w:t>Bank loans</w:t>
            </w:r>
          </w:p>
        </w:tc>
        <w:tc>
          <w:tcPr>
            <w:tcW w:w="576" w:type="pct"/>
            <w:gridSpan w:val="2"/>
            <w:tcBorders>
              <w:top w:val="nil"/>
              <w:left w:val="nil"/>
              <w:bottom w:val="nil"/>
              <w:right w:val="nil"/>
            </w:tcBorders>
            <w:shd w:val="clear" w:color="auto" w:fill="auto"/>
            <w:noWrap/>
            <w:vAlign w:val="bottom"/>
          </w:tcPr>
          <w:p w:rsidR="00A25FDB" w:rsidRPr="00652C72" w:rsidRDefault="00C0733E" w:rsidP="00A25FDB">
            <w:pPr>
              <w:jc w:val="right"/>
              <w:rPr>
                <w:rFonts w:ascii="Arial" w:hAnsi="Arial" w:cs="Arial"/>
                <w:b/>
                <w:bCs/>
                <w:sz w:val="18"/>
                <w:szCs w:val="18"/>
              </w:rPr>
            </w:pPr>
            <w:r>
              <w:rPr>
                <w:rFonts w:ascii="Arial" w:hAnsi="Arial" w:cs="Arial"/>
                <w:b/>
                <w:bCs/>
                <w:sz w:val="18"/>
                <w:szCs w:val="18"/>
              </w:rPr>
              <w:t>(6)</w:t>
            </w:r>
          </w:p>
        </w:tc>
        <w:tc>
          <w:tcPr>
            <w:tcW w:w="536" w:type="pct"/>
            <w:tcBorders>
              <w:top w:val="nil"/>
              <w:left w:val="nil"/>
              <w:bottom w:val="nil"/>
              <w:right w:val="nil"/>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(9)</w:t>
            </w:r>
          </w:p>
        </w:tc>
      </w:tr>
      <w:tr w:rsidR="00A25FDB" w:rsidRPr="00AC4FCB" w:rsidTr="001606EE">
        <w:trPr>
          <w:trHeight w:val="255"/>
        </w:trPr>
        <w:tc>
          <w:tcPr>
            <w:tcW w:w="3888" w:type="pct"/>
            <w:tcBorders>
              <w:top w:val="nil"/>
              <w:left w:val="nil"/>
              <w:bottom w:val="nil"/>
              <w:right w:val="nil"/>
            </w:tcBorders>
            <w:shd w:val="clear" w:color="auto" w:fill="auto"/>
            <w:noWrap/>
            <w:vAlign w:val="bottom"/>
          </w:tcPr>
          <w:p w:rsidR="00A25FDB" w:rsidRPr="00232C68" w:rsidRDefault="00A25FDB" w:rsidP="00A25FDB">
            <w:pPr>
              <w:rPr>
                <w:rFonts w:ascii="Arial" w:hAnsi="Arial" w:cs="Arial"/>
                <w:sz w:val="18"/>
                <w:szCs w:val="18"/>
              </w:rPr>
            </w:pPr>
            <w:r>
              <w:rPr>
                <w:rFonts w:ascii="Arial" w:hAnsi="Arial" w:cs="Arial"/>
                <w:sz w:val="18"/>
                <w:szCs w:val="18"/>
              </w:rPr>
              <w:t>F</w:t>
            </w:r>
            <w:r w:rsidRPr="00232C68">
              <w:rPr>
                <w:rFonts w:ascii="Arial" w:hAnsi="Arial" w:cs="Arial"/>
                <w:sz w:val="18"/>
                <w:szCs w:val="18"/>
              </w:rPr>
              <w:t>ixed term debt</w:t>
            </w:r>
          </w:p>
        </w:tc>
        <w:tc>
          <w:tcPr>
            <w:tcW w:w="576" w:type="pct"/>
            <w:gridSpan w:val="2"/>
            <w:tcBorders>
              <w:top w:val="nil"/>
              <w:left w:val="nil"/>
              <w:bottom w:val="nil"/>
              <w:right w:val="nil"/>
            </w:tcBorders>
            <w:shd w:val="clear" w:color="auto" w:fill="auto"/>
            <w:noWrap/>
            <w:vAlign w:val="bottom"/>
          </w:tcPr>
          <w:p w:rsidR="00A25FDB" w:rsidRPr="00652C72" w:rsidRDefault="00C0733E" w:rsidP="00A25FDB">
            <w:pPr>
              <w:jc w:val="right"/>
              <w:rPr>
                <w:rFonts w:ascii="Arial" w:hAnsi="Arial" w:cs="Arial"/>
                <w:b/>
                <w:bCs/>
                <w:sz w:val="18"/>
                <w:szCs w:val="18"/>
              </w:rPr>
            </w:pPr>
            <w:r>
              <w:rPr>
                <w:rFonts w:ascii="Arial" w:hAnsi="Arial" w:cs="Arial"/>
                <w:b/>
                <w:bCs/>
                <w:sz w:val="18"/>
                <w:szCs w:val="18"/>
              </w:rPr>
              <w:t>(125)</w:t>
            </w:r>
          </w:p>
        </w:tc>
        <w:tc>
          <w:tcPr>
            <w:tcW w:w="536" w:type="pct"/>
            <w:tcBorders>
              <w:top w:val="nil"/>
              <w:left w:val="nil"/>
              <w:bottom w:val="nil"/>
              <w:right w:val="nil"/>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(147)</w:t>
            </w:r>
          </w:p>
        </w:tc>
      </w:tr>
      <w:tr w:rsidR="00A25FDB" w:rsidRPr="00AC4FCB" w:rsidTr="001606EE">
        <w:trPr>
          <w:trHeight w:val="255"/>
        </w:trPr>
        <w:tc>
          <w:tcPr>
            <w:tcW w:w="3888" w:type="pct"/>
            <w:tcBorders>
              <w:top w:val="nil"/>
              <w:left w:val="nil"/>
              <w:bottom w:val="nil"/>
              <w:right w:val="nil"/>
            </w:tcBorders>
            <w:shd w:val="clear" w:color="auto" w:fill="auto"/>
            <w:noWrap/>
            <w:vAlign w:val="bottom"/>
          </w:tcPr>
          <w:p w:rsidR="00A25FDB" w:rsidRPr="00232C68" w:rsidRDefault="00A25FDB" w:rsidP="00A25FDB">
            <w:pPr>
              <w:rPr>
                <w:rFonts w:ascii="Arial" w:hAnsi="Arial" w:cs="Arial"/>
                <w:sz w:val="18"/>
                <w:szCs w:val="18"/>
              </w:rPr>
            </w:pPr>
            <w:r>
              <w:rPr>
                <w:rFonts w:ascii="Arial" w:hAnsi="Arial" w:cs="Arial"/>
                <w:sz w:val="18"/>
                <w:szCs w:val="18"/>
              </w:rPr>
              <w:t>Financing derivatives</w:t>
            </w:r>
          </w:p>
        </w:tc>
        <w:tc>
          <w:tcPr>
            <w:tcW w:w="576" w:type="pct"/>
            <w:gridSpan w:val="2"/>
            <w:tcBorders>
              <w:top w:val="nil"/>
              <w:left w:val="nil"/>
              <w:bottom w:val="nil"/>
              <w:right w:val="nil"/>
            </w:tcBorders>
            <w:shd w:val="clear" w:color="auto" w:fill="auto"/>
            <w:noWrap/>
            <w:vAlign w:val="bottom"/>
          </w:tcPr>
          <w:p w:rsidR="00A25FDB" w:rsidRPr="00652C72" w:rsidRDefault="00C0733E" w:rsidP="00A25FDB">
            <w:pPr>
              <w:jc w:val="right"/>
              <w:rPr>
                <w:rFonts w:ascii="Arial" w:hAnsi="Arial" w:cs="Arial"/>
                <w:b/>
                <w:bCs/>
                <w:sz w:val="18"/>
                <w:szCs w:val="18"/>
              </w:rPr>
            </w:pPr>
            <w:r>
              <w:rPr>
                <w:rFonts w:ascii="Arial" w:hAnsi="Arial" w:cs="Arial"/>
                <w:b/>
                <w:bCs/>
                <w:sz w:val="18"/>
                <w:szCs w:val="18"/>
              </w:rPr>
              <w:t>14</w:t>
            </w:r>
          </w:p>
        </w:tc>
        <w:tc>
          <w:tcPr>
            <w:tcW w:w="536" w:type="pct"/>
            <w:tcBorders>
              <w:top w:val="nil"/>
              <w:left w:val="nil"/>
              <w:bottom w:val="nil"/>
              <w:right w:val="nil"/>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44</w:t>
            </w:r>
          </w:p>
        </w:tc>
      </w:tr>
      <w:tr w:rsidR="00A25FDB" w:rsidRPr="00AC4FCB" w:rsidTr="001606EE">
        <w:trPr>
          <w:trHeight w:val="255"/>
        </w:trPr>
        <w:tc>
          <w:tcPr>
            <w:tcW w:w="3888" w:type="pct"/>
            <w:tcBorders>
              <w:top w:val="nil"/>
              <w:left w:val="nil"/>
              <w:bottom w:val="nil"/>
              <w:right w:val="nil"/>
            </w:tcBorders>
            <w:shd w:val="clear" w:color="auto" w:fill="auto"/>
            <w:noWrap/>
            <w:vAlign w:val="bottom"/>
          </w:tcPr>
          <w:p w:rsidR="00A25FDB" w:rsidRPr="00232C68" w:rsidRDefault="00A25FDB" w:rsidP="00A25FDB">
            <w:pPr>
              <w:rPr>
                <w:rFonts w:ascii="Arial" w:hAnsi="Arial" w:cs="Arial"/>
                <w:sz w:val="18"/>
                <w:szCs w:val="18"/>
              </w:rPr>
            </w:pPr>
            <w:r w:rsidRPr="00232C68">
              <w:rPr>
                <w:rFonts w:ascii="Arial" w:hAnsi="Arial" w:cs="Arial"/>
                <w:sz w:val="18"/>
                <w:szCs w:val="18"/>
              </w:rPr>
              <w:t>Finance leases</w:t>
            </w:r>
          </w:p>
        </w:tc>
        <w:tc>
          <w:tcPr>
            <w:tcW w:w="576" w:type="pct"/>
            <w:gridSpan w:val="2"/>
            <w:tcBorders>
              <w:top w:val="nil"/>
              <w:left w:val="nil"/>
              <w:bottom w:val="nil"/>
              <w:right w:val="nil"/>
            </w:tcBorders>
            <w:shd w:val="clear" w:color="auto" w:fill="auto"/>
            <w:noWrap/>
            <w:vAlign w:val="bottom"/>
          </w:tcPr>
          <w:p w:rsidR="00A25FDB" w:rsidRPr="00652C72" w:rsidRDefault="00C0733E" w:rsidP="00A25FDB">
            <w:pPr>
              <w:jc w:val="right"/>
              <w:rPr>
                <w:rFonts w:ascii="Arial" w:hAnsi="Arial" w:cs="Arial"/>
                <w:b/>
                <w:bCs/>
                <w:sz w:val="18"/>
                <w:szCs w:val="18"/>
              </w:rPr>
            </w:pPr>
            <w:r>
              <w:rPr>
                <w:rFonts w:ascii="Arial" w:hAnsi="Arial" w:cs="Arial"/>
                <w:b/>
                <w:bCs/>
                <w:sz w:val="18"/>
                <w:szCs w:val="18"/>
              </w:rPr>
              <w:t>(45)</w:t>
            </w:r>
          </w:p>
        </w:tc>
        <w:tc>
          <w:tcPr>
            <w:tcW w:w="536" w:type="pct"/>
            <w:tcBorders>
              <w:top w:val="nil"/>
              <w:left w:val="nil"/>
              <w:bottom w:val="nil"/>
              <w:right w:val="nil"/>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(42)</w:t>
            </w:r>
          </w:p>
        </w:tc>
      </w:tr>
      <w:tr w:rsidR="00A25FDB" w:rsidRPr="00AC4FCB" w:rsidTr="001606EE">
        <w:trPr>
          <w:trHeight w:val="270"/>
        </w:trPr>
        <w:tc>
          <w:tcPr>
            <w:tcW w:w="3888" w:type="pct"/>
            <w:tcBorders>
              <w:top w:val="single" w:sz="4" w:space="0" w:color="auto"/>
              <w:left w:val="nil"/>
              <w:bottom w:val="single" w:sz="12" w:space="0" w:color="auto"/>
              <w:right w:val="nil"/>
            </w:tcBorders>
            <w:shd w:val="clear" w:color="auto" w:fill="auto"/>
            <w:noWrap/>
            <w:vAlign w:val="bottom"/>
          </w:tcPr>
          <w:p w:rsidR="00A25FDB" w:rsidRPr="00232C68" w:rsidRDefault="00A25FDB" w:rsidP="00A25FDB">
            <w:pPr>
              <w:rPr>
                <w:rFonts w:ascii="Arial" w:hAnsi="Arial" w:cs="Arial"/>
                <w:b/>
                <w:bCs/>
                <w:sz w:val="18"/>
                <w:szCs w:val="18"/>
              </w:rPr>
            </w:pPr>
            <w:r w:rsidRPr="00232C68">
              <w:rPr>
                <w:rFonts w:ascii="Arial" w:hAnsi="Arial" w:cs="Arial"/>
                <w:b/>
                <w:bCs/>
                <w:sz w:val="18"/>
                <w:szCs w:val="18"/>
              </w:rPr>
              <w:t xml:space="preserve">Net </w:t>
            </w:r>
            <w:r>
              <w:rPr>
                <w:rFonts w:ascii="Arial" w:hAnsi="Arial" w:cs="Arial"/>
                <w:b/>
                <w:bCs/>
                <w:sz w:val="18"/>
                <w:szCs w:val="18"/>
              </w:rPr>
              <w:t>cash</w:t>
            </w:r>
          </w:p>
        </w:tc>
        <w:tc>
          <w:tcPr>
            <w:tcW w:w="576" w:type="pct"/>
            <w:gridSpan w:val="2"/>
            <w:tcBorders>
              <w:top w:val="single" w:sz="4" w:space="0" w:color="auto"/>
              <w:left w:val="nil"/>
              <w:bottom w:val="single" w:sz="12" w:space="0" w:color="auto"/>
              <w:right w:val="nil"/>
            </w:tcBorders>
            <w:shd w:val="clear" w:color="auto" w:fill="auto"/>
            <w:noWrap/>
            <w:vAlign w:val="bottom"/>
          </w:tcPr>
          <w:p w:rsidR="00A25FDB" w:rsidRPr="00652C72" w:rsidRDefault="00C0733E" w:rsidP="00A25FDB">
            <w:pPr>
              <w:jc w:val="right"/>
              <w:rPr>
                <w:rFonts w:ascii="Arial" w:hAnsi="Arial" w:cs="Arial"/>
                <w:b/>
                <w:bCs/>
                <w:sz w:val="18"/>
                <w:szCs w:val="18"/>
              </w:rPr>
            </w:pPr>
            <w:r>
              <w:rPr>
                <w:rFonts w:ascii="Arial" w:hAnsi="Arial" w:cs="Arial"/>
                <w:b/>
                <w:bCs/>
                <w:sz w:val="18"/>
                <w:szCs w:val="18"/>
              </w:rPr>
              <w:t>68</w:t>
            </w:r>
          </w:p>
        </w:tc>
        <w:tc>
          <w:tcPr>
            <w:tcW w:w="536" w:type="pct"/>
            <w:tcBorders>
              <w:top w:val="single" w:sz="4" w:space="0" w:color="auto"/>
              <w:left w:val="nil"/>
              <w:bottom w:val="single" w:sz="12" w:space="0" w:color="auto"/>
              <w:right w:val="nil"/>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641</w:t>
            </w:r>
          </w:p>
        </w:tc>
      </w:tr>
      <w:tr w:rsidR="00EE7026" w:rsidRPr="00AC4FCB" w:rsidTr="00A25FDB">
        <w:trPr>
          <w:trHeight w:val="255"/>
        </w:trPr>
        <w:tc>
          <w:tcPr>
            <w:tcW w:w="3888" w:type="pct"/>
            <w:tcBorders>
              <w:top w:val="single" w:sz="12" w:space="0" w:color="auto"/>
              <w:left w:val="nil"/>
              <w:bottom w:val="nil"/>
              <w:right w:val="nil"/>
            </w:tcBorders>
            <w:shd w:val="clear" w:color="auto" w:fill="auto"/>
            <w:noWrap/>
            <w:vAlign w:val="bottom"/>
          </w:tcPr>
          <w:p w:rsidR="00EE7026" w:rsidRPr="00232C68" w:rsidRDefault="00EE7026" w:rsidP="00A70836">
            <w:pPr>
              <w:rPr>
                <w:rFonts w:ascii="Arial" w:hAnsi="Arial" w:cs="Arial"/>
                <w:sz w:val="18"/>
                <w:szCs w:val="18"/>
              </w:rPr>
            </w:pPr>
          </w:p>
        </w:tc>
        <w:tc>
          <w:tcPr>
            <w:tcW w:w="359" w:type="pct"/>
            <w:tcBorders>
              <w:top w:val="single" w:sz="12" w:space="0" w:color="auto"/>
              <w:left w:val="nil"/>
              <w:bottom w:val="nil"/>
              <w:right w:val="nil"/>
            </w:tcBorders>
            <w:shd w:val="clear" w:color="auto" w:fill="auto"/>
            <w:noWrap/>
            <w:vAlign w:val="bottom"/>
          </w:tcPr>
          <w:p w:rsidR="00EE7026" w:rsidRPr="00232C68" w:rsidRDefault="00EE7026" w:rsidP="00A70836">
            <w:pPr>
              <w:rPr>
                <w:rFonts w:ascii="Arial" w:hAnsi="Arial" w:cs="Arial"/>
                <w:b/>
                <w:bCs/>
                <w:sz w:val="18"/>
                <w:szCs w:val="18"/>
              </w:rPr>
            </w:pPr>
          </w:p>
        </w:tc>
        <w:tc>
          <w:tcPr>
            <w:tcW w:w="753" w:type="pct"/>
            <w:gridSpan w:val="2"/>
            <w:tcBorders>
              <w:top w:val="single" w:sz="12" w:space="0" w:color="auto"/>
              <w:left w:val="nil"/>
              <w:bottom w:val="nil"/>
              <w:right w:val="nil"/>
            </w:tcBorders>
            <w:shd w:val="clear" w:color="auto" w:fill="auto"/>
            <w:noWrap/>
            <w:vAlign w:val="bottom"/>
          </w:tcPr>
          <w:p w:rsidR="00EE7026" w:rsidRPr="008C583A" w:rsidRDefault="00EE7026" w:rsidP="00A70836">
            <w:pPr>
              <w:rPr>
                <w:rFonts w:ascii="Arial" w:hAnsi="Arial" w:cs="Arial"/>
                <w:sz w:val="18"/>
                <w:szCs w:val="18"/>
              </w:rPr>
            </w:pPr>
          </w:p>
        </w:tc>
      </w:tr>
      <w:tr w:rsidR="00CF1FC2" w:rsidRPr="00AC4FCB" w:rsidTr="001606EE">
        <w:trPr>
          <w:trHeight w:val="255"/>
        </w:trPr>
        <w:tc>
          <w:tcPr>
            <w:tcW w:w="3888" w:type="pct"/>
            <w:tcBorders>
              <w:top w:val="nil"/>
              <w:left w:val="nil"/>
              <w:bottom w:val="single" w:sz="4" w:space="0" w:color="auto"/>
              <w:right w:val="nil"/>
            </w:tcBorders>
            <w:shd w:val="clear" w:color="auto" w:fill="auto"/>
            <w:noWrap/>
            <w:vAlign w:val="bottom"/>
          </w:tcPr>
          <w:p w:rsidR="00CF1FC2" w:rsidRPr="00232C68" w:rsidRDefault="00CF1FC2" w:rsidP="00CF1FC2">
            <w:pPr>
              <w:rPr>
                <w:rFonts w:ascii="Arial" w:hAnsi="Arial" w:cs="Arial"/>
                <w:sz w:val="18"/>
                <w:szCs w:val="18"/>
              </w:rPr>
            </w:pPr>
            <w:r w:rsidRPr="00232C68">
              <w:rPr>
                <w:rFonts w:ascii="Arial" w:hAnsi="Arial" w:cs="Arial"/>
                <w:sz w:val="18"/>
                <w:szCs w:val="18"/>
              </w:rPr>
              <w:t>£ millions</w:t>
            </w:r>
          </w:p>
        </w:tc>
        <w:tc>
          <w:tcPr>
            <w:tcW w:w="576" w:type="pct"/>
            <w:gridSpan w:val="2"/>
            <w:tcBorders>
              <w:top w:val="nil"/>
              <w:left w:val="nil"/>
              <w:bottom w:val="single" w:sz="4" w:space="0" w:color="auto"/>
              <w:right w:val="nil"/>
            </w:tcBorders>
            <w:shd w:val="clear" w:color="auto" w:fill="auto"/>
            <w:noWrap/>
            <w:vAlign w:val="bottom"/>
          </w:tcPr>
          <w:p w:rsidR="00CF1FC2" w:rsidRPr="00EF1091" w:rsidRDefault="005F4DFB" w:rsidP="00C747FB">
            <w:pPr>
              <w:jc w:val="right"/>
              <w:rPr>
                <w:rFonts w:ascii="Arial" w:hAnsi="Arial" w:cs="Arial"/>
                <w:sz w:val="18"/>
                <w:szCs w:val="18"/>
              </w:rPr>
            </w:pPr>
            <w:r>
              <w:rPr>
                <w:rFonts w:ascii="Arial" w:hAnsi="Arial" w:cs="Arial"/>
                <w:sz w:val="18"/>
                <w:szCs w:val="18"/>
              </w:rPr>
              <w:t>201</w:t>
            </w:r>
            <w:r w:rsidR="00C747FB">
              <w:rPr>
                <w:rFonts w:ascii="Arial" w:hAnsi="Arial" w:cs="Arial"/>
                <w:sz w:val="18"/>
                <w:szCs w:val="18"/>
              </w:rPr>
              <w:t>7</w:t>
            </w:r>
            <w:r w:rsidR="00CF1FC2">
              <w:rPr>
                <w:rFonts w:ascii="Arial" w:hAnsi="Arial" w:cs="Arial"/>
                <w:sz w:val="18"/>
                <w:szCs w:val="18"/>
              </w:rPr>
              <w:t>/1</w:t>
            </w:r>
            <w:r w:rsidR="00C747FB">
              <w:rPr>
                <w:rFonts w:ascii="Arial" w:hAnsi="Arial" w:cs="Arial"/>
                <w:sz w:val="18"/>
                <w:szCs w:val="18"/>
              </w:rPr>
              <w:t>8</w:t>
            </w:r>
          </w:p>
        </w:tc>
        <w:tc>
          <w:tcPr>
            <w:tcW w:w="536" w:type="pct"/>
            <w:tcBorders>
              <w:top w:val="nil"/>
              <w:left w:val="nil"/>
              <w:bottom w:val="single" w:sz="4" w:space="0" w:color="auto"/>
              <w:right w:val="nil"/>
            </w:tcBorders>
            <w:shd w:val="clear" w:color="auto" w:fill="auto"/>
            <w:noWrap/>
            <w:vAlign w:val="bottom"/>
          </w:tcPr>
          <w:p w:rsidR="00CF1FC2" w:rsidRPr="00FC37BE" w:rsidRDefault="005F4DFB" w:rsidP="00C747FB">
            <w:pPr>
              <w:jc w:val="right"/>
              <w:rPr>
                <w:rFonts w:ascii="Arial" w:hAnsi="Arial" w:cs="Arial"/>
                <w:sz w:val="18"/>
                <w:szCs w:val="18"/>
              </w:rPr>
            </w:pPr>
            <w:r>
              <w:rPr>
                <w:rFonts w:ascii="Arial" w:hAnsi="Arial" w:cs="Arial"/>
                <w:sz w:val="18"/>
                <w:szCs w:val="18"/>
              </w:rPr>
              <w:t>201</w:t>
            </w:r>
            <w:r w:rsidR="00C747FB">
              <w:rPr>
                <w:rFonts w:ascii="Arial" w:hAnsi="Arial" w:cs="Arial"/>
                <w:sz w:val="18"/>
                <w:szCs w:val="18"/>
              </w:rPr>
              <w:t>6</w:t>
            </w:r>
            <w:r w:rsidR="00CF1FC2" w:rsidRPr="008C583A">
              <w:rPr>
                <w:rFonts w:ascii="Arial" w:hAnsi="Arial" w:cs="Arial"/>
                <w:sz w:val="18"/>
                <w:szCs w:val="18"/>
              </w:rPr>
              <w:t>/1</w:t>
            </w:r>
            <w:r w:rsidR="00C747FB">
              <w:rPr>
                <w:rFonts w:ascii="Arial" w:hAnsi="Arial" w:cs="Arial"/>
                <w:sz w:val="18"/>
                <w:szCs w:val="18"/>
              </w:rPr>
              <w:t>7</w:t>
            </w:r>
          </w:p>
        </w:tc>
      </w:tr>
      <w:tr w:rsidR="00A25FDB" w:rsidRPr="00AC4FCB" w:rsidTr="001606EE">
        <w:trPr>
          <w:trHeight w:val="255"/>
        </w:trPr>
        <w:tc>
          <w:tcPr>
            <w:tcW w:w="3888" w:type="pct"/>
            <w:tcBorders>
              <w:top w:val="nil"/>
              <w:left w:val="nil"/>
              <w:bottom w:val="single" w:sz="4" w:space="0" w:color="auto"/>
              <w:right w:val="nil"/>
            </w:tcBorders>
            <w:shd w:val="clear" w:color="auto" w:fill="auto"/>
            <w:noWrap/>
            <w:vAlign w:val="bottom"/>
          </w:tcPr>
          <w:p w:rsidR="00A25FDB" w:rsidRPr="00232C68" w:rsidRDefault="00A25FDB" w:rsidP="00A25FDB">
            <w:pPr>
              <w:rPr>
                <w:rFonts w:ascii="Arial" w:hAnsi="Arial" w:cs="Arial"/>
                <w:b/>
                <w:bCs/>
                <w:sz w:val="18"/>
                <w:szCs w:val="18"/>
              </w:rPr>
            </w:pPr>
            <w:r w:rsidRPr="00232C68">
              <w:rPr>
                <w:rFonts w:ascii="Arial" w:hAnsi="Arial" w:cs="Arial"/>
                <w:b/>
                <w:bCs/>
                <w:sz w:val="18"/>
                <w:szCs w:val="18"/>
              </w:rPr>
              <w:t xml:space="preserve">Net </w:t>
            </w:r>
            <w:r>
              <w:rPr>
                <w:rFonts w:ascii="Arial" w:hAnsi="Arial" w:cs="Arial"/>
                <w:b/>
                <w:bCs/>
                <w:sz w:val="18"/>
                <w:szCs w:val="18"/>
              </w:rPr>
              <w:t>cash</w:t>
            </w:r>
            <w:r w:rsidRPr="00232C68">
              <w:rPr>
                <w:rFonts w:ascii="Arial" w:hAnsi="Arial" w:cs="Arial"/>
                <w:b/>
                <w:bCs/>
                <w:sz w:val="18"/>
                <w:szCs w:val="18"/>
              </w:rPr>
              <w:t xml:space="preserve"> at beginning of year</w:t>
            </w:r>
          </w:p>
        </w:tc>
        <w:tc>
          <w:tcPr>
            <w:tcW w:w="576" w:type="pct"/>
            <w:gridSpan w:val="2"/>
            <w:tcBorders>
              <w:top w:val="nil"/>
              <w:left w:val="nil"/>
              <w:bottom w:val="single" w:sz="4" w:space="0" w:color="auto"/>
              <w:right w:val="nil"/>
            </w:tcBorders>
            <w:shd w:val="clear" w:color="auto" w:fill="auto"/>
            <w:noWrap/>
            <w:vAlign w:val="bottom"/>
          </w:tcPr>
          <w:p w:rsidR="00A25FDB" w:rsidRPr="000856CA" w:rsidRDefault="00A25FDB" w:rsidP="00A25FDB">
            <w:pPr>
              <w:jc w:val="right"/>
              <w:rPr>
                <w:rFonts w:ascii="Arial" w:hAnsi="Arial" w:cs="Arial"/>
                <w:b/>
                <w:bCs/>
                <w:sz w:val="18"/>
                <w:szCs w:val="18"/>
              </w:rPr>
            </w:pPr>
            <w:r>
              <w:rPr>
                <w:rFonts w:ascii="Arial" w:hAnsi="Arial" w:cs="Arial"/>
                <w:b/>
                <w:bCs/>
                <w:sz w:val="18"/>
                <w:szCs w:val="18"/>
              </w:rPr>
              <w:t>641</w:t>
            </w:r>
          </w:p>
        </w:tc>
        <w:tc>
          <w:tcPr>
            <w:tcW w:w="536" w:type="pct"/>
            <w:tcBorders>
              <w:top w:val="nil"/>
              <w:left w:val="nil"/>
              <w:bottom w:val="single" w:sz="4" w:space="0" w:color="auto"/>
              <w:right w:val="nil"/>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546</w:t>
            </w:r>
          </w:p>
        </w:tc>
      </w:tr>
      <w:tr w:rsidR="00A25FDB" w:rsidRPr="00AC4FCB" w:rsidTr="001606EE">
        <w:trPr>
          <w:trHeight w:val="255"/>
        </w:trPr>
        <w:tc>
          <w:tcPr>
            <w:tcW w:w="3888" w:type="pct"/>
            <w:tcBorders>
              <w:top w:val="single" w:sz="4" w:space="0" w:color="auto"/>
              <w:left w:val="single" w:sz="4" w:space="0" w:color="auto"/>
              <w:bottom w:val="nil"/>
              <w:right w:val="nil"/>
            </w:tcBorders>
            <w:shd w:val="clear" w:color="auto" w:fill="auto"/>
            <w:noWrap/>
            <w:vAlign w:val="bottom"/>
          </w:tcPr>
          <w:p w:rsidR="00A25FDB" w:rsidRPr="005D340D" w:rsidRDefault="00A25FDB">
            <w:pPr>
              <w:rPr>
                <w:rFonts w:ascii="Arial" w:hAnsi="Arial" w:cs="Arial"/>
                <w:sz w:val="18"/>
                <w:szCs w:val="18"/>
              </w:rPr>
            </w:pPr>
            <w:r w:rsidRPr="005D340D">
              <w:rPr>
                <w:rFonts w:ascii="Arial" w:hAnsi="Arial" w:cs="Arial"/>
                <w:sz w:val="18"/>
                <w:szCs w:val="18"/>
              </w:rPr>
              <w:t xml:space="preserve">Net </w:t>
            </w:r>
            <w:r w:rsidR="00A063AD">
              <w:rPr>
                <w:rFonts w:ascii="Arial" w:hAnsi="Arial" w:cs="Arial"/>
                <w:sz w:val="18"/>
                <w:szCs w:val="18"/>
              </w:rPr>
              <w:t>(decrease)/</w:t>
            </w:r>
            <w:r w:rsidRPr="005D340D">
              <w:rPr>
                <w:rFonts w:ascii="Arial" w:hAnsi="Arial" w:cs="Arial"/>
                <w:sz w:val="18"/>
                <w:szCs w:val="18"/>
              </w:rPr>
              <w:t>increase in cash and cash equivalents and bank overdrafts</w:t>
            </w:r>
          </w:p>
        </w:tc>
        <w:tc>
          <w:tcPr>
            <w:tcW w:w="576" w:type="pct"/>
            <w:gridSpan w:val="2"/>
            <w:tcBorders>
              <w:top w:val="single" w:sz="4" w:space="0" w:color="auto"/>
              <w:left w:val="nil"/>
              <w:bottom w:val="nil"/>
              <w:right w:val="nil"/>
            </w:tcBorders>
            <w:shd w:val="clear" w:color="auto" w:fill="auto"/>
            <w:noWrap/>
            <w:vAlign w:val="bottom"/>
          </w:tcPr>
          <w:p w:rsidR="00A25FDB" w:rsidRPr="000856CA" w:rsidRDefault="00C0733E" w:rsidP="00A25FDB">
            <w:pPr>
              <w:jc w:val="right"/>
              <w:rPr>
                <w:rFonts w:ascii="Arial" w:hAnsi="Arial" w:cs="Arial"/>
                <w:b/>
                <w:bCs/>
                <w:sz w:val="18"/>
                <w:szCs w:val="18"/>
              </w:rPr>
            </w:pPr>
            <w:r>
              <w:rPr>
                <w:rFonts w:ascii="Arial" w:hAnsi="Arial" w:cs="Arial"/>
                <w:b/>
                <w:bCs/>
                <w:sz w:val="18"/>
                <w:szCs w:val="18"/>
              </w:rPr>
              <w:t>(59</w:t>
            </w:r>
            <w:r w:rsidR="00F33ACC">
              <w:rPr>
                <w:rFonts w:ascii="Arial" w:hAnsi="Arial" w:cs="Arial"/>
                <w:b/>
                <w:bCs/>
                <w:sz w:val="18"/>
                <w:szCs w:val="18"/>
              </w:rPr>
              <w:t>6</w:t>
            </w:r>
            <w:r>
              <w:rPr>
                <w:rFonts w:ascii="Arial" w:hAnsi="Arial" w:cs="Arial"/>
                <w:b/>
                <w:bCs/>
                <w:sz w:val="18"/>
                <w:szCs w:val="18"/>
              </w:rPr>
              <w:t>)</w:t>
            </w:r>
          </w:p>
        </w:tc>
        <w:tc>
          <w:tcPr>
            <w:tcW w:w="536" w:type="pct"/>
            <w:tcBorders>
              <w:top w:val="single" w:sz="4" w:space="0" w:color="auto"/>
              <w:left w:val="nil"/>
              <w:bottom w:val="nil"/>
              <w:right w:val="single" w:sz="4" w:space="0" w:color="auto"/>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38</w:t>
            </w:r>
          </w:p>
        </w:tc>
      </w:tr>
      <w:tr w:rsidR="00A25FDB" w:rsidRPr="00AC4FCB" w:rsidTr="001606EE">
        <w:trPr>
          <w:trHeight w:val="255"/>
        </w:trPr>
        <w:tc>
          <w:tcPr>
            <w:tcW w:w="3888" w:type="pct"/>
            <w:tcBorders>
              <w:top w:val="nil"/>
              <w:left w:val="single" w:sz="4" w:space="0" w:color="auto"/>
              <w:bottom w:val="nil"/>
              <w:right w:val="nil"/>
            </w:tcBorders>
            <w:shd w:val="clear" w:color="auto" w:fill="auto"/>
            <w:noWrap/>
            <w:vAlign w:val="bottom"/>
          </w:tcPr>
          <w:p w:rsidR="00A25FDB" w:rsidRPr="005D340D" w:rsidRDefault="00A25FDB" w:rsidP="00A25FDB">
            <w:pPr>
              <w:rPr>
                <w:rFonts w:ascii="Arial" w:hAnsi="Arial" w:cs="Arial"/>
                <w:sz w:val="18"/>
                <w:szCs w:val="18"/>
              </w:rPr>
            </w:pPr>
            <w:r w:rsidRPr="005D340D">
              <w:rPr>
                <w:rFonts w:ascii="Arial" w:hAnsi="Arial" w:cs="Arial"/>
                <w:sz w:val="18"/>
                <w:szCs w:val="18"/>
              </w:rPr>
              <w:t>Decrease in short term deposits</w:t>
            </w:r>
          </w:p>
        </w:tc>
        <w:tc>
          <w:tcPr>
            <w:tcW w:w="576" w:type="pct"/>
            <w:gridSpan w:val="2"/>
            <w:tcBorders>
              <w:top w:val="nil"/>
              <w:left w:val="nil"/>
              <w:bottom w:val="nil"/>
              <w:right w:val="nil"/>
            </w:tcBorders>
            <w:shd w:val="clear" w:color="auto" w:fill="auto"/>
            <w:noWrap/>
            <w:vAlign w:val="bottom"/>
          </w:tcPr>
          <w:p w:rsidR="00A25FDB" w:rsidRPr="000856CA" w:rsidRDefault="00C0733E" w:rsidP="00A25FDB">
            <w:pPr>
              <w:jc w:val="right"/>
              <w:rPr>
                <w:rFonts w:ascii="Arial" w:hAnsi="Arial" w:cs="Arial"/>
                <w:b/>
                <w:sz w:val="18"/>
                <w:szCs w:val="18"/>
              </w:rPr>
            </w:pPr>
            <w:r>
              <w:rPr>
                <w:rFonts w:ascii="Arial" w:hAnsi="Arial" w:cs="Arial"/>
                <w:b/>
                <w:sz w:val="18"/>
                <w:szCs w:val="18"/>
              </w:rPr>
              <w:t>–</w:t>
            </w:r>
          </w:p>
        </w:tc>
        <w:tc>
          <w:tcPr>
            <w:tcW w:w="536" w:type="pct"/>
            <w:tcBorders>
              <w:top w:val="nil"/>
              <w:left w:val="nil"/>
              <w:bottom w:val="nil"/>
              <w:right w:val="single" w:sz="4" w:space="0" w:color="auto"/>
            </w:tcBorders>
            <w:shd w:val="clear" w:color="auto" w:fill="auto"/>
            <w:noWrap/>
            <w:vAlign w:val="bottom"/>
          </w:tcPr>
          <w:p w:rsidR="00A25FDB" w:rsidRPr="00A25FDB" w:rsidRDefault="00A25FDB" w:rsidP="00A25FDB">
            <w:pPr>
              <w:jc w:val="right"/>
              <w:rPr>
                <w:rFonts w:ascii="Arial" w:hAnsi="Arial" w:cs="Arial"/>
                <w:sz w:val="18"/>
                <w:szCs w:val="18"/>
              </w:rPr>
            </w:pPr>
            <w:r w:rsidRPr="00A25FDB">
              <w:rPr>
                <w:rFonts w:ascii="Arial" w:hAnsi="Arial" w:cs="Arial"/>
                <w:sz w:val="18"/>
                <w:szCs w:val="18"/>
              </w:rPr>
              <w:t>(70)</w:t>
            </w:r>
          </w:p>
        </w:tc>
      </w:tr>
      <w:tr w:rsidR="00A25FDB" w:rsidRPr="00AC4FCB" w:rsidTr="001606EE">
        <w:trPr>
          <w:trHeight w:val="255"/>
        </w:trPr>
        <w:tc>
          <w:tcPr>
            <w:tcW w:w="3888" w:type="pct"/>
            <w:tcBorders>
              <w:top w:val="nil"/>
              <w:left w:val="single" w:sz="4" w:space="0" w:color="auto"/>
              <w:bottom w:val="nil"/>
              <w:right w:val="nil"/>
            </w:tcBorders>
            <w:shd w:val="clear" w:color="auto" w:fill="auto"/>
            <w:noWrap/>
            <w:vAlign w:val="bottom"/>
          </w:tcPr>
          <w:p w:rsidR="00A25FDB" w:rsidRPr="005D340D" w:rsidRDefault="00A25FDB" w:rsidP="00A25FDB">
            <w:pPr>
              <w:rPr>
                <w:rFonts w:ascii="Arial" w:hAnsi="Arial" w:cs="Arial"/>
                <w:sz w:val="18"/>
                <w:szCs w:val="18"/>
              </w:rPr>
            </w:pPr>
            <w:r w:rsidRPr="005D340D">
              <w:rPr>
                <w:rFonts w:ascii="Arial" w:hAnsi="Arial" w:cs="Arial"/>
                <w:sz w:val="18"/>
                <w:szCs w:val="18"/>
              </w:rPr>
              <w:t>Repayment of bank loans</w:t>
            </w:r>
          </w:p>
        </w:tc>
        <w:tc>
          <w:tcPr>
            <w:tcW w:w="576" w:type="pct"/>
            <w:gridSpan w:val="2"/>
            <w:tcBorders>
              <w:top w:val="nil"/>
              <w:left w:val="nil"/>
              <w:bottom w:val="nil"/>
              <w:right w:val="nil"/>
            </w:tcBorders>
            <w:shd w:val="clear" w:color="auto" w:fill="auto"/>
            <w:noWrap/>
            <w:vAlign w:val="bottom"/>
          </w:tcPr>
          <w:p w:rsidR="00A25FDB" w:rsidRPr="000856CA" w:rsidRDefault="00F33ACC" w:rsidP="00A25FDB">
            <w:pPr>
              <w:jc w:val="right"/>
              <w:rPr>
                <w:rFonts w:ascii="Arial" w:hAnsi="Arial" w:cs="Arial"/>
                <w:b/>
                <w:bCs/>
                <w:sz w:val="18"/>
                <w:szCs w:val="18"/>
              </w:rPr>
            </w:pPr>
            <w:r w:rsidRPr="00F33ACC">
              <w:rPr>
                <w:rFonts w:ascii="Arial" w:hAnsi="Arial" w:cs="Arial"/>
                <w:b/>
                <w:bCs/>
                <w:sz w:val="18"/>
                <w:szCs w:val="18"/>
              </w:rPr>
              <w:t>7</w:t>
            </w:r>
          </w:p>
        </w:tc>
        <w:tc>
          <w:tcPr>
            <w:tcW w:w="536" w:type="pct"/>
            <w:tcBorders>
              <w:top w:val="nil"/>
              <w:left w:val="nil"/>
              <w:bottom w:val="nil"/>
              <w:right w:val="single" w:sz="4" w:space="0" w:color="auto"/>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2</w:t>
            </w:r>
          </w:p>
        </w:tc>
      </w:tr>
      <w:tr w:rsidR="00A25FDB" w:rsidRPr="00AC4FCB" w:rsidTr="001606EE">
        <w:trPr>
          <w:trHeight w:val="255"/>
        </w:trPr>
        <w:tc>
          <w:tcPr>
            <w:tcW w:w="3888" w:type="pct"/>
            <w:tcBorders>
              <w:top w:val="nil"/>
              <w:left w:val="single" w:sz="4" w:space="0" w:color="auto"/>
              <w:bottom w:val="nil"/>
              <w:right w:val="nil"/>
            </w:tcBorders>
            <w:shd w:val="clear" w:color="auto" w:fill="auto"/>
            <w:noWrap/>
            <w:vAlign w:val="bottom"/>
          </w:tcPr>
          <w:p w:rsidR="00A25FDB" w:rsidRPr="005D340D" w:rsidRDefault="00A25FDB" w:rsidP="00A25FDB">
            <w:pPr>
              <w:rPr>
                <w:rFonts w:ascii="Arial" w:hAnsi="Arial" w:cs="Arial"/>
                <w:sz w:val="18"/>
                <w:szCs w:val="18"/>
              </w:rPr>
            </w:pPr>
            <w:r w:rsidRPr="005D340D">
              <w:rPr>
                <w:rFonts w:ascii="Arial" w:hAnsi="Arial" w:cs="Arial"/>
                <w:sz w:val="18"/>
                <w:szCs w:val="18"/>
              </w:rPr>
              <w:t xml:space="preserve">Repayment of fixed term debt </w:t>
            </w:r>
          </w:p>
        </w:tc>
        <w:tc>
          <w:tcPr>
            <w:tcW w:w="576" w:type="pct"/>
            <w:gridSpan w:val="2"/>
            <w:tcBorders>
              <w:top w:val="nil"/>
              <w:left w:val="nil"/>
              <w:bottom w:val="nil"/>
              <w:right w:val="nil"/>
            </w:tcBorders>
            <w:shd w:val="clear" w:color="auto" w:fill="auto"/>
            <w:noWrap/>
            <w:vAlign w:val="bottom"/>
          </w:tcPr>
          <w:p w:rsidR="00A25FDB" w:rsidRPr="000856CA" w:rsidRDefault="00C0733E" w:rsidP="00A25FDB">
            <w:pPr>
              <w:jc w:val="right"/>
              <w:rPr>
                <w:rFonts w:ascii="Arial" w:hAnsi="Arial" w:cs="Arial"/>
                <w:b/>
                <w:bCs/>
                <w:sz w:val="18"/>
                <w:szCs w:val="18"/>
              </w:rPr>
            </w:pPr>
            <w:r>
              <w:rPr>
                <w:rFonts w:ascii="Arial" w:hAnsi="Arial" w:cs="Arial"/>
                <w:b/>
                <w:bCs/>
                <w:sz w:val="18"/>
                <w:szCs w:val="18"/>
              </w:rPr>
              <w:t>–</w:t>
            </w:r>
          </w:p>
        </w:tc>
        <w:tc>
          <w:tcPr>
            <w:tcW w:w="536" w:type="pct"/>
            <w:tcBorders>
              <w:top w:val="nil"/>
              <w:left w:val="nil"/>
              <w:bottom w:val="nil"/>
              <w:right w:val="single" w:sz="4" w:space="0" w:color="auto"/>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47</w:t>
            </w:r>
          </w:p>
        </w:tc>
      </w:tr>
      <w:tr w:rsidR="00A25FDB" w:rsidRPr="00AC4FCB" w:rsidTr="001606EE">
        <w:trPr>
          <w:trHeight w:val="255"/>
        </w:trPr>
        <w:tc>
          <w:tcPr>
            <w:tcW w:w="3888" w:type="pct"/>
            <w:tcBorders>
              <w:top w:val="nil"/>
              <w:left w:val="single" w:sz="4" w:space="0" w:color="auto"/>
              <w:bottom w:val="nil"/>
              <w:right w:val="nil"/>
            </w:tcBorders>
            <w:shd w:val="clear" w:color="auto" w:fill="auto"/>
            <w:noWrap/>
            <w:vAlign w:val="bottom"/>
          </w:tcPr>
          <w:p w:rsidR="00A25FDB" w:rsidRPr="005D340D" w:rsidRDefault="00A25FDB" w:rsidP="00A25FDB">
            <w:pPr>
              <w:rPr>
                <w:rFonts w:ascii="Arial" w:hAnsi="Arial" w:cs="Arial"/>
                <w:sz w:val="18"/>
                <w:szCs w:val="18"/>
              </w:rPr>
            </w:pPr>
            <w:r>
              <w:rPr>
                <w:rFonts w:ascii="Arial" w:hAnsi="Arial" w:cs="Arial"/>
                <w:sz w:val="18"/>
                <w:szCs w:val="18"/>
              </w:rPr>
              <w:t>Receipt</w:t>
            </w:r>
            <w:r w:rsidRPr="005D340D">
              <w:rPr>
                <w:rFonts w:ascii="Arial" w:hAnsi="Arial" w:cs="Arial"/>
                <w:sz w:val="18"/>
                <w:szCs w:val="18"/>
              </w:rPr>
              <w:t xml:space="preserve"> on financing derivatives</w:t>
            </w:r>
          </w:p>
        </w:tc>
        <w:tc>
          <w:tcPr>
            <w:tcW w:w="576" w:type="pct"/>
            <w:gridSpan w:val="2"/>
            <w:tcBorders>
              <w:top w:val="nil"/>
              <w:left w:val="nil"/>
              <w:bottom w:val="nil"/>
              <w:right w:val="nil"/>
            </w:tcBorders>
            <w:shd w:val="clear" w:color="auto" w:fill="auto"/>
            <w:noWrap/>
            <w:vAlign w:val="bottom"/>
          </w:tcPr>
          <w:p w:rsidR="00A25FDB" w:rsidRPr="000856CA" w:rsidRDefault="00C0733E" w:rsidP="00A25FDB">
            <w:pPr>
              <w:jc w:val="right"/>
              <w:rPr>
                <w:rFonts w:ascii="Arial" w:hAnsi="Arial" w:cs="Arial"/>
                <w:b/>
                <w:bCs/>
                <w:sz w:val="18"/>
                <w:szCs w:val="18"/>
              </w:rPr>
            </w:pPr>
            <w:r>
              <w:rPr>
                <w:rFonts w:ascii="Arial" w:hAnsi="Arial" w:cs="Arial"/>
                <w:b/>
                <w:bCs/>
                <w:sz w:val="18"/>
                <w:szCs w:val="18"/>
              </w:rPr>
              <w:t>–</w:t>
            </w:r>
          </w:p>
        </w:tc>
        <w:tc>
          <w:tcPr>
            <w:tcW w:w="536" w:type="pct"/>
            <w:tcBorders>
              <w:top w:val="nil"/>
              <w:left w:val="nil"/>
              <w:bottom w:val="nil"/>
              <w:right w:val="single" w:sz="4" w:space="0" w:color="auto"/>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(10)</w:t>
            </w:r>
          </w:p>
        </w:tc>
      </w:tr>
      <w:tr w:rsidR="00A25FDB" w:rsidRPr="00AC4FCB" w:rsidTr="001606EE">
        <w:trPr>
          <w:trHeight w:val="255"/>
        </w:trPr>
        <w:tc>
          <w:tcPr>
            <w:tcW w:w="3888" w:type="pct"/>
            <w:tcBorders>
              <w:top w:val="nil"/>
              <w:left w:val="single" w:sz="4" w:space="0" w:color="auto"/>
              <w:bottom w:val="single" w:sz="4" w:space="0" w:color="auto"/>
              <w:right w:val="nil"/>
            </w:tcBorders>
            <w:shd w:val="clear" w:color="auto" w:fill="auto"/>
            <w:noWrap/>
            <w:vAlign w:val="bottom"/>
          </w:tcPr>
          <w:p w:rsidR="00A25FDB" w:rsidRPr="005D340D" w:rsidRDefault="00A25FDB" w:rsidP="00A25FDB">
            <w:pPr>
              <w:rPr>
                <w:rFonts w:ascii="Arial" w:hAnsi="Arial" w:cs="Arial"/>
                <w:sz w:val="18"/>
                <w:szCs w:val="18"/>
              </w:rPr>
            </w:pPr>
            <w:r w:rsidRPr="005D340D">
              <w:rPr>
                <w:rFonts w:ascii="Arial" w:hAnsi="Arial" w:cs="Arial"/>
                <w:sz w:val="18"/>
                <w:szCs w:val="18"/>
              </w:rPr>
              <w:t xml:space="preserve">Capital element of finance lease rental payments </w:t>
            </w:r>
          </w:p>
        </w:tc>
        <w:tc>
          <w:tcPr>
            <w:tcW w:w="576" w:type="pct"/>
            <w:gridSpan w:val="2"/>
            <w:tcBorders>
              <w:top w:val="nil"/>
              <w:left w:val="nil"/>
              <w:bottom w:val="single" w:sz="4" w:space="0" w:color="auto"/>
              <w:right w:val="nil"/>
            </w:tcBorders>
            <w:shd w:val="clear" w:color="auto" w:fill="auto"/>
            <w:noWrap/>
            <w:vAlign w:val="bottom"/>
          </w:tcPr>
          <w:p w:rsidR="00A25FDB" w:rsidRPr="000856CA" w:rsidRDefault="00C0733E" w:rsidP="00A25FDB">
            <w:pPr>
              <w:jc w:val="right"/>
              <w:rPr>
                <w:rFonts w:ascii="Arial" w:hAnsi="Arial" w:cs="Arial"/>
                <w:b/>
                <w:bCs/>
                <w:sz w:val="18"/>
                <w:szCs w:val="18"/>
              </w:rPr>
            </w:pPr>
            <w:r>
              <w:rPr>
                <w:rFonts w:ascii="Arial" w:hAnsi="Arial" w:cs="Arial"/>
                <w:b/>
                <w:bCs/>
                <w:sz w:val="18"/>
                <w:szCs w:val="18"/>
              </w:rPr>
              <w:t>11</w:t>
            </w:r>
          </w:p>
        </w:tc>
        <w:tc>
          <w:tcPr>
            <w:tcW w:w="536" w:type="pct"/>
            <w:tcBorders>
              <w:top w:val="nil"/>
              <w:left w:val="nil"/>
              <w:bottom w:val="single" w:sz="4" w:space="0" w:color="auto"/>
              <w:right w:val="single" w:sz="4" w:space="0" w:color="auto"/>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12</w:t>
            </w:r>
          </w:p>
        </w:tc>
      </w:tr>
      <w:tr w:rsidR="00A25FDB" w:rsidRPr="00AC4FCB" w:rsidTr="001606EE">
        <w:trPr>
          <w:trHeight w:val="255"/>
        </w:trPr>
        <w:tc>
          <w:tcPr>
            <w:tcW w:w="3888" w:type="pct"/>
            <w:tcBorders>
              <w:top w:val="single" w:sz="4" w:space="0" w:color="auto"/>
              <w:left w:val="nil"/>
              <w:bottom w:val="nil"/>
              <w:right w:val="nil"/>
            </w:tcBorders>
            <w:shd w:val="clear" w:color="auto" w:fill="auto"/>
            <w:noWrap/>
            <w:vAlign w:val="bottom"/>
          </w:tcPr>
          <w:p w:rsidR="00A25FDB" w:rsidRPr="005D340D" w:rsidRDefault="00A25FDB" w:rsidP="00A25FDB">
            <w:pPr>
              <w:rPr>
                <w:rFonts w:ascii="Arial" w:hAnsi="Arial" w:cs="Arial"/>
                <w:b/>
                <w:sz w:val="18"/>
                <w:szCs w:val="18"/>
              </w:rPr>
            </w:pPr>
            <w:r w:rsidRPr="005D340D">
              <w:rPr>
                <w:rFonts w:ascii="Arial" w:hAnsi="Arial" w:cs="Arial"/>
                <w:b/>
                <w:sz w:val="18"/>
                <w:szCs w:val="18"/>
              </w:rPr>
              <w:t>Cash flow movement in net cash</w:t>
            </w:r>
          </w:p>
        </w:tc>
        <w:tc>
          <w:tcPr>
            <w:tcW w:w="576" w:type="pct"/>
            <w:gridSpan w:val="2"/>
            <w:tcBorders>
              <w:top w:val="single" w:sz="4" w:space="0" w:color="auto"/>
              <w:left w:val="nil"/>
              <w:bottom w:val="nil"/>
              <w:right w:val="nil"/>
            </w:tcBorders>
            <w:shd w:val="clear" w:color="auto" w:fill="auto"/>
            <w:noWrap/>
            <w:vAlign w:val="bottom"/>
          </w:tcPr>
          <w:p w:rsidR="00A25FDB" w:rsidRPr="000856CA" w:rsidRDefault="00F33ACC" w:rsidP="00A25FDB">
            <w:pPr>
              <w:jc w:val="right"/>
              <w:rPr>
                <w:rFonts w:ascii="Arial" w:hAnsi="Arial" w:cs="Arial"/>
                <w:b/>
                <w:bCs/>
                <w:sz w:val="18"/>
                <w:szCs w:val="18"/>
              </w:rPr>
            </w:pPr>
            <w:r>
              <w:rPr>
                <w:rFonts w:ascii="Arial" w:hAnsi="Arial" w:cs="Arial"/>
                <w:b/>
                <w:bCs/>
                <w:sz w:val="18"/>
                <w:szCs w:val="18"/>
              </w:rPr>
              <w:t>(578</w:t>
            </w:r>
            <w:r w:rsidR="00C0733E">
              <w:rPr>
                <w:rFonts w:ascii="Arial" w:hAnsi="Arial" w:cs="Arial"/>
                <w:b/>
                <w:bCs/>
                <w:sz w:val="18"/>
                <w:szCs w:val="18"/>
              </w:rPr>
              <w:t>)</w:t>
            </w:r>
          </w:p>
        </w:tc>
        <w:tc>
          <w:tcPr>
            <w:tcW w:w="536" w:type="pct"/>
            <w:tcBorders>
              <w:top w:val="single" w:sz="4" w:space="0" w:color="auto"/>
              <w:left w:val="nil"/>
              <w:bottom w:val="nil"/>
              <w:right w:val="nil"/>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19</w:t>
            </w:r>
          </w:p>
        </w:tc>
      </w:tr>
      <w:tr w:rsidR="002227A2" w:rsidRPr="00AC4FCB" w:rsidTr="001606EE">
        <w:trPr>
          <w:trHeight w:val="255"/>
        </w:trPr>
        <w:tc>
          <w:tcPr>
            <w:tcW w:w="3888" w:type="pct"/>
            <w:tcBorders>
              <w:top w:val="nil"/>
              <w:left w:val="nil"/>
              <w:bottom w:val="nil"/>
              <w:right w:val="nil"/>
            </w:tcBorders>
            <w:shd w:val="clear" w:color="auto" w:fill="auto"/>
            <w:noWrap/>
            <w:vAlign w:val="bottom"/>
          </w:tcPr>
          <w:p w:rsidR="002227A2" w:rsidRPr="00232C68" w:rsidRDefault="002227A2" w:rsidP="00A25FDB">
            <w:pPr>
              <w:rPr>
                <w:rFonts w:ascii="Arial" w:hAnsi="Arial" w:cs="Arial"/>
                <w:sz w:val="18"/>
                <w:szCs w:val="18"/>
              </w:rPr>
            </w:pPr>
            <w:r>
              <w:rPr>
                <w:rFonts w:ascii="Arial" w:hAnsi="Arial" w:cs="Arial"/>
                <w:sz w:val="18"/>
                <w:szCs w:val="18"/>
              </w:rPr>
              <w:t>Borrowings acquired</w:t>
            </w:r>
          </w:p>
        </w:tc>
        <w:tc>
          <w:tcPr>
            <w:tcW w:w="576" w:type="pct"/>
            <w:gridSpan w:val="2"/>
            <w:tcBorders>
              <w:top w:val="nil"/>
              <w:left w:val="nil"/>
              <w:bottom w:val="nil"/>
              <w:right w:val="nil"/>
            </w:tcBorders>
            <w:shd w:val="clear" w:color="auto" w:fill="auto"/>
            <w:noWrap/>
            <w:vAlign w:val="bottom"/>
          </w:tcPr>
          <w:p w:rsidR="002227A2" w:rsidRDefault="00F33ACC" w:rsidP="00A25FDB">
            <w:pPr>
              <w:jc w:val="right"/>
              <w:rPr>
                <w:rFonts w:ascii="Arial" w:hAnsi="Arial" w:cs="Arial"/>
                <w:b/>
                <w:bCs/>
                <w:sz w:val="18"/>
                <w:szCs w:val="18"/>
              </w:rPr>
            </w:pPr>
            <w:r w:rsidRPr="00F33ACC">
              <w:rPr>
                <w:rFonts w:ascii="Arial" w:hAnsi="Arial" w:cs="Arial"/>
                <w:b/>
                <w:bCs/>
                <w:sz w:val="18"/>
                <w:szCs w:val="18"/>
              </w:rPr>
              <w:t>(</w:t>
            </w:r>
            <w:r w:rsidR="00801B3D">
              <w:rPr>
                <w:rFonts w:ascii="Arial" w:hAnsi="Arial" w:cs="Arial"/>
                <w:b/>
                <w:bCs/>
                <w:sz w:val="18"/>
                <w:szCs w:val="18"/>
              </w:rPr>
              <w:t>7</w:t>
            </w:r>
            <w:r w:rsidRPr="00F33ACC">
              <w:rPr>
                <w:rFonts w:ascii="Arial" w:hAnsi="Arial" w:cs="Arial"/>
                <w:b/>
                <w:bCs/>
                <w:sz w:val="18"/>
                <w:szCs w:val="18"/>
              </w:rPr>
              <w:t>)</w:t>
            </w:r>
          </w:p>
        </w:tc>
        <w:tc>
          <w:tcPr>
            <w:tcW w:w="536" w:type="pct"/>
            <w:tcBorders>
              <w:top w:val="nil"/>
              <w:left w:val="nil"/>
              <w:bottom w:val="nil"/>
              <w:right w:val="nil"/>
            </w:tcBorders>
            <w:shd w:val="clear" w:color="auto" w:fill="auto"/>
            <w:noWrap/>
            <w:vAlign w:val="bottom"/>
          </w:tcPr>
          <w:p w:rsidR="002227A2" w:rsidRPr="00A25FDB" w:rsidRDefault="002227A2" w:rsidP="00A25FDB">
            <w:pPr>
              <w:jc w:val="right"/>
              <w:rPr>
                <w:rFonts w:ascii="Arial" w:hAnsi="Arial" w:cs="Arial"/>
                <w:bCs/>
                <w:sz w:val="18"/>
                <w:szCs w:val="18"/>
              </w:rPr>
            </w:pPr>
            <w:r>
              <w:rPr>
                <w:rFonts w:ascii="Arial" w:hAnsi="Arial" w:cs="Arial"/>
                <w:bCs/>
                <w:sz w:val="18"/>
                <w:szCs w:val="18"/>
              </w:rPr>
              <w:t>–</w:t>
            </w:r>
          </w:p>
        </w:tc>
      </w:tr>
      <w:tr w:rsidR="00A25FDB" w:rsidRPr="00AC4FCB" w:rsidTr="001606EE">
        <w:trPr>
          <w:trHeight w:val="255"/>
        </w:trPr>
        <w:tc>
          <w:tcPr>
            <w:tcW w:w="3888" w:type="pct"/>
            <w:tcBorders>
              <w:top w:val="nil"/>
              <w:left w:val="nil"/>
              <w:bottom w:val="nil"/>
              <w:right w:val="nil"/>
            </w:tcBorders>
            <w:shd w:val="clear" w:color="auto" w:fill="auto"/>
            <w:noWrap/>
            <w:vAlign w:val="bottom"/>
          </w:tcPr>
          <w:p w:rsidR="00A25FDB" w:rsidRPr="00232C68" w:rsidRDefault="00A25FDB" w:rsidP="00A25FDB">
            <w:pPr>
              <w:rPr>
                <w:rFonts w:ascii="Arial" w:hAnsi="Arial" w:cs="Arial"/>
                <w:sz w:val="18"/>
                <w:szCs w:val="18"/>
              </w:rPr>
            </w:pPr>
            <w:r w:rsidRPr="00232C68">
              <w:rPr>
                <w:rFonts w:ascii="Arial" w:hAnsi="Arial" w:cs="Arial"/>
                <w:sz w:val="18"/>
                <w:szCs w:val="18"/>
              </w:rPr>
              <w:t>Exchange differences and other non-cash movements</w:t>
            </w:r>
          </w:p>
        </w:tc>
        <w:tc>
          <w:tcPr>
            <w:tcW w:w="576" w:type="pct"/>
            <w:gridSpan w:val="2"/>
            <w:tcBorders>
              <w:top w:val="nil"/>
              <w:left w:val="nil"/>
              <w:bottom w:val="nil"/>
              <w:right w:val="nil"/>
            </w:tcBorders>
            <w:shd w:val="clear" w:color="auto" w:fill="auto"/>
            <w:noWrap/>
            <w:vAlign w:val="bottom"/>
          </w:tcPr>
          <w:p w:rsidR="00A25FDB" w:rsidRPr="000856CA" w:rsidRDefault="00140EA7" w:rsidP="00A25FDB">
            <w:pPr>
              <w:jc w:val="right"/>
              <w:rPr>
                <w:rFonts w:ascii="Arial" w:hAnsi="Arial" w:cs="Arial"/>
                <w:b/>
                <w:bCs/>
                <w:sz w:val="18"/>
                <w:szCs w:val="18"/>
              </w:rPr>
            </w:pPr>
            <w:r>
              <w:rPr>
                <w:rFonts w:ascii="Arial" w:hAnsi="Arial" w:cs="Arial"/>
                <w:b/>
                <w:bCs/>
                <w:sz w:val="18"/>
                <w:szCs w:val="18"/>
              </w:rPr>
              <w:t>1</w:t>
            </w:r>
            <w:r w:rsidR="00801B3D">
              <w:rPr>
                <w:rFonts w:ascii="Arial" w:hAnsi="Arial" w:cs="Arial"/>
                <w:b/>
                <w:bCs/>
                <w:sz w:val="18"/>
                <w:szCs w:val="18"/>
              </w:rPr>
              <w:t>2</w:t>
            </w:r>
          </w:p>
        </w:tc>
        <w:tc>
          <w:tcPr>
            <w:tcW w:w="536" w:type="pct"/>
            <w:tcBorders>
              <w:top w:val="nil"/>
              <w:left w:val="nil"/>
              <w:bottom w:val="nil"/>
              <w:right w:val="nil"/>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76</w:t>
            </w:r>
          </w:p>
        </w:tc>
      </w:tr>
      <w:tr w:rsidR="00A25FDB" w:rsidRPr="00AC4FCB" w:rsidTr="001606EE">
        <w:trPr>
          <w:trHeight w:val="270"/>
        </w:trPr>
        <w:tc>
          <w:tcPr>
            <w:tcW w:w="3888" w:type="pct"/>
            <w:tcBorders>
              <w:top w:val="single" w:sz="4" w:space="0" w:color="auto"/>
              <w:left w:val="nil"/>
              <w:bottom w:val="single" w:sz="12" w:space="0" w:color="auto"/>
              <w:right w:val="nil"/>
            </w:tcBorders>
            <w:shd w:val="clear" w:color="auto" w:fill="auto"/>
            <w:noWrap/>
            <w:vAlign w:val="bottom"/>
          </w:tcPr>
          <w:p w:rsidR="00A25FDB" w:rsidRPr="00232C68" w:rsidRDefault="00A25FDB" w:rsidP="00A25FDB">
            <w:pPr>
              <w:rPr>
                <w:rFonts w:ascii="Arial" w:hAnsi="Arial" w:cs="Arial"/>
                <w:b/>
                <w:bCs/>
                <w:sz w:val="18"/>
                <w:szCs w:val="18"/>
              </w:rPr>
            </w:pPr>
            <w:r w:rsidRPr="00232C68">
              <w:rPr>
                <w:rFonts w:ascii="Arial" w:hAnsi="Arial" w:cs="Arial"/>
                <w:b/>
                <w:bCs/>
                <w:sz w:val="18"/>
                <w:szCs w:val="18"/>
              </w:rPr>
              <w:t xml:space="preserve">Net </w:t>
            </w:r>
            <w:r>
              <w:rPr>
                <w:rFonts w:ascii="Arial" w:hAnsi="Arial" w:cs="Arial"/>
                <w:b/>
                <w:bCs/>
                <w:sz w:val="18"/>
                <w:szCs w:val="18"/>
              </w:rPr>
              <w:t xml:space="preserve">cash </w:t>
            </w:r>
            <w:r w:rsidRPr="00232C68">
              <w:rPr>
                <w:rFonts w:ascii="Arial" w:hAnsi="Arial" w:cs="Arial"/>
                <w:b/>
                <w:bCs/>
                <w:sz w:val="18"/>
                <w:szCs w:val="18"/>
              </w:rPr>
              <w:t>at end of year</w:t>
            </w:r>
          </w:p>
        </w:tc>
        <w:tc>
          <w:tcPr>
            <w:tcW w:w="576" w:type="pct"/>
            <w:gridSpan w:val="2"/>
            <w:tcBorders>
              <w:top w:val="single" w:sz="4" w:space="0" w:color="auto"/>
              <w:left w:val="nil"/>
              <w:bottom w:val="single" w:sz="12" w:space="0" w:color="auto"/>
              <w:right w:val="nil"/>
            </w:tcBorders>
            <w:shd w:val="clear" w:color="auto" w:fill="auto"/>
            <w:noWrap/>
            <w:vAlign w:val="bottom"/>
          </w:tcPr>
          <w:p w:rsidR="00A25FDB" w:rsidRPr="000856CA" w:rsidRDefault="00C0733E" w:rsidP="00A25FDB">
            <w:pPr>
              <w:jc w:val="right"/>
              <w:rPr>
                <w:rFonts w:ascii="Arial" w:hAnsi="Arial" w:cs="Arial"/>
                <w:b/>
                <w:bCs/>
                <w:sz w:val="18"/>
                <w:szCs w:val="18"/>
              </w:rPr>
            </w:pPr>
            <w:r>
              <w:rPr>
                <w:rFonts w:ascii="Arial" w:hAnsi="Arial" w:cs="Arial"/>
                <w:b/>
                <w:bCs/>
                <w:sz w:val="18"/>
                <w:szCs w:val="18"/>
              </w:rPr>
              <w:t>68</w:t>
            </w:r>
          </w:p>
        </w:tc>
        <w:tc>
          <w:tcPr>
            <w:tcW w:w="536" w:type="pct"/>
            <w:tcBorders>
              <w:top w:val="single" w:sz="4" w:space="0" w:color="auto"/>
              <w:left w:val="nil"/>
              <w:bottom w:val="single" w:sz="12" w:space="0" w:color="auto"/>
              <w:right w:val="nil"/>
            </w:tcBorders>
            <w:shd w:val="clear" w:color="auto" w:fill="auto"/>
            <w:noWrap/>
            <w:vAlign w:val="bottom"/>
          </w:tcPr>
          <w:p w:rsidR="00A25FDB" w:rsidRPr="00A25FDB" w:rsidRDefault="00A25FDB" w:rsidP="00A25FDB">
            <w:pPr>
              <w:jc w:val="right"/>
              <w:rPr>
                <w:rFonts w:ascii="Arial" w:hAnsi="Arial" w:cs="Arial"/>
                <w:bCs/>
                <w:sz w:val="18"/>
                <w:szCs w:val="18"/>
              </w:rPr>
            </w:pPr>
            <w:r w:rsidRPr="00A25FDB">
              <w:rPr>
                <w:rFonts w:ascii="Arial" w:hAnsi="Arial" w:cs="Arial"/>
                <w:bCs/>
                <w:sz w:val="18"/>
                <w:szCs w:val="18"/>
              </w:rPr>
              <w:t>641</w:t>
            </w:r>
          </w:p>
        </w:tc>
      </w:tr>
    </w:tbl>
    <w:p w:rsidR="00387314" w:rsidRDefault="00387314">
      <w:pPr>
        <w:rPr>
          <w:rFonts w:ascii="Arial" w:hAnsi="Arial" w:cs="Arial"/>
          <w:sz w:val="18"/>
          <w:szCs w:val="18"/>
        </w:rPr>
      </w:pPr>
    </w:p>
    <w:p w:rsidR="00F84FA2" w:rsidRPr="00425B87" w:rsidRDefault="00FE135B" w:rsidP="00F84FA2">
      <w:pPr>
        <w:ind w:left="-567"/>
        <w:rPr>
          <w:rFonts w:ascii="Arial" w:hAnsi="Arial" w:cs="Arial"/>
          <w:b/>
          <w:sz w:val="18"/>
          <w:szCs w:val="18"/>
          <w:highlight w:val="yellow"/>
        </w:rPr>
      </w:pPr>
      <w:r>
        <w:rPr>
          <w:rFonts w:ascii="Arial" w:hAnsi="Arial" w:cs="Arial"/>
          <w:b/>
          <w:sz w:val="18"/>
          <w:szCs w:val="18"/>
        </w:rPr>
        <w:br w:type="page"/>
      </w:r>
      <w:r w:rsidR="00F84FA2" w:rsidRPr="00C54A75">
        <w:rPr>
          <w:rFonts w:ascii="Arial" w:hAnsi="Arial" w:cs="Arial"/>
          <w:b/>
          <w:sz w:val="18"/>
          <w:szCs w:val="18"/>
        </w:rPr>
        <w:lastRenderedPageBreak/>
        <w:t>12</w:t>
      </w:r>
      <w:r w:rsidR="00F84FA2" w:rsidRPr="00C54A75">
        <w:rPr>
          <w:rFonts w:ascii="Arial" w:hAnsi="Arial" w:cs="Arial"/>
          <w:b/>
          <w:sz w:val="18"/>
          <w:szCs w:val="18"/>
        </w:rPr>
        <w:tab/>
      </w:r>
      <w:r w:rsidR="003877A1">
        <w:rPr>
          <w:rFonts w:ascii="Arial" w:hAnsi="Arial" w:cs="Arial"/>
          <w:b/>
          <w:sz w:val="18"/>
          <w:szCs w:val="18"/>
        </w:rPr>
        <w:t>Acquisitions</w:t>
      </w:r>
      <w:r w:rsidR="0073382A">
        <w:rPr>
          <w:rFonts w:ascii="Arial" w:hAnsi="Arial" w:cs="Arial"/>
          <w:b/>
          <w:sz w:val="18"/>
          <w:szCs w:val="18"/>
        </w:rPr>
        <w:t xml:space="preserve"> </w:t>
      </w:r>
    </w:p>
    <w:p w:rsidR="00F84FA2" w:rsidRPr="003877A1" w:rsidRDefault="00F84FA2" w:rsidP="00F84FA2">
      <w:pPr>
        <w:rPr>
          <w:rFonts w:ascii="Arial" w:hAnsi="Arial" w:cs="Arial"/>
          <w:sz w:val="18"/>
          <w:szCs w:val="18"/>
        </w:rPr>
      </w:pPr>
    </w:p>
    <w:p w:rsidR="003877A1" w:rsidRPr="00C9214A" w:rsidRDefault="003877A1" w:rsidP="00FA21A3">
      <w:pPr>
        <w:jc w:val="both"/>
        <w:rPr>
          <w:rFonts w:ascii="Arial" w:hAnsi="Arial" w:cs="Arial"/>
          <w:sz w:val="18"/>
          <w:szCs w:val="18"/>
        </w:rPr>
      </w:pPr>
      <w:r w:rsidRPr="009108FF">
        <w:rPr>
          <w:rFonts w:ascii="Arial" w:hAnsi="Arial" w:cs="Arial"/>
          <w:sz w:val="18"/>
          <w:szCs w:val="18"/>
        </w:rPr>
        <w:t>On 30 November 2017, the Group obtained control of Praktiker Romania S.</w:t>
      </w:r>
      <w:r w:rsidR="00C312AA">
        <w:rPr>
          <w:rFonts w:ascii="Arial" w:hAnsi="Arial" w:cs="Arial"/>
          <w:sz w:val="18"/>
          <w:szCs w:val="18"/>
        </w:rPr>
        <w:t>A</w:t>
      </w:r>
      <w:r w:rsidRPr="009108FF">
        <w:rPr>
          <w:rFonts w:ascii="Arial" w:hAnsi="Arial" w:cs="Arial"/>
          <w:sz w:val="18"/>
          <w:szCs w:val="18"/>
        </w:rPr>
        <w:t xml:space="preserve">. (“Praktiker”) by acquiring 100% of its share </w:t>
      </w:r>
      <w:r w:rsidR="004E5912">
        <w:rPr>
          <w:rFonts w:ascii="Arial" w:hAnsi="Arial" w:cs="Arial"/>
          <w:sz w:val="18"/>
          <w:szCs w:val="18"/>
        </w:rPr>
        <w:t xml:space="preserve">capital for a consideration </w:t>
      </w:r>
      <w:r w:rsidR="0002565F">
        <w:rPr>
          <w:rFonts w:ascii="Arial" w:hAnsi="Arial" w:cs="Arial"/>
          <w:sz w:val="18"/>
          <w:szCs w:val="18"/>
        </w:rPr>
        <w:t>of £14</w:t>
      </w:r>
      <w:r w:rsidR="004E5912" w:rsidRPr="00C9214A">
        <w:rPr>
          <w:rFonts w:ascii="Arial" w:hAnsi="Arial" w:cs="Arial"/>
          <w:sz w:val="18"/>
          <w:szCs w:val="18"/>
        </w:rPr>
        <w:t>m</w:t>
      </w:r>
      <w:r w:rsidRPr="00C9214A">
        <w:rPr>
          <w:rFonts w:ascii="Arial" w:hAnsi="Arial" w:cs="Arial"/>
          <w:sz w:val="18"/>
          <w:szCs w:val="18"/>
        </w:rPr>
        <w:t xml:space="preserve">, all of which comprised cash. Praktiker is a home </w:t>
      </w:r>
      <w:r w:rsidR="00D778EE" w:rsidRPr="00C9214A">
        <w:rPr>
          <w:rFonts w:ascii="Arial" w:hAnsi="Arial" w:cs="Arial"/>
          <w:sz w:val="18"/>
          <w:szCs w:val="18"/>
        </w:rPr>
        <w:t xml:space="preserve">improvement retailer operating </w:t>
      </w:r>
      <w:r w:rsidRPr="00C9214A">
        <w:rPr>
          <w:rFonts w:ascii="Arial" w:hAnsi="Arial" w:cs="Arial"/>
          <w:sz w:val="18"/>
          <w:szCs w:val="18"/>
        </w:rPr>
        <w:t>26 stores acro</w:t>
      </w:r>
      <w:r w:rsidR="00876548">
        <w:rPr>
          <w:rFonts w:ascii="Arial" w:hAnsi="Arial" w:cs="Arial"/>
          <w:sz w:val="18"/>
          <w:szCs w:val="18"/>
        </w:rPr>
        <w:t xml:space="preserve">ss Romania and was acquired to </w:t>
      </w:r>
      <w:r w:rsidRPr="00C9214A">
        <w:rPr>
          <w:rFonts w:ascii="Arial" w:hAnsi="Arial" w:cs="Arial"/>
          <w:sz w:val="18"/>
          <w:szCs w:val="18"/>
        </w:rPr>
        <w:t xml:space="preserve">strengthen the Group’s position in Romania. </w:t>
      </w:r>
    </w:p>
    <w:p w:rsidR="003877A1" w:rsidRPr="00C9214A" w:rsidRDefault="003877A1" w:rsidP="00FA21A3">
      <w:pPr>
        <w:jc w:val="both"/>
        <w:rPr>
          <w:rFonts w:ascii="Arial" w:hAnsi="Arial" w:cs="Arial"/>
          <w:sz w:val="18"/>
          <w:szCs w:val="18"/>
        </w:rPr>
      </w:pPr>
    </w:p>
    <w:p w:rsidR="00880C27" w:rsidRPr="00C9214A" w:rsidRDefault="004E5912" w:rsidP="00FA21A3">
      <w:pPr>
        <w:jc w:val="both"/>
        <w:rPr>
          <w:rFonts w:ascii="Arial" w:hAnsi="Arial" w:cs="Arial"/>
          <w:sz w:val="18"/>
          <w:szCs w:val="18"/>
        </w:rPr>
      </w:pPr>
      <w:r w:rsidRPr="00C9214A">
        <w:rPr>
          <w:rFonts w:ascii="Arial" w:hAnsi="Arial" w:cs="Arial"/>
          <w:sz w:val="18"/>
          <w:szCs w:val="18"/>
        </w:rPr>
        <w:t xml:space="preserve">Goodwill of </w:t>
      </w:r>
      <w:r w:rsidR="00A4058A">
        <w:rPr>
          <w:rFonts w:ascii="Arial" w:hAnsi="Arial" w:cs="Arial"/>
          <w:sz w:val="18"/>
          <w:szCs w:val="18"/>
        </w:rPr>
        <w:t>£</w:t>
      </w:r>
      <w:r w:rsidRPr="00C9214A">
        <w:rPr>
          <w:rFonts w:ascii="Arial" w:hAnsi="Arial" w:cs="Arial"/>
          <w:sz w:val="18"/>
          <w:szCs w:val="18"/>
        </w:rPr>
        <w:t>36</w:t>
      </w:r>
      <w:r w:rsidR="00880C27" w:rsidRPr="00C9214A">
        <w:rPr>
          <w:rFonts w:ascii="Arial" w:hAnsi="Arial" w:cs="Arial"/>
          <w:sz w:val="18"/>
          <w:szCs w:val="18"/>
        </w:rPr>
        <w:t>m has been reco</w:t>
      </w:r>
      <w:r w:rsidRPr="00C9214A">
        <w:rPr>
          <w:rFonts w:ascii="Arial" w:hAnsi="Arial" w:cs="Arial"/>
          <w:sz w:val="18"/>
          <w:szCs w:val="18"/>
        </w:rPr>
        <w:t>gnised on provisional net liabilities acquired of</w:t>
      </w:r>
      <w:r w:rsidR="00880C27" w:rsidRPr="00C9214A">
        <w:rPr>
          <w:rFonts w:ascii="Arial" w:hAnsi="Arial" w:cs="Arial"/>
          <w:sz w:val="18"/>
          <w:szCs w:val="18"/>
        </w:rPr>
        <w:t xml:space="preserve"> £</w:t>
      </w:r>
      <w:r w:rsidRPr="00C9214A">
        <w:rPr>
          <w:rFonts w:ascii="Arial" w:hAnsi="Arial" w:cs="Arial"/>
          <w:sz w:val="18"/>
          <w:szCs w:val="18"/>
        </w:rPr>
        <w:t>22</w:t>
      </w:r>
      <w:r w:rsidR="00880C27" w:rsidRPr="00C9214A">
        <w:rPr>
          <w:rFonts w:ascii="Arial" w:hAnsi="Arial" w:cs="Arial"/>
          <w:sz w:val="18"/>
          <w:szCs w:val="18"/>
        </w:rPr>
        <w:t>m, representing a strategic premium to strengthen the Group’s position in Romania and anticipated synergies that will arise from the acquisition. None of this goodwill is expected to be dedu</w:t>
      </w:r>
      <w:r w:rsidR="00A4058A">
        <w:rPr>
          <w:rFonts w:ascii="Arial" w:hAnsi="Arial" w:cs="Arial"/>
          <w:sz w:val="18"/>
          <w:szCs w:val="18"/>
        </w:rPr>
        <w:t>ctible for income tax purposes.</w:t>
      </w:r>
    </w:p>
    <w:p w:rsidR="00880C27" w:rsidRPr="00C9214A" w:rsidRDefault="00880C27" w:rsidP="00880C27">
      <w:pPr>
        <w:rPr>
          <w:rFonts w:ascii="Arial" w:hAnsi="Arial" w:cs="Arial"/>
          <w:sz w:val="18"/>
          <w:szCs w:val="18"/>
        </w:rPr>
      </w:pPr>
    </w:p>
    <w:tbl>
      <w:tblPr>
        <w:tblW w:w="0" w:type="auto"/>
        <w:tblCellMar>
          <w:left w:w="0" w:type="dxa"/>
          <w:right w:w="0" w:type="dxa"/>
        </w:tblCellMar>
        <w:tblLook w:val="00A0" w:firstRow="1" w:lastRow="0" w:firstColumn="1" w:lastColumn="0" w:noHBand="0" w:noVBand="0"/>
      </w:tblPr>
      <w:tblGrid>
        <w:gridCol w:w="8662"/>
        <w:gridCol w:w="977"/>
      </w:tblGrid>
      <w:tr w:rsidR="00880C27" w:rsidRPr="00C9214A" w:rsidTr="00FA21A3">
        <w:trPr>
          <w:trHeight w:val="20"/>
        </w:trPr>
        <w:tc>
          <w:tcPr>
            <w:tcW w:w="8675" w:type="dxa"/>
            <w:tcBorders>
              <w:bottom w:val="single" w:sz="8" w:space="0" w:color="000000"/>
            </w:tcBorders>
            <w:noWrap/>
            <w:vAlign w:val="bottom"/>
          </w:tcPr>
          <w:p w:rsidR="00880C27" w:rsidRPr="00C9214A" w:rsidRDefault="00880C27" w:rsidP="0049084E">
            <w:pPr>
              <w:tabs>
                <w:tab w:val="left" w:pos="284"/>
              </w:tabs>
              <w:spacing w:before="20" w:after="40" w:line="160" w:lineRule="exact"/>
              <w:ind w:right="68"/>
              <w:rPr>
                <w:rFonts w:ascii="Arial" w:hAnsi="Arial" w:cs="Arial"/>
                <w:sz w:val="18"/>
                <w:szCs w:val="18"/>
              </w:rPr>
            </w:pPr>
            <w:r w:rsidRPr="00C9214A">
              <w:rPr>
                <w:rFonts w:ascii="Arial" w:hAnsi="Arial" w:cs="Arial"/>
                <w:sz w:val="18"/>
                <w:szCs w:val="18"/>
              </w:rPr>
              <w:t> £ millions</w:t>
            </w:r>
          </w:p>
        </w:tc>
        <w:tc>
          <w:tcPr>
            <w:tcW w:w="964" w:type="dxa"/>
            <w:tcBorders>
              <w:bottom w:val="single" w:sz="8" w:space="0" w:color="000000"/>
            </w:tcBorders>
            <w:vAlign w:val="bottom"/>
          </w:tcPr>
          <w:p w:rsidR="00880C27" w:rsidRPr="00C9214A" w:rsidRDefault="00880C27" w:rsidP="0049084E">
            <w:pPr>
              <w:spacing w:before="20" w:after="20" w:line="180" w:lineRule="exact"/>
              <w:ind w:right="68"/>
              <w:jc w:val="right"/>
              <w:rPr>
                <w:rFonts w:ascii="Arial" w:hAnsi="Arial" w:cs="Arial"/>
                <w:sz w:val="18"/>
                <w:szCs w:val="18"/>
              </w:rPr>
            </w:pPr>
          </w:p>
        </w:tc>
      </w:tr>
      <w:tr w:rsidR="00880C27" w:rsidRPr="00C9214A" w:rsidTr="00FA21A3">
        <w:trPr>
          <w:trHeight w:val="20"/>
        </w:trPr>
        <w:tc>
          <w:tcPr>
            <w:tcW w:w="8675" w:type="dxa"/>
            <w:tcBorders>
              <w:top w:val="single" w:sz="8" w:space="0" w:color="000000"/>
            </w:tcBorders>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Provisional fair value amounts recognised of identifiable assets acquired and liabilities assumed</w:t>
            </w:r>
          </w:p>
        </w:tc>
        <w:tc>
          <w:tcPr>
            <w:tcW w:w="964" w:type="dxa"/>
            <w:tcBorders>
              <w:top w:val="single" w:sz="8" w:space="0" w:color="000000"/>
            </w:tcBorders>
            <w:noWrap/>
            <w:vAlign w:val="bottom"/>
          </w:tcPr>
          <w:p w:rsidR="00880C27" w:rsidRPr="00C9214A" w:rsidRDefault="00880C27" w:rsidP="0049084E">
            <w:pPr>
              <w:spacing w:before="20" w:after="20" w:line="180" w:lineRule="exact"/>
              <w:ind w:right="68"/>
              <w:jc w:val="right"/>
              <w:rPr>
                <w:rFonts w:ascii="Arial" w:hAnsi="Arial" w:cs="Arial"/>
                <w:sz w:val="18"/>
                <w:szCs w:val="18"/>
              </w:rPr>
            </w:pPr>
          </w:p>
        </w:tc>
      </w:tr>
      <w:tr w:rsidR="00880C27" w:rsidRPr="00C9214A" w:rsidTr="00FA21A3">
        <w:trPr>
          <w:trHeight w:val="20"/>
        </w:trPr>
        <w:tc>
          <w:tcPr>
            <w:tcW w:w="8675" w:type="dxa"/>
            <w:vAlign w:val="bottom"/>
          </w:tcPr>
          <w:p w:rsidR="00880C27" w:rsidRPr="00C9214A" w:rsidRDefault="00C312AA" w:rsidP="0049084E">
            <w:pPr>
              <w:spacing w:before="20" w:after="15"/>
              <w:ind w:right="57"/>
              <w:rPr>
                <w:rFonts w:ascii="Arial" w:hAnsi="Arial" w:cs="Arial"/>
                <w:sz w:val="18"/>
                <w:szCs w:val="18"/>
              </w:rPr>
            </w:pPr>
            <w:r>
              <w:rPr>
                <w:rFonts w:ascii="Arial" w:hAnsi="Arial" w:cs="Arial"/>
                <w:sz w:val="18"/>
                <w:szCs w:val="18"/>
              </w:rPr>
              <w:t>Other i</w:t>
            </w:r>
            <w:r w:rsidR="00880C27" w:rsidRPr="00C9214A">
              <w:rPr>
                <w:rFonts w:ascii="Arial" w:hAnsi="Arial" w:cs="Arial"/>
                <w:sz w:val="18"/>
                <w:szCs w:val="18"/>
              </w:rPr>
              <w:t>ntangible assets</w:t>
            </w:r>
          </w:p>
        </w:tc>
        <w:tc>
          <w:tcPr>
            <w:tcW w:w="964" w:type="dxa"/>
            <w:noWrap/>
            <w:vAlign w:val="bottom"/>
          </w:tcPr>
          <w:p w:rsidR="00880C27" w:rsidRPr="00C9214A" w:rsidRDefault="0064762C" w:rsidP="0049084E">
            <w:pPr>
              <w:spacing w:before="20" w:after="20" w:line="180" w:lineRule="exact"/>
              <w:ind w:right="68"/>
              <w:jc w:val="right"/>
              <w:rPr>
                <w:rFonts w:ascii="Arial" w:hAnsi="Arial" w:cs="Arial"/>
                <w:b/>
                <w:sz w:val="18"/>
                <w:szCs w:val="18"/>
              </w:rPr>
            </w:pPr>
            <w:r w:rsidRPr="00C9214A">
              <w:rPr>
                <w:rFonts w:ascii="Arial" w:hAnsi="Arial" w:cs="Arial"/>
                <w:b/>
                <w:sz w:val="18"/>
                <w:szCs w:val="18"/>
              </w:rPr>
              <w:t>1</w:t>
            </w:r>
          </w:p>
        </w:tc>
      </w:tr>
      <w:tr w:rsidR="00880C27" w:rsidRPr="00C9214A" w:rsidTr="00FA21A3">
        <w:trPr>
          <w:trHeight w:val="20"/>
        </w:trPr>
        <w:tc>
          <w:tcPr>
            <w:tcW w:w="8675" w:type="dxa"/>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Property, plant and equipment</w:t>
            </w:r>
          </w:p>
        </w:tc>
        <w:tc>
          <w:tcPr>
            <w:tcW w:w="964" w:type="dxa"/>
            <w:noWrap/>
            <w:vAlign w:val="bottom"/>
          </w:tcPr>
          <w:p w:rsidR="00880C27" w:rsidRPr="00C9214A" w:rsidRDefault="00132A1F" w:rsidP="0049084E">
            <w:pPr>
              <w:spacing w:before="20" w:after="20" w:line="180" w:lineRule="exact"/>
              <w:ind w:right="68"/>
              <w:jc w:val="right"/>
              <w:rPr>
                <w:rFonts w:ascii="Arial" w:hAnsi="Arial" w:cs="Arial"/>
                <w:b/>
                <w:sz w:val="18"/>
                <w:szCs w:val="18"/>
              </w:rPr>
            </w:pPr>
            <w:r w:rsidRPr="00C9214A">
              <w:rPr>
                <w:rFonts w:ascii="Arial" w:hAnsi="Arial" w:cs="Arial"/>
                <w:b/>
                <w:sz w:val="18"/>
                <w:szCs w:val="18"/>
              </w:rPr>
              <w:t>9</w:t>
            </w:r>
          </w:p>
        </w:tc>
      </w:tr>
      <w:tr w:rsidR="00880C27" w:rsidRPr="00C9214A" w:rsidTr="00FA21A3">
        <w:trPr>
          <w:trHeight w:val="20"/>
        </w:trPr>
        <w:tc>
          <w:tcPr>
            <w:tcW w:w="8675" w:type="dxa"/>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Inventories</w:t>
            </w:r>
          </w:p>
        </w:tc>
        <w:tc>
          <w:tcPr>
            <w:tcW w:w="964" w:type="dxa"/>
            <w:noWrap/>
            <w:vAlign w:val="bottom"/>
          </w:tcPr>
          <w:p w:rsidR="00880C27" w:rsidRPr="00C9214A" w:rsidRDefault="00132A1F" w:rsidP="0049084E">
            <w:pPr>
              <w:spacing w:before="20" w:after="20" w:line="180" w:lineRule="exact"/>
              <w:ind w:right="68"/>
              <w:jc w:val="right"/>
              <w:rPr>
                <w:rFonts w:ascii="Arial" w:hAnsi="Arial" w:cs="Arial"/>
                <w:b/>
                <w:sz w:val="18"/>
                <w:szCs w:val="18"/>
              </w:rPr>
            </w:pPr>
            <w:r w:rsidRPr="00C9214A">
              <w:rPr>
                <w:rFonts w:ascii="Arial" w:hAnsi="Arial" w:cs="Arial"/>
                <w:b/>
                <w:sz w:val="18"/>
                <w:szCs w:val="18"/>
              </w:rPr>
              <w:t>31</w:t>
            </w:r>
          </w:p>
        </w:tc>
      </w:tr>
      <w:tr w:rsidR="00880C27" w:rsidRPr="00C9214A" w:rsidTr="00FA21A3">
        <w:trPr>
          <w:trHeight w:val="20"/>
        </w:trPr>
        <w:tc>
          <w:tcPr>
            <w:tcW w:w="8675" w:type="dxa"/>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Trade and other receivables</w:t>
            </w:r>
          </w:p>
        </w:tc>
        <w:tc>
          <w:tcPr>
            <w:tcW w:w="964" w:type="dxa"/>
            <w:noWrap/>
            <w:vAlign w:val="bottom"/>
          </w:tcPr>
          <w:p w:rsidR="00880C27" w:rsidRPr="00C9214A" w:rsidRDefault="00744F39" w:rsidP="0049084E">
            <w:pPr>
              <w:spacing w:before="20" w:after="20" w:line="180" w:lineRule="exact"/>
              <w:ind w:right="68"/>
              <w:jc w:val="right"/>
              <w:rPr>
                <w:rFonts w:ascii="Arial" w:hAnsi="Arial" w:cs="Arial"/>
                <w:b/>
                <w:sz w:val="18"/>
                <w:szCs w:val="18"/>
              </w:rPr>
            </w:pPr>
            <w:r>
              <w:rPr>
                <w:rFonts w:ascii="Arial" w:hAnsi="Arial" w:cs="Arial"/>
                <w:b/>
                <w:sz w:val="18"/>
                <w:szCs w:val="18"/>
              </w:rPr>
              <w:t>6</w:t>
            </w:r>
          </w:p>
        </w:tc>
      </w:tr>
      <w:tr w:rsidR="00880C27" w:rsidRPr="00C9214A" w:rsidTr="00FA21A3">
        <w:trPr>
          <w:trHeight w:val="20"/>
        </w:trPr>
        <w:tc>
          <w:tcPr>
            <w:tcW w:w="8675" w:type="dxa"/>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Cash and cash equivalents</w:t>
            </w:r>
          </w:p>
        </w:tc>
        <w:tc>
          <w:tcPr>
            <w:tcW w:w="964" w:type="dxa"/>
            <w:noWrap/>
            <w:vAlign w:val="bottom"/>
          </w:tcPr>
          <w:p w:rsidR="00880C27" w:rsidRPr="00C9214A" w:rsidRDefault="00132A1F" w:rsidP="0049084E">
            <w:pPr>
              <w:spacing w:before="20" w:after="20" w:line="180" w:lineRule="exact"/>
              <w:ind w:right="68"/>
              <w:jc w:val="right"/>
              <w:rPr>
                <w:rFonts w:ascii="Arial" w:hAnsi="Arial" w:cs="Arial"/>
                <w:b/>
                <w:sz w:val="18"/>
                <w:szCs w:val="18"/>
              </w:rPr>
            </w:pPr>
            <w:r w:rsidRPr="00C9214A">
              <w:rPr>
                <w:rFonts w:ascii="Arial" w:hAnsi="Arial" w:cs="Arial"/>
                <w:b/>
                <w:sz w:val="18"/>
                <w:szCs w:val="18"/>
              </w:rPr>
              <w:t>2</w:t>
            </w:r>
          </w:p>
        </w:tc>
      </w:tr>
      <w:tr w:rsidR="00880C27" w:rsidRPr="00C9214A" w:rsidTr="00FA21A3">
        <w:trPr>
          <w:trHeight w:val="20"/>
        </w:trPr>
        <w:tc>
          <w:tcPr>
            <w:tcW w:w="8675" w:type="dxa"/>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Trade and other payables</w:t>
            </w:r>
          </w:p>
        </w:tc>
        <w:tc>
          <w:tcPr>
            <w:tcW w:w="964" w:type="dxa"/>
            <w:noWrap/>
            <w:vAlign w:val="bottom"/>
          </w:tcPr>
          <w:p w:rsidR="00880C27" w:rsidRPr="00C9214A" w:rsidRDefault="00880C27" w:rsidP="0049084E">
            <w:pPr>
              <w:spacing w:before="20" w:after="20" w:line="180" w:lineRule="exact"/>
              <w:ind w:right="11"/>
              <w:jc w:val="right"/>
              <w:rPr>
                <w:rFonts w:ascii="Arial" w:hAnsi="Arial" w:cs="Arial"/>
                <w:b/>
                <w:sz w:val="18"/>
                <w:szCs w:val="18"/>
              </w:rPr>
            </w:pPr>
            <w:r w:rsidRPr="00C9214A">
              <w:rPr>
                <w:rFonts w:ascii="Arial" w:hAnsi="Arial" w:cs="Arial"/>
                <w:b/>
                <w:sz w:val="18"/>
                <w:szCs w:val="18"/>
              </w:rPr>
              <w:t xml:space="preserve"> (</w:t>
            </w:r>
            <w:r w:rsidR="00132A1F" w:rsidRPr="00C9214A">
              <w:rPr>
                <w:rFonts w:ascii="Arial" w:hAnsi="Arial" w:cs="Arial"/>
                <w:b/>
                <w:sz w:val="18"/>
                <w:szCs w:val="18"/>
              </w:rPr>
              <w:t>5</w:t>
            </w:r>
            <w:r w:rsidR="00744F39">
              <w:rPr>
                <w:rFonts w:ascii="Arial" w:hAnsi="Arial" w:cs="Arial"/>
                <w:b/>
                <w:sz w:val="18"/>
                <w:szCs w:val="18"/>
              </w:rPr>
              <w:t>6</w:t>
            </w:r>
            <w:r w:rsidR="00132A1F" w:rsidRPr="00C9214A">
              <w:rPr>
                <w:rFonts w:ascii="Arial" w:hAnsi="Arial" w:cs="Arial"/>
                <w:b/>
                <w:sz w:val="18"/>
                <w:szCs w:val="18"/>
              </w:rPr>
              <w:t>)</w:t>
            </w:r>
          </w:p>
        </w:tc>
      </w:tr>
      <w:tr w:rsidR="00880C27" w:rsidRPr="00C9214A" w:rsidTr="00FA21A3">
        <w:trPr>
          <w:trHeight w:val="20"/>
        </w:trPr>
        <w:tc>
          <w:tcPr>
            <w:tcW w:w="8675" w:type="dxa"/>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Borrowings</w:t>
            </w:r>
          </w:p>
        </w:tc>
        <w:tc>
          <w:tcPr>
            <w:tcW w:w="964" w:type="dxa"/>
            <w:noWrap/>
            <w:vAlign w:val="bottom"/>
          </w:tcPr>
          <w:p w:rsidR="00880C27" w:rsidRPr="00C9214A" w:rsidRDefault="00880C27" w:rsidP="0049084E">
            <w:pPr>
              <w:spacing w:before="20" w:after="20" w:line="180" w:lineRule="exact"/>
              <w:ind w:right="11"/>
              <w:jc w:val="right"/>
              <w:rPr>
                <w:rFonts w:ascii="Arial" w:hAnsi="Arial" w:cs="Arial"/>
                <w:b/>
                <w:sz w:val="18"/>
                <w:szCs w:val="18"/>
              </w:rPr>
            </w:pPr>
            <w:r w:rsidRPr="00C9214A">
              <w:rPr>
                <w:rFonts w:ascii="Arial" w:hAnsi="Arial" w:cs="Arial"/>
                <w:b/>
                <w:sz w:val="18"/>
                <w:szCs w:val="18"/>
              </w:rPr>
              <w:t xml:space="preserve"> (</w:t>
            </w:r>
            <w:r w:rsidR="00744F39">
              <w:rPr>
                <w:rFonts w:ascii="Arial" w:hAnsi="Arial" w:cs="Arial"/>
                <w:b/>
                <w:sz w:val="18"/>
                <w:szCs w:val="18"/>
              </w:rPr>
              <w:t>7</w:t>
            </w:r>
            <w:r w:rsidRPr="00C9214A">
              <w:rPr>
                <w:rFonts w:ascii="Arial" w:hAnsi="Arial" w:cs="Arial"/>
                <w:b/>
                <w:sz w:val="18"/>
                <w:szCs w:val="18"/>
              </w:rPr>
              <w:t>)</w:t>
            </w:r>
          </w:p>
        </w:tc>
      </w:tr>
      <w:tr w:rsidR="00880C27" w:rsidRPr="00C9214A" w:rsidTr="00FA21A3">
        <w:trPr>
          <w:trHeight w:val="20"/>
        </w:trPr>
        <w:tc>
          <w:tcPr>
            <w:tcW w:w="8675" w:type="dxa"/>
            <w:tcBorders>
              <w:bottom w:val="single" w:sz="2" w:space="0" w:color="000000"/>
            </w:tcBorders>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Provisions</w:t>
            </w:r>
          </w:p>
        </w:tc>
        <w:tc>
          <w:tcPr>
            <w:tcW w:w="964" w:type="dxa"/>
            <w:tcBorders>
              <w:bottom w:val="single" w:sz="2" w:space="0" w:color="000000"/>
            </w:tcBorders>
            <w:noWrap/>
            <w:vAlign w:val="bottom"/>
          </w:tcPr>
          <w:p w:rsidR="00880C27" w:rsidRPr="00C9214A" w:rsidRDefault="00880C27" w:rsidP="0049084E">
            <w:pPr>
              <w:spacing w:before="20" w:after="20" w:line="180" w:lineRule="exact"/>
              <w:ind w:right="11"/>
              <w:jc w:val="right"/>
              <w:rPr>
                <w:rFonts w:ascii="Arial" w:hAnsi="Arial" w:cs="Arial"/>
                <w:b/>
                <w:sz w:val="18"/>
                <w:szCs w:val="18"/>
              </w:rPr>
            </w:pPr>
            <w:r w:rsidRPr="00C9214A">
              <w:rPr>
                <w:rFonts w:ascii="Arial" w:hAnsi="Arial" w:cs="Arial"/>
                <w:b/>
                <w:sz w:val="18"/>
                <w:szCs w:val="18"/>
              </w:rPr>
              <w:t xml:space="preserve"> (</w:t>
            </w:r>
            <w:r w:rsidR="00744F39">
              <w:rPr>
                <w:rFonts w:ascii="Arial" w:hAnsi="Arial" w:cs="Arial"/>
                <w:b/>
                <w:sz w:val="18"/>
                <w:szCs w:val="18"/>
              </w:rPr>
              <w:t>8</w:t>
            </w:r>
            <w:r w:rsidRPr="00C9214A">
              <w:rPr>
                <w:rFonts w:ascii="Arial" w:hAnsi="Arial" w:cs="Arial"/>
                <w:b/>
                <w:sz w:val="18"/>
                <w:szCs w:val="18"/>
              </w:rPr>
              <w:t>)</w:t>
            </w:r>
          </w:p>
        </w:tc>
      </w:tr>
      <w:tr w:rsidR="00880C27" w:rsidRPr="00C9214A" w:rsidTr="00FA21A3">
        <w:trPr>
          <w:trHeight w:val="20"/>
        </w:trPr>
        <w:tc>
          <w:tcPr>
            <w:tcW w:w="8675" w:type="dxa"/>
            <w:tcBorders>
              <w:top w:val="single" w:sz="2" w:space="0" w:color="000000"/>
            </w:tcBorders>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 xml:space="preserve">Total identifiable net </w:t>
            </w:r>
            <w:r w:rsidR="009408CB" w:rsidRPr="00C9214A">
              <w:rPr>
                <w:rFonts w:ascii="Arial" w:hAnsi="Arial" w:cs="Arial"/>
                <w:sz w:val="18"/>
                <w:szCs w:val="18"/>
              </w:rPr>
              <w:t>liabilities</w:t>
            </w:r>
            <w:r w:rsidRPr="00C9214A">
              <w:rPr>
                <w:rFonts w:ascii="Arial" w:hAnsi="Arial" w:cs="Arial"/>
                <w:sz w:val="18"/>
                <w:szCs w:val="18"/>
              </w:rPr>
              <w:t xml:space="preserve"> acquired</w:t>
            </w:r>
          </w:p>
        </w:tc>
        <w:tc>
          <w:tcPr>
            <w:tcW w:w="964" w:type="dxa"/>
            <w:tcBorders>
              <w:top w:val="single" w:sz="2" w:space="0" w:color="000000"/>
            </w:tcBorders>
            <w:noWrap/>
            <w:vAlign w:val="bottom"/>
          </w:tcPr>
          <w:p w:rsidR="00880C27" w:rsidRPr="00C9214A" w:rsidRDefault="009408CB" w:rsidP="002F1EDF">
            <w:pPr>
              <w:spacing w:before="20" w:after="20" w:line="180" w:lineRule="exact"/>
              <w:ind w:right="11"/>
              <w:jc w:val="right"/>
              <w:rPr>
                <w:rFonts w:ascii="Arial" w:hAnsi="Arial" w:cs="Arial"/>
                <w:b/>
                <w:sz w:val="18"/>
                <w:szCs w:val="18"/>
              </w:rPr>
            </w:pPr>
            <w:r w:rsidRPr="00C9214A">
              <w:rPr>
                <w:rFonts w:ascii="Arial" w:hAnsi="Arial" w:cs="Arial"/>
                <w:b/>
                <w:sz w:val="18"/>
                <w:szCs w:val="18"/>
              </w:rPr>
              <w:t>(22)</w:t>
            </w:r>
          </w:p>
        </w:tc>
      </w:tr>
      <w:tr w:rsidR="00880C27" w:rsidRPr="00C9214A" w:rsidTr="00FA21A3">
        <w:trPr>
          <w:trHeight w:val="20"/>
        </w:trPr>
        <w:tc>
          <w:tcPr>
            <w:tcW w:w="8675" w:type="dxa"/>
            <w:tcBorders>
              <w:bottom w:val="single" w:sz="2" w:space="0" w:color="000000"/>
            </w:tcBorders>
            <w:noWrap/>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Goodwill</w:t>
            </w:r>
          </w:p>
        </w:tc>
        <w:tc>
          <w:tcPr>
            <w:tcW w:w="964" w:type="dxa"/>
            <w:tcBorders>
              <w:bottom w:val="single" w:sz="2" w:space="0" w:color="000000"/>
            </w:tcBorders>
            <w:noWrap/>
            <w:vAlign w:val="bottom"/>
          </w:tcPr>
          <w:p w:rsidR="00880C27" w:rsidRPr="00C9214A" w:rsidRDefault="004E5912" w:rsidP="0049084E">
            <w:pPr>
              <w:spacing w:before="20" w:after="20" w:line="180" w:lineRule="exact"/>
              <w:ind w:right="68"/>
              <w:jc w:val="right"/>
              <w:rPr>
                <w:rFonts w:ascii="Arial" w:hAnsi="Arial" w:cs="Arial"/>
                <w:b/>
                <w:sz w:val="18"/>
                <w:szCs w:val="18"/>
              </w:rPr>
            </w:pPr>
            <w:r w:rsidRPr="00C9214A">
              <w:rPr>
                <w:rFonts w:ascii="Arial" w:hAnsi="Arial" w:cs="Arial"/>
                <w:b/>
                <w:sz w:val="18"/>
                <w:szCs w:val="18"/>
              </w:rPr>
              <w:t>36</w:t>
            </w:r>
          </w:p>
        </w:tc>
      </w:tr>
      <w:tr w:rsidR="00880C27" w:rsidRPr="009108FF" w:rsidTr="00FA21A3">
        <w:trPr>
          <w:trHeight w:val="20"/>
        </w:trPr>
        <w:tc>
          <w:tcPr>
            <w:tcW w:w="8675" w:type="dxa"/>
            <w:tcBorders>
              <w:top w:val="single" w:sz="2" w:space="0" w:color="000000"/>
              <w:bottom w:val="single" w:sz="8" w:space="0" w:color="000000"/>
            </w:tcBorders>
            <w:noWrap/>
            <w:vAlign w:val="bottom"/>
          </w:tcPr>
          <w:p w:rsidR="00880C27" w:rsidRPr="00C9214A" w:rsidRDefault="00880C27" w:rsidP="0049084E">
            <w:pPr>
              <w:spacing w:before="20" w:after="20" w:line="180" w:lineRule="exact"/>
              <w:ind w:right="57"/>
              <w:rPr>
                <w:rFonts w:ascii="Arial" w:hAnsi="Arial" w:cs="Arial"/>
                <w:sz w:val="18"/>
                <w:szCs w:val="18"/>
              </w:rPr>
            </w:pPr>
            <w:r w:rsidRPr="00C9214A">
              <w:rPr>
                <w:rFonts w:ascii="Arial" w:hAnsi="Arial" w:cs="Arial"/>
                <w:sz w:val="18"/>
                <w:szCs w:val="18"/>
              </w:rPr>
              <w:t>Total consideration</w:t>
            </w:r>
          </w:p>
        </w:tc>
        <w:tc>
          <w:tcPr>
            <w:tcW w:w="964" w:type="dxa"/>
            <w:tcBorders>
              <w:top w:val="single" w:sz="2" w:space="0" w:color="000000"/>
              <w:bottom w:val="single" w:sz="8" w:space="0" w:color="000000"/>
            </w:tcBorders>
            <w:noWrap/>
            <w:vAlign w:val="bottom"/>
          </w:tcPr>
          <w:p w:rsidR="00880C27" w:rsidRPr="00C9214A" w:rsidRDefault="004E5912" w:rsidP="0049084E">
            <w:pPr>
              <w:spacing w:before="20" w:after="20" w:line="180" w:lineRule="exact"/>
              <w:ind w:right="68"/>
              <w:jc w:val="right"/>
              <w:rPr>
                <w:rFonts w:ascii="Arial" w:hAnsi="Arial" w:cs="Arial"/>
                <w:b/>
                <w:sz w:val="18"/>
                <w:szCs w:val="18"/>
              </w:rPr>
            </w:pPr>
            <w:r w:rsidRPr="00C9214A">
              <w:rPr>
                <w:rFonts w:ascii="Arial" w:hAnsi="Arial" w:cs="Arial"/>
                <w:b/>
                <w:sz w:val="18"/>
                <w:szCs w:val="18"/>
              </w:rPr>
              <w:t>14</w:t>
            </w:r>
          </w:p>
        </w:tc>
      </w:tr>
    </w:tbl>
    <w:p w:rsidR="00880C27" w:rsidRPr="009108FF" w:rsidRDefault="00880C27" w:rsidP="00880C27">
      <w:pPr>
        <w:spacing w:before="120" w:after="105" w:line="210" w:lineRule="exact"/>
        <w:rPr>
          <w:rFonts w:ascii="Arial" w:hAnsi="Arial" w:cs="Arial"/>
          <w:sz w:val="18"/>
          <w:szCs w:val="18"/>
        </w:rPr>
      </w:pPr>
      <w:r w:rsidRPr="009108FF">
        <w:rPr>
          <w:rFonts w:ascii="Arial" w:hAnsi="Arial" w:cs="Arial"/>
          <w:sz w:val="18"/>
          <w:szCs w:val="18"/>
        </w:rPr>
        <w:t>The acquisition amounts recorded in the consolidated cash flow statement for the year are:</w:t>
      </w:r>
    </w:p>
    <w:tbl>
      <w:tblPr>
        <w:tblW w:w="0" w:type="auto"/>
        <w:tblCellMar>
          <w:left w:w="0" w:type="dxa"/>
          <w:right w:w="0" w:type="dxa"/>
        </w:tblCellMar>
        <w:tblLook w:val="00A0" w:firstRow="1" w:lastRow="0" w:firstColumn="1" w:lastColumn="0" w:noHBand="0" w:noVBand="0"/>
      </w:tblPr>
      <w:tblGrid>
        <w:gridCol w:w="8701"/>
        <w:gridCol w:w="938"/>
      </w:tblGrid>
      <w:tr w:rsidR="00880C27" w:rsidRPr="009108FF" w:rsidTr="00FA21A3">
        <w:tc>
          <w:tcPr>
            <w:tcW w:w="8691" w:type="dxa"/>
            <w:tcBorders>
              <w:bottom w:val="single" w:sz="2" w:space="0" w:color="000000"/>
            </w:tcBorders>
            <w:noWrap/>
            <w:vAlign w:val="bottom"/>
          </w:tcPr>
          <w:p w:rsidR="00880C27" w:rsidRPr="009108FF" w:rsidRDefault="00880C27" w:rsidP="0049084E">
            <w:pPr>
              <w:tabs>
                <w:tab w:val="left" w:pos="284"/>
              </w:tabs>
              <w:spacing w:before="20" w:after="40" w:line="160" w:lineRule="exact"/>
              <w:ind w:right="68"/>
              <w:rPr>
                <w:rFonts w:ascii="Arial" w:hAnsi="Arial" w:cs="Arial"/>
                <w:sz w:val="18"/>
                <w:szCs w:val="18"/>
              </w:rPr>
            </w:pPr>
            <w:r w:rsidRPr="009108FF">
              <w:rPr>
                <w:rFonts w:ascii="Arial" w:hAnsi="Arial" w:cs="Arial"/>
                <w:sz w:val="18"/>
                <w:szCs w:val="18"/>
              </w:rPr>
              <w:t> £ millions</w:t>
            </w:r>
          </w:p>
        </w:tc>
        <w:tc>
          <w:tcPr>
            <w:tcW w:w="923" w:type="dxa"/>
            <w:tcBorders>
              <w:bottom w:val="single" w:sz="2" w:space="0" w:color="000000"/>
            </w:tcBorders>
            <w:vAlign w:val="bottom"/>
          </w:tcPr>
          <w:p w:rsidR="00880C27" w:rsidRPr="009108FF" w:rsidRDefault="00880C27" w:rsidP="0049084E">
            <w:pPr>
              <w:spacing w:before="20" w:after="20" w:line="180" w:lineRule="exact"/>
              <w:ind w:right="68"/>
              <w:jc w:val="right"/>
              <w:rPr>
                <w:rFonts w:ascii="Arial" w:hAnsi="Arial" w:cs="Arial"/>
                <w:sz w:val="18"/>
                <w:szCs w:val="18"/>
              </w:rPr>
            </w:pPr>
          </w:p>
        </w:tc>
      </w:tr>
      <w:tr w:rsidR="00880C27" w:rsidRPr="009108FF" w:rsidTr="00FA21A3">
        <w:tc>
          <w:tcPr>
            <w:tcW w:w="8691" w:type="dxa"/>
            <w:tcBorders>
              <w:top w:val="single" w:sz="2" w:space="0" w:color="000000"/>
            </w:tcBorders>
            <w:vAlign w:val="bottom"/>
          </w:tcPr>
          <w:p w:rsidR="00880C27" w:rsidRPr="009108FF" w:rsidRDefault="00880C27" w:rsidP="0049084E">
            <w:pPr>
              <w:spacing w:before="20" w:after="20" w:line="180" w:lineRule="exact"/>
              <w:ind w:right="57"/>
              <w:rPr>
                <w:rFonts w:ascii="Arial" w:hAnsi="Arial" w:cs="Arial"/>
                <w:sz w:val="18"/>
                <w:szCs w:val="18"/>
              </w:rPr>
            </w:pPr>
            <w:r w:rsidRPr="009108FF">
              <w:rPr>
                <w:rFonts w:ascii="Arial" w:hAnsi="Arial" w:cs="Arial"/>
                <w:sz w:val="18"/>
                <w:szCs w:val="18"/>
              </w:rPr>
              <w:t>Cash consideration</w:t>
            </w:r>
          </w:p>
        </w:tc>
        <w:tc>
          <w:tcPr>
            <w:tcW w:w="923" w:type="dxa"/>
            <w:tcBorders>
              <w:top w:val="single" w:sz="2" w:space="0" w:color="000000"/>
            </w:tcBorders>
            <w:noWrap/>
            <w:vAlign w:val="bottom"/>
          </w:tcPr>
          <w:p w:rsidR="00880C27" w:rsidRPr="00132A1F" w:rsidRDefault="009408CB" w:rsidP="0049084E">
            <w:pPr>
              <w:spacing w:before="20" w:after="20" w:line="180" w:lineRule="exact"/>
              <w:ind w:right="11"/>
              <w:jc w:val="right"/>
              <w:rPr>
                <w:rFonts w:ascii="Arial" w:hAnsi="Arial" w:cs="Arial"/>
                <w:b/>
                <w:sz w:val="18"/>
                <w:szCs w:val="18"/>
              </w:rPr>
            </w:pPr>
            <w:r>
              <w:rPr>
                <w:rFonts w:ascii="Arial" w:hAnsi="Arial" w:cs="Arial"/>
                <w:b/>
                <w:sz w:val="18"/>
                <w:szCs w:val="18"/>
              </w:rPr>
              <w:t>(14</w:t>
            </w:r>
            <w:r w:rsidR="00880C27" w:rsidRPr="00132A1F">
              <w:rPr>
                <w:rFonts w:ascii="Arial" w:hAnsi="Arial" w:cs="Arial"/>
                <w:b/>
                <w:sz w:val="18"/>
                <w:szCs w:val="18"/>
              </w:rPr>
              <w:t>)</w:t>
            </w:r>
          </w:p>
        </w:tc>
      </w:tr>
      <w:tr w:rsidR="00880C27" w:rsidRPr="009108FF" w:rsidTr="00FA21A3">
        <w:tc>
          <w:tcPr>
            <w:tcW w:w="8691" w:type="dxa"/>
            <w:tcBorders>
              <w:bottom w:val="single" w:sz="2" w:space="0" w:color="000000"/>
            </w:tcBorders>
            <w:vAlign w:val="bottom"/>
          </w:tcPr>
          <w:p w:rsidR="00880C27" w:rsidRPr="009108FF" w:rsidRDefault="00880C27" w:rsidP="0049084E">
            <w:pPr>
              <w:spacing w:before="20" w:after="20" w:line="180" w:lineRule="exact"/>
              <w:ind w:right="57"/>
              <w:rPr>
                <w:rFonts w:ascii="Arial" w:hAnsi="Arial" w:cs="Arial"/>
                <w:sz w:val="18"/>
                <w:szCs w:val="18"/>
              </w:rPr>
            </w:pPr>
            <w:r w:rsidRPr="009108FF">
              <w:rPr>
                <w:rFonts w:ascii="Arial" w:hAnsi="Arial" w:cs="Arial"/>
                <w:sz w:val="18"/>
                <w:szCs w:val="18"/>
              </w:rPr>
              <w:t>Cash acquired</w:t>
            </w:r>
          </w:p>
        </w:tc>
        <w:tc>
          <w:tcPr>
            <w:tcW w:w="923" w:type="dxa"/>
            <w:tcBorders>
              <w:bottom w:val="single" w:sz="2" w:space="0" w:color="000000"/>
            </w:tcBorders>
            <w:noWrap/>
            <w:vAlign w:val="bottom"/>
          </w:tcPr>
          <w:p w:rsidR="00880C27" w:rsidRPr="00132A1F" w:rsidRDefault="009408CB" w:rsidP="0049084E">
            <w:pPr>
              <w:spacing w:before="20" w:after="20" w:line="180" w:lineRule="exact"/>
              <w:ind w:right="68"/>
              <w:jc w:val="right"/>
              <w:rPr>
                <w:rFonts w:ascii="Arial" w:hAnsi="Arial" w:cs="Arial"/>
                <w:b/>
                <w:sz w:val="18"/>
                <w:szCs w:val="18"/>
              </w:rPr>
            </w:pPr>
            <w:r>
              <w:rPr>
                <w:rFonts w:ascii="Arial" w:hAnsi="Arial" w:cs="Arial"/>
                <w:b/>
                <w:sz w:val="18"/>
                <w:szCs w:val="18"/>
              </w:rPr>
              <w:t>2</w:t>
            </w:r>
          </w:p>
        </w:tc>
      </w:tr>
      <w:tr w:rsidR="00880C27" w:rsidRPr="009108FF" w:rsidTr="00FA21A3">
        <w:tc>
          <w:tcPr>
            <w:tcW w:w="8691" w:type="dxa"/>
            <w:tcBorders>
              <w:top w:val="single" w:sz="2" w:space="0" w:color="000000"/>
              <w:bottom w:val="single" w:sz="8" w:space="0" w:color="000000"/>
            </w:tcBorders>
            <w:noWrap/>
            <w:vAlign w:val="bottom"/>
          </w:tcPr>
          <w:p w:rsidR="00880C27" w:rsidRPr="009108FF" w:rsidRDefault="00880C27" w:rsidP="0049084E">
            <w:pPr>
              <w:spacing w:before="20" w:after="20" w:line="180" w:lineRule="exact"/>
              <w:ind w:right="57"/>
              <w:rPr>
                <w:rFonts w:ascii="Arial" w:hAnsi="Arial" w:cs="Arial"/>
                <w:sz w:val="18"/>
                <w:szCs w:val="18"/>
              </w:rPr>
            </w:pPr>
            <w:r w:rsidRPr="009108FF">
              <w:rPr>
                <w:rFonts w:ascii="Arial" w:hAnsi="Arial" w:cs="Arial"/>
                <w:sz w:val="18"/>
                <w:szCs w:val="18"/>
              </w:rPr>
              <w:t>Purchase of businesses, net of cash acquired</w:t>
            </w:r>
          </w:p>
        </w:tc>
        <w:tc>
          <w:tcPr>
            <w:tcW w:w="923" w:type="dxa"/>
            <w:tcBorders>
              <w:top w:val="single" w:sz="2" w:space="0" w:color="000000"/>
              <w:bottom w:val="single" w:sz="8" w:space="0" w:color="000000"/>
            </w:tcBorders>
            <w:noWrap/>
            <w:vAlign w:val="bottom"/>
          </w:tcPr>
          <w:p w:rsidR="00880C27" w:rsidRPr="00132A1F" w:rsidRDefault="00880C27" w:rsidP="0049084E">
            <w:pPr>
              <w:spacing w:before="20" w:after="20" w:line="180" w:lineRule="exact"/>
              <w:ind w:right="11"/>
              <w:jc w:val="right"/>
              <w:rPr>
                <w:rFonts w:ascii="Arial" w:hAnsi="Arial" w:cs="Arial"/>
                <w:b/>
                <w:sz w:val="18"/>
                <w:szCs w:val="18"/>
              </w:rPr>
            </w:pPr>
            <w:r w:rsidRPr="00132A1F">
              <w:rPr>
                <w:rFonts w:ascii="Arial" w:hAnsi="Arial" w:cs="Arial"/>
                <w:b/>
                <w:sz w:val="18"/>
                <w:szCs w:val="18"/>
              </w:rPr>
              <w:t>(</w:t>
            </w:r>
            <w:r w:rsidR="009408CB">
              <w:rPr>
                <w:rFonts w:ascii="Arial" w:hAnsi="Arial" w:cs="Arial"/>
                <w:b/>
                <w:sz w:val="18"/>
                <w:szCs w:val="18"/>
              </w:rPr>
              <w:t>12</w:t>
            </w:r>
            <w:r w:rsidRPr="00132A1F">
              <w:rPr>
                <w:rFonts w:ascii="Arial" w:hAnsi="Arial" w:cs="Arial"/>
                <w:b/>
                <w:sz w:val="18"/>
                <w:szCs w:val="18"/>
              </w:rPr>
              <w:t>)</w:t>
            </w:r>
          </w:p>
        </w:tc>
      </w:tr>
    </w:tbl>
    <w:p w:rsidR="00880C27" w:rsidRPr="009108FF" w:rsidRDefault="00880C27" w:rsidP="00FA21A3">
      <w:pPr>
        <w:spacing w:before="120" w:after="105" w:line="210" w:lineRule="exact"/>
        <w:jc w:val="both"/>
        <w:rPr>
          <w:rFonts w:ascii="Arial" w:hAnsi="Arial" w:cs="Arial"/>
          <w:sz w:val="18"/>
          <w:szCs w:val="18"/>
        </w:rPr>
      </w:pPr>
      <w:r w:rsidRPr="009108FF">
        <w:rPr>
          <w:rFonts w:ascii="Arial" w:hAnsi="Arial" w:cs="Arial"/>
          <w:sz w:val="18"/>
          <w:szCs w:val="18"/>
        </w:rPr>
        <w:t xml:space="preserve">Immediately following the acquisition, Kingfisher settled Praktiker’s bank loans </w:t>
      </w:r>
      <w:r w:rsidRPr="00300E1F">
        <w:rPr>
          <w:rFonts w:ascii="Arial" w:hAnsi="Arial" w:cs="Arial"/>
          <w:sz w:val="18"/>
          <w:szCs w:val="18"/>
        </w:rPr>
        <w:t xml:space="preserve">of </w:t>
      </w:r>
      <w:r w:rsidR="00300E1F">
        <w:rPr>
          <w:rFonts w:ascii="Arial" w:hAnsi="Arial" w:cs="Arial"/>
          <w:sz w:val="18"/>
          <w:szCs w:val="18"/>
        </w:rPr>
        <w:t>£</w:t>
      </w:r>
      <w:r w:rsidR="004E5912" w:rsidRPr="00300E1F">
        <w:rPr>
          <w:rFonts w:ascii="Arial" w:hAnsi="Arial" w:cs="Arial"/>
          <w:sz w:val="18"/>
          <w:szCs w:val="18"/>
        </w:rPr>
        <w:t>4</w:t>
      </w:r>
      <w:r w:rsidRPr="00300E1F">
        <w:rPr>
          <w:rFonts w:ascii="Arial" w:hAnsi="Arial" w:cs="Arial"/>
          <w:sz w:val="18"/>
          <w:szCs w:val="18"/>
        </w:rPr>
        <w:t>m</w:t>
      </w:r>
      <w:r w:rsidRPr="009108FF">
        <w:rPr>
          <w:rFonts w:ascii="Arial" w:hAnsi="Arial" w:cs="Arial"/>
          <w:sz w:val="18"/>
          <w:szCs w:val="18"/>
        </w:rPr>
        <w:t xml:space="preserve"> (included within “Repayment of bank loans” in the consolidated cash flow statement).</w:t>
      </w:r>
    </w:p>
    <w:p w:rsidR="00880C27" w:rsidRPr="00CC1A2D" w:rsidRDefault="00880C27" w:rsidP="00FA21A3">
      <w:pPr>
        <w:spacing w:after="113" w:line="210" w:lineRule="exact"/>
        <w:jc w:val="both"/>
        <w:rPr>
          <w:rFonts w:ascii="Arial" w:hAnsi="Arial" w:cs="Arial"/>
          <w:sz w:val="18"/>
          <w:szCs w:val="18"/>
        </w:rPr>
      </w:pPr>
      <w:r w:rsidRPr="009108FF">
        <w:rPr>
          <w:rFonts w:ascii="Arial" w:hAnsi="Arial" w:cs="Arial"/>
          <w:sz w:val="18"/>
          <w:szCs w:val="18"/>
        </w:rPr>
        <w:t xml:space="preserve">Owing to local conditions, Praktiker prepares its financial statements to 31 December. In the period from 30 November 2017 to 31 </w:t>
      </w:r>
      <w:r w:rsidRPr="00CC1A2D">
        <w:rPr>
          <w:rFonts w:ascii="Arial" w:hAnsi="Arial" w:cs="Arial"/>
          <w:sz w:val="18"/>
          <w:szCs w:val="18"/>
        </w:rPr>
        <w:t xml:space="preserve">December </w:t>
      </w:r>
      <w:r w:rsidR="009E7AED">
        <w:rPr>
          <w:rFonts w:ascii="Arial" w:hAnsi="Arial" w:cs="Arial"/>
          <w:sz w:val="18"/>
          <w:szCs w:val="18"/>
        </w:rPr>
        <w:t>2017</w:t>
      </w:r>
      <w:r w:rsidR="002227A2" w:rsidRPr="00CC1A2D">
        <w:rPr>
          <w:rFonts w:ascii="Arial" w:hAnsi="Arial" w:cs="Arial"/>
          <w:sz w:val="18"/>
          <w:szCs w:val="18"/>
        </w:rPr>
        <w:t>, it contributed sales of £8</w:t>
      </w:r>
      <w:r w:rsidRPr="00CC1A2D">
        <w:rPr>
          <w:rFonts w:ascii="Arial" w:hAnsi="Arial" w:cs="Arial"/>
          <w:sz w:val="18"/>
          <w:szCs w:val="18"/>
        </w:rPr>
        <w:t xml:space="preserve">m and a retail </w:t>
      </w:r>
      <w:r w:rsidR="002227A2" w:rsidRPr="00CC1A2D">
        <w:rPr>
          <w:rFonts w:ascii="Arial" w:hAnsi="Arial" w:cs="Arial"/>
          <w:sz w:val="18"/>
          <w:szCs w:val="18"/>
        </w:rPr>
        <w:t>loss</w:t>
      </w:r>
      <w:r w:rsidRPr="00CC1A2D">
        <w:rPr>
          <w:rFonts w:ascii="Arial" w:hAnsi="Arial" w:cs="Arial"/>
          <w:sz w:val="18"/>
          <w:szCs w:val="18"/>
        </w:rPr>
        <w:t xml:space="preserve"> of £</w:t>
      </w:r>
      <w:r w:rsidR="002227A2" w:rsidRPr="00CC1A2D">
        <w:rPr>
          <w:rFonts w:ascii="Arial" w:hAnsi="Arial" w:cs="Arial"/>
          <w:sz w:val="18"/>
          <w:szCs w:val="18"/>
        </w:rPr>
        <w:t>1</w:t>
      </w:r>
      <w:r w:rsidRPr="00CC1A2D">
        <w:rPr>
          <w:rFonts w:ascii="Arial" w:hAnsi="Arial" w:cs="Arial"/>
          <w:sz w:val="18"/>
          <w:szCs w:val="18"/>
        </w:rPr>
        <w:t>m. If the acquisition had occurred at the start of the financial year, the Group’s sales would have been £</w:t>
      </w:r>
      <w:r w:rsidR="00CD65E7">
        <w:rPr>
          <w:rFonts w:ascii="Arial" w:hAnsi="Arial" w:cs="Arial"/>
          <w:sz w:val="18"/>
          <w:szCs w:val="18"/>
        </w:rPr>
        <w:t>11,760</w:t>
      </w:r>
      <w:r w:rsidRPr="00CC1A2D">
        <w:rPr>
          <w:rFonts w:ascii="Arial" w:hAnsi="Arial" w:cs="Arial"/>
          <w:sz w:val="18"/>
          <w:szCs w:val="18"/>
        </w:rPr>
        <w:t>m and Group</w:t>
      </w:r>
      <w:r w:rsidR="0002565F" w:rsidRPr="00CC1A2D">
        <w:rPr>
          <w:rFonts w:ascii="Arial" w:hAnsi="Arial" w:cs="Arial"/>
          <w:sz w:val="18"/>
          <w:szCs w:val="18"/>
        </w:rPr>
        <w:t>’s</w:t>
      </w:r>
      <w:r w:rsidRPr="00CC1A2D">
        <w:rPr>
          <w:rFonts w:ascii="Arial" w:hAnsi="Arial" w:cs="Arial"/>
          <w:sz w:val="18"/>
          <w:szCs w:val="18"/>
        </w:rPr>
        <w:t xml:space="preserve"> </w:t>
      </w:r>
      <w:r w:rsidRPr="007550F3">
        <w:rPr>
          <w:rFonts w:ascii="Arial" w:hAnsi="Arial" w:cs="Arial"/>
          <w:sz w:val="18"/>
          <w:szCs w:val="18"/>
        </w:rPr>
        <w:t>operating</w:t>
      </w:r>
      <w:r w:rsidRPr="00CC1A2D">
        <w:rPr>
          <w:rFonts w:ascii="Arial" w:hAnsi="Arial" w:cs="Arial"/>
          <w:sz w:val="18"/>
          <w:szCs w:val="18"/>
        </w:rPr>
        <w:t xml:space="preserve"> profit, </w:t>
      </w:r>
      <w:r w:rsidRPr="007550F3">
        <w:rPr>
          <w:rFonts w:ascii="Arial" w:hAnsi="Arial" w:cs="Arial"/>
          <w:sz w:val="18"/>
          <w:szCs w:val="18"/>
        </w:rPr>
        <w:t>after exceptional items</w:t>
      </w:r>
      <w:r w:rsidRPr="00CC1A2D">
        <w:rPr>
          <w:rFonts w:ascii="Arial" w:hAnsi="Arial" w:cs="Arial"/>
          <w:sz w:val="18"/>
          <w:szCs w:val="18"/>
        </w:rPr>
        <w:t>, would have been £</w:t>
      </w:r>
      <w:r w:rsidR="00CD65E7">
        <w:rPr>
          <w:rFonts w:ascii="Arial" w:hAnsi="Arial" w:cs="Arial"/>
          <w:sz w:val="18"/>
          <w:szCs w:val="18"/>
        </w:rPr>
        <w:t>676</w:t>
      </w:r>
      <w:r w:rsidRPr="00CC1A2D">
        <w:rPr>
          <w:rFonts w:ascii="Arial" w:hAnsi="Arial" w:cs="Arial"/>
          <w:sz w:val="18"/>
          <w:szCs w:val="18"/>
        </w:rPr>
        <w:t>m for the year ended 31 January 2018.</w:t>
      </w:r>
    </w:p>
    <w:p w:rsidR="00DF6AA4" w:rsidRPr="00CC1A2D" w:rsidRDefault="00DF6AA4" w:rsidP="00DF6AA4">
      <w:pPr>
        <w:rPr>
          <w:rFonts w:ascii="Arial" w:hAnsi="Arial" w:cs="Arial"/>
          <w:sz w:val="18"/>
          <w:szCs w:val="18"/>
        </w:rPr>
      </w:pPr>
    </w:p>
    <w:p w:rsidR="00DF6AA4" w:rsidRPr="007550F3" w:rsidRDefault="00DF6AA4" w:rsidP="00DF6AA4">
      <w:pPr>
        <w:ind w:left="-567"/>
        <w:rPr>
          <w:rFonts w:ascii="Arial" w:hAnsi="Arial" w:cs="Arial"/>
          <w:b/>
          <w:sz w:val="18"/>
          <w:szCs w:val="18"/>
        </w:rPr>
      </w:pPr>
      <w:r w:rsidRPr="007550F3">
        <w:rPr>
          <w:rFonts w:ascii="Arial" w:hAnsi="Arial" w:cs="Arial"/>
          <w:b/>
          <w:sz w:val="18"/>
          <w:szCs w:val="18"/>
        </w:rPr>
        <w:t>1</w:t>
      </w:r>
      <w:r w:rsidR="00486887">
        <w:rPr>
          <w:rFonts w:ascii="Arial" w:hAnsi="Arial" w:cs="Arial"/>
          <w:b/>
          <w:sz w:val="18"/>
          <w:szCs w:val="18"/>
        </w:rPr>
        <w:t>3</w:t>
      </w:r>
      <w:r w:rsidRPr="007550F3">
        <w:rPr>
          <w:rFonts w:ascii="Arial" w:hAnsi="Arial" w:cs="Arial"/>
          <w:b/>
          <w:sz w:val="18"/>
          <w:szCs w:val="18"/>
        </w:rPr>
        <w:tab/>
      </w:r>
      <w:r>
        <w:rPr>
          <w:rFonts w:ascii="Arial" w:hAnsi="Arial" w:cs="Arial"/>
          <w:b/>
          <w:sz w:val="18"/>
          <w:szCs w:val="18"/>
        </w:rPr>
        <w:t xml:space="preserve">Contingent </w:t>
      </w:r>
      <w:r w:rsidR="00190480">
        <w:rPr>
          <w:rFonts w:ascii="Arial" w:hAnsi="Arial" w:cs="Arial"/>
          <w:b/>
          <w:sz w:val="18"/>
          <w:szCs w:val="18"/>
        </w:rPr>
        <w:t>liabilities</w:t>
      </w:r>
    </w:p>
    <w:p w:rsidR="00DF6AA4" w:rsidRDefault="00DF6AA4" w:rsidP="00740EEA">
      <w:pPr>
        <w:rPr>
          <w:rFonts w:ascii="Arial" w:hAnsi="Arial" w:cs="Arial"/>
          <w:b/>
          <w:sz w:val="18"/>
          <w:szCs w:val="18"/>
        </w:rPr>
      </w:pPr>
    </w:p>
    <w:p w:rsidR="00DF6AA4" w:rsidRDefault="00DF6AA4" w:rsidP="00FA21A3">
      <w:pPr>
        <w:jc w:val="both"/>
        <w:rPr>
          <w:rFonts w:ascii="Arial" w:hAnsi="Arial" w:cs="Arial"/>
          <w:sz w:val="18"/>
          <w:szCs w:val="18"/>
        </w:rPr>
      </w:pPr>
      <w:r w:rsidRPr="00FA21A3">
        <w:rPr>
          <w:rFonts w:ascii="Arial" w:hAnsi="Arial" w:cs="Arial"/>
          <w:sz w:val="18"/>
          <w:szCs w:val="18"/>
        </w:rPr>
        <w:t>The Group has arranged for certain guarantees to be provided to third parties in the ordinary course of business. Of these guarantees, £43m (2016/17:</w:t>
      </w:r>
      <w:r w:rsidR="002522C1">
        <w:rPr>
          <w:rFonts w:ascii="Arial" w:hAnsi="Arial" w:cs="Arial"/>
          <w:sz w:val="18"/>
          <w:szCs w:val="18"/>
        </w:rPr>
        <w:t xml:space="preserve"> </w:t>
      </w:r>
      <w:r w:rsidRPr="00FA21A3">
        <w:rPr>
          <w:rFonts w:ascii="Arial" w:hAnsi="Arial" w:cs="Arial"/>
          <w:sz w:val="18"/>
          <w:szCs w:val="18"/>
        </w:rPr>
        <w:t>£1m) could crystallise due to possible future events not wholly within the Group’s control.</w:t>
      </w:r>
    </w:p>
    <w:p w:rsidR="00DF6AA4" w:rsidRPr="00FA21A3" w:rsidRDefault="00DF6AA4" w:rsidP="00FA21A3">
      <w:pPr>
        <w:jc w:val="both"/>
        <w:rPr>
          <w:rFonts w:ascii="Arial" w:hAnsi="Arial" w:cs="Arial"/>
          <w:sz w:val="18"/>
          <w:szCs w:val="18"/>
        </w:rPr>
      </w:pPr>
    </w:p>
    <w:p w:rsidR="00DF6AA4" w:rsidRDefault="00DF6AA4" w:rsidP="00FA21A3">
      <w:pPr>
        <w:jc w:val="both"/>
        <w:rPr>
          <w:rFonts w:ascii="Arial" w:hAnsi="Arial" w:cs="Arial"/>
          <w:sz w:val="18"/>
          <w:szCs w:val="18"/>
        </w:rPr>
      </w:pPr>
      <w:r w:rsidRPr="00FA21A3">
        <w:rPr>
          <w:rFonts w:ascii="Arial" w:hAnsi="Arial" w:cs="Arial"/>
          <w:sz w:val="18"/>
          <w:szCs w:val="18"/>
        </w:rPr>
        <w:t>The Group is subject to claims and litigation arising in the ordinary course of business and provision is made where liabilities are considered likely to arise on the basis of current information and legal advice.</w:t>
      </w:r>
    </w:p>
    <w:p w:rsidR="00DF6AA4" w:rsidRPr="00FA21A3" w:rsidRDefault="00DF6AA4" w:rsidP="00FA21A3">
      <w:pPr>
        <w:jc w:val="both"/>
        <w:rPr>
          <w:rFonts w:ascii="Arial" w:hAnsi="Arial" w:cs="Arial"/>
          <w:sz w:val="18"/>
          <w:szCs w:val="18"/>
        </w:rPr>
      </w:pPr>
    </w:p>
    <w:p w:rsidR="00DF6AA4" w:rsidRDefault="00DF6AA4" w:rsidP="00FA21A3">
      <w:pPr>
        <w:jc w:val="both"/>
        <w:rPr>
          <w:rFonts w:ascii="Arial" w:hAnsi="Arial" w:cs="Arial"/>
          <w:sz w:val="18"/>
          <w:szCs w:val="18"/>
        </w:rPr>
      </w:pPr>
      <w:r w:rsidRPr="00FA21A3">
        <w:rPr>
          <w:rFonts w:ascii="Arial" w:hAnsi="Arial" w:cs="Arial"/>
          <w:sz w:val="18"/>
          <w:szCs w:val="18"/>
        </w:rPr>
        <w:t xml:space="preserve">The Group files tax returns in many jurisdictions around the world and at any one time, is subject to periodic tax audits in the ordinary course of its business. Applicable tax laws and regulations are subject to differing interpretations and the resolution of a final tax position can take several years to complete. Where it is considered that future tax liabilities are more likely than not to arise, an appropriate provision is recognised in the financial statements. </w:t>
      </w:r>
    </w:p>
    <w:p w:rsidR="00DF6AA4" w:rsidRDefault="00DF6AA4" w:rsidP="00FA21A3">
      <w:pPr>
        <w:jc w:val="both"/>
        <w:rPr>
          <w:rFonts w:ascii="Arial" w:hAnsi="Arial" w:cs="Arial"/>
          <w:sz w:val="18"/>
          <w:szCs w:val="18"/>
        </w:rPr>
      </w:pPr>
    </w:p>
    <w:p w:rsidR="00DF6AA4" w:rsidRDefault="00DF6AA4" w:rsidP="00FA21A3">
      <w:pPr>
        <w:jc w:val="both"/>
        <w:rPr>
          <w:rFonts w:ascii="Arial" w:hAnsi="Arial" w:cs="Arial"/>
          <w:sz w:val="18"/>
          <w:szCs w:val="18"/>
        </w:rPr>
      </w:pPr>
      <w:r w:rsidRPr="00FA21A3">
        <w:rPr>
          <w:rFonts w:ascii="Arial" w:hAnsi="Arial" w:cs="Arial"/>
          <w:sz w:val="18"/>
          <w:szCs w:val="18"/>
        </w:rPr>
        <w:t>Included within these audits is a dispute with the French Tax Authority regarding the treatment of interest paid since the 2010 year</w:t>
      </w:r>
      <w:r w:rsidR="00A96339">
        <w:rPr>
          <w:rFonts w:ascii="Arial" w:hAnsi="Arial" w:cs="Arial"/>
          <w:sz w:val="18"/>
          <w:szCs w:val="18"/>
        </w:rPr>
        <w:t xml:space="preserve"> </w:t>
      </w:r>
      <w:r w:rsidRPr="00FA21A3">
        <w:rPr>
          <w:rFonts w:ascii="Arial" w:hAnsi="Arial" w:cs="Arial"/>
          <w:sz w:val="18"/>
          <w:szCs w:val="18"/>
        </w:rPr>
        <w:t xml:space="preserve">end, where additional French tax of €49m </w:t>
      </w:r>
      <w:r w:rsidR="00190480">
        <w:rPr>
          <w:rFonts w:ascii="Arial" w:hAnsi="Arial" w:cs="Arial"/>
          <w:sz w:val="18"/>
          <w:szCs w:val="18"/>
        </w:rPr>
        <w:t xml:space="preserve">(£43m) </w:t>
      </w:r>
      <w:r w:rsidRPr="00FA21A3">
        <w:rPr>
          <w:rFonts w:ascii="Arial" w:hAnsi="Arial" w:cs="Arial"/>
          <w:sz w:val="18"/>
          <w:szCs w:val="18"/>
        </w:rPr>
        <w:t xml:space="preserve">has been assessed and for which a bank guarantee is now in place. </w:t>
      </w:r>
      <w:r w:rsidR="00990EC0">
        <w:rPr>
          <w:rFonts w:ascii="Arial" w:hAnsi="Arial" w:cs="Arial"/>
          <w:sz w:val="18"/>
          <w:szCs w:val="18"/>
        </w:rPr>
        <w:t xml:space="preserve">At the balance sheet date, </w:t>
      </w:r>
      <w:r w:rsidR="00990EC0" w:rsidRPr="00DF6AA4">
        <w:rPr>
          <w:rFonts w:ascii="Arial" w:hAnsi="Arial" w:cs="Arial"/>
          <w:sz w:val="18"/>
          <w:szCs w:val="18"/>
        </w:rPr>
        <w:t>interest</w:t>
      </w:r>
      <w:r w:rsidRPr="00FA21A3">
        <w:rPr>
          <w:rFonts w:ascii="Arial" w:hAnsi="Arial" w:cs="Arial"/>
          <w:sz w:val="18"/>
          <w:szCs w:val="18"/>
        </w:rPr>
        <w:t xml:space="preserve"> and penalties of €4</w:t>
      </w:r>
      <w:r w:rsidR="00990EC0">
        <w:rPr>
          <w:rFonts w:ascii="Arial" w:hAnsi="Arial" w:cs="Arial"/>
          <w:sz w:val="18"/>
          <w:szCs w:val="18"/>
        </w:rPr>
        <w:t>9</w:t>
      </w:r>
      <w:r w:rsidRPr="00FA21A3">
        <w:rPr>
          <w:rFonts w:ascii="Arial" w:hAnsi="Arial" w:cs="Arial"/>
          <w:sz w:val="18"/>
          <w:szCs w:val="18"/>
        </w:rPr>
        <w:t xml:space="preserve">m </w:t>
      </w:r>
      <w:r w:rsidR="00190480">
        <w:rPr>
          <w:rFonts w:ascii="Arial" w:hAnsi="Arial" w:cs="Arial"/>
          <w:sz w:val="18"/>
          <w:szCs w:val="18"/>
        </w:rPr>
        <w:t>(£4</w:t>
      </w:r>
      <w:r w:rsidR="00990EC0">
        <w:rPr>
          <w:rFonts w:ascii="Arial" w:hAnsi="Arial" w:cs="Arial"/>
          <w:sz w:val="18"/>
          <w:szCs w:val="18"/>
        </w:rPr>
        <w:t>3</w:t>
      </w:r>
      <w:r w:rsidR="00190480">
        <w:rPr>
          <w:rFonts w:ascii="Arial" w:hAnsi="Arial" w:cs="Arial"/>
          <w:sz w:val="18"/>
          <w:szCs w:val="18"/>
        </w:rPr>
        <w:t xml:space="preserve">m) </w:t>
      </w:r>
      <w:r w:rsidRPr="00FA21A3">
        <w:rPr>
          <w:rFonts w:ascii="Arial" w:hAnsi="Arial" w:cs="Arial"/>
          <w:sz w:val="18"/>
          <w:szCs w:val="18"/>
        </w:rPr>
        <w:t xml:space="preserve">would </w:t>
      </w:r>
      <w:r w:rsidR="00990EC0">
        <w:rPr>
          <w:rFonts w:ascii="Arial" w:hAnsi="Arial" w:cs="Arial"/>
          <w:sz w:val="18"/>
          <w:szCs w:val="18"/>
        </w:rPr>
        <w:t>be due</w:t>
      </w:r>
      <w:r w:rsidRPr="00FA21A3">
        <w:rPr>
          <w:rFonts w:ascii="Arial" w:hAnsi="Arial" w:cs="Arial"/>
          <w:sz w:val="18"/>
          <w:szCs w:val="18"/>
        </w:rPr>
        <w:t xml:space="preserve"> on this assessment if not challenged successfully. Having taken external professional advice, the Group disagrees with the assessment and intends to defend its position through the courts. The Group does not consider it necessary to make provision for the amounts assessed at the current time, nor for any potential further amounts which may be assessed for subsequent years.</w:t>
      </w:r>
    </w:p>
    <w:p w:rsidR="00DF6AA4" w:rsidRPr="00FA21A3" w:rsidRDefault="00DF6AA4" w:rsidP="00FA21A3">
      <w:pPr>
        <w:jc w:val="both"/>
        <w:rPr>
          <w:rFonts w:ascii="Arial" w:hAnsi="Arial" w:cs="Arial"/>
          <w:sz w:val="18"/>
          <w:szCs w:val="18"/>
        </w:rPr>
      </w:pPr>
    </w:p>
    <w:p w:rsidR="00DF6AA4" w:rsidRPr="00FA21A3" w:rsidRDefault="00DF6AA4" w:rsidP="00FA21A3">
      <w:pPr>
        <w:jc w:val="both"/>
        <w:rPr>
          <w:rFonts w:ascii="Arial" w:hAnsi="Arial" w:cs="Arial"/>
          <w:sz w:val="18"/>
          <w:szCs w:val="18"/>
        </w:rPr>
      </w:pPr>
      <w:r w:rsidRPr="00FA21A3">
        <w:rPr>
          <w:rFonts w:ascii="Arial" w:hAnsi="Arial" w:cs="Arial"/>
          <w:sz w:val="18"/>
          <w:szCs w:val="18"/>
        </w:rPr>
        <w:t>In October 2017, the European Commission opened a state aid investigation into the Group Financing Exemption section of the UK controlled foreign company rules. Along with many other UK-based international companies, the Group may be affected by the outcome of this investigation and is therefore monitoring developments. The Group does not currently consider any provision is required in relation to EU State Aid.</w:t>
      </w:r>
    </w:p>
    <w:p w:rsidR="00DF6AA4" w:rsidRPr="00FA21A3" w:rsidRDefault="00DF6AA4" w:rsidP="00FA21A3">
      <w:pPr>
        <w:jc w:val="both"/>
        <w:rPr>
          <w:rFonts w:ascii="Arial" w:hAnsi="Arial" w:cs="Arial"/>
          <w:sz w:val="18"/>
          <w:szCs w:val="18"/>
        </w:rPr>
      </w:pPr>
    </w:p>
    <w:p w:rsidR="00486887" w:rsidRDefault="00DF6AA4" w:rsidP="00FA21A3">
      <w:pPr>
        <w:jc w:val="both"/>
        <w:rPr>
          <w:rFonts w:ascii="Arial" w:hAnsi="Arial" w:cs="Arial"/>
          <w:sz w:val="18"/>
          <w:szCs w:val="18"/>
        </w:rPr>
      </w:pPr>
      <w:r w:rsidRPr="00FA21A3">
        <w:rPr>
          <w:rFonts w:ascii="Arial" w:hAnsi="Arial" w:cs="Arial"/>
          <w:sz w:val="18"/>
          <w:szCs w:val="18"/>
        </w:rPr>
        <w:t xml:space="preserve">Whilst the procedures that must be followed to resolve these </w:t>
      </w:r>
      <w:r w:rsidR="00107608">
        <w:rPr>
          <w:rFonts w:ascii="Arial" w:hAnsi="Arial" w:cs="Arial"/>
          <w:sz w:val="18"/>
          <w:szCs w:val="18"/>
        </w:rPr>
        <w:t>types</w:t>
      </w:r>
      <w:r w:rsidRPr="00FA21A3">
        <w:rPr>
          <w:rFonts w:ascii="Arial" w:hAnsi="Arial" w:cs="Arial"/>
          <w:sz w:val="18"/>
          <w:szCs w:val="18"/>
        </w:rPr>
        <w:t xml:space="preserve"> of tax issues make it likely that it will be some years before the eventual outcome is known, the Group does not currently expect the final outcome of these contingent liabilities to have a material effect on the Group’s financial position.</w:t>
      </w:r>
    </w:p>
    <w:p w:rsidR="00486887" w:rsidRDefault="00486887" w:rsidP="00486887">
      <w:pPr>
        <w:rPr>
          <w:rFonts w:ascii="Arial" w:hAnsi="Arial" w:cs="Arial"/>
          <w:sz w:val="18"/>
          <w:szCs w:val="18"/>
        </w:rPr>
      </w:pPr>
    </w:p>
    <w:p w:rsidR="00EC0FC1" w:rsidRPr="007550F3" w:rsidRDefault="00EC0FC1" w:rsidP="00486887">
      <w:pPr>
        <w:rPr>
          <w:rFonts w:ascii="Arial" w:hAnsi="Arial" w:cs="Arial"/>
          <w:sz w:val="18"/>
          <w:szCs w:val="18"/>
        </w:rPr>
      </w:pPr>
    </w:p>
    <w:p w:rsidR="00956E80" w:rsidRDefault="00956E80" w:rsidP="00486887">
      <w:pPr>
        <w:rPr>
          <w:rFonts w:ascii="Arial" w:hAnsi="Arial" w:cs="Arial"/>
          <w:sz w:val="18"/>
          <w:szCs w:val="18"/>
        </w:rPr>
      </w:pPr>
    </w:p>
    <w:p w:rsidR="00486887" w:rsidRPr="00CC1A2D" w:rsidRDefault="00486887" w:rsidP="00486887">
      <w:pPr>
        <w:rPr>
          <w:rFonts w:ascii="Arial" w:hAnsi="Arial" w:cs="Arial"/>
          <w:sz w:val="18"/>
          <w:szCs w:val="18"/>
        </w:rPr>
      </w:pPr>
    </w:p>
    <w:p w:rsidR="00486887" w:rsidRDefault="00486887" w:rsidP="00486887">
      <w:pPr>
        <w:ind w:left="-567"/>
        <w:rPr>
          <w:rFonts w:ascii="Arial" w:hAnsi="Arial" w:cs="Arial"/>
          <w:b/>
          <w:sz w:val="18"/>
          <w:szCs w:val="18"/>
        </w:rPr>
      </w:pPr>
      <w:r w:rsidRPr="007550F3">
        <w:rPr>
          <w:rFonts w:ascii="Arial" w:hAnsi="Arial" w:cs="Arial"/>
          <w:b/>
          <w:sz w:val="18"/>
          <w:szCs w:val="18"/>
        </w:rPr>
        <w:lastRenderedPageBreak/>
        <w:t>1</w:t>
      </w:r>
      <w:r>
        <w:rPr>
          <w:rFonts w:ascii="Arial" w:hAnsi="Arial" w:cs="Arial"/>
          <w:b/>
          <w:sz w:val="18"/>
          <w:szCs w:val="18"/>
        </w:rPr>
        <w:t>4</w:t>
      </w:r>
      <w:r w:rsidRPr="007550F3">
        <w:rPr>
          <w:rFonts w:ascii="Arial" w:hAnsi="Arial" w:cs="Arial"/>
          <w:b/>
          <w:sz w:val="18"/>
          <w:szCs w:val="18"/>
        </w:rPr>
        <w:tab/>
        <w:t>Events after the balance sheet date</w:t>
      </w:r>
    </w:p>
    <w:p w:rsidR="00486887" w:rsidRPr="007550F3" w:rsidRDefault="00486887" w:rsidP="00486887">
      <w:pPr>
        <w:ind w:left="-567"/>
        <w:rPr>
          <w:rFonts w:ascii="Arial" w:hAnsi="Arial" w:cs="Arial"/>
          <w:b/>
          <w:sz w:val="18"/>
          <w:szCs w:val="18"/>
        </w:rPr>
      </w:pPr>
    </w:p>
    <w:p w:rsidR="00486887" w:rsidRDefault="00486887" w:rsidP="00FA21A3">
      <w:pPr>
        <w:jc w:val="both"/>
        <w:rPr>
          <w:rFonts w:ascii="Arial" w:hAnsi="Arial" w:cs="Arial"/>
          <w:sz w:val="18"/>
          <w:szCs w:val="18"/>
        </w:rPr>
      </w:pPr>
      <w:r w:rsidRPr="00C72EE4">
        <w:rPr>
          <w:rFonts w:ascii="Arial" w:hAnsi="Arial" w:cs="Arial"/>
          <w:sz w:val="18"/>
          <w:szCs w:val="18"/>
        </w:rPr>
        <w:t>In February 2018, the Group commenced formal consultation with employee representatives regarding its plans in France to restructure the business as part of the Group’s transformation p</w:t>
      </w:r>
      <w:r w:rsidR="00264A01">
        <w:rPr>
          <w:rFonts w:ascii="Arial" w:hAnsi="Arial" w:cs="Arial"/>
          <w:sz w:val="18"/>
          <w:szCs w:val="18"/>
        </w:rPr>
        <w:t>lan</w:t>
      </w:r>
      <w:r w:rsidRPr="00C72EE4">
        <w:rPr>
          <w:rFonts w:ascii="Arial" w:hAnsi="Arial" w:cs="Arial"/>
          <w:sz w:val="18"/>
          <w:szCs w:val="18"/>
        </w:rPr>
        <w:t>. This is expected to result in an exceptional cost of around £35m.</w:t>
      </w:r>
    </w:p>
    <w:p w:rsidR="00DF6AA4" w:rsidRPr="00740EEA" w:rsidRDefault="00DF6AA4" w:rsidP="00740EEA">
      <w:pPr>
        <w:rPr>
          <w:rFonts w:ascii="Arial" w:hAnsi="Arial" w:cs="Arial"/>
          <w:b/>
          <w:sz w:val="18"/>
          <w:szCs w:val="18"/>
        </w:rPr>
      </w:pPr>
    </w:p>
    <w:sectPr w:rsidR="00DF6AA4" w:rsidRPr="00740EEA" w:rsidSect="0038487F">
      <w:headerReference w:type="default" r:id="rId8"/>
      <w:footerReference w:type="default" r:id="rId9"/>
      <w:pgSz w:w="11907" w:h="16840" w:code="9"/>
      <w:pgMar w:top="624" w:right="1134" w:bottom="28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1A3" w:rsidRDefault="00FA21A3">
      <w:r>
        <w:separator/>
      </w:r>
    </w:p>
  </w:endnote>
  <w:endnote w:type="continuationSeparator" w:id="0">
    <w:p w:rsidR="00FA21A3" w:rsidRDefault="00FA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87" w:usb1="00000000" w:usb2="00000000" w:usb3="00000000" w:csb0="0000001B" w:csb1="00000000"/>
  </w:font>
  <w:font w:name="Trade Gothic LT Std Light">
    <w:altName w:val="Courier New"/>
    <w:panose1 w:val="00000000000000000000"/>
    <w:charset w:val="00"/>
    <w:family w:val="modern"/>
    <w:notTrueType/>
    <w:pitch w:val="variable"/>
    <w:sig w:usb0="800000AF" w:usb1="4000204A" w:usb2="00000000" w:usb3="00000000" w:csb0="00000001" w:csb1="00000000"/>
  </w:font>
  <w:font w:name="Proxima Nova">
    <w:altName w:val="Arial"/>
    <w:panose1 w:val="00000000000000000000"/>
    <w:charset w:val="00"/>
    <w:family w:val="moder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750923"/>
      <w:docPartObj>
        <w:docPartGallery w:val="Page Numbers (Bottom of Page)"/>
        <w:docPartUnique/>
      </w:docPartObj>
    </w:sdtPr>
    <w:sdtEndPr>
      <w:rPr>
        <w:noProof/>
      </w:rPr>
    </w:sdtEndPr>
    <w:sdtContent>
      <w:p w:rsidR="002577F5" w:rsidRDefault="002577F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A21A3" w:rsidRDefault="00FA21A3" w:rsidP="002565C4">
    <w:pPr>
      <w:pStyle w:val="Footer"/>
      <w:tabs>
        <w:tab w:val="clear" w:pos="4153"/>
        <w:tab w:val="clear" w:pos="8306"/>
        <w:tab w:val="center" w:pos="4791"/>
        <w:tab w:val="right" w:pos="9582"/>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1A3" w:rsidRDefault="00FA21A3">
      <w:r>
        <w:separator/>
      </w:r>
    </w:p>
  </w:footnote>
  <w:footnote w:type="continuationSeparator" w:id="0">
    <w:p w:rsidR="00FA21A3" w:rsidRDefault="00FA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A3" w:rsidRDefault="00FA21A3" w:rsidP="002C04AF">
    <w:pPr>
      <w:pStyle w:val="Header"/>
      <w:tabs>
        <w:tab w:val="clear" w:pos="4153"/>
        <w:tab w:val="clear" w:pos="8306"/>
        <w:tab w:val="center" w:pos="4819"/>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D32"/>
    <w:multiLevelType w:val="singleLevel"/>
    <w:tmpl w:val="5EC4DBAC"/>
    <w:lvl w:ilvl="0">
      <w:start w:val="20"/>
      <w:numFmt w:val="decimal"/>
      <w:pStyle w:val="Heading5"/>
      <w:lvlText w:val="%1"/>
      <w:lvlJc w:val="left"/>
      <w:pPr>
        <w:tabs>
          <w:tab w:val="num" w:pos="3"/>
        </w:tabs>
        <w:ind w:left="3" w:hanging="570"/>
      </w:pPr>
      <w:rPr>
        <w:b/>
        <w:i w:val="0"/>
      </w:rPr>
    </w:lvl>
  </w:abstractNum>
  <w:abstractNum w:abstractNumId="1" w15:restartNumberingAfterBreak="0">
    <w:nsid w:val="280A3E4E"/>
    <w:multiLevelType w:val="hybridMultilevel"/>
    <w:tmpl w:val="1C7AF33E"/>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66F37"/>
    <w:multiLevelType w:val="singleLevel"/>
    <w:tmpl w:val="FFFFFFFF"/>
    <w:lvl w:ilvl="0">
      <w:numFmt w:val="decimal"/>
      <w:pStyle w:val="Heading4"/>
      <w:lvlText w:val="%1"/>
      <w:legacy w:legacy="1" w:legacySpace="0" w:legacyIndent="0"/>
      <w:lvlJc w:val="left"/>
    </w:lvl>
  </w:abstractNum>
  <w:abstractNum w:abstractNumId="3" w15:restartNumberingAfterBreak="0">
    <w:nsid w:val="4E9B6190"/>
    <w:multiLevelType w:val="hybridMultilevel"/>
    <w:tmpl w:val="49C0B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3F449E"/>
    <w:multiLevelType w:val="hybridMultilevel"/>
    <w:tmpl w:val="8242A792"/>
    <w:lvl w:ilvl="0" w:tplc="EC5038DC">
      <w:start w:val="1"/>
      <w:numFmt w:val="decimal"/>
      <w:lvlText w:val="%1"/>
      <w:lvlJc w:val="left"/>
      <w:pPr>
        <w:tabs>
          <w:tab w:val="num" w:pos="570"/>
        </w:tabs>
        <w:ind w:left="570" w:hanging="570"/>
      </w:pPr>
      <w:rPr>
        <w:rFonts w:hint="default"/>
      </w:rPr>
    </w:lvl>
    <w:lvl w:ilvl="1" w:tplc="E52EAE90">
      <w:start w:val="1"/>
      <w:numFmt w:val="lowerLetter"/>
      <w:lvlText w:val="%2."/>
      <w:lvlJc w:val="left"/>
      <w:pPr>
        <w:tabs>
          <w:tab w:val="num" w:pos="513"/>
        </w:tabs>
        <w:ind w:left="513" w:hanging="360"/>
      </w:pPr>
      <w:rPr>
        <w:rFonts w:hint="default"/>
      </w:r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5" w15:restartNumberingAfterBreak="0">
    <w:nsid w:val="6E087AB0"/>
    <w:multiLevelType w:val="hybridMultilevel"/>
    <w:tmpl w:val="1D6E56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980685"/>
    <w:multiLevelType w:val="hybridMultilevel"/>
    <w:tmpl w:val="7E0E76C4"/>
    <w:lvl w:ilvl="0" w:tplc="12BAA7F8">
      <w:start w:val="27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9B"/>
    <w:rsid w:val="00000131"/>
    <w:rsid w:val="00000625"/>
    <w:rsid w:val="0000069B"/>
    <w:rsid w:val="000012F7"/>
    <w:rsid w:val="0000171E"/>
    <w:rsid w:val="00002877"/>
    <w:rsid w:val="00002AC7"/>
    <w:rsid w:val="00002E67"/>
    <w:rsid w:val="000030BA"/>
    <w:rsid w:val="00003869"/>
    <w:rsid w:val="00003CCC"/>
    <w:rsid w:val="00003E96"/>
    <w:rsid w:val="00004097"/>
    <w:rsid w:val="000041A8"/>
    <w:rsid w:val="00004734"/>
    <w:rsid w:val="00004B05"/>
    <w:rsid w:val="00005119"/>
    <w:rsid w:val="00005170"/>
    <w:rsid w:val="000052BB"/>
    <w:rsid w:val="0000538E"/>
    <w:rsid w:val="0000572B"/>
    <w:rsid w:val="00005744"/>
    <w:rsid w:val="00005E35"/>
    <w:rsid w:val="00006072"/>
    <w:rsid w:val="0000617C"/>
    <w:rsid w:val="000066B1"/>
    <w:rsid w:val="000066DB"/>
    <w:rsid w:val="0000739C"/>
    <w:rsid w:val="0000755A"/>
    <w:rsid w:val="000076D3"/>
    <w:rsid w:val="000079A7"/>
    <w:rsid w:val="00010299"/>
    <w:rsid w:val="00010337"/>
    <w:rsid w:val="000103FE"/>
    <w:rsid w:val="0001050F"/>
    <w:rsid w:val="000108F1"/>
    <w:rsid w:val="00010EB7"/>
    <w:rsid w:val="00010FDE"/>
    <w:rsid w:val="00011FB0"/>
    <w:rsid w:val="000125F4"/>
    <w:rsid w:val="00012BD6"/>
    <w:rsid w:val="00013709"/>
    <w:rsid w:val="00013760"/>
    <w:rsid w:val="00013805"/>
    <w:rsid w:val="000140BE"/>
    <w:rsid w:val="0001426E"/>
    <w:rsid w:val="000145C8"/>
    <w:rsid w:val="00014714"/>
    <w:rsid w:val="00014858"/>
    <w:rsid w:val="00014F14"/>
    <w:rsid w:val="00015011"/>
    <w:rsid w:val="000151F2"/>
    <w:rsid w:val="000159F2"/>
    <w:rsid w:val="00015A47"/>
    <w:rsid w:val="00015A51"/>
    <w:rsid w:val="00015E39"/>
    <w:rsid w:val="0001605E"/>
    <w:rsid w:val="00016193"/>
    <w:rsid w:val="000162FC"/>
    <w:rsid w:val="00016C82"/>
    <w:rsid w:val="0001734A"/>
    <w:rsid w:val="000175E9"/>
    <w:rsid w:val="00017DA7"/>
    <w:rsid w:val="000206F0"/>
    <w:rsid w:val="000207B7"/>
    <w:rsid w:val="00020865"/>
    <w:rsid w:val="0002107F"/>
    <w:rsid w:val="000213CF"/>
    <w:rsid w:val="000216F3"/>
    <w:rsid w:val="00021933"/>
    <w:rsid w:val="00021960"/>
    <w:rsid w:val="00021AEE"/>
    <w:rsid w:val="00022222"/>
    <w:rsid w:val="00022669"/>
    <w:rsid w:val="00022ED8"/>
    <w:rsid w:val="00023193"/>
    <w:rsid w:val="0002320F"/>
    <w:rsid w:val="00023686"/>
    <w:rsid w:val="000245C8"/>
    <w:rsid w:val="000246E8"/>
    <w:rsid w:val="000252F4"/>
    <w:rsid w:val="0002565F"/>
    <w:rsid w:val="000261C3"/>
    <w:rsid w:val="00026B17"/>
    <w:rsid w:val="00026BDF"/>
    <w:rsid w:val="00026DC2"/>
    <w:rsid w:val="00027177"/>
    <w:rsid w:val="000276A4"/>
    <w:rsid w:val="00027960"/>
    <w:rsid w:val="000300CD"/>
    <w:rsid w:val="000307F1"/>
    <w:rsid w:val="00030C3C"/>
    <w:rsid w:val="00030CF2"/>
    <w:rsid w:val="00030D4A"/>
    <w:rsid w:val="00030FAF"/>
    <w:rsid w:val="000313E8"/>
    <w:rsid w:val="00031660"/>
    <w:rsid w:val="000318BA"/>
    <w:rsid w:val="00031A0A"/>
    <w:rsid w:val="00031A29"/>
    <w:rsid w:val="00032013"/>
    <w:rsid w:val="00032030"/>
    <w:rsid w:val="00032386"/>
    <w:rsid w:val="00032DF9"/>
    <w:rsid w:val="00032DFC"/>
    <w:rsid w:val="000332F2"/>
    <w:rsid w:val="00033499"/>
    <w:rsid w:val="00033D35"/>
    <w:rsid w:val="00033E60"/>
    <w:rsid w:val="00033E7F"/>
    <w:rsid w:val="00034526"/>
    <w:rsid w:val="00034711"/>
    <w:rsid w:val="00034840"/>
    <w:rsid w:val="00034854"/>
    <w:rsid w:val="00034D55"/>
    <w:rsid w:val="000354C6"/>
    <w:rsid w:val="000356E7"/>
    <w:rsid w:val="00035762"/>
    <w:rsid w:val="00035E2B"/>
    <w:rsid w:val="00036712"/>
    <w:rsid w:val="00036839"/>
    <w:rsid w:val="00036D7D"/>
    <w:rsid w:val="00036FE9"/>
    <w:rsid w:val="0003702D"/>
    <w:rsid w:val="00037946"/>
    <w:rsid w:val="00040B60"/>
    <w:rsid w:val="00040C03"/>
    <w:rsid w:val="0004115E"/>
    <w:rsid w:val="00041F6D"/>
    <w:rsid w:val="00043353"/>
    <w:rsid w:val="00043557"/>
    <w:rsid w:val="00043D7E"/>
    <w:rsid w:val="000443ED"/>
    <w:rsid w:val="0004452D"/>
    <w:rsid w:val="000446BC"/>
    <w:rsid w:val="00044F94"/>
    <w:rsid w:val="00045411"/>
    <w:rsid w:val="000459AB"/>
    <w:rsid w:val="00045E3A"/>
    <w:rsid w:val="00046412"/>
    <w:rsid w:val="000464CD"/>
    <w:rsid w:val="00046B4C"/>
    <w:rsid w:val="00046DA4"/>
    <w:rsid w:val="00047795"/>
    <w:rsid w:val="00047D31"/>
    <w:rsid w:val="00047E90"/>
    <w:rsid w:val="00047F5F"/>
    <w:rsid w:val="000502A3"/>
    <w:rsid w:val="000506CC"/>
    <w:rsid w:val="000508DE"/>
    <w:rsid w:val="000508F1"/>
    <w:rsid w:val="00050950"/>
    <w:rsid w:val="0005201D"/>
    <w:rsid w:val="000525D7"/>
    <w:rsid w:val="000526FD"/>
    <w:rsid w:val="000540F6"/>
    <w:rsid w:val="00054129"/>
    <w:rsid w:val="0005457D"/>
    <w:rsid w:val="000546BD"/>
    <w:rsid w:val="00054A20"/>
    <w:rsid w:val="00055216"/>
    <w:rsid w:val="00055250"/>
    <w:rsid w:val="000558A6"/>
    <w:rsid w:val="00055E57"/>
    <w:rsid w:val="00055FA5"/>
    <w:rsid w:val="000561B4"/>
    <w:rsid w:val="0005649D"/>
    <w:rsid w:val="0005653D"/>
    <w:rsid w:val="00056E05"/>
    <w:rsid w:val="00056EDF"/>
    <w:rsid w:val="00057023"/>
    <w:rsid w:val="00057976"/>
    <w:rsid w:val="00060AD9"/>
    <w:rsid w:val="00060B22"/>
    <w:rsid w:val="00060CFA"/>
    <w:rsid w:val="000611D1"/>
    <w:rsid w:val="00061433"/>
    <w:rsid w:val="000617CA"/>
    <w:rsid w:val="00061B92"/>
    <w:rsid w:val="00061CA1"/>
    <w:rsid w:val="000625DE"/>
    <w:rsid w:val="00062E17"/>
    <w:rsid w:val="00063243"/>
    <w:rsid w:val="0006341C"/>
    <w:rsid w:val="0006352A"/>
    <w:rsid w:val="00063837"/>
    <w:rsid w:val="00063E80"/>
    <w:rsid w:val="00063EAC"/>
    <w:rsid w:val="0006415A"/>
    <w:rsid w:val="00064922"/>
    <w:rsid w:val="00065010"/>
    <w:rsid w:val="000652BB"/>
    <w:rsid w:val="00065DFB"/>
    <w:rsid w:val="00065E22"/>
    <w:rsid w:val="000665A6"/>
    <w:rsid w:val="00066711"/>
    <w:rsid w:val="00066BFB"/>
    <w:rsid w:val="000670B8"/>
    <w:rsid w:val="000674C1"/>
    <w:rsid w:val="000676B9"/>
    <w:rsid w:val="00067708"/>
    <w:rsid w:val="0006772D"/>
    <w:rsid w:val="00070931"/>
    <w:rsid w:val="00071414"/>
    <w:rsid w:val="000714EB"/>
    <w:rsid w:val="000715A7"/>
    <w:rsid w:val="00071786"/>
    <w:rsid w:val="00071DBF"/>
    <w:rsid w:val="00071FC3"/>
    <w:rsid w:val="000724A5"/>
    <w:rsid w:val="00072CC1"/>
    <w:rsid w:val="0007351C"/>
    <w:rsid w:val="00073A14"/>
    <w:rsid w:val="00073A57"/>
    <w:rsid w:val="00073D38"/>
    <w:rsid w:val="00074B0D"/>
    <w:rsid w:val="00074F9D"/>
    <w:rsid w:val="00075028"/>
    <w:rsid w:val="000751A2"/>
    <w:rsid w:val="000754DC"/>
    <w:rsid w:val="00075664"/>
    <w:rsid w:val="00075924"/>
    <w:rsid w:val="00076907"/>
    <w:rsid w:val="000801DE"/>
    <w:rsid w:val="00080363"/>
    <w:rsid w:val="000807E0"/>
    <w:rsid w:val="00080819"/>
    <w:rsid w:val="00080E33"/>
    <w:rsid w:val="00080F24"/>
    <w:rsid w:val="00080FF6"/>
    <w:rsid w:val="000813C6"/>
    <w:rsid w:val="000818FD"/>
    <w:rsid w:val="00081A8B"/>
    <w:rsid w:val="000823BA"/>
    <w:rsid w:val="00083568"/>
    <w:rsid w:val="00083684"/>
    <w:rsid w:val="00083ADA"/>
    <w:rsid w:val="00083C0D"/>
    <w:rsid w:val="00084182"/>
    <w:rsid w:val="000843B5"/>
    <w:rsid w:val="0008460D"/>
    <w:rsid w:val="00084D33"/>
    <w:rsid w:val="0008544C"/>
    <w:rsid w:val="000856CA"/>
    <w:rsid w:val="00085CA7"/>
    <w:rsid w:val="00085DFD"/>
    <w:rsid w:val="00085EA6"/>
    <w:rsid w:val="0008618A"/>
    <w:rsid w:val="000864B4"/>
    <w:rsid w:val="0008670B"/>
    <w:rsid w:val="00086C96"/>
    <w:rsid w:val="00086CE1"/>
    <w:rsid w:val="000873F5"/>
    <w:rsid w:val="00087540"/>
    <w:rsid w:val="00087BCB"/>
    <w:rsid w:val="00087F18"/>
    <w:rsid w:val="0009055D"/>
    <w:rsid w:val="00090B36"/>
    <w:rsid w:val="000911F2"/>
    <w:rsid w:val="00091311"/>
    <w:rsid w:val="000917B1"/>
    <w:rsid w:val="00091BEE"/>
    <w:rsid w:val="00091F44"/>
    <w:rsid w:val="00091F7D"/>
    <w:rsid w:val="0009203F"/>
    <w:rsid w:val="000921CA"/>
    <w:rsid w:val="0009267E"/>
    <w:rsid w:val="00092982"/>
    <w:rsid w:val="000929B0"/>
    <w:rsid w:val="00093518"/>
    <w:rsid w:val="00093695"/>
    <w:rsid w:val="0009382E"/>
    <w:rsid w:val="00093AA7"/>
    <w:rsid w:val="00093BA0"/>
    <w:rsid w:val="00093CD5"/>
    <w:rsid w:val="00093E08"/>
    <w:rsid w:val="000945DC"/>
    <w:rsid w:val="00094EC1"/>
    <w:rsid w:val="0009543E"/>
    <w:rsid w:val="00095EF6"/>
    <w:rsid w:val="00095F95"/>
    <w:rsid w:val="000962E6"/>
    <w:rsid w:val="00096931"/>
    <w:rsid w:val="00096D06"/>
    <w:rsid w:val="000973E1"/>
    <w:rsid w:val="00097CB8"/>
    <w:rsid w:val="000A0164"/>
    <w:rsid w:val="000A0717"/>
    <w:rsid w:val="000A0D77"/>
    <w:rsid w:val="000A0F74"/>
    <w:rsid w:val="000A0FE1"/>
    <w:rsid w:val="000A15AF"/>
    <w:rsid w:val="000A1AD1"/>
    <w:rsid w:val="000A1B75"/>
    <w:rsid w:val="000A1E3B"/>
    <w:rsid w:val="000A1ECB"/>
    <w:rsid w:val="000A23F2"/>
    <w:rsid w:val="000A2538"/>
    <w:rsid w:val="000A27C4"/>
    <w:rsid w:val="000A2979"/>
    <w:rsid w:val="000A347B"/>
    <w:rsid w:val="000A3E22"/>
    <w:rsid w:val="000A4168"/>
    <w:rsid w:val="000A434A"/>
    <w:rsid w:val="000A4B60"/>
    <w:rsid w:val="000A57D6"/>
    <w:rsid w:val="000A5A6D"/>
    <w:rsid w:val="000A5D10"/>
    <w:rsid w:val="000A664C"/>
    <w:rsid w:val="000A685B"/>
    <w:rsid w:val="000A6FEB"/>
    <w:rsid w:val="000A7C27"/>
    <w:rsid w:val="000B0383"/>
    <w:rsid w:val="000B04C8"/>
    <w:rsid w:val="000B05B7"/>
    <w:rsid w:val="000B07AD"/>
    <w:rsid w:val="000B086D"/>
    <w:rsid w:val="000B08D4"/>
    <w:rsid w:val="000B179E"/>
    <w:rsid w:val="000B17F3"/>
    <w:rsid w:val="000B19EC"/>
    <w:rsid w:val="000B1AF3"/>
    <w:rsid w:val="000B1B5D"/>
    <w:rsid w:val="000B210F"/>
    <w:rsid w:val="000B21D4"/>
    <w:rsid w:val="000B3043"/>
    <w:rsid w:val="000B331D"/>
    <w:rsid w:val="000B360A"/>
    <w:rsid w:val="000B45B2"/>
    <w:rsid w:val="000B47C3"/>
    <w:rsid w:val="000B4B04"/>
    <w:rsid w:val="000B4CEF"/>
    <w:rsid w:val="000B524E"/>
    <w:rsid w:val="000B5749"/>
    <w:rsid w:val="000B58B8"/>
    <w:rsid w:val="000B62DF"/>
    <w:rsid w:val="000B64E4"/>
    <w:rsid w:val="000B6A5F"/>
    <w:rsid w:val="000B7250"/>
    <w:rsid w:val="000B7600"/>
    <w:rsid w:val="000B7FC9"/>
    <w:rsid w:val="000C00B2"/>
    <w:rsid w:val="000C0412"/>
    <w:rsid w:val="000C0633"/>
    <w:rsid w:val="000C0787"/>
    <w:rsid w:val="000C0C99"/>
    <w:rsid w:val="000C1425"/>
    <w:rsid w:val="000C17FA"/>
    <w:rsid w:val="000C1969"/>
    <w:rsid w:val="000C25FE"/>
    <w:rsid w:val="000C263F"/>
    <w:rsid w:val="000C2673"/>
    <w:rsid w:val="000C3A2B"/>
    <w:rsid w:val="000C400B"/>
    <w:rsid w:val="000C43A9"/>
    <w:rsid w:val="000C4652"/>
    <w:rsid w:val="000C47D5"/>
    <w:rsid w:val="000C484E"/>
    <w:rsid w:val="000C4F94"/>
    <w:rsid w:val="000C54E5"/>
    <w:rsid w:val="000C5E5F"/>
    <w:rsid w:val="000C643B"/>
    <w:rsid w:val="000C6592"/>
    <w:rsid w:val="000C6980"/>
    <w:rsid w:val="000C6E66"/>
    <w:rsid w:val="000C6F6C"/>
    <w:rsid w:val="000C77A7"/>
    <w:rsid w:val="000C7946"/>
    <w:rsid w:val="000C7A3C"/>
    <w:rsid w:val="000D007B"/>
    <w:rsid w:val="000D02EB"/>
    <w:rsid w:val="000D09B0"/>
    <w:rsid w:val="000D0A65"/>
    <w:rsid w:val="000D11AE"/>
    <w:rsid w:val="000D1814"/>
    <w:rsid w:val="000D1E80"/>
    <w:rsid w:val="000D2184"/>
    <w:rsid w:val="000D2D4F"/>
    <w:rsid w:val="000D353C"/>
    <w:rsid w:val="000D3AA9"/>
    <w:rsid w:val="000D3FFA"/>
    <w:rsid w:val="000D4282"/>
    <w:rsid w:val="000D44B7"/>
    <w:rsid w:val="000D4827"/>
    <w:rsid w:val="000D48C9"/>
    <w:rsid w:val="000D4AAB"/>
    <w:rsid w:val="000D4CED"/>
    <w:rsid w:val="000D506D"/>
    <w:rsid w:val="000D5344"/>
    <w:rsid w:val="000D56FD"/>
    <w:rsid w:val="000D57B7"/>
    <w:rsid w:val="000D5873"/>
    <w:rsid w:val="000D589F"/>
    <w:rsid w:val="000D5F8E"/>
    <w:rsid w:val="000D6142"/>
    <w:rsid w:val="000D6170"/>
    <w:rsid w:val="000D667D"/>
    <w:rsid w:val="000D7A9B"/>
    <w:rsid w:val="000E0023"/>
    <w:rsid w:val="000E0584"/>
    <w:rsid w:val="000E09A2"/>
    <w:rsid w:val="000E0AE1"/>
    <w:rsid w:val="000E0E2D"/>
    <w:rsid w:val="000E0E7C"/>
    <w:rsid w:val="000E138C"/>
    <w:rsid w:val="000E1A10"/>
    <w:rsid w:val="000E1C29"/>
    <w:rsid w:val="000E1EE4"/>
    <w:rsid w:val="000E21DF"/>
    <w:rsid w:val="000E227E"/>
    <w:rsid w:val="000E253E"/>
    <w:rsid w:val="000E2C3A"/>
    <w:rsid w:val="000E3AD7"/>
    <w:rsid w:val="000E4035"/>
    <w:rsid w:val="000E4438"/>
    <w:rsid w:val="000E4479"/>
    <w:rsid w:val="000E4682"/>
    <w:rsid w:val="000E4923"/>
    <w:rsid w:val="000E4BBE"/>
    <w:rsid w:val="000E4CB1"/>
    <w:rsid w:val="000E5078"/>
    <w:rsid w:val="000E53BC"/>
    <w:rsid w:val="000E551F"/>
    <w:rsid w:val="000E57FC"/>
    <w:rsid w:val="000E5C74"/>
    <w:rsid w:val="000E607B"/>
    <w:rsid w:val="000E6119"/>
    <w:rsid w:val="000E6241"/>
    <w:rsid w:val="000E6866"/>
    <w:rsid w:val="000E73C2"/>
    <w:rsid w:val="000E75D8"/>
    <w:rsid w:val="000F074E"/>
    <w:rsid w:val="000F115A"/>
    <w:rsid w:val="000F14D3"/>
    <w:rsid w:val="000F158D"/>
    <w:rsid w:val="000F1642"/>
    <w:rsid w:val="000F1656"/>
    <w:rsid w:val="000F1A5A"/>
    <w:rsid w:val="000F1C97"/>
    <w:rsid w:val="000F1F59"/>
    <w:rsid w:val="000F221D"/>
    <w:rsid w:val="000F2359"/>
    <w:rsid w:val="000F23B8"/>
    <w:rsid w:val="000F2481"/>
    <w:rsid w:val="000F27B1"/>
    <w:rsid w:val="000F2F45"/>
    <w:rsid w:val="000F304F"/>
    <w:rsid w:val="000F3131"/>
    <w:rsid w:val="000F31BD"/>
    <w:rsid w:val="000F32D8"/>
    <w:rsid w:val="000F3B6F"/>
    <w:rsid w:val="000F3EAB"/>
    <w:rsid w:val="000F3EF7"/>
    <w:rsid w:val="000F3FA6"/>
    <w:rsid w:val="000F40B2"/>
    <w:rsid w:val="000F4340"/>
    <w:rsid w:val="000F487E"/>
    <w:rsid w:val="000F4894"/>
    <w:rsid w:val="000F49E0"/>
    <w:rsid w:val="000F4A8E"/>
    <w:rsid w:val="000F4CDA"/>
    <w:rsid w:val="000F4D44"/>
    <w:rsid w:val="000F50F5"/>
    <w:rsid w:val="000F5233"/>
    <w:rsid w:val="000F52D8"/>
    <w:rsid w:val="000F569A"/>
    <w:rsid w:val="000F5731"/>
    <w:rsid w:val="000F68BD"/>
    <w:rsid w:val="000F6E14"/>
    <w:rsid w:val="000F7327"/>
    <w:rsid w:val="000F756A"/>
    <w:rsid w:val="000F7B34"/>
    <w:rsid w:val="000F7C84"/>
    <w:rsid w:val="0010009D"/>
    <w:rsid w:val="00100216"/>
    <w:rsid w:val="00100406"/>
    <w:rsid w:val="00100EB5"/>
    <w:rsid w:val="001011AA"/>
    <w:rsid w:val="001019C4"/>
    <w:rsid w:val="00101D68"/>
    <w:rsid w:val="00102D08"/>
    <w:rsid w:val="00102D31"/>
    <w:rsid w:val="00103417"/>
    <w:rsid w:val="001039F8"/>
    <w:rsid w:val="00103E8C"/>
    <w:rsid w:val="001043EB"/>
    <w:rsid w:val="00104E56"/>
    <w:rsid w:val="001053D9"/>
    <w:rsid w:val="00105999"/>
    <w:rsid w:val="00105A01"/>
    <w:rsid w:val="00105C1C"/>
    <w:rsid w:val="00105DE3"/>
    <w:rsid w:val="00105FC1"/>
    <w:rsid w:val="00106A12"/>
    <w:rsid w:val="00106F35"/>
    <w:rsid w:val="00107420"/>
    <w:rsid w:val="00107608"/>
    <w:rsid w:val="00107745"/>
    <w:rsid w:val="00107C19"/>
    <w:rsid w:val="00107D0C"/>
    <w:rsid w:val="00107F5B"/>
    <w:rsid w:val="00110F1E"/>
    <w:rsid w:val="00110F48"/>
    <w:rsid w:val="00111A1F"/>
    <w:rsid w:val="00111DFB"/>
    <w:rsid w:val="00111E46"/>
    <w:rsid w:val="00111FB7"/>
    <w:rsid w:val="00112101"/>
    <w:rsid w:val="0011218F"/>
    <w:rsid w:val="001123B0"/>
    <w:rsid w:val="001123F4"/>
    <w:rsid w:val="00112771"/>
    <w:rsid w:val="001131B4"/>
    <w:rsid w:val="00113464"/>
    <w:rsid w:val="001139F1"/>
    <w:rsid w:val="00113C92"/>
    <w:rsid w:val="00114103"/>
    <w:rsid w:val="0011413D"/>
    <w:rsid w:val="001150C5"/>
    <w:rsid w:val="00115114"/>
    <w:rsid w:val="0011516C"/>
    <w:rsid w:val="001153D0"/>
    <w:rsid w:val="00115FC4"/>
    <w:rsid w:val="0011600D"/>
    <w:rsid w:val="0011639E"/>
    <w:rsid w:val="00116B9C"/>
    <w:rsid w:val="001174B0"/>
    <w:rsid w:val="001209D1"/>
    <w:rsid w:val="00120C87"/>
    <w:rsid w:val="00121047"/>
    <w:rsid w:val="001212BF"/>
    <w:rsid w:val="00121871"/>
    <w:rsid w:val="001218F7"/>
    <w:rsid w:val="001219E6"/>
    <w:rsid w:val="00121A38"/>
    <w:rsid w:val="00121FAB"/>
    <w:rsid w:val="0012283A"/>
    <w:rsid w:val="00122898"/>
    <w:rsid w:val="001228C9"/>
    <w:rsid w:val="00122AA5"/>
    <w:rsid w:val="00122F90"/>
    <w:rsid w:val="001231C6"/>
    <w:rsid w:val="0012364C"/>
    <w:rsid w:val="00123B10"/>
    <w:rsid w:val="00123BAE"/>
    <w:rsid w:val="001247A5"/>
    <w:rsid w:val="00124AE1"/>
    <w:rsid w:val="00124C69"/>
    <w:rsid w:val="001261B9"/>
    <w:rsid w:val="00126493"/>
    <w:rsid w:val="0012663E"/>
    <w:rsid w:val="00126C88"/>
    <w:rsid w:val="00127034"/>
    <w:rsid w:val="001272E7"/>
    <w:rsid w:val="00127302"/>
    <w:rsid w:val="001276C7"/>
    <w:rsid w:val="00127B23"/>
    <w:rsid w:val="001300C8"/>
    <w:rsid w:val="0013014C"/>
    <w:rsid w:val="0013056D"/>
    <w:rsid w:val="0013074F"/>
    <w:rsid w:val="001309B7"/>
    <w:rsid w:val="00130D0E"/>
    <w:rsid w:val="0013125D"/>
    <w:rsid w:val="00131829"/>
    <w:rsid w:val="00131D92"/>
    <w:rsid w:val="00131E7C"/>
    <w:rsid w:val="001320BC"/>
    <w:rsid w:val="0013281B"/>
    <w:rsid w:val="00132A1F"/>
    <w:rsid w:val="00132CC8"/>
    <w:rsid w:val="0013303C"/>
    <w:rsid w:val="00133165"/>
    <w:rsid w:val="00133169"/>
    <w:rsid w:val="001333DB"/>
    <w:rsid w:val="001334C5"/>
    <w:rsid w:val="00133C66"/>
    <w:rsid w:val="00134072"/>
    <w:rsid w:val="00134073"/>
    <w:rsid w:val="0013412B"/>
    <w:rsid w:val="0013510F"/>
    <w:rsid w:val="001352E6"/>
    <w:rsid w:val="00135B07"/>
    <w:rsid w:val="00135B7F"/>
    <w:rsid w:val="00135C30"/>
    <w:rsid w:val="00135C84"/>
    <w:rsid w:val="00135D95"/>
    <w:rsid w:val="00136143"/>
    <w:rsid w:val="001362B2"/>
    <w:rsid w:val="00136B1F"/>
    <w:rsid w:val="00136E10"/>
    <w:rsid w:val="00136F61"/>
    <w:rsid w:val="00137075"/>
    <w:rsid w:val="0013749D"/>
    <w:rsid w:val="001377C9"/>
    <w:rsid w:val="0013781B"/>
    <w:rsid w:val="00137973"/>
    <w:rsid w:val="00137BD4"/>
    <w:rsid w:val="00137E7B"/>
    <w:rsid w:val="001405B3"/>
    <w:rsid w:val="001409B1"/>
    <w:rsid w:val="00140BF2"/>
    <w:rsid w:val="00140D0A"/>
    <w:rsid w:val="00140D6B"/>
    <w:rsid w:val="00140DE8"/>
    <w:rsid w:val="00140EA7"/>
    <w:rsid w:val="001410B8"/>
    <w:rsid w:val="00141271"/>
    <w:rsid w:val="00141293"/>
    <w:rsid w:val="001413F8"/>
    <w:rsid w:val="00142004"/>
    <w:rsid w:val="00142198"/>
    <w:rsid w:val="00142227"/>
    <w:rsid w:val="00142364"/>
    <w:rsid w:val="00142584"/>
    <w:rsid w:val="001427BD"/>
    <w:rsid w:val="00142BE7"/>
    <w:rsid w:val="001434D7"/>
    <w:rsid w:val="001435A7"/>
    <w:rsid w:val="001438B0"/>
    <w:rsid w:val="00143B4C"/>
    <w:rsid w:val="00143BE4"/>
    <w:rsid w:val="0014483C"/>
    <w:rsid w:val="00144931"/>
    <w:rsid w:val="00144A3C"/>
    <w:rsid w:val="00144A9F"/>
    <w:rsid w:val="00144C03"/>
    <w:rsid w:val="00145217"/>
    <w:rsid w:val="001453C3"/>
    <w:rsid w:val="00146A33"/>
    <w:rsid w:val="00146F68"/>
    <w:rsid w:val="001471B9"/>
    <w:rsid w:val="00147713"/>
    <w:rsid w:val="0014772C"/>
    <w:rsid w:val="00147A5F"/>
    <w:rsid w:val="00147CA3"/>
    <w:rsid w:val="0015020E"/>
    <w:rsid w:val="00150301"/>
    <w:rsid w:val="0015060C"/>
    <w:rsid w:val="00150F22"/>
    <w:rsid w:val="001517FA"/>
    <w:rsid w:val="00152465"/>
    <w:rsid w:val="00152F1D"/>
    <w:rsid w:val="00153072"/>
    <w:rsid w:val="00153122"/>
    <w:rsid w:val="001532B6"/>
    <w:rsid w:val="001533EE"/>
    <w:rsid w:val="00154223"/>
    <w:rsid w:val="00154D3A"/>
    <w:rsid w:val="0015528C"/>
    <w:rsid w:val="00155695"/>
    <w:rsid w:val="00155F1A"/>
    <w:rsid w:val="001560A3"/>
    <w:rsid w:val="001562D2"/>
    <w:rsid w:val="00157142"/>
    <w:rsid w:val="001575F6"/>
    <w:rsid w:val="00157A81"/>
    <w:rsid w:val="00157B59"/>
    <w:rsid w:val="0016029B"/>
    <w:rsid w:val="001606EE"/>
    <w:rsid w:val="001610AE"/>
    <w:rsid w:val="001610ED"/>
    <w:rsid w:val="00161769"/>
    <w:rsid w:val="00161A0F"/>
    <w:rsid w:val="0016272C"/>
    <w:rsid w:val="00163128"/>
    <w:rsid w:val="001632E3"/>
    <w:rsid w:val="001636ED"/>
    <w:rsid w:val="00163780"/>
    <w:rsid w:val="00164BB7"/>
    <w:rsid w:val="00164FD4"/>
    <w:rsid w:val="001654A0"/>
    <w:rsid w:val="001654E6"/>
    <w:rsid w:val="0016558D"/>
    <w:rsid w:val="001656BB"/>
    <w:rsid w:val="00165A3C"/>
    <w:rsid w:val="0016600B"/>
    <w:rsid w:val="0016628A"/>
    <w:rsid w:val="001667DB"/>
    <w:rsid w:val="00166F35"/>
    <w:rsid w:val="0016703B"/>
    <w:rsid w:val="001671EC"/>
    <w:rsid w:val="0016763E"/>
    <w:rsid w:val="00167798"/>
    <w:rsid w:val="00167DE4"/>
    <w:rsid w:val="001702FA"/>
    <w:rsid w:val="00170A8F"/>
    <w:rsid w:val="00170AE6"/>
    <w:rsid w:val="00170F43"/>
    <w:rsid w:val="00171390"/>
    <w:rsid w:val="00171E5B"/>
    <w:rsid w:val="00172804"/>
    <w:rsid w:val="0017287F"/>
    <w:rsid w:val="00172A13"/>
    <w:rsid w:val="00172CE2"/>
    <w:rsid w:val="00172D0F"/>
    <w:rsid w:val="00172DBE"/>
    <w:rsid w:val="001733B3"/>
    <w:rsid w:val="00173965"/>
    <w:rsid w:val="00173A96"/>
    <w:rsid w:val="00173AF5"/>
    <w:rsid w:val="001740C2"/>
    <w:rsid w:val="00175907"/>
    <w:rsid w:val="00175980"/>
    <w:rsid w:val="00175C9A"/>
    <w:rsid w:val="00175DD2"/>
    <w:rsid w:val="00176165"/>
    <w:rsid w:val="001761CB"/>
    <w:rsid w:val="00177290"/>
    <w:rsid w:val="0017780F"/>
    <w:rsid w:val="00177DC2"/>
    <w:rsid w:val="001800F6"/>
    <w:rsid w:val="0018021A"/>
    <w:rsid w:val="0018034B"/>
    <w:rsid w:val="00180875"/>
    <w:rsid w:val="00180B31"/>
    <w:rsid w:val="001816C8"/>
    <w:rsid w:val="00181E0D"/>
    <w:rsid w:val="00181F4C"/>
    <w:rsid w:val="00181F5A"/>
    <w:rsid w:val="001820FC"/>
    <w:rsid w:val="001822AD"/>
    <w:rsid w:val="001825A2"/>
    <w:rsid w:val="001827E7"/>
    <w:rsid w:val="00182C38"/>
    <w:rsid w:val="00183893"/>
    <w:rsid w:val="00183E8F"/>
    <w:rsid w:val="00184021"/>
    <w:rsid w:val="001841D6"/>
    <w:rsid w:val="00184472"/>
    <w:rsid w:val="0018468D"/>
    <w:rsid w:val="001846D9"/>
    <w:rsid w:val="00184CC7"/>
    <w:rsid w:val="00184F2C"/>
    <w:rsid w:val="0018507F"/>
    <w:rsid w:val="00185419"/>
    <w:rsid w:val="00185B60"/>
    <w:rsid w:val="00185C1D"/>
    <w:rsid w:val="00186295"/>
    <w:rsid w:val="001868B9"/>
    <w:rsid w:val="00186F85"/>
    <w:rsid w:val="00187277"/>
    <w:rsid w:val="00187450"/>
    <w:rsid w:val="00187E1E"/>
    <w:rsid w:val="0019022E"/>
    <w:rsid w:val="0019031D"/>
    <w:rsid w:val="00190480"/>
    <w:rsid w:val="00190620"/>
    <w:rsid w:val="00190936"/>
    <w:rsid w:val="00190AB4"/>
    <w:rsid w:val="00190E31"/>
    <w:rsid w:val="00191029"/>
    <w:rsid w:val="001910B1"/>
    <w:rsid w:val="0019166A"/>
    <w:rsid w:val="00191CB8"/>
    <w:rsid w:val="00191E13"/>
    <w:rsid w:val="00191F96"/>
    <w:rsid w:val="00192019"/>
    <w:rsid w:val="00192C71"/>
    <w:rsid w:val="001933C9"/>
    <w:rsid w:val="001934DB"/>
    <w:rsid w:val="001936CF"/>
    <w:rsid w:val="00193C07"/>
    <w:rsid w:val="001942BB"/>
    <w:rsid w:val="00194325"/>
    <w:rsid w:val="0019436F"/>
    <w:rsid w:val="00194431"/>
    <w:rsid w:val="00194A22"/>
    <w:rsid w:val="00194C48"/>
    <w:rsid w:val="00195BE1"/>
    <w:rsid w:val="00196044"/>
    <w:rsid w:val="001977AA"/>
    <w:rsid w:val="001978FC"/>
    <w:rsid w:val="00197A47"/>
    <w:rsid w:val="00197EDC"/>
    <w:rsid w:val="001A0378"/>
    <w:rsid w:val="001A0677"/>
    <w:rsid w:val="001A09D5"/>
    <w:rsid w:val="001A11D9"/>
    <w:rsid w:val="001A11E1"/>
    <w:rsid w:val="001A1B04"/>
    <w:rsid w:val="001A2250"/>
    <w:rsid w:val="001A2745"/>
    <w:rsid w:val="001A2BE9"/>
    <w:rsid w:val="001A3612"/>
    <w:rsid w:val="001A387C"/>
    <w:rsid w:val="001A3ED6"/>
    <w:rsid w:val="001A4AB5"/>
    <w:rsid w:val="001A5840"/>
    <w:rsid w:val="001A5934"/>
    <w:rsid w:val="001A5C1B"/>
    <w:rsid w:val="001A5ED8"/>
    <w:rsid w:val="001A626D"/>
    <w:rsid w:val="001A6866"/>
    <w:rsid w:val="001A68A7"/>
    <w:rsid w:val="001A6F9E"/>
    <w:rsid w:val="001A7824"/>
    <w:rsid w:val="001A7B26"/>
    <w:rsid w:val="001A7CB9"/>
    <w:rsid w:val="001A7D36"/>
    <w:rsid w:val="001B00E5"/>
    <w:rsid w:val="001B04F2"/>
    <w:rsid w:val="001B07D7"/>
    <w:rsid w:val="001B0EFB"/>
    <w:rsid w:val="001B10A0"/>
    <w:rsid w:val="001B1235"/>
    <w:rsid w:val="001B19E7"/>
    <w:rsid w:val="001B1A80"/>
    <w:rsid w:val="001B1C08"/>
    <w:rsid w:val="001B1F5E"/>
    <w:rsid w:val="001B2254"/>
    <w:rsid w:val="001B2813"/>
    <w:rsid w:val="001B2FF6"/>
    <w:rsid w:val="001B390D"/>
    <w:rsid w:val="001B3B82"/>
    <w:rsid w:val="001B3CE1"/>
    <w:rsid w:val="001B3D4F"/>
    <w:rsid w:val="001B4058"/>
    <w:rsid w:val="001B4206"/>
    <w:rsid w:val="001B4935"/>
    <w:rsid w:val="001B5132"/>
    <w:rsid w:val="001B562F"/>
    <w:rsid w:val="001B58FD"/>
    <w:rsid w:val="001B59D5"/>
    <w:rsid w:val="001B5EFC"/>
    <w:rsid w:val="001B617E"/>
    <w:rsid w:val="001B62C6"/>
    <w:rsid w:val="001B640E"/>
    <w:rsid w:val="001B6837"/>
    <w:rsid w:val="001B6B04"/>
    <w:rsid w:val="001B71E6"/>
    <w:rsid w:val="001B72FA"/>
    <w:rsid w:val="001B73BC"/>
    <w:rsid w:val="001B7948"/>
    <w:rsid w:val="001B7E5E"/>
    <w:rsid w:val="001C0681"/>
    <w:rsid w:val="001C0689"/>
    <w:rsid w:val="001C0956"/>
    <w:rsid w:val="001C0B45"/>
    <w:rsid w:val="001C13C1"/>
    <w:rsid w:val="001C1BC4"/>
    <w:rsid w:val="001C1FDA"/>
    <w:rsid w:val="001C2282"/>
    <w:rsid w:val="001C23A0"/>
    <w:rsid w:val="001C2FF6"/>
    <w:rsid w:val="001C31D1"/>
    <w:rsid w:val="001C33BE"/>
    <w:rsid w:val="001C34C7"/>
    <w:rsid w:val="001C3509"/>
    <w:rsid w:val="001C3E3C"/>
    <w:rsid w:val="001C3E9C"/>
    <w:rsid w:val="001C40EA"/>
    <w:rsid w:val="001C4A0D"/>
    <w:rsid w:val="001C4A9F"/>
    <w:rsid w:val="001C50C0"/>
    <w:rsid w:val="001C5192"/>
    <w:rsid w:val="001C5DFC"/>
    <w:rsid w:val="001C69DB"/>
    <w:rsid w:val="001C719E"/>
    <w:rsid w:val="001C742E"/>
    <w:rsid w:val="001C7944"/>
    <w:rsid w:val="001C7A38"/>
    <w:rsid w:val="001C7A42"/>
    <w:rsid w:val="001D00EA"/>
    <w:rsid w:val="001D01EA"/>
    <w:rsid w:val="001D082B"/>
    <w:rsid w:val="001D0987"/>
    <w:rsid w:val="001D10B3"/>
    <w:rsid w:val="001D1442"/>
    <w:rsid w:val="001D14AF"/>
    <w:rsid w:val="001D1824"/>
    <w:rsid w:val="001D1E44"/>
    <w:rsid w:val="001D2352"/>
    <w:rsid w:val="001D2994"/>
    <w:rsid w:val="001D32BD"/>
    <w:rsid w:val="001D3AFD"/>
    <w:rsid w:val="001D3BEC"/>
    <w:rsid w:val="001D5B41"/>
    <w:rsid w:val="001D6892"/>
    <w:rsid w:val="001D6AD4"/>
    <w:rsid w:val="001D7CCA"/>
    <w:rsid w:val="001D7E90"/>
    <w:rsid w:val="001E12F3"/>
    <w:rsid w:val="001E1368"/>
    <w:rsid w:val="001E1425"/>
    <w:rsid w:val="001E1439"/>
    <w:rsid w:val="001E16BC"/>
    <w:rsid w:val="001E1B70"/>
    <w:rsid w:val="001E1BE9"/>
    <w:rsid w:val="001E1E20"/>
    <w:rsid w:val="001E2491"/>
    <w:rsid w:val="001E2497"/>
    <w:rsid w:val="001E28BC"/>
    <w:rsid w:val="001E2E9F"/>
    <w:rsid w:val="001E3112"/>
    <w:rsid w:val="001E3B2E"/>
    <w:rsid w:val="001E3C77"/>
    <w:rsid w:val="001E3DB1"/>
    <w:rsid w:val="001E462A"/>
    <w:rsid w:val="001E5085"/>
    <w:rsid w:val="001E5262"/>
    <w:rsid w:val="001E5A32"/>
    <w:rsid w:val="001E5B8C"/>
    <w:rsid w:val="001E5C63"/>
    <w:rsid w:val="001E5FA1"/>
    <w:rsid w:val="001E625A"/>
    <w:rsid w:val="001E66C5"/>
    <w:rsid w:val="001E7057"/>
    <w:rsid w:val="001E7C6D"/>
    <w:rsid w:val="001F047E"/>
    <w:rsid w:val="001F04A1"/>
    <w:rsid w:val="001F04AB"/>
    <w:rsid w:val="001F05ED"/>
    <w:rsid w:val="001F06D6"/>
    <w:rsid w:val="001F0A80"/>
    <w:rsid w:val="001F0AAD"/>
    <w:rsid w:val="001F1BED"/>
    <w:rsid w:val="001F1FAD"/>
    <w:rsid w:val="001F2FA3"/>
    <w:rsid w:val="001F3908"/>
    <w:rsid w:val="001F3D57"/>
    <w:rsid w:val="001F4239"/>
    <w:rsid w:val="001F56CA"/>
    <w:rsid w:val="001F5ADA"/>
    <w:rsid w:val="001F5B32"/>
    <w:rsid w:val="001F5B60"/>
    <w:rsid w:val="001F5C59"/>
    <w:rsid w:val="001F5F27"/>
    <w:rsid w:val="001F5F43"/>
    <w:rsid w:val="001F62C2"/>
    <w:rsid w:val="001F6805"/>
    <w:rsid w:val="001F6E5D"/>
    <w:rsid w:val="001F707B"/>
    <w:rsid w:val="001F72A9"/>
    <w:rsid w:val="001F7374"/>
    <w:rsid w:val="001F75E8"/>
    <w:rsid w:val="001F7969"/>
    <w:rsid w:val="001F798D"/>
    <w:rsid w:val="0020014D"/>
    <w:rsid w:val="00200348"/>
    <w:rsid w:val="00200613"/>
    <w:rsid w:val="002008C7"/>
    <w:rsid w:val="002009AE"/>
    <w:rsid w:val="00200C19"/>
    <w:rsid w:val="002011E8"/>
    <w:rsid w:val="00201960"/>
    <w:rsid w:val="00201A49"/>
    <w:rsid w:val="00201BF2"/>
    <w:rsid w:val="00201D45"/>
    <w:rsid w:val="00201EAC"/>
    <w:rsid w:val="0020206D"/>
    <w:rsid w:val="00202086"/>
    <w:rsid w:val="00202ADB"/>
    <w:rsid w:val="00203EEC"/>
    <w:rsid w:val="002045E4"/>
    <w:rsid w:val="00204AED"/>
    <w:rsid w:val="00204CA8"/>
    <w:rsid w:val="00204CBE"/>
    <w:rsid w:val="00204DD6"/>
    <w:rsid w:val="00204E01"/>
    <w:rsid w:val="00205A20"/>
    <w:rsid w:val="002061F1"/>
    <w:rsid w:val="00206207"/>
    <w:rsid w:val="00206349"/>
    <w:rsid w:val="0020696A"/>
    <w:rsid w:val="00207326"/>
    <w:rsid w:val="002075DC"/>
    <w:rsid w:val="00207813"/>
    <w:rsid w:val="00207971"/>
    <w:rsid w:val="00207AAB"/>
    <w:rsid w:val="00207C08"/>
    <w:rsid w:val="002100F1"/>
    <w:rsid w:val="002101DC"/>
    <w:rsid w:val="00210422"/>
    <w:rsid w:val="002108E7"/>
    <w:rsid w:val="00210AD3"/>
    <w:rsid w:val="00210CD6"/>
    <w:rsid w:val="00211DED"/>
    <w:rsid w:val="00212258"/>
    <w:rsid w:val="00212263"/>
    <w:rsid w:val="00212689"/>
    <w:rsid w:val="002127AA"/>
    <w:rsid w:val="00212C53"/>
    <w:rsid w:val="00212ECE"/>
    <w:rsid w:val="002130A0"/>
    <w:rsid w:val="002131E8"/>
    <w:rsid w:val="0021334A"/>
    <w:rsid w:val="002137AF"/>
    <w:rsid w:val="00214919"/>
    <w:rsid w:val="00214B62"/>
    <w:rsid w:val="0021545B"/>
    <w:rsid w:val="00215807"/>
    <w:rsid w:val="00215877"/>
    <w:rsid w:val="0021594F"/>
    <w:rsid w:val="002163C0"/>
    <w:rsid w:val="00216A58"/>
    <w:rsid w:val="00216AA5"/>
    <w:rsid w:val="00216D32"/>
    <w:rsid w:val="00216EFD"/>
    <w:rsid w:val="00216F3E"/>
    <w:rsid w:val="00217A5B"/>
    <w:rsid w:val="00217CC7"/>
    <w:rsid w:val="00217CD7"/>
    <w:rsid w:val="00217F8E"/>
    <w:rsid w:val="00220A5C"/>
    <w:rsid w:val="002211DA"/>
    <w:rsid w:val="0022187D"/>
    <w:rsid w:val="00221C5B"/>
    <w:rsid w:val="002227A2"/>
    <w:rsid w:val="00223785"/>
    <w:rsid w:val="00223ACA"/>
    <w:rsid w:val="002244BB"/>
    <w:rsid w:val="00224E6F"/>
    <w:rsid w:val="002250CE"/>
    <w:rsid w:val="00225704"/>
    <w:rsid w:val="00225764"/>
    <w:rsid w:val="0022725B"/>
    <w:rsid w:val="002272D3"/>
    <w:rsid w:val="0022745B"/>
    <w:rsid w:val="00227796"/>
    <w:rsid w:val="0022784F"/>
    <w:rsid w:val="00227DD4"/>
    <w:rsid w:val="0023024B"/>
    <w:rsid w:val="00230A4E"/>
    <w:rsid w:val="00230D7C"/>
    <w:rsid w:val="00231535"/>
    <w:rsid w:val="00231B10"/>
    <w:rsid w:val="00231BD9"/>
    <w:rsid w:val="00231CDC"/>
    <w:rsid w:val="00231FB8"/>
    <w:rsid w:val="00232271"/>
    <w:rsid w:val="00232C68"/>
    <w:rsid w:val="00232CFD"/>
    <w:rsid w:val="00232D0F"/>
    <w:rsid w:val="00233272"/>
    <w:rsid w:val="00233298"/>
    <w:rsid w:val="0023337D"/>
    <w:rsid w:val="002333B9"/>
    <w:rsid w:val="00233400"/>
    <w:rsid w:val="0023399A"/>
    <w:rsid w:val="002339E5"/>
    <w:rsid w:val="00233CC5"/>
    <w:rsid w:val="00233FC5"/>
    <w:rsid w:val="002341EF"/>
    <w:rsid w:val="00234770"/>
    <w:rsid w:val="002347FE"/>
    <w:rsid w:val="002349CD"/>
    <w:rsid w:val="00235496"/>
    <w:rsid w:val="002354A1"/>
    <w:rsid w:val="00235B8F"/>
    <w:rsid w:val="00236347"/>
    <w:rsid w:val="00236504"/>
    <w:rsid w:val="00236593"/>
    <w:rsid w:val="0023662D"/>
    <w:rsid w:val="00237734"/>
    <w:rsid w:val="00237980"/>
    <w:rsid w:val="00237C1D"/>
    <w:rsid w:val="002400E0"/>
    <w:rsid w:val="0024040D"/>
    <w:rsid w:val="00241062"/>
    <w:rsid w:val="00241ED3"/>
    <w:rsid w:val="00242347"/>
    <w:rsid w:val="00242445"/>
    <w:rsid w:val="002428F4"/>
    <w:rsid w:val="00242A8C"/>
    <w:rsid w:val="00242BB5"/>
    <w:rsid w:val="00242BBB"/>
    <w:rsid w:val="00242CE0"/>
    <w:rsid w:val="00242FAC"/>
    <w:rsid w:val="0024307F"/>
    <w:rsid w:val="00243648"/>
    <w:rsid w:val="0024384C"/>
    <w:rsid w:val="00243C1B"/>
    <w:rsid w:val="00244105"/>
    <w:rsid w:val="00244178"/>
    <w:rsid w:val="002443E3"/>
    <w:rsid w:val="00244438"/>
    <w:rsid w:val="00244445"/>
    <w:rsid w:val="0024472B"/>
    <w:rsid w:val="002449B7"/>
    <w:rsid w:val="00244F19"/>
    <w:rsid w:val="00245242"/>
    <w:rsid w:val="0024528C"/>
    <w:rsid w:val="002457A1"/>
    <w:rsid w:val="0024591B"/>
    <w:rsid w:val="00245BDC"/>
    <w:rsid w:val="00245E4F"/>
    <w:rsid w:val="00245EBF"/>
    <w:rsid w:val="00246249"/>
    <w:rsid w:val="002471FF"/>
    <w:rsid w:val="002475CF"/>
    <w:rsid w:val="002476C4"/>
    <w:rsid w:val="00247801"/>
    <w:rsid w:val="00247865"/>
    <w:rsid w:val="002502EF"/>
    <w:rsid w:val="002503FF"/>
    <w:rsid w:val="00250576"/>
    <w:rsid w:val="002505E6"/>
    <w:rsid w:val="0025098B"/>
    <w:rsid w:val="00250A93"/>
    <w:rsid w:val="00251376"/>
    <w:rsid w:val="002515F2"/>
    <w:rsid w:val="002517EA"/>
    <w:rsid w:val="00251974"/>
    <w:rsid w:val="00251E74"/>
    <w:rsid w:val="00251FAA"/>
    <w:rsid w:val="002522C1"/>
    <w:rsid w:val="002528D1"/>
    <w:rsid w:val="002534CA"/>
    <w:rsid w:val="00253A4D"/>
    <w:rsid w:val="00254466"/>
    <w:rsid w:val="00254871"/>
    <w:rsid w:val="00254945"/>
    <w:rsid w:val="00254C95"/>
    <w:rsid w:val="00254EDF"/>
    <w:rsid w:val="00256497"/>
    <w:rsid w:val="00256513"/>
    <w:rsid w:val="002565C4"/>
    <w:rsid w:val="00256869"/>
    <w:rsid w:val="002574C0"/>
    <w:rsid w:val="002577C3"/>
    <w:rsid w:val="002577F5"/>
    <w:rsid w:val="00257C6C"/>
    <w:rsid w:val="00257DC7"/>
    <w:rsid w:val="0026055D"/>
    <w:rsid w:val="00260833"/>
    <w:rsid w:val="00260880"/>
    <w:rsid w:val="00260F15"/>
    <w:rsid w:val="00261207"/>
    <w:rsid w:val="00261423"/>
    <w:rsid w:val="002614B7"/>
    <w:rsid w:val="002615C2"/>
    <w:rsid w:val="002616C7"/>
    <w:rsid w:val="00262673"/>
    <w:rsid w:val="0026279B"/>
    <w:rsid w:val="00262830"/>
    <w:rsid w:val="00262AB2"/>
    <w:rsid w:val="00262C5F"/>
    <w:rsid w:val="00262D87"/>
    <w:rsid w:val="00262F1A"/>
    <w:rsid w:val="0026348A"/>
    <w:rsid w:val="00263856"/>
    <w:rsid w:val="002638B7"/>
    <w:rsid w:val="00263A46"/>
    <w:rsid w:val="00264132"/>
    <w:rsid w:val="00264A01"/>
    <w:rsid w:val="00264AAD"/>
    <w:rsid w:val="00264C4B"/>
    <w:rsid w:val="00264DE5"/>
    <w:rsid w:val="002652F0"/>
    <w:rsid w:val="0026546D"/>
    <w:rsid w:val="002655DB"/>
    <w:rsid w:val="0026569C"/>
    <w:rsid w:val="00265793"/>
    <w:rsid w:val="0026608C"/>
    <w:rsid w:val="00266165"/>
    <w:rsid w:val="0026668B"/>
    <w:rsid w:val="0026680D"/>
    <w:rsid w:val="0026730E"/>
    <w:rsid w:val="002678D4"/>
    <w:rsid w:val="00267DAC"/>
    <w:rsid w:val="0027114F"/>
    <w:rsid w:val="0027116C"/>
    <w:rsid w:val="00271262"/>
    <w:rsid w:val="002715CC"/>
    <w:rsid w:val="00271C00"/>
    <w:rsid w:val="00271C5B"/>
    <w:rsid w:val="00271C9A"/>
    <w:rsid w:val="002722F0"/>
    <w:rsid w:val="00272305"/>
    <w:rsid w:val="002729FF"/>
    <w:rsid w:val="00272A83"/>
    <w:rsid w:val="00273135"/>
    <w:rsid w:val="00273253"/>
    <w:rsid w:val="00273550"/>
    <w:rsid w:val="0027372D"/>
    <w:rsid w:val="00273FB5"/>
    <w:rsid w:val="00273FD7"/>
    <w:rsid w:val="0027428B"/>
    <w:rsid w:val="00274443"/>
    <w:rsid w:val="002745F9"/>
    <w:rsid w:val="00275011"/>
    <w:rsid w:val="00275058"/>
    <w:rsid w:val="002759D0"/>
    <w:rsid w:val="002759FB"/>
    <w:rsid w:val="002763F6"/>
    <w:rsid w:val="002768C8"/>
    <w:rsid w:val="00276994"/>
    <w:rsid w:val="00276A5F"/>
    <w:rsid w:val="00276AF9"/>
    <w:rsid w:val="00276C3C"/>
    <w:rsid w:val="00277166"/>
    <w:rsid w:val="00277870"/>
    <w:rsid w:val="00277D58"/>
    <w:rsid w:val="002804F5"/>
    <w:rsid w:val="00280BC4"/>
    <w:rsid w:val="002810C7"/>
    <w:rsid w:val="0028118B"/>
    <w:rsid w:val="00281596"/>
    <w:rsid w:val="00281AF4"/>
    <w:rsid w:val="00281FDE"/>
    <w:rsid w:val="00282B54"/>
    <w:rsid w:val="00282BB9"/>
    <w:rsid w:val="00282E8E"/>
    <w:rsid w:val="0028302B"/>
    <w:rsid w:val="0028390E"/>
    <w:rsid w:val="002839D1"/>
    <w:rsid w:val="00283E49"/>
    <w:rsid w:val="0028452F"/>
    <w:rsid w:val="002846B9"/>
    <w:rsid w:val="00284A35"/>
    <w:rsid w:val="00284E59"/>
    <w:rsid w:val="00284E63"/>
    <w:rsid w:val="002855DE"/>
    <w:rsid w:val="002856D8"/>
    <w:rsid w:val="00285ADA"/>
    <w:rsid w:val="00285ADE"/>
    <w:rsid w:val="002863BF"/>
    <w:rsid w:val="00286532"/>
    <w:rsid w:val="002871E8"/>
    <w:rsid w:val="00287356"/>
    <w:rsid w:val="00290075"/>
    <w:rsid w:val="0029020E"/>
    <w:rsid w:val="002904FD"/>
    <w:rsid w:val="002907D5"/>
    <w:rsid w:val="00290B13"/>
    <w:rsid w:val="00290D53"/>
    <w:rsid w:val="00291159"/>
    <w:rsid w:val="0029115E"/>
    <w:rsid w:val="00291E5A"/>
    <w:rsid w:val="00291EF9"/>
    <w:rsid w:val="002922C3"/>
    <w:rsid w:val="0029247D"/>
    <w:rsid w:val="00292B7E"/>
    <w:rsid w:val="00292D39"/>
    <w:rsid w:val="00292EB5"/>
    <w:rsid w:val="00293A4A"/>
    <w:rsid w:val="00293C34"/>
    <w:rsid w:val="00293F27"/>
    <w:rsid w:val="00294288"/>
    <w:rsid w:val="002946C5"/>
    <w:rsid w:val="00294703"/>
    <w:rsid w:val="00294938"/>
    <w:rsid w:val="00294AC8"/>
    <w:rsid w:val="00295458"/>
    <w:rsid w:val="00295AA4"/>
    <w:rsid w:val="00295B0F"/>
    <w:rsid w:val="002964FE"/>
    <w:rsid w:val="002968DF"/>
    <w:rsid w:val="00296C0E"/>
    <w:rsid w:val="00296DD6"/>
    <w:rsid w:val="00297A98"/>
    <w:rsid w:val="002A139B"/>
    <w:rsid w:val="002A1757"/>
    <w:rsid w:val="002A1EDA"/>
    <w:rsid w:val="002A20A6"/>
    <w:rsid w:val="002A22A4"/>
    <w:rsid w:val="002A263A"/>
    <w:rsid w:val="002A2A45"/>
    <w:rsid w:val="002A2C58"/>
    <w:rsid w:val="002A33E4"/>
    <w:rsid w:val="002A3875"/>
    <w:rsid w:val="002A3AEF"/>
    <w:rsid w:val="002A40BE"/>
    <w:rsid w:val="002A4941"/>
    <w:rsid w:val="002A49F5"/>
    <w:rsid w:val="002A4F6E"/>
    <w:rsid w:val="002A535F"/>
    <w:rsid w:val="002A5474"/>
    <w:rsid w:val="002A5D09"/>
    <w:rsid w:val="002A5EC0"/>
    <w:rsid w:val="002A5EE1"/>
    <w:rsid w:val="002A6037"/>
    <w:rsid w:val="002A6873"/>
    <w:rsid w:val="002A696D"/>
    <w:rsid w:val="002A6A50"/>
    <w:rsid w:val="002A74D2"/>
    <w:rsid w:val="002A773A"/>
    <w:rsid w:val="002A7BE2"/>
    <w:rsid w:val="002A7CEA"/>
    <w:rsid w:val="002A7F24"/>
    <w:rsid w:val="002B0030"/>
    <w:rsid w:val="002B0725"/>
    <w:rsid w:val="002B0A8F"/>
    <w:rsid w:val="002B0E39"/>
    <w:rsid w:val="002B1148"/>
    <w:rsid w:val="002B143A"/>
    <w:rsid w:val="002B18FA"/>
    <w:rsid w:val="002B201C"/>
    <w:rsid w:val="002B2107"/>
    <w:rsid w:val="002B22E4"/>
    <w:rsid w:val="002B24CA"/>
    <w:rsid w:val="002B280A"/>
    <w:rsid w:val="002B322F"/>
    <w:rsid w:val="002B343F"/>
    <w:rsid w:val="002B405B"/>
    <w:rsid w:val="002B4901"/>
    <w:rsid w:val="002B4E71"/>
    <w:rsid w:val="002B5B8E"/>
    <w:rsid w:val="002B5FC5"/>
    <w:rsid w:val="002B5FCA"/>
    <w:rsid w:val="002B617D"/>
    <w:rsid w:val="002B6595"/>
    <w:rsid w:val="002B66C2"/>
    <w:rsid w:val="002B67FB"/>
    <w:rsid w:val="002B6E3A"/>
    <w:rsid w:val="002B70AF"/>
    <w:rsid w:val="002B7523"/>
    <w:rsid w:val="002B775B"/>
    <w:rsid w:val="002B7A5D"/>
    <w:rsid w:val="002B7AD6"/>
    <w:rsid w:val="002C04AF"/>
    <w:rsid w:val="002C0795"/>
    <w:rsid w:val="002C1330"/>
    <w:rsid w:val="002C136F"/>
    <w:rsid w:val="002C143F"/>
    <w:rsid w:val="002C1899"/>
    <w:rsid w:val="002C1C28"/>
    <w:rsid w:val="002C1EFB"/>
    <w:rsid w:val="002C215B"/>
    <w:rsid w:val="002C26E2"/>
    <w:rsid w:val="002C293F"/>
    <w:rsid w:val="002C2AF4"/>
    <w:rsid w:val="002C2D20"/>
    <w:rsid w:val="002C2F67"/>
    <w:rsid w:val="002C32D8"/>
    <w:rsid w:val="002C38F8"/>
    <w:rsid w:val="002C3A9A"/>
    <w:rsid w:val="002C3E12"/>
    <w:rsid w:val="002C3E6A"/>
    <w:rsid w:val="002C3E8E"/>
    <w:rsid w:val="002C401C"/>
    <w:rsid w:val="002C4212"/>
    <w:rsid w:val="002C4694"/>
    <w:rsid w:val="002C4D93"/>
    <w:rsid w:val="002C5681"/>
    <w:rsid w:val="002C5FBA"/>
    <w:rsid w:val="002C64DE"/>
    <w:rsid w:val="002C6553"/>
    <w:rsid w:val="002C65F3"/>
    <w:rsid w:val="002C6DCF"/>
    <w:rsid w:val="002C7BBF"/>
    <w:rsid w:val="002D0946"/>
    <w:rsid w:val="002D0C5C"/>
    <w:rsid w:val="002D1490"/>
    <w:rsid w:val="002D1EBB"/>
    <w:rsid w:val="002D21A7"/>
    <w:rsid w:val="002D23B0"/>
    <w:rsid w:val="002D278A"/>
    <w:rsid w:val="002D2E89"/>
    <w:rsid w:val="002D3097"/>
    <w:rsid w:val="002D3A37"/>
    <w:rsid w:val="002D3E8A"/>
    <w:rsid w:val="002D3F42"/>
    <w:rsid w:val="002D4066"/>
    <w:rsid w:val="002D425E"/>
    <w:rsid w:val="002D45FE"/>
    <w:rsid w:val="002D4B96"/>
    <w:rsid w:val="002D4C82"/>
    <w:rsid w:val="002D5196"/>
    <w:rsid w:val="002D55E6"/>
    <w:rsid w:val="002D583F"/>
    <w:rsid w:val="002D5933"/>
    <w:rsid w:val="002D6AD6"/>
    <w:rsid w:val="002D6D9B"/>
    <w:rsid w:val="002D7043"/>
    <w:rsid w:val="002D7054"/>
    <w:rsid w:val="002D7DC2"/>
    <w:rsid w:val="002E00C6"/>
    <w:rsid w:val="002E030D"/>
    <w:rsid w:val="002E04B7"/>
    <w:rsid w:val="002E052A"/>
    <w:rsid w:val="002E095E"/>
    <w:rsid w:val="002E0CE8"/>
    <w:rsid w:val="002E11FB"/>
    <w:rsid w:val="002E16B0"/>
    <w:rsid w:val="002E1933"/>
    <w:rsid w:val="002E1B0C"/>
    <w:rsid w:val="002E1B89"/>
    <w:rsid w:val="002E1C9A"/>
    <w:rsid w:val="002E2021"/>
    <w:rsid w:val="002E2098"/>
    <w:rsid w:val="002E2102"/>
    <w:rsid w:val="002E2899"/>
    <w:rsid w:val="002E2AE5"/>
    <w:rsid w:val="002E2C5E"/>
    <w:rsid w:val="002E2D8C"/>
    <w:rsid w:val="002E342D"/>
    <w:rsid w:val="002E3549"/>
    <w:rsid w:val="002E3A5E"/>
    <w:rsid w:val="002E3E81"/>
    <w:rsid w:val="002E45E6"/>
    <w:rsid w:val="002E4B24"/>
    <w:rsid w:val="002E4BE2"/>
    <w:rsid w:val="002E516F"/>
    <w:rsid w:val="002E5D9C"/>
    <w:rsid w:val="002E6FA8"/>
    <w:rsid w:val="002E71B1"/>
    <w:rsid w:val="002E71E2"/>
    <w:rsid w:val="002E72AC"/>
    <w:rsid w:val="002E745E"/>
    <w:rsid w:val="002E764F"/>
    <w:rsid w:val="002E7855"/>
    <w:rsid w:val="002F022B"/>
    <w:rsid w:val="002F040F"/>
    <w:rsid w:val="002F083B"/>
    <w:rsid w:val="002F1094"/>
    <w:rsid w:val="002F1510"/>
    <w:rsid w:val="002F1947"/>
    <w:rsid w:val="002F1EDF"/>
    <w:rsid w:val="002F1EEE"/>
    <w:rsid w:val="002F2269"/>
    <w:rsid w:val="002F2ED6"/>
    <w:rsid w:val="002F3295"/>
    <w:rsid w:val="002F33A0"/>
    <w:rsid w:val="002F35D3"/>
    <w:rsid w:val="002F3CAD"/>
    <w:rsid w:val="002F42E1"/>
    <w:rsid w:val="002F475D"/>
    <w:rsid w:val="002F4B82"/>
    <w:rsid w:val="002F52F6"/>
    <w:rsid w:val="002F55FC"/>
    <w:rsid w:val="002F5C4A"/>
    <w:rsid w:val="002F620D"/>
    <w:rsid w:val="002F6564"/>
    <w:rsid w:val="002F6661"/>
    <w:rsid w:val="002F7618"/>
    <w:rsid w:val="002F7B6B"/>
    <w:rsid w:val="002F7FDA"/>
    <w:rsid w:val="0030070B"/>
    <w:rsid w:val="00300E09"/>
    <w:rsid w:val="00300E1F"/>
    <w:rsid w:val="0030110D"/>
    <w:rsid w:val="00301C0E"/>
    <w:rsid w:val="00301D17"/>
    <w:rsid w:val="00301F69"/>
    <w:rsid w:val="00302316"/>
    <w:rsid w:val="003026A2"/>
    <w:rsid w:val="00302EE5"/>
    <w:rsid w:val="00303101"/>
    <w:rsid w:val="00303115"/>
    <w:rsid w:val="003034DF"/>
    <w:rsid w:val="00303B52"/>
    <w:rsid w:val="00303EF4"/>
    <w:rsid w:val="003045F4"/>
    <w:rsid w:val="003049FD"/>
    <w:rsid w:val="00304AAC"/>
    <w:rsid w:val="00304B12"/>
    <w:rsid w:val="00305858"/>
    <w:rsid w:val="0030594E"/>
    <w:rsid w:val="00305A76"/>
    <w:rsid w:val="00307C86"/>
    <w:rsid w:val="00310488"/>
    <w:rsid w:val="00311082"/>
    <w:rsid w:val="003110F4"/>
    <w:rsid w:val="00311394"/>
    <w:rsid w:val="003122A2"/>
    <w:rsid w:val="003126C1"/>
    <w:rsid w:val="00312709"/>
    <w:rsid w:val="00312ACF"/>
    <w:rsid w:val="00313555"/>
    <w:rsid w:val="003137A8"/>
    <w:rsid w:val="0031384C"/>
    <w:rsid w:val="0031432A"/>
    <w:rsid w:val="00314658"/>
    <w:rsid w:val="003147C2"/>
    <w:rsid w:val="00314E13"/>
    <w:rsid w:val="003154AD"/>
    <w:rsid w:val="003155DE"/>
    <w:rsid w:val="003156FB"/>
    <w:rsid w:val="0031575E"/>
    <w:rsid w:val="00315771"/>
    <w:rsid w:val="00315867"/>
    <w:rsid w:val="0031591C"/>
    <w:rsid w:val="00315D1B"/>
    <w:rsid w:val="00315DBD"/>
    <w:rsid w:val="00315FEB"/>
    <w:rsid w:val="00316509"/>
    <w:rsid w:val="0031691F"/>
    <w:rsid w:val="0031693F"/>
    <w:rsid w:val="00316B0D"/>
    <w:rsid w:val="0031752A"/>
    <w:rsid w:val="00317923"/>
    <w:rsid w:val="00317ED8"/>
    <w:rsid w:val="0032077A"/>
    <w:rsid w:val="00320E67"/>
    <w:rsid w:val="00320E7F"/>
    <w:rsid w:val="00321EEE"/>
    <w:rsid w:val="0032208F"/>
    <w:rsid w:val="003220CA"/>
    <w:rsid w:val="00322573"/>
    <w:rsid w:val="0032259E"/>
    <w:rsid w:val="00322A40"/>
    <w:rsid w:val="00322CAF"/>
    <w:rsid w:val="00322FA7"/>
    <w:rsid w:val="00323705"/>
    <w:rsid w:val="00323C75"/>
    <w:rsid w:val="003249D2"/>
    <w:rsid w:val="00324A00"/>
    <w:rsid w:val="00324DE0"/>
    <w:rsid w:val="00325133"/>
    <w:rsid w:val="00325223"/>
    <w:rsid w:val="003253C4"/>
    <w:rsid w:val="0032555A"/>
    <w:rsid w:val="0032610F"/>
    <w:rsid w:val="0032667A"/>
    <w:rsid w:val="003266C8"/>
    <w:rsid w:val="00326C69"/>
    <w:rsid w:val="00327149"/>
    <w:rsid w:val="003271A3"/>
    <w:rsid w:val="00327620"/>
    <w:rsid w:val="00327DFE"/>
    <w:rsid w:val="00327FCA"/>
    <w:rsid w:val="0033035F"/>
    <w:rsid w:val="00331466"/>
    <w:rsid w:val="0033147A"/>
    <w:rsid w:val="0033167C"/>
    <w:rsid w:val="003316F1"/>
    <w:rsid w:val="0033294A"/>
    <w:rsid w:val="0033299A"/>
    <w:rsid w:val="00332CD2"/>
    <w:rsid w:val="00332D46"/>
    <w:rsid w:val="00332D6C"/>
    <w:rsid w:val="003332E9"/>
    <w:rsid w:val="00333413"/>
    <w:rsid w:val="00333476"/>
    <w:rsid w:val="00333530"/>
    <w:rsid w:val="003336FA"/>
    <w:rsid w:val="00333AF9"/>
    <w:rsid w:val="00334259"/>
    <w:rsid w:val="003344F9"/>
    <w:rsid w:val="00334AFE"/>
    <w:rsid w:val="00334B5A"/>
    <w:rsid w:val="00334FCF"/>
    <w:rsid w:val="0033517E"/>
    <w:rsid w:val="00335700"/>
    <w:rsid w:val="00335D99"/>
    <w:rsid w:val="00335E2B"/>
    <w:rsid w:val="0033654B"/>
    <w:rsid w:val="0033743C"/>
    <w:rsid w:val="003378E2"/>
    <w:rsid w:val="00337C0B"/>
    <w:rsid w:val="00337EAD"/>
    <w:rsid w:val="0034029C"/>
    <w:rsid w:val="00340689"/>
    <w:rsid w:val="003407B0"/>
    <w:rsid w:val="00340990"/>
    <w:rsid w:val="00340C5A"/>
    <w:rsid w:val="00340FF1"/>
    <w:rsid w:val="003412C1"/>
    <w:rsid w:val="003415B6"/>
    <w:rsid w:val="00341BC5"/>
    <w:rsid w:val="00341BDD"/>
    <w:rsid w:val="00341D3E"/>
    <w:rsid w:val="00342329"/>
    <w:rsid w:val="00342772"/>
    <w:rsid w:val="00342B47"/>
    <w:rsid w:val="00342BA4"/>
    <w:rsid w:val="00342C0D"/>
    <w:rsid w:val="00342F9D"/>
    <w:rsid w:val="0034321A"/>
    <w:rsid w:val="00343984"/>
    <w:rsid w:val="003439DB"/>
    <w:rsid w:val="00343CEB"/>
    <w:rsid w:val="00343E6D"/>
    <w:rsid w:val="0034402F"/>
    <w:rsid w:val="00344758"/>
    <w:rsid w:val="00344A08"/>
    <w:rsid w:val="00344DA2"/>
    <w:rsid w:val="00345AFF"/>
    <w:rsid w:val="00345EE2"/>
    <w:rsid w:val="003462FA"/>
    <w:rsid w:val="0034681D"/>
    <w:rsid w:val="00346A85"/>
    <w:rsid w:val="00347021"/>
    <w:rsid w:val="00347295"/>
    <w:rsid w:val="00347D0C"/>
    <w:rsid w:val="003506CA"/>
    <w:rsid w:val="003508ED"/>
    <w:rsid w:val="00350B55"/>
    <w:rsid w:val="00350EFD"/>
    <w:rsid w:val="00350F6D"/>
    <w:rsid w:val="00351341"/>
    <w:rsid w:val="00351706"/>
    <w:rsid w:val="003519D5"/>
    <w:rsid w:val="00351BA2"/>
    <w:rsid w:val="00351D37"/>
    <w:rsid w:val="00352A50"/>
    <w:rsid w:val="00352BD3"/>
    <w:rsid w:val="00352C9B"/>
    <w:rsid w:val="00352CFB"/>
    <w:rsid w:val="003537DA"/>
    <w:rsid w:val="00354216"/>
    <w:rsid w:val="00354289"/>
    <w:rsid w:val="0035477F"/>
    <w:rsid w:val="00354C9B"/>
    <w:rsid w:val="00354D62"/>
    <w:rsid w:val="003552C8"/>
    <w:rsid w:val="00355F44"/>
    <w:rsid w:val="00356D82"/>
    <w:rsid w:val="00356E27"/>
    <w:rsid w:val="00356E2E"/>
    <w:rsid w:val="00357131"/>
    <w:rsid w:val="00357312"/>
    <w:rsid w:val="00357CF1"/>
    <w:rsid w:val="0036064E"/>
    <w:rsid w:val="00360810"/>
    <w:rsid w:val="00360B35"/>
    <w:rsid w:val="003610B6"/>
    <w:rsid w:val="003611FE"/>
    <w:rsid w:val="00361727"/>
    <w:rsid w:val="00361F69"/>
    <w:rsid w:val="00362008"/>
    <w:rsid w:val="003621F6"/>
    <w:rsid w:val="003623E3"/>
    <w:rsid w:val="003624DA"/>
    <w:rsid w:val="0036282A"/>
    <w:rsid w:val="00362A35"/>
    <w:rsid w:val="00362B4E"/>
    <w:rsid w:val="00362FD6"/>
    <w:rsid w:val="00363433"/>
    <w:rsid w:val="003635FC"/>
    <w:rsid w:val="003637BA"/>
    <w:rsid w:val="00363857"/>
    <w:rsid w:val="00363B18"/>
    <w:rsid w:val="00363BEC"/>
    <w:rsid w:val="00363EB3"/>
    <w:rsid w:val="00364728"/>
    <w:rsid w:val="00364ABB"/>
    <w:rsid w:val="00364B75"/>
    <w:rsid w:val="00365113"/>
    <w:rsid w:val="0036576B"/>
    <w:rsid w:val="003662F8"/>
    <w:rsid w:val="003664BE"/>
    <w:rsid w:val="003666AF"/>
    <w:rsid w:val="003666C7"/>
    <w:rsid w:val="00366847"/>
    <w:rsid w:val="00366E37"/>
    <w:rsid w:val="00366F30"/>
    <w:rsid w:val="0036759B"/>
    <w:rsid w:val="00370000"/>
    <w:rsid w:val="0037025E"/>
    <w:rsid w:val="00370678"/>
    <w:rsid w:val="003707F3"/>
    <w:rsid w:val="00370941"/>
    <w:rsid w:val="00370E1C"/>
    <w:rsid w:val="003717EC"/>
    <w:rsid w:val="00371832"/>
    <w:rsid w:val="00371842"/>
    <w:rsid w:val="00371C87"/>
    <w:rsid w:val="0037221E"/>
    <w:rsid w:val="00372F8E"/>
    <w:rsid w:val="00373088"/>
    <w:rsid w:val="00373519"/>
    <w:rsid w:val="00373640"/>
    <w:rsid w:val="0037375C"/>
    <w:rsid w:val="003741CD"/>
    <w:rsid w:val="0037434B"/>
    <w:rsid w:val="003743A3"/>
    <w:rsid w:val="003745B4"/>
    <w:rsid w:val="003749DA"/>
    <w:rsid w:val="00374B69"/>
    <w:rsid w:val="00374C18"/>
    <w:rsid w:val="00374D94"/>
    <w:rsid w:val="00374E50"/>
    <w:rsid w:val="00374FD8"/>
    <w:rsid w:val="00375493"/>
    <w:rsid w:val="003757DC"/>
    <w:rsid w:val="00376690"/>
    <w:rsid w:val="00376B4E"/>
    <w:rsid w:val="003775B4"/>
    <w:rsid w:val="003778EA"/>
    <w:rsid w:val="00377C1E"/>
    <w:rsid w:val="00380440"/>
    <w:rsid w:val="003808FF"/>
    <w:rsid w:val="003809E5"/>
    <w:rsid w:val="00380BA1"/>
    <w:rsid w:val="00380BDD"/>
    <w:rsid w:val="0038183B"/>
    <w:rsid w:val="00381A58"/>
    <w:rsid w:val="00381C7C"/>
    <w:rsid w:val="00381CF0"/>
    <w:rsid w:val="00381F61"/>
    <w:rsid w:val="003821F0"/>
    <w:rsid w:val="00382742"/>
    <w:rsid w:val="0038289D"/>
    <w:rsid w:val="00382C81"/>
    <w:rsid w:val="00383079"/>
    <w:rsid w:val="00383274"/>
    <w:rsid w:val="00383697"/>
    <w:rsid w:val="003836EB"/>
    <w:rsid w:val="0038379D"/>
    <w:rsid w:val="00383A15"/>
    <w:rsid w:val="00383AAF"/>
    <w:rsid w:val="00383D38"/>
    <w:rsid w:val="003847F5"/>
    <w:rsid w:val="0038487F"/>
    <w:rsid w:val="00384C70"/>
    <w:rsid w:val="00384E85"/>
    <w:rsid w:val="00384F41"/>
    <w:rsid w:val="003850C2"/>
    <w:rsid w:val="00385104"/>
    <w:rsid w:val="003855B6"/>
    <w:rsid w:val="003856F3"/>
    <w:rsid w:val="003858B9"/>
    <w:rsid w:val="00385BA8"/>
    <w:rsid w:val="00385EBB"/>
    <w:rsid w:val="00387027"/>
    <w:rsid w:val="00387314"/>
    <w:rsid w:val="0038752F"/>
    <w:rsid w:val="00387561"/>
    <w:rsid w:val="0038764D"/>
    <w:rsid w:val="003877A1"/>
    <w:rsid w:val="003877A4"/>
    <w:rsid w:val="00387D86"/>
    <w:rsid w:val="00390267"/>
    <w:rsid w:val="00390758"/>
    <w:rsid w:val="00390EFA"/>
    <w:rsid w:val="00391010"/>
    <w:rsid w:val="0039103B"/>
    <w:rsid w:val="003915CE"/>
    <w:rsid w:val="0039176D"/>
    <w:rsid w:val="00391B56"/>
    <w:rsid w:val="0039204B"/>
    <w:rsid w:val="003922AF"/>
    <w:rsid w:val="00392561"/>
    <w:rsid w:val="0039313B"/>
    <w:rsid w:val="0039337E"/>
    <w:rsid w:val="003936A3"/>
    <w:rsid w:val="00393842"/>
    <w:rsid w:val="00393884"/>
    <w:rsid w:val="003938FC"/>
    <w:rsid w:val="00393D23"/>
    <w:rsid w:val="00394086"/>
    <w:rsid w:val="0039419D"/>
    <w:rsid w:val="0039471B"/>
    <w:rsid w:val="0039493A"/>
    <w:rsid w:val="00394C59"/>
    <w:rsid w:val="00395031"/>
    <w:rsid w:val="00395894"/>
    <w:rsid w:val="003959BC"/>
    <w:rsid w:val="00395A58"/>
    <w:rsid w:val="00395CC5"/>
    <w:rsid w:val="0039600B"/>
    <w:rsid w:val="00396162"/>
    <w:rsid w:val="00396355"/>
    <w:rsid w:val="0039693A"/>
    <w:rsid w:val="00396F5E"/>
    <w:rsid w:val="00397B6C"/>
    <w:rsid w:val="003A01A9"/>
    <w:rsid w:val="003A037C"/>
    <w:rsid w:val="003A03FA"/>
    <w:rsid w:val="003A06D3"/>
    <w:rsid w:val="003A08EF"/>
    <w:rsid w:val="003A11E8"/>
    <w:rsid w:val="003A1E44"/>
    <w:rsid w:val="003A20A1"/>
    <w:rsid w:val="003A23D2"/>
    <w:rsid w:val="003A25ED"/>
    <w:rsid w:val="003A2816"/>
    <w:rsid w:val="003A2844"/>
    <w:rsid w:val="003A2B5A"/>
    <w:rsid w:val="003A2ED1"/>
    <w:rsid w:val="003A3B81"/>
    <w:rsid w:val="003A3D61"/>
    <w:rsid w:val="003A4111"/>
    <w:rsid w:val="003A475C"/>
    <w:rsid w:val="003A47D1"/>
    <w:rsid w:val="003A4F3F"/>
    <w:rsid w:val="003A5681"/>
    <w:rsid w:val="003A56AE"/>
    <w:rsid w:val="003A570B"/>
    <w:rsid w:val="003A5AC8"/>
    <w:rsid w:val="003A5C19"/>
    <w:rsid w:val="003A64F4"/>
    <w:rsid w:val="003A6628"/>
    <w:rsid w:val="003A7B9C"/>
    <w:rsid w:val="003B004D"/>
    <w:rsid w:val="003B02FC"/>
    <w:rsid w:val="003B07BF"/>
    <w:rsid w:val="003B0E93"/>
    <w:rsid w:val="003B1097"/>
    <w:rsid w:val="003B1B97"/>
    <w:rsid w:val="003B22C4"/>
    <w:rsid w:val="003B26D2"/>
    <w:rsid w:val="003B32D5"/>
    <w:rsid w:val="003B38F2"/>
    <w:rsid w:val="003B3BBD"/>
    <w:rsid w:val="003B40A4"/>
    <w:rsid w:val="003B433A"/>
    <w:rsid w:val="003B464C"/>
    <w:rsid w:val="003B5331"/>
    <w:rsid w:val="003B5F40"/>
    <w:rsid w:val="003B6894"/>
    <w:rsid w:val="003B701D"/>
    <w:rsid w:val="003B7256"/>
    <w:rsid w:val="003B7D4C"/>
    <w:rsid w:val="003B7E4E"/>
    <w:rsid w:val="003C0147"/>
    <w:rsid w:val="003C1635"/>
    <w:rsid w:val="003C1D84"/>
    <w:rsid w:val="003C27D5"/>
    <w:rsid w:val="003C2E73"/>
    <w:rsid w:val="003C33F7"/>
    <w:rsid w:val="003C37B4"/>
    <w:rsid w:val="003C3DB2"/>
    <w:rsid w:val="003C4712"/>
    <w:rsid w:val="003C52FD"/>
    <w:rsid w:val="003C5548"/>
    <w:rsid w:val="003C554E"/>
    <w:rsid w:val="003C58CB"/>
    <w:rsid w:val="003C5B0D"/>
    <w:rsid w:val="003C5EF3"/>
    <w:rsid w:val="003C617E"/>
    <w:rsid w:val="003C698C"/>
    <w:rsid w:val="003C6C16"/>
    <w:rsid w:val="003C6D66"/>
    <w:rsid w:val="003C7541"/>
    <w:rsid w:val="003C77ED"/>
    <w:rsid w:val="003C7AD1"/>
    <w:rsid w:val="003D0068"/>
    <w:rsid w:val="003D04B3"/>
    <w:rsid w:val="003D04DA"/>
    <w:rsid w:val="003D04DF"/>
    <w:rsid w:val="003D084B"/>
    <w:rsid w:val="003D09E3"/>
    <w:rsid w:val="003D0C1D"/>
    <w:rsid w:val="003D1DE1"/>
    <w:rsid w:val="003D25F8"/>
    <w:rsid w:val="003D2860"/>
    <w:rsid w:val="003D33FA"/>
    <w:rsid w:val="003D431A"/>
    <w:rsid w:val="003D4507"/>
    <w:rsid w:val="003D4679"/>
    <w:rsid w:val="003D49CD"/>
    <w:rsid w:val="003D4AA1"/>
    <w:rsid w:val="003D4E29"/>
    <w:rsid w:val="003D4F40"/>
    <w:rsid w:val="003D545D"/>
    <w:rsid w:val="003D5CD4"/>
    <w:rsid w:val="003D5D43"/>
    <w:rsid w:val="003D5E33"/>
    <w:rsid w:val="003D646A"/>
    <w:rsid w:val="003D6893"/>
    <w:rsid w:val="003D6A13"/>
    <w:rsid w:val="003D6AFC"/>
    <w:rsid w:val="003D7C2B"/>
    <w:rsid w:val="003E11D3"/>
    <w:rsid w:val="003E1815"/>
    <w:rsid w:val="003E1A3B"/>
    <w:rsid w:val="003E1A9A"/>
    <w:rsid w:val="003E1AEB"/>
    <w:rsid w:val="003E1B07"/>
    <w:rsid w:val="003E1B43"/>
    <w:rsid w:val="003E1E46"/>
    <w:rsid w:val="003E2591"/>
    <w:rsid w:val="003E27C0"/>
    <w:rsid w:val="003E3511"/>
    <w:rsid w:val="003E3F2E"/>
    <w:rsid w:val="003E4451"/>
    <w:rsid w:val="003E486C"/>
    <w:rsid w:val="003E4A68"/>
    <w:rsid w:val="003E4F81"/>
    <w:rsid w:val="003E628B"/>
    <w:rsid w:val="003E672A"/>
    <w:rsid w:val="003E697E"/>
    <w:rsid w:val="003E7A3D"/>
    <w:rsid w:val="003E7FDE"/>
    <w:rsid w:val="003F0162"/>
    <w:rsid w:val="003F03B4"/>
    <w:rsid w:val="003F0AE4"/>
    <w:rsid w:val="003F1753"/>
    <w:rsid w:val="003F1AD1"/>
    <w:rsid w:val="003F293C"/>
    <w:rsid w:val="003F2BDF"/>
    <w:rsid w:val="003F2E60"/>
    <w:rsid w:val="003F3102"/>
    <w:rsid w:val="003F34E1"/>
    <w:rsid w:val="003F35CD"/>
    <w:rsid w:val="003F364E"/>
    <w:rsid w:val="003F3CDD"/>
    <w:rsid w:val="003F4411"/>
    <w:rsid w:val="003F4908"/>
    <w:rsid w:val="003F521E"/>
    <w:rsid w:val="003F5BC7"/>
    <w:rsid w:val="003F6168"/>
    <w:rsid w:val="003F62F8"/>
    <w:rsid w:val="003F63E5"/>
    <w:rsid w:val="003F63F2"/>
    <w:rsid w:val="003F73CA"/>
    <w:rsid w:val="003F763B"/>
    <w:rsid w:val="0040051A"/>
    <w:rsid w:val="00401374"/>
    <w:rsid w:val="004017B1"/>
    <w:rsid w:val="00401928"/>
    <w:rsid w:val="00401C0E"/>
    <w:rsid w:val="004022FC"/>
    <w:rsid w:val="00402334"/>
    <w:rsid w:val="00402569"/>
    <w:rsid w:val="0040304B"/>
    <w:rsid w:val="004036F5"/>
    <w:rsid w:val="004038F7"/>
    <w:rsid w:val="004043FA"/>
    <w:rsid w:val="004045BF"/>
    <w:rsid w:val="00404AFD"/>
    <w:rsid w:val="00405003"/>
    <w:rsid w:val="004051AB"/>
    <w:rsid w:val="004051F6"/>
    <w:rsid w:val="004052E6"/>
    <w:rsid w:val="0040543B"/>
    <w:rsid w:val="00405486"/>
    <w:rsid w:val="004054D1"/>
    <w:rsid w:val="00405EB0"/>
    <w:rsid w:val="004061BC"/>
    <w:rsid w:val="004068B7"/>
    <w:rsid w:val="00406AB9"/>
    <w:rsid w:val="00406F9E"/>
    <w:rsid w:val="004074C2"/>
    <w:rsid w:val="00407EE6"/>
    <w:rsid w:val="00407F75"/>
    <w:rsid w:val="004100B8"/>
    <w:rsid w:val="0041040D"/>
    <w:rsid w:val="00410977"/>
    <w:rsid w:val="00411553"/>
    <w:rsid w:val="0041158E"/>
    <w:rsid w:val="0041170A"/>
    <w:rsid w:val="004122DE"/>
    <w:rsid w:val="004123B0"/>
    <w:rsid w:val="004124EC"/>
    <w:rsid w:val="00412E72"/>
    <w:rsid w:val="00413095"/>
    <w:rsid w:val="00413444"/>
    <w:rsid w:val="00413622"/>
    <w:rsid w:val="00414151"/>
    <w:rsid w:val="0041468A"/>
    <w:rsid w:val="00414ACF"/>
    <w:rsid w:val="0041723D"/>
    <w:rsid w:val="00417AA7"/>
    <w:rsid w:val="00420F16"/>
    <w:rsid w:val="00421715"/>
    <w:rsid w:val="004218F9"/>
    <w:rsid w:val="00421B29"/>
    <w:rsid w:val="00421B63"/>
    <w:rsid w:val="004224D7"/>
    <w:rsid w:val="0042252D"/>
    <w:rsid w:val="0042253B"/>
    <w:rsid w:val="0042323B"/>
    <w:rsid w:val="004233DD"/>
    <w:rsid w:val="00423BA4"/>
    <w:rsid w:val="00424368"/>
    <w:rsid w:val="004248DE"/>
    <w:rsid w:val="00424A9C"/>
    <w:rsid w:val="00425052"/>
    <w:rsid w:val="0042509E"/>
    <w:rsid w:val="004251E2"/>
    <w:rsid w:val="00425594"/>
    <w:rsid w:val="00425699"/>
    <w:rsid w:val="0042573B"/>
    <w:rsid w:val="00425A40"/>
    <w:rsid w:val="00425B2A"/>
    <w:rsid w:val="00425B87"/>
    <w:rsid w:val="00426006"/>
    <w:rsid w:val="004261C7"/>
    <w:rsid w:val="00426A00"/>
    <w:rsid w:val="00426A81"/>
    <w:rsid w:val="00427376"/>
    <w:rsid w:val="00427A2D"/>
    <w:rsid w:val="00427B93"/>
    <w:rsid w:val="004303B2"/>
    <w:rsid w:val="00430517"/>
    <w:rsid w:val="00430C49"/>
    <w:rsid w:val="00430DA4"/>
    <w:rsid w:val="004323AD"/>
    <w:rsid w:val="0043245B"/>
    <w:rsid w:val="00432686"/>
    <w:rsid w:val="004327C4"/>
    <w:rsid w:val="004328B0"/>
    <w:rsid w:val="004330B4"/>
    <w:rsid w:val="004333B5"/>
    <w:rsid w:val="0043342C"/>
    <w:rsid w:val="00433461"/>
    <w:rsid w:val="004344E2"/>
    <w:rsid w:val="0043491E"/>
    <w:rsid w:val="00434DFC"/>
    <w:rsid w:val="00434E7C"/>
    <w:rsid w:val="004350A3"/>
    <w:rsid w:val="00435487"/>
    <w:rsid w:val="00435BD1"/>
    <w:rsid w:val="00435C3D"/>
    <w:rsid w:val="004361E3"/>
    <w:rsid w:val="00436856"/>
    <w:rsid w:val="004368DA"/>
    <w:rsid w:val="00436CC5"/>
    <w:rsid w:val="004372EB"/>
    <w:rsid w:val="004376BB"/>
    <w:rsid w:val="004376D4"/>
    <w:rsid w:val="004377C9"/>
    <w:rsid w:val="00437B11"/>
    <w:rsid w:val="00437D1D"/>
    <w:rsid w:val="00437EDB"/>
    <w:rsid w:val="004400F8"/>
    <w:rsid w:val="004403AC"/>
    <w:rsid w:val="0044061A"/>
    <w:rsid w:val="00440DE8"/>
    <w:rsid w:val="00440F8A"/>
    <w:rsid w:val="00441AB4"/>
    <w:rsid w:val="00441CAF"/>
    <w:rsid w:val="00441D32"/>
    <w:rsid w:val="00441E8D"/>
    <w:rsid w:val="004422DE"/>
    <w:rsid w:val="00442AB0"/>
    <w:rsid w:val="00442C0B"/>
    <w:rsid w:val="00442D3F"/>
    <w:rsid w:val="00442D63"/>
    <w:rsid w:val="00443469"/>
    <w:rsid w:val="00443D34"/>
    <w:rsid w:val="00443DF3"/>
    <w:rsid w:val="004440B8"/>
    <w:rsid w:val="00444F87"/>
    <w:rsid w:val="00445921"/>
    <w:rsid w:val="00446A5E"/>
    <w:rsid w:val="00446ADE"/>
    <w:rsid w:val="00446B6F"/>
    <w:rsid w:val="00446BC9"/>
    <w:rsid w:val="00446CF5"/>
    <w:rsid w:val="00446D98"/>
    <w:rsid w:val="00447CDB"/>
    <w:rsid w:val="00447FDC"/>
    <w:rsid w:val="0045083C"/>
    <w:rsid w:val="0045088E"/>
    <w:rsid w:val="004510BA"/>
    <w:rsid w:val="0045132E"/>
    <w:rsid w:val="00451951"/>
    <w:rsid w:val="00451A80"/>
    <w:rsid w:val="00451BF2"/>
    <w:rsid w:val="004520FF"/>
    <w:rsid w:val="004526B8"/>
    <w:rsid w:val="004527F1"/>
    <w:rsid w:val="004529E5"/>
    <w:rsid w:val="004536DE"/>
    <w:rsid w:val="00453C8C"/>
    <w:rsid w:val="0045435B"/>
    <w:rsid w:val="0045488C"/>
    <w:rsid w:val="00454B5A"/>
    <w:rsid w:val="00454C3A"/>
    <w:rsid w:val="00454E0F"/>
    <w:rsid w:val="004557FC"/>
    <w:rsid w:val="004562D4"/>
    <w:rsid w:val="0045765A"/>
    <w:rsid w:val="0045780E"/>
    <w:rsid w:val="00457A05"/>
    <w:rsid w:val="00457FBA"/>
    <w:rsid w:val="00457FCD"/>
    <w:rsid w:val="00460054"/>
    <w:rsid w:val="0046016F"/>
    <w:rsid w:val="0046017D"/>
    <w:rsid w:val="004610BD"/>
    <w:rsid w:val="0046115F"/>
    <w:rsid w:val="00461301"/>
    <w:rsid w:val="0046149D"/>
    <w:rsid w:val="004618C6"/>
    <w:rsid w:val="00461A01"/>
    <w:rsid w:val="00462336"/>
    <w:rsid w:val="00462644"/>
    <w:rsid w:val="004627FC"/>
    <w:rsid w:val="00462857"/>
    <w:rsid w:val="00462CD3"/>
    <w:rsid w:val="00462FAC"/>
    <w:rsid w:val="00463212"/>
    <w:rsid w:val="004632DC"/>
    <w:rsid w:val="00463DB6"/>
    <w:rsid w:val="00464186"/>
    <w:rsid w:val="00464607"/>
    <w:rsid w:val="00464B54"/>
    <w:rsid w:val="00464C7D"/>
    <w:rsid w:val="00465217"/>
    <w:rsid w:val="00465575"/>
    <w:rsid w:val="004656D4"/>
    <w:rsid w:val="0046633B"/>
    <w:rsid w:val="00466B0A"/>
    <w:rsid w:val="00466B31"/>
    <w:rsid w:val="00467707"/>
    <w:rsid w:val="00467BFD"/>
    <w:rsid w:val="00467FC9"/>
    <w:rsid w:val="00467FD9"/>
    <w:rsid w:val="00470009"/>
    <w:rsid w:val="004702E4"/>
    <w:rsid w:val="00470538"/>
    <w:rsid w:val="00470993"/>
    <w:rsid w:val="00470DB5"/>
    <w:rsid w:val="0047125F"/>
    <w:rsid w:val="00471734"/>
    <w:rsid w:val="004725AA"/>
    <w:rsid w:val="004727C2"/>
    <w:rsid w:val="00472E53"/>
    <w:rsid w:val="004730CF"/>
    <w:rsid w:val="00473513"/>
    <w:rsid w:val="004737C9"/>
    <w:rsid w:val="0047436E"/>
    <w:rsid w:val="004744F1"/>
    <w:rsid w:val="00474E9D"/>
    <w:rsid w:val="00475056"/>
    <w:rsid w:val="0047604C"/>
    <w:rsid w:val="00476331"/>
    <w:rsid w:val="00476611"/>
    <w:rsid w:val="00476871"/>
    <w:rsid w:val="0047690B"/>
    <w:rsid w:val="00477153"/>
    <w:rsid w:val="0047719F"/>
    <w:rsid w:val="00477546"/>
    <w:rsid w:val="004778FA"/>
    <w:rsid w:val="00477CAE"/>
    <w:rsid w:val="00480748"/>
    <w:rsid w:val="004809BA"/>
    <w:rsid w:val="00480D50"/>
    <w:rsid w:val="00481077"/>
    <w:rsid w:val="00481495"/>
    <w:rsid w:val="0048162F"/>
    <w:rsid w:val="00481860"/>
    <w:rsid w:val="00481E81"/>
    <w:rsid w:val="004820E6"/>
    <w:rsid w:val="00482223"/>
    <w:rsid w:val="0048240A"/>
    <w:rsid w:val="00482514"/>
    <w:rsid w:val="00482763"/>
    <w:rsid w:val="00482D25"/>
    <w:rsid w:val="0048377A"/>
    <w:rsid w:val="00484240"/>
    <w:rsid w:val="00484B97"/>
    <w:rsid w:val="00484F37"/>
    <w:rsid w:val="004852B2"/>
    <w:rsid w:val="00485628"/>
    <w:rsid w:val="00485A22"/>
    <w:rsid w:val="00485B1D"/>
    <w:rsid w:val="00485B99"/>
    <w:rsid w:val="00485F25"/>
    <w:rsid w:val="004860E8"/>
    <w:rsid w:val="004862FD"/>
    <w:rsid w:val="00486817"/>
    <w:rsid w:val="00486887"/>
    <w:rsid w:val="00486A49"/>
    <w:rsid w:val="00486C25"/>
    <w:rsid w:val="00487539"/>
    <w:rsid w:val="00487B35"/>
    <w:rsid w:val="00487C0D"/>
    <w:rsid w:val="00487D4F"/>
    <w:rsid w:val="00487D94"/>
    <w:rsid w:val="00487DEE"/>
    <w:rsid w:val="004900DD"/>
    <w:rsid w:val="0049022A"/>
    <w:rsid w:val="00490361"/>
    <w:rsid w:val="0049084E"/>
    <w:rsid w:val="00490AC6"/>
    <w:rsid w:val="00490F90"/>
    <w:rsid w:val="00491197"/>
    <w:rsid w:val="00491765"/>
    <w:rsid w:val="00491C1A"/>
    <w:rsid w:val="00491EBF"/>
    <w:rsid w:val="004922B4"/>
    <w:rsid w:val="004927A6"/>
    <w:rsid w:val="00492B46"/>
    <w:rsid w:val="00492D88"/>
    <w:rsid w:val="00492FC0"/>
    <w:rsid w:val="00493C0E"/>
    <w:rsid w:val="00493DCC"/>
    <w:rsid w:val="00493EB7"/>
    <w:rsid w:val="00494045"/>
    <w:rsid w:val="00494055"/>
    <w:rsid w:val="004940C4"/>
    <w:rsid w:val="0049434B"/>
    <w:rsid w:val="004957CD"/>
    <w:rsid w:val="00495B00"/>
    <w:rsid w:val="00495E65"/>
    <w:rsid w:val="0049602D"/>
    <w:rsid w:val="00496195"/>
    <w:rsid w:val="00496801"/>
    <w:rsid w:val="00496BB3"/>
    <w:rsid w:val="00496CC6"/>
    <w:rsid w:val="00496E5F"/>
    <w:rsid w:val="0049747D"/>
    <w:rsid w:val="00497F19"/>
    <w:rsid w:val="00497F41"/>
    <w:rsid w:val="00497F86"/>
    <w:rsid w:val="004A017E"/>
    <w:rsid w:val="004A02C1"/>
    <w:rsid w:val="004A07EF"/>
    <w:rsid w:val="004A0EE1"/>
    <w:rsid w:val="004A10AD"/>
    <w:rsid w:val="004A1C59"/>
    <w:rsid w:val="004A2304"/>
    <w:rsid w:val="004A2BC9"/>
    <w:rsid w:val="004A322A"/>
    <w:rsid w:val="004A3759"/>
    <w:rsid w:val="004A3F4C"/>
    <w:rsid w:val="004A3FAD"/>
    <w:rsid w:val="004A40F1"/>
    <w:rsid w:val="004A4AA8"/>
    <w:rsid w:val="004A5817"/>
    <w:rsid w:val="004A5CAE"/>
    <w:rsid w:val="004A65B9"/>
    <w:rsid w:val="004A773B"/>
    <w:rsid w:val="004A77BB"/>
    <w:rsid w:val="004A79BD"/>
    <w:rsid w:val="004A79F2"/>
    <w:rsid w:val="004B026B"/>
    <w:rsid w:val="004B0B40"/>
    <w:rsid w:val="004B0C88"/>
    <w:rsid w:val="004B14A0"/>
    <w:rsid w:val="004B15C3"/>
    <w:rsid w:val="004B1E52"/>
    <w:rsid w:val="004B278B"/>
    <w:rsid w:val="004B2BCD"/>
    <w:rsid w:val="004B3723"/>
    <w:rsid w:val="004B38E3"/>
    <w:rsid w:val="004B3A37"/>
    <w:rsid w:val="004B3B09"/>
    <w:rsid w:val="004B3B28"/>
    <w:rsid w:val="004B3E5E"/>
    <w:rsid w:val="004B3EDA"/>
    <w:rsid w:val="004B4158"/>
    <w:rsid w:val="004B429E"/>
    <w:rsid w:val="004B4879"/>
    <w:rsid w:val="004B4970"/>
    <w:rsid w:val="004B5103"/>
    <w:rsid w:val="004B5131"/>
    <w:rsid w:val="004B5189"/>
    <w:rsid w:val="004B542F"/>
    <w:rsid w:val="004B58F9"/>
    <w:rsid w:val="004B5C29"/>
    <w:rsid w:val="004B5CF8"/>
    <w:rsid w:val="004B63B5"/>
    <w:rsid w:val="004B651D"/>
    <w:rsid w:val="004B67F1"/>
    <w:rsid w:val="004B6809"/>
    <w:rsid w:val="004B68A4"/>
    <w:rsid w:val="004B69CE"/>
    <w:rsid w:val="004B6E88"/>
    <w:rsid w:val="004B6F13"/>
    <w:rsid w:val="004B7722"/>
    <w:rsid w:val="004B7828"/>
    <w:rsid w:val="004B78B6"/>
    <w:rsid w:val="004B7AEB"/>
    <w:rsid w:val="004C00C2"/>
    <w:rsid w:val="004C07D9"/>
    <w:rsid w:val="004C0A9C"/>
    <w:rsid w:val="004C0BBA"/>
    <w:rsid w:val="004C0D81"/>
    <w:rsid w:val="004C1281"/>
    <w:rsid w:val="004C1A2F"/>
    <w:rsid w:val="004C221B"/>
    <w:rsid w:val="004C244F"/>
    <w:rsid w:val="004C250F"/>
    <w:rsid w:val="004C26C3"/>
    <w:rsid w:val="004C2A19"/>
    <w:rsid w:val="004C2A8E"/>
    <w:rsid w:val="004C2F48"/>
    <w:rsid w:val="004C44B4"/>
    <w:rsid w:val="004C4B93"/>
    <w:rsid w:val="004C4E8B"/>
    <w:rsid w:val="004C56E0"/>
    <w:rsid w:val="004C5D7D"/>
    <w:rsid w:val="004C604A"/>
    <w:rsid w:val="004C6188"/>
    <w:rsid w:val="004C6C1F"/>
    <w:rsid w:val="004C6CFD"/>
    <w:rsid w:val="004C6E93"/>
    <w:rsid w:val="004C71D2"/>
    <w:rsid w:val="004C7BA0"/>
    <w:rsid w:val="004D0138"/>
    <w:rsid w:val="004D0C77"/>
    <w:rsid w:val="004D15D6"/>
    <w:rsid w:val="004D2676"/>
    <w:rsid w:val="004D277A"/>
    <w:rsid w:val="004D2800"/>
    <w:rsid w:val="004D2EB8"/>
    <w:rsid w:val="004D357F"/>
    <w:rsid w:val="004D3ED0"/>
    <w:rsid w:val="004D3EDE"/>
    <w:rsid w:val="004D3FE4"/>
    <w:rsid w:val="004D401B"/>
    <w:rsid w:val="004D426A"/>
    <w:rsid w:val="004D44FE"/>
    <w:rsid w:val="004D4F0B"/>
    <w:rsid w:val="004D4FC6"/>
    <w:rsid w:val="004D5223"/>
    <w:rsid w:val="004D58B0"/>
    <w:rsid w:val="004D59D2"/>
    <w:rsid w:val="004D5AAE"/>
    <w:rsid w:val="004D5C39"/>
    <w:rsid w:val="004D5D18"/>
    <w:rsid w:val="004D5E55"/>
    <w:rsid w:val="004D653C"/>
    <w:rsid w:val="004D6922"/>
    <w:rsid w:val="004D6CE2"/>
    <w:rsid w:val="004D73D3"/>
    <w:rsid w:val="004D775F"/>
    <w:rsid w:val="004D77B5"/>
    <w:rsid w:val="004D785C"/>
    <w:rsid w:val="004D7AE1"/>
    <w:rsid w:val="004D7DDA"/>
    <w:rsid w:val="004E11B2"/>
    <w:rsid w:val="004E1523"/>
    <w:rsid w:val="004E1D26"/>
    <w:rsid w:val="004E2EBA"/>
    <w:rsid w:val="004E2FF8"/>
    <w:rsid w:val="004E36E9"/>
    <w:rsid w:val="004E3FA3"/>
    <w:rsid w:val="004E40F0"/>
    <w:rsid w:val="004E43FA"/>
    <w:rsid w:val="004E4972"/>
    <w:rsid w:val="004E5912"/>
    <w:rsid w:val="004E5B4D"/>
    <w:rsid w:val="004E5DC0"/>
    <w:rsid w:val="004E611E"/>
    <w:rsid w:val="004E6625"/>
    <w:rsid w:val="004E67A9"/>
    <w:rsid w:val="004E6EFD"/>
    <w:rsid w:val="004E7071"/>
    <w:rsid w:val="004E71FC"/>
    <w:rsid w:val="004E74D9"/>
    <w:rsid w:val="004E74E1"/>
    <w:rsid w:val="004F0116"/>
    <w:rsid w:val="004F0258"/>
    <w:rsid w:val="004F1323"/>
    <w:rsid w:val="004F1332"/>
    <w:rsid w:val="004F19A1"/>
    <w:rsid w:val="004F1E4C"/>
    <w:rsid w:val="004F1E74"/>
    <w:rsid w:val="004F1EA0"/>
    <w:rsid w:val="004F1F8C"/>
    <w:rsid w:val="004F20DB"/>
    <w:rsid w:val="004F2462"/>
    <w:rsid w:val="004F2615"/>
    <w:rsid w:val="004F2704"/>
    <w:rsid w:val="004F2952"/>
    <w:rsid w:val="004F33F2"/>
    <w:rsid w:val="004F34A3"/>
    <w:rsid w:val="004F3CF5"/>
    <w:rsid w:val="004F4793"/>
    <w:rsid w:val="004F5675"/>
    <w:rsid w:val="004F5AE8"/>
    <w:rsid w:val="004F5D74"/>
    <w:rsid w:val="004F690D"/>
    <w:rsid w:val="004F6A5E"/>
    <w:rsid w:val="004F6AC1"/>
    <w:rsid w:val="004F70AD"/>
    <w:rsid w:val="005002F6"/>
    <w:rsid w:val="00500A2F"/>
    <w:rsid w:val="00500F6F"/>
    <w:rsid w:val="00500FDA"/>
    <w:rsid w:val="00501765"/>
    <w:rsid w:val="0050197B"/>
    <w:rsid w:val="00501B25"/>
    <w:rsid w:val="00502147"/>
    <w:rsid w:val="00502497"/>
    <w:rsid w:val="005024FD"/>
    <w:rsid w:val="00502826"/>
    <w:rsid w:val="00502842"/>
    <w:rsid w:val="005028B9"/>
    <w:rsid w:val="00502913"/>
    <w:rsid w:val="00502A45"/>
    <w:rsid w:val="00502FAB"/>
    <w:rsid w:val="00503353"/>
    <w:rsid w:val="00503963"/>
    <w:rsid w:val="00503C03"/>
    <w:rsid w:val="005048DE"/>
    <w:rsid w:val="005049F3"/>
    <w:rsid w:val="00504AF9"/>
    <w:rsid w:val="00504D6D"/>
    <w:rsid w:val="00504F50"/>
    <w:rsid w:val="00505B8A"/>
    <w:rsid w:val="00505CB1"/>
    <w:rsid w:val="00505CD8"/>
    <w:rsid w:val="00506240"/>
    <w:rsid w:val="0050670A"/>
    <w:rsid w:val="005067F5"/>
    <w:rsid w:val="00506C7D"/>
    <w:rsid w:val="005071AF"/>
    <w:rsid w:val="005075D6"/>
    <w:rsid w:val="005077C7"/>
    <w:rsid w:val="00507DCB"/>
    <w:rsid w:val="00507ED4"/>
    <w:rsid w:val="00510298"/>
    <w:rsid w:val="005104C2"/>
    <w:rsid w:val="0051076A"/>
    <w:rsid w:val="00510821"/>
    <w:rsid w:val="005108D4"/>
    <w:rsid w:val="00510BA8"/>
    <w:rsid w:val="00511097"/>
    <w:rsid w:val="005110E8"/>
    <w:rsid w:val="005113E1"/>
    <w:rsid w:val="005117E7"/>
    <w:rsid w:val="0051199D"/>
    <w:rsid w:val="00511BC2"/>
    <w:rsid w:val="00511F19"/>
    <w:rsid w:val="00512041"/>
    <w:rsid w:val="005120DB"/>
    <w:rsid w:val="00512EED"/>
    <w:rsid w:val="00512FE9"/>
    <w:rsid w:val="005130BC"/>
    <w:rsid w:val="00513E2D"/>
    <w:rsid w:val="00513E41"/>
    <w:rsid w:val="005142DA"/>
    <w:rsid w:val="005145CE"/>
    <w:rsid w:val="0051489C"/>
    <w:rsid w:val="00515271"/>
    <w:rsid w:val="005157BE"/>
    <w:rsid w:val="00515C76"/>
    <w:rsid w:val="00515E85"/>
    <w:rsid w:val="005161F2"/>
    <w:rsid w:val="005164DB"/>
    <w:rsid w:val="005165EF"/>
    <w:rsid w:val="00516A92"/>
    <w:rsid w:val="00516AB3"/>
    <w:rsid w:val="00516D3D"/>
    <w:rsid w:val="005170C4"/>
    <w:rsid w:val="005174FF"/>
    <w:rsid w:val="005176BD"/>
    <w:rsid w:val="00517750"/>
    <w:rsid w:val="00517BD3"/>
    <w:rsid w:val="00517C6B"/>
    <w:rsid w:val="00517D1C"/>
    <w:rsid w:val="00517E5D"/>
    <w:rsid w:val="00520CCD"/>
    <w:rsid w:val="00520F2A"/>
    <w:rsid w:val="00520FFB"/>
    <w:rsid w:val="005219B4"/>
    <w:rsid w:val="00521AEE"/>
    <w:rsid w:val="00521E38"/>
    <w:rsid w:val="00522464"/>
    <w:rsid w:val="00522507"/>
    <w:rsid w:val="005225B6"/>
    <w:rsid w:val="0052366B"/>
    <w:rsid w:val="00523CFB"/>
    <w:rsid w:val="00523E3E"/>
    <w:rsid w:val="0052430E"/>
    <w:rsid w:val="005247E6"/>
    <w:rsid w:val="0052506E"/>
    <w:rsid w:val="0052556C"/>
    <w:rsid w:val="00525751"/>
    <w:rsid w:val="00525788"/>
    <w:rsid w:val="00525B9E"/>
    <w:rsid w:val="00525C50"/>
    <w:rsid w:val="00525EF2"/>
    <w:rsid w:val="00526276"/>
    <w:rsid w:val="005263F7"/>
    <w:rsid w:val="00526CDA"/>
    <w:rsid w:val="00527065"/>
    <w:rsid w:val="00527095"/>
    <w:rsid w:val="005270E1"/>
    <w:rsid w:val="00530717"/>
    <w:rsid w:val="00530817"/>
    <w:rsid w:val="00531260"/>
    <w:rsid w:val="00531657"/>
    <w:rsid w:val="005317BD"/>
    <w:rsid w:val="005320FC"/>
    <w:rsid w:val="0053214C"/>
    <w:rsid w:val="00532420"/>
    <w:rsid w:val="00532C9F"/>
    <w:rsid w:val="0053301B"/>
    <w:rsid w:val="0053315A"/>
    <w:rsid w:val="0053362E"/>
    <w:rsid w:val="00533773"/>
    <w:rsid w:val="00533FDC"/>
    <w:rsid w:val="00534178"/>
    <w:rsid w:val="0053459F"/>
    <w:rsid w:val="00534693"/>
    <w:rsid w:val="00534752"/>
    <w:rsid w:val="00534A9A"/>
    <w:rsid w:val="00534C7E"/>
    <w:rsid w:val="00536293"/>
    <w:rsid w:val="0053664C"/>
    <w:rsid w:val="00536C9F"/>
    <w:rsid w:val="00536DBC"/>
    <w:rsid w:val="005374B7"/>
    <w:rsid w:val="0053789A"/>
    <w:rsid w:val="00537BCA"/>
    <w:rsid w:val="0054008C"/>
    <w:rsid w:val="00540A40"/>
    <w:rsid w:val="00541187"/>
    <w:rsid w:val="00541480"/>
    <w:rsid w:val="00541502"/>
    <w:rsid w:val="00541A2B"/>
    <w:rsid w:val="00542254"/>
    <w:rsid w:val="00542813"/>
    <w:rsid w:val="00542B00"/>
    <w:rsid w:val="0054319C"/>
    <w:rsid w:val="005432B9"/>
    <w:rsid w:val="00543365"/>
    <w:rsid w:val="00543701"/>
    <w:rsid w:val="00543A41"/>
    <w:rsid w:val="00543DC8"/>
    <w:rsid w:val="00543E39"/>
    <w:rsid w:val="005441FC"/>
    <w:rsid w:val="0054495A"/>
    <w:rsid w:val="00544A49"/>
    <w:rsid w:val="0054593F"/>
    <w:rsid w:val="00545D0F"/>
    <w:rsid w:val="00545EC7"/>
    <w:rsid w:val="00546164"/>
    <w:rsid w:val="005467F5"/>
    <w:rsid w:val="00546808"/>
    <w:rsid w:val="00546AB1"/>
    <w:rsid w:val="00547723"/>
    <w:rsid w:val="00547884"/>
    <w:rsid w:val="00547F36"/>
    <w:rsid w:val="00551CE9"/>
    <w:rsid w:val="005522D9"/>
    <w:rsid w:val="0055265A"/>
    <w:rsid w:val="0055274E"/>
    <w:rsid w:val="00553280"/>
    <w:rsid w:val="005533E1"/>
    <w:rsid w:val="0055380E"/>
    <w:rsid w:val="00553A62"/>
    <w:rsid w:val="00553AD3"/>
    <w:rsid w:val="00553D83"/>
    <w:rsid w:val="00553E7E"/>
    <w:rsid w:val="005546BB"/>
    <w:rsid w:val="00554B20"/>
    <w:rsid w:val="0055504E"/>
    <w:rsid w:val="0055554B"/>
    <w:rsid w:val="00555836"/>
    <w:rsid w:val="00555AB3"/>
    <w:rsid w:val="00555EB2"/>
    <w:rsid w:val="0055603B"/>
    <w:rsid w:val="00556813"/>
    <w:rsid w:val="00556919"/>
    <w:rsid w:val="00556998"/>
    <w:rsid w:val="00557030"/>
    <w:rsid w:val="005577B3"/>
    <w:rsid w:val="00557BD7"/>
    <w:rsid w:val="00560000"/>
    <w:rsid w:val="00560AF2"/>
    <w:rsid w:val="00560E2E"/>
    <w:rsid w:val="00560E69"/>
    <w:rsid w:val="00561B3C"/>
    <w:rsid w:val="00561CCC"/>
    <w:rsid w:val="0056261E"/>
    <w:rsid w:val="00562D1A"/>
    <w:rsid w:val="00562ED0"/>
    <w:rsid w:val="00562F23"/>
    <w:rsid w:val="0056367A"/>
    <w:rsid w:val="00564653"/>
    <w:rsid w:val="00564E51"/>
    <w:rsid w:val="00565065"/>
    <w:rsid w:val="00565657"/>
    <w:rsid w:val="00565C69"/>
    <w:rsid w:val="00565ED3"/>
    <w:rsid w:val="00565FE5"/>
    <w:rsid w:val="00566286"/>
    <w:rsid w:val="005668D9"/>
    <w:rsid w:val="00566C7E"/>
    <w:rsid w:val="005672F0"/>
    <w:rsid w:val="005673D1"/>
    <w:rsid w:val="005674AF"/>
    <w:rsid w:val="005674D3"/>
    <w:rsid w:val="00567EF9"/>
    <w:rsid w:val="00567F8D"/>
    <w:rsid w:val="005709F3"/>
    <w:rsid w:val="00570EC2"/>
    <w:rsid w:val="005713AF"/>
    <w:rsid w:val="005716F4"/>
    <w:rsid w:val="00571D68"/>
    <w:rsid w:val="00571F6A"/>
    <w:rsid w:val="00572482"/>
    <w:rsid w:val="00572A78"/>
    <w:rsid w:val="00572F2B"/>
    <w:rsid w:val="00573AD6"/>
    <w:rsid w:val="00573D48"/>
    <w:rsid w:val="005742AD"/>
    <w:rsid w:val="005746DE"/>
    <w:rsid w:val="0057476C"/>
    <w:rsid w:val="00574872"/>
    <w:rsid w:val="0057573A"/>
    <w:rsid w:val="00575AEF"/>
    <w:rsid w:val="00575CE0"/>
    <w:rsid w:val="00575F0E"/>
    <w:rsid w:val="005760BA"/>
    <w:rsid w:val="00576524"/>
    <w:rsid w:val="00576B14"/>
    <w:rsid w:val="0057703C"/>
    <w:rsid w:val="005771BA"/>
    <w:rsid w:val="005771FB"/>
    <w:rsid w:val="005804D2"/>
    <w:rsid w:val="005807BE"/>
    <w:rsid w:val="005808F0"/>
    <w:rsid w:val="00580B99"/>
    <w:rsid w:val="00581379"/>
    <w:rsid w:val="00581737"/>
    <w:rsid w:val="005818E9"/>
    <w:rsid w:val="0058225A"/>
    <w:rsid w:val="00582287"/>
    <w:rsid w:val="005825BA"/>
    <w:rsid w:val="00582B53"/>
    <w:rsid w:val="00582FF0"/>
    <w:rsid w:val="00583047"/>
    <w:rsid w:val="005830F3"/>
    <w:rsid w:val="00583145"/>
    <w:rsid w:val="00583160"/>
    <w:rsid w:val="0058321B"/>
    <w:rsid w:val="0058358E"/>
    <w:rsid w:val="0058389F"/>
    <w:rsid w:val="00583D9B"/>
    <w:rsid w:val="00583FEB"/>
    <w:rsid w:val="00584F3B"/>
    <w:rsid w:val="00585166"/>
    <w:rsid w:val="005865AF"/>
    <w:rsid w:val="005866AC"/>
    <w:rsid w:val="005869A2"/>
    <w:rsid w:val="005874FE"/>
    <w:rsid w:val="00587548"/>
    <w:rsid w:val="005878BC"/>
    <w:rsid w:val="00587A1E"/>
    <w:rsid w:val="00587AA7"/>
    <w:rsid w:val="00587D4C"/>
    <w:rsid w:val="00587E4E"/>
    <w:rsid w:val="00590911"/>
    <w:rsid w:val="00590F7E"/>
    <w:rsid w:val="00591C6B"/>
    <w:rsid w:val="00591EAC"/>
    <w:rsid w:val="00591EEF"/>
    <w:rsid w:val="005920AF"/>
    <w:rsid w:val="005925A3"/>
    <w:rsid w:val="00592C11"/>
    <w:rsid w:val="00592F17"/>
    <w:rsid w:val="00593471"/>
    <w:rsid w:val="005934C2"/>
    <w:rsid w:val="00593A9D"/>
    <w:rsid w:val="00593F99"/>
    <w:rsid w:val="00594056"/>
    <w:rsid w:val="00594A8E"/>
    <w:rsid w:val="00594AE0"/>
    <w:rsid w:val="0059546F"/>
    <w:rsid w:val="00595A8F"/>
    <w:rsid w:val="00595FB3"/>
    <w:rsid w:val="00596594"/>
    <w:rsid w:val="005965C9"/>
    <w:rsid w:val="0059667A"/>
    <w:rsid w:val="0059692F"/>
    <w:rsid w:val="00596D51"/>
    <w:rsid w:val="00597D61"/>
    <w:rsid w:val="005A0347"/>
    <w:rsid w:val="005A13C2"/>
    <w:rsid w:val="005A1942"/>
    <w:rsid w:val="005A1E8A"/>
    <w:rsid w:val="005A2D09"/>
    <w:rsid w:val="005A3153"/>
    <w:rsid w:val="005A31F1"/>
    <w:rsid w:val="005A3272"/>
    <w:rsid w:val="005A350B"/>
    <w:rsid w:val="005A433B"/>
    <w:rsid w:val="005A43FD"/>
    <w:rsid w:val="005A4892"/>
    <w:rsid w:val="005A5FEC"/>
    <w:rsid w:val="005A620A"/>
    <w:rsid w:val="005A6246"/>
    <w:rsid w:val="005A6783"/>
    <w:rsid w:val="005A7702"/>
    <w:rsid w:val="005A784D"/>
    <w:rsid w:val="005A7860"/>
    <w:rsid w:val="005A7D97"/>
    <w:rsid w:val="005A7EC4"/>
    <w:rsid w:val="005A7F92"/>
    <w:rsid w:val="005B17C5"/>
    <w:rsid w:val="005B19A7"/>
    <w:rsid w:val="005B280B"/>
    <w:rsid w:val="005B28E1"/>
    <w:rsid w:val="005B3A60"/>
    <w:rsid w:val="005B3BCD"/>
    <w:rsid w:val="005B3D8C"/>
    <w:rsid w:val="005B420A"/>
    <w:rsid w:val="005B44D5"/>
    <w:rsid w:val="005B4C94"/>
    <w:rsid w:val="005B4E82"/>
    <w:rsid w:val="005B504A"/>
    <w:rsid w:val="005B5B47"/>
    <w:rsid w:val="005B5DBD"/>
    <w:rsid w:val="005B629B"/>
    <w:rsid w:val="005B6483"/>
    <w:rsid w:val="005B673F"/>
    <w:rsid w:val="005B6971"/>
    <w:rsid w:val="005B6ACD"/>
    <w:rsid w:val="005B6D40"/>
    <w:rsid w:val="005B6F40"/>
    <w:rsid w:val="005B706C"/>
    <w:rsid w:val="005B7CC8"/>
    <w:rsid w:val="005B7DA8"/>
    <w:rsid w:val="005C0BCA"/>
    <w:rsid w:val="005C1259"/>
    <w:rsid w:val="005C15EB"/>
    <w:rsid w:val="005C1661"/>
    <w:rsid w:val="005C1757"/>
    <w:rsid w:val="005C184B"/>
    <w:rsid w:val="005C1889"/>
    <w:rsid w:val="005C1B73"/>
    <w:rsid w:val="005C1C5E"/>
    <w:rsid w:val="005C2F33"/>
    <w:rsid w:val="005C39B2"/>
    <w:rsid w:val="005C3B80"/>
    <w:rsid w:val="005C4978"/>
    <w:rsid w:val="005C4C27"/>
    <w:rsid w:val="005C4F1F"/>
    <w:rsid w:val="005C4FCC"/>
    <w:rsid w:val="005C5D68"/>
    <w:rsid w:val="005C5DE4"/>
    <w:rsid w:val="005C5E8D"/>
    <w:rsid w:val="005C6896"/>
    <w:rsid w:val="005C68FE"/>
    <w:rsid w:val="005C6CAD"/>
    <w:rsid w:val="005C74B0"/>
    <w:rsid w:val="005C7AA2"/>
    <w:rsid w:val="005C7CC0"/>
    <w:rsid w:val="005D032E"/>
    <w:rsid w:val="005D0630"/>
    <w:rsid w:val="005D0D8D"/>
    <w:rsid w:val="005D0F84"/>
    <w:rsid w:val="005D1696"/>
    <w:rsid w:val="005D1732"/>
    <w:rsid w:val="005D1863"/>
    <w:rsid w:val="005D1AB1"/>
    <w:rsid w:val="005D1AFB"/>
    <w:rsid w:val="005D1EF8"/>
    <w:rsid w:val="005D229F"/>
    <w:rsid w:val="005D28E3"/>
    <w:rsid w:val="005D33A3"/>
    <w:rsid w:val="005D340D"/>
    <w:rsid w:val="005D3459"/>
    <w:rsid w:val="005D376B"/>
    <w:rsid w:val="005D5082"/>
    <w:rsid w:val="005D52C1"/>
    <w:rsid w:val="005D564F"/>
    <w:rsid w:val="005D56C4"/>
    <w:rsid w:val="005D5AC2"/>
    <w:rsid w:val="005D5F40"/>
    <w:rsid w:val="005D62E6"/>
    <w:rsid w:val="005D6730"/>
    <w:rsid w:val="005D6AED"/>
    <w:rsid w:val="005D783B"/>
    <w:rsid w:val="005D7962"/>
    <w:rsid w:val="005D7A98"/>
    <w:rsid w:val="005D7AE5"/>
    <w:rsid w:val="005E007A"/>
    <w:rsid w:val="005E018F"/>
    <w:rsid w:val="005E0558"/>
    <w:rsid w:val="005E0691"/>
    <w:rsid w:val="005E08AC"/>
    <w:rsid w:val="005E0ADD"/>
    <w:rsid w:val="005E0BC2"/>
    <w:rsid w:val="005E171E"/>
    <w:rsid w:val="005E220D"/>
    <w:rsid w:val="005E3118"/>
    <w:rsid w:val="005E35B1"/>
    <w:rsid w:val="005E3BDD"/>
    <w:rsid w:val="005E4195"/>
    <w:rsid w:val="005E4400"/>
    <w:rsid w:val="005E4820"/>
    <w:rsid w:val="005E4EED"/>
    <w:rsid w:val="005E54FD"/>
    <w:rsid w:val="005E5593"/>
    <w:rsid w:val="005E5603"/>
    <w:rsid w:val="005E6A5A"/>
    <w:rsid w:val="005E6C56"/>
    <w:rsid w:val="005E6FCC"/>
    <w:rsid w:val="005E76E9"/>
    <w:rsid w:val="005E7FE0"/>
    <w:rsid w:val="005F018F"/>
    <w:rsid w:val="005F0366"/>
    <w:rsid w:val="005F09B5"/>
    <w:rsid w:val="005F0BD6"/>
    <w:rsid w:val="005F18E0"/>
    <w:rsid w:val="005F1BFE"/>
    <w:rsid w:val="005F27E9"/>
    <w:rsid w:val="005F2970"/>
    <w:rsid w:val="005F2984"/>
    <w:rsid w:val="005F2F76"/>
    <w:rsid w:val="005F319A"/>
    <w:rsid w:val="005F3206"/>
    <w:rsid w:val="005F3525"/>
    <w:rsid w:val="005F35C1"/>
    <w:rsid w:val="005F3619"/>
    <w:rsid w:val="005F3A65"/>
    <w:rsid w:val="005F3AFF"/>
    <w:rsid w:val="005F4136"/>
    <w:rsid w:val="005F464A"/>
    <w:rsid w:val="005F4DFB"/>
    <w:rsid w:val="005F52BB"/>
    <w:rsid w:val="005F5493"/>
    <w:rsid w:val="005F552C"/>
    <w:rsid w:val="005F57BD"/>
    <w:rsid w:val="005F5D49"/>
    <w:rsid w:val="005F6216"/>
    <w:rsid w:val="005F6352"/>
    <w:rsid w:val="005F642B"/>
    <w:rsid w:val="005F69B5"/>
    <w:rsid w:val="005F6E63"/>
    <w:rsid w:val="005F760A"/>
    <w:rsid w:val="005F78CD"/>
    <w:rsid w:val="005F7C23"/>
    <w:rsid w:val="0060048C"/>
    <w:rsid w:val="0060048D"/>
    <w:rsid w:val="006005A3"/>
    <w:rsid w:val="00600C50"/>
    <w:rsid w:val="006014CB"/>
    <w:rsid w:val="00601A20"/>
    <w:rsid w:val="00601D63"/>
    <w:rsid w:val="00601E36"/>
    <w:rsid w:val="00601F20"/>
    <w:rsid w:val="00602173"/>
    <w:rsid w:val="00602204"/>
    <w:rsid w:val="0060223C"/>
    <w:rsid w:val="00602B70"/>
    <w:rsid w:val="0060303B"/>
    <w:rsid w:val="00603303"/>
    <w:rsid w:val="006034CF"/>
    <w:rsid w:val="006038EB"/>
    <w:rsid w:val="00603B24"/>
    <w:rsid w:val="00603BDF"/>
    <w:rsid w:val="006046E5"/>
    <w:rsid w:val="00604A7D"/>
    <w:rsid w:val="00604BCF"/>
    <w:rsid w:val="006053FA"/>
    <w:rsid w:val="00605CBA"/>
    <w:rsid w:val="00605DED"/>
    <w:rsid w:val="006065AB"/>
    <w:rsid w:val="00610F58"/>
    <w:rsid w:val="006112B4"/>
    <w:rsid w:val="00611D87"/>
    <w:rsid w:val="0061272A"/>
    <w:rsid w:val="00612A9C"/>
    <w:rsid w:val="006130D3"/>
    <w:rsid w:val="00613D94"/>
    <w:rsid w:val="00613ED7"/>
    <w:rsid w:val="006140D8"/>
    <w:rsid w:val="0061440F"/>
    <w:rsid w:val="0061463F"/>
    <w:rsid w:val="00615CC4"/>
    <w:rsid w:val="006161EB"/>
    <w:rsid w:val="00616C61"/>
    <w:rsid w:val="00616D82"/>
    <w:rsid w:val="0061718F"/>
    <w:rsid w:val="00617D24"/>
    <w:rsid w:val="00620194"/>
    <w:rsid w:val="00620750"/>
    <w:rsid w:val="00620C25"/>
    <w:rsid w:val="00620F80"/>
    <w:rsid w:val="00621441"/>
    <w:rsid w:val="006216A7"/>
    <w:rsid w:val="00621D51"/>
    <w:rsid w:val="0062250F"/>
    <w:rsid w:val="00622FE3"/>
    <w:rsid w:val="0062318E"/>
    <w:rsid w:val="0062328D"/>
    <w:rsid w:val="00623C46"/>
    <w:rsid w:val="006245D2"/>
    <w:rsid w:val="006249EF"/>
    <w:rsid w:val="00624B13"/>
    <w:rsid w:val="00624C1A"/>
    <w:rsid w:val="00624F57"/>
    <w:rsid w:val="00624FEF"/>
    <w:rsid w:val="006253D2"/>
    <w:rsid w:val="006255DC"/>
    <w:rsid w:val="006259FC"/>
    <w:rsid w:val="00625ACF"/>
    <w:rsid w:val="00625F34"/>
    <w:rsid w:val="006268ED"/>
    <w:rsid w:val="006270A7"/>
    <w:rsid w:val="00627699"/>
    <w:rsid w:val="00630077"/>
    <w:rsid w:val="006304C7"/>
    <w:rsid w:val="0063053E"/>
    <w:rsid w:val="00630BFF"/>
    <w:rsid w:val="00631589"/>
    <w:rsid w:val="006317D7"/>
    <w:rsid w:val="006318B0"/>
    <w:rsid w:val="00631F79"/>
    <w:rsid w:val="006321A0"/>
    <w:rsid w:val="0063259C"/>
    <w:rsid w:val="006325DD"/>
    <w:rsid w:val="00633895"/>
    <w:rsid w:val="00633AE7"/>
    <w:rsid w:val="006343A5"/>
    <w:rsid w:val="006349E3"/>
    <w:rsid w:val="00634C17"/>
    <w:rsid w:val="00634C4D"/>
    <w:rsid w:val="00635214"/>
    <w:rsid w:val="0063525B"/>
    <w:rsid w:val="0063590A"/>
    <w:rsid w:val="00635AAB"/>
    <w:rsid w:val="00635F30"/>
    <w:rsid w:val="00636849"/>
    <w:rsid w:val="006369A1"/>
    <w:rsid w:val="00637090"/>
    <w:rsid w:val="00637AC0"/>
    <w:rsid w:val="00637B26"/>
    <w:rsid w:val="00637FC9"/>
    <w:rsid w:val="00640381"/>
    <w:rsid w:val="006406FD"/>
    <w:rsid w:val="00640754"/>
    <w:rsid w:val="00640BA9"/>
    <w:rsid w:val="00640F9B"/>
    <w:rsid w:val="0064142C"/>
    <w:rsid w:val="0064160C"/>
    <w:rsid w:val="00641C8D"/>
    <w:rsid w:val="006427CC"/>
    <w:rsid w:val="006428F7"/>
    <w:rsid w:val="00642F25"/>
    <w:rsid w:val="006431F5"/>
    <w:rsid w:val="00643CEB"/>
    <w:rsid w:val="00643DC6"/>
    <w:rsid w:val="00644A76"/>
    <w:rsid w:val="00644F2C"/>
    <w:rsid w:val="0064507B"/>
    <w:rsid w:val="006451EB"/>
    <w:rsid w:val="006452C9"/>
    <w:rsid w:val="00645748"/>
    <w:rsid w:val="00645FF3"/>
    <w:rsid w:val="006467FA"/>
    <w:rsid w:val="0064762C"/>
    <w:rsid w:val="0064778A"/>
    <w:rsid w:val="00647818"/>
    <w:rsid w:val="00650551"/>
    <w:rsid w:val="00650A6E"/>
    <w:rsid w:val="00650BDD"/>
    <w:rsid w:val="00650F49"/>
    <w:rsid w:val="00651775"/>
    <w:rsid w:val="006518CB"/>
    <w:rsid w:val="006518E6"/>
    <w:rsid w:val="00651FC3"/>
    <w:rsid w:val="00652320"/>
    <w:rsid w:val="0065289B"/>
    <w:rsid w:val="006528D4"/>
    <w:rsid w:val="0065290D"/>
    <w:rsid w:val="00652A1A"/>
    <w:rsid w:val="00652C72"/>
    <w:rsid w:val="0065305B"/>
    <w:rsid w:val="006532E8"/>
    <w:rsid w:val="00653429"/>
    <w:rsid w:val="006537AC"/>
    <w:rsid w:val="00653DB8"/>
    <w:rsid w:val="00654410"/>
    <w:rsid w:val="006546DE"/>
    <w:rsid w:val="00654A3B"/>
    <w:rsid w:val="0065548E"/>
    <w:rsid w:val="006554AA"/>
    <w:rsid w:val="00655647"/>
    <w:rsid w:val="0065578E"/>
    <w:rsid w:val="00656094"/>
    <w:rsid w:val="006564C4"/>
    <w:rsid w:val="00656DF1"/>
    <w:rsid w:val="006573E4"/>
    <w:rsid w:val="00657451"/>
    <w:rsid w:val="0065777A"/>
    <w:rsid w:val="006579D1"/>
    <w:rsid w:val="00660A73"/>
    <w:rsid w:val="00660A8A"/>
    <w:rsid w:val="00660C16"/>
    <w:rsid w:val="00661284"/>
    <w:rsid w:val="006612B1"/>
    <w:rsid w:val="00661659"/>
    <w:rsid w:val="00661A75"/>
    <w:rsid w:val="0066208F"/>
    <w:rsid w:val="006623D7"/>
    <w:rsid w:val="00662538"/>
    <w:rsid w:val="00662608"/>
    <w:rsid w:val="00663893"/>
    <w:rsid w:val="00663DF5"/>
    <w:rsid w:val="00664113"/>
    <w:rsid w:val="00664422"/>
    <w:rsid w:val="00664452"/>
    <w:rsid w:val="00665632"/>
    <w:rsid w:val="006659DE"/>
    <w:rsid w:val="00666374"/>
    <w:rsid w:val="0066645F"/>
    <w:rsid w:val="006665BC"/>
    <w:rsid w:val="00666949"/>
    <w:rsid w:val="00667A68"/>
    <w:rsid w:val="0067021A"/>
    <w:rsid w:val="00670540"/>
    <w:rsid w:val="00670AAF"/>
    <w:rsid w:val="00671717"/>
    <w:rsid w:val="0067222F"/>
    <w:rsid w:val="006724CA"/>
    <w:rsid w:val="00672889"/>
    <w:rsid w:val="00673CA3"/>
    <w:rsid w:val="0067406B"/>
    <w:rsid w:val="006746DC"/>
    <w:rsid w:val="00674F25"/>
    <w:rsid w:val="00675C5D"/>
    <w:rsid w:val="006760B0"/>
    <w:rsid w:val="00676677"/>
    <w:rsid w:val="00676B9A"/>
    <w:rsid w:val="00677392"/>
    <w:rsid w:val="0067757E"/>
    <w:rsid w:val="00677913"/>
    <w:rsid w:val="00677BA3"/>
    <w:rsid w:val="00677C3B"/>
    <w:rsid w:val="00680037"/>
    <w:rsid w:val="00680046"/>
    <w:rsid w:val="0068023F"/>
    <w:rsid w:val="0068077B"/>
    <w:rsid w:val="0068077C"/>
    <w:rsid w:val="0068243C"/>
    <w:rsid w:val="00682D73"/>
    <w:rsid w:val="00683641"/>
    <w:rsid w:val="006836A0"/>
    <w:rsid w:val="00683898"/>
    <w:rsid w:val="00684651"/>
    <w:rsid w:val="0068470C"/>
    <w:rsid w:val="006847C0"/>
    <w:rsid w:val="00684950"/>
    <w:rsid w:val="00684E5F"/>
    <w:rsid w:val="00684ED7"/>
    <w:rsid w:val="0068570D"/>
    <w:rsid w:val="006857A3"/>
    <w:rsid w:val="00685FBA"/>
    <w:rsid w:val="0068651F"/>
    <w:rsid w:val="0068694F"/>
    <w:rsid w:val="006869E8"/>
    <w:rsid w:val="00686D80"/>
    <w:rsid w:val="006874A6"/>
    <w:rsid w:val="00687BF5"/>
    <w:rsid w:val="00687CD7"/>
    <w:rsid w:val="00690268"/>
    <w:rsid w:val="006905FC"/>
    <w:rsid w:val="00690C16"/>
    <w:rsid w:val="00690FAF"/>
    <w:rsid w:val="00691307"/>
    <w:rsid w:val="00692040"/>
    <w:rsid w:val="00692757"/>
    <w:rsid w:val="00692B39"/>
    <w:rsid w:val="00692D6B"/>
    <w:rsid w:val="00692EA3"/>
    <w:rsid w:val="0069341F"/>
    <w:rsid w:val="006938D4"/>
    <w:rsid w:val="00693A96"/>
    <w:rsid w:val="00693B23"/>
    <w:rsid w:val="00693FC4"/>
    <w:rsid w:val="00693FE4"/>
    <w:rsid w:val="0069411F"/>
    <w:rsid w:val="0069468A"/>
    <w:rsid w:val="0069475C"/>
    <w:rsid w:val="0069540C"/>
    <w:rsid w:val="006956AB"/>
    <w:rsid w:val="00695B84"/>
    <w:rsid w:val="00695F40"/>
    <w:rsid w:val="00696691"/>
    <w:rsid w:val="006969BD"/>
    <w:rsid w:val="00697CCC"/>
    <w:rsid w:val="006A05AF"/>
    <w:rsid w:val="006A0826"/>
    <w:rsid w:val="006A08FC"/>
    <w:rsid w:val="006A0B19"/>
    <w:rsid w:val="006A15F7"/>
    <w:rsid w:val="006A237B"/>
    <w:rsid w:val="006A2B07"/>
    <w:rsid w:val="006A2E48"/>
    <w:rsid w:val="006A2FCC"/>
    <w:rsid w:val="006A3267"/>
    <w:rsid w:val="006A3402"/>
    <w:rsid w:val="006A3765"/>
    <w:rsid w:val="006A3A89"/>
    <w:rsid w:val="006A3C6E"/>
    <w:rsid w:val="006A3DFA"/>
    <w:rsid w:val="006A3F73"/>
    <w:rsid w:val="006A49A0"/>
    <w:rsid w:val="006A4B7A"/>
    <w:rsid w:val="006A52B7"/>
    <w:rsid w:val="006A54CC"/>
    <w:rsid w:val="006A563C"/>
    <w:rsid w:val="006A57B5"/>
    <w:rsid w:val="006A5925"/>
    <w:rsid w:val="006A5D76"/>
    <w:rsid w:val="006A6706"/>
    <w:rsid w:val="006A671A"/>
    <w:rsid w:val="006A680F"/>
    <w:rsid w:val="006A6A33"/>
    <w:rsid w:val="006A6ACF"/>
    <w:rsid w:val="006A6FC9"/>
    <w:rsid w:val="006A701F"/>
    <w:rsid w:val="006A7145"/>
    <w:rsid w:val="006A7303"/>
    <w:rsid w:val="006A7AC7"/>
    <w:rsid w:val="006A7BBA"/>
    <w:rsid w:val="006B0338"/>
    <w:rsid w:val="006B0436"/>
    <w:rsid w:val="006B0969"/>
    <w:rsid w:val="006B10F2"/>
    <w:rsid w:val="006B16C8"/>
    <w:rsid w:val="006B1B3F"/>
    <w:rsid w:val="006B1C75"/>
    <w:rsid w:val="006B262D"/>
    <w:rsid w:val="006B2E3B"/>
    <w:rsid w:val="006B2E55"/>
    <w:rsid w:val="006B2F79"/>
    <w:rsid w:val="006B3097"/>
    <w:rsid w:val="006B319A"/>
    <w:rsid w:val="006B380B"/>
    <w:rsid w:val="006B3990"/>
    <w:rsid w:val="006B3D0E"/>
    <w:rsid w:val="006B4094"/>
    <w:rsid w:val="006B41E3"/>
    <w:rsid w:val="006B422B"/>
    <w:rsid w:val="006B4446"/>
    <w:rsid w:val="006B4793"/>
    <w:rsid w:val="006B50F0"/>
    <w:rsid w:val="006B51BF"/>
    <w:rsid w:val="006B583E"/>
    <w:rsid w:val="006B7268"/>
    <w:rsid w:val="006B72F9"/>
    <w:rsid w:val="006B77F3"/>
    <w:rsid w:val="006C03C0"/>
    <w:rsid w:val="006C1803"/>
    <w:rsid w:val="006C1834"/>
    <w:rsid w:val="006C1D7A"/>
    <w:rsid w:val="006C1DAA"/>
    <w:rsid w:val="006C1EF4"/>
    <w:rsid w:val="006C29D4"/>
    <w:rsid w:val="006C2B44"/>
    <w:rsid w:val="006C2C89"/>
    <w:rsid w:val="006C2DF8"/>
    <w:rsid w:val="006C2FE2"/>
    <w:rsid w:val="006C372C"/>
    <w:rsid w:val="006C37AD"/>
    <w:rsid w:val="006C4304"/>
    <w:rsid w:val="006C46F5"/>
    <w:rsid w:val="006C4DCB"/>
    <w:rsid w:val="006C590F"/>
    <w:rsid w:val="006C5C8F"/>
    <w:rsid w:val="006C605E"/>
    <w:rsid w:val="006C6B7A"/>
    <w:rsid w:val="006C6E04"/>
    <w:rsid w:val="006C71DF"/>
    <w:rsid w:val="006C7374"/>
    <w:rsid w:val="006C75B0"/>
    <w:rsid w:val="006C7956"/>
    <w:rsid w:val="006C7B4C"/>
    <w:rsid w:val="006C7CF2"/>
    <w:rsid w:val="006D0679"/>
    <w:rsid w:val="006D0A1A"/>
    <w:rsid w:val="006D0BA3"/>
    <w:rsid w:val="006D122F"/>
    <w:rsid w:val="006D15CE"/>
    <w:rsid w:val="006D24E7"/>
    <w:rsid w:val="006D33D8"/>
    <w:rsid w:val="006D358F"/>
    <w:rsid w:val="006D35E8"/>
    <w:rsid w:val="006D3C89"/>
    <w:rsid w:val="006D3E93"/>
    <w:rsid w:val="006D4130"/>
    <w:rsid w:val="006D43ED"/>
    <w:rsid w:val="006D4459"/>
    <w:rsid w:val="006D475B"/>
    <w:rsid w:val="006D4A7A"/>
    <w:rsid w:val="006D52B9"/>
    <w:rsid w:val="006D53C6"/>
    <w:rsid w:val="006D5635"/>
    <w:rsid w:val="006D5709"/>
    <w:rsid w:val="006D580C"/>
    <w:rsid w:val="006D59C8"/>
    <w:rsid w:val="006D6207"/>
    <w:rsid w:val="006D6F23"/>
    <w:rsid w:val="006D7015"/>
    <w:rsid w:val="006D704F"/>
    <w:rsid w:val="006D722C"/>
    <w:rsid w:val="006D73B8"/>
    <w:rsid w:val="006D745E"/>
    <w:rsid w:val="006D7574"/>
    <w:rsid w:val="006D7770"/>
    <w:rsid w:val="006E01B7"/>
    <w:rsid w:val="006E0AA0"/>
    <w:rsid w:val="006E0C05"/>
    <w:rsid w:val="006E0C9E"/>
    <w:rsid w:val="006E0D18"/>
    <w:rsid w:val="006E1045"/>
    <w:rsid w:val="006E10F4"/>
    <w:rsid w:val="006E11FF"/>
    <w:rsid w:val="006E1C8C"/>
    <w:rsid w:val="006E1F6F"/>
    <w:rsid w:val="006E2006"/>
    <w:rsid w:val="006E2E8E"/>
    <w:rsid w:val="006E32AD"/>
    <w:rsid w:val="006E3CF6"/>
    <w:rsid w:val="006E3F63"/>
    <w:rsid w:val="006E45DE"/>
    <w:rsid w:val="006E4913"/>
    <w:rsid w:val="006E533F"/>
    <w:rsid w:val="006E6E52"/>
    <w:rsid w:val="006E7C26"/>
    <w:rsid w:val="006E7EA2"/>
    <w:rsid w:val="006F01B1"/>
    <w:rsid w:val="006F06A9"/>
    <w:rsid w:val="006F08B6"/>
    <w:rsid w:val="006F0AB7"/>
    <w:rsid w:val="006F0AE4"/>
    <w:rsid w:val="006F0DBD"/>
    <w:rsid w:val="006F154F"/>
    <w:rsid w:val="006F1755"/>
    <w:rsid w:val="006F17C8"/>
    <w:rsid w:val="006F1A0A"/>
    <w:rsid w:val="006F1C8E"/>
    <w:rsid w:val="006F238F"/>
    <w:rsid w:val="006F23F5"/>
    <w:rsid w:val="006F29D7"/>
    <w:rsid w:val="006F2A0E"/>
    <w:rsid w:val="006F3920"/>
    <w:rsid w:val="006F3AA0"/>
    <w:rsid w:val="006F4955"/>
    <w:rsid w:val="006F4A18"/>
    <w:rsid w:val="006F4C6D"/>
    <w:rsid w:val="006F4E04"/>
    <w:rsid w:val="006F4EBC"/>
    <w:rsid w:val="006F528D"/>
    <w:rsid w:val="006F5BA6"/>
    <w:rsid w:val="006F6135"/>
    <w:rsid w:val="006F656F"/>
    <w:rsid w:val="006F6AC9"/>
    <w:rsid w:val="006F6CF5"/>
    <w:rsid w:val="006F6D96"/>
    <w:rsid w:val="006F6EDE"/>
    <w:rsid w:val="006F6F49"/>
    <w:rsid w:val="006F6FAF"/>
    <w:rsid w:val="006F71B8"/>
    <w:rsid w:val="006F74F9"/>
    <w:rsid w:val="006F7C62"/>
    <w:rsid w:val="006F7FB1"/>
    <w:rsid w:val="0070049C"/>
    <w:rsid w:val="00700D22"/>
    <w:rsid w:val="00700EB9"/>
    <w:rsid w:val="00700FBB"/>
    <w:rsid w:val="00701415"/>
    <w:rsid w:val="0070169B"/>
    <w:rsid w:val="00701730"/>
    <w:rsid w:val="007017E4"/>
    <w:rsid w:val="007018F2"/>
    <w:rsid w:val="00701B28"/>
    <w:rsid w:val="007023BC"/>
    <w:rsid w:val="00702A4B"/>
    <w:rsid w:val="00703060"/>
    <w:rsid w:val="00703724"/>
    <w:rsid w:val="007037C1"/>
    <w:rsid w:val="007037DC"/>
    <w:rsid w:val="00703A49"/>
    <w:rsid w:val="00703B03"/>
    <w:rsid w:val="00703B2B"/>
    <w:rsid w:val="00703F76"/>
    <w:rsid w:val="00704851"/>
    <w:rsid w:val="00704AFF"/>
    <w:rsid w:val="00704F41"/>
    <w:rsid w:val="00705386"/>
    <w:rsid w:val="0070555D"/>
    <w:rsid w:val="00705DE5"/>
    <w:rsid w:val="0070602E"/>
    <w:rsid w:val="007066DF"/>
    <w:rsid w:val="00706888"/>
    <w:rsid w:val="00706B09"/>
    <w:rsid w:val="00706CC6"/>
    <w:rsid w:val="0070708D"/>
    <w:rsid w:val="00707251"/>
    <w:rsid w:val="00707904"/>
    <w:rsid w:val="00707949"/>
    <w:rsid w:val="00707B21"/>
    <w:rsid w:val="00707ED6"/>
    <w:rsid w:val="007103B9"/>
    <w:rsid w:val="00710559"/>
    <w:rsid w:val="007107EB"/>
    <w:rsid w:val="00710917"/>
    <w:rsid w:val="00710CD1"/>
    <w:rsid w:val="0071106F"/>
    <w:rsid w:val="0071119A"/>
    <w:rsid w:val="00711678"/>
    <w:rsid w:val="00711D6E"/>
    <w:rsid w:val="00712036"/>
    <w:rsid w:val="007122A8"/>
    <w:rsid w:val="00712CEC"/>
    <w:rsid w:val="00712EE5"/>
    <w:rsid w:val="0071321A"/>
    <w:rsid w:val="00714582"/>
    <w:rsid w:val="0071467A"/>
    <w:rsid w:val="00714BFC"/>
    <w:rsid w:val="00714C4B"/>
    <w:rsid w:val="00714FCE"/>
    <w:rsid w:val="007153A3"/>
    <w:rsid w:val="007154CD"/>
    <w:rsid w:val="00715A66"/>
    <w:rsid w:val="00715E1E"/>
    <w:rsid w:val="007161B7"/>
    <w:rsid w:val="0071638D"/>
    <w:rsid w:val="00716651"/>
    <w:rsid w:val="007168E8"/>
    <w:rsid w:val="00716A1C"/>
    <w:rsid w:val="00716CB4"/>
    <w:rsid w:val="00716D9A"/>
    <w:rsid w:val="00716E9D"/>
    <w:rsid w:val="00716EE7"/>
    <w:rsid w:val="00717823"/>
    <w:rsid w:val="00717B6F"/>
    <w:rsid w:val="00717F08"/>
    <w:rsid w:val="00717F1E"/>
    <w:rsid w:val="00720B40"/>
    <w:rsid w:val="00720B9F"/>
    <w:rsid w:val="00720D40"/>
    <w:rsid w:val="00720D51"/>
    <w:rsid w:val="007214F5"/>
    <w:rsid w:val="007219F7"/>
    <w:rsid w:val="00721A5C"/>
    <w:rsid w:val="00721DD9"/>
    <w:rsid w:val="0072233A"/>
    <w:rsid w:val="007224BF"/>
    <w:rsid w:val="00722877"/>
    <w:rsid w:val="00722D66"/>
    <w:rsid w:val="007232B0"/>
    <w:rsid w:val="00723919"/>
    <w:rsid w:val="00723A06"/>
    <w:rsid w:val="00723D65"/>
    <w:rsid w:val="00723E27"/>
    <w:rsid w:val="00723E34"/>
    <w:rsid w:val="00723E67"/>
    <w:rsid w:val="0072412C"/>
    <w:rsid w:val="0072436C"/>
    <w:rsid w:val="00724455"/>
    <w:rsid w:val="007246CE"/>
    <w:rsid w:val="007257CB"/>
    <w:rsid w:val="00725EE5"/>
    <w:rsid w:val="00726197"/>
    <w:rsid w:val="00726B82"/>
    <w:rsid w:val="00727092"/>
    <w:rsid w:val="00727202"/>
    <w:rsid w:val="0072754A"/>
    <w:rsid w:val="00727678"/>
    <w:rsid w:val="00727906"/>
    <w:rsid w:val="007279E5"/>
    <w:rsid w:val="00727AC3"/>
    <w:rsid w:val="00727B0A"/>
    <w:rsid w:val="0073096C"/>
    <w:rsid w:val="00730BEB"/>
    <w:rsid w:val="00730C85"/>
    <w:rsid w:val="0073136B"/>
    <w:rsid w:val="007314D1"/>
    <w:rsid w:val="007318A7"/>
    <w:rsid w:val="00731D60"/>
    <w:rsid w:val="007320E1"/>
    <w:rsid w:val="00732AAB"/>
    <w:rsid w:val="00732E73"/>
    <w:rsid w:val="007331A9"/>
    <w:rsid w:val="0073382A"/>
    <w:rsid w:val="007342B8"/>
    <w:rsid w:val="007349B5"/>
    <w:rsid w:val="00734A5C"/>
    <w:rsid w:val="00734CD7"/>
    <w:rsid w:val="00735065"/>
    <w:rsid w:val="007350FC"/>
    <w:rsid w:val="0073557B"/>
    <w:rsid w:val="00736377"/>
    <w:rsid w:val="007376C0"/>
    <w:rsid w:val="00737B26"/>
    <w:rsid w:val="00740082"/>
    <w:rsid w:val="00740EC9"/>
    <w:rsid w:val="00740EEA"/>
    <w:rsid w:val="00741707"/>
    <w:rsid w:val="007419F3"/>
    <w:rsid w:val="00741A21"/>
    <w:rsid w:val="00741ED8"/>
    <w:rsid w:val="00741F2F"/>
    <w:rsid w:val="00742014"/>
    <w:rsid w:val="00742268"/>
    <w:rsid w:val="007424D5"/>
    <w:rsid w:val="007425E2"/>
    <w:rsid w:val="0074346F"/>
    <w:rsid w:val="00743E96"/>
    <w:rsid w:val="00744F39"/>
    <w:rsid w:val="00744F3F"/>
    <w:rsid w:val="007455DE"/>
    <w:rsid w:val="00745604"/>
    <w:rsid w:val="00745914"/>
    <w:rsid w:val="00745950"/>
    <w:rsid w:val="00745A92"/>
    <w:rsid w:val="00745D08"/>
    <w:rsid w:val="007464DC"/>
    <w:rsid w:val="00746704"/>
    <w:rsid w:val="00746CC7"/>
    <w:rsid w:val="007470FF"/>
    <w:rsid w:val="00750325"/>
    <w:rsid w:val="00750432"/>
    <w:rsid w:val="00750455"/>
    <w:rsid w:val="00750AE2"/>
    <w:rsid w:val="00750C6A"/>
    <w:rsid w:val="00750D31"/>
    <w:rsid w:val="007511BD"/>
    <w:rsid w:val="007513AD"/>
    <w:rsid w:val="007517D6"/>
    <w:rsid w:val="007520CC"/>
    <w:rsid w:val="00752190"/>
    <w:rsid w:val="007521C1"/>
    <w:rsid w:val="007526B8"/>
    <w:rsid w:val="007529C0"/>
    <w:rsid w:val="007531C3"/>
    <w:rsid w:val="007531DA"/>
    <w:rsid w:val="00753241"/>
    <w:rsid w:val="0075376F"/>
    <w:rsid w:val="00753D30"/>
    <w:rsid w:val="00753EC3"/>
    <w:rsid w:val="00753F94"/>
    <w:rsid w:val="00754429"/>
    <w:rsid w:val="007547FD"/>
    <w:rsid w:val="00754819"/>
    <w:rsid w:val="007550F3"/>
    <w:rsid w:val="00755192"/>
    <w:rsid w:val="007551E9"/>
    <w:rsid w:val="0075563F"/>
    <w:rsid w:val="007561C8"/>
    <w:rsid w:val="007564F7"/>
    <w:rsid w:val="007566FB"/>
    <w:rsid w:val="007568D6"/>
    <w:rsid w:val="007571E8"/>
    <w:rsid w:val="007577F9"/>
    <w:rsid w:val="007578AB"/>
    <w:rsid w:val="00757ACF"/>
    <w:rsid w:val="00757AFB"/>
    <w:rsid w:val="00757E8F"/>
    <w:rsid w:val="00760455"/>
    <w:rsid w:val="007604C0"/>
    <w:rsid w:val="00760591"/>
    <w:rsid w:val="00760AF2"/>
    <w:rsid w:val="00760CEB"/>
    <w:rsid w:val="00761018"/>
    <w:rsid w:val="00761024"/>
    <w:rsid w:val="00761438"/>
    <w:rsid w:val="007616EC"/>
    <w:rsid w:val="00761ACA"/>
    <w:rsid w:val="00761C52"/>
    <w:rsid w:val="0076233B"/>
    <w:rsid w:val="007627DB"/>
    <w:rsid w:val="00762D6E"/>
    <w:rsid w:val="00762EDB"/>
    <w:rsid w:val="00763084"/>
    <w:rsid w:val="00763499"/>
    <w:rsid w:val="00764841"/>
    <w:rsid w:val="00764979"/>
    <w:rsid w:val="00765067"/>
    <w:rsid w:val="007651AD"/>
    <w:rsid w:val="00765519"/>
    <w:rsid w:val="00765D14"/>
    <w:rsid w:val="00766087"/>
    <w:rsid w:val="0076649D"/>
    <w:rsid w:val="00766542"/>
    <w:rsid w:val="0076661B"/>
    <w:rsid w:val="00766881"/>
    <w:rsid w:val="007668E4"/>
    <w:rsid w:val="007669A7"/>
    <w:rsid w:val="00767A98"/>
    <w:rsid w:val="00767D0A"/>
    <w:rsid w:val="00767DCC"/>
    <w:rsid w:val="007700CF"/>
    <w:rsid w:val="0077087F"/>
    <w:rsid w:val="00770BD0"/>
    <w:rsid w:val="00770F48"/>
    <w:rsid w:val="007713F0"/>
    <w:rsid w:val="0077192A"/>
    <w:rsid w:val="00771BEC"/>
    <w:rsid w:val="00771BEF"/>
    <w:rsid w:val="00772B4E"/>
    <w:rsid w:val="00772B53"/>
    <w:rsid w:val="00772E1F"/>
    <w:rsid w:val="00773083"/>
    <w:rsid w:val="0077309F"/>
    <w:rsid w:val="0077340F"/>
    <w:rsid w:val="00773B99"/>
    <w:rsid w:val="00773F9A"/>
    <w:rsid w:val="007743DF"/>
    <w:rsid w:val="00774496"/>
    <w:rsid w:val="007744BB"/>
    <w:rsid w:val="00774660"/>
    <w:rsid w:val="007746C7"/>
    <w:rsid w:val="00774708"/>
    <w:rsid w:val="00775128"/>
    <w:rsid w:val="00775131"/>
    <w:rsid w:val="00775B14"/>
    <w:rsid w:val="00776268"/>
    <w:rsid w:val="0077640C"/>
    <w:rsid w:val="00776AAD"/>
    <w:rsid w:val="00776D0B"/>
    <w:rsid w:val="00776EEA"/>
    <w:rsid w:val="00777447"/>
    <w:rsid w:val="0077784A"/>
    <w:rsid w:val="00777A6C"/>
    <w:rsid w:val="00777C88"/>
    <w:rsid w:val="00777E5F"/>
    <w:rsid w:val="00777F17"/>
    <w:rsid w:val="0078058C"/>
    <w:rsid w:val="0078092D"/>
    <w:rsid w:val="00780C52"/>
    <w:rsid w:val="007810D6"/>
    <w:rsid w:val="00781AD9"/>
    <w:rsid w:val="00781DA7"/>
    <w:rsid w:val="00782020"/>
    <w:rsid w:val="007821BD"/>
    <w:rsid w:val="00782B24"/>
    <w:rsid w:val="00782BAE"/>
    <w:rsid w:val="00782C00"/>
    <w:rsid w:val="00782C3F"/>
    <w:rsid w:val="00782EB2"/>
    <w:rsid w:val="007836EF"/>
    <w:rsid w:val="00783773"/>
    <w:rsid w:val="00783967"/>
    <w:rsid w:val="007839A4"/>
    <w:rsid w:val="00783E3E"/>
    <w:rsid w:val="007841DE"/>
    <w:rsid w:val="00784ADE"/>
    <w:rsid w:val="00784D81"/>
    <w:rsid w:val="00784FD2"/>
    <w:rsid w:val="00785200"/>
    <w:rsid w:val="0078563C"/>
    <w:rsid w:val="00785702"/>
    <w:rsid w:val="0078576C"/>
    <w:rsid w:val="007857A0"/>
    <w:rsid w:val="00785D7D"/>
    <w:rsid w:val="00785F5C"/>
    <w:rsid w:val="00786966"/>
    <w:rsid w:val="00786ED6"/>
    <w:rsid w:val="00787135"/>
    <w:rsid w:val="007874D6"/>
    <w:rsid w:val="007876B6"/>
    <w:rsid w:val="0079094F"/>
    <w:rsid w:val="00790B30"/>
    <w:rsid w:val="00790B69"/>
    <w:rsid w:val="0079162D"/>
    <w:rsid w:val="0079216B"/>
    <w:rsid w:val="00792D1D"/>
    <w:rsid w:val="00792ED5"/>
    <w:rsid w:val="00793023"/>
    <w:rsid w:val="0079329B"/>
    <w:rsid w:val="00793B9F"/>
    <w:rsid w:val="00794013"/>
    <w:rsid w:val="007940FB"/>
    <w:rsid w:val="00794312"/>
    <w:rsid w:val="00794975"/>
    <w:rsid w:val="00794AC3"/>
    <w:rsid w:val="007954A2"/>
    <w:rsid w:val="007955F7"/>
    <w:rsid w:val="007959DE"/>
    <w:rsid w:val="0079630D"/>
    <w:rsid w:val="0079750E"/>
    <w:rsid w:val="007975EA"/>
    <w:rsid w:val="007975EB"/>
    <w:rsid w:val="007976F0"/>
    <w:rsid w:val="00797FC8"/>
    <w:rsid w:val="00797FE8"/>
    <w:rsid w:val="007A05CA"/>
    <w:rsid w:val="007A0815"/>
    <w:rsid w:val="007A0E66"/>
    <w:rsid w:val="007A10CA"/>
    <w:rsid w:val="007A112C"/>
    <w:rsid w:val="007A12FF"/>
    <w:rsid w:val="007A139D"/>
    <w:rsid w:val="007A13CE"/>
    <w:rsid w:val="007A1A2B"/>
    <w:rsid w:val="007A1D8B"/>
    <w:rsid w:val="007A1FFF"/>
    <w:rsid w:val="007A2028"/>
    <w:rsid w:val="007A21EF"/>
    <w:rsid w:val="007A2555"/>
    <w:rsid w:val="007A2750"/>
    <w:rsid w:val="007A28BB"/>
    <w:rsid w:val="007A294B"/>
    <w:rsid w:val="007A302D"/>
    <w:rsid w:val="007A3B83"/>
    <w:rsid w:val="007A3F08"/>
    <w:rsid w:val="007A42A2"/>
    <w:rsid w:val="007A45E0"/>
    <w:rsid w:val="007A45F4"/>
    <w:rsid w:val="007A4825"/>
    <w:rsid w:val="007A4C5A"/>
    <w:rsid w:val="007A50E2"/>
    <w:rsid w:val="007A5A32"/>
    <w:rsid w:val="007A602B"/>
    <w:rsid w:val="007A66D6"/>
    <w:rsid w:val="007A6A6F"/>
    <w:rsid w:val="007A6C8E"/>
    <w:rsid w:val="007A6E35"/>
    <w:rsid w:val="007A73B6"/>
    <w:rsid w:val="007A73E8"/>
    <w:rsid w:val="007A78B1"/>
    <w:rsid w:val="007A792D"/>
    <w:rsid w:val="007A7DE2"/>
    <w:rsid w:val="007B0280"/>
    <w:rsid w:val="007B079B"/>
    <w:rsid w:val="007B08FD"/>
    <w:rsid w:val="007B0939"/>
    <w:rsid w:val="007B0AB3"/>
    <w:rsid w:val="007B0CDD"/>
    <w:rsid w:val="007B0DEF"/>
    <w:rsid w:val="007B121F"/>
    <w:rsid w:val="007B154D"/>
    <w:rsid w:val="007B178B"/>
    <w:rsid w:val="007B17BC"/>
    <w:rsid w:val="007B1AD5"/>
    <w:rsid w:val="007B1FA5"/>
    <w:rsid w:val="007B289E"/>
    <w:rsid w:val="007B2BA2"/>
    <w:rsid w:val="007B314A"/>
    <w:rsid w:val="007B316C"/>
    <w:rsid w:val="007B3367"/>
    <w:rsid w:val="007B3550"/>
    <w:rsid w:val="007B3F10"/>
    <w:rsid w:val="007B49BB"/>
    <w:rsid w:val="007B4B03"/>
    <w:rsid w:val="007B4BF8"/>
    <w:rsid w:val="007B4D37"/>
    <w:rsid w:val="007B56A1"/>
    <w:rsid w:val="007B5960"/>
    <w:rsid w:val="007B5AF0"/>
    <w:rsid w:val="007B5BA4"/>
    <w:rsid w:val="007B5BD1"/>
    <w:rsid w:val="007B5F03"/>
    <w:rsid w:val="007B64E2"/>
    <w:rsid w:val="007B6637"/>
    <w:rsid w:val="007B6728"/>
    <w:rsid w:val="007B7091"/>
    <w:rsid w:val="007B72BE"/>
    <w:rsid w:val="007B76D4"/>
    <w:rsid w:val="007B7ACE"/>
    <w:rsid w:val="007B7B1D"/>
    <w:rsid w:val="007B7D85"/>
    <w:rsid w:val="007B7E38"/>
    <w:rsid w:val="007C0123"/>
    <w:rsid w:val="007C0660"/>
    <w:rsid w:val="007C0E02"/>
    <w:rsid w:val="007C1315"/>
    <w:rsid w:val="007C186D"/>
    <w:rsid w:val="007C1D12"/>
    <w:rsid w:val="007C26E8"/>
    <w:rsid w:val="007C3DBB"/>
    <w:rsid w:val="007C3E5B"/>
    <w:rsid w:val="007C46EA"/>
    <w:rsid w:val="007C4E30"/>
    <w:rsid w:val="007C50DE"/>
    <w:rsid w:val="007C533C"/>
    <w:rsid w:val="007C5552"/>
    <w:rsid w:val="007C56F2"/>
    <w:rsid w:val="007C5C4F"/>
    <w:rsid w:val="007C5DA4"/>
    <w:rsid w:val="007C6285"/>
    <w:rsid w:val="007C6C03"/>
    <w:rsid w:val="007C6E51"/>
    <w:rsid w:val="007C7367"/>
    <w:rsid w:val="007C7422"/>
    <w:rsid w:val="007C76D2"/>
    <w:rsid w:val="007C794A"/>
    <w:rsid w:val="007C7BA7"/>
    <w:rsid w:val="007C7BF0"/>
    <w:rsid w:val="007C7D7A"/>
    <w:rsid w:val="007D0F58"/>
    <w:rsid w:val="007D13C7"/>
    <w:rsid w:val="007D1443"/>
    <w:rsid w:val="007D1645"/>
    <w:rsid w:val="007D167B"/>
    <w:rsid w:val="007D1807"/>
    <w:rsid w:val="007D1893"/>
    <w:rsid w:val="007D1E18"/>
    <w:rsid w:val="007D3349"/>
    <w:rsid w:val="007D3F1A"/>
    <w:rsid w:val="007D4826"/>
    <w:rsid w:val="007D49DE"/>
    <w:rsid w:val="007D4ADF"/>
    <w:rsid w:val="007D4E66"/>
    <w:rsid w:val="007D5415"/>
    <w:rsid w:val="007D596D"/>
    <w:rsid w:val="007D5C09"/>
    <w:rsid w:val="007D679B"/>
    <w:rsid w:val="007D6DCF"/>
    <w:rsid w:val="007D78A5"/>
    <w:rsid w:val="007D79D3"/>
    <w:rsid w:val="007D7AE5"/>
    <w:rsid w:val="007D7C0D"/>
    <w:rsid w:val="007D7D10"/>
    <w:rsid w:val="007E0264"/>
    <w:rsid w:val="007E02CC"/>
    <w:rsid w:val="007E03A1"/>
    <w:rsid w:val="007E0434"/>
    <w:rsid w:val="007E0541"/>
    <w:rsid w:val="007E0A28"/>
    <w:rsid w:val="007E0B4D"/>
    <w:rsid w:val="007E0B82"/>
    <w:rsid w:val="007E0C0A"/>
    <w:rsid w:val="007E0DDF"/>
    <w:rsid w:val="007E0F59"/>
    <w:rsid w:val="007E1412"/>
    <w:rsid w:val="007E14EB"/>
    <w:rsid w:val="007E18FC"/>
    <w:rsid w:val="007E2841"/>
    <w:rsid w:val="007E2BD2"/>
    <w:rsid w:val="007E2CBA"/>
    <w:rsid w:val="007E34F8"/>
    <w:rsid w:val="007E3520"/>
    <w:rsid w:val="007E35C5"/>
    <w:rsid w:val="007E36AD"/>
    <w:rsid w:val="007E3A53"/>
    <w:rsid w:val="007E3F80"/>
    <w:rsid w:val="007E4056"/>
    <w:rsid w:val="007E4221"/>
    <w:rsid w:val="007E4D7D"/>
    <w:rsid w:val="007E4EF2"/>
    <w:rsid w:val="007E55C1"/>
    <w:rsid w:val="007E5B73"/>
    <w:rsid w:val="007E5E46"/>
    <w:rsid w:val="007E5FA5"/>
    <w:rsid w:val="007E64BB"/>
    <w:rsid w:val="007E665B"/>
    <w:rsid w:val="007E6823"/>
    <w:rsid w:val="007E6A86"/>
    <w:rsid w:val="007E6D09"/>
    <w:rsid w:val="007E6E90"/>
    <w:rsid w:val="007E7A4B"/>
    <w:rsid w:val="007E7F22"/>
    <w:rsid w:val="007F0000"/>
    <w:rsid w:val="007F04A4"/>
    <w:rsid w:val="007F07C7"/>
    <w:rsid w:val="007F0921"/>
    <w:rsid w:val="007F0A7D"/>
    <w:rsid w:val="007F0FA5"/>
    <w:rsid w:val="007F10FE"/>
    <w:rsid w:val="007F1475"/>
    <w:rsid w:val="007F17BB"/>
    <w:rsid w:val="007F19F1"/>
    <w:rsid w:val="007F1D52"/>
    <w:rsid w:val="007F28FC"/>
    <w:rsid w:val="007F2C62"/>
    <w:rsid w:val="007F2EB9"/>
    <w:rsid w:val="007F32FD"/>
    <w:rsid w:val="007F347A"/>
    <w:rsid w:val="007F393D"/>
    <w:rsid w:val="007F3B8D"/>
    <w:rsid w:val="007F3C96"/>
    <w:rsid w:val="007F3CED"/>
    <w:rsid w:val="007F4A5E"/>
    <w:rsid w:val="007F4AA2"/>
    <w:rsid w:val="007F4C55"/>
    <w:rsid w:val="007F4FBF"/>
    <w:rsid w:val="007F51C9"/>
    <w:rsid w:val="007F54F3"/>
    <w:rsid w:val="007F60C9"/>
    <w:rsid w:val="007F68E4"/>
    <w:rsid w:val="007F72B6"/>
    <w:rsid w:val="007F7595"/>
    <w:rsid w:val="007F7C95"/>
    <w:rsid w:val="007F7E32"/>
    <w:rsid w:val="007F7E9A"/>
    <w:rsid w:val="0080049B"/>
    <w:rsid w:val="00800643"/>
    <w:rsid w:val="0080067C"/>
    <w:rsid w:val="00800C86"/>
    <w:rsid w:val="00801111"/>
    <w:rsid w:val="00801137"/>
    <w:rsid w:val="00801319"/>
    <w:rsid w:val="0080148F"/>
    <w:rsid w:val="00801522"/>
    <w:rsid w:val="00801B3D"/>
    <w:rsid w:val="0080251D"/>
    <w:rsid w:val="00802809"/>
    <w:rsid w:val="00802882"/>
    <w:rsid w:val="00802C1E"/>
    <w:rsid w:val="00802E00"/>
    <w:rsid w:val="00802F2B"/>
    <w:rsid w:val="0080372D"/>
    <w:rsid w:val="00803A9A"/>
    <w:rsid w:val="00803F90"/>
    <w:rsid w:val="00804F92"/>
    <w:rsid w:val="00805485"/>
    <w:rsid w:val="00805655"/>
    <w:rsid w:val="0080692F"/>
    <w:rsid w:val="00806EFF"/>
    <w:rsid w:val="00807548"/>
    <w:rsid w:val="00807592"/>
    <w:rsid w:val="00807619"/>
    <w:rsid w:val="00807E8B"/>
    <w:rsid w:val="008101AD"/>
    <w:rsid w:val="00810230"/>
    <w:rsid w:val="0081133E"/>
    <w:rsid w:val="00811419"/>
    <w:rsid w:val="00811A6F"/>
    <w:rsid w:val="00812267"/>
    <w:rsid w:val="00812365"/>
    <w:rsid w:val="00812B04"/>
    <w:rsid w:val="00812C64"/>
    <w:rsid w:val="00812EF5"/>
    <w:rsid w:val="00813610"/>
    <w:rsid w:val="00813DE7"/>
    <w:rsid w:val="00814056"/>
    <w:rsid w:val="0081484D"/>
    <w:rsid w:val="00814E83"/>
    <w:rsid w:val="00815213"/>
    <w:rsid w:val="00815315"/>
    <w:rsid w:val="00815666"/>
    <w:rsid w:val="0081671D"/>
    <w:rsid w:val="00816885"/>
    <w:rsid w:val="008169C9"/>
    <w:rsid w:val="00816B7C"/>
    <w:rsid w:val="00820007"/>
    <w:rsid w:val="00820FAD"/>
    <w:rsid w:val="008211B4"/>
    <w:rsid w:val="00821205"/>
    <w:rsid w:val="00821AAC"/>
    <w:rsid w:val="008224DF"/>
    <w:rsid w:val="00822D53"/>
    <w:rsid w:val="00822D81"/>
    <w:rsid w:val="008230CD"/>
    <w:rsid w:val="008237CE"/>
    <w:rsid w:val="00823B5D"/>
    <w:rsid w:val="008241BE"/>
    <w:rsid w:val="0082438C"/>
    <w:rsid w:val="00824645"/>
    <w:rsid w:val="00824B2A"/>
    <w:rsid w:val="00825569"/>
    <w:rsid w:val="00825B9A"/>
    <w:rsid w:val="00826031"/>
    <w:rsid w:val="00826094"/>
    <w:rsid w:val="0082671F"/>
    <w:rsid w:val="00826ED2"/>
    <w:rsid w:val="00827404"/>
    <w:rsid w:val="00827619"/>
    <w:rsid w:val="00827A88"/>
    <w:rsid w:val="00827FBF"/>
    <w:rsid w:val="008302B1"/>
    <w:rsid w:val="0083039B"/>
    <w:rsid w:val="008303D0"/>
    <w:rsid w:val="008304C8"/>
    <w:rsid w:val="008305E9"/>
    <w:rsid w:val="00830DE4"/>
    <w:rsid w:val="00830E71"/>
    <w:rsid w:val="00830F29"/>
    <w:rsid w:val="00831002"/>
    <w:rsid w:val="00831349"/>
    <w:rsid w:val="00831395"/>
    <w:rsid w:val="00831B78"/>
    <w:rsid w:val="00831BFC"/>
    <w:rsid w:val="00831DC3"/>
    <w:rsid w:val="008328D7"/>
    <w:rsid w:val="008329DF"/>
    <w:rsid w:val="00832A31"/>
    <w:rsid w:val="00832BF5"/>
    <w:rsid w:val="00832D27"/>
    <w:rsid w:val="00833664"/>
    <w:rsid w:val="008341B0"/>
    <w:rsid w:val="008344E8"/>
    <w:rsid w:val="008355AB"/>
    <w:rsid w:val="0083570A"/>
    <w:rsid w:val="00835861"/>
    <w:rsid w:val="008358E6"/>
    <w:rsid w:val="00836C1E"/>
    <w:rsid w:val="008372BE"/>
    <w:rsid w:val="0084014B"/>
    <w:rsid w:val="008407D2"/>
    <w:rsid w:val="00841197"/>
    <w:rsid w:val="00841B86"/>
    <w:rsid w:val="00841D75"/>
    <w:rsid w:val="008429B6"/>
    <w:rsid w:val="00843046"/>
    <w:rsid w:val="00843122"/>
    <w:rsid w:val="008435C6"/>
    <w:rsid w:val="00843CFA"/>
    <w:rsid w:val="00843E3E"/>
    <w:rsid w:val="008448F9"/>
    <w:rsid w:val="008448FD"/>
    <w:rsid w:val="00844C24"/>
    <w:rsid w:val="008456EE"/>
    <w:rsid w:val="00845C22"/>
    <w:rsid w:val="00845EB1"/>
    <w:rsid w:val="008464FD"/>
    <w:rsid w:val="00846753"/>
    <w:rsid w:val="0084681A"/>
    <w:rsid w:val="008468F1"/>
    <w:rsid w:val="00846C24"/>
    <w:rsid w:val="00846FC9"/>
    <w:rsid w:val="008479A3"/>
    <w:rsid w:val="00847F68"/>
    <w:rsid w:val="008500EA"/>
    <w:rsid w:val="00850364"/>
    <w:rsid w:val="00850CDA"/>
    <w:rsid w:val="008510D7"/>
    <w:rsid w:val="008511EF"/>
    <w:rsid w:val="0085123C"/>
    <w:rsid w:val="008512B6"/>
    <w:rsid w:val="00851417"/>
    <w:rsid w:val="00851446"/>
    <w:rsid w:val="00851959"/>
    <w:rsid w:val="00851B2B"/>
    <w:rsid w:val="008521E0"/>
    <w:rsid w:val="008521FA"/>
    <w:rsid w:val="00852699"/>
    <w:rsid w:val="00852763"/>
    <w:rsid w:val="00852A6A"/>
    <w:rsid w:val="00852B53"/>
    <w:rsid w:val="00853386"/>
    <w:rsid w:val="00853399"/>
    <w:rsid w:val="00853A07"/>
    <w:rsid w:val="00854102"/>
    <w:rsid w:val="00854EE9"/>
    <w:rsid w:val="00855876"/>
    <w:rsid w:val="00855925"/>
    <w:rsid w:val="00855D7C"/>
    <w:rsid w:val="00855DF6"/>
    <w:rsid w:val="0085636B"/>
    <w:rsid w:val="00856684"/>
    <w:rsid w:val="008568AC"/>
    <w:rsid w:val="00856B58"/>
    <w:rsid w:val="00856DE5"/>
    <w:rsid w:val="008573F5"/>
    <w:rsid w:val="00857412"/>
    <w:rsid w:val="008574AA"/>
    <w:rsid w:val="00857CD1"/>
    <w:rsid w:val="00860452"/>
    <w:rsid w:val="008607F1"/>
    <w:rsid w:val="0086100F"/>
    <w:rsid w:val="00861268"/>
    <w:rsid w:val="00861C1A"/>
    <w:rsid w:val="00861D37"/>
    <w:rsid w:val="00861D4B"/>
    <w:rsid w:val="00862323"/>
    <w:rsid w:val="00862828"/>
    <w:rsid w:val="008631E4"/>
    <w:rsid w:val="008638EE"/>
    <w:rsid w:val="008639C3"/>
    <w:rsid w:val="00863A7E"/>
    <w:rsid w:val="00863C56"/>
    <w:rsid w:val="00863DCA"/>
    <w:rsid w:val="00863E84"/>
    <w:rsid w:val="00864741"/>
    <w:rsid w:val="008649DF"/>
    <w:rsid w:val="00864A95"/>
    <w:rsid w:val="008651A9"/>
    <w:rsid w:val="008658CC"/>
    <w:rsid w:val="008658D5"/>
    <w:rsid w:val="0086667A"/>
    <w:rsid w:val="00866B4B"/>
    <w:rsid w:val="00866BA0"/>
    <w:rsid w:val="00867246"/>
    <w:rsid w:val="00867704"/>
    <w:rsid w:val="008700C5"/>
    <w:rsid w:val="00870499"/>
    <w:rsid w:val="00870713"/>
    <w:rsid w:val="00871237"/>
    <w:rsid w:val="008712DB"/>
    <w:rsid w:val="008717D5"/>
    <w:rsid w:val="00872388"/>
    <w:rsid w:val="00872389"/>
    <w:rsid w:val="00872DCA"/>
    <w:rsid w:val="00872E44"/>
    <w:rsid w:val="00873B17"/>
    <w:rsid w:val="00873B3B"/>
    <w:rsid w:val="00873E70"/>
    <w:rsid w:val="00874147"/>
    <w:rsid w:val="008744C2"/>
    <w:rsid w:val="0087457A"/>
    <w:rsid w:val="00874786"/>
    <w:rsid w:val="00874C08"/>
    <w:rsid w:val="00874C23"/>
    <w:rsid w:val="00875376"/>
    <w:rsid w:val="00875422"/>
    <w:rsid w:val="0087547D"/>
    <w:rsid w:val="00875507"/>
    <w:rsid w:val="00875A06"/>
    <w:rsid w:val="00876548"/>
    <w:rsid w:val="00876682"/>
    <w:rsid w:val="00876CCC"/>
    <w:rsid w:val="00877396"/>
    <w:rsid w:val="00877634"/>
    <w:rsid w:val="00880440"/>
    <w:rsid w:val="008804EA"/>
    <w:rsid w:val="008807D7"/>
    <w:rsid w:val="008808FE"/>
    <w:rsid w:val="00880A60"/>
    <w:rsid w:val="00880C27"/>
    <w:rsid w:val="00881036"/>
    <w:rsid w:val="00882734"/>
    <w:rsid w:val="0088324F"/>
    <w:rsid w:val="00883319"/>
    <w:rsid w:val="0088373F"/>
    <w:rsid w:val="0088421C"/>
    <w:rsid w:val="0088425C"/>
    <w:rsid w:val="00884E1E"/>
    <w:rsid w:val="008855D4"/>
    <w:rsid w:val="008856BA"/>
    <w:rsid w:val="00885E09"/>
    <w:rsid w:val="008861CE"/>
    <w:rsid w:val="0088735B"/>
    <w:rsid w:val="0088762F"/>
    <w:rsid w:val="00887C09"/>
    <w:rsid w:val="00890829"/>
    <w:rsid w:val="00890831"/>
    <w:rsid w:val="00890889"/>
    <w:rsid w:val="00890D39"/>
    <w:rsid w:val="00890D4C"/>
    <w:rsid w:val="00890E78"/>
    <w:rsid w:val="00890F1C"/>
    <w:rsid w:val="0089138D"/>
    <w:rsid w:val="00891819"/>
    <w:rsid w:val="008924E3"/>
    <w:rsid w:val="00892E68"/>
    <w:rsid w:val="00893DEF"/>
    <w:rsid w:val="00894923"/>
    <w:rsid w:val="00894A99"/>
    <w:rsid w:val="00894B12"/>
    <w:rsid w:val="00894C29"/>
    <w:rsid w:val="00895692"/>
    <w:rsid w:val="00895A92"/>
    <w:rsid w:val="00895F50"/>
    <w:rsid w:val="00897022"/>
    <w:rsid w:val="00897521"/>
    <w:rsid w:val="0089759F"/>
    <w:rsid w:val="00897E8A"/>
    <w:rsid w:val="008A003B"/>
    <w:rsid w:val="008A02FE"/>
    <w:rsid w:val="008A031E"/>
    <w:rsid w:val="008A0710"/>
    <w:rsid w:val="008A0DDD"/>
    <w:rsid w:val="008A0FFA"/>
    <w:rsid w:val="008A1168"/>
    <w:rsid w:val="008A1727"/>
    <w:rsid w:val="008A1B00"/>
    <w:rsid w:val="008A274D"/>
    <w:rsid w:val="008A2BA7"/>
    <w:rsid w:val="008A2D79"/>
    <w:rsid w:val="008A2D8D"/>
    <w:rsid w:val="008A2E44"/>
    <w:rsid w:val="008A313A"/>
    <w:rsid w:val="008A3168"/>
    <w:rsid w:val="008A3223"/>
    <w:rsid w:val="008A32EA"/>
    <w:rsid w:val="008A38B9"/>
    <w:rsid w:val="008A3D3F"/>
    <w:rsid w:val="008A3DAA"/>
    <w:rsid w:val="008A458B"/>
    <w:rsid w:val="008A4972"/>
    <w:rsid w:val="008A4AEC"/>
    <w:rsid w:val="008A4B46"/>
    <w:rsid w:val="008A58D5"/>
    <w:rsid w:val="008A58F8"/>
    <w:rsid w:val="008A593E"/>
    <w:rsid w:val="008A5C73"/>
    <w:rsid w:val="008A5FA1"/>
    <w:rsid w:val="008A5FC0"/>
    <w:rsid w:val="008A6175"/>
    <w:rsid w:val="008A6533"/>
    <w:rsid w:val="008A6F6E"/>
    <w:rsid w:val="008A7B72"/>
    <w:rsid w:val="008B0190"/>
    <w:rsid w:val="008B0320"/>
    <w:rsid w:val="008B03CF"/>
    <w:rsid w:val="008B0DA8"/>
    <w:rsid w:val="008B11E3"/>
    <w:rsid w:val="008B134E"/>
    <w:rsid w:val="008B1868"/>
    <w:rsid w:val="008B1F84"/>
    <w:rsid w:val="008B34B6"/>
    <w:rsid w:val="008B3A17"/>
    <w:rsid w:val="008B3E8E"/>
    <w:rsid w:val="008B3EE0"/>
    <w:rsid w:val="008B4022"/>
    <w:rsid w:val="008B4117"/>
    <w:rsid w:val="008B411C"/>
    <w:rsid w:val="008B4554"/>
    <w:rsid w:val="008B4952"/>
    <w:rsid w:val="008B4F1F"/>
    <w:rsid w:val="008B5811"/>
    <w:rsid w:val="008B5B00"/>
    <w:rsid w:val="008B5CA6"/>
    <w:rsid w:val="008B673C"/>
    <w:rsid w:val="008B6858"/>
    <w:rsid w:val="008B6AA4"/>
    <w:rsid w:val="008B6EDB"/>
    <w:rsid w:val="008B73CA"/>
    <w:rsid w:val="008B7830"/>
    <w:rsid w:val="008B787E"/>
    <w:rsid w:val="008B7A50"/>
    <w:rsid w:val="008B7A7D"/>
    <w:rsid w:val="008B7B57"/>
    <w:rsid w:val="008B7C06"/>
    <w:rsid w:val="008B7E90"/>
    <w:rsid w:val="008B7F26"/>
    <w:rsid w:val="008C003C"/>
    <w:rsid w:val="008C0902"/>
    <w:rsid w:val="008C0B46"/>
    <w:rsid w:val="008C0BE1"/>
    <w:rsid w:val="008C0C04"/>
    <w:rsid w:val="008C0DCF"/>
    <w:rsid w:val="008C134A"/>
    <w:rsid w:val="008C177F"/>
    <w:rsid w:val="008C1B95"/>
    <w:rsid w:val="008C1DEB"/>
    <w:rsid w:val="008C1DF8"/>
    <w:rsid w:val="008C254B"/>
    <w:rsid w:val="008C2947"/>
    <w:rsid w:val="008C2A3B"/>
    <w:rsid w:val="008C31BC"/>
    <w:rsid w:val="008C327F"/>
    <w:rsid w:val="008C3551"/>
    <w:rsid w:val="008C43AF"/>
    <w:rsid w:val="008C44DB"/>
    <w:rsid w:val="008C48F1"/>
    <w:rsid w:val="008C5011"/>
    <w:rsid w:val="008C5595"/>
    <w:rsid w:val="008C583A"/>
    <w:rsid w:val="008C584B"/>
    <w:rsid w:val="008C5860"/>
    <w:rsid w:val="008C5897"/>
    <w:rsid w:val="008C5CE8"/>
    <w:rsid w:val="008C6987"/>
    <w:rsid w:val="008C724D"/>
    <w:rsid w:val="008C7875"/>
    <w:rsid w:val="008D0778"/>
    <w:rsid w:val="008D0873"/>
    <w:rsid w:val="008D0C81"/>
    <w:rsid w:val="008D0CA6"/>
    <w:rsid w:val="008D1500"/>
    <w:rsid w:val="008D185B"/>
    <w:rsid w:val="008D18C9"/>
    <w:rsid w:val="008D1EBC"/>
    <w:rsid w:val="008D243F"/>
    <w:rsid w:val="008D24FC"/>
    <w:rsid w:val="008D276F"/>
    <w:rsid w:val="008D3072"/>
    <w:rsid w:val="008D3198"/>
    <w:rsid w:val="008D32A0"/>
    <w:rsid w:val="008D32C2"/>
    <w:rsid w:val="008D3343"/>
    <w:rsid w:val="008D3441"/>
    <w:rsid w:val="008D3C73"/>
    <w:rsid w:val="008D3D1B"/>
    <w:rsid w:val="008D421B"/>
    <w:rsid w:val="008D47B9"/>
    <w:rsid w:val="008D6642"/>
    <w:rsid w:val="008D7481"/>
    <w:rsid w:val="008D767B"/>
    <w:rsid w:val="008D7B04"/>
    <w:rsid w:val="008D7CB7"/>
    <w:rsid w:val="008D7FD2"/>
    <w:rsid w:val="008E00BF"/>
    <w:rsid w:val="008E048E"/>
    <w:rsid w:val="008E07BB"/>
    <w:rsid w:val="008E08BE"/>
    <w:rsid w:val="008E1198"/>
    <w:rsid w:val="008E14D9"/>
    <w:rsid w:val="008E1934"/>
    <w:rsid w:val="008E1D98"/>
    <w:rsid w:val="008E22BD"/>
    <w:rsid w:val="008E25A9"/>
    <w:rsid w:val="008E2E1A"/>
    <w:rsid w:val="008E3D7F"/>
    <w:rsid w:val="008E3F9E"/>
    <w:rsid w:val="008E436F"/>
    <w:rsid w:val="008E49EB"/>
    <w:rsid w:val="008E4A8C"/>
    <w:rsid w:val="008E4F27"/>
    <w:rsid w:val="008E53EA"/>
    <w:rsid w:val="008E5C9F"/>
    <w:rsid w:val="008E6B40"/>
    <w:rsid w:val="008E6D92"/>
    <w:rsid w:val="008E7B00"/>
    <w:rsid w:val="008F0179"/>
    <w:rsid w:val="008F01FD"/>
    <w:rsid w:val="008F0959"/>
    <w:rsid w:val="008F1258"/>
    <w:rsid w:val="008F1264"/>
    <w:rsid w:val="008F1351"/>
    <w:rsid w:val="008F1BEA"/>
    <w:rsid w:val="008F2223"/>
    <w:rsid w:val="008F226C"/>
    <w:rsid w:val="008F251E"/>
    <w:rsid w:val="008F2829"/>
    <w:rsid w:val="008F39A6"/>
    <w:rsid w:val="008F3A10"/>
    <w:rsid w:val="008F3AF8"/>
    <w:rsid w:val="008F4411"/>
    <w:rsid w:val="008F4578"/>
    <w:rsid w:val="008F485E"/>
    <w:rsid w:val="008F490F"/>
    <w:rsid w:val="008F4968"/>
    <w:rsid w:val="008F4C18"/>
    <w:rsid w:val="008F5071"/>
    <w:rsid w:val="008F5414"/>
    <w:rsid w:val="008F5532"/>
    <w:rsid w:val="008F5672"/>
    <w:rsid w:val="008F5B3D"/>
    <w:rsid w:val="008F660B"/>
    <w:rsid w:val="008F664F"/>
    <w:rsid w:val="008F6B9B"/>
    <w:rsid w:val="008F6C47"/>
    <w:rsid w:val="008F6D1F"/>
    <w:rsid w:val="008F741C"/>
    <w:rsid w:val="008F76AE"/>
    <w:rsid w:val="008F7B4C"/>
    <w:rsid w:val="008F7DD0"/>
    <w:rsid w:val="00900814"/>
    <w:rsid w:val="00900C8E"/>
    <w:rsid w:val="009016A4"/>
    <w:rsid w:val="00901892"/>
    <w:rsid w:val="00901A61"/>
    <w:rsid w:val="00902B37"/>
    <w:rsid w:val="009033B5"/>
    <w:rsid w:val="00903466"/>
    <w:rsid w:val="009034C3"/>
    <w:rsid w:val="009034CA"/>
    <w:rsid w:val="00903B4B"/>
    <w:rsid w:val="00903CEE"/>
    <w:rsid w:val="00903EBF"/>
    <w:rsid w:val="00904949"/>
    <w:rsid w:val="00904BA4"/>
    <w:rsid w:val="00904F36"/>
    <w:rsid w:val="00904F42"/>
    <w:rsid w:val="00905024"/>
    <w:rsid w:val="0090590E"/>
    <w:rsid w:val="00905FA2"/>
    <w:rsid w:val="0090601C"/>
    <w:rsid w:val="0090646D"/>
    <w:rsid w:val="00906BD1"/>
    <w:rsid w:val="009075D8"/>
    <w:rsid w:val="00907806"/>
    <w:rsid w:val="00907D9D"/>
    <w:rsid w:val="00910655"/>
    <w:rsid w:val="009107D1"/>
    <w:rsid w:val="009108FF"/>
    <w:rsid w:val="00910C49"/>
    <w:rsid w:val="00910CC2"/>
    <w:rsid w:val="00910ED0"/>
    <w:rsid w:val="009117C7"/>
    <w:rsid w:val="00911A09"/>
    <w:rsid w:val="00912109"/>
    <w:rsid w:val="009129ED"/>
    <w:rsid w:val="00912BB5"/>
    <w:rsid w:val="00912BFE"/>
    <w:rsid w:val="00912F7F"/>
    <w:rsid w:val="00913439"/>
    <w:rsid w:val="00913755"/>
    <w:rsid w:val="00913B96"/>
    <w:rsid w:val="009142C7"/>
    <w:rsid w:val="0091470F"/>
    <w:rsid w:val="00914D46"/>
    <w:rsid w:val="00915359"/>
    <w:rsid w:val="00915EEE"/>
    <w:rsid w:val="009160AF"/>
    <w:rsid w:val="00916282"/>
    <w:rsid w:val="009168A6"/>
    <w:rsid w:val="009173D1"/>
    <w:rsid w:val="00920E3E"/>
    <w:rsid w:val="00920FCE"/>
    <w:rsid w:val="009213B3"/>
    <w:rsid w:val="009215A3"/>
    <w:rsid w:val="00921B56"/>
    <w:rsid w:val="00921EE3"/>
    <w:rsid w:val="009220B8"/>
    <w:rsid w:val="00922847"/>
    <w:rsid w:val="009228AE"/>
    <w:rsid w:val="009229C1"/>
    <w:rsid w:val="00922CF7"/>
    <w:rsid w:val="00922E01"/>
    <w:rsid w:val="00922F5C"/>
    <w:rsid w:val="00922F7D"/>
    <w:rsid w:val="009231BF"/>
    <w:rsid w:val="00923A58"/>
    <w:rsid w:val="00923EC7"/>
    <w:rsid w:val="00924016"/>
    <w:rsid w:val="00924D1D"/>
    <w:rsid w:val="00924DF3"/>
    <w:rsid w:val="00925272"/>
    <w:rsid w:val="0092550B"/>
    <w:rsid w:val="00925F40"/>
    <w:rsid w:val="00926121"/>
    <w:rsid w:val="0092613D"/>
    <w:rsid w:val="009266D2"/>
    <w:rsid w:val="00926F46"/>
    <w:rsid w:val="00926FE0"/>
    <w:rsid w:val="00927161"/>
    <w:rsid w:val="009271DC"/>
    <w:rsid w:val="00927509"/>
    <w:rsid w:val="0092764A"/>
    <w:rsid w:val="00930657"/>
    <w:rsid w:val="0093068E"/>
    <w:rsid w:val="0093075F"/>
    <w:rsid w:val="00930E4C"/>
    <w:rsid w:val="00930F5D"/>
    <w:rsid w:val="00931A13"/>
    <w:rsid w:val="00931FA9"/>
    <w:rsid w:val="009328D8"/>
    <w:rsid w:val="00932A3E"/>
    <w:rsid w:val="00932A4B"/>
    <w:rsid w:val="00932B40"/>
    <w:rsid w:val="009336F6"/>
    <w:rsid w:val="00933749"/>
    <w:rsid w:val="00933BE4"/>
    <w:rsid w:val="0093406A"/>
    <w:rsid w:val="009340E0"/>
    <w:rsid w:val="00934686"/>
    <w:rsid w:val="009349B8"/>
    <w:rsid w:val="00934B58"/>
    <w:rsid w:val="00934F99"/>
    <w:rsid w:val="0093504B"/>
    <w:rsid w:val="009350C6"/>
    <w:rsid w:val="00935574"/>
    <w:rsid w:val="009355DA"/>
    <w:rsid w:val="009356B7"/>
    <w:rsid w:val="00935712"/>
    <w:rsid w:val="009364CA"/>
    <w:rsid w:val="0093689B"/>
    <w:rsid w:val="00937103"/>
    <w:rsid w:val="00937381"/>
    <w:rsid w:val="00937EF6"/>
    <w:rsid w:val="00937FBB"/>
    <w:rsid w:val="00940011"/>
    <w:rsid w:val="0094001C"/>
    <w:rsid w:val="00940039"/>
    <w:rsid w:val="009403D5"/>
    <w:rsid w:val="009408CB"/>
    <w:rsid w:val="00940974"/>
    <w:rsid w:val="00940C19"/>
    <w:rsid w:val="00940E11"/>
    <w:rsid w:val="00941048"/>
    <w:rsid w:val="0094143A"/>
    <w:rsid w:val="00941B34"/>
    <w:rsid w:val="00941E36"/>
    <w:rsid w:val="00942078"/>
    <w:rsid w:val="00942BC4"/>
    <w:rsid w:val="00942F2A"/>
    <w:rsid w:val="00943199"/>
    <w:rsid w:val="0094326C"/>
    <w:rsid w:val="00943507"/>
    <w:rsid w:val="009439E0"/>
    <w:rsid w:val="00943DE2"/>
    <w:rsid w:val="00944228"/>
    <w:rsid w:val="009446A8"/>
    <w:rsid w:val="00944789"/>
    <w:rsid w:val="00944E4E"/>
    <w:rsid w:val="00944F1A"/>
    <w:rsid w:val="00945566"/>
    <w:rsid w:val="0094600D"/>
    <w:rsid w:val="0094655E"/>
    <w:rsid w:val="00946E20"/>
    <w:rsid w:val="009478F9"/>
    <w:rsid w:val="0095078C"/>
    <w:rsid w:val="00950B91"/>
    <w:rsid w:val="0095100B"/>
    <w:rsid w:val="00951927"/>
    <w:rsid w:val="00952020"/>
    <w:rsid w:val="00952B69"/>
    <w:rsid w:val="00952E9A"/>
    <w:rsid w:val="009537AD"/>
    <w:rsid w:val="00953861"/>
    <w:rsid w:val="00953D46"/>
    <w:rsid w:val="009557CE"/>
    <w:rsid w:val="00955868"/>
    <w:rsid w:val="00955C6C"/>
    <w:rsid w:val="00956315"/>
    <w:rsid w:val="00956324"/>
    <w:rsid w:val="00956C2E"/>
    <w:rsid w:val="00956E80"/>
    <w:rsid w:val="0095749E"/>
    <w:rsid w:val="00957D2D"/>
    <w:rsid w:val="00957DD4"/>
    <w:rsid w:val="00957DED"/>
    <w:rsid w:val="00957F46"/>
    <w:rsid w:val="00957FF8"/>
    <w:rsid w:val="00960BE2"/>
    <w:rsid w:val="00960E77"/>
    <w:rsid w:val="0096107E"/>
    <w:rsid w:val="0096139B"/>
    <w:rsid w:val="009615FD"/>
    <w:rsid w:val="00961708"/>
    <w:rsid w:val="00961A2C"/>
    <w:rsid w:val="00961E68"/>
    <w:rsid w:val="00961EDF"/>
    <w:rsid w:val="00961F10"/>
    <w:rsid w:val="00961F36"/>
    <w:rsid w:val="00962098"/>
    <w:rsid w:val="009624F5"/>
    <w:rsid w:val="00962CF3"/>
    <w:rsid w:val="009630B0"/>
    <w:rsid w:val="0096312B"/>
    <w:rsid w:val="0096313C"/>
    <w:rsid w:val="0096316F"/>
    <w:rsid w:val="00963259"/>
    <w:rsid w:val="00963495"/>
    <w:rsid w:val="009640AD"/>
    <w:rsid w:val="009643E3"/>
    <w:rsid w:val="00964632"/>
    <w:rsid w:val="00964B6A"/>
    <w:rsid w:val="00964E62"/>
    <w:rsid w:val="00964FC0"/>
    <w:rsid w:val="00965022"/>
    <w:rsid w:val="009650C2"/>
    <w:rsid w:val="00965182"/>
    <w:rsid w:val="00965357"/>
    <w:rsid w:val="00965BC1"/>
    <w:rsid w:val="00965CD2"/>
    <w:rsid w:val="00966191"/>
    <w:rsid w:val="009670BB"/>
    <w:rsid w:val="0097017F"/>
    <w:rsid w:val="0097097F"/>
    <w:rsid w:val="00970BAF"/>
    <w:rsid w:val="00970C8A"/>
    <w:rsid w:val="0097121B"/>
    <w:rsid w:val="009714B8"/>
    <w:rsid w:val="00972576"/>
    <w:rsid w:val="009725F0"/>
    <w:rsid w:val="0097279B"/>
    <w:rsid w:val="0097297C"/>
    <w:rsid w:val="00972F3B"/>
    <w:rsid w:val="00972FAC"/>
    <w:rsid w:val="0097418F"/>
    <w:rsid w:val="00974791"/>
    <w:rsid w:val="00974C9D"/>
    <w:rsid w:val="00974CF3"/>
    <w:rsid w:val="00975338"/>
    <w:rsid w:val="0097541D"/>
    <w:rsid w:val="00975625"/>
    <w:rsid w:val="009756F7"/>
    <w:rsid w:val="00976B88"/>
    <w:rsid w:val="00976BBB"/>
    <w:rsid w:val="00976F99"/>
    <w:rsid w:val="00977CC5"/>
    <w:rsid w:val="00977D11"/>
    <w:rsid w:val="00977F28"/>
    <w:rsid w:val="009805C6"/>
    <w:rsid w:val="009808A9"/>
    <w:rsid w:val="009808FE"/>
    <w:rsid w:val="00980E8B"/>
    <w:rsid w:val="00980F2E"/>
    <w:rsid w:val="0098101C"/>
    <w:rsid w:val="009810FB"/>
    <w:rsid w:val="009811ED"/>
    <w:rsid w:val="009814CA"/>
    <w:rsid w:val="00981552"/>
    <w:rsid w:val="00981B36"/>
    <w:rsid w:val="00981E89"/>
    <w:rsid w:val="00982D3E"/>
    <w:rsid w:val="00982FB5"/>
    <w:rsid w:val="00983058"/>
    <w:rsid w:val="009833B6"/>
    <w:rsid w:val="00983A12"/>
    <w:rsid w:val="00983BBF"/>
    <w:rsid w:val="00983CEB"/>
    <w:rsid w:val="00983EE5"/>
    <w:rsid w:val="00983F96"/>
    <w:rsid w:val="009842B4"/>
    <w:rsid w:val="00984812"/>
    <w:rsid w:val="00984884"/>
    <w:rsid w:val="00984BBF"/>
    <w:rsid w:val="00984FF2"/>
    <w:rsid w:val="0098522C"/>
    <w:rsid w:val="0098533C"/>
    <w:rsid w:val="009856E0"/>
    <w:rsid w:val="00985920"/>
    <w:rsid w:val="00985964"/>
    <w:rsid w:val="00985AB9"/>
    <w:rsid w:val="0098627B"/>
    <w:rsid w:val="00986BA0"/>
    <w:rsid w:val="00986EA7"/>
    <w:rsid w:val="00986F76"/>
    <w:rsid w:val="0098701A"/>
    <w:rsid w:val="00987BA1"/>
    <w:rsid w:val="00990692"/>
    <w:rsid w:val="00990965"/>
    <w:rsid w:val="00990EC0"/>
    <w:rsid w:val="00991445"/>
    <w:rsid w:val="00991611"/>
    <w:rsid w:val="00991865"/>
    <w:rsid w:val="00991897"/>
    <w:rsid w:val="00991E9E"/>
    <w:rsid w:val="00991F32"/>
    <w:rsid w:val="00991F5D"/>
    <w:rsid w:val="00992158"/>
    <w:rsid w:val="0099271F"/>
    <w:rsid w:val="00992FC9"/>
    <w:rsid w:val="009932CF"/>
    <w:rsid w:val="00993452"/>
    <w:rsid w:val="00994388"/>
    <w:rsid w:val="00994597"/>
    <w:rsid w:val="00994B71"/>
    <w:rsid w:val="00994BFB"/>
    <w:rsid w:val="00994DF4"/>
    <w:rsid w:val="00995AD5"/>
    <w:rsid w:val="00995E04"/>
    <w:rsid w:val="00995E72"/>
    <w:rsid w:val="00997BD0"/>
    <w:rsid w:val="00997D45"/>
    <w:rsid w:val="009A0441"/>
    <w:rsid w:val="009A0A00"/>
    <w:rsid w:val="009A12B4"/>
    <w:rsid w:val="009A16E1"/>
    <w:rsid w:val="009A2201"/>
    <w:rsid w:val="009A24C7"/>
    <w:rsid w:val="009A24FB"/>
    <w:rsid w:val="009A3AD8"/>
    <w:rsid w:val="009A3B1B"/>
    <w:rsid w:val="009A3E6E"/>
    <w:rsid w:val="009A4094"/>
    <w:rsid w:val="009A41C5"/>
    <w:rsid w:val="009A4886"/>
    <w:rsid w:val="009A48F1"/>
    <w:rsid w:val="009A4BBE"/>
    <w:rsid w:val="009A4CF1"/>
    <w:rsid w:val="009A512E"/>
    <w:rsid w:val="009A5214"/>
    <w:rsid w:val="009A5822"/>
    <w:rsid w:val="009A5B07"/>
    <w:rsid w:val="009A5DF0"/>
    <w:rsid w:val="009A627D"/>
    <w:rsid w:val="009A62C7"/>
    <w:rsid w:val="009A6540"/>
    <w:rsid w:val="009A6554"/>
    <w:rsid w:val="009A65BE"/>
    <w:rsid w:val="009A6CEA"/>
    <w:rsid w:val="009A7307"/>
    <w:rsid w:val="009A7544"/>
    <w:rsid w:val="009A7F88"/>
    <w:rsid w:val="009B012A"/>
    <w:rsid w:val="009B0622"/>
    <w:rsid w:val="009B0922"/>
    <w:rsid w:val="009B0AA8"/>
    <w:rsid w:val="009B1173"/>
    <w:rsid w:val="009B1501"/>
    <w:rsid w:val="009B16D8"/>
    <w:rsid w:val="009B2439"/>
    <w:rsid w:val="009B2F74"/>
    <w:rsid w:val="009B31CE"/>
    <w:rsid w:val="009B35EE"/>
    <w:rsid w:val="009B38E3"/>
    <w:rsid w:val="009B399C"/>
    <w:rsid w:val="009B3BE3"/>
    <w:rsid w:val="009B3D47"/>
    <w:rsid w:val="009B47C9"/>
    <w:rsid w:val="009B491D"/>
    <w:rsid w:val="009B4D1B"/>
    <w:rsid w:val="009B5253"/>
    <w:rsid w:val="009B55C1"/>
    <w:rsid w:val="009B60BA"/>
    <w:rsid w:val="009B6906"/>
    <w:rsid w:val="009B6B2E"/>
    <w:rsid w:val="009B6D68"/>
    <w:rsid w:val="009B6E3E"/>
    <w:rsid w:val="009B73F7"/>
    <w:rsid w:val="009B7632"/>
    <w:rsid w:val="009B7C8E"/>
    <w:rsid w:val="009C062F"/>
    <w:rsid w:val="009C1028"/>
    <w:rsid w:val="009C128B"/>
    <w:rsid w:val="009C15AF"/>
    <w:rsid w:val="009C1760"/>
    <w:rsid w:val="009C1C6D"/>
    <w:rsid w:val="009C2123"/>
    <w:rsid w:val="009C24A2"/>
    <w:rsid w:val="009C2B76"/>
    <w:rsid w:val="009C2F93"/>
    <w:rsid w:val="009C2FF5"/>
    <w:rsid w:val="009C3CC9"/>
    <w:rsid w:val="009C4278"/>
    <w:rsid w:val="009C4783"/>
    <w:rsid w:val="009C5297"/>
    <w:rsid w:val="009C5953"/>
    <w:rsid w:val="009C59FE"/>
    <w:rsid w:val="009C60FE"/>
    <w:rsid w:val="009C6175"/>
    <w:rsid w:val="009C63A3"/>
    <w:rsid w:val="009C6544"/>
    <w:rsid w:val="009C6891"/>
    <w:rsid w:val="009C6906"/>
    <w:rsid w:val="009C6FAD"/>
    <w:rsid w:val="009C7147"/>
    <w:rsid w:val="009C7626"/>
    <w:rsid w:val="009C79EE"/>
    <w:rsid w:val="009C7C2F"/>
    <w:rsid w:val="009D0200"/>
    <w:rsid w:val="009D0A48"/>
    <w:rsid w:val="009D0AC2"/>
    <w:rsid w:val="009D0B30"/>
    <w:rsid w:val="009D0B6A"/>
    <w:rsid w:val="009D1100"/>
    <w:rsid w:val="009D1108"/>
    <w:rsid w:val="009D20B2"/>
    <w:rsid w:val="009D2155"/>
    <w:rsid w:val="009D257F"/>
    <w:rsid w:val="009D27DB"/>
    <w:rsid w:val="009D2AE9"/>
    <w:rsid w:val="009D2C19"/>
    <w:rsid w:val="009D2D37"/>
    <w:rsid w:val="009D3228"/>
    <w:rsid w:val="009D392A"/>
    <w:rsid w:val="009D3A05"/>
    <w:rsid w:val="009D3BC9"/>
    <w:rsid w:val="009D3F28"/>
    <w:rsid w:val="009D46DC"/>
    <w:rsid w:val="009D48B0"/>
    <w:rsid w:val="009D4BC3"/>
    <w:rsid w:val="009D4E3D"/>
    <w:rsid w:val="009D4FE7"/>
    <w:rsid w:val="009D53A0"/>
    <w:rsid w:val="009D54F3"/>
    <w:rsid w:val="009D5BA3"/>
    <w:rsid w:val="009D5FA9"/>
    <w:rsid w:val="009D60C4"/>
    <w:rsid w:val="009D65D1"/>
    <w:rsid w:val="009D6B2E"/>
    <w:rsid w:val="009D6F63"/>
    <w:rsid w:val="009D73AB"/>
    <w:rsid w:val="009D761A"/>
    <w:rsid w:val="009D7F2C"/>
    <w:rsid w:val="009E059A"/>
    <w:rsid w:val="009E0BBA"/>
    <w:rsid w:val="009E1213"/>
    <w:rsid w:val="009E143A"/>
    <w:rsid w:val="009E177E"/>
    <w:rsid w:val="009E1C23"/>
    <w:rsid w:val="009E23E6"/>
    <w:rsid w:val="009E2B85"/>
    <w:rsid w:val="009E2E25"/>
    <w:rsid w:val="009E2ECA"/>
    <w:rsid w:val="009E3BCC"/>
    <w:rsid w:val="009E3EBD"/>
    <w:rsid w:val="009E4E38"/>
    <w:rsid w:val="009E5631"/>
    <w:rsid w:val="009E58F3"/>
    <w:rsid w:val="009E65B4"/>
    <w:rsid w:val="009E6601"/>
    <w:rsid w:val="009E6833"/>
    <w:rsid w:val="009E6D45"/>
    <w:rsid w:val="009E6D77"/>
    <w:rsid w:val="009E6EA3"/>
    <w:rsid w:val="009E791D"/>
    <w:rsid w:val="009E7AED"/>
    <w:rsid w:val="009E7D07"/>
    <w:rsid w:val="009E7E59"/>
    <w:rsid w:val="009F029F"/>
    <w:rsid w:val="009F039B"/>
    <w:rsid w:val="009F0C49"/>
    <w:rsid w:val="009F1076"/>
    <w:rsid w:val="009F1AFB"/>
    <w:rsid w:val="009F1CF2"/>
    <w:rsid w:val="009F20F4"/>
    <w:rsid w:val="009F37EA"/>
    <w:rsid w:val="009F48BD"/>
    <w:rsid w:val="009F4A01"/>
    <w:rsid w:val="009F4C32"/>
    <w:rsid w:val="009F4E36"/>
    <w:rsid w:val="009F5A89"/>
    <w:rsid w:val="009F64FA"/>
    <w:rsid w:val="009F654F"/>
    <w:rsid w:val="009F6560"/>
    <w:rsid w:val="009F6662"/>
    <w:rsid w:val="009F73F7"/>
    <w:rsid w:val="00A0032B"/>
    <w:rsid w:val="00A008B4"/>
    <w:rsid w:val="00A0091B"/>
    <w:rsid w:val="00A00ACC"/>
    <w:rsid w:val="00A012E0"/>
    <w:rsid w:val="00A018AF"/>
    <w:rsid w:val="00A028A7"/>
    <w:rsid w:val="00A02C55"/>
    <w:rsid w:val="00A02F3D"/>
    <w:rsid w:val="00A0331D"/>
    <w:rsid w:val="00A03550"/>
    <w:rsid w:val="00A03608"/>
    <w:rsid w:val="00A0380B"/>
    <w:rsid w:val="00A03A97"/>
    <w:rsid w:val="00A054B7"/>
    <w:rsid w:val="00A0609E"/>
    <w:rsid w:val="00A06155"/>
    <w:rsid w:val="00A0615F"/>
    <w:rsid w:val="00A061BC"/>
    <w:rsid w:val="00A06390"/>
    <w:rsid w:val="00A063AD"/>
    <w:rsid w:val="00A066AB"/>
    <w:rsid w:val="00A067FF"/>
    <w:rsid w:val="00A06854"/>
    <w:rsid w:val="00A0737A"/>
    <w:rsid w:val="00A0783E"/>
    <w:rsid w:val="00A07CF0"/>
    <w:rsid w:val="00A07DD1"/>
    <w:rsid w:val="00A10F69"/>
    <w:rsid w:val="00A112D1"/>
    <w:rsid w:val="00A1140F"/>
    <w:rsid w:val="00A11528"/>
    <w:rsid w:val="00A117C5"/>
    <w:rsid w:val="00A11C26"/>
    <w:rsid w:val="00A11D7B"/>
    <w:rsid w:val="00A12D53"/>
    <w:rsid w:val="00A12F51"/>
    <w:rsid w:val="00A13C0A"/>
    <w:rsid w:val="00A13F49"/>
    <w:rsid w:val="00A14270"/>
    <w:rsid w:val="00A142AC"/>
    <w:rsid w:val="00A143F2"/>
    <w:rsid w:val="00A145BA"/>
    <w:rsid w:val="00A14A2B"/>
    <w:rsid w:val="00A14B94"/>
    <w:rsid w:val="00A14D81"/>
    <w:rsid w:val="00A14E7C"/>
    <w:rsid w:val="00A14F7A"/>
    <w:rsid w:val="00A1559D"/>
    <w:rsid w:val="00A15904"/>
    <w:rsid w:val="00A15B48"/>
    <w:rsid w:val="00A15F68"/>
    <w:rsid w:val="00A1674A"/>
    <w:rsid w:val="00A16C59"/>
    <w:rsid w:val="00A16DC9"/>
    <w:rsid w:val="00A17C23"/>
    <w:rsid w:val="00A17D58"/>
    <w:rsid w:val="00A20521"/>
    <w:rsid w:val="00A20573"/>
    <w:rsid w:val="00A20C82"/>
    <w:rsid w:val="00A20EDE"/>
    <w:rsid w:val="00A21197"/>
    <w:rsid w:val="00A2244C"/>
    <w:rsid w:val="00A227D0"/>
    <w:rsid w:val="00A22F65"/>
    <w:rsid w:val="00A23421"/>
    <w:rsid w:val="00A23E89"/>
    <w:rsid w:val="00A24246"/>
    <w:rsid w:val="00A244E3"/>
    <w:rsid w:val="00A249FC"/>
    <w:rsid w:val="00A24CA0"/>
    <w:rsid w:val="00A24EB8"/>
    <w:rsid w:val="00A24ED4"/>
    <w:rsid w:val="00A250B0"/>
    <w:rsid w:val="00A25F24"/>
    <w:rsid w:val="00A25FDB"/>
    <w:rsid w:val="00A26923"/>
    <w:rsid w:val="00A26988"/>
    <w:rsid w:val="00A26EE2"/>
    <w:rsid w:val="00A26EF0"/>
    <w:rsid w:val="00A27C69"/>
    <w:rsid w:val="00A27E8A"/>
    <w:rsid w:val="00A30307"/>
    <w:rsid w:val="00A30580"/>
    <w:rsid w:val="00A3077E"/>
    <w:rsid w:val="00A31278"/>
    <w:rsid w:val="00A31296"/>
    <w:rsid w:val="00A3137F"/>
    <w:rsid w:val="00A32032"/>
    <w:rsid w:val="00A32A31"/>
    <w:rsid w:val="00A32C83"/>
    <w:rsid w:val="00A32F56"/>
    <w:rsid w:val="00A33627"/>
    <w:rsid w:val="00A33AC3"/>
    <w:rsid w:val="00A33D83"/>
    <w:rsid w:val="00A340F5"/>
    <w:rsid w:val="00A34300"/>
    <w:rsid w:val="00A349CB"/>
    <w:rsid w:val="00A34B1C"/>
    <w:rsid w:val="00A34D10"/>
    <w:rsid w:val="00A350C2"/>
    <w:rsid w:val="00A3540B"/>
    <w:rsid w:val="00A3600D"/>
    <w:rsid w:val="00A36411"/>
    <w:rsid w:val="00A36568"/>
    <w:rsid w:val="00A36E7B"/>
    <w:rsid w:val="00A37043"/>
    <w:rsid w:val="00A370AE"/>
    <w:rsid w:val="00A4056A"/>
    <w:rsid w:val="00A4058A"/>
    <w:rsid w:val="00A407A7"/>
    <w:rsid w:val="00A40891"/>
    <w:rsid w:val="00A40A93"/>
    <w:rsid w:val="00A40C53"/>
    <w:rsid w:val="00A42562"/>
    <w:rsid w:val="00A427D6"/>
    <w:rsid w:val="00A42EEC"/>
    <w:rsid w:val="00A43323"/>
    <w:rsid w:val="00A43982"/>
    <w:rsid w:val="00A439CD"/>
    <w:rsid w:val="00A43A26"/>
    <w:rsid w:val="00A43F96"/>
    <w:rsid w:val="00A445FA"/>
    <w:rsid w:val="00A45127"/>
    <w:rsid w:val="00A45725"/>
    <w:rsid w:val="00A468DA"/>
    <w:rsid w:val="00A47A70"/>
    <w:rsid w:val="00A47C6B"/>
    <w:rsid w:val="00A5134D"/>
    <w:rsid w:val="00A5136B"/>
    <w:rsid w:val="00A5152C"/>
    <w:rsid w:val="00A517B4"/>
    <w:rsid w:val="00A51D70"/>
    <w:rsid w:val="00A51DB4"/>
    <w:rsid w:val="00A51F5D"/>
    <w:rsid w:val="00A523D9"/>
    <w:rsid w:val="00A523DB"/>
    <w:rsid w:val="00A5259E"/>
    <w:rsid w:val="00A5266F"/>
    <w:rsid w:val="00A526E6"/>
    <w:rsid w:val="00A52B3B"/>
    <w:rsid w:val="00A52BA5"/>
    <w:rsid w:val="00A53F34"/>
    <w:rsid w:val="00A53FFF"/>
    <w:rsid w:val="00A54079"/>
    <w:rsid w:val="00A54358"/>
    <w:rsid w:val="00A546AF"/>
    <w:rsid w:val="00A54744"/>
    <w:rsid w:val="00A54A26"/>
    <w:rsid w:val="00A54BAA"/>
    <w:rsid w:val="00A554BE"/>
    <w:rsid w:val="00A55840"/>
    <w:rsid w:val="00A5594D"/>
    <w:rsid w:val="00A55ADF"/>
    <w:rsid w:val="00A55B56"/>
    <w:rsid w:val="00A55C9F"/>
    <w:rsid w:val="00A55ED9"/>
    <w:rsid w:val="00A55F40"/>
    <w:rsid w:val="00A560FB"/>
    <w:rsid w:val="00A561A8"/>
    <w:rsid w:val="00A5681D"/>
    <w:rsid w:val="00A56C36"/>
    <w:rsid w:val="00A56F73"/>
    <w:rsid w:val="00A57CFF"/>
    <w:rsid w:val="00A6008D"/>
    <w:rsid w:val="00A60E28"/>
    <w:rsid w:val="00A60FB7"/>
    <w:rsid w:val="00A6163D"/>
    <w:rsid w:val="00A61A95"/>
    <w:rsid w:val="00A61D71"/>
    <w:rsid w:val="00A62013"/>
    <w:rsid w:val="00A6203A"/>
    <w:rsid w:val="00A622DD"/>
    <w:rsid w:val="00A62441"/>
    <w:rsid w:val="00A62945"/>
    <w:rsid w:val="00A63240"/>
    <w:rsid w:val="00A6325D"/>
    <w:rsid w:val="00A63605"/>
    <w:rsid w:val="00A63CB9"/>
    <w:rsid w:val="00A641B6"/>
    <w:rsid w:val="00A64525"/>
    <w:rsid w:val="00A645C5"/>
    <w:rsid w:val="00A65036"/>
    <w:rsid w:val="00A65ECB"/>
    <w:rsid w:val="00A6628A"/>
    <w:rsid w:val="00A664AE"/>
    <w:rsid w:val="00A66956"/>
    <w:rsid w:val="00A67A0A"/>
    <w:rsid w:val="00A67BAA"/>
    <w:rsid w:val="00A70274"/>
    <w:rsid w:val="00A70836"/>
    <w:rsid w:val="00A71399"/>
    <w:rsid w:val="00A71427"/>
    <w:rsid w:val="00A71776"/>
    <w:rsid w:val="00A71CCD"/>
    <w:rsid w:val="00A72201"/>
    <w:rsid w:val="00A72493"/>
    <w:rsid w:val="00A727F5"/>
    <w:rsid w:val="00A7298F"/>
    <w:rsid w:val="00A72BB4"/>
    <w:rsid w:val="00A72DDC"/>
    <w:rsid w:val="00A73808"/>
    <w:rsid w:val="00A741D8"/>
    <w:rsid w:val="00A746DD"/>
    <w:rsid w:val="00A74A0F"/>
    <w:rsid w:val="00A74C2E"/>
    <w:rsid w:val="00A754EE"/>
    <w:rsid w:val="00A75C31"/>
    <w:rsid w:val="00A76958"/>
    <w:rsid w:val="00A7734C"/>
    <w:rsid w:val="00A7747B"/>
    <w:rsid w:val="00A77C95"/>
    <w:rsid w:val="00A77D9B"/>
    <w:rsid w:val="00A77EFC"/>
    <w:rsid w:val="00A80071"/>
    <w:rsid w:val="00A80555"/>
    <w:rsid w:val="00A817C5"/>
    <w:rsid w:val="00A81B87"/>
    <w:rsid w:val="00A82884"/>
    <w:rsid w:val="00A829B9"/>
    <w:rsid w:val="00A829C6"/>
    <w:rsid w:val="00A835B1"/>
    <w:rsid w:val="00A83D5D"/>
    <w:rsid w:val="00A84251"/>
    <w:rsid w:val="00A848C3"/>
    <w:rsid w:val="00A85791"/>
    <w:rsid w:val="00A85F0F"/>
    <w:rsid w:val="00A85FCE"/>
    <w:rsid w:val="00A867FC"/>
    <w:rsid w:val="00A87044"/>
    <w:rsid w:val="00A87996"/>
    <w:rsid w:val="00A879DB"/>
    <w:rsid w:val="00A87A40"/>
    <w:rsid w:val="00A87B0B"/>
    <w:rsid w:val="00A9033D"/>
    <w:rsid w:val="00A909C4"/>
    <w:rsid w:val="00A90A3F"/>
    <w:rsid w:val="00A90E54"/>
    <w:rsid w:val="00A912F3"/>
    <w:rsid w:val="00A915EA"/>
    <w:rsid w:val="00A91D01"/>
    <w:rsid w:val="00A9269E"/>
    <w:rsid w:val="00A927C0"/>
    <w:rsid w:val="00A92858"/>
    <w:rsid w:val="00A92B5D"/>
    <w:rsid w:val="00A93316"/>
    <w:rsid w:val="00A93726"/>
    <w:rsid w:val="00A9400D"/>
    <w:rsid w:val="00A940F6"/>
    <w:rsid w:val="00A942A4"/>
    <w:rsid w:val="00A942D0"/>
    <w:rsid w:val="00A9444A"/>
    <w:rsid w:val="00A949EC"/>
    <w:rsid w:val="00A94BDA"/>
    <w:rsid w:val="00A94E1A"/>
    <w:rsid w:val="00A954F4"/>
    <w:rsid w:val="00A9562C"/>
    <w:rsid w:val="00A95919"/>
    <w:rsid w:val="00A95A58"/>
    <w:rsid w:val="00A95C78"/>
    <w:rsid w:val="00A96339"/>
    <w:rsid w:val="00A96A2A"/>
    <w:rsid w:val="00A96C25"/>
    <w:rsid w:val="00A96D8D"/>
    <w:rsid w:val="00A97026"/>
    <w:rsid w:val="00A97209"/>
    <w:rsid w:val="00A9721D"/>
    <w:rsid w:val="00A975ED"/>
    <w:rsid w:val="00A9775B"/>
    <w:rsid w:val="00A97843"/>
    <w:rsid w:val="00A978E0"/>
    <w:rsid w:val="00A97B42"/>
    <w:rsid w:val="00A97D44"/>
    <w:rsid w:val="00AA068B"/>
    <w:rsid w:val="00AA08DF"/>
    <w:rsid w:val="00AA1152"/>
    <w:rsid w:val="00AA1B4F"/>
    <w:rsid w:val="00AA1E7B"/>
    <w:rsid w:val="00AA2B0D"/>
    <w:rsid w:val="00AA375B"/>
    <w:rsid w:val="00AA3877"/>
    <w:rsid w:val="00AA3E49"/>
    <w:rsid w:val="00AA3F8B"/>
    <w:rsid w:val="00AA43C8"/>
    <w:rsid w:val="00AA495D"/>
    <w:rsid w:val="00AA4F5C"/>
    <w:rsid w:val="00AA51E3"/>
    <w:rsid w:val="00AA5682"/>
    <w:rsid w:val="00AA57C6"/>
    <w:rsid w:val="00AA5967"/>
    <w:rsid w:val="00AA5A2E"/>
    <w:rsid w:val="00AA5EEB"/>
    <w:rsid w:val="00AA6169"/>
    <w:rsid w:val="00AA61BD"/>
    <w:rsid w:val="00AA64CF"/>
    <w:rsid w:val="00AA70BD"/>
    <w:rsid w:val="00AA7922"/>
    <w:rsid w:val="00AB0118"/>
    <w:rsid w:val="00AB015D"/>
    <w:rsid w:val="00AB0C18"/>
    <w:rsid w:val="00AB0F2D"/>
    <w:rsid w:val="00AB11AF"/>
    <w:rsid w:val="00AB1427"/>
    <w:rsid w:val="00AB169A"/>
    <w:rsid w:val="00AB1F75"/>
    <w:rsid w:val="00AB21C5"/>
    <w:rsid w:val="00AB274D"/>
    <w:rsid w:val="00AB295F"/>
    <w:rsid w:val="00AB329D"/>
    <w:rsid w:val="00AB32F4"/>
    <w:rsid w:val="00AB35F9"/>
    <w:rsid w:val="00AB3608"/>
    <w:rsid w:val="00AB3912"/>
    <w:rsid w:val="00AB3BBE"/>
    <w:rsid w:val="00AB47D5"/>
    <w:rsid w:val="00AB4DD5"/>
    <w:rsid w:val="00AB4E8F"/>
    <w:rsid w:val="00AB5093"/>
    <w:rsid w:val="00AB50C1"/>
    <w:rsid w:val="00AB527E"/>
    <w:rsid w:val="00AB52C3"/>
    <w:rsid w:val="00AB55AD"/>
    <w:rsid w:val="00AB5695"/>
    <w:rsid w:val="00AB5777"/>
    <w:rsid w:val="00AB5B78"/>
    <w:rsid w:val="00AB6287"/>
    <w:rsid w:val="00AB666B"/>
    <w:rsid w:val="00AB6872"/>
    <w:rsid w:val="00AB68F0"/>
    <w:rsid w:val="00AB6ADC"/>
    <w:rsid w:val="00AB6AE1"/>
    <w:rsid w:val="00AB74A1"/>
    <w:rsid w:val="00AB750E"/>
    <w:rsid w:val="00AB781B"/>
    <w:rsid w:val="00AB78AF"/>
    <w:rsid w:val="00AC06C0"/>
    <w:rsid w:val="00AC0984"/>
    <w:rsid w:val="00AC0DCC"/>
    <w:rsid w:val="00AC1439"/>
    <w:rsid w:val="00AC1609"/>
    <w:rsid w:val="00AC1841"/>
    <w:rsid w:val="00AC1AD1"/>
    <w:rsid w:val="00AC1B29"/>
    <w:rsid w:val="00AC2E4A"/>
    <w:rsid w:val="00AC3A28"/>
    <w:rsid w:val="00AC3AB5"/>
    <w:rsid w:val="00AC3C6D"/>
    <w:rsid w:val="00AC3E24"/>
    <w:rsid w:val="00AC40CE"/>
    <w:rsid w:val="00AC4138"/>
    <w:rsid w:val="00AC450B"/>
    <w:rsid w:val="00AC4B0B"/>
    <w:rsid w:val="00AC4F18"/>
    <w:rsid w:val="00AC4FCB"/>
    <w:rsid w:val="00AC50DC"/>
    <w:rsid w:val="00AC61AF"/>
    <w:rsid w:val="00AC6322"/>
    <w:rsid w:val="00AC6A74"/>
    <w:rsid w:val="00AC6C8E"/>
    <w:rsid w:val="00AC7186"/>
    <w:rsid w:val="00AC7846"/>
    <w:rsid w:val="00AC78F5"/>
    <w:rsid w:val="00AD0220"/>
    <w:rsid w:val="00AD022D"/>
    <w:rsid w:val="00AD066F"/>
    <w:rsid w:val="00AD0A03"/>
    <w:rsid w:val="00AD0BF4"/>
    <w:rsid w:val="00AD0DF1"/>
    <w:rsid w:val="00AD1384"/>
    <w:rsid w:val="00AD14F1"/>
    <w:rsid w:val="00AD1FF6"/>
    <w:rsid w:val="00AD202C"/>
    <w:rsid w:val="00AD237E"/>
    <w:rsid w:val="00AD24B2"/>
    <w:rsid w:val="00AD277B"/>
    <w:rsid w:val="00AD2796"/>
    <w:rsid w:val="00AD2C25"/>
    <w:rsid w:val="00AD2EAA"/>
    <w:rsid w:val="00AD3509"/>
    <w:rsid w:val="00AD351E"/>
    <w:rsid w:val="00AD3C3A"/>
    <w:rsid w:val="00AD40F3"/>
    <w:rsid w:val="00AD4737"/>
    <w:rsid w:val="00AD4A21"/>
    <w:rsid w:val="00AD4D31"/>
    <w:rsid w:val="00AD50F9"/>
    <w:rsid w:val="00AD5BBD"/>
    <w:rsid w:val="00AD5CE9"/>
    <w:rsid w:val="00AD5E45"/>
    <w:rsid w:val="00AD5EA1"/>
    <w:rsid w:val="00AD6ED4"/>
    <w:rsid w:val="00AD6F7F"/>
    <w:rsid w:val="00AD75B1"/>
    <w:rsid w:val="00AD76C7"/>
    <w:rsid w:val="00AD7987"/>
    <w:rsid w:val="00AE06BB"/>
    <w:rsid w:val="00AE0C3B"/>
    <w:rsid w:val="00AE0F14"/>
    <w:rsid w:val="00AE1198"/>
    <w:rsid w:val="00AE177D"/>
    <w:rsid w:val="00AE1BB1"/>
    <w:rsid w:val="00AE24A9"/>
    <w:rsid w:val="00AE2935"/>
    <w:rsid w:val="00AE2D38"/>
    <w:rsid w:val="00AE3581"/>
    <w:rsid w:val="00AE3719"/>
    <w:rsid w:val="00AE4081"/>
    <w:rsid w:val="00AE4130"/>
    <w:rsid w:val="00AE41E1"/>
    <w:rsid w:val="00AE422C"/>
    <w:rsid w:val="00AE4B25"/>
    <w:rsid w:val="00AE4DAB"/>
    <w:rsid w:val="00AE4DE6"/>
    <w:rsid w:val="00AE4E90"/>
    <w:rsid w:val="00AE578E"/>
    <w:rsid w:val="00AE5F7C"/>
    <w:rsid w:val="00AE6796"/>
    <w:rsid w:val="00AE6E07"/>
    <w:rsid w:val="00AE6F95"/>
    <w:rsid w:val="00AE750F"/>
    <w:rsid w:val="00AE7CAF"/>
    <w:rsid w:val="00AE7F8D"/>
    <w:rsid w:val="00AF0003"/>
    <w:rsid w:val="00AF0182"/>
    <w:rsid w:val="00AF0588"/>
    <w:rsid w:val="00AF07A7"/>
    <w:rsid w:val="00AF0BB7"/>
    <w:rsid w:val="00AF10DB"/>
    <w:rsid w:val="00AF1127"/>
    <w:rsid w:val="00AF17B0"/>
    <w:rsid w:val="00AF1BE5"/>
    <w:rsid w:val="00AF1D28"/>
    <w:rsid w:val="00AF20F0"/>
    <w:rsid w:val="00AF24DD"/>
    <w:rsid w:val="00AF34E0"/>
    <w:rsid w:val="00AF3597"/>
    <w:rsid w:val="00AF3CF0"/>
    <w:rsid w:val="00AF4046"/>
    <w:rsid w:val="00AF4259"/>
    <w:rsid w:val="00AF47B3"/>
    <w:rsid w:val="00AF4C0C"/>
    <w:rsid w:val="00AF5102"/>
    <w:rsid w:val="00AF5541"/>
    <w:rsid w:val="00AF5780"/>
    <w:rsid w:val="00AF5A60"/>
    <w:rsid w:val="00AF5A95"/>
    <w:rsid w:val="00AF5EBD"/>
    <w:rsid w:val="00AF601D"/>
    <w:rsid w:val="00AF63D8"/>
    <w:rsid w:val="00AF64A6"/>
    <w:rsid w:val="00AF670F"/>
    <w:rsid w:val="00AF6A61"/>
    <w:rsid w:val="00AF6B8F"/>
    <w:rsid w:val="00AF7249"/>
    <w:rsid w:val="00B00AB8"/>
    <w:rsid w:val="00B00B47"/>
    <w:rsid w:val="00B0143A"/>
    <w:rsid w:val="00B018EE"/>
    <w:rsid w:val="00B01F08"/>
    <w:rsid w:val="00B02815"/>
    <w:rsid w:val="00B02BC9"/>
    <w:rsid w:val="00B0308E"/>
    <w:rsid w:val="00B031F0"/>
    <w:rsid w:val="00B035BD"/>
    <w:rsid w:val="00B03DF9"/>
    <w:rsid w:val="00B04111"/>
    <w:rsid w:val="00B0424A"/>
    <w:rsid w:val="00B0523E"/>
    <w:rsid w:val="00B057C0"/>
    <w:rsid w:val="00B057C6"/>
    <w:rsid w:val="00B05BD3"/>
    <w:rsid w:val="00B05DF9"/>
    <w:rsid w:val="00B064A7"/>
    <w:rsid w:val="00B064EC"/>
    <w:rsid w:val="00B0669E"/>
    <w:rsid w:val="00B066C2"/>
    <w:rsid w:val="00B07992"/>
    <w:rsid w:val="00B07D6F"/>
    <w:rsid w:val="00B101FC"/>
    <w:rsid w:val="00B108A3"/>
    <w:rsid w:val="00B10964"/>
    <w:rsid w:val="00B10A07"/>
    <w:rsid w:val="00B10B9D"/>
    <w:rsid w:val="00B10E5D"/>
    <w:rsid w:val="00B1135B"/>
    <w:rsid w:val="00B114A7"/>
    <w:rsid w:val="00B118AC"/>
    <w:rsid w:val="00B11CA5"/>
    <w:rsid w:val="00B11F2A"/>
    <w:rsid w:val="00B11F69"/>
    <w:rsid w:val="00B122EA"/>
    <w:rsid w:val="00B123F6"/>
    <w:rsid w:val="00B12A21"/>
    <w:rsid w:val="00B12E4C"/>
    <w:rsid w:val="00B130D9"/>
    <w:rsid w:val="00B13888"/>
    <w:rsid w:val="00B13A0E"/>
    <w:rsid w:val="00B13F2B"/>
    <w:rsid w:val="00B141DB"/>
    <w:rsid w:val="00B14398"/>
    <w:rsid w:val="00B1477D"/>
    <w:rsid w:val="00B14873"/>
    <w:rsid w:val="00B155E9"/>
    <w:rsid w:val="00B15815"/>
    <w:rsid w:val="00B15FD1"/>
    <w:rsid w:val="00B162E0"/>
    <w:rsid w:val="00B16586"/>
    <w:rsid w:val="00B16A38"/>
    <w:rsid w:val="00B16CB8"/>
    <w:rsid w:val="00B1717B"/>
    <w:rsid w:val="00B2018E"/>
    <w:rsid w:val="00B20620"/>
    <w:rsid w:val="00B208BD"/>
    <w:rsid w:val="00B208C3"/>
    <w:rsid w:val="00B20BA0"/>
    <w:rsid w:val="00B20F0A"/>
    <w:rsid w:val="00B21E31"/>
    <w:rsid w:val="00B21EB4"/>
    <w:rsid w:val="00B229B4"/>
    <w:rsid w:val="00B22B49"/>
    <w:rsid w:val="00B22D7A"/>
    <w:rsid w:val="00B236FF"/>
    <w:rsid w:val="00B23760"/>
    <w:rsid w:val="00B23F8B"/>
    <w:rsid w:val="00B24A00"/>
    <w:rsid w:val="00B2508F"/>
    <w:rsid w:val="00B25826"/>
    <w:rsid w:val="00B25AA6"/>
    <w:rsid w:val="00B2647F"/>
    <w:rsid w:val="00B264FE"/>
    <w:rsid w:val="00B26CD5"/>
    <w:rsid w:val="00B272C7"/>
    <w:rsid w:val="00B27364"/>
    <w:rsid w:val="00B27A86"/>
    <w:rsid w:val="00B27E48"/>
    <w:rsid w:val="00B3005E"/>
    <w:rsid w:val="00B301D0"/>
    <w:rsid w:val="00B3044E"/>
    <w:rsid w:val="00B3132F"/>
    <w:rsid w:val="00B313A3"/>
    <w:rsid w:val="00B3144B"/>
    <w:rsid w:val="00B315FE"/>
    <w:rsid w:val="00B31766"/>
    <w:rsid w:val="00B32517"/>
    <w:rsid w:val="00B32766"/>
    <w:rsid w:val="00B32DF0"/>
    <w:rsid w:val="00B32FAA"/>
    <w:rsid w:val="00B33363"/>
    <w:rsid w:val="00B34107"/>
    <w:rsid w:val="00B3460E"/>
    <w:rsid w:val="00B34693"/>
    <w:rsid w:val="00B34BA9"/>
    <w:rsid w:val="00B34FB5"/>
    <w:rsid w:val="00B3526A"/>
    <w:rsid w:val="00B353B9"/>
    <w:rsid w:val="00B353FB"/>
    <w:rsid w:val="00B354BA"/>
    <w:rsid w:val="00B359C9"/>
    <w:rsid w:val="00B35D05"/>
    <w:rsid w:val="00B363D0"/>
    <w:rsid w:val="00B36817"/>
    <w:rsid w:val="00B36C79"/>
    <w:rsid w:val="00B370F0"/>
    <w:rsid w:val="00B37832"/>
    <w:rsid w:val="00B379D7"/>
    <w:rsid w:val="00B4086A"/>
    <w:rsid w:val="00B40A04"/>
    <w:rsid w:val="00B40AC3"/>
    <w:rsid w:val="00B40C20"/>
    <w:rsid w:val="00B40C23"/>
    <w:rsid w:val="00B41010"/>
    <w:rsid w:val="00B41375"/>
    <w:rsid w:val="00B41DEE"/>
    <w:rsid w:val="00B41F76"/>
    <w:rsid w:val="00B4236B"/>
    <w:rsid w:val="00B437F6"/>
    <w:rsid w:val="00B43B57"/>
    <w:rsid w:val="00B43C90"/>
    <w:rsid w:val="00B441D1"/>
    <w:rsid w:val="00B442A0"/>
    <w:rsid w:val="00B448A1"/>
    <w:rsid w:val="00B44948"/>
    <w:rsid w:val="00B44AED"/>
    <w:rsid w:val="00B44CE7"/>
    <w:rsid w:val="00B45071"/>
    <w:rsid w:val="00B450A7"/>
    <w:rsid w:val="00B452BC"/>
    <w:rsid w:val="00B45488"/>
    <w:rsid w:val="00B454DF"/>
    <w:rsid w:val="00B4592D"/>
    <w:rsid w:val="00B45ACD"/>
    <w:rsid w:val="00B45D17"/>
    <w:rsid w:val="00B45EDC"/>
    <w:rsid w:val="00B45F67"/>
    <w:rsid w:val="00B4663A"/>
    <w:rsid w:val="00B46CA4"/>
    <w:rsid w:val="00B475FE"/>
    <w:rsid w:val="00B4787D"/>
    <w:rsid w:val="00B47B65"/>
    <w:rsid w:val="00B5021C"/>
    <w:rsid w:val="00B50615"/>
    <w:rsid w:val="00B507A1"/>
    <w:rsid w:val="00B50BBD"/>
    <w:rsid w:val="00B50E01"/>
    <w:rsid w:val="00B51B11"/>
    <w:rsid w:val="00B51BEF"/>
    <w:rsid w:val="00B51D3F"/>
    <w:rsid w:val="00B51F61"/>
    <w:rsid w:val="00B5215A"/>
    <w:rsid w:val="00B52E84"/>
    <w:rsid w:val="00B52FD7"/>
    <w:rsid w:val="00B531C1"/>
    <w:rsid w:val="00B53AED"/>
    <w:rsid w:val="00B540C7"/>
    <w:rsid w:val="00B5457E"/>
    <w:rsid w:val="00B54937"/>
    <w:rsid w:val="00B54A31"/>
    <w:rsid w:val="00B54C91"/>
    <w:rsid w:val="00B55580"/>
    <w:rsid w:val="00B55AF8"/>
    <w:rsid w:val="00B55E30"/>
    <w:rsid w:val="00B55F67"/>
    <w:rsid w:val="00B5603A"/>
    <w:rsid w:val="00B5608C"/>
    <w:rsid w:val="00B560FD"/>
    <w:rsid w:val="00B570FA"/>
    <w:rsid w:val="00B573CE"/>
    <w:rsid w:val="00B5766F"/>
    <w:rsid w:val="00B57A89"/>
    <w:rsid w:val="00B57A98"/>
    <w:rsid w:val="00B57E17"/>
    <w:rsid w:val="00B600C2"/>
    <w:rsid w:val="00B604B2"/>
    <w:rsid w:val="00B6088F"/>
    <w:rsid w:val="00B609A2"/>
    <w:rsid w:val="00B60B07"/>
    <w:rsid w:val="00B60FD0"/>
    <w:rsid w:val="00B616B0"/>
    <w:rsid w:val="00B61788"/>
    <w:rsid w:val="00B61794"/>
    <w:rsid w:val="00B61AB3"/>
    <w:rsid w:val="00B62556"/>
    <w:rsid w:val="00B6291B"/>
    <w:rsid w:val="00B62AFC"/>
    <w:rsid w:val="00B62B27"/>
    <w:rsid w:val="00B62BD4"/>
    <w:rsid w:val="00B62EC5"/>
    <w:rsid w:val="00B63898"/>
    <w:rsid w:val="00B639DB"/>
    <w:rsid w:val="00B63BBA"/>
    <w:rsid w:val="00B63DD7"/>
    <w:rsid w:val="00B641D9"/>
    <w:rsid w:val="00B645F5"/>
    <w:rsid w:val="00B6461F"/>
    <w:rsid w:val="00B64C07"/>
    <w:rsid w:val="00B6538D"/>
    <w:rsid w:val="00B65555"/>
    <w:rsid w:val="00B6557B"/>
    <w:rsid w:val="00B659B0"/>
    <w:rsid w:val="00B65D08"/>
    <w:rsid w:val="00B65DA8"/>
    <w:rsid w:val="00B6626A"/>
    <w:rsid w:val="00B6648B"/>
    <w:rsid w:val="00B66651"/>
    <w:rsid w:val="00B66EE8"/>
    <w:rsid w:val="00B679E3"/>
    <w:rsid w:val="00B67A8C"/>
    <w:rsid w:val="00B67B72"/>
    <w:rsid w:val="00B70232"/>
    <w:rsid w:val="00B7073D"/>
    <w:rsid w:val="00B707C0"/>
    <w:rsid w:val="00B70AB0"/>
    <w:rsid w:val="00B70F37"/>
    <w:rsid w:val="00B72551"/>
    <w:rsid w:val="00B72D25"/>
    <w:rsid w:val="00B73BA4"/>
    <w:rsid w:val="00B741FC"/>
    <w:rsid w:val="00B74A6B"/>
    <w:rsid w:val="00B753D8"/>
    <w:rsid w:val="00B75EDF"/>
    <w:rsid w:val="00B76021"/>
    <w:rsid w:val="00B769BE"/>
    <w:rsid w:val="00B76B8E"/>
    <w:rsid w:val="00B76CA9"/>
    <w:rsid w:val="00B76DF1"/>
    <w:rsid w:val="00B777B4"/>
    <w:rsid w:val="00B77A6D"/>
    <w:rsid w:val="00B77A94"/>
    <w:rsid w:val="00B800D7"/>
    <w:rsid w:val="00B80291"/>
    <w:rsid w:val="00B808C9"/>
    <w:rsid w:val="00B80D35"/>
    <w:rsid w:val="00B80E06"/>
    <w:rsid w:val="00B80EB6"/>
    <w:rsid w:val="00B823E5"/>
    <w:rsid w:val="00B82C21"/>
    <w:rsid w:val="00B82D52"/>
    <w:rsid w:val="00B82E37"/>
    <w:rsid w:val="00B82FF5"/>
    <w:rsid w:val="00B833DB"/>
    <w:rsid w:val="00B836E6"/>
    <w:rsid w:val="00B84C32"/>
    <w:rsid w:val="00B84D7D"/>
    <w:rsid w:val="00B853D5"/>
    <w:rsid w:val="00B854AC"/>
    <w:rsid w:val="00B858D2"/>
    <w:rsid w:val="00B85BA8"/>
    <w:rsid w:val="00B85C7E"/>
    <w:rsid w:val="00B85FBD"/>
    <w:rsid w:val="00B86545"/>
    <w:rsid w:val="00B867DF"/>
    <w:rsid w:val="00B8686A"/>
    <w:rsid w:val="00B86B9D"/>
    <w:rsid w:val="00B875B2"/>
    <w:rsid w:val="00B8762D"/>
    <w:rsid w:val="00B87BBF"/>
    <w:rsid w:val="00B87BCD"/>
    <w:rsid w:val="00B900E2"/>
    <w:rsid w:val="00B90AE3"/>
    <w:rsid w:val="00B90C8B"/>
    <w:rsid w:val="00B90DAF"/>
    <w:rsid w:val="00B90F29"/>
    <w:rsid w:val="00B919B7"/>
    <w:rsid w:val="00B92258"/>
    <w:rsid w:val="00B92461"/>
    <w:rsid w:val="00B9263B"/>
    <w:rsid w:val="00B92ECA"/>
    <w:rsid w:val="00B92F02"/>
    <w:rsid w:val="00B93823"/>
    <w:rsid w:val="00B93A1C"/>
    <w:rsid w:val="00B93E7B"/>
    <w:rsid w:val="00B94170"/>
    <w:rsid w:val="00B94410"/>
    <w:rsid w:val="00B944DD"/>
    <w:rsid w:val="00B94D31"/>
    <w:rsid w:val="00B94EAC"/>
    <w:rsid w:val="00B94EFF"/>
    <w:rsid w:val="00B95431"/>
    <w:rsid w:val="00B95FA0"/>
    <w:rsid w:val="00B96245"/>
    <w:rsid w:val="00B964F2"/>
    <w:rsid w:val="00B96811"/>
    <w:rsid w:val="00B96A73"/>
    <w:rsid w:val="00B97078"/>
    <w:rsid w:val="00B9748A"/>
    <w:rsid w:val="00B97724"/>
    <w:rsid w:val="00B978C9"/>
    <w:rsid w:val="00B97C4B"/>
    <w:rsid w:val="00BA007B"/>
    <w:rsid w:val="00BA0967"/>
    <w:rsid w:val="00BA0CBF"/>
    <w:rsid w:val="00BA148B"/>
    <w:rsid w:val="00BA1567"/>
    <w:rsid w:val="00BA161A"/>
    <w:rsid w:val="00BA1720"/>
    <w:rsid w:val="00BA1B87"/>
    <w:rsid w:val="00BA21C6"/>
    <w:rsid w:val="00BA23C5"/>
    <w:rsid w:val="00BA337B"/>
    <w:rsid w:val="00BA344D"/>
    <w:rsid w:val="00BA4069"/>
    <w:rsid w:val="00BA406F"/>
    <w:rsid w:val="00BA4684"/>
    <w:rsid w:val="00BA4B6F"/>
    <w:rsid w:val="00BA4C2A"/>
    <w:rsid w:val="00BA5B0D"/>
    <w:rsid w:val="00BA5C4B"/>
    <w:rsid w:val="00BA5F43"/>
    <w:rsid w:val="00BA62D2"/>
    <w:rsid w:val="00BA65F2"/>
    <w:rsid w:val="00BA66D6"/>
    <w:rsid w:val="00BA68F1"/>
    <w:rsid w:val="00BA7434"/>
    <w:rsid w:val="00BA7E87"/>
    <w:rsid w:val="00BB01E3"/>
    <w:rsid w:val="00BB03FD"/>
    <w:rsid w:val="00BB0609"/>
    <w:rsid w:val="00BB1527"/>
    <w:rsid w:val="00BB19F3"/>
    <w:rsid w:val="00BB2F55"/>
    <w:rsid w:val="00BB37CA"/>
    <w:rsid w:val="00BB3B74"/>
    <w:rsid w:val="00BB3C2D"/>
    <w:rsid w:val="00BB4332"/>
    <w:rsid w:val="00BB47E5"/>
    <w:rsid w:val="00BB50FA"/>
    <w:rsid w:val="00BB5239"/>
    <w:rsid w:val="00BB5428"/>
    <w:rsid w:val="00BB564A"/>
    <w:rsid w:val="00BB5E44"/>
    <w:rsid w:val="00BB5F70"/>
    <w:rsid w:val="00BB6BB7"/>
    <w:rsid w:val="00BB6BE7"/>
    <w:rsid w:val="00BB6D01"/>
    <w:rsid w:val="00BB70BA"/>
    <w:rsid w:val="00BB729B"/>
    <w:rsid w:val="00BB7416"/>
    <w:rsid w:val="00BB762C"/>
    <w:rsid w:val="00BB7659"/>
    <w:rsid w:val="00BB7964"/>
    <w:rsid w:val="00BC03B7"/>
    <w:rsid w:val="00BC05A4"/>
    <w:rsid w:val="00BC0A85"/>
    <w:rsid w:val="00BC0C88"/>
    <w:rsid w:val="00BC1272"/>
    <w:rsid w:val="00BC1D0A"/>
    <w:rsid w:val="00BC2016"/>
    <w:rsid w:val="00BC22B5"/>
    <w:rsid w:val="00BC2706"/>
    <w:rsid w:val="00BC2B50"/>
    <w:rsid w:val="00BC2ED2"/>
    <w:rsid w:val="00BC3391"/>
    <w:rsid w:val="00BC3ECB"/>
    <w:rsid w:val="00BC430D"/>
    <w:rsid w:val="00BC4DAA"/>
    <w:rsid w:val="00BC4FCE"/>
    <w:rsid w:val="00BC53DB"/>
    <w:rsid w:val="00BC5710"/>
    <w:rsid w:val="00BC5B1F"/>
    <w:rsid w:val="00BC5BBC"/>
    <w:rsid w:val="00BC61CC"/>
    <w:rsid w:val="00BC65E8"/>
    <w:rsid w:val="00BC668F"/>
    <w:rsid w:val="00BC6872"/>
    <w:rsid w:val="00BC6A61"/>
    <w:rsid w:val="00BC7446"/>
    <w:rsid w:val="00BC756A"/>
    <w:rsid w:val="00BD038F"/>
    <w:rsid w:val="00BD03A2"/>
    <w:rsid w:val="00BD0DEC"/>
    <w:rsid w:val="00BD106C"/>
    <w:rsid w:val="00BD107F"/>
    <w:rsid w:val="00BD1532"/>
    <w:rsid w:val="00BD161D"/>
    <w:rsid w:val="00BD185F"/>
    <w:rsid w:val="00BD1863"/>
    <w:rsid w:val="00BD1EA9"/>
    <w:rsid w:val="00BD20B0"/>
    <w:rsid w:val="00BD2879"/>
    <w:rsid w:val="00BD2980"/>
    <w:rsid w:val="00BD2991"/>
    <w:rsid w:val="00BD2D68"/>
    <w:rsid w:val="00BD2E53"/>
    <w:rsid w:val="00BD2ED5"/>
    <w:rsid w:val="00BD2FF5"/>
    <w:rsid w:val="00BD3358"/>
    <w:rsid w:val="00BD364C"/>
    <w:rsid w:val="00BD3C88"/>
    <w:rsid w:val="00BD4088"/>
    <w:rsid w:val="00BD48AF"/>
    <w:rsid w:val="00BD4AD6"/>
    <w:rsid w:val="00BD4EFE"/>
    <w:rsid w:val="00BD5220"/>
    <w:rsid w:val="00BD5B32"/>
    <w:rsid w:val="00BD608B"/>
    <w:rsid w:val="00BD63A6"/>
    <w:rsid w:val="00BD6F4F"/>
    <w:rsid w:val="00BE0496"/>
    <w:rsid w:val="00BE09A1"/>
    <w:rsid w:val="00BE0EC4"/>
    <w:rsid w:val="00BE1138"/>
    <w:rsid w:val="00BE16B8"/>
    <w:rsid w:val="00BE2088"/>
    <w:rsid w:val="00BE21FD"/>
    <w:rsid w:val="00BE27DC"/>
    <w:rsid w:val="00BE2DAD"/>
    <w:rsid w:val="00BE3218"/>
    <w:rsid w:val="00BE35CF"/>
    <w:rsid w:val="00BE427A"/>
    <w:rsid w:val="00BE4AA9"/>
    <w:rsid w:val="00BE4AC0"/>
    <w:rsid w:val="00BE4BB5"/>
    <w:rsid w:val="00BE4C64"/>
    <w:rsid w:val="00BE4E41"/>
    <w:rsid w:val="00BE5547"/>
    <w:rsid w:val="00BE633F"/>
    <w:rsid w:val="00BE6B35"/>
    <w:rsid w:val="00BE6C53"/>
    <w:rsid w:val="00BE6C73"/>
    <w:rsid w:val="00BE6F3D"/>
    <w:rsid w:val="00BE7362"/>
    <w:rsid w:val="00BE76AF"/>
    <w:rsid w:val="00BE7884"/>
    <w:rsid w:val="00BF051A"/>
    <w:rsid w:val="00BF0550"/>
    <w:rsid w:val="00BF0A12"/>
    <w:rsid w:val="00BF0D97"/>
    <w:rsid w:val="00BF0E1A"/>
    <w:rsid w:val="00BF1203"/>
    <w:rsid w:val="00BF1272"/>
    <w:rsid w:val="00BF1399"/>
    <w:rsid w:val="00BF1D88"/>
    <w:rsid w:val="00BF1D8D"/>
    <w:rsid w:val="00BF222A"/>
    <w:rsid w:val="00BF2E1B"/>
    <w:rsid w:val="00BF3191"/>
    <w:rsid w:val="00BF3659"/>
    <w:rsid w:val="00BF3887"/>
    <w:rsid w:val="00BF46C5"/>
    <w:rsid w:val="00BF485D"/>
    <w:rsid w:val="00BF4A6A"/>
    <w:rsid w:val="00BF4BA0"/>
    <w:rsid w:val="00BF4D9F"/>
    <w:rsid w:val="00BF51FE"/>
    <w:rsid w:val="00BF525C"/>
    <w:rsid w:val="00BF545E"/>
    <w:rsid w:val="00BF619E"/>
    <w:rsid w:val="00BF6A4B"/>
    <w:rsid w:val="00BF7336"/>
    <w:rsid w:val="00BF7957"/>
    <w:rsid w:val="00BF7A6E"/>
    <w:rsid w:val="00C002E3"/>
    <w:rsid w:val="00C0052E"/>
    <w:rsid w:val="00C00F54"/>
    <w:rsid w:val="00C01587"/>
    <w:rsid w:val="00C01619"/>
    <w:rsid w:val="00C01DF4"/>
    <w:rsid w:val="00C0205A"/>
    <w:rsid w:val="00C02BC8"/>
    <w:rsid w:val="00C0338E"/>
    <w:rsid w:val="00C03FF7"/>
    <w:rsid w:val="00C04F4F"/>
    <w:rsid w:val="00C04F53"/>
    <w:rsid w:val="00C05332"/>
    <w:rsid w:val="00C058EE"/>
    <w:rsid w:val="00C059DD"/>
    <w:rsid w:val="00C05B89"/>
    <w:rsid w:val="00C05BD5"/>
    <w:rsid w:val="00C05C9B"/>
    <w:rsid w:val="00C062A1"/>
    <w:rsid w:val="00C064B2"/>
    <w:rsid w:val="00C066DA"/>
    <w:rsid w:val="00C06B02"/>
    <w:rsid w:val="00C072F6"/>
    <w:rsid w:val="00C0733E"/>
    <w:rsid w:val="00C078A6"/>
    <w:rsid w:val="00C07A1E"/>
    <w:rsid w:val="00C07C58"/>
    <w:rsid w:val="00C07DD0"/>
    <w:rsid w:val="00C100C7"/>
    <w:rsid w:val="00C1012E"/>
    <w:rsid w:val="00C102C8"/>
    <w:rsid w:val="00C10372"/>
    <w:rsid w:val="00C106D8"/>
    <w:rsid w:val="00C109B4"/>
    <w:rsid w:val="00C1111C"/>
    <w:rsid w:val="00C11343"/>
    <w:rsid w:val="00C11A49"/>
    <w:rsid w:val="00C11D00"/>
    <w:rsid w:val="00C12173"/>
    <w:rsid w:val="00C121B8"/>
    <w:rsid w:val="00C1297B"/>
    <w:rsid w:val="00C13549"/>
    <w:rsid w:val="00C1367D"/>
    <w:rsid w:val="00C138B7"/>
    <w:rsid w:val="00C13B33"/>
    <w:rsid w:val="00C13B6B"/>
    <w:rsid w:val="00C13B86"/>
    <w:rsid w:val="00C1523D"/>
    <w:rsid w:val="00C152FD"/>
    <w:rsid w:val="00C153C4"/>
    <w:rsid w:val="00C153FE"/>
    <w:rsid w:val="00C154E2"/>
    <w:rsid w:val="00C15A56"/>
    <w:rsid w:val="00C160E7"/>
    <w:rsid w:val="00C161D2"/>
    <w:rsid w:val="00C16241"/>
    <w:rsid w:val="00C16341"/>
    <w:rsid w:val="00C16669"/>
    <w:rsid w:val="00C1688F"/>
    <w:rsid w:val="00C16C96"/>
    <w:rsid w:val="00C178CE"/>
    <w:rsid w:val="00C17AB0"/>
    <w:rsid w:val="00C17C45"/>
    <w:rsid w:val="00C17D51"/>
    <w:rsid w:val="00C21F72"/>
    <w:rsid w:val="00C21FF3"/>
    <w:rsid w:val="00C2214C"/>
    <w:rsid w:val="00C2227A"/>
    <w:rsid w:val="00C22538"/>
    <w:rsid w:val="00C225AD"/>
    <w:rsid w:val="00C229CC"/>
    <w:rsid w:val="00C22DF4"/>
    <w:rsid w:val="00C22EEC"/>
    <w:rsid w:val="00C2313F"/>
    <w:rsid w:val="00C23252"/>
    <w:rsid w:val="00C23443"/>
    <w:rsid w:val="00C23601"/>
    <w:rsid w:val="00C2400E"/>
    <w:rsid w:val="00C2432D"/>
    <w:rsid w:val="00C245CA"/>
    <w:rsid w:val="00C248A8"/>
    <w:rsid w:val="00C249D1"/>
    <w:rsid w:val="00C25367"/>
    <w:rsid w:val="00C26C60"/>
    <w:rsid w:val="00C27580"/>
    <w:rsid w:val="00C2785E"/>
    <w:rsid w:val="00C27A68"/>
    <w:rsid w:val="00C27CE8"/>
    <w:rsid w:val="00C27DA7"/>
    <w:rsid w:val="00C27F6D"/>
    <w:rsid w:val="00C30578"/>
    <w:rsid w:val="00C30C76"/>
    <w:rsid w:val="00C312AA"/>
    <w:rsid w:val="00C312F6"/>
    <w:rsid w:val="00C3145E"/>
    <w:rsid w:val="00C3151A"/>
    <w:rsid w:val="00C31BED"/>
    <w:rsid w:val="00C320BD"/>
    <w:rsid w:val="00C323EB"/>
    <w:rsid w:val="00C32711"/>
    <w:rsid w:val="00C327CF"/>
    <w:rsid w:val="00C32993"/>
    <w:rsid w:val="00C32BDF"/>
    <w:rsid w:val="00C33030"/>
    <w:rsid w:val="00C33450"/>
    <w:rsid w:val="00C33D2D"/>
    <w:rsid w:val="00C341EB"/>
    <w:rsid w:val="00C34D54"/>
    <w:rsid w:val="00C3522C"/>
    <w:rsid w:val="00C35CCC"/>
    <w:rsid w:val="00C35D82"/>
    <w:rsid w:val="00C35F45"/>
    <w:rsid w:val="00C35F7B"/>
    <w:rsid w:val="00C366DE"/>
    <w:rsid w:val="00C36F07"/>
    <w:rsid w:val="00C3722C"/>
    <w:rsid w:val="00C37EE7"/>
    <w:rsid w:val="00C400CA"/>
    <w:rsid w:val="00C406D5"/>
    <w:rsid w:val="00C407C1"/>
    <w:rsid w:val="00C40A80"/>
    <w:rsid w:val="00C40F29"/>
    <w:rsid w:val="00C4115C"/>
    <w:rsid w:val="00C41E78"/>
    <w:rsid w:val="00C42439"/>
    <w:rsid w:val="00C42635"/>
    <w:rsid w:val="00C42713"/>
    <w:rsid w:val="00C42D3D"/>
    <w:rsid w:val="00C43AE3"/>
    <w:rsid w:val="00C44277"/>
    <w:rsid w:val="00C445C4"/>
    <w:rsid w:val="00C4477B"/>
    <w:rsid w:val="00C44A22"/>
    <w:rsid w:val="00C44EC0"/>
    <w:rsid w:val="00C45609"/>
    <w:rsid w:val="00C4594A"/>
    <w:rsid w:val="00C46037"/>
    <w:rsid w:val="00C46057"/>
    <w:rsid w:val="00C46356"/>
    <w:rsid w:val="00C4668D"/>
    <w:rsid w:val="00C46B09"/>
    <w:rsid w:val="00C46C21"/>
    <w:rsid w:val="00C46FC2"/>
    <w:rsid w:val="00C46FDE"/>
    <w:rsid w:val="00C46FDF"/>
    <w:rsid w:val="00C4711E"/>
    <w:rsid w:val="00C473B7"/>
    <w:rsid w:val="00C47D60"/>
    <w:rsid w:val="00C47E7B"/>
    <w:rsid w:val="00C5043A"/>
    <w:rsid w:val="00C51635"/>
    <w:rsid w:val="00C51B3B"/>
    <w:rsid w:val="00C51BE8"/>
    <w:rsid w:val="00C528CC"/>
    <w:rsid w:val="00C52AB2"/>
    <w:rsid w:val="00C52D86"/>
    <w:rsid w:val="00C5356C"/>
    <w:rsid w:val="00C53E00"/>
    <w:rsid w:val="00C54495"/>
    <w:rsid w:val="00C547A4"/>
    <w:rsid w:val="00C54903"/>
    <w:rsid w:val="00C54A75"/>
    <w:rsid w:val="00C54ECC"/>
    <w:rsid w:val="00C54FF8"/>
    <w:rsid w:val="00C5531F"/>
    <w:rsid w:val="00C56557"/>
    <w:rsid w:val="00C570EB"/>
    <w:rsid w:val="00C5735B"/>
    <w:rsid w:val="00C574AE"/>
    <w:rsid w:val="00C57983"/>
    <w:rsid w:val="00C57D2C"/>
    <w:rsid w:val="00C57FA7"/>
    <w:rsid w:val="00C600E6"/>
    <w:rsid w:val="00C6012F"/>
    <w:rsid w:val="00C60708"/>
    <w:rsid w:val="00C6071A"/>
    <w:rsid w:val="00C60D71"/>
    <w:rsid w:val="00C60DA3"/>
    <w:rsid w:val="00C60E91"/>
    <w:rsid w:val="00C60F46"/>
    <w:rsid w:val="00C6101A"/>
    <w:rsid w:val="00C6111B"/>
    <w:rsid w:val="00C61169"/>
    <w:rsid w:val="00C61562"/>
    <w:rsid w:val="00C6167F"/>
    <w:rsid w:val="00C619E6"/>
    <w:rsid w:val="00C61BD2"/>
    <w:rsid w:val="00C6225C"/>
    <w:rsid w:val="00C62B0C"/>
    <w:rsid w:val="00C62D5C"/>
    <w:rsid w:val="00C63072"/>
    <w:rsid w:val="00C63386"/>
    <w:rsid w:val="00C638DB"/>
    <w:rsid w:val="00C63A70"/>
    <w:rsid w:val="00C63AEA"/>
    <w:rsid w:val="00C63FB6"/>
    <w:rsid w:val="00C64195"/>
    <w:rsid w:val="00C641AA"/>
    <w:rsid w:val="00C646D3"/>
    <w:rsid w:val="00C64758"/>
    <w:rsid w:val="00C64F46"/>
    <w:rsid w:val="00C65AE3"/>
    <w:rsid w:val="00C65D3A"/>
    <w:rsid w:val="00C663E0"/>
    <w:rsid w:val="00C66D13"/>
    <w:rsid w:val="00C671E0"/>
    <w:rsid w:val="00C67639"/>
    <w:rsid w:val="00C70243"/>
    <w:rsid w:val="00C7040F"/>
    <w:rsid w:val="00C70419"/>
    <w:rsid w:val="00C7046F"/>
    <w:rsid w:val="00C7056C"/>
    <w:rsid w:val="00C7064A"/>
    <w:rsid w:val="00C70736"/>
    <w:rsid w:val="00C708CE"/>
    <w:rsid w:val="00C70A65"/>
    <w:rsid w:val="00C70C2E"/>
    <w:rsid w:val="00C70D8D"/>
    <w:rsid w:val="00C70DD5"/>
    <w:rsid w:val="00C70E49"/>
    <w:rsid w:val="00C70F3C"/>
    <w:rsid w:val="00C7100C"/>
    <w:rsid w:val="00C7107B"/>
    <w:rsid w:val="00C71F8C"/>
    <w:rsid w:val="00C721C1"/>
    <w:rsid w:val="00C72270"/>
    <w:rsid w:val="00C723FB"/>
    <w:rsid w:val="00C73187"/>
    <w:rsid w:val="00C735EC"/>
    <w:rsid w:val="00C736D0"/>
    <w:rsid w:val="00C73862"/>
    <w:rsid w:val="00C73CF9"/>
    <w:rsid w:val="00C74193"/>
    <w:rsid w:val="00C747FB"/>
    <w:rsid w:val="00C74BD7"/>
    <w:rsid w:val="00C74CDE"/>
    <w:rsid w:val="00C75701"/>
    <w:rsid w:val="00C75EB6"/>
    <w:rsid w:val="00C76239"/>
    <w:rsid w:val="00C76F7D"/>
    <w:rsid w:val="00C771DC"/>
    <w:rsid w:val="00C7725C"/>
    <w:rsid w:val="00C77591"/>
    <w:rsid w:val="00C77A6F"/>
    <w:rsid w:val="00C77DD1"/>
    <w:rsid w:val="00C8000F"/>
    <w:rsid w:val="00C80135"/>
    <w:rsid w:val="00C8058C"/>
    <w:rsid w:val="00C805A5"/>
    <w:rsid w:val="00C808A1"/>
    <w:rsid w:val="00C81082"/>
    <w:rsid w:val="00C811ED"/>
    <w:rsid w:val="00C81278"/>
    <w:rsid w:val="00C81AEE"/>
    <w:rsid w:val="00C81CF8"/>
    <w:rsid w:val="00C81EF4"/>
    <w:rsid w:val="00C82289"/>
    <w:rsid w:val="00C824C1"/>
    <w:rsid w:val="00C82775"/>
    <w:rsid w:val="00C82A3D"/>
    <w:rsid w:val="00C82BEF"/>
    <w:rsid w:val="00C832AF"/>
    <w:rsid w:val="00C83857"/>
    <w:rsid w:val="00C84C6E"/>
    <w:rsid w:val="00C84CF0"/>
    <w:rsid w:val="00C8511A"/>
    <w:rsid w:val="00C85C7A"/>
    <w:rsid w:val="00C85D7C"/>
    <w:rsid w:val="00C868FF"/>
    <w:rsid w:val="00C86BC1"/>
    <w:rsid w:val="00C86DBF"/>
    <w:rsid w:val="00C878AA"/>
    <w:rsid w:val="00C905BA"/>
    <w:rsid w:val="00C905BE"/>
    <w:rsid w:val="00C90757"/>
    <w:rsid w:val="00C90B08"/>
    <w:rsid w:val="00C91063"/>
    <w:rsid w:val="00C91809"/>
    <w:rsid w:val="00C9214A"/>
    <w:rsid w:val="00C92633"/>
    <w:rsid w:val="00C9319D"/>
    <w:rsid w:val="00C932F7"/>
    <w:rsid w:val="00C9331D"/>
    <w:rsid w:val="00C934AF"/>
    <w:rsid w:val="00C93A9B"/>
    <w:rsid w:val="00C93B13"/>
    <w:rsid w:val="00C947AA"/>
    <w:rsid w:val="00C948BD"/>
    <w:rsid w:val="00C94B9D"/>
    <w:rsid w:val="00C94CF7"/>
    <w:rsid w:val="00C94DE7"/>
    <w:rsid w:val="00C9547D"/>
    <w:rsid w:val="00C958A8"/>
    <w:rsid w:val="00C95B32"/>
    <w:rsid w:val="00C96114"/>
    <w:rsid w:val="00C96240"/>
    <w:rsid w:val="00C967BC"/>
    <w:rsid w:val="00C96953"/>
    <w:rsid w:val="00C96B69"/>
    <w:rsid w:val="00C97243"/>
    <w:rsid w:val="00C97F64"/>
    <w:rsid w:val="00CA0876"/>
    <w:rsid w:val="00CA091E"/>
    <w:rsid w:val="00CA09DC"/>
    <w:rsid w:val="00CA0A3C"/>
    <w:rsid w:val="00CA0CB6"/>
    <w:rsid w:val="00CA0E4D"/>
    <w:rsid w:val="00CA12D4"/>
    <w:rsid w:val="00CA1507"/>
    <w:rsid w:val="00CA18CA"/>
    <w:rsid w:val="00CA19D0"/>
    <w:rsid w:val="00CA22AF"/>
    <w:rsid w:val="00CA230C"/>
    <w:rsid w:val="00CA2765"/>
    <w:rsid w:val="00CA2C03"/>
    <w:rsid w:val="00CA2E90"/>
    <w:rsid w:val="00CA2F48"/>
    <w:rsid w:val="00CA3DE8"/>
    <w:rsid w:val="00CA3EE0"/>
    <w:rsid w:val="00CA40E5"/>
    <w:rsid w:val="00CA4743"/>
    <w:rsid w:val="00CA4A69"/>
    <w:rsid w:val="00CA4C92"/>
    <w:rsid w:val="00CA4E52"/>
    <w:rsid w:val="00CA4EA0"/>
    <w:rsid w:val="00CA5432"/>
    <w:rsid w:val="00CA5A43"/>
    <w:rsid w:val="00CA5B8E"/>
    <w:rsid w:val="00CA5C99"/>
    <w:rsid w:val="00CA6174"/>
    <w:rsid w:val="00CA66F3"/>
    <w:rsid w:val="00CA6ED9"/>
    <w:rsid w:val="00CA6F51"/>
    <w:rsid w:val="00CA7846"/>
    <w:rsid w:val="00CA79A4"/>
    <w:rsid w:val="00CA7A2D"/>
    <w:rsid w:val="00CB078E"/>
    <w:rsid w:val="00CB0DEE"/>
    <w:rsid w:val="00CB16AE"/>
    <w:rsid w:val="00CB1944"/>
    <w:rsid w:val="00CB1B2E"/>
    <w:rsid w:val="00CB1E5D"/>
    <w:rsid w:val="00CB209D"/>
    <w:rsid w:val="00CB22F4"/>
    <w:rsid w:val="00CB2B34"/>
    <w:rsid w:val="00CB2BE5"/>
    <w:rsid w:val="00CB2DB5"/>
    <w:rsid w:val="00CB2EF4"/>
    <w:rsid w:val="00CB3548"/>
    <w:rsid w:val="00CB36F2"/>
    <w:rsid w:val="00CB3904"/>
    <w:rsid w:val="00CB4780"/>
    <w:rsid w:val="00CB4A00"/>
    <w:rsid w:val="00CB4A5B"/>
    <w:rsid w:val="00CB5986"/>
    <w:rsid w:val="00CB5EFE"/>
    <w:rsid w:val="00CB6282"/>
    <w:rsid w:val="00CB633B"/>
    <w:rsid w:val="00CB666A"/>
    <w:rsid w:val="00CB6CF4"/>
    <w:rsid w:val="00CB6DBF"/>
    <w:rsid w:val="00CB6F68"/>
    <w:rsid w:val="00CB764B"/>
    <w:rsid w:val="00CB7EF3"/>
    <w:rsid w:val="00CC0BB0"/>
    <w:rsid w:val="00CC0C24"/>
    <w:rsid w:val="00CC1071"/>
    <w:rsid w:val="00CC118D"/>
    <w:rsid w:val="00CC13BD"/>
    <w:rsid w:val="00CC15B1"/>
    <w:rsid w:val="00CC1A2D"/>
    <w:rsid w:val="00CC2601"/>
    <w:rsid w:val="00CC2C61"/>
    <w:rsid w:val="00CC310B"/>
    <w:rsid w:val="00CC382F"/>
    <w:rsid w:val="00CC3CD0"/>
    <w:rsid w:val="00CC425D"/>
    <w:rsid w:val="00CC551B"/>
    <w:rsid w:val="00CC5EC8"/>
    <w:rsid w:val="00CC5EE2"/>
    <w:rsid w:val="00CC659E"/>
    <w:rsid w:val="00CC66AC"/>
    <w:rsid w:val="00CC784F"/>
    <w:rsid w:val="00CD028D"/>
    <w:rsid w:val="00CD1CB4"/>
    <w:rsid w:val="00CD1CC3"/>
    <w:rsid w:val="00CD2130"/>
    <w:rsid w:val="00CD221F"/>
    <w:rsid w:val="00CD23CE"/>
    <w:rsid w:val="00CD24F7"/>
    <w:rsid w:val="00CD28DD"/>
    <w:rsid w:val="00CD2B11"/>
    <w:rsid w:val="00CD3AA7"/>
    <w:rsid w:val="00CD3D93"/>
    <w:rsid w:val="00CD3DD8"/>
    <w:rsid w:val="00CD482B"/>
    <w:rsid w:val="00CD501F"/>
    <w:rsid w:val="00CD5166"/>
    <w:rsid w:val="00CD516C"/>
    <w:rsid w:val="00CD5241"/>
    <w:rsid w:val="00CD5375"/>
    <w:rsid w:val="00CD53CB"/>
    <w:rsid w:val="00CD5594"/>
    <w:rsid w:val="00CD5AED"/>
    <w:rsid w:val="00CD601F"/>
    <w:rsid w:val="00CD650A"/>
    <w:rsid w:val="00CD65E7"/>
    <w:rsid w:val="00CD672C"/>
    <w:rsid w:val="00CD6E9C"/>
    <w:rsid w:val="00CD6F3E"/>
    <w:rsid w:val="00CD7373"/>
    <w:rsid w:val="00CD73CE"/>
    <w:rsid w:val="00CD74F1"/>
    <w:rsid w:val="00CD7682"/>
    <w:rsid w:val="00CD76AB"/>
    <w:rsid w:val="00CD7716"/>
    <w:rsid w:val="00CD7C64"/>
    <w:rsid w:val="00CE04A3"/>
    <w:rsid w:val="00CE04E5"/>
    <w:rsid w:val="00CE0DA7"/>
    <w:rsid w:val="00CE0F61"/>
    <w:rsid w:val="00CE0F65"/>
    <w:rsid w:val="00CE11BC"/>
    <w:rsid w:val="00CE1442"/>
    <w:rsid w:val="00CE19D6"/>
    <w:rsid w:val="00CE2481"/>
    <w:rsid w:val="00CE2FB2"/>
    <w:rsid w:val="00CE40E7"/>
    <w:rsid w:val="00CE42F9"/>
    <w:rsid w:val="00CE46B0"/>
    <w:rsid w:val="00CE4707"/>
    <w:rsid w:val="00CE4885"/>
    <w:rsid w:val="00CE489C"/>
    <w:rsid w:val="00CE4B44"/>
    <w:rsid w:val="00CE4F32"/>
    <w:rsid w:val="00CE503E"/>
    <w:rsid w:val="00CE5419"/>
    <w:rsid w:val="00CE60A8"/>
    <w:rsid w:val="00CE6649"/>
    <w:rsid w:val="00CE674E"/>
    <w:rsid w:val="00CE6E4F"/>
    <w:rsid w:val="00CE7037"/>
    <w:rsid w:val="00CE7375"/>
    <w:rsid w:val="00CE762A"/>
    <w:rsid w:val="00CE7D7D"/>
    <w:rsid w:val="00CF04EA"/>
    <w:rsid w:val="00CF09C9"/>
    <w:rsid w:val="00CF0CE0"/>
    <w:rsid w:val="00CF0DCD"/>
    <w:rsid w:val="00CF104C"/>
    <w:rsid w:val="00CF1240"/>
    <w:rsid w:val="00CF15A9"/>
    <w:rsid w:val="00CF1607"/>
    <w:rsid w:val="00CF1622"/>
    <w:rsid w:val="00CF1741"/>
    <w:rsid w:val="00CF1FC2"/>
    <w:rsid w:val="00CF2631"/>
    <w:rsid w:val="00CF3228"/>
    <w:rsid w:val="00CF33DD"/>
    <w:rsid w:val="00CF3505"/>
    <w:rsid w:val="00CF45C2"/>
    <w:rsid w:val="00CF4660"/>
    <w:rsid w:val="00CF4F0B"/>
    <w:rsid w:val="00CF4FBE"/>
    <w:rsid w:val="00CF5A34"/>
    <w:rsid w:val="00CF5E2F"/>
    <w:rsid w:val="00CF61E2"/>
    <w:rsid w:val="00CF6DC6"/>
    <w:rsid w:val="00CF7305"/>
    <w:rsid w:val="00CF76F7"/>
    <w:rsid w:val="00CF786E"/>
    <w:rsid w:val="00CF7DC7"/>
    <w:rsid w:val="00D0000E"/>
    <w:rsid w:val="00D009D8"/>
    <w:rsid w:val="00D00C5B"/>
    <w:rsid w:val="00D01291"/>
    <w:rsid w:val="00D01387"/>
    <w:rsid w:val="00D01537"/>
    <w:rsid w:val="00D01569"/>
    <w:rsid w:val="00D0162B"/>
    <w:rsid w:val="00D01DCE"/>
    <w:rsid w:val="00D01F13"/>
    <w:rsid w:val="00D020F2"/>
    <w:rsid w:val="00D02153"/>
    <w:rsid w:val="00D02583"/>
    <w:rsid w:val="00D027B3"/>
    <w:rsid w:val="00D0286F"/>
    <w:rsid w:val="00D02A2B"/>
    <w:rsid w:val="00D02A46"/>
    <w:rsid w:val="00D02C7A"/>
    <w:rsid w:val="00D02E7D"/>
    <w:rsid w:val="00D02F87"/>
    <w:rsid w:val="00D032A3"/>
    <w:rsid w:val="00D03C17"/>
    <w:rsid w:val="00D03E3D"/>
    <w:rsid w:val="00D04074"/>
    <w:rsid w:val="00D049D8"/>
    <w:rsid w:val="00D04BCB"/>
    <w:rsid w:val="00D05208"/>
    <w:rsid w:val="00D054EF"/>
    <w:rsid w:val="00D05788"/>
    <w:rsid w:val="00D05C55"/>
    <w:rsid w:val="00D06092"/>
    <w:rsid w:val="00D06B54"/>
    <w:rsid w:val="00D06CCD"/>
    <w:rsid w:val="00D071BF"/>
    <w:rsid w:val="00D07244"/>
    <w:rsid w:val="00D074A2"/>
    <w:rsid w:val="00D104FB"/>
    <w:rsid w:val="00D1124A"/>
    <w:rsid w:val="00D1238A"/>
    <w:rsid w:val="00D123C4"/>
    <w:rsid w:val="00D127BD"/>
    <w:rsid w:val="00D12B4C"/>
    <w:rsid w:val="00D12DFE"/>
    <w:rsid w:val="00D12F38"/>
    <w:rsid w:val="00D1305F"/>
    <w:rsid w:val="00D131E6"/>
    <w:rsid w:val="00D13A72"/>
    <w:rsid w:val="00D14418"/>
    <w:rsid w:val="00D15E43"/>
    <w:rsid w:val="00D1633A"/>
    <w:rsid w:val="00D16857"/>
    <w:rsid w:val="00D16A02"/>
    <w:rsid w:val="00D16C5A"/>
    <w:rsid w:val="00D16C8B"/>
    <w:rsid w:val="00D1731E"/>
    <w:rsid w:val="00D17486"/>
    <w:rsid w:val="00D1781F"/>
    <w:rsid w:val="00D17972"/>
    <w:rsid w:val="00D17B42"/>
    <w:rsid w:val="00D2003E"/>
    <w:rsid w:val="00D200BF"/>
    <w:rsid w:val="00D20349"/>
    <w:rsid w:val="00D20601"/>
    <w:rsid w:val="00D20AE8"/>
    <w:rsid w:val="00D20FC0"/>
    <w:rsid w:val="00D21D16"/>
    <w:rsid w:val="00D21EEE"/>
    <w:rsid w:val="00D21F3B"/>
    <w:rsid w:val="00D2202D"/>
    <w:rsid w:val="00D225C9"/>
    <w:rsid w:val="00D22D6F"/>
    <w:rsid w:val="00D22E28"/>
    <w:rsid w:val="00D23505"/>
    <w:rsid w:val="00D23826"/>
    <w:rsid w:val="00D23C1F"/>
    <w:rsid w:val="00D240F2"/>
    <w:rsid w:val="00D2426C"/>
    <w:rsid w:val="00D244E9"/>
    <w:rsid w:val="00D24BAB"/>
    <w:rsid w:val="00D24F5F"/>
    <w:rsid w:val="00D252FB"/>
    <w:rsid w:val="00D2545E"/>
    <w:rsid w:val="00D25946"/>
    <w:rsid w:val="00D2595F"/>
    <w:rsid w:val="00D2611C"/>
    <w:rsid w:val="00D262F0"/>
    <w:rsid w:val="00D2674A"/>
    <w:rsid w:val="00D26BF1"/>
    <w:rsid w:val="00D26C76"/>
    <w:rsid w:val="00D272E4"/>
    <w:rsid w:val="00D27A16"/>
    <w:rsid w:val="00D27A1A"/>
    <w:rsid w:val="00D3073C"/>
    <w:rsid w:val="00D30A98"/>
    <w:rsid w:val="00D30EA9"/>
    <w:rsid w:val="00D30FA6"/>
    <w:rsid w:val="00D310B5"/>
    <w:rsid w:val="00D312F3"/>
    <w:rsid w:val="00D316F8"/>
    <w:rsid w:val="00D317B1"/>
    <w:rsid w:val="00D31B81"/>
    <w:rsid w:val="00D31E16"/>
    <w:rsid w:val="00D3252B"/>
    <w:rsid w:val="00D33522"/>
    <w:rsid w:val="00D3379C"/>
    <w:rsid w:val="00D34065"/>
    <w:rsid w:val="00D340E2"/>
    <w:rsid w:val="00D34792"/>
    <w:rsid w:val="00D34AE8"/>
    <w:rsid w:val="00D34D24"/>
    <w:rsid w:val="00D35C1A"/>
    <w:rsid w:val="00D35D19"/>
    <w:rsid w:val="00D35E40"/>
    <w:rsid w:val="00D35F97"/>
    <w:rsid w:val="00D36C28"/>
    <w:rsid w:val="00D37956"/>
    <w:rsid w:val="00D37A0A"/>
    <w:rsid w:val="00D37B68"/>
    <w:rsid w:val="00D40105"/>
    <w:rsid w:val="00D40883"/>
    <w:rsid w:val="00D409DF"/>
    <w:rsid w:val="00D40DC8"/>
    <w:rsid w:val="00D40E77"/>
    <w:rsid w:val="00D4138F"/>
    <w:rsid w:val="00D415A9"/>
    <w:rsid w:val="00D41653"/>
    <w:rsid w:val="00D42827"/>
    <w:rsid w:val="00D42931"/>
    <w:rsid w:val="00D42E0B"/>
    <w:rsid w:val="00D42FF7"/>
    <w:rsid w:val="00D4309A"/>
    <w:rsid w:val="00D4360E"/>
    <w:rsid w:val="00D43930"/>
    <w:rsid w:val="00D43D2B"/>
    <w:rsid w:val="00D43DE7"/>
    <w:rsid w:val="00D43E59"/>
    <w:rsid w:val="00D44248"/>
    <w:rsid w:val="00D4437D"/>
    <w:rsid w:val="00D44451"/>
    <w:rsid w:val="00D4474B"/>
    <w:rsid w:val="00D44CA3"/>
    <w:rsid w:val="00D44D7A"/>
    <w:rsid w:val="00D44DAC"/>
    <w:rsid w:val="00D458A7"/>
    <w:rsid w:val="00D4597E"/>
    <w:rsid w:val="00D459DB"/>
    <w:rsid w:val="00D45C5E"/>
    <w:rsid w:val="00D45C79"/>
    <w:rsid w:val="00D460CE"/>
    <w:rsid w:val="00D464A1"/>
    <w:rsid w:val="00D46A49"/>
    <w:rsid w:val="00D46F6E"/>
    <w:rsid w:val="00D47009"/>
    <w:rsid w:val="00D47941"/>
    <w:rsid w:val="00D47A4B"/>
    <w:rsid w:val="00D501D1"/>
    <w:rsid w:val="00D50602"/>
    <w:rsid w:val="00D5097C"/>
    <w:rsid w:val="00D50DAD"/>
    <w:rsid w:val="00D50F42"/>
    <w:rsid w:val="00D50F47"/>
    <w:rsid w:val="00D512E7"/>
    <w:rsid w:val="00D5185C"/>
    <w:rsid w:val="00D51E07"/>
    <w:rsid w:val="00D52ACE"/>
    <w:rsid w:val="00D53446"/>
    <w:rsid w:val="00D53FA9"/>
    <w:rsid w:val="00D546E3"/>
    <w:rsid w:val="00D5470F"/>
    <w:rsid w:val="00D55436"/>
    <w:rsid w:val="00D554FA"/>
    <w:rsid w:val="00D55722"/>
    <w:rsid w:val="00D55851"/>
    <w:rsid w:val="00D56285"/>
    <w:rsid w:val="00D5655F"/>
    <w:rsid w:val="00D566D8"/>
    <w:rsid w:val="00D566F7"/>
    <w:rsid w:val="00D56A8C"/>
    <w:rsid w:val="00D57404"/>
    <w:rsid w:val="00D5740E"/>
    <w:rsid w:val="00D578CD"/>
    <w:rsid w:val="00D57931"/>
    <w:rsid w:val="00D57AF4"/>
    <w:rsid w:val="00D57BC2"/>
    <w:rsid w:val="00D57C14"/>
    <w:rsid w:val="00D60AC2"/>
    <w:rsid w:val="00D6143F"/>
    <w:rsid w:val="00D614E2"/>
    <w:rsid w:val="00D618F1"/>
    <w:rsid w:val="00D61AF8"/>
    <w:rsid w:val="00D62228"/>
    <w:rsid w:val="00D62E9A"/>
    <w:rsid w:val="00D63080"/>
    <w:rsid w:val="00D63404"/>
    <w:rsid w:val="00D63D0E"/>
    <w:rsid w:val="00D63F8D"/>
    <w:rsid w:val="00D64C4B"/>
    <w:rsid w:val="00D65266"/>
    <w:rsid w:val="00D65BAF"/>
    <w:rsid w:val="00D65C85"/>
    <w:rsid w:val="00D65FBF"/>
    <w:rsid w:val="00D66286"/>
    <w:rsid w:val="00D666FF"/>
    <w:rsid w:val="00D670DF"/>
    <w:rsid w:val="00D674DB"/>
    <w:rsid w:val="00D67509"/>
    <w:rsid w:val="00D67830"/>
    <w:rsid w:val="00D679B5"/>
    <w:rsid w:val="00D67A81"/>
    <w:rsid w:val="00D7017D"/>
    <w:rsid w:val="00D708DB"/>
    <w:rsid w:val="00D70AD9"/>
    <w:rsid w:val="00D70CD3"/>
    <w:rsid w:val="00D711AA"/>
    <w:rsid w:val="00D7130E"/>
    <w:rsid w:val="00D71679"/>
    <w:rsid w:val="00D7182A"/>
    <w:rsid w:val="00D7192D"/>
    <w:rsid w:val="00D71AF7"/>
    <w:rsid w:val="00D722B2"/>
    <w:rsid w:val="00D7235C"/>
    <w:rsid w:val="00D72B22"/>
    <w:rsid w:val="00D72FC5"/>
    <w:rsid w:val="00D7307D"/>
    <w:rsid w:val="00D735E8"/>
    <w:rsid w:val="00D73CFD"/>
    <w:rsid w:val="00D74190"/>
    <w:rsid w:val="00D74774"/>
    <w:rsid w:val="00D74DFE"/>
    <w:rsid w:val="00D75022"/>
    <w:rsid w:val="00D750E5"/>
    <w:rsid w:val="00D7526A"/>
    <w:rsid w:val="00D7547D"/>
    <w:rsid w:val="00D7594B"/>
    <w:rsid w:val="00D7600A"/>
    <w:rsid w:val="00D76406"/>
    <w:rsid w:val="00D7704C"/>
    <w:rsid w:val="00D7770C"/>
    <w:rsid w:val="00D778EE"/>
    <w:rsid w:val="00D77DAE"/>
    <w:rsid w:val="00D77E3C"/>
    <w:rsid w:val="00D80874"/>
    <w:rsid w:val="00D80A66"/>
    <w:rsid w:val="00D811F1"/>
    <w:rsid w:val="00D81871"/>
    <w:rsid w:val="00D818C9"/>
    <w:rsid w:val="00D81D11"/>
    <w:rsid w:val="00D830A3"/>
    <w:rsid w:val="00D8362B"/>
    <w:rsid w:val="00D83716"/>
    <w:rsid w:val="00D8395E"/>
    <w:rsid w:val="00D83C19"/>
    <w:rsid w:val="00D83C7E"/>
    <w:rsid w:val="00D84334"/>
    <w:rsid w:val="00D84DE0"/>
    <w:rsid w:val="00D84F63"/>
    <w:rsid w:val="00D8541F"/>
    <w:rsid w:val="00D85D64"/>
    <w:rsid w:val="00D85F58"/>
    <w:rsid w:val="00D862ED"/>
    <w:rsid w:val="00D8630B"/>
    <w:rsid w:val="00D86B83"/>
    <w:rsid w:val="00D8738D"/>
    <w:rsid w:val="00D87496"/>
    <w:rsid w:val="00D879F4"/>
    <w:rsid w:val="00D87AA8"/>
    <w:rsid w:val="00D87AEB"/>
    <w:rsid w:val="00D87D3B"/>
    <w:rsid w:val="00D9037B"/>
    <w:rsid w:val="00D904AC"/>
    <w:rsid w:val="00D9050C"/>
    <w:rsid w:val="00D90562"/>
    <w:rsid w:val="00D90EC4"/>
    <w:rsid w:val="00D911E2"/>
    <w:rsid w:val="00D9160C"/>
    <w:rsid w:val="00D91759"/>
    <w:rsid w:val="00D91A2D"/>
    <w:rsid w:val="00D91B39"/>
    <w:rsid w:val="00D9207E"/>
    <w:rsid w:val="00D924E1"/>
    <w:rsid w:val="00D9291C"/>
    <w:rsid w:val="00D92D7E"/>
    <w:rsid w:val="00D92EAF"/>
    <w:rsid w:val="00D93092"/>
    <w:rsid w:val="00D93169"/>
    <w:rsid w:val="00D93328"/>
    <w:rsid w:val="00D935C6"/>
    <w:rsid w:val="00D93780"/>
    <w:rsid w:val="00D93B1C"/>
    <w:rsid w:val="00D947A5"/>
    <w:rsid w:val="00D948E4"/>
    <w:rsid w:val="00D9557D"/>
    <w:rsid w:val="00D95866"/>
    <w:rsid w:val="00D95F29"/>
    <w:rsid w:val="00D9601C"/>
    <w:rsid w:val="00D967A5"/>
    <w:rsid w:val="00D96C25"/>
    <w:rsid w:val="00D96D68"/>
    <w:rsid w:val="00D970ED"/>
    <w:rsid w:val="00D97DDF"/>
    <w:rsid w:val="00DA1F99"/>
    <w:rsid w:val="00DA2763"/>
    <w:rsid w:val="00DA3052"/>
    <w:rsid w:val="00DA3D7F"/>
    <w:rsid w:val="00DA3EBF"/>
    <w:rsid w:val="00DA3F21"/>
    <w:rsid w:val="00DA3FE3"/>
    <w:rsid w:val="00DA4BDD"/>
    <w:rsid w:val="00DA5108"/>
    <w:rsid w:val="00DA5602"/>
    <w:rsid w:val="00DA5A75"/>
    <w:rsid w:val="00DA5B38"/>
    <w:rsid w:val="00DA5BA0"/>
    <w:rsid w:val="00DA5C02"/>
    <w:rsid w:val="00DA5C98"/>
    <w:rsid w:val="00DA5DEB"/>
    <w:rsid w:val="00DA64D6"/>
    <w:rsid w:val="00DA669A"/>
    <w:rsid w:val="00DA6741"/>
    <w:rsid w:val="00DA6BD7"/>
    <w:rsid w:val="00DA712F"/>
    <w:rsid w:val="00DA75D6"/>
    <w:rsid w:val="00DA77AF"/>
    <w:rsid w:val="00DA7B20"/>
    <w:rsid w:val="00DA7C96"/>
    <w:rsid w:val="00DA7D1B"/>
    <w:rsid w:val="00DA7E4B"/>
    <w:rsid w:val="00DB0966"/>
    <w:rsid w:val="00DB0A70"/>
    <w:rsid w:val="00DB0AB2"/>
    <w:rsid w:val="00DB0C19"/>
    <w:rsid w:val="00DB1140"/>
    <w:rsid w:val="00DB16DB"/>
    <w:rsid w:val="00DB1A83"/>
    <w:rsid w:val="00DB1B1D"/>
    <w:rsid w:val="00DB1BF2"/>
    <w:rsid w:val="00DB1DD4"/>
    <w:rsid w:val="00DB23FB"/>
    <w:rsid w:val="00DB2797"/>
    <w:rsid w:val="00DB2BD9"/>
    <w:rsid w:val="00DB3D4F"/>
    <w:rsid w:val="00DB3E8A"/>
    <w:rsid w:val="00DB4655"/>
    <w:rsid w:val="00DB4A12"/>
    <w:rsid w:val="00DB4B94"/>
    <w:rsid w:val="00DB4B95"/>
    <w:rsid w:val="00DB517E"/>
    <w:rsid w:val="00DB5694"/>
    <w:rsid w:val="00DB581A"/>
    <w:rsid w:val="00DB5E5C"/>
    <w:rsid w:val="00DB6200"/>
    <w:rsid w:val="00DB6393"/>
    <w:rsid w:val="00DB64C3"/>
    <w:rsid w:val="00DB6872"/>
    <w:rsid w:val="00DB708D"/>
    <w:rsid w:val="00DB736B"/>
    <w:rsid w:val="00DB7469"/>
    <w:rsid w:val="00DB7801"/>
    <w:rsid w:val="00DB7DF4"/>
    <w:rsid w:val="00DC00E1"/>
    <w:rsid w:val="00DC0E18"/>
    <w:rsid w:val="00DC0F48"/>
    <w:rsid w:val="00DC0FB7"/>
    <w:rsid w:val="00DC0FCC"/>
    <w:rsid w:val="00DC1392"/>
    <w:rsid w:val="00DC1733"/>
    <w:rsid w:val="00DC18DA"/>
    <w:rsid w:val="00DC18E4"/>
    <w:rsid w:val="00DC1CEC"/>
    <w:rsid w:val="00DC1EFE"/>
    <w:rsid w:val="00DC1FAF"/>
    <w:rsid w:val="00DC2015"/>
    <w:rsid w:val="00DC21F4"/>
    <w:rsid w:val="00DC25B4"/>
    <w:rsid w:val="00DC2846"/>
    <w:rsid w:val="00DC29A7"/>
    <w:rsid w:val="00DC2F23"/>
    <w:rsid w:val="00DC304B"/>
    <w:rsid w:val="00DC3903"/>
    <w:rsid w:val="00DC3A68"/>
    <w:rsid w:val="00DC3D63"/>
    <w:rsid w:val="00DC3DB6"/>
    <w:rsid w:val="00DC40D2"/>
    <w:rsid w:val="00DC4823"/>
    <w:rsid w:val="00DC4EC7"/>
    <w:rsid w:val="00DC4F4C"/>
    <w:rsid w:val="00DC516A"/>
    <w:rsid w:val="00DC5C0C"/>
    <w:rsid w:val="00DC5E94"/>
    <w:rsid w:val="00DC60B7"/>
    <w:rsid w:val="00DC655B"/>
    <w:rsid w:val="00DC6DBE"/>
    <w:rsid w:val="00DC6F7D"/>
    <w:rsid w:val="00DC70F2"/>
    <w:rsid w:val="00DD00B2"/>
    <w:rsid w:val="00DD040F"/>
    <w:rsid w:val="00DD0D64"/>
    <w:rsid w:val="00DD0DAE"/>
    <w:rsid w:val="00DD0E7F"/>
    <w:rsid w:val="00DD1127"/>
    <w:rsid w:val="00DD12B1"/>
    <w:rsid w:val="00DD1E89"/>
    <w:rsid w:val="00DD21CB"/>
    <w:rsid w:val="00DD26BB"/>
    <w:rsid w:val="00DD271A"/>
    <w:rsid w:val="00DD2BB9"/>
    <w:rsid w:val="00DD2CE7"/>
    <w:rsid w:val="00DD2F39"/>
    <w:rsid w:val="00DD318D"/>
    <w:rsid w:val="00DD327A"/>
    <w:rsid w:val="00DD350B"/>
    <w:rsid w:val="00DD3DE9"/>
    <w:rsid w:val="00DD43E7"/>
    <w:rsid w:val="00DD49A7"/>
    <w:rsid w:val="00DD49B2"/>
    <w:rsid w:val="00DD4F7A"/>
    <w:rsid w:val="00DD5456"/>
    <w:rsid w:val="00DD5E2C"/>
    <w:rsid w:val="00DD659A"/>
    <w:rsid w:val="00DD67BA"/>
    <w:rsid w:val="00DD6B3D"/>
    <w:rsid w:val="00DD6B90"/>
    <w:rsid w:val="00DD6C35"/>
    <w:rsid w:val="00DD702C"/>
    <w:rsid w:val="00DD75A5"/>
    <w:rsid w:val="00DD76AB"/>
    <w:rsid w:val="00DD77E8"/>
    <w:rsid w:val="00DD7A34"/>
    <w:rsid w:val="00DD7A37"/>
    <w:rsid w:val="00DD7BA1"/>
    <w:rsid w:val="00DE0525"/>
    <w:rsid w:val="00DE08E4"/>
    <w:rsid w:val="00DE0C42"/>
    <w:rsid w:val="00DE0DD1"/>
    <w:rsid w:val="00DE12E9"/>
    <w:rsid w:val="00DE1317"/>
    <w:rsid w:val="00DE149E"/>
    <w:rsid w:val="00DE1B98"/>
    <w:rsid w:val="00DE1BDE"/>
    <w:rsid w:val="00DE25D7"/>
    <w:rsid w:val="00DE26A3"/>
    <w:rsid w:val="00DE2B9F"/>
    <w:rsid w:val="00DE3746"/>
    <w:rsid w:val="00DE3A81"/>
    <w:rsid w:val="00DE4379"/>
    <w:rsid w:val="00DE439A"/>
    <w:rsid w:val="00DE44E7"/>
    <w:rsid w:val="00DE4824"/>
    <w:rsid w:val="00DE4BE9"/>
    <w:rsid w:val="00DE4C67"/>
    <w:rsid w:val="00DE4D0E"/>
    <w:rsid w:val="00DE4D15"/>
    <w:rsid w:val="00DE4F53"/>
    <w:rsid w:val="00DE4FAB"/>
    <w:rsid w:val="00DE57C2"/>
    <w:rsid w:val="00DE607E"/>
    <w:rsid w:val="00DE787D"/>
    <w:rsid w:val="00DE7A84"/>
    <w:rsid w:val="00DE7D24"/>
    <w:rsid w:val="00DF00EF"/>
    <w:rsid w:val="00DF0236"/>
    <w:rsid w:val="00DF02E5"/>
    <w:rsid w:val="00DF03F9"/>
    <w:rsid w:val="00DF0466"/>
    <w:rsid w:val="00DF0827"/>
    <w:rsid w:val="00DF0850"/>
    <w:rsid w:val="00DF1536"/>
    <w:rsid w:val="00DF1AC4"/>
    <w:rsid w:val="00DF2037"/>
    <w:rsid w:val="00DF264B"/>
    <w:rsid w:val="00DF3256"/>
    <w:rsid w:val="00DF34E6"/>
    <w:rsid w:val="00DF3563"/>
    <w:rsid w:val="00DF3772"/>
    <w:rsid w:val="00DF3D90"/>
    <w:rsid w:val="00DF3E1B"/>
    <w:rsid w:val="00DF438D"/>
    <w:rsid w:val="00DF44FB"/>
    <w:rsid w:val="00DF479F"/>
    <w:rsid w:val="00DF515A"/>
    <w:rsid w:val="00DF5472"/>
    <w:rsid w:val="00DF58E6"/>
    <w:rsid w:val="00DF6336"/>
    <w:rsid w:val="00DF63ED"/>
    <w:rsid w:val="00DF6822"/>
    <w:rsid w:val="00DF6AA4"/>
    <w:rsid w:val="00DF7349"/>
    <w:rsid w:val="00DF73FE"/>
    <w:rsid w:val="00DF75B9"/>
    <w:rsid w:val="00E00771"/>
    <w:rsid w:val="00E00922"/>
    <w:rsid w:val="00E00B59"/>
    <w:rsid w:val="00E00E4E"/>
    <w:rsid w:val="00E00EE2"/>
    <w:rsid w:val="00E01EFB"/>
    <w:rsid w:val="00E02448"/>
    <w:rsid w:val="00E02A0A"/>
    <w:rsid w:val="00E02BAC"/>
    <w:rsid w:val="00E02D5E"/>
    <w:rsid w:val="00E03703"/>
    <w:rsid w:val="00E03FA6"/>
    <w:rsid w:val="00E041B1"/>
    <w:rsid w:val="00E042FB"/>
    <w:rsid w:val="00E04AA1"/>
    <w:rsid w:val="00E04CBB"/>
    <w:rsid w:val="00E04DF9"/>
    <w:rsid w:val="00E05671"/>
    <w:rsid w:val="00E05755"/>
    <w:rsid w:val="00E06079"/>
    <w:rsid w:val="00E06224"/>
    <w:rsid w:val="00E06297"/>
    <w:rsid w:val="00E06AA7"/>
    <w:rsid w:val="00E06E34"/>
    <w:rsid w:val="00E0769D"/>
    <w:rsid w:val="00E10012"/>
    <w:rsid w:val="00E10D8B"/>
    <w:rsid w:val="00E113AB"/>
    <w:rsid w:val="00E12062"/>
    <w:rsid w:val="00E124BE"/>
    <w:rsid w:val="00E125EC"/>
    <w:rsid w:val="00E12AC1"/>
    <w:rsid w:val="00E12E71"/>
    <w:rsid w:val="00E1366F"/>
    <w:rsid w:val="00E13EB6"/>
    <w:rsid w:val="00E14037"/>
    <w:rsid w:val="00E14545"/>
    <w:rsid w:val="00E1476D"/>
    <w:rsid w:val="00E14805"/>
    <w:rsid w:val="00E14CB9"/>
    <w:rsid w:val="00E15675"/>
    <w:rsid w:val="00E15CA5"/>
    <w:rsid w:val="00E15D82"/>
    <w:rsid w:val="00E160DC"/>
    <w:rsid w:val="00E1610C"/>
    <w:rsid w:val="00E169B6"/>
    <w:rsid w:val="00E16E24"/>
    <w:rsid w:val="00E17135"/>
    <w:rsid w:val="00E17288"/>
    <w:rsid w:val="00E174BE"/>
    <w:rsid w:val="00E177AD"/>
    <w:rsid w:val="00E204D1"/>
    <w:rsid w:val="00E2052B"/>
    <w:rsid w:val="00E2167A"/>
    <w:rsid w:val="00E21BD1"/>
    <w:rsid w:val="00E2208D"/>
    <w:rsid w:val="00E22B91"/>
    <w:rsid w:val="00E22E95"/>
    <w:rsid w:val="00E237A5"/>
    <w:rsid w:val="00E24021"/>
    <w:rsid w:val="00E24EC1"/>
    <w:rsid w:val="00E2588C"/>
    <w:rsid w:val="00E259D8"/>
    <w:rsid w:val="00E25BD9"/>
    <w:rsid w:val="00E260D0"/>
    <w:rsid w:val="00E2716B"/>
    <w:rsid w:val="00E27A9A"/>
    <w:rsid w:val="00E27BC8"/>
    <w:rsid w:val="00E27D59"/>
    <w:rsid w:val="00E27E52"/>
    <w:rsid w:val="00E305A4"/>
    <w:rsid w:val="00E3064D"/>
    <w:rsid w:val="00E30EB4"/>
    <w:rsid w:val="00E313D1"/>
    <w:rsid w:val="00E315B7"/>
    <w:rsid w:val="00E31A99"/>
    <w:rsid w:val="00E31D08"/>
    <w:rsid w:val="00E31EA7"/>
    <w:rsid w:val="00E31F7F"/>
    <w:rsid w:val="00E326CA"/>
    <w:rsid w:val="00E32C19"/>
    <w:rsid w:val="00E32F2C"/>
    <w:rsid w:val="00E32F53"/>
    <w:rsid w:val="00E33179"/>
    <w:rsid w:val="00E33219"/>
    <w:rsid w:val="00E3358E"/>
    <w:rsid w:val="00E3369F"/>
    <w:rsid w:val="00E336D0"/>
    <w:rsid w:val="00E336DA"/>
    <w:rsid w:val="00E33D10"/>
    <w:rsid w:val="00E33E17"/>
    <w:rsid w:val="00E33FE2"/>
    <w:rsid w:val="00E343B6"/>
    <w:rsid w:val="00E345E8"/>
    <w:rsid w:val="00E347A1"/>
    <w:rsid w:val="00E3482A"/>
    <w:rsid w:val="00E34AFF"/>
    <w:rsid w:val="00E34FA0"/>
    <w:rsid w:val="00E350F9"/>
    <w:rsid w:val="00E35237"/>
    <w:rsid w:val="00E35D03"/>
    <w:rsid w:val="00E35E3F"/>
    <w:rsid w:val="00E36C4A"/>
    <w:rsid w:val="00E36C7C"/>
    <w:rsid w:val="00E37BEB"/>
    <w:rsid w:val="00E37C76"/>
    <w:rsid w:val="00E37E54"/>
    <w:rsid w:val="00E40290"/>
    <w:rsid w:val="00E4049E"/>
    <w:rsid w:val="00E409E5"/>
    <w:rsid w:val="00E40ABC"/>
    <w:rsid w:val="00E415D5"/>
    <w:rsid w:val="00E4160A"/>
    <w:rsid w:val="00E41790"/>
    <w:rsid w:val="00E41972"/>
    <w:rsid w:val="00E419AA"/>
    <w:rsid w:val="00E423C3"/>
    <w:rsid w:val="00E42863"/>
    <w:rsid w:val="00E42B35"/>
    <w:rsid w:val="00E42F30"/>
    <w:rsid w:val="00E441B6"/>
    <w:rsid w:val="00E4437A"/>
    <w:rsid w:val="00E44691"/>
    <w:rsid w:val="00E44A90"/>
    <w:rsid w:val="00E44BC4"/>
    <w:rsid w:val="00E44C9D"/>
    <w:rsid w:val="00E44E2E"/>
    <w:rsid w:val="00E44E6C"/>
    <w:rsid w:val="00E452CB"/>
    <w:rsid w:val="00E453D9"/>
    <w:rsid w:val="00E45518"/>
    <w:rsid w:val="00E45E76"/>
    <w:rsid w:val="00E4620D"/>
    <w:rsid w:val="00E46521"/>
    <w:rsid w:val="00E4655C"/>
    <w:rsid w:val="00E465CF"/>
    <w:rsid w:val="00E46662"/>
    <w:rsid w:val="00E4678E"/>
    <w:rsid w:val="00E46CFD"/>
    <w:rsid w:val="00E47220"/>
    <w:rsid w:val="00E4769C"/>
    <w:rsid w:val="00E500D0"/>
    <w:rsid w:val="00E50265"/>
    <w:rsid w:val="00E504A8"/>
    <w:rsid w:val="00E50709"/>
    <w:rsid w:val="00E5101A"/>
    <w:rsid w:val="00E5110D"/>
    <w:rsid w:val="00E516F1"/>
    <w:rsid w:val="00E52614"/>
    <w:rsid w:val="00E52B97"/>
    <w:rsid w:val="00E52D0C"/>
    <w:rsid w:val="00E52F5A"/>
    <w:rsid w:val="00E53644"/>
    <w:rsid w:val="00E536C1"/>
    <w:rsid w:val="00E53911"/>
    <w:rsid w:val="00E53E51"/>
    <w:rsid w:val="00E54A7A"/>
    <w:rsid w:val="00E54E85"/>
    <w:rsid w:val="00E55371"/>
    <w:rsid w:val="00E55CCF"/>
    <w:rsid w:val="00E55EB3"/>
    <w:rsid w:val="00E561A2"/>
    <w:rsid w:val="00E566A1"/>
    <w:rsid w:val="00E575D0"/>
    <w:rsid w:val="00E5769A"/>
    <w:rsid w:val="00E57916"/>
    <w:rsid w:val="00E57A18"/>
    <w:rsid w:val="00E57ABA"/>
    <w:rsid w:val="00E57D03"/>
    <w:rsid w:val="00E60216"/>
    <w:rsid w:val="00E606D1"/>
    <w:rsid w:val="00E60B3C"/>
    <w:rsid w:val="00E60D35"/>
    <w:rsid w:val="00E61386"/>
    <w:rsid w:val="00E6143A"/>
    <w:rsid w:val="00E61475"/>
    <w:rsid w:val="00E616B1"/>
    <w:rsid w:val="00E61CE7"/>
    <w:rsid w:val="00E61EBC"/>
    <w:rsid w:val="00E61FF9"/>
    <w:rsid w:val="00E623F4"/>
    <w:rsid w:val="00E62E30"/>
    <w:rsid w:val="00E630EC"/>
    <w:rsid w:val="00E635C0"/>
    <w:rsid w:val="00E64198"/>
    <w:rsid w:val="00E64387"/>
    <w:rsid w:val="00E6442B"/>
    <w:rsid w:val="00E64C53"/>
    <w:rsid w:val="00E6516B"/>
    <w:rsid w:val="00E655B7"/>
    <w:rsid w:val="00E659AB"/>
    <w:rsid w:val="00E66489"/>
    <w:rsid w:val="00E66A96"/>
    <w:rsid w:val="00E670FF"/>
    <w:rsid w:val="00E67592"/>
    <w:rsid w:val="00E7025D"/>
    <w:rsid w:val="00E70264"/>
    <w:rsid w:val="00E707E3"/>
    <w:rsid w:val="00E714D2"/>
    <w:rsid w:val="00E7195F"/>
    <w:rsid w:val="00E7197C"/>
    <w:rsid w:val="00E71CA2"/>
    <w:rsid w:val="00E71EA7"/>
    <w:rsid w:val="00E72153"/>
    <w:rsid w:val="00E7260A"/>
    <w:rsid w:val="00E72637"/>
    <w:rsid w:val="00E72860"/>
    <w:rsid w:val="00E73540"/>
    <w:rsid w:val="00E735ED"/>
    <w:rsid w:val="00E736EA"/>
    <w:rsid w:val="00E737D3"/>
    <w:rsid w:val="00E73888"/>
    <w:rsid w:val="00E73AF1"/>
    <w:rsid w:val="00E73D71"/>
    <w:rsid w:val="00E74CB0"/>
    <w:rsid w:val="00E74E82"/>
    <w:rsid w:val="00E752CB"/>
    <w:rsid w:val="00E752F4"/>
    <w:rsid w:val="00E7539D"/>
    <w:rsid w:val="00E7542E"/>
    <w:rsid w:val="00E7552E"/>
    <w:rsid w:val="00E75FAD"/>
    <w:rsid w:val="00E76051"/>
    <w:rsid w:val="00E76C57"/>
    <w:rsid w:val="00E76E77"/>
    <w:rsid w:val="00E7791C"/>
    <w:rsid w:val="00E77B41"/>
    <w:rsid w:val="00E77CCB"/>
    <w:rsid w:val="00E805CF"/>
    <w:rsid w:val="00E809FD"/>
    <w:rsid w:val="00E81161"/>
    <w:rsid w:val="00E81B32"/>
    <w:rsid w:val="00E81C05"/>
    <w:rsid w:val="00E82901"/>
    <w:rsid w:val="00E82A6A"/>
    <w:rsid w:val="00E82DA8"/>
    <w:rsid w:val="00E82E83"/>
    <w:rsid w:val="00E82F32"/>
    <w:rsid w:val="00E83306"/>
    <w:rsid w:val="00E835C1"/>
    <w:rsid w:val="00E83AFD"/>
    <w:rsid w:val="00E83BC7"/>
    <w:rsid w:val="00E8413E"/>
    <w:rsid w:val="00E841AA"/>
    <w:rsid w:val="00E8434B"/>
    <w:rsid w:val="00E8482D"/>
    <w:rsid w:val="00E84BB8"/>
    <w:rsid w:val="00E85674"/>
    <w:rsid w:val="00E858B8"/>
    <w:rsid w:val="00E85902"/>
    <w:rsid w:val="00E86185"/>
    <w:rsid w:val="00E8650B"/>
    <w:rsid w:val="00E8691B"/>
    <w:rsid w:val="00E86C9C"/>
    <w:rsid w:val="00E872AA"/>
    <w:rsid w:val="00E87907"/>
    <w:rsid w:val="00E87919"/>
    <w:rsid w:val="00E9019D"/>
    <w:rsid w:val="00E9072F"/>
    <w:rsid w:val="00E90A86"/>
    <w:rsid w:val="00E9110C"/>
    <w:rsid w:val="00E9155A"/>
    <w:rsid w:val="00E91907"/>
    <w:rsid w:val="00E91B4C"/>
    <w:rsid w:val="00E923F5"/>
    <w:rsid w:val="00E927E9"/>
    <w:rsid w:val="00E92832"/>
    <w:rsid w:val="00E92912"/>
    <w:rsid w:val="00E92B55"/>
    <w:rsid w:val="00E92E4A"/>
    <w:rsid w:val="00E92E90"/>
    <w:rsid w:val="00E92EAE"/>
    <w:rsid w:val="00E9330A"/>
    <w:rsid w:val="00E93ED0"/>
    <w:rsid w:val="00E9488B"/>
    <w:rsid w:val="00E94CA4"/>
    <w:rsid w:val="00E94CB5"/>
    <w:rsid w:val="00E9536E"/>
    <w:rsid w:val="00E9537B"/>
    <w:rsid w:val="00E9561C"/>
    <w:rsid w:val="00E95664"/>
    <w:rsid w:val="00E960A9"/>
    <w:rsid w:val="00E96C0D"/>
    <w:rsid w:val="00E9751E"/>
    <w:rsid w:val="00E976FF"/>
    <w:rsid w:val="00E97A3D"/>
    <w:rsid w:val="00E97A6B"/>
    <w:rsid w:val="00EA014A"/>
    <w:rsid w:val="00EA01C0"/>
    <w:rsid w:val="00EA04A1"/>
    <w:rsid w:val="00EA0F20"/>
    <w:rsid w:val="00EA0F8E"/>
    <w:rsid w:val="00EA13D9"/>
    <w:rsid w:val="00EA190A"/>
    <w:rsid w:val="00EA1958"/>
    <w:rsid w:val="00EA2491"/>
    <w:rsid w:val="00EA2B1A"/>
    <w:rsid w:val="00EA2BAF"/>
    <w:rsid w:val="00EA3086"/>
    <w:rsid w:val="00EA34FA"/>
    <w:rsid w:val="00EA35FD"/>
    <w:rsid w:val="00EA372E"/>
    <w:rsid w:val="00EA3A3C"/>
    <w:rsid w:val="00EA3B15"/>
    <w:rsid w:val="00EA3E3A"/>
    <w:rsid w:val="00EA3EC5"/>
    <w:rsid w:val="00EA415D"/>
    <w:rsid w:val="00EA42B5"/>
    <w:rsid w:val="00EA56F0"/>
    <w:rsid w:val="00EA5B58"/>
    <w:rsid w:val="00EA5BCB"/>
    <w:rsid w:val="00EA624F"/>
    <w:rsid w:val="00EA688E"/>
    <w:rsid w:val="00EA79F1"/>
    <w:rsid w:val="00EA7AA5"/>
    <w:rsid w:val="00EA7F24"/>
    <w:rsid w:val="00EB0177"/>
    <w:rsid w:val="00EB0946"/>
    <w:rsid w:val="00EB0A30"/>
    <w:rsid w:val="00EB0B8F"/>
    <w:rsid w:val="00EB0B92"/>
    <w:rsid w:val="00EB0BA4"/>
    <w:rsid w:val="00EB0D34"/>
    <w:rsid w:val="00EB1368"/>
    <w:rsid w:val="00EB23C8"/>
    <w:rsid w:val="00EB24B1"/>
    <w:rsid w:val="00EB254D"/>
    <w:rsid w:val="00EB2992"/>
    <w:rsid w:val="00EB302E"/>
    <w:rsid w:val="00EB36C4"/>
    <w:rsid w:val="00EB44ED"/>
    <w:rsid w:val="00EB5183"/>
    <w:rsid w:val="00EB529B"/>
    <w:rsid w:val="00EB53C9"/>
    <w:rsid w:val="00EB57A9"/>
    <w:rsid w:val="00EB5AFD"/>
    <w:rsid w:val="00EB6401"/>
    <w:rsid w:val="00EB679D"/>
    <w:rsid w:val="00EB68B2"/>
    <w:rsid w:val="00EB6A6D"/>
    <w:rsid w:val="00EB6BC6"/>
    <w:rsid w:val="00EB6C3B"/>
    <w:rsid w:val="00EB6F04"/>
    <w:rsid w:val="00EB6FEB"/>
    <w:rsid w:val="00EB791A"/>
    <w:rsid w:val="00EC0FC1"/>
    <w:rsid w:val="00EC15BB"/>
    <w:rsid w:val="00EC1653"/>
    <w:rsid w:val="00EC2E4C"/>
    <w:rsid w:val="00EC305B"/>
    <w:rsid w:val="00EC3652"/>
    <w:rsid w:val="00EC399E"/>
    <w:rsid w:val="00EC4025"/>
    <w:rsid w:val="00EC44CA"/>
    <w:rsid w:val="00EC4ADB"/>
    <w:rsid w:val="00EC4D9F"/>
    <w:rsid w:val="00EC4E2C"/>
    <w:rsid w:val="00EC554B"/>
    <w:rsid w:val="00EC5A24"/>
    <w:rsid w:val="00EC5A5C"/>
    <w:rsid w:val="00EC5A81"/>
    <w:rsid w:val="00EC5C57"/>
    <w:rsid w:val="00EC6892"/>
    <w:rsid w:val="00EC69B7"/>
    <w:rsid w:val="00EC77CE"/>
    <w:rsid w:val="00EC790F"/>
    <w:rsid w:val="00EC792B"/>
    <w:rsid w:val="00EC7B13"/>
    <w:rsid w:val="00ED0129"/>
    <w:rsid w:val="00ED018D"/>
    <w:rsid w:val="00ED01BE"/>
    <w:rsid w:val="00ED03B6"/>
    <w:rsid w:val="00ED0AE7"/>
    <w:rsid w:val="00ED0BDC"/>
    <w:rsid w:val="00ED0E05"/>
    <w:rsid w:val="00ED0E41"/>
    <w:rsid w:val="00ED0EFA"/>
    <w:rsid w:val="00ED0F8E"/>
    <w:rsid w:val="00ED12F6"/>
    <w:rsid w:val="00ED1304"/>
    <w:rsid w:val="00ED147A"/>
    <w:rsid w:val="00ED17C4"/>
    <w:rsid w:val="00ED23C1"/>
    <w:rsid w:val="00ED27DF"/>
    <w:rsid w:val="00ED2849"/>
    <w:rsid w:val="00ED2F54"/>
    <w:rsid w:val="00ED2F67"/>
    <w:rsid w:val="00ED3E2D"/>
    <w:rsid w:val="00ED4089"/>
    <w:rsid w:val="00ED4484"/>
    <w:rsid w:val="00ED45DB"/>
    <w:rsid w:val="00ED4738"/>
    <w:rsid w:val="00ED49EB"/>
    <w:rsid w:val="00ED4C31"/>
    <w:rsid w:val="00ED599B"/>
    <w:rsid w:val="00ED59A5"/>
    <w:rsid w:val="00ED5A19"/>
    <w:rsid w:val="00ED5AF8"/>
    <w:rsid w:val="00ED5C26"/>
    <w:rsid w:val="00ED73B4"/>
    <w:rsid w:val="00ED75AD"/>
    <w:rsid w:val="00ED79A8"/>
    <w:rsid w:val="00ED7A5E"/>
    <w:rsid w:val="00EE02EC"/>
    <w:rsid w:val="00EE053B"/>
    <w:rsid w:val="00EE09DE"/>
    <w:rsid w:val="00EE1149"/>
    <w:rsid w:val="00EE1677"/>
    <w:rsid w:val="00EE171B"/>
    <w:rsid w:val="00EE1948"/>
    <w:rsid w:val="00EE1BBB"/>
    <w:rsid w:val="00EE21AB"/>
    <w:rsid w:val="00EE26C5"/>
    <w:rsid w:val="00EE2EF7"/>
    <w:rsid w:val="00EE376C"/>
    <w:rsid w:val="00EE37E0"/>
    <w:rsid w:val="00EE3971"/>
    <w:rsid w:val="00EE40D1"/>
    <w:rsid w:val="00EE499A"/>
    <w:rsid w:val="00EE4EED"/>
    <w:rsid w:val="00EE595A"/>
    <w:rsid w:val="00EE5E13"/>
    <w:rsid w:val="00EE5E7F"/>
    <w:rsid w:val="00EE5EE8"/>
    <w:rsid w:val="00EE626D"/>
    <w:rsid w:val="00EE65D5"/>
    <w:rsid w:val="00EE6692"/>
    <w:rsid w:val="00EE7026"/>
    <w:rsid w:val="00EE71E8"/>
    <w:rsid w:val="00EF04B9"/>
    <w:rsid w:val="00EF0C38"/>
    <w:rsid w:val="00EF1091"/>
    <w:rsid w:val="00EF10CB"/>
    <w:rsid w:val="00EF10E9"/>
    <w:rsid w:val="00EF1149"/>
    <w:rsid w:val="00EF138A"/>
    <w:rsid w:val="00EF2A27"/>
    <w:rsid w:val="00EF337E"/>
    <w:rsid w:val="00EF3AC2"/>
    <w:rsid w:val="00EF3BF5"/>
    <w:rsid w:val="00EF3C4C"/>
    <w:rsid w:val="00EF42B9"/>
    <w:rsid w:val="00EF444E"/>
    <w:rsid w:val="00EF4781"/>
    <w:rsid w:val="00EF4AB0"/>
    <w:rsid w:val="00EF4B32"/>
    <w:rsid w:val="00EF4BEA"/>
    <w:rsid w:val="00EF4CF1"/>
    <w:rsid w:val="00EF5070"/>
    <w:rsid w:val="00EF642B"/>
    <w:rsid w:val="00EF648A"/>
    <w:rsid w:val="00EF661E"/>
    <w:rsid w:val="00EF6DA4"/>
    <w:rsid w:val="00EF6E2B"/>
    <w:rsid w:val="00EF70CD"/>
    <w:rsid w:val="00EF71A5"/>
    <w:rsid w:val="00EF7A4E"/>
    <w:rsid w:val="00EF7B4C"/>
    <w:rsid w:val="00EF7D0C"/>
    <w:rsid w:val="00F009B6"/>
    <w:rsid w:val="00F00D91"/>
    <w:rsid w:val="00F00DAC"/>
    <w:rsid w:val="00F01515"/>
    <w:rsid w:val="00F0163D"/>
    <w:rsid w:val="00F018A6"/>
    <w:rsid w:val="00F0191E"/>
    <w:rsid w:val="00F01A09"/>
    <w:rsid w:val="00F01A12"/>
    <w:rsid w:val="00F01C8D"/>
    <w:rsid w:val="00F020AD"/>
    <w:rsid w:val="00F0243C"/>
    <w:rsid w:val="00F02477"/>
    <w:rsid w:val="00F02B2F"/>
    <w:rsid w:val="00F02DB0"/>
    <w:rsid w:val="00F030DF"/>
    <w:rsid w:val="00F0350C"/>
    <w:rsid w:val="00F03722"/>
    <w:rsid w:val="00F03969"/>
    <w:rsid w:val="00F03A0E"/>
    <w:rsid w:val="00F03E16"/>
    <w:rsid w:val="00F03E76"/>
    <w:rsid w:val="00F04B1C"/>
    <w:rsid w:val="00F04C61"/>
    <w:rsid w:val="00F04D9F"/>
    <w:rsid w:val="00F0525F"/>
    <w:rsid w:val="00F0530F"/>
    <w:rsid w:val="00F05806"/>
    <w:rsid w:val="00F05AA4"/>
    <w:rsid w:val="00F05E20"/>
    <w:rsid w:val="00F06DB1"/>
    <w:rsid w:val="00F0725F"/>
    <w:rsid w:val="00F0742C"/>
    <w:rsid w:val="00F07F11"/>
    <w:rsid w:val="00F108D7"/>
    <w:rsid w:val="00F10A36"/>
    <w:rsid w:val="00F10BA8"/>
    <w:rsid w:val="00F11E36"/>
    <w:rsid w:val="00F12149"/>
    <w:rsid w:val="00F12882"/>
    <w:rsid w:val="00F12B1A"/>
    <w:rsid w:val="00F1301B"/>
    <w:rsid w:val="00F130A3"/>
    <w:rsid w:val="00F13AB6"/>
    <w:rsid w:val="00F13D07"/>
    <w:rsid w:val="00F13E55"/>
    <w:rsid w:val="00F1448B"/>
    <w:rsid w:val="00F14A12"/>
    <w:rsid w:val="00F14DC1"/>
    <w:rsid w:val="00F14EAD"/>
    <w:rsid w:val="00F14F90"/>
    <w:rsid w:val="00F15640"/>
    <w:rsid w:val="00F15AD8"/>
    <w:rsid w:val="00F15F8A"/>
    <w:rsid w:val="00F16670"/>
    <w:rsid w:val="00F167C7"/>
    <w:rsid w:val="00F171A5"/>
    <w:rsid w:val="00F206AD"/>
    <w:rsid w:val="00F20931"/>
    <w:rsid w:val="00F2113F"/>
    <w:rsid w:val="00F21609"/>
    <w:rsid w:val="00F21952"/>
    <w:rsid w:val="00F21D98"/>
    <w:rsid w:val="00F22257"/>
    <w:rsid w:val="00F22C3A"/>
    <w:rsid w:val="00F23650"/>
    <w:rsid w:val="00F24046"/>
    <w:rsid w:val="00F2449D"/>
    <w:rsid w:val="00F24726"/>
    <w:rsid w:val="00F2497B"/>
    <w:rsid w:val="00F24A6F"/>
    <w:rsid w:val="00F24BE3"/>
    <w:rsid w:val="00F24E95"/>
    <w:rsid w:val="00F25426"/>
    <w:rsid w:val="00F25694"/>
    <w:rsid w:val="00F258E6"/>
    <w:rsid w:val="00F25CDE"/>
    <w:rsid w:val="00F25CF9"/>
    <w:rsid w:val="00F25F22"/>
    <w:rsid w:val="00F260FC"/>
    <w:rsid w:val="00F2643C"/>
    <w:rsid w:val="00F2649F"/>
    <w:rsid w:val="00F26611"/>
    <w:rsid w:val="00F26982"/>
    <w:rsid w:val="00F26994"/>
    <w:rsid w:val="00F26B4C"/>
    <w:rsid w:val="00F2760D"/>
    <w:rsid w:val="00F279F1"/>
    <w:rsid w:val="00F27A52"/>
    <w:rsid w:val="00F27F84"/>
    <w:rsid w:val="00F3000D"/>
    <w:rsid w:val="00F3027F"/>
    <w:rsid w:val="00F3067B"/>
    <w:rsid w:val="00F30BD1"/>
    <w:rsid w:val="00F30E7C"/>
    <w:rsid w:val="00F315B2"/>
    <w:rsid w:val="00F3169E"/>
    <w:rsid w:val="00F3175A"/>
    <w:rsid w:val="00F319B2"/>
    <w:rsid w:val="00F31A53"/>
    <w:rsid w:val="00F31E09"/>
    <w:rsid w:val="00F32C90"/>
    <w:rsid w:val="00F32CB6"/>
    <w:rsid w:val="00F336B8"/>
    <w:rsid w:val="00F3371A"/>
    <w:rsid w:val="00F33ACC"/>
    <w:rsid w:val="00F33B4E"/>
    <w:rsid w:val="00F33BC3"/>
    <w:rsid w:val="00F3462E"/>
    <w:rsid w:val="00F34679"/>
    <w:rsid w:val="00F34FEF"/>
    <w:rsid w:val="00F35101"/>
    <w:rsid w:val="00F3531F"/>
    <w:rsid w:val="00F3599A"/>
    <w:rsid w:val="00F359E6"/>
    <w:rsid w:val="00F36223"/>
    <w:rsid w:val="00F36780"/>
    <w:rsid w:val="00F36CBF"/>
    <w:rsid w:val="00F37252"/>
    <w:rsid w:val="00F3735A"/>
    <w:rsid w:val="00F37463"/>
    <w:rsid w:val="00F3784F"/>
    <w:rsid w:val="00F37917"/>
    <w:rsid w:val="00F37BE5"/>
    <w:rsid w:val="00F37FB8"/>
    <w:rsid w:val="00F40164"/>
    <w:rsid w:val="00F40656"/>
    <w:rsid w:val="00F406C4"/>
    <w:rsid w:val="00F40FC1"/>
    <w:rsid w:val="00F41006"/>
    <w:rsid w:val="00F412F7"/>
    <w:rsid w:val="00F41331"/>
    <w:rsid w:val="00F41978"/>
    <w:rsid w:val="00F41F80"/>
    <w:rsid w:val="00F420A9"/>
    <w:rsid w:val="00F42DC2"/>
    <w:rsid w:val="00F43042"/>
    <w:rsid w:val="00F4305E"/>
    <w:rsid w:val="00F433BD"/>
    <w:rsid w:val="00F43628"/>
    <w:rsid w:val="00F43824"/>
    <w:rsid w:val="00F43B66"/>
    <w:rsid w:val="00F43EB0"/>
    <w:rsid w:val="00F4432F"/>
    <w:rsid w:val="00F44616"/>
    <w:rsid w:val="00F4464D"/>
    <w:rsid w:val="00F44CD2"/>
    <w:rsid w:val="00F4541E"/>
    <w:rsid w:val="00F454D1"/>
    <w:rsid w:val="00F45588"/>
    <w:rsid w:val="00F4562B"/>
    <w:rsid w:val="00F45937"/>
    <w:rsid w:val="00F45E6C"/>
    <w:rsid w:val="00F45F5B"/>
    <w:rsid w:val="00F46430"/>
    <w:rsid w:val="00F466FA"/>
    <w:rsid w:val="00F473B7"/>
    <w:rsid w:val="00F47D62"/>
    <w:rsid w:val="00F47D67"/>
    <w:rsid w:val="00F47D69"/>
    <w:rsid w:val="00F47EF6"/>
    <w:rsid w:val="00F47F0C"/>
    <w:rsid w:val="00F505FF"/>
    <w:rsid w:val="00F50D18"/>
    <w:rsid w:val="00F5100F"/>
    <w:rsid w:val="00F51268"/>
    <w:rsid w:val="00F515DB"/>
    <w:rsid w:val="00F51B97"/>
    <w:rsid w:val="00F524F4"/>
    <w:rsid w:val="00F5294E"/>
    <w:rsid w:val="00F52EC0"/>
    <w:rsid w:val="00F5365B"/>
    <w:rsid w:val="00F537B4"/>
    <w:rsid w:val="00F53B09"/>
    <w:rsid w:val="00F53DBE"/>
    <w:rsid w:val="00F54483"/>
    <w:rsid w:val="00F547D6"/>
    <w:rsid w:val="00F5490C"/>
    <w:rsid w:val="00F54A3F"/>
    <w:rsid w:val="00F54BDF"/>
    <w:rsid w:val="00F5501A"/>
    <w:rsid w:val="00F553E1"/>
    <w:rsid w:val="00F553E3"/>
    <w:rsid w:val="00F55960"/>
    <w:rsid w:val="00F567A6"/>
    <w:rsid w:val="00F56AC7"/>
    <w:rsid w:val="00F56D79"/>
    <w:rsid w:val="00F57052"/>
    <w:rsid w:val="00F57248"/>
    <w:rsid w:val="00F57460"/>
    <w:rsid w:val="00F57469"/>
    <w:rsid w:val="00F5746B"/>
    <w:rsid w:val="00F57BFD"/>
    <w:rsid w:val="00F57F3A"/>
    <w:rsid w:val="00F60078"/>
    <w:rsid w:val="00F605C0"/>
    <w:rsid w:val="00F60777"/>
    <w:rsid w:val="00F60872"/>
    <w:rsid w:val="00F61785"/>
    <w:rsid w:val="00F6182D"/>
    <w:rsid w:val="00F61D2F"/>
    <w:rsid w:val="00F625E3"/>
    <w:rsid w:val="00F6260E"/>
    <w:rsid w:val="00F63819"/>
    <w:rsid w:val="00F63923"/>
    <w:rsid w:val="00F64002"/>
    <w:rsid w:val="00F642EC"/>
    <w:rsid w:val="00F647CA"/>
    <w:rsid w:val="00F65492"/>
    <w:rsid w:val="00F6558D"/>
    <w:rsid w:val="00F658FC"/>
    <w:rsid w:val="00F6593C"/>
    <w:rsid w:val="00F65B0B"/>
    <w:rsid w:val="00F65DD0"/>
    <w:rsid w:val="00F65FBF"/>
    <w:rsid w:val="00F666DC"/>
    <w:rsid w:val="00F667AB"/>
    <w:rsid w:val="00F669BC"/>
    <w:rsid w:val="00F67A1A"/>
    <w:rsid w:val="00F67AE8"/>
    <w:rsid w:val="00F67B53"/>
    <w:rsid w:val="00F700EE"/>
    <w:rsid w:val="00F70192"/>
    <w:rsid w:val="00F70351"/>
    <w:rsid w:val="00F709F0"/>
    <w:rsid w:val="00F7119D"/>
    <w:rsid w:val="00F71307"/>
    <w:rsid w:val="00F71989"/>
    <w:rsid w:val="00F71B2B"/>
    <w:rsid w:val="00F729FA"/>
    <w:rsid w:val="00F72A5D"/>
    <w:rsid w:val="00F72D32"/>
    <w:rsid w:val="00F736B9"/>
    <w:rsid w:val="00F73CA9"/>
    <w:rsid w:val="00F73F60"/>
    <w:rsid w:val="00F741D6"/>
    <w:rsid w:val="00F743E1"/>
    <w:rsid w:val="00F74CD5"/>
    <w:rsid w:val="00F74DEB"/>
    <w:rsid w:val="00F75561"/>
    <w:rsid w:val="00F758FC"/>
    <w:rsid w:val="00F75B02"/>
    <w:rsid w:val="00F76051"/>
    <w:rsid w:val="00F764AB"/>
    <w:rsid w:val="00F764F7"/>
    <w:rsid w:val="00F7679E"/>
    <w:rsid w:val="00F76E78"/>
    <w:rsid w:val="00F800F1"/>
    <w:rsid w:val="00F801F4"/>
    <w:rsid w:val="00F805F7"/>
    <w:rsid w:val="00F80996"/>
    <w:rsid w:val="00F811D7"/>
    <w:rsid w:val="00F8178B"/>
    <w:rsid w:val="00F81B49"/>
    <w:rsid w:val="00F81D06"/>
    <w:rsid w:val="00F81D84"/>
    <w:rsid w:val="00F81DC9"/>
    <w:rsid w:val="00F82460"/>
    <w:rsid w:val="00F82B53"/>
    <w:rsid w:val="00F82C70"/>
    <w:rsid w:val="00F83BF2"/>
    <w:rsid w:val="00F83FDB"/>
    <w:rsid w:val="00F84270"/>
    <w:rsid w:val="00F8432F"/>
    <w:rsid w:val="00F8451A"/>
    <w:rsid w:val="00F848C7"/>
    <w:rsid w:val="00F848D4"/>
    <w:rsid w:val="00F84933"/>
    <w:rsid w:val="00F84FA2"/>
    <w:rsid w:val="00F850B4"/>
    <w:rsid w:val="00F852A3"/>
    <w:rsid w:val="00F856C6"/>
    <w:rsid w:val="00F8598D"/>
    <w:rsid w:val="00F85B6E"/>
    <w:rsid w:val="00F85E41"/>
    <w:rsid w:val="00F85FAC"/>
    <w:rsid w:val="00F86651"/>
    <w:rsid w:val="00F86AE2"/>
    <w:rsid w:val="00F87332"/>
    <w:rsid w:val="00F8733F"/>
    <w:rsid w:val="00F875F6"/>
    <w:rsid w:val="00F87634"/>
    <w:rsid w:val="00F87DE4"/>
    <w:rsid w:val="00F87F66"/>
    <w:rsid w:val="00F900DF"/>
    <w:rsid w:val="00F91A62"/>
    <w:rsid w:val="00F923FE"/>
    <w:rsid w:val="00F92A21"/>
    <w:rsid w:val="00F92B58"/>
    <w:rsid w:val="00F92D46"/>
    <w:rsid w:val="00F93B3A"/>
    <w:rsid w:val="00F942AC"/>
    <w:rsid w:val="00F94F28"/>
    <w:rsid w:val="00F94FBA"/>
    <w:rsid w:val="00F95627"/>
    <w:rsid w:val="00F95BDE"/>
    <w:rsid w:val="00F95C92"/>
    <w:rsid w:val="00F95E5E"/>
    <w:rsid w:val="00F9609A"/>
    <w:rsid w:val="00F960F8"/>
    <w:rsid w:val="00F96E8B"/>
    <w:rsid w:val="00F97109"/>
    <w:rsid w:val="00F9741D"/>
    <w:rsid w:val="00F9792B"/>
    <w:rsid w:val="00F97CA7"/>
    <w:rsid w:val="00FA0147"/>
    <w:rsid w:val="00FA0700"/>
    <w:rsid w:val="00FA0C08"/>
    <w:rsid w:val="00FA0CB4"/>
    <w:rsid w:val="00FA1111"/>
    <w:rsid w:val="00FA13D6"/>
    <w:rsid w:val="00FA1A0B"/>
    <w:rsid w:val="00FA1D01"/>
    <w:rsid w:val="00FA1D34"/>
    <w:rsid w:val="00FA21A3"/>
    <w:rsid w:val="00FA3064"/>
    <w:rsid w:val="00FA3131"/>
    <w:rsid w:val="00FA3279"/>
    <w:rsid w:val="00FA37CB"/>
    <w:rsid w:val="00FA3900"/>
    <w:rsid w:val="00FA3A88"/>
    <w:rsid w:val="00FA3D7B"/>
    <w:rsid w:val="00FA4179"/>
    <w:rsid w:val="00FA43D3"/>
    <w:rsid w:val="00FA53F6"/>
    <w:rsid w:val="00FA5627"/>
    <w:rsid w:val="00FA5913"/>
    <w:rsid w:val="00FA5FD4"/>
    <w:rsid w:val="00FA63A8"/>
    <w:rsid w:val="00FA6AD3"/>
    <w:rsid w:val="00FA6DC8"/>
    <w:rsid w:val="00FA723D"/>
    <w:rsid w:val="00FA7442"/>
    <w:rsid w:val="00FA78D5"/>
    <w:rsid w:val="00FB06A3"/>
    <w:rsid w:val="00FB06AD"/>
    <w:rsid w:val="00FB0873"/>
    <w:rsid w:val="00FB09DF"/>
    <w:rsid w:val="00FB0C4F"/>
    <w:rsid w:val="00FB21CA"/>
    <w:rsid w:val="00FB24CA"/>
    <w:rsid w:val="00FB2818"/>
    <w:rsid w:val="00FB2E30"/>
    <w:rsid w:val="00FB4623"/>
    <w:rsid w:val="00FB488E"/>
    <w:rsid w:val="00FB515E"/>
    <w:rsid w:val="00FB56AE"/>
    <w:rsid w:val="00FB571A"/>
    <w:rsid w:val="00FB58AD"/>
    <w:rsid w:val="00FB72F7"/>
    <w:rsid w:val="00FB7397"/>
    <w:rsid w:val="00FB740A"/>
    <w:rsid w:val="00FB7671"/>
    <w:rsid w:val="00FB7BE5"/>
    <w:rsid w:val="00FC0846"/>
    <w:rsid w:val="00FC0B25"/>
    <w:rsid w:val="00FC0CCE"/>
    <w:rsid w:val="00FC10AC"/>
    <w:rsid w:val="00FC11CB"/>
    <w:rsid w:val="00FC129D"/>
    <w:rsid w:val="00FC137E"/>
    <w:rsid w:val="00FC13F4"/>
    <w:rsid w:val="00FC1588"/>
    <w:rsid w:val="00FC165E"/>
    <w:rsid w:val="00FC20B9"/>
    <w:rsid w:val="00FC2359"/>
    <w:rsid w:val="00FC2398"/>
    <w:rsid w:val="00FC2624"/>
    <w:rsid w:val="00FC272E"/>
    <w:rsid w:val="00FC2909"/>
    <w:rsid w:val="00FC2D7D"/>
    <w:rsid w:val="00FC2DB6"/>
    <w:rsid w:val="00FC3016"/>
    <w:rsid w:val="00FC3718"/>
    <w:rsid w:val="00FC37BE"/>
    <w:rsid w:val="00FC38B1"/>
    <w:rsid w:val="00FC3A57"/>
    <w:rsid w:val="00FC3E12"/>
    <w:rsid w:val="00FC3F5D"/>
    <w:rsid w:val="00FC4088"/>
    <w:rsid w:val="00FC4366"/>
    <w:rsid w:val="00FC44B0"/>
    <w:rsid w:val="00FC45F5"/>
    <w:rsid w:val="00FC47DA"/>
    <w:rsid w:val="00FC4D1B"/>
    <w:rsid w:val="00FC4F27"/>
    <w:rsid w:val="00FC5A91"/>
    <w:rsid w:val="00FC5F88"/>
    <w:rsid w:val="00FC6143"/>
    <w:rsid w:val="00FC6461"/>
    <w:rsid w:val="00FC728E"/>
    <w:rsid w:val="00FC7333"/>
    <w:rsid w:val="00FC77B0"/>
    <w:rsid w:val="00FC7BF7"/>
    <w:rsid w:val="00FC7D78"/>
    <w:rsid w:val="00FD019A"/>
    <w:rsid w:val="00FD045E"/>
    <w:rsid w:val="00FD0777"/>
    <w:rsid w:val="00FD0972"/>
    <w:rsid w:val="00FD1673"/>
    <w:rsid w:val="00FD1DB8"/>
    <w:rsid w:val="00FD24B1"/>
    <w:rsid w:val="00FD284B"/>
    <w:rsid w:val="00FD2F1C"/>
    <w:rsid w:val="00FD32C6"/>
    <w:rsid w:val="00FD3C05"/>
    <w:rsid w:val="00FD3C6C"/>
    <w:rsid w:val="00FD46C2"/>
    <w:rsid w:val="00FD4AA5"/>
    <w:rsid w:val="00FD4F37"/>
    <w:rsid w:val="00FD504F"/>
    <w:rsid w:val="00FD5516"/>
    <w:rsid w:val="00FD5A38"/>
    <w:rsid w:val="00FD5B72"/>
    <w:rsid w:val="00FD5D25"/>
    <w:rsid w:val="00FD5F6F"/>
    <w:rsid w:val="00FD5FED"/>
    <w:rsid w:val="00FD62EE"/>
    <w:rsid w:val="00FD6428"/>
    <w:rsid w:val="00FD64DF"/>
    <w:rsid w:val="00FD69C0"/>
    <w:rsid w:val="00FD740D"/>
    <w:rsid w:val="00FD7504"/>
    <w:rsid w:val="00FD77C2"/>
    <w:rsid w:val="00FD7A02"/>
    <w:rsid w:val="00FD7D52"/>
    <w:rsid w:val="00FE017A"/>
    <w:rsid w:val="00FE0581"/>
    <w:rsid w:val="00FE0967"/>
    <w:rsid w:val="00FE0D2C"/>
    <w:rsid w:val="00FE0D7E"/>
    <w:rsid w:val="00FE135B"/>
    <w:rsid w:val="00FE1EA8"/>
    <w:rsid w:val="00FE25CD"/>
    <w:rsid w:val="00FE29A6"/>
    <w:rsid w:val="00FE2DCC"/>
    <w:rsid w:val="00FE313D"/>
    <w:rsid w:val="00FE3397"/>
    <w:rsid w:val="00FE33A6"/>
    <w:rsid w:val="00FE3860"/>
    <w:rsid w:val="00FE39F5"/>
    <w:rsid w:val="00FE3C05"/>
    <w:rsid w:val="00FE3EC7"/>
    <w:rsid w:val="00FE43B2"/>
    <w:rsid w:val="00FE4657"/>
    <w:rsid w:val="00FE4702"/>
    <w:rsid w:val="00FE484E"/>
    <w:rsid w:val="00FE4A19"/>
    <w:rsid w:val="00FE4E6E"/>
    <w:rsid w:val="00FE5606"/>
    <w:rsid w:val="00FE5D4A"/>
    <w:rsid w:val="00FE6086"/>
    <w:rsid w:val="00FE69B4"/>
    <w:rsid w:val="00FE748E"/>
    <w:rsid w:val="00FE759F"/>
    <w:rsid w:val="00FE75C7"/>
    <w:rsid w:val="00FE7604"/>
    <w:rsid w:val="00FE7806"/>
    <w:rsid w:val="00FE78B5"/>
    <w:rsid w:val="00FE7F3C"/>
    <w:rsid w:val="00FF0034"/>
    <w:rsid w:val="00FF0130"/>
    <w:rsid w:val="00FF070B"/>
    <w:rsid w:val="00FF1085"/>
    <w:rsid w:val="00FF126D"/>
    <w:rsid w:val="00FF19AA"/>
    <w:rsid w:val="00FF1D9B"/>
    <w:rsid w:val="00FF219B"/>
    <w:rsid w:val="00FF2419"/>
    <w:rsid w:val="00FF260A"/>
    <w:rsid w:val="00FF2F1D"/>
    <w:rsid w:val="00FF3324"/>
    <w:rsid w:val="00FF39AB"/>
    <w:rsid w:val="00FF3A76"/>
    <w:rsid w:val="00FF3C66"/>
    <w:rsid w:val="00FF3F35"/>
    <w:rsid w:val="00FF4173"/>
    <w:rsid w:val="00FF4994"/>
    <w:rsid w:val="00FF4C9A"/>
    <w:rsid w:val="00FF4C9F"/>
    <w:rsid w:val="00FF4E59"/>
    <w:rsid w:val="00FF4F5B"/>
    <w:rsid w:val="00FF5686"/>
    <w:rsid w:val="00FF60AC"/>
    <w:rsid w:val="00FF622F"/>
    <w:rsid w:val="00FF6765"/>
    <w:rsid w:val="00FF6D1F"/>
    <w:rsid w:val="00FF6D50"/>
    <w:rsid w:val="00FF75DB"/>
    <w:rsid w:val="00FF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4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E8F"/>
  </w:style>
  <w:style w:type="paragraph" w:styleId="Heading1">
    <w:name w:val="heading 1"/>
    <w:basedOn w:val="Normal"/>
    <w:next w:val="Normal"/>
    <w:qFormat/>
    <w:pPr>
      <w:keepNext/>
      <w:ind w:left="-567"/>
      <w:outlineLvl w:val="0"/>
    </w:pPr>
    <w:rPr>
      <w:b/>
      <w:sz w:val="18"/>
    </w:rPr>
  </w:style>
  <w:style w:type="paragraph" w:styleId="Heading2">
    <w:name w:val="heading 2"/>
    <w:basedOn w:val="Normal"/>
    <w:next w:val="Normal"/>
    <w:qFormat/>
    <w:pPr>
      <w:keepNext/>
      <w:outlineLvl w:val="1"/>
    </w:pPr>
    <w:rPr>
      <w:i/>
      <w:color w:val="FF0000"/>
      <w:sz w:val="18"/>
    </w:rPr>
  </w:style>
  <w:style w:type="paragraph" w:styleId="Heading3">
    <w:name w:val="heading 3"/>
    <w:basedOn w:val="Normal"/>
    <w:next w:val="Normal"/>
    <w:qFormat/>
    <w:pPr>
      <w:keepNext/>
      <w:ind w:hanging="567"/>
      <w:outlineLvl w:val="2"/>
    </w:pPr>
    <w:rPr>
      <w:b/>
      <w:sz w:val="18"/>
    </w:rPr>
  </w:style>
  <w:style w:type="paragraph" w:styleId="Heading4">
    <w:name w:val="heading 4"/>
    <w:basedOn w:val="Normal"/>
    <w:next w:val="Normal"/>
    <w:qFormat/>
    <w:pPr>
      <w:keepNext/>
      <w:numPr>
        <w:numId w:val="2"/>
      </w:numPr>
      <w:tabs>
        <w:tab w:val="left" w:pos="-6"/>
      </w:tabs>
      <w:ind w:left="-6" w:hanging="561"/>
      <w:outlineLvl w:val="3"/>
    </w:pPr>
    <w:rPr>
      <w:b/>
      <w:sz w:val="18"/>
    </w:rPr>
  </w:style>
  <w:style w:type="paragraph" w:styleId="Heading5">
    <w:name w:val="heading 5"/>
    <w:basedOn w:val="Normal"/>
    <w:next w:val="Normal"/>
    <w:qFormat/>
    <w:pPr>
      <w:keepNext/>
      <w:numPr>
        <w:numId w:val="3"/>
      </w:numPr>
      <w:outlineLvl w:val="4"/>
    </w:pPr>
    <w:rPr>
      <w:b/>
      <w:sz w:val="18"/>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ind w:left="-630"/>
      <w:outlineLvl w:val="6"/>
    </w:pPr>
    <w:rPr>
      <w:b/>
      <w:sz w:val="18"/>
    </w:rPr>
  </w:style>
  <w:style w:type="paragraph" w:styleId="Heading8">
    <w:name w:val="heading 8"/>
    <w:basedOn w:val="Normal"/>
    <w:next w:val="Normal"/>
    <w:qFormat/>
    <w:pPr>
      <w:keepNext/>
      <w:ind w:hanging="630"/>
      <w:outlineLvl w:val="7"/>
    </w:pPr>
    <w:rPr>
      <w:b/>
      <w:sz w:val="18"/>
    </w:rPr>
  </w:style>
  <w:style w:type="paragraph" w:styleId="Heading9">
    <w:name w:val="heading 9"/>
    <w:basedOn w:val="Normal"/>
    <w:next w:val="Normal"/>
    <w:qFormat/>
    <w:pPr>
      <w:keepNext/>
      <w:ind w:left="-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99"/>
    <w:rsid w:val="00832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Pr>
      <w:color w:val="FF0000"/>
      <w:sz w:val="18"/>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567"/>
    </w:pPr>
    <w:rPr>
      <w:sz w:val="18"/>
    </w:rPr>
  </w:style>
  <w:style w:type="paragraph" w:styleId="BodyTextIndent2">
    <w:name w:val="Body Text Indent 2"/>
    <w:basedOn w:val="Normal"/>
    <w:pPr>
      <w:ind w:left="3"/>
    </w:pPr>
    <w:rPr>
      <w:color w:val="000000"/>
      <w:sz w:val="18"/>
    </w:rPr>
  </w:style>
  <w:style w:type="paragraph" w:customStyle="1" w:styleId="TNR11Bold">
    <w:name w:val="TNR11Bold"/>
    <w:next w:val="Normal"/>
    <w:pPr>
      <w:spacing w:after="240" w:line="240" w:lineRule="atLeast"/>
    </w:pPr>
    <w:rPr>
      <w:b/>
      <w:sz w:val="22"/>
    </w:rPr>
  </w:style>
  <w:style w:type="paragraph" w:styleId="BodyTextIndent3">
    <w:name w:val="Body Text Indent 3"/>
    <w:basedOn w:val="Normal"/>
    <w:pPr>
      <w:ind w:left="-567" w:firstLine="567"/>
    </w:pPr>
    <w:rPr>
      <w:color w:val="000000"/>
      <w:sz w:val="18"/>
    </w:rPr>
  </w:style>
  <w:style w:type="paragraph" w:customStyle="1" w:styleId="Letter">
    <w:name w:val="Letter"/>
    <w:pPr>
      <w:spacing w:line="240" w:lineRule="atLeast"/>
    </w:pPr>
    <w:rPr>
      <w:sz w:val="24"/>
      <w:lang w:eastAsia="en-US"/>
    </w:rPr>
  </w:style>
  <w:style w:type="paragraph" w:styleId="NormalWeb">
    <w:name w:val="Normal (Web)"/>
    <w:basedOn w:val="Normal"/>
    <w:pPr>
      <w:spacing w:before="100" w:after="100"/>
    </w:pPr>
    <w:rPr>
      <w:rFonts w:ascii="Arial" w:eastAsia="Arial Unicode MS" w:hAnsi="Arial"/>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pPr>
      <w:jc w:val="both"/>
    </w:pPr>
    <w:rPr>
      <w:rFonts w:ascii="ZapfCalligr BT" w:hAnsi="ZapfCalligr BT"/>
    </w:rPr>
  </w:style>
  <w:style w:type="character" w:customStyle="1" w:styleId="resultshilight">
    <w:name w:val="results_hilight"/>
    <w:rPr>
      <w:shd w:val="clear" w:color="auto" w:fill="FFFF00"/>
    </w:rPr>
  </w:style>
  <w:style w:type="paragraph" w:customStyle="1" w:styleId="indent12">
    <w:name w:val="indent12"/>
    <w:basedOn w:val="Normal"/>
    <w:next w:val="Normal"/>
    <w:rsid w:val="004C4E8B"/>
    <w:pPr>
      <w:numPr>
        <w:numId w:val="5"/>
      </w:numPr>
      <w:jc w:val="both"/>
    </w:pPr>
    <w:rPr>
      <w:sz w:val="24"/>
    </w:rPr>
  </w:style>
  <w:style w:type="character" w:customStyle="1" w:styleId="kearnsa">
    <w:name w:val="kearnsa"/>
    <w:semiHidden/>
    <w:rsid w:val="004B6F13"/>
    <w:rPr>
      <w:rFonts w:ascii="Arial" w:hAnsi="Arial" w:cs="Arial"/>
      <w:b w:val="0"/>
      <w:bCs w:val="0"/>
      <w:i w:val="0"/>
      <w:iCs w:val="0"/>
      <w:strike w:val="0"/>
      <w:color w:val="auto"/>
      <w:sz w:val="18"/>
      <w:szCs w:val="18"/>
      <w:u w:val="none"/>
    </w:rPr>
  </w:style>
  <w:style w:type="character" w:customStyle="1" w:styleId="FooterChar">
    <w:name w:val="Footer Char"/>
    <w:link w:val="Footer"/>
    <w:uiPriority w:val="99"/>
    <w:rsid w:val="002565C4"/>
  </w:style>
  <w:style w:type="paragraph" w:styleId="CommentSubject">
    <w:name w:val="annotation subject"/>
    <w:basedOn w:val="CommentText"/>
    <w:next w:val="CommentText"/>
    <w:link w:val="CommentSubjectChar"/>
    <w:rsid w:val="00FC37BE"/>
    <w:pPr>
      <w:jc w:val="left"/>
    </w:pPr>
    <w:rPr>
      <w:rFonts w:ascii="Times New Roman" w:hAnsi="Times New Roman"/>
      <w:b/>
      <w:bCs/>
    </w:rPr>
  </w:style>
  <w:style w:type="character" w:customStyle="1" w:styleId="CommentTextChar">
    <w:name w:val="Comment Text Char"/>
    <w:link w:val="CommentText"/>
    <w:semiHidden/>
    <w:rsid w:val="00FC37BE"/>
    <w:rPr>
      <w:rFonts w:ascii="ZapfCalligr BT" w:hAnsi="ZapfCalligr BT"/>
    </w:rPr>
  </w:style>
  <w:style w:type="character" w:customStyle="1" w:styleId="CommentSubjectChar">
    <w:name w:val="Comment Subject Char"/>
    <w:link w:val="CommentSubject"/>
    <w:rsid w:val="00FC37BE"/>
    <w:rPr>
      <w:rFonts w:ascii="ZapfCalligr BT" w:hAnsi="ZapfCalligr BT"/>
      <w:b/>
      <w:bCs/>
    </w:rPr>
  </w:style>
  <w:style w:type="paragraph" w:customStyle="1" w:styleId="NormalAfterTables">
    <w:name w:val="Normal AfterTables"/>
    <w:basedOn w:val="Normal"/>
    <w:uiPriority w:val="99"/>
    <w:rsid w:val="00A72BB4"/>
    <w:pPr>
      <w:spacing w:before="120" w:after="105" w:line="210" w:lineRule="exact"/>
    </w:pPr>
    <w:rPr>
      <w:rFonts w:ascii="Trade Gothic LT Std Light" w:hAnsi="Trade Gothic LT Std Light"/>
      <w:spacing w:val="-3"/>
      <w:sz w:val="18"/>
      <w:szCs w:val="24"/>
    </w:rPr>
  </w:style>
  <w:style w:type="paragraph" w:styleId="ListParagraph">
    <w:name w:val="List Paragraph"/>
    <w:basedOn w:val="Normal"/>
    <w:uiPriority w:val="34"/>
    <w:qFormat/>
    <w:rsid w:val="00F2449D"/>
    <w:pPr>
      <w:ind w:left="720"/>
      <w:contextualSpacing/>
    </w:pPr>
  </w:style>
  <w:style w:type="paragraph" w:styleId="Revision">
    <w:name w:val="Revision"/>
    <w:hidden/>
    <w:uiPriority w:val="99"/>
    <w:semiHidden/>
    <w:rsid w:val="0075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7374">
      <w:bodyDiv w:val="1"/>
      <w:marLeft w:val="0"/>
      <w:marRight w:val="0"/>
      <w:marTop w:val="0"/>
      <w:marBottom w:val="0"/>
      <w:divBdr>
        <w:top w:val="none" w:sz="0" w:space="0" w:color="auto"/>
        <w:left w:val="none" w:sz="0" w:space="0" w:color="auto"/>
        <w:bottom w:val="none" w:sz="0" w:space="0" w:color="auto"/>
        <w:right w:val="none" w:sz="0" w:space="0" w:color="auto"/>
      </w:divBdr>
    </w:div>
    <w:div w:id="255402820">
      <w:bodyDiv w:val="1"/>
      <w:marLeft w:val="0"/>
      <w:marRight w:val="0"/>
      <w:marTop w:val="0"/>
      <w:marBottom w:val="0"/>
      <w:divBdr>
        <w:top w:val="none" w:sz="0" w:space="0" w:color="auto"/>
        <w:left w:val="none" w:sz="0" w:space="0" w:color="auto"/>
        <w:bottom w:val="none" w:sz="0" w:space="0" w:color="auto"/>
        <w:right w:val="none" w:sz="0" w:space="0" w:color="auto"/>
      </w:divBdr>
    </w:div>
    <w:div w:id="256596936">
      <w:bodyDiv w:val="1"/>
      <w:marLeft w:val="0"/>
      <w:marRight w:val="0"/>
      <w:marTop w:val="0"/>
      <w:marBottom w:val="0"/>
      <w:divBdr>
        <w:top w:val="none" w:sz="0" w:space="0" w:color="auto"/>
        <w:left w:val="none" w:sz="0" w:space="0" w:color="auto"/>
        <w:bottom w:val="none" w:sz="0" w:space="0" w:color="auto"/>
        <w:right w:val="none" w:sz="0" w:space="0" w:color="auto"/>
      </w:divBdr>
    </w:div>
    <w:div w:id="345254175">
      <w:bodyDiv w:val="1"/>
      <w:marLeft w:val="0"/>
      <w:marRight w:val="0"/>
      <w:marTop w:val="0"/>
      <w:marBottom w:val="0"/>
      <w:divBdr>
        <w:top w:val="none" w:sz="0" w:space="0" w:color="auto"/>
        <w:left w:val="none" w:sz="0" w:space="0" w:color="auto"/>
        <w:bottom w:val="none" w:sz="0" w:space="0" w:color="auto"/>
        <w:right w:val="none" w:sz="0" w:space="0" w:color="auto"/>
      </w:divBdr>
    </w:div>
    <w:div w:id="348801146">
      <w:bodyDiv w:val="1"/>
      <w:marLeft w:val="0"/>
      <w:marRight w:val="0"/>
      <w:marTop w:val="0"/>
      <w:marBottom w:val="0"/>
      <w:divBdr>
        <w:top w:val="none" w:sz="0" w:space="0" w:color="auto"/>
        <w:left w:val="none" w:sz="0" w:space="0" w:color="auto"/>
        <w:bottom w:val="none" w:sz="0" w:space="0" w:color="auto"/>
        <w:right w:val="none" w:sz="0" w:space="0" w:color="auto"/>
      </w:divBdr>
    </w:div>
    <w:div w:id="361322960">
      <w:bodyDiv w:val="1"/>
      <w:marLeft w:val="0"/>
      <w:marRight w:val="0"/>
      <w:marTop w:val="0"/>
      <w:marBottom w:val="0"/>
      <w:divBdr>
        <w:top w:val="none" w:sz="0" w:space="0" w:color="auto"/>
        <w:left w:val="none" w:sz="0" w:space="0" w:color="auto"/>
        <w:bottom w:val="none" w:sz="0" w:space="0" w:color="auto"/>
        <w:right w:val="none" w:sz="0" w:space="0" w:color="auto"/>
      </w:divBdr>
    </w:div>
    <w:div w:id="555360116">
      <w:bodyDiv w:val="1"/>
      <w:marLeft w:val="0"/>
      <w:marRight w:val="0"/>
      <w:marTop w:val="0"/>
      <w:marBottom w:val="0"/>
      <w:divBdr>
        <w:top w:val="none" w:sz="0" w:space="0" w:color="auto"/>
        <w:left w:val="none" w:sz="0" w:space="0" w:color="auto"/>
        <w:bottom w:val="none" w:sz="0" w:space="0" w:color="auto"/>
        <w:right w:val="none" w:sz="0" w:space="0" w:color="auto"/>
      </w:divBdr>
    </w:div>
    <w:div w:id="568809467">
      <w:bodyDiv w:val="1"/>
      <w:marLeft w:val="0"/>
      <w:marRight w:val="0"/>
      <w:marTop w:val="0"/>
      <w:marBottom w:val="0"/>
      <w:divBdr>
        <w:top w:val="none" w:sz="0" w:space="0" w:color="auto"/>
        <w:left w:val="none" w:sz="0" w:space="0" w:color="auto"/>
        <w:bottom w:val="none" w:sz="0" w:space="0" w:color="auto"/>
        <w:right w:val="none" w:sz="0" w:space="0" w:color="auto"/>
      </w:divBdr>
    </w:div>
    <w:div w:id="593897504">
      <w:bodyDiv w:val="1"/>
      <w:marLeft w:val="0"/>
      <w:marRight w:val="0"/>
      <w:marTop w:val="0"/>
      <w:marBottom w:val="0"/>
      <w:divBdr>
        <w:top w:val="none" w:sz="0" w:space="0" w:color="auto"/>
        <w:left w:val="none" w:sz="0" w:space="0" w:color="auto"/>
        <w:bottom w:val="none" w:sz="0" w:space="0" w:color="auto"/>
        <w:right w:val="none" w:sz="0" w:space="0" w:color="auto"/>
      </w:divBdr>
    </w:div>
    <w:div w:id="607350387">
      <w:bodyDiv w:val="1"/>
      <w:marLeft w:val="0"/>
      <w:marRight w:val="0"/>
      <w:marTop w:val="0"/>
      <w:marBottom w:val="0"/>
      <w:divBdr>
        <w:top w:val="none" w:sz="0" w:space="0" w:color="auto"/>
        <w:left w:val="none" w:sz="0" w:space="0" w:color="auto"/>
        <w:bottom w:val="none" w:sz="0" w:space="0" w:color="auto"/>
        <w:right w:val="none" w:sz="0" w:space="0" w:color="auto"/>
      </w:divBdr>
    </w:div>
    <w:div w:id="702902511">
      <w:bodyDiv w:val="1"/>
      <w:marLeft w:val="0"/>
      <w:marRight w:val="0"/>
      <w:marTop w:val="0"/>
      <w:marBottom w:val="0"/>
      <w:divBdr>
        <w:top w:val="none" w:sz="0" w:space="0" w:color="auto"/>
        <w:left w:val="none" w:sz="0" w:space="0" w:color="auto"/>
        <w:bottom w:val="none" w:sz="0" w:space="0" w:color="auto"/>
        <w:right w:val="none" w:sz="0" w:space="0" w:color="auto"/>
      </w:divBdr>
    </w:div>
    <w:div w:id="739714349">
      <w:bodyDiv w:val="1"/>
      <w:marLeft w:val="0"/>
      <w:marRight w:val="0"/>
      <w:marTop w:val="0"/>
      <w:marBottom w:val="0"/>
      <w:divBdr>
        <w:top w:val="none" w:sz="0" w:space="0" w:color="auto"/>
        <w:left w:val="none" w:sz="0" w:space="0" w:color="auto"/>
        <w:bottom w:val="none" w:sz="0" w:space="0" w:color="auto"/>
        <w:right w:val="none" w:sz="0" w:space="0" w:color="auto"/>
      </w:divBdr>
      <w:divsChild>
        <w:div w:id="257644735">
          <w:marLeft w:val="0"/>
          <w:marRight w:val="0"/>
          <w:marTop w:val="0"/>
          <w:marBottom w:val="0"/>
          <w:divBdr>
            <w:top w:val="none" w:sz="0" w:space="0" w:color="auto"/>
            <w:left w:val="none" w:sz="0" w:space="0" w:color="auto"/>
            <w:bottom w:val="none" w:sz="0" w:space="0" w:color="auto"/>
            <w:right w:val="none" w:sz="0" w:space="0" w:color="auto"/>
          </w:divBdr>
        </w:div>
      </w:divsChild>
    </w:div>
    <w:div w:id="745805658">
      <w:bodyDiv w:val="1"/>
      <w:marLeft w:val="0"/>
      <w:marRight w:val="0"/>
      <w:marTop w:val="0"/>
      <w:marBottom w:val="0"/>
      <w:divBdr>
        <w:top w:val="none" w:sz="0" w:space="0" w:color="auto"/>
        <w:left w:val="none" w:sz="0" w:space="0" w:color="auto"/>
        <w:bottom w:val="none" w:sz="0" w:space="0" w:color="auto"/>
        <w:right w:val="none" w:sz="0" w:space="0" w:color="auto"/>
      </w:divBdr>
    </w:div>
    <w:div w:id="810907849">
      <w:bodyDiv w:val="1"/>
      <w:marLeft w:val="0"/>
      <w:marRight w:val="0"/>
      <w:marTop w:val="0"/>
      <w:marBottom w:val="0"/>
      <w:divBdr>
        <w:top w:val="none" w:sz="0" w:space="0" w:color="auto"/>
        <w:left w:val="none" w:sz="0" w:space="0" w:color="auto"/>
        <w:bottom w:val="none" w:sz="0" w:space="0" w:color="auto"/>
        <w:right w:val="none" w:sz="0" w:space="0" w:color="auto"/>
      </w:divBdr>
    </w:div>
    <w:div w:id="907301721">
      <w:bodyDiv w:val="1"/>
      <w:marLeft w:val="0"/>
      <w:marRight w:val="0"/>
      <w:marTop w:val="0"/>
      <w:marBottom w:val="0"/>
      <w:divBdr>
        <w:top w:val="none" w:sz="0" w:space="0" w:color="auto"/>
        <w:left w:val="none" w:sz="0" w:space="0" w:color="auto"/>
        <w:bottom w:val="none" w:sz="0" w:space="0" w:color="auto"/>
        <w:right w:val="none" w:sz="0" w:space="0" w:color="auto"/>
      </w:divBdr>
    </w:div>
    <w:div w:id="920871597">
      <w:bodyDiv w:val="1"/>
      <w:marLeft w:val="0"/>
      <w:marRight w:val="0"/>
      <w:marTop w:val="0"/>
      <w:marBottom w:val="0"/>
      <w:divBdr>
        <w:top w:val="none" w:sz="0" w:space="0" w:color="auto"/>
        <w:left w:val="none" w:sz="0" w:space="0" w:color="auto"/>
        <w:bottom w:val="none" w:sz="0" w:space="0" w:color="auto"/>
        <w:right w:val="none" w:sz="0" w:space="0" w:color="auto"/>
      </w:divBdr>
    </w:div>
    <w:div w:id="954025763">
      <w:bodyDiv w:val="1"/>
      <w:marLeft w:val="0"/>
      <w:marRight w:val="0"/>
      <w:marTop w:val="0"/>
      <w:marBottom w:val="0"/>
      <w:divBdr>
        <w:top w:val="none" w:sz="0" w:space="0" w:color="auto"/>
        <w:left w:val="none" w:sz="0" w:space="0" w:color="auto"/>
        <w:bottom w:val="none" w:sz="0" w:space="0" w:color="auto"/>
        <w:right w:val="none" w:sz="0" w:space="0" w:color="auto"/>
      </w:divBdr>
    </w:div>
    <w:div w:id="964430298">
      <w:bodyDiv w:val="1"/>
      <w:marLeft w:val="0"/>
      <w:marRight w:val="0"/>
      <w:marTop w:val="0"/>
      <w:marBottom w:val="0"/>
      <w:divBdr>
        <w:top w:val="none" w:sz="0" w:space="0" w:color="auto"/>
        <w:left w:val="none" w:sz="0" w:space="0" w:color="auto"/>
        <w:bottom w:val="none" w:sz="0" w:space="0" w:color="auto"/>
        <w:right w:val="none" w:sz="0" w:space="0" w:color="auto"/>
      </w:divBdr>
    </w:div>
    <w:div w:id="1112169800">
      <w:bodyDiv w:val="1"/>
      <w:marLeft w:val="0"/>
      <w:marRight w:val="0"/>
      <w:marTop w:val="0"/>
      <w:marBottom w:val="0"/>
      <w:divBdr>
        <w:top w:val="none" w:sz="0" w:space="0" w:color="auto"/>
        <w:left w:val="none" w:sz="0" w:space="0" w:color="auto"/>
        <w:bottom w:val="none" w:sz="0" w:space="0" w:color="auto"/>
        <w:right w:val="none" w:sz="0" w:space="0" w:color="auto"/>
      </w:divBdr>
    </w:div>
    <w:div w:id="1118262776">
      <w:bodyDiv w:val="1"/>
      <w:marLeft w:val="0"/>
      <w:marRight w:val="0"/>
      <w:marTop w:val="0"/>
      <w:marBottom w:val="0"/>
      <w:divBdr>
        <w:top w:val="none" w:sz="0" w:space="0" w:color="auto"/>
        <w:left w:val="none" w:sz="0" w:space="0" w:color="auto"/>
        <w:bottom w:val="none" w:sz="0" w:space="0" w:color="auto"/>
        <w:right w:val="none" w:sz="0" w:space="0" w:color="auto"/>
      </w:divBdr>
    </w:div>
    <w:div w:id="1164275189">
      <w:bodyDiv w:val="1"/>
      <w:marLeft w:val="0"/>
      <w:marRight w:val="0"/>
      <w:marTop w:val="0"/>
      <w:marBottom w:val="0"/>
      <w:divBdr>
        <w:top w:val="none" w:sz="0" w:space="0" w:color="auto"/>
        <w:left w:val="none" w:sz="0" w:space="0" w:color="auto"/>
        <w:bottom w:val="none" w:sz="0" w:space="0" w:color="auto"/>
        <w:right w:val="none" w:sz="0" w:space="0" w:color="auto"/>
      </w:divBdr>
    </w:div>
    <w:div w:id="1298491135">
      <w:bodyDiv w:val="1"/>
      <w:marLeft w:val="0"/>
      <w:marRight w:val="0"/>
      <w:marTop w:val="0"/>
      <w:marBottom w:val="0"/>
      <w:divBdr>
        <w:top w:val="none" w:sz="0" w:space="0" w:color="auto"/>
        <w:left w:val="none" w:sz="0" w:space="0" w:color="auto"/>
        <w:bottom w:val="none" w:sz="0" w:space="0" w:color="auto"/>
        <w:right w:val="none" w:sz="0" w:space="0" w:color="auto"/>
      </w:divBdr>
    </w:div>
    <w:div w:id="1317340587">
      <w:bodyDiv w:val="1"/>
      <w:marLeft w:val="0"/>
      <w:marRight w:val="0"/>
      <w:marTop w:val="0"/>
      <w:marBottom w:val="0"/>
      <w:divBdr>
        <w:top w:val="none" w:sz="0" w:space="0" w:color="auto"/>
        <w:left w:val="none" w:sz="0" w:space="0" w:color="auto"/>
        <w:bottom w:val="none" w:sz="0" w:space="0" w:color="auto"/>
        <w:right w:val="none" w:sz="0" w:space="0" w:color="auto"/>
      </w:divBdr>
    </w:div>
    <w:div w:id="1331299913">
      <w:bodyDiv w:val="1"/>
      <w:marLeft w:val="0"/>
      <w:marRight w:val="0"/>
      <w:marTop w:val="0"/>
      <w:marBottom w:val="0"/>
      <w:divBdr>
        <w:top w:val="none" w:sz="0" w:space="0" w:color="auto"/>
        <w:left w:val="none" w:sz="0" w:space="0" w:color="auto"/>
        <w:bottom w:val="none" w:sz="0" w:space="0" w:color="auto"/>
        <w:right w:val="none" w:sz="0" w:space="0" w:color="auto"/>
      </w:divBdr>
    </w:div>
    <w:div w:id="1517496164">
      <w:bodyDiv w:val="1"/>
      <w:marLeft w:val="0"/>
      <w:marRight w:val="0"/>
      <w:marTop w:val="0"/>
      <w:marBottom w:val="0"/>
      <w:divBdr>
        <w:top w:val="none" w:sz="0" w:space="0" w:color="auto"/>
        <w:left w:val="none" w:sz="0" w:space="0" w:color="auto"/>
        <w:bottom w:val="none" w:sz="0" w:space="0" w:color="auto"/>
        <w:right w:val="none" w:sz="0" w:space="0" w:color="auto"/>
      </w:divBdr>
    </w:div>
    <w:div w:id="1850293047">
      <w:bodyDiv w:val="1"/>
      <w:marLeft w:val="0"/>
      <w:marRight w:val="0"/>
      <w:marTop w:val="0"/>
      <w:marBottom w:val="0"/>
      <w:divBdr>
        <w:top w:val="none" w:sz="0" w:space="0" w:color="auto"/>
        <w:left w:val="none" w:sz="0" w:space="0" w:color="auto"/>
        <w:bottom w:val="none" w:sz="0" w:space="0" w:color="auto"/>
        <w:right w:val="none" w:sz="0" w:space="0" w:color="auto"/>
      </w:divBdr>
    </w:div>
    <w:div w:id="1865829156">
      <w:bodyDiv w:val="1"/>
      <w:marLeft w:val="0"/>
      <w:marRight w:val="0"/>
      <w:marTop w:val="0"/>
      <w:marBottom w:val="0"/>
      <w:divBdr>
        <w:top w:val="none" w:sz="0" w:space="0" w:color="auto"/>
        <w:left w:val="none" w:sz="0" w:space="0" w:color="auto"/>
        <w:bottom w:val="none" w:sz="0" w:space="0" w:color="auto"/>
        <w:right w:val="none" w:sz="0" w:space="0" w:color="auto"/>
      </w:divBdr>
    </w:div>
    <w:div w:id="1918051425">
      <w:bodyDiv w:val="1"/>
      <w:marLeft w:val="0"/>
      <w:marRight w:val="0"/>
      <w:marTop w:val="0"/>
      <w:marBottom w:val="0"/>
      <w:divBdr>
        <w:top w:val="none" w:sz="0" w:space="0" w:color="auto"/>
        <w:left w:val="none" w:sz="0" w:space="0" w:color="auto"/>
        <w:bottom w:val="none" w:sz="0" w:space="0" w:color="auto"/>
        <w:right w:val="none" w:sz="0" w:space="0" w:color="auto"/>
      </w:divBdr>
    </w:div>
    <w:div w:id="1976175006">
      <w:bodyDiv w:val="1"/>
      <w:marLeft w:val="0"/>
      <w:marRight w:val="0"/>
      <w:marTop w:val="0"/>
      <w:marBottom w:val="0"/>
      <w:divBdr>
        <w:top w:val="none" w:sz="0" w:space="0" w:color="auto"/>
        <w:left w:val="none" w:sz="0" w:space="0" w:color="auto"/>
        <w:bottom w:val="none" w:sz="0" w:space="0" w:color="auto"/>
        <w:right w:val="none" w:sz="0" w:space="0" w:color="auto"/>
      </w:divBdr>
    </w:div>
    <w:div w:id="1981491418">
      <w:bodyDiv w:val="1"/>
      <w:marLeft w:val="0"/>
      <w:marRight w:val="0"/>
      <w:marTop w:val="0"/>
      <w:marBottom w:val="0"/>
      <w:divBdr>
        <w:top w:val="none" w:sz="0" w:space="0" w:color="auto"/>
        <w:left w:val="none" w:sz="0" w:space="0" w:color="auto"/>
        <w:bottom w:val="none" w:sz="0" w:space="0" w:color="auto"/>
        <w:right w:val="none" w:sz="0" w:space="0" w:color="auto"/>
      </w:divBdr>
    </w:div>
    <w:div w:id="1986545717">
      <w:bodyDiv w:val="1"/>
      <w:marLeft w:val="0"/>
      <w:marRight w:val="0"/>
      <w:marTop w:val="0"/>
      <w:marBottom w:val="0"/>
      <w:divBdr>
        <w:top w:val="none" w:sz="0" w:space="0" w:color="auto"/>
        <w:left w:val="none" w:sz="0" w:space="0" w:color="auto"/>
        <w:bottom w:val="none" w:sz="0" w:space="0" w:color="auto"/>
        <w:right w:val="none" w:sz="0" w:space="0" w:color="auto"/>
      </w:divBdr>
    </w:div>
    <w:div w:id="1989940662">
      <w:bodyDiv w:val="1"/>
      <w:marLeft w:val="0"/>
      <w:marRight w:val="0"/>
      <w:marTop w:val="0"/>
      <w:marBottom w:val="0"/>
      <w:divBdr>
        <w:top w:val="none" w:sz="0" w:space="0" w:color="auto"/>
        <w:left w:val="none" w:sz="0" w:space="0" w:color="auto"/>
        <w:bottom w:val="none" w:sz="0" w:space="0" w:color="auto"/>
        <w:right w:val="none" w:sz="0" w:space="0" w:color="auto"/>
      </w:divBdr>
    </w:div>
    <w:div w:id="20817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9B60-1A7B-48AB-86F4-9E35267E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4650</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2018-03-20T18:45:00Z</dcterms:created>
  <dcterms:modified xsi:type="dcterms:W3CDTF">2018-03-20T19:28:00Z</dcterms:modified>
</cp:coreProperties>
</file>