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1F" w:rsidRPr="00A845B7" w:rsidRDefault="00F764D3" w:rsidP="00CA29E6">
      <w:pPr>
        <w:jc w:val="center"/>
        <w:rPr>
          <w:rFonts w:ascii="Arial" w:hAnsi="Arial" w:cs="Arial"/>
          <w:b/>
        </w:rPr>
      </w:pPr>
      <w:r w:rsidRPr="00A845B7">
        <w:rPr>
          <w:rFonts w:ascii="Arial" w:hAnsi="Arial" w:cs="Arial"/>
          <w:b/>
        </w:rPr>
        <w:t xml:space="preserve">Final </w:t>
      </w:r>
      <w:r w:rsidR="009D7DE0" w:rsidRPr="00A845B7">
        <w:rPr>
          <w:rFonts w:ascii="Arial" w:hAnsi="Arial" w:cs="Arial"/>
          <w:b/>
        </w:rPr>
        <w:t xml:space="preserve">results </w:t>
      </w:r>
      <w:r w:rsidR="00DF23DF" w:rsidRPr="00A845B7">
        <w:rPr>
          <w:rFonts w:ascii="Arial" w:hAnsi="Arial" w:cs="Arial"/>
          <w:b/>
        </w:rPr>
        <w:t>for</w:t>
      </w:r>
      <w:r w:rsidR="00A359EE" w:rsidRPr="00A845B7">
        <w:rPr>
          <w:rFonts w:ascii="Arial" w:hAnsi="Arial" w:cs="Arial"/>
          <w:b/>
        </w:rPr>
        <w:t xml:space="preserve"> </w:t>
      </w:r>
      <w:r w:rsidRPr="00A845B7">
        <w:rPr>
          <w:rFonts w:ascii="Arial" w:hAnsi="Arial" w:cs="Arial"/>
          <w:b/>
        </w:rPr>
        <w:t>year</w:t>
      </w:r>
      <w:r w:rsidR="00DF23DF" w:rsidRPr="00A845B7">
        <w:rPr>
          <w:rFonts w:ascii="Arial" w:hAnsi="Arial" w:cs="Arial"/>
          <w:b/>
        </w:rPr>
        <w:t xml:space="preserve"> </w:t>
      </w:r>
      <w:r w:rsidR="009D7DE0" w:rsidRPr="00A845B7">
        <w:rPr>
          <w:rFonts w:ascii="Arial" w:hAnsi="Arial" w:cs="Arial"/>
          <w:b/>
        </w:rPr>
        <w:t xml:space="preserve">ended </w:t>
      </w:r>
      <w:r w:rsidR="00686549" w:rsidRPr="00A845B7">
        <w:rPr>
          <w:rFonts w:ascii="Arial" w:hAnsi="Arial" w:cs="Arial"/>
          <w:b/>
        </w:rPr>
        <w:t xml:space="preserve">31 </w:t>
      </w:r>
      <w:r w:rsidRPr="00A845B7">
        <w:rPr>
          <w:rFonts w:ascii="Arial" w:hAnsi="Arial" w:cs="Arial"/>
          <w:b/>
        </w:rPr>
        <w:t>January 2017</w:t>
      </w:r>
    </w:p>
    <w:p w:rsidR="00AB7A37" w:rsidRDefault="00AB7A37" w:rsidP="00926779">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9631"/>
      </w:tblGrid>
      <w:tr w:rsidR="00A45362" w:rsidTr="00A45362">
        <w:tc>
          <w:tcPr>
            <w:tcW w:w="9631" w:type="dxa"/>
          </w:tcPr>
          <w:tbl>
            <w:tblPr>
              <w:tblStyle w:val="TableGrid"/>
              <w:tblW w:w="5000" w:type="pct"/>
              <w:tblLook w:val="04A0" w:firstRow="1" w:lastRow="0" w:firstColumn="1" w:lastColumn="0" w:noHBand="0" w:noVBand="1"/>
            </w:tblPr>
            <w:tblGrid>
              <w:gridCol w:w="3011"/>
              <w:gridCol w:w="1284"/>
              <w:gridCol w:w="1284"/>
              <w:gridCol w:w="1324"/>
              <w:gridCol w:w="1256"/>
              <w:gridCol w:w="1256"/>
            </w:tblGrid>
            <w:tr w:rsidR="00A45362" w:rsidTr="006F78D1">
              <w:trPr>
                <w:trHeight w:val="679"/>
              </w:trPr>
              <w:tc>
                <w:tcPr>
                  <w:tcW w:w="5579" w:type="dxa"/>
                  <w:gridSpan w:val="3"/>
                  <w:tcBorders>
                    <w:top w:val="nil"/>
                    <w:left w:val="nil"/>
                    <w:bottom w:val="single" w:sz="4" w:space="0" w:color="auto"/>
                    <w:right w:val="nil"/>
                  </w:tcBorders>
                </w:tcPr>
                <w:p w:rsidR="009404DD" w:rsidRPr="00862FEB" w:rsidRDefault="009404DD" w:rsidP="00A45362">
                  <w:pPr>
                    <w:rPr>
                      <w:rFonts w:ascii="Arial" w:hAnsi="Arial" w:cs="Arial"/>
                      <w:b/>
                      <w:bCs/>
                      <w:sz w:val="22"/>
                      <w:szCs w:val="22"/>
                    </w:rPr>
                  </w:pPr>
                </w:p>
                <w:p w:rsidR="00A45362" w:rsidRPr="00862FEB" w:rsidRDefault="00A45362" w:rsidP="00A45362">
                  <w:pPr>
                    <w:rPr>
                      <w:sz w:val="22"/>
                      <w:szCs w:val="22"/>
                    </w:rPr>
                  </w:pPr>
                  <w:r w:rsidRPr="00862FEB">
                    <w:rPr>
                      <w:rFonts w:ascii="Arial" w:hAnsi="Arial" w:cs="Arial"/>
                      <w:b/>
                      <w:bCs/>
                      <w:sz w:val="22"/>
                      <w:szCs w:val="22"/>
                    </w:rPr>
                    <w:t>Financial highlights</w:t>
                  </w:r>
                </w:p>
              </w:tc>
              <w:tc>
                <w:tcPr>
                  <w:tcW w:w="1324" w:type="dxa"/>
                  <w:tcBorders>
                    <w:top w:val="nil"/>
                    <w:left w:val="nil"/>
                    <w:bottom w:val="single" w:sz="4" w:space="0" w:color="auto"/>
                    <w:right w:val="nil"/>
                  </w:tcBorders>
                </w:tcPr>
                <w:p w:rsidR="009404DD" w:rsidRPr="00862FEB" w:rsidRDefault="009404DD" w:rsidP="00A45362">
                  <w:pPr>
                    <w:jc w:val="right"/>
                    <w:rPr>
                      <w:rFonts w:ascii="Arial" w:hAnsi="Arial" w:cs="Arial"/>
                      <w:b/>
                      <w:bCs/>
                      <w:sz w:val="22"/>
                      <w:szCs w:val="22"/>
                    </w:rPr>
                  </w:pPr>
                </w:p>
                <w:p w:rsidR="00A45362" w:rsidRPr="00862FEB" w:rsidRDefault="00A45362" w:rsidP="00A45362">
                  <w:pPr>
                    <w:jc w:val="right"/>
                    <w:rPr>
                      <w:rFonts w:ascii="Arial" w:hAnsi="Arial" w:cs="Arial"/>
                      <w:b/>
                      <w:bCs/>
                      <w:sz w:val="22"/>
                      <w:szCs w:val="22"/>
                    </w:rPr>
                  </w:pPr>
                  <w:r w:rsidRPr="00862FEB">
                    <w:rPr>
                      <w:rFonts w:ascii="Arial" w:hAnsi="Arial" w:cs="Arial"/>
                      <w:b/>
                      <w:bCs/>
                      <w:sz w:val="22"/>
                      <w:szCs w:val="22"/>
                    </w:rPr>
                    <w:t xml:space="preserve">% Total </w:t>
                  </w:r>
                </w:p>
                <w:p w:rsidR="00A45362" w:rsidRPr="00862FEB" w:rsidRDefault="00A45362" w:rsidP="00A45362">
                  <w:pPr>
                    <w:jc w:val="right"/>
                    <w:rPr>
                      <w:sz w:val="22"/>
                      <w:szCs w:val="22"/>
                    </w:rPr>
                  </w:pPr>
                  <w:r w:rsidRPr="00862FEB">
                    <w:rPr>
                      <w:rFonts w:ascii="Arial" w:hAnsi="Arial" w:cs="Arial"/>
                      <w:b/>
                      <w:bCs/>
                      <w:sz w:val="22"/>
                      <w:szCs w:val="22"/>
                    </w:rPr>
                    <w:t>Change</w:t>
                  </w:r>
                </w:p>
              </w:tc>
              <w:tc>
                <w:tcPr>
                  <w:tcW w:w="1256" w:type="dxa"/>
                  <w:tcBorders>
                    <w:top w:val="nil"/>
                    <w:left w:val="nil"/>
                    <w:bottom w:val="single" w:sz="4" w:space="0" w:color="auto"/>
                    <w:right w:val="nil"/>
                  </w:tcBorders>
                </w:tcPr>
                <w:p w:rsidR="009404DD" w:rsidRPr="00862FEB" w:rsidRDefault="009404DD" w:rsidP="00A45362">
                  <w:pPr>
                    <w:jc w:val="right"/>
                    <w:rPr>
                      <w:rFonts w:ascii="Arial" w:hAnsi="Arial" w:cs="Arial"/>
                      <w:b/>
                      <w:bCs/>
                      <w:sz w:val="22"/>
                      <w:szCs w:val="22"/>
                    </w:rPr>
                  </w:pPr>
                </w:p>
                <w:p w:rsidR="00A45362" w:rsidRPr="00862FEB" w:rsidRDefault="00A45362" w:rsidP="00A45362">
                  <w:pPr>
                    <w:jc w:val="right"/>
                    <w:rPr>
                      <w:sz w:val="22"/>
                      <w:szCs w:val="22"/>
                    </w:rPr>
                  </w:pPr>
                  <w:r w:rsidRPr="00862FEB">
                    <w:rPr>
                      <w:rFonts w:ascii="Arial" w:hAnsi="Arial" w:cs="Arial"/>
                      <w:b/>
                      <w:bCs/>
                      <w:sz w:val="22"/>
                      <w:szCs w:val="22"/>
                    </w:rPr>
                    <w:t>% Total Change</w:t>
                  </w:r>
                </w:p>
              </w:tc>
              <w:tc>
                <w:tcPr>
                  <w:tcW w:w="1256" w:type="dxa"/>
                  <w:tcBorders>
                    <w:top w:val="nil"/>
                    <w:left w:val="nil"/>
                    <w:bottom w:val="single" w:sz="4" w:space="0" w:color="auto"/>
                    <w:right w:val="nil"/>
                  </w:tcBorders>
                </w:tcPr>
                <w:p w:rsidR="009404DD" w:rsidRPr="00862FEB" w:rsidRDefault="009404DD" w:rsidP="00A45362">
                  <w:pPr>
                    <w:ind w:right="33"/>
                    <w:jc w:val="right"/>
                    <w:rPr>
                      <w:rFonts w:ascii="Arial" w:hAnsi="Arial" w:cs="Arial"/>
                      <w:b/>
                      <w:bCs/>
                      <w:sz w:val="22"/>
                      <w:szCs w:val="22"/>
                    </w:rPr>
                  </w:pPr>
                </w:p>
                <w:p w:rsidR="00A45362" w:rsidRPr="00862FEB" w:rsidRDefault="00A45362" w:rsidP="00A45362">
                  <w:pPr>
                    <w:ind w:right="33"/>
                    <w:jc w:val="right"/>
                    <w:rPr>
                      <w:sz w:val="22"/>
                      <w:szCs w:val="22"/>
                    </w:rPr>
                  </w:pPr>
                  <w:r w:rsidRPr="00862FEB">
                    <w:rPr>
                      <w:rFonts w:ascii="Arial" w:hAnsi="Arial" w:cs="Arial"/>
                      <w:b/>
                      <w:bCs/>
                      <w:sz w:val="22"/>
                      <w:szCs w:val="22"/>
                    </w:rPr>
                    <w:t>% LFL* Change</w:t>
                  </w:r>
                </w:p>
              </w:tc>
            </w:tr>
            <w:tr w:rsidR="009A797D" w:rsidTr="006F78D1">
              <w:trPr>
                <w:trHeight w:val="539"/>
              </w:trPr>
              <w:tc>
                <w:tcPr>
                  <w:tcW w:w="3011" w:type="dxa"/>
                  <w:tcBorders>
                    <w:top w:val="single" w:sz="4" w:space="0" w:color="auto"/>
                    <w:left w:val="nil"/>
                    <w:bottom w:val="single" w:sz="4" w:space="0" w:color="auto"/>
                    <w:right w:val="nil"/>
                  </w:tcBorders>
                </w:tcPr>
                <w:p w:rsidR="00A45362" w:rsidRPr="00862FEB" w:rsidRDefault="00A45362" w:rsidP="00A45362">
                  <w:pPr>
                    <w:rPr>
                      <w:sz w:val="22"/>
                      <w:szCs w:val="22"/>
                    </w:rPr>
                  </w:pPr>
                </w:p>
              </w:tc>
              <w:tc>
                <w:tcPr>
                  <w:tcW w:w="1284" w:type="dxa"/>
                  <w:tcBorders>
                    <w:top w:val="single" w:sz="4" w:space="0" w:color="auto"/>
                    <w:left w:val="nil"/>
                    <w:bottom w:val="single" w:sz="4" w:space="0" w:color="auto"/>
                    <w:right w:val="nil"/>
                  </w:tcBorders>
                </w:tcPr>
                <w:p w:rsidR="00A45362" w:rsidRPr="00862FEB" w:rsidRDefault="00A45362" w:rsidP="00A45362">
                  <w:pPr>
                    <w:jc w:val="right"/>
                    <w:rPr>
                      <w:rFonts w:ascii="Arial" w:hAnsi="Arial" w:cs="Arial"/>
                      <w:b/>
                      <w:bCs/>
                      <w:sz w:val="22"/>
                      <w:szCs w:val="22"/>
                    </w:rPr>
                  </w:pPr>
                  <w:r w:rsidRPr="00862FEB">
                    <w:rPr>
                      <w:rFonts w:ascii="Arial" w:hAnsi="Arial" w:cs="Arial"/>
                      <w:b/>
                      <w:bCs/>
                      <w:sz w:val="22"/>
                      <w:szCs w:val="22"/>
                    </w:rPr>
                    <w:t>2016/17</w:t>
                  </w:r>
                </w:p>
                <w:p w:rsidR="00A45362" w:rsidRPr="00862FEB" w:rsidRDefault="00A45362" w:rsidP="00A45362">
                  <w:pPr>
                    <w:jc w:val="right"/>
                    <w:rPr>
                      <w:sz w:val="22"/>
                      <w:szCs w:val="22"/>
                    </w:rPr>
                  </w:pPr>
                </w:p>
              </w:tc>
              <w:tc>
                <w:tcPr>
                  <w:tcW w:w="1284" w:type="dxa"/>
                  <w:tcBorders>
                    <w:top w:val="single" w:sz="4" w:space="0" w:color="auto"/>
                    <w:left w:val="nil"/>
                    <w:bottom w:val="single" w:sz="4" w:space="0" w:color="auto"/>
                    <w:right w:val="nil"/>
                  </w:tcBorders>
                </w:tcPr>
                <w:p w:rsidR="00A45362" w:rsidRPr="00862FEB" w:rsidRDefault="00A45362" w:rsidP="00A45362">
                  <w:pPr>
                    <w:jc w:val="right"/>
                    <w:rPr>
                      <w:rFonts w:ascii="Arial" w:hAnsi="Arial" w:cs="Arial"/>
                      <w:b/>
                      <w:bCs/>
                      <w:sz w:val="22"/>
                      <w:szCs w:val="22"/>
                    </w:rPr>
                  </w:pPr>
                  <w:r w:rsidRPr="00862FEB">
                    <w:rPr>
                      <w:rFonts w:ascii="Arial" w:hAnsi="Arial" w:cs="Arial"/>
                      <w:b/>
                      <w:bCs/>
                      <w:sz w:val="22"/>
                      <w:szCs w:val="22"/>
                    </w:rPr>
                    <w:t>2015/16</w:t>
                  </w:r>
                </w:p>
                <w:p w:rsidR="00A45362" w:rsidRPr="00862FEB" w:rsidRDefault="00A45362" w:rsidP="00A45362">
                  <w:pPr>
                    <w:jc w:val="right"/>
                    <w:rPr>
                      <w:sz w:val="22"/>
                      <w:szCs w:val="22"/>
                    </w:rPr>
                  </w:pPr>
                </w:p>
              </w:tc>
              <w:tc>
                <w:tcPr>
                  <w:tcW w:w="1324" w:type="dxa"/>
                  <w:tcBorders>
                    <w:top w:val="single" w:sz="4" w:space="0" w:color="auto"/>
                    <w:left w:val="nil"/>
                    <w:bottom w:val="single" w:sz="4" w:space="0" w:color="auto"/>
                    <w:right w:val="nil"/>
                  </w:tcBorders>
                </w:tcPr>
                <w:p w:rsidR="00A45362" w:rsidRPr="00862FEB" w:rsidRDefault="00A45362" w:rsidP="00A45362">
                  <w:pPr>
                    <w:jc w:val="right"/>
                    <w:rPr>
                      <w:sz w:val="22"/>
                      <w:szCs w:val="22"/>
                    </w:rPr>
                  </w:pPr>
                  <w:r w:rsidRPr="00862FEB">
                    <w:rPr>
                      <w:rFonts w:ascii="Arial" w:hAnsi="Arial" w:cs="Arial"/>
                      <w:b/>
                      <w:bCs/>
                      <w:sz w:val="22"/>
                      <w:szCs w:val="22"/>
                    </w:rPr>
                    <w:t>Reported</w:t>
                  </w:r>
                </w:p>
              </w:tc>
              <w:tc>
                <w:tcPr>
                  <w:tcW w:w="1256" w:type="dxa"/>
                  <w:tcBorders>
                    <w:top w:val="single" w:sz="4" w:space="0" w:color="auto"/>
                    <w:left w:val="nil"/>
                    <w:bottom w:val="single" w:sz="4" w:space="0" w:color="auto"/>
                    <w:right w:val="nil"/>
                  </w:tcBorders>
                </w:tcPr>
                <w:p w:rsidR="00A45362" w:rsidRPr="00862FEB" w:rsidRDefault="00A45362" w:rsidP="00A45362">
                  <w:pPr>
                    <w:jc w:val="right"/>
                    <w:rPr>
                      <w:sz w:val="22"/>
                      <w:szCs w:val="22"/>
                    </w:rPr>
                  </w:pPr>
                  <w:r w:rsidRPr="00862FEB">
                    <w:rPr>
                      <w:rFonts w:ascii="Arial" w:hAnsi="Arial" w:cs="Arial"/>
                      <w:b/>
                      <w:bCs/>
                      <w:sz w:val="22"/>
                      <w:szCs w:val="22"/>
                    </w:rPr>
                    <w:t>Constant currency</w:t>
                  </w:r>
                </w:p>
              </w:tc>
              <w:tc>
                <w:tcPr>
                  <w:tcW w:w="1256" w:type="dxa"/>
                  <w:tcBorders>
                    <w:top w:val="single" w:sz="4" w:space="0" w:color="auto"/>
                    <w:left w:val="nil"/>
                    <w:bottom w:val="single" w:sz="4" w:space="0" w:color="auto"/>
                    <w:right w:val="nil"/>
                  </w:tcBorders>
                </w:tcPr>
                <w:p w:rsidR="00A45362" w:rsidRPr="00862FEB" w:rsidRDefault="00A45362" w:rsidP="00A45362">
                  <w:pPr>
                    <w:jc w:val="right"/>
                    <w:rPr>
                      <w:sz w:val="22"/>
                      <w:szCs w:val="22"/>
                    </w:rPr>
                  </w:pPr>
                  <w:r w:rsidRPr="00862FEB">
                    <w:rPr>
                      <w:rFonts w:ascii="Arial" w:hAnsi="Arial" w:cs="Arial"/>
                      <w:b/>
                      <w:bCs/>
                      <w:sz w:val="22"/>
                      <w:szCs w:val="22"/>
                    </w:rPr>
                    <w:t>Constant currency</w:t>
                  </w:r>
                </w:p>
              </w:tc>
            </w:tr>
            <w:tr w:rsidR="009A797D" w:rsidTr="006F78D1">
              <w:trPr>
                <w:trHeight w:val="269"/>
              </w:trPr>
              <w:tc>
                <w:tcPr>
                  <w:tcW w:w="3011" w:type="dxa"/>
                  <w:tcBorders>
                    <w:top w:val="single" w:sz="4" w:space="0" w:color="auto"/>
                    <w:left w:val="nil"/>
                    <w:bottom w:val="nil"/>
                    <w:right w:val="nil"/>
                  </w:tcBorders>
                </w:tcPr>
                <w:p w:rsidR="00A45362" w:rsidRPr="00862FEB" w:rsidRDefault="00A45362" w:rsidP="00A45362">
                  <w:pPr>
                    <w:jc w:val="left"/>
                    <w:rPr>
                      <w:rFonts w:ascii="Arial" w:hAnsi="Arial" w:cs="Arial"/>
                      <w:sz w:val="22"/>
                      <w:szCs w:val="22"/>
                    </w:rPr>
                  </w:pPr>
                  <w:r w:rsidRPr="00862FEB">
                    <w:rPr>
                      <w:rFonts w:ascii="Arial" w:hAnsi="Arial" w:cs="Arial"/>
                      <w:sz w:val="22"/>
                      <w:szCs w:val="22"/>
                    </w:rPr>
                    <w:t>Adjusted sales*</w:t>
                  </w:r>
                </w:p>
              </w:tc>
              <w:tc>
                <w:tcPr>
                  <w:tcW w:w="1284" w:type="dxa"/>
                  <w:tcBorders>
                    <w:top w:val="single" w:sz="4" w:space="0" w:color="auto"/>
                    <w:left w:val="nil"/>
                    <w:bottom w:val="nil"/>
                    <w:right w:val="nil"/>
                  </w:tcBorders>
                </w:tcPr>
                <w:p w:rsidR="00A45362" w:rsidRPr="00862FEB" w:rsidRDefault="00A45362" w:rsidP="00A45362">
                  <w:pPr>
                    <w:jc w:val="right"/>
                    <w:rPr>
                      <w:sz w:val="22"/>
                      <w:szCs w:val="22"/>
                    </w:rPr>
                  </w:pPr>
                  <w:r w:rsidRPr="00862FEB">
                    <w:rPr>
                      <w:rFonts w:ascii="Arial" w:hAnsi="Arial" w:cs="Arial"/>
                      <w:sz w:val="22"/>
                      <w:szCs w:val="22"/>
                    </w:rPr>
                    <w:t>£</w:t>
                  </w:r>
                  <w:r w:rsidR="00253C4D" w:rsidRPr="00862FEB">
                    <w:rPr>
                      <w:rFonts w:ascii="Arial" w:hAnsi="Arial" w:cs="Arial"/>
                      <w:sz w:val="22"/>
                      <w:szCs w:val="22"/>
                    </w:rPr>
                    <w:t>11,225m</w:t>
                  </w:r>
                </w:p>
              </w:tc>
              <w:tc>
                <w:tcPr>
                  <w:tcW w:w="1284" w:type="dxa"/>
                  <w:tcBorders>
                    <w:top w:val="single" w:sz="4" w:space="0" w:color="auto"/>
                    <w:left w:val="nil"/>
                    <w:bottom w:val="nil"/>
                    <w:right w:val="nil"/>
                  </w:tcBorders>
                </w:tcPr>
                <w:p w:rsidR="00A45362" w:rsidRPr="00862FEB" w:rsidRDefault="00A45362">
                  <w:pPr>
                    <w:jc w:val="right"/>
                    <w:rPr>
                      <w:sz w:val="22"/>
                      <w:szCs w:val="22"/>
                    </w:rPr>
                  </w:pPr>
                  <w:r w:rsidRPr="00862FEB">
                    <w:rPr>
                      <w:rFonts w:ascii="Arial" w:hAnsi="Arial" w:cs="Arial"/>
                      <w:sz w:val="22"/>
                      <w:szCs w:val="22"/>
                    </w:rPr>
                    <w:t>£</w:t>
                  </w:r>
                  <w:r w:rsidR="0008206F" w:rsidRPr="00862FEB">
                    <w:rPr>
                      <w:rFonts w:ascii="Arial" w:hAnsi="Arial" w:cs="Arial"/>
                      <w:sz w:val="22"/>
                      <w:szCs w:val="22"/>
                    </w:rPr>
                    <w:t>10,331</w:t>
                  </w:r>
                  <w:r w:rsidRPr="00862FEB">
                    <w:rPr>
                      <w:rFonts w:ascii="Arial" w:hAnsi="Arial" w:cs="Arial"/>
                      <w:sz w:val="22"/>
                      <w:szCs w:val="22"/>
                    </w:rPr>
                    <w:t>m</w:t>
                  </w:r>
                </w:p>
              </w:tc>
              <w:tc>
                <w:tcPr>
                  <w:tcW w:w="1324" w:type="dxa"/>
                  <w:tcBorders>
                    <w:top w:val="single" w:sz="4" w:space="0" w:color="auto"/>
                    <w:left w:val="nil"/>
                    <w:bottom w:val="nil"/>
                    <w:right w:val="nil"/>
                  </w:tcBorders>
                </w:tcPr>
                <w:p w:rsidR="00A45362" w:rsidRPr="00862FEB" w:rsidRDefault="009A797D" w:rsidP="00A45362">
                  <w:pPr>
                    <w:jc w:val="right"/>
                    <w:rPr>
                      <w:sz w:val="22"/>
                      <w:szCs w:val="22"/>
                    </w:rPr>
                  </w:pPr>
                  <w:r w:rsidRPr="00862FEB">
                    <w:rPr>
                      <w:rFonts w:ascii="Arial" w:hAnsi="Arial" w:cs="Arial"/>
                      <w:sz w:val="22"/>
                      <w:szCs w:val="22"/>
                    </w:rPr>
                    <w:t>+</w:t>
                  </w:r>
                  <w:r w:rsidR="00263FE7" w:rsidRPr="00862FEB">
                    <w:rPr>
                      <w:rFonts w:ascii="Arial" w:hAnsi="Arial" w:cs="Arial"/>
                      <w:sz w:val="22"/>
                      <w:szCs w:val="22"/>
                    </w:rPr>
                    <w:t>8.</w:t>
                  </w:r>
                  <w:r w:rsidR="001B3847" w:rsidRPr="00862FEB">
                    <w:rPr>
                      <w:rFonts w:ascii="Arial" w:hAnsi="Arial" w:cs="Arial"/>
                      <w:sz w:val="22"/>
                      <w:szCs w:val="22"/>
                    </w:rPr>
                    <w:t>7</w:t>
                  </w:r>
                  <w:r w:rsidRPr="00862FEB">
                    <w:rPr>
                      <w:rFonts w:ascii="Arial" w:hAnsi="Arial" w:cs="Arial"/>
                      <w:sz w:val="22"/>
                      <w:szCs w:val="22"/>
                    </w:rPr>
                    <w:t>%</w:t>
                  </w:r>
                </w:p>
              </w:tc>
              <w:tc>
                <w:tcPr>
                  <w:tcW w:w="1256" w:type="dxa"/>
                  <w:tcBorders>
                    <w:top w:val="single" w:sz="4" w:space="0" w:color="auto"/>
                    <w:left w:val="nil"/>
                    <w:bottom w:val="nil"/>
                    <w:right w:val="nil"/>
                  </w:tcBorders>
                </w:tcPr>
                <w:p w:rsidR="00A45362" w:rsidRPr="00862FEB" w:rsidRDefault="009A797D" w:rsidP="00A45362">
                  <w:pPr>
                    <w:jc w:val="right"/>
                    <w:rPr>
                      <w:sz w:val="22"/>
                      <w:szCs w:val="22"/>
                    </w:rPr>
                  </w:pPr>
                  <w:r w:rsidRPr="00862FEB">
                    <w:rPr>
                      <w:rFonts w:ascii="Arial" w:hAnsi="Arial" w:cs="Arial"/>
                      <w:sz w:val="22"/>
                      <w:szCs w:val="22"/>
                    </w:rPr>
                    <w:t>+</w:t>
                  </w:r>
                  <w:r w:rsidR="001B3847" w:rsidRPr="00862FEB">
                    <w:rPr>
                      <w:rFonts w:ascii="Arial" w:hAnsi="Arial" w:cs="Arial"/>
                      <w:sz w:val="22"/>
                      <w:szCs w:val="22"/>
                    </w:rPr>
                    <w:t>1.7</w:t>
                  </w:r>
                  <w:r w:rsidRPr="00862FEB">
                    <w:rPr>
                      <w:rFonts w:ascii="Arial" w:hAnsi="Arial" w:cs="Arial"/>
                      <w:sz w:val="22"/>
                      <w:szCs w:val="22"/>
                    </w:rPr>
                    <w:t>%</w:t>
                  </w:r>
                </w:p>
              </w:tc>
              <w:tc>
                <w:tcPr>
                  <w:tcW w:w="1256" w:type="dxa"/>
                  <w:tcBorders>
                    <w:top w:val="single" w:sz="4" w:space="0" w:color="auto"/>
                    <w:left w:val="nil"/>
                    <w:bottom w:val="nil"/>
                    <w:right w:val="nil"/>
                  </w:tcBorders>
                </w:tcPr>
                <w:p w:rsidR="00A45362" w:rsidRPr="00862FEB" w:rsidRDefault="00A45362" w:rsidP="00A45362">
                  <w:pPr>
                    <w:jc w:val="right"/>
                    <w:rPr>
                      <w:sz w:val="22"/>
                      <w:szCs w:val="22"/>
                    </w:rPr>
                  </w:pPr>
                  <w:r w:rsidRPr="00862FEB">
                    <w:rPr>
                      <w:rFonts w:ascii="Arial" w:hAnsi="Arial" w:cs="Arial"/>
                      <w:sz w:val="22"/>
                      <w:szCs w:val="22"/>
                    </w:rPr>
                    <w:t>+</w:t>
                  </w:r>
                  <w:r w:rsidR="001B3847" w:rsidRPr="00862FEB">
                    <w:rPr>
                      <w:rFonts w:ascii="Arial" w:hAnsi="Arial" w:cs="Arial"/>
                      <w:sz w:val="22"/>
                      <w:szCs w:val="22"/>
                    </w:rPr>
                    <w:t>2.3</w:t>
                  </w:r>
                  <w:r w:rsidRPr="00862FEB">
                    <w:rPr>
                      <w:rFonts w:ascii="Arial" w:hAnsi="Arial" w:cs="Arial"/>
                      <w:sz w:val="22"/>
                      <w:szCs w:val="22"/>
                    </w:rPr>
                    <w:t>%</w:t>
                  </w:r>
                </w:p>
              </w:tc>
            </w:tr>
            <w:tr w:rsidR="009A797D" w:rsidTr="006F78D1">
              <w:trPr>
                <w:trHeight w:val="269"/>
              </w:trPr>
              <w:tc>
                <w:tcPr>
                  <w:tcW w:w="3011" w:type="dxa"/>
                  <w:tcBorders>
                    <w:top w:val="nil"/>
                    <w:left w:val="nil"/>
                    <w:bottom w:val="nil"/>
                    <w:right w:val="nil"/>
                  </w:tcBorders>
                </w:tcPr>
                <w:p w:rsidR="00A45362" w:rsidRPr="00862FEB" w:rsidRDefault="00A45362" w:rsidP="00A45362">
                  <w:pPr>
                    <w:jc w:val="left"/>
                    <w:rPr>
                      <w:rFonts w:ascii="Arial" w:hAnsi="Arial" w:cs="Arial"/>
                      <w:sz w:val="22"/>
                      <w:szCs w:val="22"/>
                    </w:rPr>
                  </w:pPr>
                  <w:r w:rsidRPr="00862FEB">
                    <w:rPr>
                      <w:rFonts w:ascii="Arial" w:hAnsi="Arial" w:cs="Arial"/>
                      <w:sz w:val="22"/>
                      <w:szCs w:val="22"/>
                    </w:rPr>
                    <w:t>Retail profit*</w:t>
                  </w:r>
                </w:p>
              </w:tc>
              <w:tc>
                <w:tcPr>
                  <w:tcW w:w="1284" w:type="dxa"/>
                  <w:tcBorders>
                    <w:top w:val="nil"/>
                    <w:left w:val="nil"/>
                    <w:bottom w:val="nil"/>
                    <w:right w:val="nil"/>
                  </w:tcBorders>
                </w:tcPr>
                <w:p w:rsidR="00A45362" w:rsidRPr="00862FEB" w:rsidRDefault="009A797D" w:rsidP="00A45362">
                  <w:pPr>
                    <w:jc w:val="right"/>
                    <w:rPr>
                      <w:sz w:val="22"/>
                      <w:szCs w:val="22"/>
                    </w:rPr>
                  </w:pPr>
                  <w:r w:rsidRPr="00862FEB">
                    <w:rPr>
                      <w:rFonts w:ascii="Arial" w:hAnsi="Arial" w:cs="Arial"/>
                      <w:sz w:val="22"/>
                      <w:szCs w:val="22"/>
                    </w:rPr>
                    <w:t>£</w:t>
                  </w:r>
                  <w:r w:rsidR="008E01EC" w:rsidRPr="00862FEB">
                    <w:rPr>
                      <w:rFonts w:ascii="Arial" w:hAnsi="Arial" w:cs="Arial"/>
                      <w:sz w:val="22"/>
                      <w:szCs w:val="22"/>
                    </w:rPr>
                    <w:t>84</w:t>
                  </w:r>
                  <w:r w:rsidR="00E21A8E" w:rsidRPr="00862FEB">
                    <w:rPr>
                      <w:rFonts w:ascii="Arial" w:hAnsi="Arial" w:cs="Arial"/>
                      <w:sz w:val="22"/>
                      <w:szCs w:val="22"/>
                    </w:rPr>
                    <w:t>7</w:t>
                  </w:r>
                  <w:r w:rsidRPr="00862FEB">
                    <w:rPr>
                      <w:rFonts w:ascii="Arial" w:hAnsi="Arial" w:cs="Arial"/>
                      <w:sz w:val="22"/>
                      <w:szCs w:val="22"/>
                    </w:rPr>
                    <w:t>m</w:t>
                  </w:r>
                </w:p>
              </w:tc>
              <w:tc>
                <w:tcPr>
                  <w:tcW w:w="1284" w:type="dxa"/>
                  <w:tcBorders>
                    <w:top w:val="nil"/>
                    <w:left w:val="nil"/>
                    <w:bottom w:val="nil"/>
                    <w:right w:val="nil"/>
                  </w:tcBorders>
                </w:tcPr>
                <w:p w:rsidR="00A45362" w:rsidRPr="00862FEB" w:rsidRDefault="00A45362">
                  <w:pPr>
                    <w:jc w:val="right"/>
                    <w:rPr>
                      <w:sz w:val="22"/>
                      <w:szCs w:val="22"/>
                    </w:rPr>
                  </w:pPr>
                  <w:r w:rsidRPr="00862FEB">
                    <w:rPr>
                      <w:rFonts w:ascii="Arial" w:hAnsi="Arial" w:cs="Arial"/>
                      <w:sz w:val="22"/>
                      <w:szCs w:val="22"/>
                    </w:rPr>
                    <w:t>£</w:t>
                  </w:r>
                  <w:r w:rsidR="0008206F" w:rsidRPr="00862FEB">
                    <w:rPr>
                      <w:rFonts w:ascii="Arial" w:hAnsi="Arial" w:cs="Arial"/>
                      <w:sz w:val="22"/>
                      <w:szCs w:val="22"/>
                    </w:rPr>
                    <w:t>746m</w:t>
                  </w:r>
                </w:p>
              </w:tc>
              <w:tc>
                <w:tcPr>
                  <w:tcW w:w="1324" w:type="dxa"/>
                  <w:tcBorders>
                    <w:top w:val="nil"/>
                    <w:left w:val="nil"/>
                    <w:bottom w:val="nil"/>
                    <w:right w:val="nil"/>
                  </w:tcBorders>
                </w:tcPr>
                <w:p w:rsidR="00A45362" w:rsidRPr="00862FEB" w:rsidRDefault="009A797D">
                  <w:pPr>
                    <w:jc w:val="right"/>
                    <w:rPr>
                      <w:sz w:val="22"/>
                      <w:szCs w:val="22"/>
                    </w:rPr>
                  </w:pPr>
                  <w:r w:rsidRPr="00862FEB">
                    <w:rPr>
                      <w:rFonts w:ascii="Arial" w:hAnsi="Arial" w:cs="Arial"/>
                      <w:sz w:val="22"/>
                      <w:szCs w:val="22"/>
                    </w:rPr>
                    <w:t>+</w:t>
                  </w:r>
                  <w:r w:rsidR="00263FE7" w:rsidRPr="00862FEB">
                    <w:rPr>
                      <w:rFonts w:ascii="Arial" w:hAnsi="Arial" w:cs="Arial"/>
                      <w:sz w:val="22"/>
                      <w:szCs w:val="22"/>
                    </w:rPr>
                    <w:t>13.</w:t>
                  </w:r>
                  <w:r w:rsidR="00E21A8E" w:rsidRPr="00862FEB">
                    <w:rPr>
                      <w:rFonts w:ascii="Arial" w:hAnsi="Arial" w:cs="Arial"/>
                      <w:sz w:val="22"/>
                      <w:szCs w:val="22"/>
                    </w:rPr>
                    <w:t>5</w:t>
                  </w:r>
                  <w:r w:rsidRPr="00862FEB">
                    <w:rPr>
                      <w:rFonts w:ascii="Arial" w:hAnsi="Arial" w:cs="Arial"/>
                      <w:sz w:val="22"/>
                      <w:szCs w:val="22"/>
                    </w:rPr>
                    <w:t>%</w:t>
                  </w:r>
                </w:p>
              </w:tc>
              <w:tc>
                <w:tcPr>
                  <w:tcW w:w="1256" w:type="dxa"/>
                  <w:tcBorders>
                    <w:top w:val="nil"/>
                    <w:left w:val="nil"/>
                    <w:bottom w:val="nil"/>
                    <w:right w:val="nil"/>
                  </w:tcBorders>
                </w:tcPr>
                <w:p w:rsidR="00A45362" w:rsidRPr="00862FEB" w:rsidRDefault="009A797D">
                  <w:pPr>
                    <w:jc w:val="right"/>
                    <w:rPr>
                      <w:sz w:val="22"/>
                      <w:szCs w:val="22"/>
                    </w:rPr>
                  </w:pPr>
                  <w:r w:rsidRPr="00862FEB">
                    <w:rPr>
                      <w:rFonts w:ascii="Arial" w:hAnsi="Arial" w:cs="Arial"/>
                      <w:sz w:val="22"/>
                      <w:szCs w:val="22"/>
                    </w:rPr>
                    <w:t>+</w:t>
                  </w:r>
                  <w:r w:rsidR="00263FE7" w:rsidRPr="00862FEB">
                    <w:rPr>
                      <w:rFonts w:ascii="Arial" w:hAnsi="Arial" w:cs="Arial"/>
                      <w:sz w:val="22"/>
                      <w:szCs w:val="22"/>
                    </w:rPr>
                    <w:t>6.</w:t>
                  </w:r>
                  <w:r w:rsidR="00E21A8E" w:rsidRPr="00862FEB">
                    <w:rPr>
                      <w:rFonts w:ascii="Arial" w:hAnsi="Arial" w:cs="Arial"/>
                      <w:sz w:val="22"/>
                      <w:szCs w:val="22"/>
                    </w:rPr>
                    <w:t>1</w:t>
                  </w:r>
                  <w:r w:rsidRPr="00862FEB">
                    <w:rPr>
                      <w:rFonts w:ascii="Arial" w:hAnsi="Arial" w:cs="Arial"/>
                      <w:sz w:val="22"/>
                      <w:szCs w:val="22"/>
                    </w:rPr>
                    <w:t>%</w:t>
                  </w:r>
                </w:p>
              </w:tc>
              <w:tc>
                <w:tcPr>
                  <w:tcW w:w="1256" w:type="dxa"/>
                  <w:tcBorders>
                    <w:top w:val="nil"/>
                    <w:left w:val="nil"/>
                    <w:bottom w:val="nil"/>
                    <w:right w:val="nil"/>
                  </w:tcBorders>
                </w:tcPr>
                <w:p w:rsidR="00A45362" w:rsidRPr="00862FEB" w:rsidRDefault="00A45362" w:rsidP="00A45362">
                  <w:pPr>
                    <w:jc w:val="right"/>
                    <w:rPr>
                      <w:sz w:val="22"/>
                      <w:szCs w:val="22"/>
                    </w:rPr>
                  </w:pPr>
                </w:p>
              </w:tc>
            </w:tr>
            <w:tr w:rsidR="00042F33" w:rsidTr="006F78D1">
              <w:trPr>
                <w:trHeight w:val="269"/>
              </w:trPr>
              <w:tc>
                <w:tcPr>
                  <w:tcW w:w="3011" w:type="dxa"/>
                  <w:tcBorders>
                    <w:top w:val="nil"/>
                    <w:left w:val="nil"/>
                    <w:bottom w:val="nil"/>
                    <w:right w:val="nil"/>
                  </w:tcBorders>
                </w:tcPr>
                <w:p w:rsidR="00042F33" w:rsidRPr="00862FEB" w:rsidRDefault="00042F33" w:rsidP="00A45362">
                  <w:pPr>
                    <w:jc w:val="left"/>
                    <w:rPr>
                      <w:rFonts w:ascii="Arial" w:hAnsi="Arial" w:cs="Arial"/>
                      <w:sz w:val="22"/>
                      <w:szCs w:val="22"/>
                    </w:rPr>
                  </w:pPr>
                  <w:r w:rsidRPr="00862FEB">
                    <w:rPr>
                      <w:rFonts w:ascii="Arial" w:hAnsi="Arial" w:cs="Arial"/>
                      <w:sz w:val="22"/>
                      <w:szCs w:val="22"/>
                    </w:rPr>
                    <w:t>Underlying* pre-tax profit</w:t>
                  </w:r>
                </w:p>
              </w:tc>
              <w:tc>
                <w:tcPr>
                  <w:tcW w:w="1284" w:type="dxa"/>
                  <w:tcBorders>
                    <w:top w:val="nil"/>
                    <w:left w:val="nil"/>
                    <w:bottom w:val="nil"/>
                    <w:right w:val="nil"/>
                  </w:tcBorders>
                </w:tcPr>
                <w:p w:rsidR="00042F33" w:rsidRPr="00862FEB" w:rsidRDefault="00042F33">
                  <w:pPr>
                    <w:jc w:val="right"/>
                    <w:rPr>
                      <w:rFonts w:ascii="Arial" w:hAnsi="Arial" w:cs="Arial"/>
                      <w:sz w:val="22"/>
                      <w:szCs w:val="22"/>
                    </w:rPr>
                  </w:pPr>
                  <w:r w:rsidRPr="00862FEB">
                    <w:rPr>
                      <w:rFonts w:ascii="Arial" w:hAnsi="Arial" w:cs="Arial"/>
                      <w:sz w:val="22"/>
                      <w:szCs w:val="22"/>
                    </w:rPr>
                    <w:t>£78</w:t>
                  </w:r>
                  <w:r w:rsidR="00CE307C" w:rsidRPr="00862FEB">
                    <w:rPr>
                      <w:rFonts w:ascii="Arial" w:hAnsi="Arial" w:cs="Arial"/>
                      <w:sz w:val="22"/>
                      <w:szCs w:val="22"/>
                    </w:rPr>
                    <w:t>7</w:t>
                  </w:r>
                  <w:r w:rsidRPr="00862FEB">
                    <w:rPr>
                      <w:rFonts w:ascii="Arial" w:hAnsi="Arial" w:cs="Arial"/>
                      <w:sz w:val="22"/>
                      <w:szCs w:val="22"/>
                    </w:rPr>
                    <w:t>m</w:t>
                  </w:r>
                </w:p>
              </w:tc>
              <w:tc>
                <w:tcPr>
                  <w:tcW w:w="1284" w:type="dxa"/>
                  <w:tcBorders>
                    <w:top w:val="nil"/>
                    <w:left w:val="nil"/>
                    <w:bottom w:val="nil"/>
                    <w:right w:val="nil"/>
                  </w:tcBorders>
                </w:tcPr>
                <w:p w:rsidR="00042F33" w:rsidRPr="00862FEB" w:rsidRDefault="00042F33" w:rsidP="00A45362">
                  <w:pPr>
                    <w:jc w:val="right"/>
                    <w:rPr>
                      <w:rFonts w:ascii="Arial" w:hAnsi="Arial" w:cs="Arial"/>
                      <w:sz w:val="22"/>
                      <w:szCs w:val="22"/>
                    </w:rPr>
                  </w:pPr>
                  <w:r w:rsidRPr="00862FEB">
                    <w:rPr>
                      <w:rFonts w:ascii="Arial" w:hAnsi="Arial" w:cs="Arial"/>
                      <w:sz w:val="22"/>
                      <w:szCs w:val="22"/>
                    </w:rPr>
                    <w:t>£686m</w:t>
                  </w:r>
                </w:p>
              </w:tc>
              <w:tc>
                <w:tcPr>
                  <w:tcW w:w="1324" w:type="dxa"/>
                  <w:tcBorders>
                    <w:top w:val="nil"/>
                    <w:left w:val="nil"/>
                    <w:bottom w:val="nil"/>
                    <w:right w:val="nil"/>
                  </w:tcBorders>
                </w:tcPr>
                <w:p w:rsidR="00042F33" w:rsidRPr="00862FEB" w:rsidRDefault="00042F33">
                  <w:pPr>
                    <w:jc w:val="right"/>
                    <w:rPr>
                      <w:rFonts w:ascii="Arial" w:hAnsi="Arial" w:cs="Arial"/>
                      <w:sz w:val="22"/>
                      <w:szCs w:val="22"/>
                    </w:rPr>
                  </w:pPr>
                  <w:r w:rsidRPr="00862FEB">
                    <w:rPr>
                      <w:rFonts w:ascii="Arial" w:hAnsi="Arial" w:cs="Arial"/>
                      <w:sz w:val="22"/>
                      <w:szCs w:val="22"/>
                    </w:rPr>
                    <w:t>+14.</w:t>
                  </w:r>
                  <w:r w:rsidR="00A96565" w:rsidRPr="00862FEB">
                    <w:rPr>
                      <w:rFonts w:ascii="Arial" w:hAnsi="Arial" w:cs="Arial"/>
                      <w:sz w:val="22"/>
                      <w:szCs w:val="22"/>
                    </w:rPr>
                    <w:t>7</w:t>
                  </w:r>
                  <w:r w:rsidRPr="00862FEB">
                    <w:rPr>
                      <w:rFonts w:ascii="Arial" w:hAnsi="Arial" w:cs="Arial"/>
                      <w:sz w:val="22"/>
                      <w:szCs w:val="22"/>
                    </w:rPr>
                    <w:t>%</w:t>
                  </w:r>
                </w:p>
              </w:tc>
              <w:tc>
                <w:tcPr>
                  <w:tcW w:w="1256" w:type="dxa"/>
                  <w:tcBorders>
                    <w:top w:val="nil"/>
                    <w:left w:val="nil"/>
                    <w:bottom w:val="nil"/>
                    <w:right w:val="nil"/>
                  </w:tcBorders>
                </w:tcPr>
                <w:p w:rsidR="00042F33" w:rsidRPr="00862FEB" w:rsidRDefault="00042F33" w:rsidP="00A45362">
                  <w:pPr>
                    <w:rPr>
                      <w:sz w:val="22"/>
                      <w:szCs w:val="22"/>
                    </w:rPr>
                  </w:pPr>
                </w:p>
              </w:tc>
              <w:tc>
                <w:tcPr>
                  <w:tcW w:w="1256" w:type="dxa"/>
                  <w:tcBorders>
                    <w:top w:val="nil"/>
                    <w:left w:val="nil"/>
                    <w:bottom w:val="nil"/>
                    <w:right w:val="nil"/>
                  </w:tcBorders>
                </w:tcPr>
                <w:p w:rsidR="00042F33" w:rsidRPr="00862FEB" w:rsidRDefault="00042F33" w:rsidP="00A45362">
                  <w:pPr>
                    <w:rPr>
                      <w:sz w:val="22"/>
                      <w:szCs w:val="22"/>
                    </w:rPr>
                  </w:pPr>
                </w:p>
              </w:tc>
            </w:tr>
            <w:tr w:rsidR="0089354A" w:rsidTr="006F78D1">
              <w:trPr>
                <w:trHeight w:val="269"/>
              </w:trPr>
              <w:tc>
                <w:tcPr>
                  <w:tcW w:w="3011" w:type="dxa"/>
                  <w:tcBorders>
                    <w:top w:val="nil"/>
                    <w:left w:val="nil"/>
                    <w:bottom w:val="nil"/>
                    <w:right w:val="nil"/>
                  </w:tcBorders>
                </w:tcPr>
                <w:p w:rsidR="0089354A" w:rsidRPr="00862FEB" w:rsidRDefault="0089354A" w:rsidP="00A45362">
                  <w:pPr>
                    <w:jc w:val="left"/>
                    <w:rPr>
                      <w:rFonts w:ascii="Arial" w:hAnsi="Arial" w:cs="Arial"/>
                      <w:sz w:val="22"/>
                      <w:szCs w:val="22"/>
                    </w:rPr>
                  </w:pPr>
                  <w:r w:rsidRPr="00862FEB">
                    <w:rPr>
                      <w:rFonts w:ascii="Arial" w:hAnsi="Arial" w:cs="Arial"/>
                      <w:sz w:val="22"/>
                      <w:szCs w:val="22"/>
                    </w:rPr>
                    <w:t>Adjusted* pre-tax profit</w:t>
                  </w:r>
                </w:p>
              </w:tc>
              <w:tc>
                <w:tcPr>
                  <w:tcW w:w="1284" w:type="dxa"/>
                  <w:tcBorders>
                    <w:top w:val="nil"/>
                    <w:left w:val="nil"/>
                    <w:bottom w:val="nil"/>
                    <w:right w:val="nil"/>
                  </w:tcBorders>
                </w:tcPr>
                <w:p w:rsidR="0089354A" w:rsidRPr="00862FEB" w:rsidRDefault="0089354A">
                  <w:pPr>
                    <w:jc w:val="right"/>
                    <w:rPr>
                      <w:rFonts w:ascii="Arial" w:hAnsi="Arial" w:cs="Arial"/>
                      <w:sz w:val="22"/>
                      <w:szCs w:val="22"/>
                    </w:rPr>
                  </w:pPr>
                  <w:r w:rsidRPr="00862FEB">
                    <w:rPr>
                      <w:rFonts w:ascii="Arial" w:hAnsi="Arial" w:cs="Arial"/>
                      <w:sz w:val="22"/>
                      <w:szCs w:val="22"/>
                    </w:rPr>
                    <w:t>£</w:t>
                  </w:r>
                  <w:r w:rsidR="00794BC4" w:rsidRPr="00862FEB">
                    <w:rPr>
                      <w:rFonts w:ascii="Arial" w:hAnsi="Arial" w:cs="Arial"/>
                      <w:sz w:val="22"/>
                      <w:szCs w:val="22"/>
                    </w:rPr>
                    <w:t>74</w:t>
                  </w:r>
                  <w:r w:rsidR="00CE307C" w:rsidRPr="00862FEB">
                    <w:rPr>
                      <w:rFonts w:ascii="Arial" w:hAnsi="Arial" w:cs="Arial"/>
                      <w:sz w:val="22"/>
                      <w:szCs w:val="22"/>
                    </w:rPr>
                    <w:t>3</w:t>
                  </w:r>
                  <w:r w:rsidR="00794BC4" w:rsidRPr="00862FEB">
                    <w:rPr>
                      <w:rFonts w:ascii="Arial" w:hAnsi="Arial" w:cs="Arial"/>
                      <w:sz w:val="22"/>
                      <w:szCs w:val="22"/>
                    </w:rPr>
                    <w:t>m</w:t>
                  </w:r>
                </w:p>
              </w:tc>
              <w:tc>
                <w:tcPr>
                  <w:tcW w:w="1284" w:type="dxa"/>
                  <w:tcBorders>
                    <w:top w:val="nil"/>
                    <w:left w:val="nil"/>
                    <w:bottom w:val="nil"/>
                    <w:right w:val="nil"/>
                  </w:tcBorders>
                </w:tcPr>
                <w:p w:rsidR="0089354A" w:rsidRPr="00862FEB" w:rsidRDefault="0089354A" w:rsidP="00A45362">
                  <w:pPr>
                    <w:jc w:val="right"/>
                    <w:rPr>
                      <w:rFonts w:ascii="Arial" w:hAnsi="Arial" w:cs="Arial"/>
                      <w:sz w:val="22"/>
                      <w:szCs w:val="22"/>
                    </w:rPr>
                  </w:pPr>
                  <w:r w:rsidRPr="00862FEB">
                    <w:rPr>
                      <w:rFonts w:ascii="Arial" w:hAnsi="Arial" w:cs="Arial"/>
                      <w:sz w:val="22"/>
                      <w:szCs w:val="22"/>
                    </w:rPr>
                    <w:t>£686m</w:t>
                  </w:r>
                </w:p>
              </w:tc>
              <w:tc>
                <w:tcPr>
                  <w:tcW w:w="1324" w:type="dxa"/>
                  <w:tcBorders>
                    <w:top w:val="nil"/>
                    <w:left w:val="nil"/>
                    <w:bottom w:val="nil"/>
                    <w:right w:val="nil"/>
                  </w:tcBorders>
                </w:tcPr>
                <w:p w:rsidR="0089354A" w:rsidRPr="00862FEB" w:rsidRDefault="0089354A">
                  <w:pPr>
                    <w:jc w:val="right"/>
                    <w:rPr>
                      <w:rFonts w:ascii="Arial" w:hAnsi="Arial" w:cs="Arial"/>
                      <w:sz w:val="22"/>
                      <w:szCs w:val="22"/>
                    </w:rPr>
                  </w:pPr>
                  <w:r w:rsidRPr="00862FEB">
                    <w:rPr>
                      <w:rFonts w:ascii="Arial" w:hAnsi="Arial" w:cs="Arial"/>
                      <w:sz w:val="22"/>
                      <w:szCs w:val="22"/>
                    </w:rPr>
                    <w:t>+8.</w:t>
                  </w:r>
                  <w:r w:rsidR="00D71831" w:rsidRPr="00862FEB">
                    <w:rPr>
                      <w:rFonts w:ascii="Arial" w:hAnsi="Arial" w:cs="Arial"/>
                      <w:sz w:val="22"/>
                      <w:szCs w:val="22"/>
                    </w:rPr>
                    <w:t>3</w:t>
                  </w:r>
                  <w:r w:rsidRPr="00862FEB">
                    <w:rPr>
                      <w:rFonts w:ascii="Arial" w:hAnsi="Arial" w:cs="Arial"/>
                      <w:sz w:val="22"/>
                      <w:szCs w:val="22"/>
                    </w:rPr>
                    <w:t>%</w:t>
                  </w:r>
                </w:p>
              </w:tc>
              <w:tc>
                <w:tcPr>
                  <w:tcW w:w="1256" w:type="dxa"/>
                  <w:tcBorders>
                    <w:top w:val="nil"/>
                    <w:left w:val="nil"/>
                    <w:bottom w:val="nil"/>
                    <w:right w:val="nil"/>
                  </w:tcBorders>
                </w:tcPr>
                <w:p w:rsidR="0089354A" w:rsidRPr="00862FEB" w:rsidRDefault="0089354A" w:rsidP="00A45362">
                  <w:pPr>
                    <w:rPr>
                      <w:sz w:val="22"/>
                      <w:szCs w:val="22"/>
                    </w:rPr>
                  </w:pPr>
                </w:p>
              </w:tc>
              <w:tc>
                <w:tcPr>
                  <w:tcW w:w="1256" w:type="dxa"/>
                  <w:tcBorders>
                    <w:top w:val="nil"/>
                    <w:left w:val="nil"/>
                    <w:bottom w:val="nil"/>
                    <w:right w:val="nil"/>
                  </w:tcBorders>
                </w:tcPr>
                <w:p w:rsidR="0089354A" w:rsidRPr="00862FEB" w:rsidRDefault="0089354A" w:rsidP="00A45362">
                  <w:pPr>
                    <w:rPr>
                      <w:sz w:val="22"/>
                      <w:szCs w:val="22"/>
                    </w:rPr>
                  </w:pPr>
                </w:p>
              </w:tc>
            </w:tr>
            <w:tr w:rsidR="00866A5C" w:rsidTr="006F78D1">
              <w:trPr>
                <w:trHeight w:val="269"/>
              </w:trPr>
              <w:tc>
                <w:tcPr>
                  <w:tcW w:w="3011" w:type="dxa"/>
                  <w:tcBorders>
                    <w:top w:val="nil"/>
                    <w:left w:val="nil"/>
                    <w:bottom w:val="nil"/>
                    <w:right w:val="nil"/>
                  </w:tcBorders>
                </w:tcPr>
                <w:p w:rsidR="00866A5C" w:rsidRPr="00862FEB" w:rsidRDefault="00866A5C" w:rsidP="00A45362">
                  <w:pPr>
                    <w:jc w:val="left"/>
                    <w:rPr>
                      <w:rFonts w:ascii="Arial" w:hAnsi="Arial" w:cs="Arial"/>
                      <w:sz w:val="22"/>
                      <w:szCs w:val="22"/>
                    </w:rPr>
                  </w:pPr>
                  <w:r w:rsidRPr="00862FEB">
                    <w:rPr>
                      <w:rFonts w:ascii="Arial" w:hAnsi="Arial" w:cs="Arial"/>
                      <w:sz w:val="22"/>
                      <w:szCs w:val="22"/>
                    </w:rPr>
                    <w:t>Underlying basic EPS</w:t>
                  </w:r>
                </w:p>
              </w:tc>
              <w:tc>
                <w:tcPr>
                  <w:tcW w:w="1284" w:type="dxa"/>
                  <w:tcBorders>
                    <w:top w:val="nil"/>
                    <w:left w:val="nil"/>
                    <w:bottom w:val="nil"/>
                    <w:right w:val="nil"/>
                  </w:tcBorders>
                </w:tcPr>
                <w:p w:rsidR="00866A5C" w:rsidRPr="00862FEB" w:rsidRDefault="00794BC4">
                  <w:pPr>
                    <w:jc w:val="right"/>
                    <w:rPr>
                      <w:rFonts w:ascii="Arial" w:hAnsi="Arial" w:cs="Arial"/>
                      <w:sz w:val="22"/>
                      <w:szCs w:val="22"/>
                    </w:rPr>
                  </w:pPr>
                  <w:r w:rsidRPr="00862FEB">
                    <w:rPr>
                      <w:rFonts w:ascii="Arial" w:hAnsi="Arial" w:cs="Arial"/>
                      <w:sz w:val="22"/>
                      <w:szCs w:val="22"/>
                    </w:rPr>
                    <w:t>2</w:t>
                  </w:r>
                  <w:r w:rsidR="00022687" w:rsidRPr="00862FEB">
                    <w:rPr>
                      <w:rFonts w:ascii="Arial" w:hAnsi="Arial" w:cs="Arial"/>
                      <w:sz w:val="22"/>
                      <w:szCs w:val="22"/>
                    </w:rPr>
                    <w:t>5</w:t>
                  </w:r>
                  <w:r w:rsidR="00CE307C" w:rsidRPr="00862FEB">
                    <w:rPr>
                      <w:rFonts w:ascii="Arial" w:hAnsi="Arial" w:cs="Arial"/>
                      <w:sz w:val="22"/>
                      <w:szCs w:val="22"/>
                    </w:rPr>
                    <w:t>.</w:t>
                  </w:r>
                  <w:r w:rsidR="00022687" w:rsidRPr="00862FEB">
                    <w:rPr>
                      <w:rFonts w:ascii="Arial" w:hAnsi="Arial" w:cs="Arial"/>
                      <w:sz w:val="22"/>
                      <w:szCs w:val="22"/>
                    </w:rPr>
                    <w:t>9</w:t>
                  </w:r>
                  <w:r w:rsidR="00866A5C" w:rsidRPr="00862FEB">
                    <w:rPr>
                      <w:rFonts w:ascii="Arial" w:hAnsi="Arial" w:cs="Arial"/>
                      <w:sz w:val="22"/>
                      <w:szCs w:val="22"/>
                    </w:rPr>
                    <w:t>p</w:t>
                  </w:r>
                </w:p>
              </w:tc>
              <w:tc>
                <w:tcPr>
                  <w:tcW w:w="1284" w:type="dxa"/>
                  <w:tcBorders>
                    <w:top w:val="nil"/>
                    <w:left w:val="nil"/>
                    <w:bottom w:val="nil"/>
                    <w:right w:val="nil"/>
                  </w:tcBorders>
                </w:tcPr>
                <w:p w:rsidR="00866A5C" w:rsidRPr="00862FEB" w:rsidRDefault="00794BC4" w:rsidP="00A45362">
                  <w:pPr>
                    <w:jc w:val="right"/>
                    <w:rPr>
                      <w:rFonts w:ascii="Arial" w:hAnsi="Arial" w:cs="Arial"/>
                      <w:sz w:val="22"/>
                      <w:szCs w:val="22"/>
                    </w:rPr>
                  </w:pPr>
                  <w:r w:rsidRPr="00862FEB">
                    <w:rPr>
                      <w:rFonts w:ascii="Arial" w:hAnsi="Arial" w:cs="Arial"/>
                      <w:sz w:val="22"/>
                      <w:szCs w:val="22"/>
                    </w:rPr>
                    <w:t>22.0</w:t>
                  </w:r>
                  <w:r w:rsidR="00866A5C" w:rsidRPr="00862FEB">
                    <w:rPr>
                      <w:rFonts w:ascii="Arial" w:hAnsi="Arial" w:cs="Arial"/>
                      <w:sz w:val="22"/>
                      <w:szCs w:val="22"/>
                    </w:rPr>
                    <w:t>p</w:t>
                  </w:r>
                </w:p>
              </w:tc>
              <w:tc>
                <w:tcPr>
                  <w:tcW w:w="1324" w:type="dxa"/>
                  <w:tcBorders>
                    <w:top w:val="nil"/>
                    <w:left w:val="nil"/>
                    <w:bottom w:val="nil"/>
                    <w:right w:val="nil"/>
                  </w:tcBorders>
                </w:tcPr>
                <w:p w:rsidR="00866A5C" w:rsidRPr="00862FEB" w:rsidRDefault="00866A5C">
                  <w:pPr>
                    <w:jc w:val="right"/>
                    <w:rPr>
                      <w:rFonts w:ascii="Arial" w:hAnsi="Arial" w:cs="Arial"/>
                      <w:sz w:val="22"/>
                      <w:szCs w:val="22"/>
                    </w:rPr>
                  </w:pPr>
                  <w:r w:rsidRPr="00862FEB">
                    <w:rPr>
                      <w:rFonts w:ascii="Arial" w:hAnsi="Arial" w:cs="Arial"/>
                      <w:sz w:val="22"/>
                      <w:szCs w:val="22"/>
                    </w:rPr>
                    <w:t>+</w:t>
                  </w:r>
                  <w:r w:rsidR="00CE307C" w:rsidRPr="00862FEB">
                    <w:rPr>
                      <w:rFonts w:ascii="Arial" w:hAnsi="Arial" w:cs="Arial"/>
                      <w:sz w:val="22"/>
                      <w:szCs w:val="22"/>
                    </w:rPr>
                    <w:t>1</w:t>
                  </w:r>
                  <w:r w:rsidR="00022687" w:rsidRPr="00862FEB">
                    <w:rPr>
                      <w:rFonts w:ascii="Arial" w:hAnsi="Arial" w:cs="Arial"/>
                      <w:sz w:val="22"/>
                      <w:szCs w:val="22"/>
                    </w:rPr>
                    <w:t>7</w:t>
                  </w:r>
                  <w:r w:rsidR="00CE307C" w:rsidRPr="00862FEB">
                    <w:rPr>
                      <w:rFonts w:ascii="Arial" w:hAnsi="Arial" w:cs="Arial"/>
                      <w:sz w:val="22"/>
                      <w:szCs w:val="22"/>
                    </w:rPr>
                    <w:t>.</w:t>
                  </w:r>
                  <w:r w:rsidR="00022687" w:rsidRPr="00862FEB">
                    <w:rPr>
                      <w:rFonts w:ascii="Arial" w:hAnsi="Arial" w:cs="Arial"/>
                      <w:sz w:val="22"/>
                      <w:szCs w:val="22"/>
                    </w:rPr>
                    <w:t>7</w:t>
                  </w:r>
                  <w:r w:rsidRPr="00862FEB">
                    <w:rPr>
                      <w:rFonts w:ascii="Arial" w:hAnsi="Arial" w:cs="Arial"/>
                      <w:sz w:val="22"/>
                      <w:szCs w:val="22"/>
                    </w:rPr>
                    <w:t>%</w:t>
                  </w:r>
                </w:p>
              </w:tc>
              <w:tc>
                <w:tcPr>
                  <w:tcW w:w="1256" w:type="dxa"/>
                  <w:tcBorders>
                    <w:top w:val="nil"/>
                    <w:left w:val="nil"/>
                    <w:bottom w:val="nil"/>
                    <w:right w:val="nil"/>
                  </w:tcBorders>
                </w:tcPr>
                <w:p w:rsidR="00866A5C" w:rsidRPr="00862FEB" w:rsidRDefault="00866A5C" w:rsidP="00A45362">
                  <w:pPr>
                    <w:rPr>
                      <w:sz w:val="22"/>
                      <w:szCs w:val="22"/>
                    </w:rPr>
                  </w:pPr>
                </w:p>
              </w:tc>
              <w:tc>
                <w:tcPr>
                  <w:tcW w:w="1256" w:type="dxa"/>
                  <w:tcBorders>
                    <w:top w:val="nil"/>
                    <w:left w:val="nil"/>
                    <w:bottom w:val="nil"/>
                    <w:right w:val="nil"/>
                  </w:tcBorders>
                </w:tcPr>
                <w:p w:rsidR="00866A5C" w:rsidRPr="00862FEB" w:rsidRDefault="00866A5C" w:rsidP="00A45362">
                  <w:pPr>
                    <w:rPr>
                      <w:sz w:val="22"/>
                      <w:szCs w:val="22"/>
                    </w:rPr>
                  </w:pPr>
                </w:p>
              </w:tc>
            </w:tr>
            <w:tr w:rsidR="009A797D" w:rsidTr="006F78D1">
              <w:trPr>
                <w:trHeight w:val="269"/>
              </w:trPr>
              <w:tc>
                <w:tcPr>
                  <w:tcW w:w="3011" w:type="dxa"/>
                  <w:tcBorders>
                    <w:top w:val="nil"/>
                    <w:left w:val="nil"/>
                    <w:bottom w:val="nil"/>
                    <w:right w:val="nil"/>
                  </w:tcBorders>
                </w:tcPr>
                <w:p w:rsidR="00A45362" w:rsidRPr="00862FEB" w:rsidRDefault="00A45362" w:rsidP="00A45362">
                  <w:pPr>
                    <w:jc w:val="left"/>
                    <w:rPr>
                      <w:rFonts w:ascii="Arial" w:hAnsi="Arial" w:cs="Arial"/>
                      <w:sz w:val="22"/>
                      <w:szCs w:val="22"/>
                    </w:rPr>
                  </w:pPr>
                  <w:r w:rsidRPr="00862FEB">
                    <w:rPr>
                      <w:rFonts w:ascii="Arial" w:hAnsi="Arial" w:cs="Arial"/>
                      <w:sz w:val="22"/>
                      <w:szCs w:val="22"/>
                    </w:rPr>
                    <w:t>Adjusted basic EPS</w:t>
                  </w:r>
                </w:p>
              </w:tc>
              <w:tc>
                <w:tcPr>
                  <w:tcW w:w="1284" w:type="dxa"/>
                  <w:tcBorders>
                    <w:top w:val="nil"/>
                    <w:left w:val="nil"/>
                    <w:bottom w:val="nil"/>
                    <w:right w:val="nil"/>
                  </w:tcBorders>
                </w:tcPr>
                <w:p w:rsidR="00A45362" w:rsidRPr="00862FEB" w:rsidRDefault="00794BC4">
                  <w:pPr>
                    <w:jc w:val="right"/>
                    <w:rPr>
                      <w:sz w:val="22"/>
                      <w:szCs w:val="22"/>
                    </w:rPr>
                  </w:pPr>
                  <w:r w:rsidRPr="00862FEB">
                    <w:rPr>
                      <w:rFonts w:ascii="Arial" w:hAnsi="Arial" w:cs="Arial"/>
                      <w:sz w:val="22"/>
                      <w:szCs w:val="22"/>
                    </w:rPr>
                    <w:t>24.</w:t>
                  </w:r>
                  <w:r w:rsidR="00022687" w:rsidRPr="00862FEB">
                    <w:rPr>
                      <w:rFonts w:ascii="Arial" w:hAnsi="Arial" w:cs="Arial"/>
                      <w:sz w:val="22"/>
                      <w:szCs w:val="22"/>
                    </w:rPr>
                    <w:t>4</w:t>
                  </w:r>
                  <w:r w:rsidR="00A45362" w:rsidRPr="00862FEB">
                    <w:rPr>
                      <w:rFonts w:ascii="Arial" w:hAnsi="Arial" w:cs="Arial"/>
                      <w:sz w:val="22"/>
                      <w:szCs w:val="22"/>
                    </w:rPr>
                    <w:t>p</w:t>
                  </w:r>
                </w:p>
              </w:tc>
              <w:tc>
                <w:tcPr>
                  <w:tcW w:w="1284" w:type="dxa"/>
                  <w:tcBorders>
                    <w:top w:val="nil"/>
                    <w:left w:val="nil"/>
                    <w:bottom w:val="nil"/>
                    <w:right w:val="nil"/>
                  </w:tcBorders>
                </w:tcPr>
                <w:p w:rsidR="00A45362" w:rsidRPr="00862FEB" w:rsidRDefault="00BB418D" w:rsidP="00A45362">
                  <w:pPr>
                    <w:jc w:val="right"/>
                    <w:rPr>
                      <w:sz w:val="22"/>
                      <w:szCs w:val="22"/>
                    </w:rPr>
                  </w:pPr>
                  <w:r w:rsidRPr="00862FEB">
                    <w:rPr>
                      <w:rFonts w:ascii="Arial" w:hAnsi="Arial" w:cs="Arial"/>
                      <w:sz w:val="22"/>
                      <w:szCs w:val="22"/>
                    </w:rPr>
                    <w:t>22.0</w:t>
                  </w:r>
                  <w:r w:rsidR="00A45362" w:rsidRPr="00862FEB">
                    <w:rPr>
                      <w:rFonts w:ascii="Arial" w:hAnsi="Arial" w:cs="Arial"/>
                      <w:sz w:val="22"/>
                      <w:szCs w:val="22"/>
                    </w:rPr>
                    <w:t>p</w:t>
                  </w:r>
                </w:p>
              </w:tc>
              <w:tc>
                <w:tcPr>
                  <w:tcW w:w="1324" w:type="dxa"/>
                  <w:tcBorders>
                    <w:top w:val="nil"/>
                    <w:left w:val="nil"/>
                    <w:bottom w:val="nil"/>
                    <w:right w:val="nil"/>
                  </w:tcBorders>
                </w:tcPr>
                <w:p w:rsidR="00A45362" w:rsidRPr="00862FEB" w:rsidRDefault="00A45362">
                  <w:pPr>
                    <w:jc w:val="right"/>
                    <w:rPr>
                      <w:sz w:val="22"/>
                      <w:szCs w:val="22"/>
                    </w:rPr>
                  </w:pPr>
                  <w:r w:rsidRPr="00862FEB">
                    <w:rPr>
                      <w:rFonts w:ascii="Arial" w:hAnsi="Arial" w:cs="Arial"/>
                      <w:sz w:val="22"/>
                      <w:szCs w:val="22"/>
                    </w:rPr>
                    <w:t>+</w:t>
                  </w:r>
                  <w:r w:rsidR="00BB418D" w:rsidRPr="00862FEB">
                    <w:rPr>
                      <w:rFonts w:ascii="Arial" w:hAnsi="Arial" w:cs="Arial"/>
                      <w:sz w:val="22"/>
                      <w:szCs w:val="22"/>
                    </w:rPr>
                    <w:t>1</w:t>
                  </w:r>
                  <w:r w:rsidR="00022687" w:rsidRPr="00862FEB">
                    <w:rPr>
                      <w:rFonts w:ascii="Arial" w:hAnsi="Arial" w:cs="Arial"/>
                      <w:sz w:val="22"/>
                      <w:szCs w:val="22"/>
                    </w:rPr>
                    <w:t>0</w:t>
                  </w:r>
                  <w:r w:rsidR="00CE307C" w:rsidRPr="00862FEB">
                    <w:rPr>
                      <w:rFonts w:ascii="Arial" w:hAnsi="Arial" w:cs="Arial"/>
                      <w:sz w:val="22"/>
                      <w:szCs w:val="22"/>
                    </w:rPr>
                    <w:t>.</w:t>
                  </w:r>
                  <w:r w:rsidR="00022687" w:rsidRPr="00862FEB">
                    <w:rPr>
                      <w:rFonts w:ascii="Arial" w:hAnsi="Arial" w:cs="Arial"/>
                      <w:sz w:val="22"/>
                      <w:szCs w:val="22"/>
                    </w:rPr>
                    <w:t>9</w:t>
                  </w:r>
                  <w:r w:rsidRPr="00862FEB">
                    <w:rPr>
                      <w:rFonts w:ascii="Arial" w:hAnsi="Arial" w:cs="Arial"/>
                      <w:sz w:val="22"/>
                      <w:szCs w:val="22"/>
                    </w:rPr>
                    <w:t>%</w:t>
                  </w:r>
                </w:p>
              </w:tc>
              <w:tc>
                <w:tcPr>
                  <w:tcW w:w="1256" w:type="dxa"/>
                  <w:tcBorders>
                    <w:top w:val="nil"/>
                    <w:left w:val="nil"/>
                    <w:bottom w:val="nil"/>
                    <w:right w:val="nil"/>
                  </w:tcBorders>
                </w:tcPr>
                <w:p w:rsidR="00A45362" w:rsidRPr="00862FEB" w:rsidRDefault="00A45362" w:rsidP="00A45362">
                  <w:pPr>
                    <w:rPr>
                      <w:sz w:val="22"/>
                      <w:szCs w:val="22"/>
                    </w:rPr>
                  </w:pPr>
                </w:p>
              </w:tc>
              <w:tc>
                <w:tcPr>
                  <w:tcW w:w="1256" w:type="dxa"/>
                  <w:tcBorders>
                    <w:top w:val="nil"/>
                    <w:left w:val="nil"/>
                    <w:bottom w:val="nil"/>
                    <w:right w:val="nil"/>
                  </w:tcBorders>
                </w:tcPr>
                <w:p w:rsidR="00A45362" w:rsidRPr="00862FEB" w:rsidRDefault="00A45362" w:rsidP="00A45362">
                  <w:pPr>
                    <w:rPr>
                      <w:sz w:val="22"/>
                      <w:szCs w:val="22"/>
                    </w:rPr>
                  </w:pPr>
                </w:p>
              </w:tc>
            </w:tr>
            <w:tr w:rsidR="009A797D" w:rsidTr="006F78D1">
              <w:trPr>
                <w:trHeight w:val="269"/>
              </w:trPr>
              <w:tc>
                <w:tcPr>
                  <w:tcW w:w="3011" w:type="dxa"/>
                  <w:tcBorders>
                    <w:top w:val="nil"/>
                    <w:left w:val="nil"/>
                    <w:bottom w:val="nil"/>
                    <w:right w:val="nil"/>
                  </w:tcBorders>
                </w:tcPr>
                <w:p w:rsidR="009A797D" w:rsidRPr="00862FEB" w:rsidDel="0008206F" w:rsidRDefault="009A797D" w:rsidP="00A45362">
                  <w:pPr>
                    <w:jc w:val="left"/>
                    <w:rPr>
                      <w:rFonts w:ascii="Arial" w:hAnsi="Arial" w:cs="Arial"/>
                      <w:sz w:val="22"/>
                      <w:szCs w:val="22"/>
                    </w:rPr>
                  </w:pPr>
                  <w:r w:rsidRPr="00862FEB">
                    <w:rPr>
                      <w:rFonts w:ascii="Arial" w:hAnsi="Arial" w:cs="Arial"/>
                      <w:sz w:val="22"/>
                      <w:szCs w:val="22"/>
                    </w:rPr>
                    <w:t>Lease adjusted ROCE*</w:t>
                  </w:r>
                </w:p>
              </w:tc>
              <w:tc>
                <w:tcPr>
                  <w:tcW w:w="1284" w:type="dxa"/>
                  <w:tcBorders>
                    <w:top w:val="nil"/>
                    <w:left w:val="nil"/>
                    <w:bottom w:val="nil"/>
                    <w:right w:val="nil"/>
                  </w:tcBorders>
                </w:tcPr>
                <w:p w:rsidR="009A797D" w:rsidRPr="00862FEB" w:rsidRDefault="00E00BDF" w:rsidP="00441535">
                  <w:pPr>
                    <w:jc w:val="right"/>
                    <w:rPr>
                      <w:rFonts w:ascii="Arial" w:hAnsi="Arial" w:cs="Arial"/>
                      <w:sz w:val="22"/>
                      <w:szCs w:val="22"/>
                    </w:rPr>
                  </w:pPr>
                  <w:r w:rsidRPr="00862FEB">
                    <w:rPr>
                      <w:rFonts w:ascii="Arial" w:hAnsi="Arial" w:cs="Arial"/>
                      <w:sz w:val="22"/>
                      <w:szCs w:val="22"/>
                    </w:rPr>
                    <w:t>12.5</w:t>
                  </w:r>
                  <w:r w:rsidR="00C26DA9" w:rsidRPr="00862FEB">
                    <w:rPr>
                      <w:rFonts w:ascii="Arial" w:hAnsi="Arial" w:cs="Arial"/>
                      <w:sz w:val="22"/>
                      <w:szCs w:val="22"/>
                    </w:rPr>
                    <w:t>%</w:t>
                  </w:r>
                </w:p>
              </w:tc>
              <w:tc>
                <w:tcPr>
                  <w:tcW w:w="1284" w:type="dxa"/>
                  <w:tcBorders>
                    <w:top w:val="nil"/>
                    <w:left w:val="nil"/>
                    <w:bottom w:val="nil"/>
                    <w:right w:val="nil"/>
                  </w:tcBorders>
                </w:tcPr>
                <w:p w:rsidR="009A797D" w:rsidRPr="00862FEB" w:rsidDel="0008206F" w:rsidRDefault="009A797D">
                  <w:pPr>
                    <w:jc w:val="right"/>
                    <w:rPr>
                      <w:rFonts w:ascii="Arial" w:hAnsi="Arial" w:cs="Arial"/>
                      <w:sz w:val="22"/>
                      <w:szCs w:val="22"/>
                    </w:rPr>
                  </w:pPr>
                  <w:r w:rsidRPr="00862FEB">
                    <w:rPr>
                      <w:rFonts w:ascii="Arial" w:hAnsi="Arial" w:cs="Arial"/>
                      <w:sz w:val="22"/>
                      <w:szCs w:val="22"/>
                    </w:rPr>
                    <w:t>12.3%</w:t>
                  </w:r>
                </w:p>
              </w:tc>
              <w:tc>
                <w:tcPr>
                  <w:tcW w:w="1324" w:type="dxa"/>
                  <w:tcBorders>
                    <w:top w:val="nil"/>
                    <w:left w:val="nil"/>
                    <w:bottom w:val="nil"/>
                    <w:right w:val="nil"/>
                  </w:tcBorders>
                </w:tcPr>
                <w:p w:rsidR="009A797D" w:rsidRPr="00862FEB" w:rsidRDefault="009A797D">
                  <w:pPr>
                    <w:jc w:val="right"/>
                    <w:rPr>
                      <w:rFonts w:ascii="Arial" w:hAnsi="Arial" w:cs="Arial"/>
                      <w:sz w:val="22"/>
                      <w:szCs w:val="22"/>
                    </w:rPr>
                  </w:pPr>
                  <w:r w:rsidRPr="00862FEB">
                    <w:rPr>
                      <w:rFonts w:ascii="Arial" w:hAnsi="Arial" w:cs="Arial"/>
                      <w:sz w:val="22"/>
                      <w:szCs w:val="22"/>
                    </w:rPr>
                    <w:t>+</w:t>
                  </w:r>
                  <w:r w:rsidR="00E00BDF" w:rsidRPr="00862FEB">
                    <w:rPr>
                      <w:rFonts w:ascii="Arial" w:hAnsi="Arial" w:cs="Arial"/>
                      <w:sz w:val="22"/>
                      <w:szCs w:val="22"/>
                    </w:rPr>
                    <w:t>20bps</w:t>
                  </w:r>
                </w:p>
              </w:tc>
              <w:tc>
                <w:tcPr>
                  <w:tcW w:w="1256" w:type="dxa"/>
                  <w:tcBorders>
                    <w:top w:val="nil"/>
                    <w:left w:val="nil"/>
                    <w:bottom w:val="nil"/>
                    <w:right w:val="nil"/>
                  </w:tcBorders>
                </w:tcPr>
                <w:p w:rsidR="009A797D" w:rsidRPr="00862FEB" w:rsidRDefault="009A797D" w:rsidP="00A45362">
                  <w:pPr>
                    <w:rPr>
                      <w:sz w:val="22"/>
                      <w:szCs w:val="22"/>
                    </w:rPr>
                  </w:pPr>
                </w:p>
              </w:tc>
              <w:tc>
                <w:tcPr>
                  <w:tcW w:w="1256" w:type="dxa"/>
                  <w:tcBorders>
                    <w:top w:val="nil"/>
                    <w:left w:val="nil"/>
                    <w:bottom w:val="nil"/>
                    <w:right w:val="nil"/>
                  </w:tcBorders>
                </w:tcPr>
                <w:p w:rsidR="009A797D" w:rsidRPr="00862FEB" w:rsidRDefault="009A797D" w:rsidP="00A45362">
                  <w:pPr>
                    <w:rPr>
                      <w:sz w:val="22"/>
                      <w:szCs w:val="22"/>
                    </w:rPr>
                  </w:pPr>
                </w:p>
              </w:tc>
            </w:tr>
            <w:tr w:rsidR="009A797D" w:rsidTr="006F78D1">
              <w:trPr>
                <w:trHeight w:val="269"/>
              </w:trPr>
              <w:tc>
                <w:tcPr>
                  <w:tcW w:w="3011" w:type="dxa"/>
                  <w:tcBorders>
                    <w:top w:val="nil"/>
                    <w:left w:val="nil"/>
                    <w:bottom w:val="nil"/>
                    <w:right w:val="nil"/>
                  </w:tcBorders>
                </w:tcPr>
                <w:p w:rsidR="00A45362" w:rsidRPr="00862FEB" w:rsidRDefault="0008206F" w:rsidP="00A45362">
                  <w:pPr>
                    <w:jc w:val="left"/>
                    <w:rPr>
                      <w:rFonts w:ascii="Arial" w:hAnsi="Arial" w:cs="Arial"/>
                      <w:sz w:val="22"/>
                      <w:szCs w:val="22"/>
                    </w:rPr>
                  </w:pPr>
                  <w:r w:rsidRPr="00862FEB">
                    <w:rPr>
                      <w:rFonts w:ascii="Arial" w:hAnsi="Arial" w:cs="Arial"/>
                      <w:sz w:val="22"/>
                      <w:szCs w:val="22"/>
                    </w:rPr>
                    <w:t xml:space="preserve">Full </w:t>
                  </w:r>
                  <w:r w:rsidR="008E6D54" w:rsidRPr="00862FEB">
                    <w:rPr>
                      <w:rFonts w:ascii="Arial" w:hAnsi="Arial" w:cs="Arial"/>
                      <w:sz w:val="22"/>
                      <w:szCs w:val="22"/>
                    </w:rPr>
                    <w:t>year</w:t>
                  </w:r>
                  <w:r w:rsidR="00A45362" w:rsidRPr="00862FEB">
                    <w:rPr>
                      <w:rFonts w:ascii="Arial" w:hAnsi="Arial" w:cs="Arial"/>
                      <w:sz w:val="22"/>
                      <w:szCs w:val="22"/>
                    </w:rPr>
                    <w:t xml:space="preserve"> dividend</w:t>
                  </w:r>
                </w:p>
              </w:tc>
              <w:tc>
                <w:tcPr>
                  <w:tcW w:w="1284" w:type="dxa"/>
                  <w:tcBorders>
                    <w:top w:val="nil"/>
                    <w:left w:val="nil"/>
                    <w:bottom w:val="nil"/>
                    <w:right w:val="nil"/>
                  </w:tcBorders>
                </w:tcPr>
                <w:p w:rsidR="00A45362" w:rsidRPr="00862FEB" w:rsidRDefault="00A5402C" w:rsidP="00441535">
                  <w:pPr>
                    <w:jc w:val="right"/>
                    <w:rPr>
                      <w:sz w:val="22"/>
                      <w:szCs w:val="22"/>
                    </w:rPr>
                  </w:pPr>
                  <w:r w:rsidRPr="00862FEB">
                    <w:rPr>
                      <w:rFonts w:ascii="Arial" w:hAnsi="Arial" w:cs="Arial"/>
                      <w:sz w:val="22"/>
                      <w:szCs w:val="22"/>
                    </w:rPr>
                    <w:t>10.4p</w:t>
                  </w:r>
                </w:p>
              </w:tc>
              <w:tc>
                <w:tcPr>
                  <w:tcW w:w="1284" w:type="dxa"/>
                  <w:tcBorders>
                    <w:top w:val="nil"/>
                    <w:left w:val="nil"/>
                    <w:bottom w:val="nil"/>
                    <w:right w:val="nil"/>
                  </w:tcBorders>
                </w:tcPr>
                <w:p w:rsidR="00A45362" w:rsidRPr="00862FEB" w:rsidRDefault="0008206F">
                  <w:pPr>
                    <w:jc w:val="right"/>
                    <w:rPr>
                      <w:sz w:val="22"/>
                      <w:szCs w:val="22"/>
                    </w:rPr>
                  </w:pPr>
                  <w:r w:rsidRPr="00862FEB">
                    <w:rPr>
                      <w:rFonts w:ascii="Arial" w:hAnsi="Arial" w:cs="Arial"/>
                      <w:sz w:val="22"/>
                      <w:szCs w:val="22"/>
                    </w:rPr>
                    <w:t>10.</w:t>
                  </w:r>
                  <w:r w:rsidR="00A845B7" w:rsidRPr="00862FEB">
                    <w:rPr>
                      <w:rFonts w:ascii="Arial" w:hAnsi="Arial" w:cs="Arial"/>
                      <w:sz w:val="22"/>
                      <w:szCs w:val="22"/>
                    </w:rPr>
                    <w:t>1</w:t>
                  </w:r>
                  <w:r w:rsidR="00A45362" w:rsidRPr="00862FEB">
                    <w:rPr>
                      <w:rFonts w:ascii="Arial" w:hAnsi="Arial" w:cs="Arial"/>
                      <w:sz w:val="22"/>
                      <w:szCs w:val="22"/>
                    </w:rPr>
                    <w:t>p</w:t>
                  </w:r>
                </w:p>
              </w:tc>
              <w:tc>
                <w:tcPr>
                  <w:tcW w:w="1324" w:type="dxa"/>
                  <w:tcBorders>
                    <w:top w:val="nil"/>
                    <w:left w:val="nil"/>
                    <w:bottom w:val="nil"/>
                    <w:right w:val="nil"/>
                  </w:tcBorders>
                </w:tcPr>
                <w:p w:rsidR="00A45362" w:rsidRPr="00862FEB" w:rsidRDefault="00A45362">
                  <w:pPr>
                    <w:jc w:val="right"/>
                    <w:rPr>
                      <w:sz w:val="22"/>
                      <w:szCs w:val="22"/>
                    </w:rPr>
                  </w:pPr>
                  <w:r w:rsidRPr="00862FEB">
                    <w:rPr>
                      <w:rFonts w:ascii="Arial" w:hAnsi="Arial" w:cs="Arial"/>
                      <w:sz w:val="22"/>
                      <w:szCs w:val="22"/>
                    </w:rPr>
                    <w:t>+</w:t>
                  </w:r>
                  <w:r w:rsidR="00A5402C" w:rsidRPr="00862FEB">
                    <w:rPr>
                      <w:rFonts w:ascii="Arial" w:hAnsi="Arial" w:cs="Arial"/>
                      <w:sz w:val="22"/>
                      <w:szCs w:val="22"/>
                    </w:rPr>
                    <w:t>3.0</w:t>
                  </w:r>
                  <w:r w:rsidRPr="00862FEB">
                    <w:rPr>
                      <w:rFonts w:ascii="Arial" w:hAnsi="Arial" w:cs="Arial"/>
                      <w:sz w:val="22"/>
                      <w:szCs w:val="22"/>
                    </w:rPr>
                    <w:t>%</w:t>
                  </w:r>
                </w:p>
              </w:tc>
              <w:tc>
                <w:tcPr>
                  <w:tcW w:w="1256" w:type="dxa"/>
                  <w:tcBorders>
                    <w:top w:val="nil"/>
                    <w:left w:val="nil"/>
                    <w:bottom w:val="nil"/>
                    <w:right w:val="nil"/>
                  </w:tcBorders>
                </w:tcPr>
                <w:p w:rsidR="00A45362" w:rsidRPr="00862FEB" w:rsidRDefault="00A45362" w:rsidP="00A45362">
                  <w:pPr>
                    <w:rPr>
                      <w:sz w:val="22"/>
                      <w:szCs w:val="22"/>
                    </w:rPr>
                  </w:pPr>
                </w:p>
              </w:tc>
              <w:tc>
                <w:tcPr>
                  <w:tcW w:w="1256" w:type="dxa"/>
                  <w:tcBorders>
                    <w:top w:val="nil"/>
                    <w:left w:val="nil"/>
                    <w:bottom w:val="nil"/>
                    <w:right w:val="nil"/>
                  </w:tcBorders>
                </w:tcPr>
                <w:p w:rsidR="00A45362" w:rsidRPr="00862FEB" w:rsidRDefault="00A45362" w:rsidP="00A45362">
                  <w:pPr>
                    <w:rPr>
                      <w:sz w:val="22"/>
                      <w:szCs w:val="22"/>
                    </w:rPr>
                  </w:pPr>
                </w:p>
              </w:tc>
            </w:tr>
            <w:tr w:rsidR="009A797D" w:rsidTr="006F78D1">
              <w:trPr>
                <w:trHeight w:val="269"/>
              </w:trPr>
              <w:tc>
                <w:tcPr>
                  <w:tcW w:w="3011" w:type="dxa"/>
                  <w:tcBorders>
                    <w:top w:val="nil"/>
                    <w:left w:val="nil"/>
                    <w:bottom w:val="single" w:sz="4" w:space="0" w:color="auto"/>
                    <w:right w:val="nil"/>
                  </w:tcBorders>
                </w:tcPr>
                <w:p w:rsidR="00A45362" w:rsidRPr="00862FEB" w:rsidRDefault="00A45362" w:rsidP="00A45362">
                  <w:pPr>
                    <w:jc w:val="left"/>
                    <w:rPr>
                      <w:rFonts w:ascii="Arial" w:hAnsi="Arial" w:cs="Arial"/>
                      <w:sz w:val="22"/>
                      <w:szCs w:val="22"/>
                    </w:rPr>
                  </w:pPr>
                  <w:r w:rsidRPr="00862FEB">
                    <w:rPr>
                      <w:rFonts w:ascii="Arial" w:hAnsi="Arial" w:cs="Arial"/>
                      <w:sz w:val="22"/>
                      <w:szCs w:val="22"/>
                    </w:rPr>
                    <w:t>Net cash*</w:t>
                  </w:r>
                </w:p>
              </w:tc>
              <w:tc>
                <w:tcPr>
                  <w:tcW w:w="1284" w:type="dxa"/>
                  <w:tcBorders>
                    <w:top w:val="nil"/>
                    <w:left w:val="nil"/>
                    <w:bottom w:val="single" w:sz="4" w:space="0" w:color="auto"/>
                    <w:right w:val="nil"/>
                  </w:tcBorders>
                </w:tcPr>
                <w:p w:rsidR="00A45362" w:rsidRPr="00862FEB" w:rsidRDefault="00A45362">
                  <w:pPr>
                    <w:jc w:val="right"/>
                    <w:rPr>
                      <w:sz w:val="22"/>
                      <w:szCs w:val="22"/>
                      <w:highlight w:val="yellow"/>
                    </w:rPr>
                  </w:pPr>
                  <w:r w:rsidRPr="00862FEB">
                    <w:rPr>
                      <w:rFonts w:ascii="Arial" w:hAnsi="Arial" w:cs="Arial"/>
                      <w:sz w:val="22"/>
                      <w:szCs w:val="22"/>
                    </w:rPr>
                    <w:t>£</w:t>
                  </w:r>
                  <w:r w:rsidR="008E01EC" w:rsidRPr="00862FEB">
                    <w:rPr>
                      <w:rFonts w:ascii="Arial" w:hAnsi="Arial" w:cs="Arial"/>
                      <w:sz w:val="22"/>
                      <w:szCs w:val="22"/>
                    </w:rPr>
                    <w:t>641</w:t>
                  </w:r>
                  <w:r w:rsidR="0008206F" w:rsidRPr="00862FEB">
                    <w:rPr>
                      <w:rFonts w:ascii="Arial" w:hAnsi="Arial" w:cs="Arial"/>
                      <w:sz w:val="22"/>
                      <w:szCs w:val="22"/>
                    </w:rPr>
                    <w:t>m</w:t>
                  </w:r>
                </w:p>
              </w:tc>
              <w:tc>
                <w:tcPr>
                  <w:tcW w:w="1284" w:type="dxa"/>
                  <w:tcBorders>
                    <w:top w:val="nil"/>
                    <w:left w:val="nil"/>
                    <w:bottom w:val="single" w:sz="4" w:space="0" w:color="auto"/>
                    <w:right w:val="nil"/>
                  </w:tcBorders>
                </w:tcPr>
                <w:p w:rsidR="00A45362" w:rsidRPr="00862FEB" w:rsidRDefault="00A45362">
                  <w:pPr>
                    <w:jc w:val="right"/>
                    <w:rPr>
                      <w:sz w:val="22"/>
                      <w:szCs w:val="22"/>
                    </w:rPr>
                  </w:pPr>
                  <w:r w:rsidRPr="00862FEB">
                    <w:rPr>
                      <w:rFonts w:ascii="Arial" w:hAnsi="Arial" w:cs="Arial"/>
                      <w:sz w:val="22"/>
                      <w:szCs w:val="22"/>
                    </w:rPr>
                    <w:t>£</w:t>
                  </w:r>
                  <w:r w:rsidR="0008206F" w:rsidRPr="00862FEB">
                    <w:rPr>
                      <w:rFonts w:ascii="Arial" w:hAnsi="Arial" w:cs="Arial"/>
                      <w:sz w:val="22"/>
                      <w:szCs w:val="22"/>
                    </w:rPr>
                    <w:t>546m</w:t>
                  </w:r>
                </w:p>
              </w:tc>
              <w:tc>
                <w:tcPr>
                  <w:tcW w:w="1324" w:type="dxa"/>
                  <w:tcBorders>
                    <w:top w:val="nil"/>
                    <w:left w:val="nil"/>
                    <w:bottom w:val="single" w:sz="4" w:space="0" w:color="auto"/>
                    <w:right w:val="nil"/>
                  </w:tcBorders>
                </w:tcPr>
                <w:p w:rsidR="00A45362" w:rsidRPr="00862FEB" w:rsidRDefault="00A45362" w:rsidP="00A45362">
                  <w:pPr>
                    <w:jc w:val="right"/>
                    <w:rPr>
                      <w:sz w:val="22"/>
                      <w:szCs w:val="22"/>
                      <w:highlight w:val="yellow"/>
                    </w:rPr>
                  </w:pPr>
                  <w:r w:rsidRPr="00862FEB">
                    <w:rPr>
                      <w:rFonts w:ascii="Arial" w:hAnsi="Arial" w:cs="Arial"/>
                      <w:sz w:val="22"/>
                      <w:szCs w:val="22"/>
                    </w:rPr>
                    <w:t>n/a</w:t>
                  </w:r>
                </w:p>
              </w:tc>
              <w:tc>
                <w:tcPr>
                  <w:tcW w:w="1256" w:type="dxa"/>
                  <w:tcBorders>
                    <w:top w:val="nil"/>
                    <w:left w:val="nil"/>
                    <w:bottom w:val="single" w:sz="4" w:space="0" w:color="auto"/>
                    <w:right w:val="nil"/>
                  </w:tcBorders>
                </w:tcPr>
                <w:p w:rsidR="00A45362" w:rsidRPr="00862FEB" w:rsidRDefault="00A45362" w:rsidP="00A45362">
                  <w:pPr>
                    <w:rPr>
                      <w:sz w:val="22"/>
                      <w:szCs w:val="22"/>
                    </w:rPr>
                  </w:pPr>
                </w:p>
              </w:tc>
              <w:tc>
                <w:tcPr>
                  <w:tcW w:w="1256" w:type="dxa"/>
                  <w:tcBorders>
                    <w:top w:val="nil"/>
                    <w:left w:val="nil"/>
                    <w:bottom w:val="single" w:sz="4" w:space="0" w:color="auto"/>
                    <w:right w:val="nil"/>
                  </w:tcBorders>
                </w:tcPr>
                <w:p w:rsidR="00A45362" w:rsidRPr="00862FEB" w:rsidRDefault="00A45362" w:rsidP="00A45362">
                  <w:pPr>
                    <w:rPr>
                      <w:sz w:val="22"/>
                      <w:szCs w:val="22"/>
                    </w:rPr>
                  </w:pPr>
                </w:p>
              </w:tc>
            </w:tr>
            <w:tr w:rsidR="00A45362" w:rsidTr="006F78D1">
              <w:trPr>
                <w:trHeight w:val="398"/>
              </w:trPr>
              <w:tc>
                <w:tcPr>
                  <w:tcW w:w="9415" w:type="dxa"/>
                  <w:gridSpan w:val="6"/>
                  <w:tcBorders>
                    <w:top w:val="single" w:sz="4" w:space="0" w:color="auto"/>
                    <w:left w:val="nil"/>
                    <w:bottom w:val="nil"/>
                    <w:right w:val="nil"/>
                  </w:tcBorders>
                </w:tcPr>
                <w:p w:rsidR="00C70501" w:rsidRPr="00925EFB" w:rsidRDefault="00C70501" w:rsidP="00925EFB">
                  <w:pPr>
                    <w:jc w:val="left"/>
                    <w:rPr>
                      <w:rFonts w:ascii="Arial" w:hAnsi="Arial" w:cs="Arial"/>
                      <w:i/>
                      <w:sz w:val="18"/>
                      <w:szCs w:val="18"/>
                    </w:rPr>
                  </w:pPr>
                </w:p>
              </w:tc>
            </w:tr>
          </w:tbl>
          <w:p w:rsidR="00A45362" w:rsidRPr="00D570CA" w:rsidRDefault="00A45362" w:rsidP="00A45362">
            <w:pPr>
              <w:jc w:val="left"/>
              <w:rPr>
                <w:rFonts w:ascii="Arial" w:hAnsi="Arial" w:cs="Arial"/>
                <w:b/>
                <w:bCs/>
                <w:sz w:val="24"/>
                <w:szCs w:val="24"/>
                <w:u w:val="single"/>
              </w:rPr>
            </w:pPr>
          </w:p>
        </w:tc>
      </w:tr>
    </w:tbl>
    <w:p w:rsidR="002F35FE" w:rsidRDefault="002F35FE" w:rsidP="00440B16">
      <w:pPr>
        <w:rPr>
          <w:rFonts w:ascii="Arial" w:hAnsi="Arial" w:cs="Arial"/>
          <w:b/>
          <w:bCs/>
          <w:sz w:val="24"/>
          <w:szCs w:val="24"/>
          <w:u w:val="single"/>
        </w:rPr>
      </w:pPr>
    </w:p>
    <w:p w:rsidR="00A22442" w:rsidRPr="00F50924" w:rsidRDefault="00A22442" w:rsidP="001505B3">
      <w:pPr>
        <w:jc w:val="left"/>
        <w:rPr>
          <w:rFonts w:ascii="Arial" w:hAnsi="Arial" w:cs="Arial"/>
          <w:b/>
          <w:bCs/>
          <w:u w:val="single"/>
        </w:rPr>
      </w:pPr>
      <w:r w:rsidRPr="00A22442">
        <w:rPr>
          <w:rFonts w:ascii="Arial" w:hAnsi="Arial" w:cs="Arial"/>
          <w:b/>
          <w:bCs/>
          <w:u w:val="single"/>
        </w:rPr>
        <w:t>Year</w:t>
      </w:r>
      <w:r w:rsidRPr="00165A9B">
        <w:rPr>
          <w:rFonts w:ascii="Arial" w:hAnsi="Arial" w:cs="Arial"/>
          <w:b/>
          <w:bCs/>
          <w:u w:val="single"/>
        </w:rPr>
        <w:t xml:space="preserve"> </w:t>
      </w:r>
      <w:r w:rsidRPr="00F50924">
        <w:rPr>
          <w:rFonts w:ascii="Arial" w:hAnsi="Arial" w:cs="Arial"/>
          <w:b/>
          <w:bCs/>
          <w:u w:val="single"/>
        </w:rPr>
        <w:t>1</w:t>
      </w:r>
      <w:r w:rsidRPr="00165A9B">
        <w:rPr>
          <w:rFonts w:ascii="Arial" w:hAnsi="Arial" w:cs="Arial"/>
          <w:b/>
          <w:bCs/>
          <w:u w:val="single"/>
        </w:rPr>
        <w:t>:</w:t>
      </w:r>
    </w:p>
    <w:p w:rsidR="008462C8" w:rsidRPr="00165A9B" w:rsidRDefault="00A22442" w:rsidP="001505B3">
      <w:pPr>
        <w:jc w:val="left"/>
        <w:rPr>
          <w:rFonts w:ascii="Arial" w:hAnsi="Arial" w:cs="Arial"/>
          <w:b/>
          <w:bCs/>
        </w:rPr>
      </w:pPr>
      <w:r w:rsidRPr="00165A9B">
        <w:rPr>
          <w:rFonts w:ascii="Arial" w:hAnsi="Arial" w:cs="Arial"/>
          <w:b/>
          <w:bCs/>
        </w:rPr>
        <w:t xml:space="preserve">Group </w:t>
      </w:r>
      <w:r w:rsidR="00A85560" w:rsidRPr="00165A9B">
        <w:rPr>
          <w:rFonts w:ascii="Arial" w:hAnsi="Arial" w:cs="Arial"/>
          <w:b/>
          <w:bCs/>
        </w:rPr>
        <w:t xml:space="preserve">results </w:t>
      </w:r>
      <w:r w:rsidR="009A797D" w:rsidRPr="00165A9B">
        <w:rPr>
          <w:rFonts w:ascii="Arial" w:hAnsi="Arial" w:cs="Arial"/>
          <w:b/>
          <w:bCs/>
        </w:rPr>
        <w:t xml:space="preserve">ahead on </w:t>
      </w:r>
      <w:r w:rsidR="00A85560" w:rsidRPr="00165A9B">
        <w:rPr>
          <w:rFonts w:ascii="Arial" w:hAnsi="Arial" w:cs="Arial"/>
          <w:b/>
          <w:bCs/>
        </w:rPr>
        <w:t xml:space="preserve">all </w:t>
      </w:r>
      <w:r w:rsidR="009A797D" w:rsidRPr="00165A9B">
        <w:rPr>
          <w:rFonts w:ascii="Arial" w:hAnsi="Arial" w:cs="Arial"/>
          <w:b/>
          <w:bCs/>
        </w:rPr>
        <w:t>key metrics</w:t>
      </w:r>
    </w:p>
    <w:p w:rsidR="008462C8" w:rsidRPr="00F9080F" w:rsidRDefault="008462C8" w:rsidP="00AF31F4">
      <w:pPr>
        <w:pStyle w:val="ListParagraph"/>
        <w:numPr>
          <w:ilvl w:val="0"/>
          <w:numId w:val="6"/>
        </w:numPr>
        <w:jc w:val="left"/>
        <w:rPr>
          <w:rFonts w:ascii="Arial" w:hAnsi="Arial" w:cs="Arial"/>
          <w:bCs/>
        </w:rPr>
      </w:pPr>
      <w:r w:rsidRPr="00F9080F">
        <w:rPr>
          <w:rFonts w:ascii="Arial" w:hAnsi="Arial" w:cs="Arial"/>
          <w:bCs/>
        </w:rPr>
        <w:t xml:space="preserve">Total adjusted sales in constant currencies up </w:t>
      </w:r>
      <w:r w:rsidR="001B3847" w:rsidRPr="00F9080F">
        <w:rPr>
          <w:rFonts w:ascii="Arial" w:hAnsi="Arial" w:cs="Arial"/>
          <w:bCs/>
        </w:rPr>
        <w:t>1.7</w:t>
      </w:r>
      <w:r w:rsidRPr="00F9080F">
        <w:rPr>
          <w:rFonts w:ascii="Arial" w:hAnsi="Arial" w:cs="Arial"/>
          <w:bCs/>
        </w:rPr>
        <w:t>%</w:t>
      </w:r>
      <w:r w:rsidR="00A85560" w:rsidRPr="00F9080F">
        <w:rPr>
          <w:rFonts w:ascii="Arial" w:hAnsi="Arial" w:cs="Arial"/>
          <w:bCs/>
        </w:rPr>
        <w:t xml:space="preserve"> (UK &amp; Ireland* +</w:t>
      </w:r>
      <w:r w:rsidR="000F0A81" w:rsidRPr="00F9080F">
        <w:rPr>
          <w:rFonts w:ascii="Arial" w:hAnsi="Arial" w:cs="Arial"/>
          <w:bCs/>
        </w:rPr>
        <w:t>2.4%; France* (1.</w:t>
      </w:r>
      <w:r w:rsidR="0040721C">
        <w:rPr>
          <w:rFonts w:ascii="Arial" w:hAnsi="Arial" w:cs="Arial"/>
          <w:bCs/>
        </w:rPr>
        <w:t>4</w:t>
      </w:r>
      <w:r w:rsidR="000F0A81" w:rsidRPr="00F9080F">
        <w:rPr>
          <w:rFonts w:ascii="Arial" w:hAnsi="Arial" w:cs="Arial"/>
          <w:bCs/>
        </w:rPr>
        <w:t>)%; Other International* +7.0%)</w:t>
      </w:r>
    </w:p>
    <w:p w:rsidR="00045BC4" w:rsidRPr="00F9080F" w:rsidRDefault="008462C8" w:rsidP="00AF31F4">
      <w:pPr>
        <w:pStyle w:val="ListParagraph"/>
        <w:numPr>
          <w:ilvl w:val="0"/>
          <w:numId w:val="6"/>
        </w:numPr>
        <w:jc w:val="left"/>
        <w:rPr>
          <w:rFonts w:ascii="Arial" w:hAnsi="Arial" w:cs="Arial"/>
          <w:bCs/>
          <w:sz w:val="24"/>
          <w:szCs w:val="24"/>
        </w:rPr>
      </w:pPr>
      <w:r w:rsidRPr="00F9080F">
        <w:rPr>
          <w:rFonts w:ascii="Arial" w:hAnsi="Arial" w:cs="Arial"/>
          <w:bCs/>
        </w:rPr>
        <w:t>Underlying pre-tax profit of £</w:t>
      </w:r>
      <w:r w:rsidR="008E01EC" w:rsidRPr="00F9080F">
        <w:rPr>
          <w:rFonts w:ascii="Arial" w:hAnsi="Arial" w:cs="Arial"/>
          <w:bCs/>
        </w:rPr>
        <w:t>78</w:t>
      </w:r>
      <w:r w:rsidR="00D71831">
        <w:rPr>
          <w:rFonts w:ascii="Arial" w:hAnsi="Arial" w:cs="Arial"/>
          <w:bCs/>
        </w:rPr>
        <w:t>7</w:t>
      </w:r>
      <w:r w:rsidRPr="00F9080F">
        <w:rPr>
          <w:rFonts w:ascii="Arial" w:hAnsi="Arial" w:cs="Arial"/>
          <w:bCs/>
        </w:rPr>
        <w:t xml:space="preserve">m, up </w:t>
      </w:r>
      <w:r w:rsidR="008E01EC" w:rsidRPr="00F9080F">
        <w:rPr>
          <w:rFonts w:ascii="Arial" w:hAnsi="Arial" w:cs="Arial"/>
          <w:bCs/>
        </w:rPr>
        <w:t>14.</w:t>
      </w:r>
      <w:r w:rsidR="00D71831">
        <w:rPr>
          <w:rFonts w:ascii="Arial" w:hAnsi="Arial" w:cs="Arial"/>
          <w:bCs/>
        </w:rPr>
        <w:t>7</w:t>
      </w:r>
      <w:r w:rsidRPr="00F9080F">
        <w:rPr>
          <w:rFonts w:ascii="Arial" w:hAnsi="Arial" w:cs="Arial"/>
          <w:bCs/>
        </w:rPr>
        <w:t xml:space="preserve">% driven </w:t>
      </w:r>
      <w:r w:rsidR="000F0A81" w:rsidRPr="00F9080F">
        <w:rPr>
          <w:rFonts w:ascii="Arial" w:hAnsi="Arial" w:cs="Arial"/>
          <w:bCs/>
        </w:rPr>
        <w:t>by</w:t>
      </w:r>
      <w:r w:rsidR="00A85560" w:rsidRPr="00F9080F">
        <w:rPr>
          <w:rFonts w:ascii="Arial" w:hAnsi="Arial" w:cs="Arial"/>
          <w:bCs/>
        </w:rPr>
        <w:t xml:space="preserve"> </w:t>
      </w:r>
    </w:p>
    <w:p w:rsidR="00045BC4" w:rsidRPr="00F9080F" w:rsidRDefault="00045BC4" w:rsidP="00AF31F4">
      <w:pPr>
        <w:pStyle w:val="ListParagraph"/>
        <w:numPr>
          <w:ilvl w:val="1"/>
          <w:numId w:val="6"/>
        </w:numPr>
        <w:jc w:val="left"/>
        <w:rPr>
          <w:rFonts w:ascii="Arial" w:hAnsi="Arial" w:cs="Arial"/>
          <w:bCs/>
          <w:sz w:val="24"/>
          <w:szCs w:val="24"/>
        </w:rPr>
      </w:pPr>
      <w:r>
        <w:rPr>
          <w:rFonts w:ascii="Arial" w:hAnsi="Arial" w:cs="Arial"/>
          <w:bCs/>
        </w:rPr>
        <w:t xml:space="preserve">UK and Poland </w:t>
      </w:r>
      <w:r w:rsidR="007135F2">
        <w:rPr>
          <w:rFonts w:ascii="Arial" w:hAnsi="Arial" w:cs="Arial"/>
          <w:bCs/>
        </w:rPr>
        <w:t xml:space="preserve">LFL </w:t>
      </w:r>
      <w:r>
        <w:rPr>
          <w:rFonts w:ascii="Arial" w:hAnsi="Arial" w:cs="Arial"/>
          <w:bCs/>
        </w:rPr>
        <w:t>sales growth</w:t>
      </w:r>
    </w:p>
    <w:p w:rsidR="00045BC4" w:rsidRPr="00F9080F" w:rsidRDefault="001A1A90" w:rsidP="00AF31F4">
      <w:pPr>
        <w:pStyle w:val="ListParagraph"/>
        <w:numPr>
          <w:ilvl w:val="1"/>
          <w:numId w:val="6"/>
        </w:numPr>
        <w:jc w:val="left"/>
        <w:rPr>
          <w:rFonts w:ascii="Arial" w:hAnsi="Arial" w:cs="Arial"/>
          <w:bCs/>
          <w:sz w:val="24"/>
          <w:szCs w:val="24"/>
        </w:rPr>
      </w:pPr>
      <w:r>
        <w:rPr>
          <w:rFonts w:ascii="Arial" w:hAnsi="Arial" w:cs="Arial"/>
          <w:bCs/>
        </w:rPr>
        <w:t>£3</w:t>
      </w:r>
      <w:r w:rsidR="00F9080F">
        <w:rPr>
          <w:rFonts w:ascii="Arial" w:hAnsi="Arial" w:cs="Arial"/>
          <w:bCs/>
        </w:rPr>
        <w:t>0</w:t>
      </w:r>
      <w:r w:rsidR="00045BC4">
        <w:rPr>
          <w:rFonts w:ascii="Arial" w:hAnsi="Arial" w:cs="Arial"/>
          <w:bCs/>
        </w:rPr>
        <w:t>m Goods Not</w:t>
      </w:r>
      <w:r w:rsidR="001721E1">
        <w:rPr>
          <w:rFonts w:ascii="Arial" w:hAnsi="Arial" w:cs="Arial"/>
          <w:bCs/>
        </w:rPr>
        <w:t xml:space="preserve"> f</w:t>
      </w:r>
      <w:r w:rsidR="00045BC4">
        <w:rPr>
          <w:rFonts w:ascii="Arial" w:hAnsi="Arial" w:cs="Arial"/>
          <w:bCs/>
        </w:rPr>
        <w:t>or Resale* (GNFR) benefits delivering earlier than plan</w:t>
      </w:r>
      <w:r w:rsidR="00C61C28">
        <w:rPr>
          <w:rFonts w:ascii="Arial" w:hAnsi="Arial" w:cs="Arial"/>
          <w:bCs/>
        </w:rPr>
        <w:t>ned</w:t>
      </w:r>
    </w:p>
    <w:p w:rsidR="00045BC4" w:rsidRPr="00165A9B" w:rsidRDefault="00045BC4" w:rsidP="00AF31F4">
      <w:pPr>
        <w:pStyle w:val="ListParagraph"/>
        <w:numPr>
          <w:ilvl w:val="1"/>
          <w:numId w:val="6"/>
        </w:numPr>
        <w:jc w:val="left"/>
        <w:rPr>
          <w:rFonts w:ascii="Arial" w:hAnsi="Arial" w:cs="Arial"/>
          <w:bCs/>
          <w:sz w:val="24"/>
          <w:szCs w:val="24"/>
        </w:rPr>
      </w:pPr>
      <w:r>
        <w:rPr>
          <w:rFonts w:ascii="Arial" w:hAnsi="Arial" w:cs="Arial"/>
          <w:bCs/>
        </w:rPr>
        <w:t xml:space="preserve">£52m favourable FX movements on the translation of non-sterling retail profits </w:t>
      </w:r>
    </w:p>
    <w:p w:rsidR="000F4FBC" w:rsidRPr="00165A9B" w:rsidRDefault="000F4FBC" w:rsidP="00F50924">
      <w:pPr>
        <w:rPr>
          <w:rFonts w:ascii="Arial" w:hAnsi="Arial" w:cs="Arial"/>
          <w:b/>
        </w:rPr>
      </w:pPr>
      <w:r w:rsidRPr="00165A9B">
        <w:rPr>
          <w:rFonts w:ascii="Arial" w:hAnsi="Arial" w:cs="Arial"/>
          <w:b/>
        </w:rPr>
        <w:t>Returned £430m of cash to shareholders</w:t>
      </w:r>
    </w:p>
    <w:p w:rsidR="000F4FBC" w:rsidRDefault="000F4FBC" w:rsidP="000F4FBC">
      <w:pPr>
        <w:pStyle w:val="ListParagraph"/>
        <w:numPr>
          <w:ilvl w:val="1"/>
          <w:numId w:val="6"/>
        </w:numPr>
        <w:jc w:val="left"/>
        <w:rPr>
          <w:rFonts w:ascii="Arial" w:hAnsi="Arial" w:cs="Arial"/>
        </w:rPr>
      </w:pPr>
      <w:r>
        <w:rPr>
          <w:rFonts w:ascii="Arial" w:hAnsi="Arial" w:cs="Arial"/>
        </w:rPr>
        <w:t xml:space="preserve">£230m via ordinary dividend (full year dividend </w:t>
      </w:r>
      <w:r w:rsidRPr="00862FEB">
        <w:rPr>
          <w:rFonts w:ascii="Arial" w:hAnsi="Arial" w:cs="Arial"/>
        </w:rPr>
        <w:t xml:space="preserve">up </w:t>
      </w:r>
      <w:r w:rsidR="00A5402C" w:rsidRPr="00862FEB">
        <w:rPr>
          <w:rFonts w:ascii="Arial" w:hAnsi="Arial" w:cs="Arial"/>
        </w:rPr>
        <w:t>3</w:t>
      </w:r>
      <w:r w:rsidR="003A14F2" w:rsidRPr="00862FEB">
        <w:rPr>
          <w:rFonts w:ascii="Arial" w:hAnsi="Arial" w:cs="Arial"/>
        </w:rPr>
        <w:t>.0</w:t>
      </w:r>
      <w:r w:rsidRPr="00862FEB">
        <w:rPr>
          <w:rFonts w:ascii="Arial" w:hAnsi="Arial" w:cs="Arial"/>
        </w:rPr>
        <w:t>%)</w:t>
      </w:r>
    </w:p>
    <w:p w:rsidR="000F4FBC" w:rsidRPr="00955267" w:rsidRDefault="000F4FBC" w:rsidP="000F4FBC">
      <w:pPr>
        <w:pStyle w:val="ListParagraph"/>
        <w:numPr>
          <w:ilvl w:val="1"/>
          <w:numId w:val="6"/>
        </w:numPr>
        <w:jc w:val="left"/>
        <w:rPr>
          <w:rFonts w:ascii="Arial" w:hAnsi="Arial" w:cs="Arial"/>
        </w:rPr>
      </w:pPr>
      <w:r w:rsidRPr="00955267">
        <w:rPr>
          <w:rFonts w:ascii="Arial" w:hAnsi="Arial" w:cs="Arial"/>
        </w:rPr>
        <w:t>£200m via share buyback</w:t>
      </w:r>
    </w:p>
    <w:p w:rsidR="00A22442" w:rsidRPr="00165A9B" w:rsidRDefault="00A22442" w:rsidP="00165A9B">
      <w:pPr>
        <w:jc w:val="left"/>
        <w:rPr>
          <w:rFonts w:ascii="Arial" w:hAnsi="Arial" w:cs="Arial"/>
          <w:b/>
        </w:rPr>
      </w:pPr>
      <w:r w:rsidRPr="00165A9B">
        <w:rPr>
          <w:rFonts w:ascii="Arial" w:hAnsi="Arial" w:cs="Arial"/>
          <w:b/>
        </w:rPr>
        <w:t xml:space="preserve">Delivered </w:t>
      </w:r>
      <w:r w:rsidR="00D01E60">
        <w:rPr>
          <w:rFonts w:ascii="Arial" w:hAnsi="Arial" w:cs="Arial"/>
          <w:b/>
        </w:rPr>
        <w:t xml:space="preserve">key </w:t>
      </w:r>
      <w:r w:rsidRPr="00165A9B">
        <w:rPr>
          <w:rFonts w:ascii="Arial" w:hAnsi="Arial" w:cs="Arial"/>
          <w:b/>
        </w:rPr>
        <w:t xml:space="preserve">Year 1 </w:t>
      </w:r>
      <w:r w:rsidR="000F4FBC">
        <w:rPr>
          <w:rFonts w:ascii="Arial" w:hAnsi="Arial" w:cs="Arial"/>
          <w:b/>
        </w:rPr>
        <w:t xml:space="preserve">ONE Kingfisher </w:t>
      </w:r>
      <w:r w:rsidRPr="00165A9B">
        <w:rPr>
          <w:rFonts w:ascii="Arial" w:hAnsi="Arial" w:cs="Arial"/>
          <w:b/>
        </w:rPr>
        <w:t>strategic milestones</w:t>
      </w:r>
    </w:p>
    <w:p w:rsidR="00A22442" w:rsidRPr="00F9080F" w:rsidRDefault="00A22442" w:rsidP="00165A9B">
      <w:pPr>
        <w:pStyle w:val="ListParagraph"/>
        <w:ind w:left="360"/>
        <w:jc w:val="left"/>
        <w:rPr>
          <w:rFonts w:ascii="Arial" w:hAnsi="Arial" w:cs="Arial"/>
          <w:bCs/>
          <w:sz w:val="24"/>
          <w:szCs w:val="24"/>
        </w:rPr>
      </w:pPr>
    </w:p>
    <w:p w:rsidR="00A22442" w:rsidRPr="00165A9B" w:rsidRDefault="00A22442" w:rsidP="00F9080F">
      <w:pPr>
        <w:jc w:val="left"/>
        <w:rPr>
          <w:rFonts w:ascii="Arial" w:hAnsi="Arial" w:cs="Arial"/>
          <w:b/>
          <w:u w:val="single"/>
        </w:rPr>
      </w:pPr>
      <w:r w:rsidRPr="00165A9B">
        <w:rPr>
          <w:rFonts w:ascii="Arial" w:hAnsi="Arial" w:cs="Arial"/>
          <w:b/>
          <w:u w:val="single"/>
        </w:rPr>
        <w:t>Year 2 and</w:t>
      </w:r>
      <w:r w:rsidRPr="00F50924">
        <w:rPr>
          <w:rFonts w:ascii="Arial" w:hAnsi="Arial" w:cs="Arial"/>
          <w:b/>
          <w:u w:val="single"/>
        </w:rPr>
        <w:t xml:space="preserve"> beyond:</w:t>
      </w:r>
    </w:p>
    <w:p w:rsidR="00045BC4" w:rsidRPr="00F50924" w:rsidRDefault="00FA0D14" w:rsidP="00165A9B">
      <w:pPr>
        <w:jc w:val="left"/>
        <w:rPr>
          <w:rFonts w:ascii="Arial" w:hAnsi="Arial" w:cs="Arial"/>
          <w:b/>
          <w:bCs/>
        </w:rPr>
      </w:pPr>
      <w:r w:rsidRPr="00165A9B">
        <w:rPr>
          <w:rFonts w:ascii="Arial" w:hAnsi="Arial" w:cs="Arial"/>
          <w:b/>
          <w:bCs/>
        </w:rPr>
        <w:t xml:space="preserve">Well set up for Year 2 alongside preparing for Year 3 </w:t>
      </w:r>
    </w:p>
    <w:p w:rsidR="007135F2" w:rsidRPr="00955267" w:rsidRDefault="007135F2" w:rsidP="007135F2">
      <w:pPr>
        <w:jc w:val="left"/>
        <w:rPr>
          <w:rFonts w:ascii="Arial" w:hAnsi="Arial" w:cs="Arial"/>
          <w:b/>
        </w:rPr>
      </w:pPr>
      <w:r w:rsidRPr="00955267">
        <w:rPr>
          <w:rFonts w:ascii="Arial" w:hAnsi="Arial" w:cs="Arial"/>
          <w:b/>
        </w:rPr>
        <w:t xml:space="preserve">Key learnings taken on board, aware of challenges </w:t>
      </w:r>
    </w:p>
    <w:p w:rsidR="00A22442" w:rsidRPr="00955267" w:rsidRDefault="00A22442" w:rsidP="00A22442">
      <w:pPr>
        <w:jc w:val="left"/>
        <w:rPr>
          <w:rFonts w:ascii="Arial" w:hAnsi="Arial" w:cs="Arial"/>
          <w:b/>
        </w:rPr>
      </w:pPr>
      <w:r w:rsidRPr="00955267">
        <w:rPr>
          <w:rFonts w:ascii="Arial" w:hAnsi="Arial" w:cs="Arial"/>
          <w:b/>
        </w:rPr>
        <w:t>Reaffirming 5 year financial transformation targets</w:t>
      </w:r>
    </w:p>
    <w:p w:rsidR="00A22442" w:rsidRDefault="00A22442" w:rsidP="00A22442">
      <w:pPr>
        <w:pStyle w:val="ListParagraph"/>
        <w:numPr>
          <w:ilvl w:val="0"/>
          <w:numId w:val="7"/>
        </w:numPr>
        <w:jc w:val="left"/>
        <w:rPr>
          <w:rFonts w:ascii="Arial" w:hAnsi="Arial" w:cs="Arial"/>
        </w:rPr>
      </w:pPr>
      <w:r>
        <w:rPr>
          <w:rFonts w:ascii="Arial" w:hAnsi="Arial" w:cs="Arial"/>
        </w:rPr>
        <w:t xml:space="preserve">Expected to deliver </w:t>
      </w:r>
      <w:r w:rsidRPr="00F9080F">
        <w:rPr>
          <w:rFonts w:ascii="Arial" w:hAnsi="Arial" w:cs="Arial"/>
        </w:rPr>
        <w:t xml:space="preserve">£500m </w:t>
      </w:r>
      <w:r>
        <w:rPr>
          <w:rFonts w:ascii="Arial" w:hAnsi="Arial" w:cs="Arial"/>
        </w:rPr>
        <w:t xml:space="preserve">sustainable </w:t>
      </w:r>
      <w:r w:rsidRPr="00F9080F">
        <w:rPr>
          <w:rFonts w:ascii="Arial" w:hAnsi="Arial" w:cs="Arial"/>
        </w:rPr>
        <w:t>EBIT uplift</w:t>
      </w:r>
      <w:r>
        <w:rPr>
          <w:rFonts w:ascii="Arial" w:hAnsi="Arial" w:cs="Arial"/>
        </w:rPr>
        <w:t xml:space="preserve"> by end of FY </w:t>
      </w:r>
      <w:r w:rsidRPr="00F9080F">
        <w:rPr>
          <w:rFonts w:ascii="Arial" w:hAnsi="Arial" w:cs="Arial"/>
        </w:rPr>
        <w:t>20/21</w:t>
      </w:r>
      <w:r>
        <w:rPr>
          <w:rFonts w:ascii="Arial" w:hAnsi="Arial" w:cs="Arial"/>
        </w:rPr>
        <w:t xml:space="preserve"> over and above business as usual (BAU)*</w:t>
      </w:r>
    </w:p>
    <w:p w:rsidR="00A22442" w:rsidRDefault="00A22442" w:rsidP="00A22442">
      <w:pPr>
        <w:pStyle w:val="ListParagraph"/>
        <w:numPr>
          <w:ilvl w:val="0"/>
          <w:numId w:val="7"/>
        </w:numPr>
        <w:jc w:val="left"/>
        <w:rPr>
          <w:rFonts w:ascii="Arial" w:hAnsi="Arial" w:cs="Arial"/>
        </w:rPr>
      </w:pPr>
      <w:r>
        <w:rPr>
          <w:rFonts w:ascii="Arial" w:hAnsi="Arial" w:cs="Arial"/>
        </w:rPr>
        <w:t>Total expected cash cost</w:t>
      </w:r>
      <w:r w:rsidR="004B3EA9">
        <w:rPr>
          <w:rFonts w:ascii="Arial" w:hAnsi="Arial" w:cs="Arial"/>
        </w:rPr>
        <w:t>s</w:t>
      </w:r>
      <w:r>
        <w:rPr>
          <w:rFonts w:ascii="Arial" w:hAnsi="Arial" w:cs="Arial"/>
        </w:rPr>
        <w:t xml:space="preserve">* of £800m </w:t>
      </w:r>
      <w:r w:rsidRPr="00F9080F">
        <w:rPr>
          <w:rFonts w:ascii="Arial" w:hAnsi="Arial" w:cs="Arial"/>
        </w:rPr>
        <w:t>(</w:t>
      </w:r>
      <w:r>
        <w:rPr>
          <w:rFonts w:ascii="Arial" w:hAnsi="Arial" w:cs="Arial"/>
        </w:rPr>
        <w:t xml:space="preserve">FY 16/17 </w:t>
      </w:r>
      <w:r w:rsidRPr="00F9080F">
        <w:rPr>
          <w:rFonts w:ascii="Arial" w:hAnsi="Arial" w:cs="Arial"/>
        </w:rPr>
        <w:t>£77m</w:t>
      </w:r>
      <w:r>
        <w:rPr>
          <w:rFonts w:ascii="Arial" w:hAnsi="Arial" w:cs="Arial"/>
        </w:rPr>
        <w:t xml:space="preserve">; FY 17/18 guiding c.£270m) </w:t>
      </w:r>
    </w:p>
    <w:p w:rsidR="000F4FBC" w:rsidRDefault="00A22442" w:rsidP="00A22442">
      <w:pPr>
        <w:pStyle w:val="ListParagraph"/>
        <w:numPr>
          <w:ilvl w:val="0"/>
          <w:numId w:val="7"/>
        </w:numPr>
        <w:jc w:val="left"/>
        <w:rPr>
          <w:rFonts w:ascii="Arial" w:hAnsi="Arial" w:cs="Arial"/>
        </w:rPr>
      </w:pPr>
      <w:r>
        <w:rPr>
          <w:rFonts w:ascii="Arial" w:hAnsi="Arial" w:cs="Arial"/>
        </w:rPr>
        <w:t>Improved ROCE</w:t>
      </w:r>
    </w:p>
    <w:p w:rsidR="00A22442" w:rsidRPr="00F9080F" w:rsidRDefault="000F4FBC" w:rsidP="00A22442">
      <w:pPr>
        <w:pStyle w:val="ListParagraph"/>
        <w:numPr>
          <w:ilvl w:val="0"/>
          <w:numId w:val="7"/>
        </w:numPr>
        <w:jc w:val="left"/>
        <w:rPr>
          <w:rFonts w:ascii="Arial" w:hAnsi="Arial" w:cs="Arial"/>
        </w:rPr>
      </w:pPr>
      <w:r w:rsidRPr="00165A9B">
        <w:rPr>
          <w:rFonts w:ascii="Arial" w:hAnsi="Arial" w:cs="Arial"/>
        </w:rPr>
        <w:t>Capital return of</w:t>
      </w:r>
      <w:r w:rsidRPr="00955267">
        <w:rPr>
          <w:rFonts w:ascii="Arial" w:hAnsi="Arial" w:cs="Arial"/>
        </w:rPr>
        <w:t xml:space="preserve"> c.£600m by end of FY 18/19</w:t>
      </w:r>
      <w:r>
        <w:rPr>
          <w:rFonts w:ascii="Arial" w:hAnsi="Arial" w:cs="Arial"/>
        </w:rPr>
        <w:t xml:space="preserve"> </w:t>
      </w:r>
    </w:p>
    <w:p w:rsidR="000F6423" w:rsidRDefault="000F6423" w:rsidP="00440B16">
      <w:pPr>
        <w:rPr>
          <w:rFonts w:ascii="Arial" w:hAnsi="Arial" w:cs="Arial"/>
        </w:rPr>
      </w:pPr>
    </w:p>
    <w:tbl>
      <w:tblPr>
        <w:tblStyle w:val="TableGrid"/>
        <w:tblW w:w="0" w:type="auto"/>
        <w:tblLook w:val="04A0" w:firstRow="1" w:lastRow="0" w:firstColumn="1" w:lastColumn="0" w:noHBand="0" w:noVBand="1"/>
      </w:tblPr>
      <w:tblGrid>
        <w:gridCol w:w="9631"/>
      </w:tblGrid>
      <w:tr w:rsidR="000F6423" w:rsidTr="00D71831">
        <w:tc>
          <w:tcPr>
            <w:tcW w:w="9631" w:type="dxa"/>
          </w:tcPr>
          <w:tbl>
            <w:tblPr>
              <w:tblStyle w:val="TableGrid"/>
              <w:tblW w:w="5000" w:type="pct"/>
              <w:tblLook w:val="04A0" w:firstRow="1" w:lastRow="0" w:firstColumn="1" w:lastColumn="0" w:noHBand="0" w:noVBand="1"/>
            </w:tblPr>
            <w:tblGrid>
              <w:gridCol w:w="2306"/>
              <w:gridCol w:w="911"/>
              <w:gridCol w:w="1317"/>
              <w:gridCol w:w="1173"/>
              <w:gridCol w:w="1230"/>
              <w:gridCol w:w="1251"/>
              <w:gridCol w:w="265"/>
              <w:gridCol w:w="962"/>
            </w:tblGrid>
            <w:tr w:rsidR="00E63162" w:rsidRPr="00F158F2" w:rsidTr="006F78D1">
              <w:trPr>
                <w:trHeight w:val="679"/>
              </w:trPr>
              <w:tc>
                <w:tcPr>
                  <w:tcW w:w="5562" w:type="dxa"/>
                  <w:gridSpan w:val="3"/>
                  <w:tcBorders>
                    <w:top w:val="nil"/>
                    <w:left w:val="nil"/>
                    <w:bottom w:val="single" w:sz="4" w:space="0" w:color="auto"/>
                    <w:right w:val="nil"/>
                  </w:tcBorders>
                </w:tcPr>
                <w:p w:rsidR="007164D5" w:rsidRPr="00E5583B" w:rsidRDefault="007164D5" w:rsidP="00A845B7">
                  <w:pPr>
                    <w:rPr>
                      <w:rFonts w:ascii="Arial" w:hAnsi="Arial" w:cs="Arial"/>
                      <w:b/>
                      <w:bCs/>
                      <w:sz w:val="22"/>
                      <w:szCs w:val="22"/>
                    </w:rPr>
                  </w:pPr>
                </w:p>
                <w:p w:rsidR="007164D5" w:rsidRPr="00E5583B" w:rsidRDefault="007164D5" w:rsidP="00A845B7">
                  <w:pPr>
                    <w:rPr>
                      <w:sz w:val="22"/>
                      <w:szCs w:val="22"/>
                    </w:rPr>
                  </w:pPr>
                  <w:r w:rsidRPr="00E5583B">
                    <w:rPr>
                      <w:rFonts w:ascii="Arial" w:hAnsi="Arial" w:cs="Arial"/>
                      <w:b/>
                      <w:bCs/>
                    </w:rPr>
                    <w:t xml:space="preserve">Statutory reporting </w:t>
                  </w:r>
                </w:p>
              </w:tc>
              <w:tc>
                <w:tcPr>
                  <w:tcW w:w="1195" w:type="dxa"/>
                  <w:tcBorders>
                    <w:top w:val="nil"/>
                    <w:left w:val="nil"/>
                    <w:bottom w:val="single" w:sz="4" w:space="0" w:color="auto"/>
                    <w:right w:val="nil"/>
                  </w:tcBorders>
                </w:tcPr>
                <w:p w:rsidR="007164D5" w:rsidRPr="00E5583B" w:rsidRDefault="007164D5" w:rsidP="00A845B7">
                  <w:pPr>
                    <w:jc w:val="right"/>
                    <w:rPr>
                      <w:rFonts w:ascii="Arial" w:hAnsi="Arial" w:cs="Arial"/>
                      <w:b/>
                      <w:bCs/>
                      <w:sz w:val="22"/>
                      <w:szCs w:val="22"/>
                    </w:rPr>
                  </w:pPr>
                </w:p>
                <w:p w:rsidR="007164D5" w:rsidRPr="00E5583B" w:rsidRDefault="007164D5" w:rsidP="00A845B7">
                  <w:pPr>
                    <w:jc w:val="right"/>
                    <w:rPr>
                      <w:rFonts w:ascii="Arial" w:hAnsi="Arial" w:cs="Arial"/>
                      <w:b/>
                      <w:bCs/>
                      <w:sz w:val="22"/>
                      <w:szCs w:val="22"/>
                    </w:rPr>
                  </w:pPr>
                  <w:r w:rsidRPr="00E5583B">
                    <w:rPr>
                      <w:rFonts w:ascii="Arial" w:hAnsi="Arial" w:cs="Arial"/>
                      <w:b/>
                      <w:bCs/>
                    </w:rPr>
                    <w:t>2016/17</w:t>
                  </w:r>
                </w:p>
                <w:p w:rsidR="007164D5" w:rsidRPr="00E5583B" w:rsidRDefault="007164D5" w:rsidP="00A845B7">
                  <w:pPr>
                    <w:jc w:val="right"/>
                    <w:rPr>
                      <w:sz w:val="22"/>
                      <w:szCs w:val="22"/>
                    </w:rPr>
                  </w:pPr>
                </w:p>
              </w:tc>
              <w:tc>
                <w:tcPr>
                  <w:tcW w:w="1272" w:type="dxa"/>
                  <w:tcBorders>
                    <w:top w:val="nil"/>
                    <w:left w:val="nil"/>
                    <w:bottom w:val="single" w:sz="4" w:space="0" w:color="auto"/>
                    <w:right w:val="nil"/>
                  </w:tcBorders>
                </w:tcPr>
                <w:p w:rsidR="007164D5" w:rsidRPr="00E5583B" w:rsidRDefault="007164D5" w:rsidP="00A845B7">
                  <w:pPr>
                    <w:jc w:val="right"/>
                    <w:rPr>
                      <w:rFonts w:ascii="Arial" w:hAnsi="Arial" w:cs="Arial"/>
                      <w:b/>
                      <w:bCs/>
                      <w:sz w:val="22"/>
                      <w:szCs w:val="22"/>
                    </w:rPr>
                  </w:pPr>
                </w:p>
                <w:p w:rsidR="007164D5" w:rsidRPr="00E5583B" w:rsidRDefault="007164D5" w:rsidP="00A845B7">
                  <w:pPr>
                    <w:jc w:val="right"/>
                    <w:rPr>
                      <w:rFonts w:ascii="Arial" w:hAnsi="Arial" w:cs="Arial"/>
                      <w:b/>
                      <w:bCs/>
                      <w:sz w:val="22"/>
                      <w:szCs w:val="22"/>
                    </w:rPr>
                  </w:pPr>
                  <w:r w:rsidRPr="00E5583B">
                    <w:rPr>
                      <w:rFonts w:ascii="Arial" w:hAnsi="Arial" w:cs="Arial"/>
                      <w:b/>
                      <w:bCs/>
                    </w:rPr>
                    <w:t>2015/16</w:t>
                  </w:r>
                </w:p>
                <w:p w:rsidR="007164D5" w:rsidRPr="00E5583B" w:rsidRDefault="007164D5" w:rsidP="00A845B7">
                  <w:pPr>
                    <w:jc w:val="right"/>
                    <w:rPr>
                      <w:sz w:val="22"/>
                      <w:szCs w:val="22"/>
                    </w:rPr>
                  </w:pPr>
                </w:p>
              </w:tc>
              <w:tc>
                <w:tcPr>
                  <w:tcW w:w="1340" w:type="dxa"/>
                  <w:tcBorders>
                    <w:top w:val="nil"/>
                    <w:left w:val="nil"/>
                    <w:bottom w:val="single" w:sz="4" w:space="0" w:color="auto"/>
                    <w:right w:val="nil"/>
                  </w:tcBorders>
                </w:tcPr>
                <w:p w:rsidR="007164D5" w:rsidRPr="00E5583B" w:rsidRDefault="007164D5" w:rsidP="00A845B7">
                  <w:pPr>
                    <w:ind w:right="33"/>
                    <w:jc w:val="right"/>
                    <w:rPr>
                      <w:rFonts w:ascii="Arial" w:hAnsi="Arial" w:cs="Arial"/>
                      <w:b/>
                      <w:bCs/>
                      <w:sz w:val="22"/>
                      <w:szCs w:val="22"/>
                    </w:rPr>
                  </w:pPr>
                </w:p>
                <w:p w:rsidR="007164D5" w:rsidRPr="00E5583B" w:rsidRDefault="007164D5" w:rsidP="00A845B7">
                  <w:pPr>
                    <w:ind w:right="33"/>
                    <w:jc w:val="right"/>
                    <w:rPr>
                      <w:rFonts w:ascii="Arial" w:hAnsi="Arial" w:cs="Arial"/>
                      <w:b/>
                      <w:bCs/>
                      <w:sz w:val="22"/>
                      <w:szCs w:val="22"/>
                    </w:rPr>
                  </w:pPr>
                  <w:r w:rsidRPr="00E5583B">
                    <w:rPr>
                      <w:rFonts w:ascii="Arial" w:hAnsi="Arial" w:cs="Arial"/>
                      <w:b/>
                      <w:bCs/>
                    </w:rPr>
                    <w:t>% Change</w:t>
                  </w:r>
                </w:p>
                <w:p w:rsidR="007164D5" w:rsidRPr="00E5583B" w:rsidRDefault="007164D5" w:rsidP="00A845B7">
                  <w:pPr>
                    <w:ind w:right="33"/>
                    <w:jc w:val="right"/>
                    <w:rPr>
                      <w:sz w:val="22"/>
                      <w:szCs w:val="22"/>
                    </w:rPr>
                  </w:pPr>
                </w:p>
              </w:tc>
              <w:tc>
                <w:tcPr>
                  <w:tcW w:w="279" w:type="dxa"/>
                  <w:tcBorders>
                    <w:top w:val="nil"/>
                    <w:left w:val="nil"/>
                    <w:bottom w:val="nil"/>
                    <w:right w:val="nil"/>
                  </w:tcBorders>
                </w:tcPr>
                <w:p w:rsidR="007164D5" w:rsidRPr="00862FEB" w:rsidRDefault="007164D5" w:rsidP="00E63162">
                  <w:pPr>
                    <w:ind w:right="236"/>
                    <w:jc w:val="right"/>
                    <w:rPr>
                      <w:rFonts w:ascii="Arial" w:hAnsi="Arial" w:cs="Arial"/>
                      <w:b/>
                      <w:bCs/>
                      <w:sz w:val="22"/>
                      <w:szCs w:val="22"/>
                    </w:rPr>
                  </w:pPr>
                </w:p>
              </w:tc>
              <w:tc>
                <w:tcPr>
                  <w:tcW w:w="1210" w:type="dxa"/>
                  <w:tcBorders>
                    <w:top w:val="nil"/>
                    <w:left w:val="nil"/>
                    <w:bottom w:val="nil"/>
                    <w:right w:val="nil"/>
                  </w:tcBorders>
                </w:tcPr>
                <w:p w:rsidR="007164D5" w:rsidRPr="00F158F2" w:rsidRDefault="007164D5" w:rsidP="00A845B7">
                  <w:pPr>
                    <w:ind w:right="33"/>
                    <w:jc w:val="right"/>
                    <w:rPr>
                      <w:rFonts w:ascii="Arial" w:hAnsi="Arial" w:cs="Arial"/>
                      <w:b/>
                      <w:bCs/>
                    </w:rPr>
                  </w:pPr>
                </w:p>
              </w:tc>
            </w:tr>
            <w:tr w:rsidR="00E63162" w:rsidRPr="00F158F2" w:rsidTr="006F78D1">
              <w:trPr>
                <w:trHeight w:val="269"/>
              </w:trPr>
              <w:tc>
                <w:tcPr>
                  <w:tcW w:w="2737" w:type="dxa"/>
                  <w:tcBorders>
                    <w:top w:val="single" w:sz="4" w:space="0" w:color="auto"/>
                    <w:left w:val="nil"/>
                    <w:bottom w:val="nil"/>
                    <w:right w:val="nil"/>
                  </w:tcBorders>
                </w:tcPr>
                <w:p w:rsidR="007164D5" w:rsidRPr="00E5583B" w:rsidRDefault="007164D5" w:rsidP="000F6423">
                  <w:pPr>
                    <w:jc w:val="left"/>
                    <w:rPr>
                      <w:rFonts w:ascii="Arial" w:hAnsi="Arial" w:cs="Arial"/>
                      <w:sz w:val="22"/>
                      <w:szCs w:val="22"/>
                    </w:rPr>
                  </w:pPr>
                  <w:r w:rsidRPr="00E5583B">
                    <w:rPr>
                      <w:rFonts w:ascii="Arial" w:hAnsi="Arial" w:cs="Arial"/>
                    </w:rPr>
                    <w:t>Statutory sales*</w:t>
                  </w:r>
                </w:p>
              </w:tc>
              <w:tc>
                <w:tcPr>
                  <w:tcW w:w="1142" w:type="dxa"/>
                  <w:tcBorders>
                    <w:top w:val="single" w:sz="4" w:space="0" w:color="auto"/>
                    <w:left w:val="nil"/>
                    <w:bottom w:val="nil"/>
                    <w:right w:val="nil"/>
                  </w:tcBorders>
                </w:tcPr>
                <w:p w:rsidR="007164D5" w:rsidRPr="00E5583B" w:rsidRDefault="007164D5" w:rsidP="000F6423">
                  <w:pPr>
                    <w:jc w:val="right"/>
                    <w:rPr>
                      <w:sz w:val="22"/>
                      <w:szCs w:val="22"/>
                    </w:rPr>
                  </w:pPr>
                </w:p>
              </w:tc>
              <w:tc>
                <w:tcPr>
                  <w:tcW w:w="1683" w:type="dxa"/>
                  <w:tcBorders>
                    <w:top w:val="single" w:sz="4" w:space="0" w:color="auto"/>
                    <w:left w:val="nil"/>
                    <w:bottom w:val="nil"/>
                    <w:right w:val="nil"/>
                  </w:tcBorders>
                </w:tcPr>
                <w:p w:rsidR="007164D5" w:rsidRPr="00E5583B" w:rsidRDefault="007164D5" w:rsidP="000F6423">
                  <w:pPr>
                    <w:jc w:val="right"/>
                    <w:rPr>
                      <w:sz w:val="22"/>
                      <w:szCs w:val="22"/>
                    </w:rPr>
                  </w:pPr>
                </w:p>
              </w:tc>
              <w:tc>
                <w:tcPr>
                  <w:tcW w:w="1195" w:type="dxa"/>
                  <w:tcBorders>
                    <w:top w:val="single" w:sz="4" w:space="0" w:color="auto"/>
                    <w:left w:val="nil"/>
                    <w:bottom w:val="nil"/>
                    <w:right w:val="nil"/>
                  </w:tcBorders>
                </w:tcPr>
                <w:p w:rsidR="007164D5" w:rsidRPr="00E5583B" w:rsidRDefault="007164D5" w:rsidP="000F6423">
                  <w:pPr>
                    <w:jc w:val="right"/>
                    <w:rPr>
                      <w:sz w:val="22"/>
                      <w:szCs w:val="22"/>
                    </w:rPr>
                  </w:pPr>
                  <w:r w:rsidRPr="00E5583B">
                    <w:rPr>
                      <w:rFonts w:ascii="Arial" w:hAnsi="Arial" w:cs="Arial"/>
                    </w:rPr>
                    <w:t>£11,225m</w:t>
                  </w:r>
                </w:p>
              </w:tc>
              <w:tc>
                <w:tcPr>
                  <w:tcW w:w="1272" w:type="dxa"/>
                  <w:tcBorders>
                    <w:top w:val="single" w:sz="4" w:space="0" w:color="auto"/>
                    <w:left w:val="nil"/>
                    <w:bottom w:val="nil"/>
                    <w:right w:val="nil"/>
                  </w:tcBorders>
                </w:tcPr>
                <w:p w:rsidR="007164D5" w:rsidRPr="00E5583B" w:rsidRDefault="007164D5" w:rsidP="000F6423">
                  <w:pPr>
                    <w:jc w:val="right"/>
                    <w:rPr>
                      <w:sz w:val="22"/>
                      <w:szCs w:val="22"/>
                    </w:rPr>
                  </w:pPr>
                  <w:r w:rsidRPr="00E5583B">
                    <w:rPr>
                      <w:rFonts w:ascii="Arial" w:hAnsi="Arial" w:cs="Arial"/>
                    </w:rPr>
                    <w:t>£10,441m</w:t>
                  </w:r>
                </w:p>
              </w:tc>
              <w:tc>
                <w:tcPr>
                  <w:tcW w:w="1340" w:type="dxa"/>
                  <w:tcBorders>
                    <w:top w:val="single" w:sz="4" w:space="0" w:color="auto"/>
                    <w:left w:val="nil"/>
                    <w:bottom w:val="nil"/>
                    <w:right w:val="nil"/>
                  </w:tcBorders>
                </w:tcPr>
                <w:p w:rsidR="007164D5" w:rsidRPr="00E5583B" w:rsidRDefault="007164D5" w:rsidP="000F6423">
                  <w:pPr>
                    <w:jc w:val="right"/>
                    <w:rPr>
                      <w:sz w:val="22"/>
                      <w:szCs w:val="22"/>
                    </w:rPr>
                  </w:pPr>
                  <w:r w:rsidRPr="00E5583B">
                    <w:rPr>
                      <w:rFonts w:ascii="Arial" w:hAnsi="Arial" w:cs="Arial"/>
                    </w:rPr>
                    <w:t>+7.5%</w:t>
                  </w:r>
                </w:p>
              </w:tc>
              <w:tc>
                <w:tcPr>
                  <w:tcW w:w="279" w:type="dxa"/>
                  <w:tcBorders>
                    <w:top w:val="nil"/>
                    <w:left w:val="nil"/>
                    <w:bottom w:val="nil"/>
                    <w:right w:val="nil"/>
                  </w:tcBorders>
                </w:tcPr>
                <w:p w:rsidR="007164D5" w:rsidRPr="00862FEB" w:rsidRDefault="007164D5" w:rsidP="000F6423">
                  <w:pPr>
                    <w:jc w:val="right"/>
                    <w:rPr>
                      <w:rFonts w:ascii="Arial" w:hAnsi="Arial" w:cs="Arial"/>
                      <w:sz w:val="22"/>
                      <w:szCs w:val="22"/>
                    </w:rPr>
                  </w:pPr>
                </w:p>
              </w:tc>
              <w:tc>
                <w:tcPr>
                  <w:tcW w:w="1210" w:type="dxa"/>
                  <w:tcBorders>
                    <w:top w:val="nil"/>
                    <w:left w:val="nil"/>
                    <w:bottom w:val="nil"/>
                    <w:right w:val="nil"/>
                  </w:tcBorders>
                </w:tcPr>
                <w:p w:rsidR="007164D5" w:rsidRPr="00F158F2" w:rsidRDefault="007164D5" w:rsidP="000F6423">
                  <w:pPr>
                    <w:jc w:val="right"/>
                    <w:rPr>
                      <w:rFonts w:ascii="Arial" w:hAnsi="Arial" w:cs="Arial"/>
                    </w:rPr>
                  </w:pPr>
                </w:p>
              </w:tc>
            </w:tr>
            <w:tr w:rsidR="00E63162" w:rsidRPr="00F158F2" w:rsidTr="006F78D1">
              <w:trPr>
                <w:trHeight w:val="269"/>
              </w:trPr>
              <w:tc>
                <w:tcPr>
                  <w:tcW w:w="2737" w:type="dxa"/>
                  <w:tcBorders>
                    <w:top w:val="nil"/>
                    <w:left w:val="nil"/>
                    <w:bottom w:val="nil"/>
                    <w:right w:val="nil"/>
                  </w:tcBorders>
                </w:tcPr>
                <w:p w:rsidR="007164D5" w:rsidRPr="00E5583B" w:rsidRDefault="007164D5" w:rsidP="000F6423">
                  <w:pPr>
                    <w:jc w:val="left"/>
                    <w:rPr>
                      <w:rFonts w:ascii="Arial" w:hAnsi="Arial" w:cs="Arial"/>
                      <w:sz w:val="22"/>
                      <w:szCs w:val="22"/>
                    </w:rPr>
                  </w:pPr>
                  <w:r w:rsidRPr="00E5583B">
                    <w:rPr>
                      <w:rFonts w:ascii="Arial" w:hAnsi="Arial" w:cs="Arial"/>
                    </w:rPr>
                    <w:t>Statutory pre-tax profit</w:t>
                  </w:r>
                </w:p>
              </w:tc>
              <w:tc>
                <w:tcPr>
                  <w:tcW w:w="1142" w:type="dxa"/>
                  <w:tcBorders>
                    <w:top w:val="nil"/>
                    <w:left w:val="nil"/>
                    <w:bottom w:val="nil"/>
                    <w:right w:val="nil"/>
                  </w:tcBorders>
                </w:tcPr>
                <w:p w:rsidR="007164D5" w:rsidRPr="00E5583B" w:rsidRDefault="007164D5" w:rsidP="000F6423">
                  <w:pPr>
                    <w:jc w:val="right"/>
                    <w:rPr>
                      <w:sz w:val="22"/>
                      <w:szCs w:val="22"/>
                    </w:rPr>
                  </w:pPr>
                </w:p>
              </w:tc>
              <w:tc>
                <w:tcPr>
                  <w:tcW w:w="1683" w:type="dxa"/>
                  <w:tcBorders>
                    <w:top w:val="nil"/>
                    <w:left w:val="nil"/>
                    <w:bottom w:val="nil"/>
                    <w:right w:val="nil"/>
                  </w:tcBorders>
                </w:tcPr>
                <w:p w:rsidR="007164D5" w:rsidRPr="00E5583B" w:rsidRDefault="007164D5" w:rsidP="000F6423">
                  <w:pPr>
                    <w:jc w:val="right"/>
                    <w:rPr>
                      <w:sz w:val="22"/>
                      <w:szCs w:val="22"/>
                    </w:rPr>
                  </w:pPr>
                </w:p>
              </w:tc>
              <w:tc>
                <w:tcPr>
                  <w:tcW w:w="1195" w:type="dxa"/>
                  <w:tcBorders>
                    <w:top w:val="nil"/>
                    <w:left w:val="nil"/>
                    <w:bottom w:val="nil"/>
                    <w:right w:val="nil"/>
                  </w:tcBorders>
                </w:tcPr>
                <w:p w:rsidR="007164D5" w:rsidRPr="00E5583B" w:rsidRDefault="007164D5" w:rsidP="000F6423">
                  <w:pPr>
                    <w:jc w:val="right"/>
                    <w:rPr>
                      <w:sz w:val="22"/>
                      <w:szCs w:val="22"/>
                    </w:rPr>
                  </w:pPr>
                  <w:r w:rsidRPr="00E5583B">
                    <w:rPr>
                      <w:rFonts w:ascii="Arial" w:hAnsi="Arial" w:cs="Arial"/>
                    </w:rPr>
                    <w:t>£759m</w:t>
                  </w:r>
                </w:p>
              </w:tc>
              <w:tc>
                <w:tcPr>
                  <w:tcW w:w="1272" w:type="dxa"/>
                  <w:tcBorders>
                    <w:top w:val="nil"/>
                    <w:left w:val="nil"/>
                    <w:bottom w:val="nil"/>
                    <w:right w:val="nil"/>
                  </w:tcBorders>
                </w:tcPr>
                <w:p w:rsidR="007164D5" w:rsidRPr="00E5583B" w:rsidRDefault="007164D5" w:rsidP="000F6423">
                  <w:pPr>
                    <w:jc w:val="right"/>
                    <w:rPr>
                      <w:sz w:val="22"/>
                      <w:szCs w:val="22"/>
                    </w:rPr>
                  </w:pPr>
                  <w:r w:rsidRPr="00E5583B">
                    <w:rPr>
                      <w:rFonts w:ascii="Arial" w:hAnsi="Arial" w:cs="Arial"/>
                    </w:rPr>
                    <w:t>£512m</w:t>
                  </w:r>
                </w:p>
              </w:tc>
              <w:tc>
                <w:tcPr>
                  <w:tcW w:w="1340" w:type="dxa"/>
                  <w:tcBorders>
                    <w:top w:val="nil"/>
                    <w:left w:val="nil"/>
                    <w:bottom w:val="nil"/>
                    <w:right w:val="nil"/>
                  </w:tcBorders>
                </w:tcPr>
                <w:p w:rsidR="007164D5" w:rsidRPr="00E5583B" w:rsidRDefault="007164D5" w:rsidP="000F6423">
                  <w:pPr>
                    <w:jc w:val="right"/>
                    <w:rPr>
                      <w:sz w:val="22"/>
                      <w:szCs w:val="22"/>
                    </w:rPr>
                  </w:pPr>
                  <w:r w:rsidRPr="00E5583B">
                    <w:rPr>
                      <w:rFonts w:ascii="Arial" w:hAnsi="Arial" w:cs="Arial"/>
                    </w:rPr>
                    <w:t>+48.2%</w:t>
                  </w:r>
                </w:p>
              </w:tc>
              <w:tc>
                <w:tcPr>
                  <w:tcW w:w="279" w:type="dxa"/>
                  <w:tcBorders>
                    <w:top w:val="nil"/>
                    <w:left w:val="nil"/>
                    <w:bottom w:val="nil"/>
                    <w:right w:val="nil"/>
                  </w:tcBorders>
                </w:tcPr>
                <w:p w:rsidR="007164D5" w:rsidRPr="00862FEB" w:rsidRDefault="007164D5" w:rsidP="000F6423">
                  <w:pPr>
                    <w:jc w:val="right"/>
                    <w:rPr>
                      <w:rFonts w:ascii="Arial" w:hAnsi="Arial" w:cs="Arial"/>
                      <w:sz w:val="22"/>
                      <w:szCs w:val="22"/>
                    </w:rPr>
                  </w:pPr>
                </w:p>
              </w:tc>
              <w:tc>
                <w:tcPr>
                  <w:tcW w:w="1210" w:type="dxa"/>
                  <w:tcBorders>
                    <w:top w:val="nil"/>
                    <w:left w:val="nil"/>
                    <w:bottom w:val="nil"/>
                    <w:right w:val="nil"/>
                  </w:tcBorders>
                </w:tcPr>
                <w:p w:rsidR="007164D5" w:rsidRPr="00F158F2" w:rsidRDefault="007164D5" w:rsidP="000F6423">
                  <w:pPr>
                    <w:jc w:val="right"/>
                    <w:rPr>
                      <w:rFonts w:ascii="Arial" w:hAnsi="Arial" w:cs="Arial"/>
                    </w:rPr>
                  </w:pPr>
                </w:p>
              </w:tc>
            </w:tr>
            <w:tr w:rsidR="00E63162" w:rsidRPr="00F158F2" w:rsidTr="006F78D1">
              <w:trPr>
                <w:trHeight w:val="269"/>
              </w:trPr>
              <w:tc>
                <w:tcPr>
                  <w:tcW w:w="2737" w:type="dxa"/>
                  <w:tcBorders>
                    <w:top w:val="nil"/>
                    <w:left w:val="nil"/>
                    <w:bottom w:val="nil"/>
                    <w:right w:val="nil"/>
                  </w:tcBorders>
                </w:tcPr>
                <w:p w:rsidR="007164D5" w:rsidRPr="00E5583B" w:rsidRDefault="007164D5" w:rsidP="000F6423">
                  <w:pPr>
                    <w:jc w:val="left"/>
                    <w:rPr>
                      <w:rFonts w:ascii="Arial" w:hAnsi="Arial" w:cs="Arial"/>
                      <w:sz w:val="22"/>
                      <w:szCs w:val="22"/>
                    </w:rPr>
                  </w:pPr>
                  <w:r w:rsidRPr="00E5583B">
                    <w:rPr>
                      <w:rFonts w:ascii="Arial" w:hAnsi="Arial" w:cs="Arial"/>
                    </w:rPr>
                    <w:t>Statutory post-tax profit</w:t>
                  </w:r>
                </w:p>
              </w:tc>
              <w:tc>
                <w:tcPr>
                  <w:tcW w:w="1142" w:type="dxa"/>
                  <w:tcBorders>
                    <w:top w:val="nil"/>
                    <w:left w:val="nil"/>
                    <w:bottom w:val="nil"/>
                    <w:right w:val="nil"/>
                  </w:tcBorders>
                </w:tcPr>
                <w:p w:rsidR="007164D5" w:rsidRPr="00E5583B" w:rsidRDefault="007164D5" w:rsidP="000F6423">
                  <w:pPr>
                    <w:jc w:val="right"/>
                    <w:rPr>
                      <w:rFonts w:ascii="Arial" w:hAnsi="Arial" w:cs="Arial"/>
                      <w:sz w:val="22"/>
                      <w:szCs w:val="22"/>
                    </w:rPr>
                  </w:pPr>
                </w:p>
              </w:tc>
              <w:tc>
                <w:tcPr>
                  <w:tcW w:w="1683" w:type="dxa"/>
                  <w:tcBorders>
                    <w:top w:val="nil"/>
                    <w:left w:val="nil"/>
                    <w:bottom w:val="nil"/>
                    <w:right w:val="nil"/>
                  </w:tcBorders>
                </w:tcPr>
                <w:p w:rsidR="007164D5" w:rsidRPr="00E5583B" w:rsidRDefault="007164D5" w:rsidP="000F6423">
                  <w:pPr>
                    <w:jc w:val="right"/>
                    <w:rPr>
                      <w:rFonts w:ascii="Arial" w:hAnsi="Arial" w:cs="Arial"/>
                      <w:sz w:val="22"/>
                      <w:szCs w:val="22"/>
                    </w:rPr>
                  </w:pPr>
                </w:p>
              </w:tc>
              <w:tc>
                <w:tcPr>
                  <w:tcW w:w="1195" w:type="dxa"/>
                  <w:tcBorders>
                    <w:top w:val="nil"/>
                    <w:left w:val="nil"/>
                    <w:bottom w:val="nil"/>
                    <w:right w:val="nil"/>
                  </w:tcBorders>
                </w:tcPr>
                <w:p w:rsidR="007164D5" w:rsidRPr="00E5583B" w:rsidRDefault="007164D5" w:rsidP="000F6423">
                  <w:pPr>
                    <w:jc w:val="right"/>
                    <w:rPr>
                      <w:rFonts w:ascii="Arial" w:hAnsi="Arial" w:cs="Arial"/>
                      <w:sz w:val="22"/>
                      <w:szCs w:val="22"/>
                    </w:rPr>
                  </w:pPr>
                  <w:r w:rsidRPr="00E5583B">
                    <w:rPr>
                      <w:rFonts w:ascii="Arial" w:hAnsi="Arial" w:cs="Arial"/>
                    </w:rPr>
                    <w:t>£610m</w:t>
                  </w:r>
                </w:p>
              </w:tc>
              <w:tc>
                <w:tcPr>
                  <w:tcW w:w="1272" w:type="dxa"/>
                  <w:tcBorders>
                    <w:top w:val="nil"/>
                    <w:left w:val="nil"/>
                    <w:bottom w:val="nil"/>
                    <w:right w:val="nil"/>
                  </w:tcBorders>
                </w:tcPr>
                <w:p w:rsidR="007164D5" w:rsidRPr="00E5583B" w:rsidRDefault="007164D5" w:rsidP="00F9080F">
                  <w:pPr>
                    <w:jc w:val="right"/>
                    <w:rPr>
                      <w:sz w:val="22"/>
                      <w:szCs w:val="22"/>
                    </w:rPr>
                  </w:pPr>
                  <w:r w:rsidRPr="00E5583B">
                    <w:rPr>
                      <w:rFonts w:ascii="Arial" w:hAnsi="Arial" w:cs="Arial"/>
                    </w:rPr>
                    <w:t>£412m</w:t>
                  </w:r>
                </w:p>
              </w:tc>
              <w:tc>
                <w:tcPr>
                  <w:tcW w:w="1340" w:type="dxa"/>
                  <w:tcBorders>
                    <w:top w:val="nil"/>
                    <w:left w:val="nil"/>
                    <w:bottom w:val="nil"/>
                    <w:right w:val="nil"/>
                  </w:tcBorders>
                </w:tcPr>
                <w:p w:rsidR="007164D5" w:rsidRPr="00E5583B" w:rsidRDefault="007164D5" w:rsidP="00F9080F">
                  <w:pPr>
                    <w:jc w:val="right"/>
                    <w:rPr>
                      <w:rFonts w:ascii="Arial" w:hAnsi="Arial" w:cs="Arial"/>
                      <w:sz w:val="22"/>
                      <w:szCs w:val="22"/>
                    </w:rPr>
                  </w:pPr>
                  <w:r w:rsidRPr="00E5583B">
                    <w:rPr>
                      <w:rFonts w:ascii="Arial" w:hAnsi="Arial" w:cs="Arial"/>
                    </w:rPr>
                    <w:t>+48.1%</w:t>
                  </w:r>
                </w:p>
              </w:tc>
              <w:tc>
                <w:tcPr>
                  <w:tcW w:w="279" w:type="dxa"/>
                  <w:tcBorders>
                    <w:top w:val="nil"/>
                    <w:left w:val="nil"/>
                    <w:bottom w:val="nil"/>
                    <w:right w:val="nil"/>
                  </w:tcBorders>
                </w:tcPr>
                <w:p w:rsidR="007164D5" w:rsidRPr="00862FEB" w:rsidRDefault="007164D5" w:rsidP="00F9080F">
                  <w:pPr>
                    <w:jc w:val="right"/>
                    <w:rPr>
                      <w:rFonts w:ascii="Arial" w:hAnsi="Arial" w:cs="Arial"/>
                      <w:sz w:val="22"/>
                      <w:szCs w:val="22"/>
                    </w:rPr>
                  </w:pPr>
                </w:p>
              </w:tc>
              <w:tc>
                <w:tcPr>
                  <w:tcW w:w="1210" w:type="dxa"/>
                  <w:tcBorders>
                    <w:top w:val="nil"/>
                    <w:left w:val="nil"/>
                    <w:bottom w:val="nil"/>
                    <w:right w:val="nil"/>
                  </w:tcBorders>
                </w:tcPr>
                <w:p w:rsidR="007164D5" w:rsidRPr="00F158F2" w:rsidRDefault="007164D5" w:rsidP="00F9080F">
                  <w:pPr>
                    <w:jc w:val="right"/>
                    <w:rPr>
                      <w:rFonts w:ascii="Arial" w:hAnsi="Arial" w:cs="Arial"/>
                    </w:rPr>
                  </w:pPr>
                </w:p>
              </w:tc>
            </w:tr>
            <w:tr w:rsidR="00E63162" w:rsidRPr="00F158F2" w:rsidTr="006F78D1">
              <w:trPr>
                <w:trHeight w:val="269"/>
              </w:trPr>
              <w:tc>
                <w:tcPr>
                  <w:tcW w:w="2737" w:type="dxa"/>
                  <w:tcBorders>
                    <w:top w:val="nil"/>
                    <w:left w:val="nil"/>
                    <w:bottom w:val="nil"/>
                    <w:right w:val="nil"/>
                  </w:tcBorders>
                </w:tcPr>
                <w:p w:rsidR="007164D5" w:rsidRPr="00E5583B" w:rsidRDefault="007164D5" w:rsidP="000F6423">
                  <w:pPr>
                    <w:jc w:val="left"/>
                    <w:rPr>
                      <w:rFonts w:ascii="Arial" w:hAnsi="Arial" w:cs="Arial"/>
                      <w:sz w:val="22"/>
                      <w:szCs w:val="22"/>
                    </w:rPr>
                  </w:pPr>
                  <w:r w:rsidRPr="00E5583B">
                    <w:rPr>
                      <w:rFonts w:ascii="Arial" w:hAnsi="Arial" w:cs="Arial"/>
                    </w:rPr>
                    <w:t>Basic EPS</w:t>
                  </w:r>
                </w:p>
              </w:tc>
              <w:tc>
                <w:tcPr>
                  <w:tcW w:w="1142" w:type="dxa"/>
                  <w:tcBorders>
                    <w:top w:val="nil"/>
                    <w:left w:val="nil"/>
                    <w:bottom w:val="nil"/>
                    <w:right w:val="nil"/>
                  </w:tcBorders>
                </w:tcPr>
                <w:p w:rsidR="007164D5" w:rsidRPr="00E5583B" w:rsidRDefault="007164D5" w:rsidP="000F6423">
                  <w:pPr>
                    <w:jc w:val="right"/>
                    <w:rPr>
                      <w:rFonts w:ascii="Arial" w:hAnsi="Arial" w:cs="Arial"/>
                      <w:sz w:val="22"/>
                      <w:szCs w:val="22"/>
                    </w:rPr>
                  </w:pPr>
                </w:p>
              </w:tc>
              <w:tc>
                <w:tcPr>
                  <w:tcW w:w="1683" w:type="dxa"/>
                  <w:tcBorders>
                    <w:top w:val="nil"/>
                    <w:left w:val="nil"/>
                    <w:bottom w:val="nil"/>
                    <w:right w:val="nil"/>
                  </w:tcBorders>
                </w:tcPr>
                <w:p w:rsidR="007164D5" w:rsidRPr="00E5583B" w:rsidRDefault="007164D5" w:rsidP="000F6423">
                  <w:pPr>
                    <w:jc w:val="right"/>
                    <w:rPr>
                      <w:rFonts w:ascii="Arial" w:hAnsi="Arial" w:cs="Arial"/>
                      <w:sz w:val="22"/>
                      <w:szCs w:val="22"/>
                    </w:rPr>
                  </w:pPr>
                </w:p>
              </w:tc>
              <w:tc>
                <w:tcPr>
                  <w:tcW w:w="1195" w:type="dxa"/>
                  <w:tcBorders>
                    <w:top w:val="nil"/>
                    <w:left w:val="nil"/>
                    <w:bottom w:val="nil"/>
                    <w:right w:val="nil"/>
                  </w:tcBorders>
                </w:tcPr>
                <w:p w:rsidR="007164D5" w:rsidRPr="00E5583B" w:rsidRDefault="007164D5" w:rsidP="000F6423">
                  <w:pPr>
                    <w:jc w:val="right"/>
                    <w:rPr>
                      <w:rFonts w:ascii="Arial" w:hAnsi="Arial" w:cs="Arial"/>
                      <w:sz w:val="22"/>
                      <w:szCs w:val="22"/>
                    </w:rPr>
                  </w:pPr>
                  <w:r w:rsidRPr="00E5583B">
                    <w:rPr>
                      <w:rFonts w:ascii="Arial" w:hAnsi="Arial" w:cs="Arial"/>
                    </w:rPr>
                    <w:t>27.1p</w:t>
                  </w:r>
                </w:p>
              </w:tc>
              <w:tc>
                <w:tcPr>
                  <w:tcW w:w="1272" w:type="dxa"/>
                  <w:tcBorders>
                    <w:top w:val="nil"/>
                    <w:left w:val="nil"/>
                    <w:bottom w:val="nil"/>
                    <w:right w:val="nil"/>
                  </w:tcBorders>
                </w:tcPr>
                <w:p w:rsidR="007164D5" w:rsidRPr="00E5583B" w:rsidRDefault="007164D5" w:rsidP="00F9080F">
                  <w:pPr>
                    <w:jc w:val="right"/>
                    <w:rPr>
                      <w:sz w:val="22"/>
                      <w:szCs w:val="22"/>
                    </w:rPr>
                  </w:pPr>
                  <w:r w:rsidRPr="00E5583B">
                    <w:rPr>
                      <w:rFonts w:ascii="Arial" w:hAnsi="Arial" w:cs="Arial"/>
                    </w:rPr>
                    <w:t>17.8p</w:t>
                  </w:r>
                </w:p>
              </w:tc>
              <w:tc>
                <w:tcPr>
                  <w:tcW w:w="1340" w:type="dxa"/>
                  <w:tcBorders>
                    <w:top w:val="nil"/>
                    <w:left w:val="nil"/>
                    <w:bottom w:val="nil"/>
                    <w:right w:val="nil"/>
                  </w:tcBorders>
                </w:tcPr>
                <w:p w:rsidR="007164D5" w:rsidRPr="00E5583B" w:rsidRDefault="007164D5" w:rsidP="00F9080F">
                  <w:pPr>
                    <w:jc w:val="right"/>
                    <w:rPr>
                      <w:rFonts w:ascii="Arial" w:hAnsi="Arial" w:cs="Arial"/>
                      <w:sz w:val="22"/>
                      <w:szCs w:val="22"/>
                    </w:rPr>
                  </w:pPr>
                  <w:r w:rsidRPr="00E5583B">
                    <w:rPr>
                      <w:rFonts w:ascii="Arial" w:hAnsi="Arial" w:cs="Arial"/>
                    </w:rPr>
                    <w:t>+52.2%</w:t>
                  </w:r>
                </w:p>
              </w:tc>
              <w:tc>
                <w:tcPr>
                  <w:tcW w:w="279" w:type="dxa"/>
                  <w:tcBorders>
                    <w:top w:val="nil"/>
                    <w:left w:val="nil"/>
                    <w:bottom w:val="nil"/>
                    <w:right w:val="nil"/>
                  </w:tcBorders>
                </w:tcPr>
                <w:p w:rsidR="007164D5" w:rsidRPr="00862FEB" w:rsidRDefault="007164D5" w:rsidP="00F9080F">
                  <w:pPr>
                    <w:jc w:val="right"/>
                    <w:rPr>
                      <w:rFonts w:ascii="Arial" w:hAnsi="Arial" w:cs="Arial"/>
                      <w:sz w:val="22"/>
                      <w:szCs w:val="22"/>
                    </w:rPr>
                  </w:pPr>
                </w:p>
              </w:tc>
              <w:tc>
                <w:tcPr>
                  <w:tcW w:w="1210" w:type="dxa"/>
                  <w:tcBorders>
                    <w:top w:val="nil"/>
                    <w:left w:val="nil"/>
                    <w:bottom w:val="nil"/>
                    <w:right w:val="nil"/>
                  </w:tcBorders>
                </w:tcPr>
                <w:p w:rsidR="007164D5" w:rsidRPr="00F158F2" w:rsidRDefault="007164D5" w:rsidP="00F9080F">
                  <w:pPr>
                    <w:jc w:val="right"/>
                    <w:rPr>
                      <w:rFonts w:ascii="Arial" w:hAnsi="Arial" w:cs="Arial"/>
                    </w:rPr>
                  </w:pPr>
                </w:p>
              </w:tc>
            </w:tr>
            <w:tr w:rsidR="0089712B" w:rsidRPr="00F158F2" w:rsidTr="006F78D1">
              <w:trPr>
                <w:trHeight w:val="398"/>
              </w:trPr>
              <w:tc>
                <w:tcPr>
                  <w:tcW w:w="9369" w:type="dxa"/>
                  <w:gridSpan w:val="6"/>
                  <w:tcBorders>
                    <w:top w:val="single" w:sz="4" w:space="0" w:color="auto"/>
                    <w:left w:val="nil"/>
                    <w:bottom w:val="nil"/>
                    <w:right w:val="nil"/>
                  </w:tcBorders>
                </w:tcPr>
                <w:p w:rsidR="004D01EC" w:rsidRPr="00EB1BCF" w:rsidRDefault="004D01EC">
                  <w:pPr>
                    <w:jc w:val="left"/>
                    <w:rPr>
                      <w:rFonts w:ascii="Arial" w:hAnsi="Arial" w:cs="Arial"/>
                      <w:sz w:val="22"/>
                      <w:szCs w:val="22"/>
                    </w:rPr>
                  </w:pPr>
                </w:p>
              </w:tc>
              <w:tc>
                <w:tcPr>
                  <w:tcW w:w="279" w:type="dxa"/>
                  <w:tcBorders>
                    <w:top w:val="nil"/>
                    <w:left w:val="nil"/>
                    <w:bottom w:val="nil"/>
                    <w:right w:val="nil"/>
                  </w:tcBorders>
                </w:tcPr>
                <w:p w:rsidR="0089712B" w:rsidRPr="00862FEB" w:rsidRDefault="0089712B" w:rsidP="0089712B">
                  <w:pPr>
                    <w:jc w:val="left"/>
                    <w:rPr>
                      <w:rFonts w:ascii="Arial" w:hAnsi="Arial" w:cs="Arial"/>
                      <w:sz w:val="22"/>
                      <w:szCs w:val="22"/>
                    </w:rPr>
                  </w:pPr>
                </w:p>
              </w:tc>
              <w:tc>
                <w:tcPr>
                  <w:tcW w:w="1210" w:type="dxa"/>
                  <w:tcBorders>
                    <w:top w:val="nil"/>
                    <w:left w:val="nil"/>
                    <w:bottom w:val="nil"/>
                    <w:right w:val="nil"/>
                  </w:tcBorders>
                </w:tcPr>
                <w:p w:rsidR="0089712B" w:rsidRPr="00F158F2" w:rsidRDefault="0089712B" w:rsidP="0089712B">
                  <w:pPr>
                    <w:jc w:val="left"/>
                    <w:rPr>
                      <w:rFonts w:ascii="Arial" w:hAnsi="Arial" w:cs="Arial"/>
                    </w:rPr>
                  </w:pPr>
                </w:p>
              </w:tc>
            </w:tr>
          </w:tbl>
          <w:p w:rsidR="000F6423" w:rsidRPr="00F158F2" w:rsidRDefault="000F6423" w:rsidP="00D71831">
            <w:pPr>
              <w:jc w:val="left"/>
              <w:rPr>
                <w:rFonts w:ascii="Arial" w:hAnsi="Arial" w:cs="Arial"/>
                <w:b/>
                <w:bCs/>
                <w:sz w:val="24"/>
                <w:szCs w:val="24"/>
                <w:u w:val="single"/>
              </w:rPr>
            </w:pPr>
          </w:p>
        </w:tc>
      </w:tr>
    </w:tbl>
    <w:p w:rsidR="001904C5" w:rsidRDefault="001904C5" w:rsidP="001904C5">
      <w:pPr>
        <w:jc w:val="left"/>
        <w:rPr>
          <w:rFonts w:ascii="Arial" w:hAnsi="Arial" w:cs="Arial"/>
          <w:i/>
          <w:iCs/>
          <w:sz w:val="18"/>
          <w:szCs w:val="18"/>
        </w:rPr>
      </w:pPr>
      <w:bookmarkStart w:id="0" w:name="_GoBack"/>
      <w:bookmarkEnd w:id="0"/>
      <w:r w:rsidRPr="000C04E8">
        <w:rPr>
          <w:rFonts w:ascii="Arial" w:hAnsi="Arial" w:cs="Arial"/>
          <w:i/>
          <w:iCs/>
          <w:sz w:val="18"/>
          <w:szCs w:val="18"/>
        </w:rPr>
        <w:t xml:space="preserve">*Throughout this release ‘*’ indicates first instance of a term defined and explained in the Glossary (section 5). Not all of the figures and ratios used are readily available from the unaudited preliminary results included in </w:t>
      </w:r>
      <w:r>
        <w:rPr>
          <w:rFonts w:ascii="Arial" w:hAnsi="Arial" w:cs="Arial"/>
          <w:i/>
          <w:iCs/>
          <w:sz w:val="18"/>
          <w:szCs w:val="18"/>
        </w:rPr>
        <w:t>part 2 of the announcement</w:t>
      </w:r>
      <w:r w:rsidRPr="000C04E8">
        <w:rPr>
          <w:rFonts w:ascii="Arial" w:hAnsi="Arial" w:cs="Arial"/>
          <w:i/>
          <w:iCs/>
          <w:sz w:val="18"/>
          <w:szCs w:val="18"/>
        </w:rPr>
        <w:t>. These non-GAAP measures, including constant currency and like-for-like</w:t>
      </w:r>
      <w:r>
        <w:rPr>
          <w:rFonts w:ascii="Arial" w:hAnsi="Arial" w:cs="Arial"/>
          <w:i/>
          <w:iCs/>
          <w:sz w:val="18"/>
          <w:szCs w:val="18"/>
        </w:rPr>
        <w:t xml:space="preserve"> sales</w:t>
      </w:r>
      <w:r w:rsidRPr="000C04E8">
        <w:rPr>
          <w:rFonts w:ascii="Arial" w:hAnsi="Arial" w:cs="Arial"/>
          <w:i/>
          <w:iCs/>
          <w:sz w:val="18"/>
          <w:szCs w:val="18"/>
        </w:rPr>
        <w:t xml:space="preserve"> growth, underlying and adjusted profit measures, management believes are both useful and necessary to better understand the Group’s results. Where required, a reconciliation to statutory amounts is set out in the Financial Review (Section 4).</w:t>
      </w:r>
    </w:p>
    <w:p w:rsidR="001904C5" w:rsidRDefault="001904C5" w:rsidP="00440B16">
      <w:pPr>
        <w:rPr>
          <w:rFonts w:ascii="Arial" w:hAnsi="Arial" w:cs="Arial"/>
        </w:rPr>
      </w:pPr>
    </w:p>
    <w:p w:rsidR="00FD4DC7" w:rsidRPr="00A845B7" w:rsidRDefault="00FD4DC7" w:rsidP="00AF31F4">
      <w:pPr>
        <w:jc w:val="left"/>
        <w:rPr>
          <w:rFonts w:ascii="Arial" w:hAnsi="Arial" w:cs="Arial"/>
          <w:b/>
          <w:bCs/>
        </w:rPr>
      </w:pPr>
      <w:r w:rsidRPr="00A845B7">
        <w:rPr>
          <w:rFonts w:ascii="Arial" w:hAnsi="Arial" w:cs="Arial"/>
          <w:b/>
        </w:rPr>
        <w:t>Véronique Laury, Chief Executive</w:t>
      </w:r>
      <w:r w:rsidR="007C47AE" w:rsidRPr="00A845B7">
        <w:rPr>
          <w:rFonts w:ascii="Arial" w:hAnsi="Arial" w:cs="Arial"/>
          <w:b/>
        </w:rPr>
        <w:t xml:space="preserve"> Officer</w:t>
      </w:r>
      <w:r w:rsidRPr="00A845B7">
        <w:rPr>
          <w:rFonts w:ascii="Arial" w:hAnsi="Arial" w:cs="Arial"/>
          <w:b/>
        </w:rPr>
        <w:t>, said</w:t>
      </w:r>
      <w:r w:rsidRPr="00A845B7">
        <w:rPr>
          <w:rFonts w:ascii="Arial" w:hAnsi="Arial" w:cs="Arial"/>
          <w:b/>
          <w:bCs/>
        </w:rPr>
        <w:t>:</w:t>
      </w:r>
    </w:p>
    <w:p w:rsidR="008A3A27" w:rsidRPr="000971B9" w:rsidRDefault="008A3A27" w:rsidP="00FD4DC7">
      <w:pPr>
        <w:rPr>
          <w:rFonts w:ascii="Arial" w:hAnsi="Arial" w:cs="Arial"/>
          <w:b/>
          <w:bCs/>
          <w:sz w:val="24"/>
          <w:szCs w:val="24"/>
        </w:rPr>
      </w:pPr>
    </w:p>
    <w:p w:rsidR="00346C2F" w:rsidRDefault="008A3A27" w:rsidP="00794BC4">
      <w:pPr>
        <w:autoSpaceDE w:val="0"/>
        <w:autoSpaceDN w:val="0"/>
        <w:adjustRightInd w:val="0"/>
        <w:jc w:val="left"/>
        <w:rPr>
          <w:rFonts w:ascii="Arial" w:hAnsi="Arial" w:cs="Arial"/>
        </w:rPr>
      </w:pPr>
      <w:r w:rsidRPr="00794BC4">
        <w:rPr>
          <w:rFonts w:ascii="Arial" w:hAnsi="Arial" w:cs="Arial"/>
        </w:rPr>
        <w:t>“It has been a very productive and important year, a year which has again delivered sales and profit growth.</w:t>
      </w:r>
      <w:r w:rsidR="00CC2E96">
        <w:rPr>
          <w:rFonts w:ascii="Arial" w:hAnsi="Arial" w:cs="Arial"/>
        </w:rPr>
        <w:t xml:space="preserve"> </w:t>
      </w:r>
      <w:r w:rsidRPr="00794BC4">
        <w:rPr>
          <w:rFonts w:ascii="Arial" w:hAnsi="Arial" w:cs="Arial"/>
        </w:rPr>
        <w:t xml:space="preserve">I am really pleased that our performance has been achieved alongside delivering </w:t>
      </w:r>
      <w:r w:rsidR="00C85CCF">
        <w:rPr>
          <w:rFonts w:ascii="Arial" w:hAnsi="Arial" w:cs="Arial"/>
        </w:rPr>
        <w:t>the key</w:t>
      </w:r>
      <w:r w:rsidRPr="00794BC4">
        <w:rPr>
          <w:rFonts w:ascii="Arial" w:hAnsi="Arial" w:cs="Arial"/>
        </w:rPr>
        <w:t xml:space="preserve"> first year strategic milestones of our ambitious five year transformation plan, based on creating a unified company where customer needs come first. </w:t>
      </w:r>
      <w:r w:rsidR="00CC2E96">
        <w:rPr>
          <w:rFonts w:ascii="Arial" w:hAnsi="Arial" w:cs="Arial"/>
        </w:rPr>
        <w:t>We have learned a lot and are aware of the challenges. We</w:t>
      </w:r>
      <w:r w:rsidRPr="00794BC4">
        <w:rPr>
          <w:rFonts w:ascii="Arial" w:hAnsi="Arial" w:cs="Arial"/>
        </w:rPr>
        <w:t xml:space="preserve"> </w:t>
      </w:r>
      <w:r w:rsidR="00346C2F">
        <w:rPr>
          <w:rFonts w:ascii="Arial" w:hAnsi="Arial" w:cs="Arial"/>
        </w:rPr>
        <w:t xml:space="preserve">are well set up for next year and beyond as the level of activity increases. </w:t>
      </w:r>
    </w:p>
    <w:p w:rsidR="008A3A27" w:rsidRPr="00794BC4" w:rsidRDefault="008A3A27" w:rsidP="00794BC4">
      <w:pPr>
        <w:autoSpaceDE w:val="0"/>
        <w:autoSpaceDN w:val="0"/>
        <w:adjustRightInd w:val="0"/>
        <w:jc w:val="left"/>
        <w:rPr>
          <w:rFonts w:ascii="Arial" w:hAnsi="Arial" w:cs="Arial"/>
        </w:rPr>
      </w:pPr>
    </w:p>
    <w:p w:rsidR="008A3A27" w:rsidRPr="00794BC4" w:rsidRDefault="008A3A27" w:rsidP="00794BC4">
      <w:pPr>
        <w:autoSpaceDE w:val="0"/>
        <w:autoSpaceDN w:val="0"/>
        <w:adjustRightInd w:val="0"/>
        <w:jc w:val="left"/>
        <w:rPr>
          <w:rFonts w:ascii="Arial" w:hAnsi="Arial" w:cs="Arial"/>
        </w:rPr>
      </w:pPr>
      <w:r w:rsidRPr="00794BC4">
        <w:rPr>
          <w:rFonts w:ascii="Arial" w:hAnsi="Arial" w:cs="Arial"/>
        </w:rPr>
        <w:t>“</w:t>
      </w:r>
      <w:r w:rsidR="00C61C28">
        <w:rPr>
          <w:rFonts w:ascii="Arial" w:hAnsi="Arial" w:cs="Arial"/>
        </w:rPr>
        <w:t>Looking forward</w:t>
      </w:r>
      <w:r w:rsidRPr="00794BC4">
        <w:rPr>
          <w:rFonts w:ascii="Arial" w:hAnsi="Arial" w:cs="Arial"/>
        </w:rPr>
        <w:t>, the EU referendum has created uncertainty for the UK economic outlook and we remain cautious on the outlook for France, especially in light of the forthcoming presidential elections.</w:t>
      </w:r>
      <w:r w:rsidR="00C61C28">
        <w:rPr>
          <w:rFonts w:ascii="Arial" w:hAnsi="Arial" w:cs="Arial"/>
        </w:rPr>
        <w:t xml:space="preserve"> </w:t>
      </w:r>
      <w:r w:rsidRPr="00794BC4">
        <w:rPr>
          <w:rFonts w:ascii="Arial" w:hAnsi="Arial" w:cs="Arial"/>
        </w:rPr>
        <w:t xml:space="preserve">Looking longer term, supported by the expertise and energy of our colleagues, we </w:t>
      </w:r>
      <w:r w:rsidR="00DC7740">
        <w:rPr>
          <w:rFonts w:ascii="Arial" w:hAnsi="Arial" w:cs="Arial"/>
        </w:rPr>
        <w:t>remain</w:t>
      </w:r>
      <w:r w:rsidRPr="00794BC4">
        <w:rPr>
          <w:rFonts w:ascii="Arial" w:hAnsi="Arial" w:cs="Arial"/>
        </w:rPr>
        <w:t xml:space="preserve"> confident in </w:t>
      </w:r>
      <w:r w:rsidR="00A22442">
        <w:rPr>
          <w:rFonts w:ascii="Arial" w:hAnsi="Arial" w:cs="Arial"/>
        </w:rPr>
        <w:t xml:space="preserve">the size of the prize and our </w:t>
      </w:r>
      <w:r w:rsidRPr="00794BC4">
        <w:rPr>
          <w:rFonts w:ascii="Arial" w:hAnsi="Arial" w:cs="Arial"/>
        </w:rPr>
        <w:t>ability to deliver</w:t>
      </w:r>
      <w:r w:rsidR="00A22442">
        <w:rPr>
          <w:rFonts w:ascii="Arial" w:hAnsi="Arial" w:cs="Arial"/>
        </w:rPr>
        <w:t xml:space="preserve"> the</w:t>
      </w:r>
      <w:r w:rsidRPr="00794BC4">
        <w:rPr>
          <w:rFonts w:ascii="Arial" w:hAnsi="Arial" w:cs="Arial"/>
        </w:rPr>
        <w:t xml:space="preserve"> plan</w:t>
      </w:r>
      <w:r w:rsidR="0099702F">
        <w:rPr>
          <w:rFonts w:ascii="Arial" w:hAnsi="Arial" w:cs="Arial"/>
        </w:rPr>
        <w:t xml:space="preserve"> -</w:t>
      </w:r>
      <w:r w:rsidR="00C61C28">
        <w:rPr>
          <w:rFonts w:ascii="Arial" w:hAnsi="Arial" w:cs="Arial"/>
        </w:rPr>
        <w:t xml:space="preserve"> both the financial benefits the transformation will unlock and the stronger business it will create</w:t>
      </w:r>
      <w:r w:rsidRPr="00794BC4">
        <w:rPr>
          <w:rFonts w:ascii="Arial" w:hAnsi="Arial" w:cs="Arial"/>
        </w:rPr>
        <w:t>.”</w:t>
      </w:r>
    </w:p>
    <w:p w:rsidR="000F3EF1" w:rsidRDefault="000F3EF1" w:rsidP="00DC3143">
      <w:pPr>
        <w:jc w:val="left"/>
        <w:rPr>
          <w:rFonts w:ascii="Arial" w:hAnsi="Arial" w:cs="Arial"/>
          <w:bCs/>
          <w:sz w:val="24"/>
          <w:szCs w:val="24"/>
        </w:rPr>
      </w:pPr>
    </w:p>
    <w:p w:rsidR="008462C8" w:rsidRDefault="008462C8" w:rsidP="00AD5BF9">
      <w:pPr>
        <w:jc w:val="left"/>
        <w:rPr>
          <w:rFonts w:ascii="Arial" w:hAnsi="Arial" w:cs="Arial"/>
          <w:b/>
          <w:bCs/>
          <w:sz w:val="24"/>
          <w:szCs w:val="24"/>
        </w:rPr>
      </w:pPr>
    </w:p>
    <w:p w:rsidR="00E2024A" w:rsidRPr="0099702F" w:rsidRDefault="003C4FFB" w:rsidP="00AD5BF9">
      <w:pPr>
        <w:jc w:val="left"/>
        <w:rPr>
          <w:rFonts w:ascii="Arial" w:hAnsi="Arial" w:cs="Arial"/>
          <w:b/>
          <w:bCs/>
        </w:rPr>
      </w:pPr>
      <w:r w:rsidRPr="00A845B7">
        <w:rPr>
          <w:rFonts w:ascii="Arial" w:hAnsi="Arial" w:cs="Arial"/>
          <w:b/>
          <w:bCs/>
        </w:rPr>
        <w:t>Contacts</w:t>
      </w:r>
    </w:p>
    <w:tbl>
      <w:tblPr>
        <w:tblW w:w="5000" w:type="pct"/>
        <w:tblInd w:w="-106" w:type="dxa"/>
        <w:tblLook w:val="01E0" w:firstRow="1" w:lastRow="1" w:firstColumn="1" w:lastColumn="1" w:noHBand="0" w:noVBand="0"/>
      </w:tblPr>
      <w:tblGrid>
        <w:gridCol w:w="3185"/>
        <w:gridCol w:w="2935"/>
        <w:gridCol w:w="3521"/>
      </w:tblGrid>
      <w:tr w:rsidR="00EF5E0D" w:rsidTr="006F78D1">
        <w:tc>
          <w:tcPr>
            <w:tcW w:w="2018" w:type="pct"/>
            <w:hideMark/>
          </w:tcPr>
          <w:p w:rsidR="002802A9" w:rsidRDefault="002802A9" w:rsidP="008F7BE3">
            <w:pPr>
              <w:jc w:val="left"/>
              <w:rPr>
                <w:rFonts w:ascii="Arial" w:hAnsi="Arial" w:cs="Arial"/>
              </w:rPr>
            </w:pPr>
          </w:p>
          <w:p w:rsidR="00EF5E0D" w:rsidRPr="00794BC4" w:rsidRDefault="00EF5E0D" w:rsidP="008F7BE3">
            <w:pPr>
              <w:jc w:val="left"/>
              <w:rPr>
                <w:rFonts w:ascii="Arial" w:hAnsi="Arial" w:cs="Arial"/>
              </w:rPr>
            </w:pPr>
            <w:r w:rsidRPr="00794BC4">
              <w:rPr>
                <w:rFonts w:ascii="Arial" w:hAnsi="Arial" w:cs="Arial"/>
              </w:rPr>
              <w:t>Investor Relations</w:t>
            </w:r>
          </w:p>
        </w:tc>
        <w:tc>
          <w:tcPr>
            <w:tcW w:w="1888" w:type="pct"/>
            <w:hideMark/>
          </w:tcPr>
          <w:p w:rsidR="00EF5E0D" w:rsidRPr="00794BC4" w:rsidRDefault="00EF5E0D">
            <w:pPr>
              <w:jc w:val="right"/>
              <w:rPr>
                <w:rFonts w:ascii="Arial" w:hAnsi="Arial" w:cs="Arial"/>
              </w:rPr>
            </w:pPr>
            <w:r w:rsidRPr="00794BC4">
              <w:rPr>
                <w:rFonts w:ascii="Arial" w:hAnsi="Arial" w:cs="Arial"/>
              </w:rPr>
              <w:t>Tel:</w:t>
            </w:r>
          </w:p>
          <w:p w:rsidR="00EF5E0D" w:rsidRPr="00794BC4" w:rsidRDefault="00EF5E0D">
            <w:pPr>
              <w:jc w:val="right"/>
              <w:rPr>
                <w:rFonts w:ascii="Arial" w:hAnsi="Arial" w:cs="Arial"/>
              </w:rPr>
            </w:pPr>
            <w:r w:rsidRPr="00794BC4">
              <w:rPr>
                <w:rFonts w:ascii="Arial" w:hAnsi="Arial" w:cs="Arial"/>
              </w:rPr>
              <w:t>+44 (0) 20 7644 1082</w:t>
            </w:r>
          </w:p>
        </w:tc>
        <w:tc>
          <w:tcPr>
            <w:tcW w:w="1095" w:type="pct"/>
          </w:tcPr>
          <w:p w:rsidR="00EF5E0D" w:rsidRPr="00794BC4" w:rsidRDefault="00EF5E0D">
            <w:pPr>
              <w:jc w:val="right"/>
              <w:rPr>
                <w:rFonts w:ascii="Arial" w:hAnsi="Arial" w:cs="Arial"/>
              </w:rPr>
            </w:pPr>
            <w:r w:rsidRPr="00794BC4">
              <w:rPr>
                <w:rFonts w:ascii="Arial" w:hAnsi="Arial" w:cs="Arial"/>
              </w:rPr>
              <w:t>Email:</w:t>
            </w:r>
          </w:p>
          <w:p w:rsidR="00EF5E0D" w:rsidRPr="00794BC4" w:rsidRDefault="00EF5E0D">
            <w:pPr>
              <w:jc w:val="right"/>
              <w:rPr>
                <w:rFonts w:ascii="Arial" w:hAnsi="Arial" w:cs="Arial"/>
              </w:rPr>
            </w:pPr>
            <w:r w:rsidRPr="00794BC4">
              <w:rPr>
                <w:rFonts w:ascii="Arial" w:hAnsi="Arial" w:cs="Arial"/>
              </w:rPr>
              <w:t>investorenquiries@kingfisher.com</w:t>
            </w:r>
          </w:p>
        </w:tc>
      </w:tr>
      <w:tr w:rsidR="00EF5E0D" w:rsidTr="006F78D1">
        <w:tc>
          <w:tcPr>
            <w:tcW w:w="2018" w:type="pct"/>
            <w:hideMark/>
          </w:tcPr>
          <w:p w:rsidR="00EF5E0D" w:rsidRPr="00794BC4" w:rsidRDefault="00EF5E0D" w:rsidP="008F7BE3">
            <w:pPr>
              <w:jc w:val="left"/>
              <w:rPr>
                <w:rFonts w:ascii="Arial" w:hAnsi="Arial" w:cs="Arial"/>
              </w:rPr>
            </w:pPr>
            <w:r w:rsidRPr="00794BC4">
              <w:rPr>
                <w:rFonts w:ascii="Arial" w:hAnsi="Arial" w:cs="Arial"/>
              </w:rPr>
              <w:t>Media Relations</w:t>
            </w:r>
          </w:p>
        </w:tc>
        <w:tc>
          <w:tcPr>
            <w:tcW w:w="1888" w:type="pct"/>
            <w:hideMark/>
          </w:tcPr>
          <w:p w:rsidR="00EF5E0D" w:rsidRPr="00794BC4" w:rsidRDefault="00EF5E0D">
            <w:pPr>
              <w:jc w:val="right"/>
              <w:rPr>
                <w:rFonts w:ascii="Arial" w:hAnsi="Arial" w:cs="Arial"/>
              </w:rPr>
            </w:pPr>
            <w:r w:rsidRPr="00794BC4">
              <w:rPr>
                <w:rFonts w:ascii="Arial" w:hAnsi="Arial" w:cs="Arial"/>
              </w:rPr>
              <w:t>+44 (0) 20 7644 1030</w:t>
            </w:r>
          </w:p>
        </w:tc>
        <w:tc>
          <w:tcPr>
            <w:tcW w:w="1095" w:type="pct"/>
          </w:tcPr>
          <w:p w:rsidR="00EF5E0D" w:rsidRPr="00794BC4" w:rsidRDefault="002D03C6">
            <w:pPr>
              <w:jc w:val="right"/>
              <w:rPr>
                <w:rFonts w:ascii="Arial" w:hAnsi="Arial" w:cs="Arial"/>
              </w:rPr>
            </w:pPr>
            <w:r>
              <w:rPr>
                <w:rFonts w:ascii="Arial" w:hAnsi="Arial" w:cs="Arial"/>
              </w:rPr>
              <w:t>corpcomms</w:t>
            </w:r>
            <w:r w:rsidR="00EF5E0D" w:rsidRPr="00794BC4">
              <w:rPr>
                <w:rFonts w:ascii="Arial" w:hAnsi="Arial" w:cs="Arial"/>
              </w:rPr>
              <w:t>@kingfisher.com</w:t>
            </w:r>
          </w:p>
        </w:tc>
      </w:tr>
      <w:tr w:rsidR="00EF5E0D" w:rsidTr="006F78D1">
        <w:tc>
          <w:tcPr>
            <w:tcW w:w="2018" w:type="pct"/>
            <w:hideMark/>
          </w:tcPr>
          <w:p w:rsidR="00EF5E0D" w:rsidRPr="00794BC4" w:rsidRDefault="00EF5E0D" w:rsidP="008356FD">
            <w:pPr>
              <w:jc w:val="left"/>
              <w:rPr>
                <w:rFonts w:ascii="Arial" w:hAnsi="Arial" w:cs="Arial"/>
              </w:rPr>
            </w:pPr>
            <w:r w:rsidRPr="00794BC4">
              <w:rPr>
                <w:rFonts w:ascii="Arial" w:hAnsi="Arial" w:cs="Arial"/>
              </w:rPr>
              <w:t>Teneo Blue Rubicon</w:t>
            </w:r>
          </w:p>
        </w:tc>
        <w:tc>
          <w:tcPr>
            <w:tcW w:w="1888" w:type="pct"/>
            <w:hideMark/>
          </w:tcPr>
          <w:p w:rsidR="00EF5E0D" w:rsidRPr="00794BC4" w:rsidRDefault="00EF5E0D">
            <w:pPr>
              <w:jc w:val="right"/>
              <w:rPr>
                <w:rFonts w:ascii="Arial" w:hAnsi="Arial" w:cs="Arial"/>
              </w:rPr>
            </w:pPr>
            <w:r w:rsidRPr="00794BC4">
              <w:rPr>
                <w:rFonts w:ascii="Arial" w:hAnsi="Arial" w:cs="Arial"/>
              </w:rPr>
              <w:t>+44 (0) 20 7260 2700</w:t>
            </w:r>
          </w:p>
          <w:p w:rsidR="00EF5E0D" w:rsidRPr="00794BC4" w:rsidRDefault="00EF5E0D">
            <w:pPr>
              <w:jc w:val="right"/>
              <w:rPr>
                <w:rFonts w:ascii="Arial" w:hAnsi="Arial" w:cs="Arial"/>
              </w:rPr>
            </w:pPr>
          </w:p>
        </w:tc>
        <w:tc>
          <w:tcPr>
            <w:tcW w:w="1095" w:type="pct"/>
          </w:tcPr>
          <w:p w:rsidR="00EF5E0D" w:rsidRPr="00794BC4" w:rsidRDefault="00EF5E0D">
            <w:pPr>
              <w:jc w:val="right"/>
              <w:rPr>
                <w:rFonts w:ascii="Arial" w:hAnsi="Arial" w:cs="Arial"/>
              </w:rPr>
            </w:pPr>
            <w:r w:rsidRPr="00794BC4">
              <w:rPr>
                <w:rFonts w:ascii="Arial" w:hAnsi="Arial" w:cs="Arial"/>
              </w:rPr>
              <w:t>Kfteam@teneobluerubicon.com</w:t>
            </w:r>
          </w:p>
        </w:tc>
      </w:tr>
    </w:tbl>
    <w:p w:rsidR="00346C2F" w:rsidRDefault="00346C2F" w:rsidP="00440B16">
      <w:pPr>
        <w:autoSpaceDE w:val="0"/>
        <w:autoSpaceDN w:val="0"/>
        <w:adjustRightInd w:val="0"/>
        <w:jc w:val="left"/>
        <w:rPr>
          <w:rFonts w:ascii="Arial" w:hAnsi="Arial" w:cs="Arial"/>
        </w:rPr>
      </w:pPr>
    </w:p>
    <w:p w:rsidR="004F1839" w:rsidRPr="00F9080F" w:rsidRDefault="00E2024A" w:rsidP="00440B16">
      <w:pPr>
        <w:autoSpaceDE w:val="0"/>
        <w:autoSpaceDN w:val="0"/>
        <w:adjustRightInd w:val="0"/>
        <w:jc w:val="left"/>
        <w:rPr>
          <w:rFonts w:ascii="Arial" w:hAnsi="Arial" w:cs="Arial"/>
        </w:rPr>
      </w:pPr>
      <w:r w:rsidRPr="00F9080F">
        <w:rPr>
          <w:rFonts w:ascii="Arial" w:hAnsi="Arial" w:cs="Arial"/>
        </w:rPr>
        <w:t xml:space="preserve">This announcement can be downloaded from </w:t>
      </w:r>
      <w:hyperlink r:id="rId8" w:history="1">
        <w:r w:rsidRPr="00F9080F">
          <w:rPr>
            <w:rStyle w:val="Hyperlink"/>
            <w:rFonts w:ascii="Arial" w:hAnsi="Arial" w:cs="Arial"/>
          </w:rPr>
          <w:t>www.kingfisher.com</w:t>
        </w:r>
      </w:hyperlink>
      <w:r w:rsidRPr="00F9080F">
        <w:rPr>
          <w:rFonts w:ascii="Arial" w:hAnsi="Arial" w:cs="Arial"/>
        </w:rPr>
        <w:t xml:space="preserve"> or viewed on the Kingfisher IR iPad App. </w:t>
      </w:r>
      <w:r w:rsidR="00BC7493" w:rsidRPr="00F9080F">
        <w:rPr>
          <w:rFonts w:ascii="Arial" w:hAnsi="Arial" w:cs="Arial"/>
        </w:rPr>
        <w:t>W</w:t>
      </w:r>
      <w:r w:rsidR="007C228C" w:rsidRPr="00F9080F">
        <w:rPr>
          <w:rFonts w:ascii="Arial" w:hAnsi="Arial" w:cs="Arial"/>
        </w:rPr>
        <w:t xml:space="preserve">e can be followed on </w:t>
      </w:r>
      <w:r w:rsidR="007A544D" w:rsidRPr="00F9080F">
        <w:rPr>
          <w:rFonts w:ascii="Arial" w:hAnsi="Arial" w:cs="Arial"/>
        </w:rPr>
        <w:t>T</w:t>
      </w:r>
      <w:r w:rsidR="007C228C" w:rsidRPr="00F9080F">
        <w:rPr>
          <w:rFonts w:ascii="Arial" w:hAnsi="Arial" w:cs="Arial"/>
        </w:rPr>
        <w:t>witter</w:t>
      </w:r>
      <w:r w:rsidR="00BC7493" w:rsidRPr="00F9080F">
        <w:rPr>
          <w:rFonts w:ascii="Arial" w:hAnsi="Arial" w:cs="Arial"/>
        </w:rPr>
        <w:t xml:space="preserve"> </w:t>
      </w:r>
      <w:r w:rsidR="007C228C" w:rsidRPr="00F9080F">
        <w:rPr>
          <w:rFonts w:ascii="Arial" w:hAnsi="Arial" w:cs="Arial"/>
        </w:rPr>
        <w:t>@kingfisherplc</w:t>
      </w:r>
      <w:r w:rsidRPr="00F9080F">
        <w:rPr>
          <w:rFonts w:ascii="Arial" w:hAnsi="Arial" w:cs="Arial"/>
        </w:rPr>
        <w:t xml:space="preserve"> with the </w:t>
      </w:r>
      <w:r w:rsidR="00F764D3" w:rsidRPr="00F9080F">
        <w:rPr>
          <w:rFonts w:ascii="Arial" w:hAnsi="Arial" w:cs="Arial"/>
        </w:rPr>
        <w:t xml:space="preserve">full </w:t>
      </w:r>
      <w:r w:rsidR="007A5E76" w:rsidRPr="00F9080F">
        <w:rPr>
          <w:rFonts w:ascii="Arial" w:hAnsi="Arial" w:cs="Arial"/>
        </w:rPr>
        <w:t xml:space="preserve">year </w:t>
      </w:r>
      <w:r w:rsidRPr="00F9080F">
        <w:rPr>
          <w:rFonts w:ascii="Arial" w:hAnsi="Arial" w:cs="Arial"/>
        </w:rPr>
        <w:t>results tag #</w:t>
      </w:r>
      <w:r w:rsidR="00F764D3" w:rsidRPr="00F9080F">
        <w:rPr>
          <w:rFonts w:ascii="Arial" w:hAnsi="Arial" w:cs="Arial"/>
        </w:rPr>
        <w:t>KGFFY</w:t>
      </w:r>
      <w:r w:rsidR="007C228C" w:rsidRPr="00F9080F">
        <w:rPr>
          <w:rFonts w:ascii="Arial" w:hAnsi="Arial" w:cs="Arial"/>
        </w:rPr>
        <w:t>.</w:t>
      </w:r>
      <w:r w:rsidRPr="00F9080F">
        <w:rPr>
          <w:rFonts w:ascii="Arial" w:hAnsi="Arial" w:cs="Arial"/>
        </w:rPr>
        <w:t xml:space="preserve"> </w:t>
      </w:r>
      <w:r w:rsidR="004F1839" w:rsidRPr="00F9080F">
        <w:rPr>
          <w:rFonts w:ascii="Arial" w:hAnsi="Arial" w:cs="Arial"/>
        </w:rPr>
        <w:t>Kingfisher American Depository Receipts are traded in the US on the OTCQX platform: (OTCQX: KGF</w:t>
      </w:r>
      <w:r w:rsidR="0040721C">
        <w:rPr>
          <w:rFonts w:ascii="Arial" w:hAnsi="Arial" w:cs="Arial"/>
        </w:rPr>
        <w:t>H</w:t>
      </w:r>
      <w:r w:rsidR="004F1839" w:rsidRPr="00F9080F">
        <w:rPr>
          <w:rFonts w:ascii="Arial" w:hAnsi="Arial" w:cs="Arial"/>
        </w:rPr>
        <w:t>Y) http://www.otcmarkets.com/stock/KGF</w:t>
      </w:r>
      <w:r w:rsidR="0040721C">
        <w:rPr>
          <w:rFonts w:ascii="Arial" w:hAnsi="Arial" w:cs="Arial"/>
        </w:rPr>
        <w:t>H</w:t>
      </w:r>
      <w:r w:rsidR="004F1839" w:rsidRPr="00F9080F">
        <w:rPr>
          <w:rFonts w:ascii="Arial" w:hAnsi="Arial" w:cs="Arial"/>
        </w:rPr>
        <w:t>Y/quote</w:t>
      </w:r>
    </w:p>
    <w:p w:rsidR="004F1839" w:rsidRPr="00F9080F" w:rsidRDefault="004F1839" w:rsidP="007C228C">
      <w:pPr>
        <w:jc w:val="left"/>
        <w:rPr>
          <w:rFonts w:ascii="Arial" w:hAnsi="Arial" w:cs="Arial"/>
        </w:rPr>
      </w:pPr>
    </w:p>
    <w:p w:rsidR="00181E03" w:rsidRPr="00F9080F" w:rsidRDefault="00E2024A" w:rsidP="007C228C">
      <w:pPr>
        <w:jc w:val="left"/>
        <w:rPr>
          <w:rFonts w:ascii="Arial" w:hAnsi="Arial" w:cs="Arial"/>
        </w:rPr>
      </w:pPr>
      <w:r w:rsidRPr="00F9080F">
        <w:rPr>
          <w:rFonts w:ascii="Arial" w:hAnsi="Arial" w:cs="Arial"/>
        </w:rPr>
        <w:t xml:space="preserve">Our next announcement will be the </w:t>
      </w:r>
      <w:r w:rsidR="00565E59" w:rsidRPr="00F9080F">
        <w:rPr>
          <w:rFonts w:ascii="Arial" w:hAnsi="Arial" w:cs="Arial"/>
        </w:rPr>
        <w:t>Q</w:t>
      </w:r>
      <w:r w:rsidR="00F764D3" w:rsidRPr="00F9080F">
        <w:rPr>
          <w:rFonts w:ascii="Arial" w:hAnsi="Arial" w:cs="Arial"/>
        </w:rPr>
        <w:t>1</w:t>
      </w:r>
      <w:r w:rsidR="00565E59" w:rsidRPr="00F9080F">
        <w:rPr>
          <w:rFonts w:ascii="Arial" w:hAnsi="Arial" w:cs="Arial"/>
        </w:rPr>
        <w:t xml:space="preserve"> </w:t>
      </w:r>
      <w:r w:rsidR="008808D8" w:rsidRPr="00F9080F">
        <w:rPr>
          <w:rFonts w:ascii="Arial" w:hAnsi="Arial" w:cs="Arial"/>
        </w:rPr>
        <w:t xml:space="preserve">trading update </w:t>
      </w:r>
      <w:r w:rsidRPr="00F9080F">
        <w:rPr>
          <w:rFonts w:ascii="Arial" w:hAnsi="Arial" w:cs="Arial"/>
        </w:rPr>
        <w:t xml:space="preserve">for </w:t>
      </w:r>
      <w:r w:rsidR="004F1839" w:rsidRPr="00F9080F">
        <w:rPr>
          <w:rFonts w:ascii="Arial" w:hAnsi="Arial" w:cs="Arial"/>
        </w:rPr>
        <w:t xml:space="preserve">the </w:t>
      </w:r>
      <w:r w:rsidRPr="00F9080F">
        <w:rPr>
          <w:rFonts w:ascii="Arial" w:hAnsi="Arial" w:cs="Arial"/>
        </w:rPr>
        <w:t>period ended</w:t>
      </w:r>
      <w:r w:rsidR="00ED7733" w:rsidRPr="00F9080F">
        <w:rPr>
          <w:rFonts w:ascii="Arial" w:hAnsi="Arial" w:cs="Arial"/>
        </w:rPr>
        <w:t xml:space="preserve"> </w:t>
      </w:r>
      <w:r w:rsidR="002F5458" w:rsidRPr="00F9080F">
        <w:rPr>
          <w:rFonts w:ascii="Arial" w:hAnsi="Arial" w:cs="Arial"/>
        </w:rPr>
        <w:t>3</w:t>
      </w:r>
      <w:r w:rsidR="00F764D3" w:rsidRPr="00F9080F">
        <w:rPr>
          <w:rFonts w:ascii="Arial" w:hAnsi="Arial" w:cs="Arial"/>
        </w:rPr>
        <w:t>0</w:t>
      </w:r>
      <w:r w:rsidR="00565E59" w:rsidRPr="00F9080F">
        <w:rPr>
          <w:rFonts w:ascii="Arial" w:hAnsi="Arial" w:cs="Arial"/>
        </w:rPr>
        <w:t xml:space="preserve"> </w:t>
      </w:r>
      <w:r w:rsidR="00F764D3" w:rsidRPr="00F9080F">
        <w:rPr>
          <w:rFonts w:ascii="Arial" w:hAnsi="Arial" w:cs="Arial"/>
        </w:rPr>
        <w:t xml:space="preserve">April 2017 </w:t>
      </w:r>
      <w:r w:rsidRPr="00F9080F">
        <w:rPr>
          <w:rFonts w:ascii="Arial" w:hAnsi="Arial" w:cs="Arial"/>
        </w:rPr>
        <w:t xml:space="preserve">on </w:t>
      </w:r>
      <w:r w:rsidR="002F5458" w:rsidRPr="00F9080F">
        <w:rPr>
          <w:rFonts w:ascii="Arial" w:hAnsi="Arial" w:cs="Arial"/>
        </w:rPr>
        <w:t>2</w:t>
      </w:r>
      <w:r w:rsidR="00F764D3" w:rsidRPr="00F9080F">
        <w:rPr>
          <w:rFonts w:ascii="Arial" w:hAnsi="Arial" w:cs="Arial"/>
        </w:rPr>
        <w:t>4</w:t>
      </w:r>
      <w:r w:rsidR="002F5458" w:rsidRPr="00F9080F">
        <w:rPr>
          <w:rFonts w:ascii="Arial" w:hAnsi="Arial" w:cs="Arial"/>
        </w:rPr>
        <w:t xml:space="preserve"> </w:t>
      </w:r>
      <w:r w:rsidR="00F764D3" w:rsidRPr="00F9080F">
        <w:rPr>
          <w:rFonts w:ascii="Arial" w:hAnsi="Arial" w:cs="Arial"/>
        </w:rPr>
        <w:t xml:space="preserve">May </w:t>
      </w:r>
      <w:r w:rsidRPr="00F9080F">
        <w:rPr>
          <w:rFonts w:ascii="Arial" w:hAnsi="Arial" w:cs="Arial"/>
        </w:rPr>
        <w:t>201</w:t>
      </w:r>
      <w:r w:rsidR="00F764D3" w:rsidRPr="00F9080F">
        <w:rPr>
          <w:rFonts w:ascii="Arial" w:hAnsi="Arial" w:cs="Arial"/>
        </w:rPr>
        <w:t>7</w:t>
      </w:r>
      <w:r w:rsidR="004F1839" w:rsidRPr="00F9080F">
        <w:rPr>
          <w:rFonts w:ascii="Arial" w:hAnsi="Arial" w:cs="Arial"/>
        </w:rPr>
        <w:t xml:space="preserve">. </w:t>
      </w:r>
    </w:p>
    <w:p w:rsidR="00025774" w:rsidRPr="00F9080F" w:rsidRDefault="00025774" w:rsidP="007C228C">
      <w:pPr>
        <w:jc w:val="left"/>
        <w:rPr>
          <w:rFonts w:ascii="Arial" w:hAnsi="Arial" w:cs="Arial"/>
        </w:rPr>
      </w:pPr>
    </w:p>
    <w:p w:rsidR="00CC45F6" w:rsidRPr="00F9080F" w:rsidRDefault="00181E03" w:rsidP="00EE1E29">
      <w:pPr>
        <w:jc w:val="left"/>
        <w:rPr>
          <w:rFonts w:ascii="Arial" w:hAnsi="Arial" w:cs="Arial"/>
        </w:rPr>
      </w:pPr>
      <w:r w:rsidRPr="00F9080F">
        <w:rPr>
          <w:rFonts w:ascii="Arial" w:hAnsi="Arial" w:cs="Arial"/>
        </w:rPr>
        <w:t xml:space="preserve">The remainder of this release </w:t>
      </w:r>
      <w:r w:rsidR="009B6367" w:rsidRPr="00F9080F">
        <w:rPr>
          <w:rFonts w:ascii="Arial" w:hAnsi="Arial" w:cs="Arial"/>
        </w:rPr>
        <w:t xml:space="preserve">is broken down into </w:t>
      </w:r>
      <w:r w:rsidR="004F4BB9" w:rsidRPr="00F9080F">
        <w:rPr>
          <w:rFonts w:ascii="Arial" w:hAnsi="Arial" w:cs="Arial"/>
        </w:rPr>
        <w:t xml:space="preserve">six </w:t>
      </w:r>
      <w:r w:rsidRPr="00F9080F">
        <w:rPr>
          <w:rFonts w:ascii="Arial" w:hAnsi="Arial" w:cs="Arial"/>
        </w:rPr>
        <w:t>main sections:</w:t>
      </w:r>
    </w:p>
    <w:p w:rsidR="00C34F2D" w:rsidRPr="00F9080F" w:rsidRDefault="00317387" w:rsidP="004B173A">
      <w:pPr>
        <w:numPr>
          <w:ilvl w:val="0"/>
          <w:numId w:val="1"/>
        </w:numPr>
        <w:ind w:left="360"/>
        <w:jc w:val="left"/>
        <w:rPr>
          <w:rFonts w:ascii="Arial" w:hAnsi="Arial" w:cs="Arial"/>
        </w:rPr>
      </w:pPr>
      <w:r w:rsidRPr="00F9080F">
        <w:rPr>
          <w:rFonts w:ascii="Arial" w:hAnsi="Arial" w:cs="Arial"/>
        </w:rPr>
        <w:t>ONE Kingfisher</w:t>
      </w:r>
      <w:r w:rsidR="007D43ED" w:rsidRPr="00F9080F">
        <w:rPr>
          <w:rFonts w:ascii="Arial" w:hAnsi="Arial" w:cs="Arial"/>
        </w:rPr>
        <w:t xml:space="preserve"> update</w:t>
      </w:r>
      <w:r w:rsidR="004F1839" w:rsidRPr="00F9080F">
        <w:rPr>
          <w:rFonts w:ascii="Arial" w:hAnsi="Arial" w:cs="Arial"/>
        </w:rPr>
        <w:t xml:space="preserve"> </w:t>
      </w:r>
    </w:p>
    <w:p w:rsidR="003E3617" w:rsidRPr="00F9080F" w:rsidRDefault="0058650E" w:rsidP="004B173A">
      <w:pPr>
        <w:numPr>
          <w:ilvl w:val="0"/>
          <w:numId w:val="1"/>
        </w:numPr>
        <w:ind w:left="360"/>
        <w:jc w:val="left"/>
        <w:rPr>
          <w:rFonts w:ascii="Arial" w:hAnsi="Arial" w:cs="Arial"/>
        </w:rPr>
      </w:pPr>
      <w:r w:rsidRPr="00F9080F">
        <w:rPr>
          <w:rFonts w:ascii="Arial" w:hAnsi="Arial" w:cs="Arial"/>
        </w:rPr>
        <w:t>Trading</w:t>
      </w:r>
      <w:r w:rsidR="007B306A" w:rsidRPr="00F9080F">
        <w:rPr>
          <w:rFonts w:ascii="Arial" w:hAnsi="Arial" w:cs="Arial"/>
        </w:rPr>
        <w:t xml:space="preserve"> rev</w:t>
      </w:r>
      <w:r w:rsidR="003E3617" w:rsidRPr="00F9080F">
        <w:rPr>
          <w:rFonts w:ascii="Arial" w:hAnsi="Arial" w:cs="Arial"/>
        </w:rPr>
        <w:t xml:space="preserve">iew by </w:t>
      </w:r>
      <w:r w:rsidR="00130A12" w:rsidRPr="00F9080F">
        <w:rPr>
          <w:rFonts w:ascii="Arial" w:hAnsi="Arial" w:cs="Arial"/>
        </w:rPr>
        <w:t>division</w:t>
      </w:r>
    </w:p>
    <w:p w:rsidR="0030578B" w:rsidRPr="00F9080F" w:rsidRDefault="0030578B" w:rsidP="0030578B">
      <w:pPr>
        <w:numPr>
          <w:ilvl w:val="0"/>
          <w:numId w:val="1"/>
        </w:numPr>
        <w:ind w:left="360"/>
        <w:jc w:val="left"/>
        <w:rPr>
          <w:rFonts w:ascii="Arial" w:hAnsi="Arial" w:cs="Arial"/>
        </w:rPr>
      </w:pPr>
      <w:r w:rsidRPr="00F9080F">
        <w:rPr>
          <w:rFonts w:ascii="Arial" w:hAnsi="Arial" w:cs="Arial"/>
        </w:rPr>
        <w:t>FY 201</w:t>
      </w:r>
      <w:r w:rsidR="004F1839" w:rsidRPr="00F9080F">
        <w:rPr>
          <w:rFonts w:ascii="Arial" w:hAnsi="Arial" w:cs="Arial"/>
        </w:rPr>
        <w:t>7</w:t>
      </w:r>
      <w:r w:rsidR="00F764D3" w:rsidRPr="00F9080F">
        <w:rPr>
          <w:rFonts w:ascii="Arial" w:hAnsi="Arial" w:cs="Arial"/>
        </w:rPr>
        <w:t>/18</w:t>
      </w:r>
      <w:r w:rsidRPr="00F9080F">
        <w:rPr>
          <w:rFonts w:ascii="Arial" w:hAnsi="Arial" w:cs="Arial"/>
        </w:rPr>
        <w:t xml:space="preserve"> Technical guidance</w:t>
      </w:r>
    </w:p>
    <w:p w:rsidR="003A35D2" w:rsidRPr="00F9080F" w:rsidRDefault="00F764D3" w:rsidP="004B173A">
      <w:pPr>
        <w:numPr>
          <w:ilvl w:val="0"/>
          <w:numId w:val="1"/>
        </w:numPr>
        <w:ind w:left="360"/>
        <w:jc w:val="left"/>
        <w:rPr>
          <w:rFonts w:ascii="Arial" w:hAnsi="Arial" w:cs="Arial"/>
          <w:b/>
          <w:bCs/>
        </w:rPr>
      </w:pPr>
      <w:r w:rsidRPr="00F9080F">
        <w:rPr>
          <w:rFonts w:ascii="Arial" w:hAnsi="Arial" w:cs="Arial"/>
        </w:rPr>
        <w:t>F</w:t>
      </w:r>
      <w:r w:rsidR="00931630" w:rsidRPr="00F9080F">
        <w:rPr>
          <w:rFonts w:ascii="Arial" w:hAnsi="Arial" w:cs="Arial"/>
        </w:rPr>
        <w:t xml:space="preserve">Y </w:t>
      </w:r>
      <w:r w:rsidR="006B02CB" w:rsidRPr="00F9080F">
        <w:rPr>
          <w:rFonts w:ascii="Arial" w:hAnsi="Arial" w:cs="Arial"/>
        </w:rPr>
        <w:t>2016</w:t>
      </w:r>
      <w:r w:rsidR="00931630" w:rsidRPr="00F9080F">
        <w:rPr>
          <w:rFonts w:ascii="Arial" w:hAnsi="Arial" w:cs="Arial"/>
        </w:rPr>
        <w:t>/17</w:t>
      </w:r>
      <w:r w:rsidR="006B02CB" w:rsidRPr="00F9080F">
        <w:rPr>
          <w:rFonts w:ascii="Arial" w:hAnsi="Arial" w:cs="Arial"/>
        </w:rPr>
        <w:t xml:space="preserve"> </w:t>
      </w:r>
      <w:r w:rsidR="003A35D2" w:rsidRPr="00F9080F">
        <w:rPr>
          <w:rFonts w:ascii="Arial" w:hAnsi="Arial" w:cs="Arial"/>
        </w:rPr>
        <w:t xml:space="preserve">Financial </w:t>
      </w:r>
      <w:r w:rsidR="007341CC" w:rsidRPr="00F9080F">
        <w:rPr>
          <w:rFonts w:ascii="Arial" w:hAnsi="Arial" w:cs="Arial"/>
        </w:rPr>
        <w:t>r</w:t>
      </w:r>
      <w:r w:rsidR="003A35D2" w:rsidRPr="00F9080F">
        <w:rPr>
          <w:rFonts w:ascii="Arial" w:hAnsi="Arial" w:cs="Arial"/>
        </w:rPr>
        <w:t xml:space="preserve">eview and, in part 2 of this </w:t>
      </w:r>
      <w:r w:rsidR="0058650E" w:rsidRPr="00F9080F">
        <w:rPr>
          <w:rFonts w:ascii="Arial" w:hAnsi="Arial" w:cs="Arial"/>
        </w:rPr>
        <w:t>announcement</w:t>
      </w:r>
      <w:r w:rsidR="003A35D2" w:rsidRPr="00F9080F">
        <w:rPr>
          <w:rFonts w:ascii="Arial" w:hAnsi="Arial" w:cs="Arial"/>
        </w:rPr>
        <w:t>, the</w:t>
      </w:r>
      <w:r w:rsidR="007D43ED" w:rsidRPr="00F9080F">
        <w:rPr>
          <w:rFonts w:ascii="Arial" w:hAnsi="Arial" w:cs="Arial"/>
        </w:rPr>
        <w:t xml:space="preserve"> </w:t>
      </w:r>
      <w:r w:rsidRPr="00F9080F">
        <w:rPr>
          <w:rFonts w:ascii="Arial" w:hAnsi="Arial" w:cs="Arial"/>
        </w:rPr>
        <w:t xml:space="preserve">full </w:t>
      </w:r>
      <w:r w:rsidR="007A5E76" w:rsidRPr="00F9080F">
        <w:rPr>
          <w:rFonts w:ascii="Arial" w:hAnsi="Arial" w:cs="Arial"/>
        </w:rPr>
        <w:t xml:space="preserve">year </w:t>
      </w:r>
      <w:r w:rsidR="003A35D2" w:rsidRPr="00F9080F">
        <w:rPr>
          <w:rFonts w:ascii="Arial" w:hAnsi="Arial" w:cs="Arial"/>
        </w:rPr>
        <w:t>Financial Statements</w:t>
      </w:r>
    </w:p>
    <w:p w:rsidR="008B440F" w:rsidRPr="00F9080F" w:rsidRDefault="008B440F" w:rsidP="0047127B">
      <w:pPr>
        <w:numPr>
          <w:ilvl w:val="0"/>
          <w:numId w:val="1"/>
        </w:numPr>
        <w:ind w:left="360"/>
        <w:jc w:val="left"/>
        <w:rPr>
          <w:rFonts w:ascii="Arial" w:hAnsi="Arial" w:cs="Arial"/>
        </w:rPr>
      </w:pPr>
      <w:r w:rsidRPr="00F9080F">
        <w:rPr>
          <w:rFonts w:ascii="Arial" w:hAnsi="Arial" w:cs="Arial"/>
        </w:rPr>
        <w:t>Glossary</w:t>
      </w:r>
    </w:p>
    <w:p w:rsidR="00BF0805" w:rsidRPr="00F9080F" w:rsidRDefault="00F865E8" w:rsidP="0047127B">
      <w:pPr>
        <w:numPr>
          <w:ilvl w:val="0"/>
          <w:numId w:val="1"/>
        </w:numPr>
        <w:ind w:left="360"/>
        <w:jc w:val="left"/>
        <w:rPr>
          <w:rFonts w:ascii="Arial" w:hAnsi="Arial" w:cs="Arial"/>
          <w:b/>
        </w:rPr>
      </w:pPr>
      <w:r w:rsidRPr="00F9080F">
        <w:rPr>
          <w:rFonts w:ascii="Arial" w:hAnsi="Arial" w:cs="Arial"/>
        </w:rPr>
        <w:t>Forward-looking statements</w:t>
      </w:r>
    </w:p>
    <w:p w:rsidR="00DA4C33" w:rsidRDefault="00DA4C33" w:rsidP="003E3617">
      <w:pPr>
        <w:jc w:val="left"/>
        <w:rPr>
          <w:rFonts w:ascii="Arial" w:hAnsi="Arial" w:cs="Arial"/>
          <w:b/>
          <w:sz w:val="24"/>
          <w:szCs w:val="24"/>
        </w:rPr>
      </w:pPr>
    </w:p>
    <w:p w:rsidR="008C7FE9" w:rsidRDefault="008C7FE9" w:rsidP="003E3617">
      <w:pPr>
        <w:jc w:val="left"/>
        <w:rPr>
          <w:rFonts w:ascii="Arial" w:hAnsi="Arial" w:cs="Arial"/>
          <w:b/>
          <w:sz w:val="24"/>
          <w:szCs w:val="24"/>
        </w:rPr>
      </w:pPr>
    </w:p>
    <w:p w:rsidR="005411E7" w:rsidRDefault="005411E7">
      <w:pPr>
        <w:jc w:val="left"/>
        <w:rPr>
          <w:rFonts w:ascii="Arial" w:hAnsi="Arial" w:cs="Arial"/>
          <w:b/>
          <w:sz w:val="24"/>
          <w:szCs w:val="24"/>
        </w:rPr>
      </w:pPr>
      <w:r>
        <w:rPr>
          <w:rFonts w:ascii="Arial" w:hAnsi="Arial" w:cs="Arial"/>
          <w:b/>
          <w:sz w:val="24"/>
          <w:szCs w:val="24"/>
        </w:rPr>
        <w:br w:type="page"/>
      </w:r>
    </w:p>
    <w:p w:rsidR="003E3617" w:rsidRPr="00A845B7" w:rsidRDefault="003E3617" w:rsidP="003E3617">
      <w:pPr>
        <w:jc w:val="left"/>
        <w:rPr>
          <w:rFonts w:ascii="Arial" w:hAnsi="Arial" w:cs="Arial"/>
          <w:b/>
        </w:rPr>
      </w:pPr>
      <w:r w:rsidRPr="00A845B7">
        <w:rPr>
          <w:rFonts w:ascii="Arial" w:hAnsi="Arial" w:cs="Arial"/>
          <w:b/>
        </w:rPr>
        <w:lastRenderedPageBreak/>
        <w:t>Section 1</w:t>
      </w:r>
      <w:r w:rsidR="00376255" w:rsidRPr="00A845B7">
        <w:rPr>
          <w:rFonts w:ascii="Arial" w:hAnsi="Arial" w:cs="Arial"/>
          <w:b/>
        </w:rPr>
        <w:t xml:space="preserve">: </w:t>
      </w:r>
      <w:r w:rsidR="00D7499F" w:rsidRPr="00A845B7">
        <w:rPr>
          <w:rFonts w:ascii="Arial" w:hAnsi="Arial" w:cs="Arial"/>
          <w:b/>
        </w:rPr>
        <w:t xml:space="preserve">ONE Kingfisher </w:t>
      </w:r>
      <w:r w:rsidR="007D43ED" w:rsidRPr="00A845B7">
        <w:rPr>
          <w:rFonts w:ascii="Arial" w:hAnsi="Arial" w:cs="Arial"/>
          <w:b/>
        </w:rPr>
        <w:t xml:space="preserve">update </w:t>
      </w:r>
    </w:p>
    <w:p w:rsidR="00593A8E" w:rsidRPr="00A845B7" w:rsidRDefault="00593A8E" w:rsidP="006C2C39">
      <w:pPr>
        <w:jc w:val="left"/>
      </w:pPr>
    </w:p>
    <w:p w:rsidR="009226A6" w:rsidRPr="00F9080F" w:rsidRDefault="0039782F" w:rsidP="00925EFB">
      <w:pPr>
        <w:jc w:val="left"/>
        <w:rPr>
          <w:rFonts w:ascii="Arial" w:hAnsi="Arial" w:cs="Arial"/>
        </w:rPr>
      </w:pPr>
      <w:r w:rsidRPr="00F9080F">
        <w:rPr>
          <w:rFonts w:ascii="Arial" w:hAnsi="Arial" w:cs="Arial"/>
        </w:rPr>
        <w:t xml:space="preserve">The ONE Kingfisher </w:t>
      </w:r>
      <w:r w:rsidR="00847F4B" w:rsidRPr="00F9080F">
        <w:rPr>
          <w:rFonts w:ascii="Arial" w:hAnsi="Arial" w:cs="Arial"/>
        </w:rPr>
        <w:t xml:space="preserve">five year </w:t>
      </w:r>
      <w:r w:rsidRPr="00F9080F">
        <w:rPr>
          <w:rFonts w:ascii="Arial" w:hAnsi="Arial" w:cs="Arial"/>
        </w:rPr>
        <w:t>plan</w:t>
      </w:r>
      <w:r w:rsidR="00847F4B" w:rsidRPr="00F9080F">
        <w:rPr>
          <w:rFonts w:ascii="Arial" w:hAnsi="Arial" w:cs="Arial"/>
        </w:rPr>
        <w:t xml:space="preserve">, </w:t>
      </w:r>
      <w:r w:rsidR="00A80137" w:rsidRPr="00F9080F">
        <w:rPr>
          <w:rFonts w:ascii="Arial" w:hAnsi="Arial" w:cs="Arial"/>
        </w:rPr>
        <w:t xml:space="preserve">which </w:t>
      </w:r>
      <w:r w:rsidR="00847F4B" w:rsidRPr="00F9080F">
        <w:rPr>
          <w:rFonts w:ascii="Arial" w:hAnsi="Arial" w:cs="Arial"/>
        </w:rPr>
        <w:t>start</w:t>
      </w:r>
      <w:r w:rsidR="00A80137" w:rsidRPr="00F9080F">
        <w:rPr>
          <w:rFonts w:ascii="Arial" w:hAnsi="Arial" w:cs="Arial"/>
        </w:rPr>
        <w:t xml:space="preserve">ed </w:t>
      </w:r>
      <w:r w:rsidR="00B02A8C">
        <w:rPr>
          <w:rFonts w:ascii="Arial" w:hAnsi="Arial" w:cs="Arial"/>
        </w:rPr>
        <w:t xml:space="preserve">in </w:t>
      </w:r>
      <w:r w:rsidR="00847F4B" w:rsidRPr="00F9080F">
        <w:rPr>
          <w:rFonts w:ascii="Arial" w:hAnsi="Arial" w:cs="Arial"/>
        </w:rPr>
        <w:t>FY 2016/17</w:t>
      </w:r>
      <w:r w:rsidR="00A80137" w:rsidRPr="00F9080F">
        <w:rPr>
          <w:rFonts w:ascii="Arial" w:hAnsi="Arial" w:cs="Arial"/>
        </w:rPr>
        <w:t xml:space="preserve">, </w:t>
      </w:r>
      <w:r w:rsidR="00847F4B" w:rsidRPr="00F9080F">
        <w:rPr>
          <w:rFonts w:ascii="Arial" w:hAnsi="Arial" w:cs="Arial"/>
        </w:rPr>
        <w:t xml:space="preserve">will </w:t>
      </w:r>
      <w:r w:rsidRPr="00F9080F">
        <w:rPr>
          <w:rFonts w:ascii="Arial" w:hAnsi="Arial" w:cs="Arial"/>
        </w:rPr>
        <w:t xml:space="preserve">leverage the scale of the business by creating a unified company, where customer needs always come first. </w:t>
      </w:r>
    </w:p>
    <w:p w:rsidR="00A77D26" w:rsidRPr="00F9080F" w:rsidRDefault="00A77D26" w:rsidP="00566696">
      <w:pPr>
        <w:jc w:val="left"/>
        <w:rPr>
          <w:rFonts w:ascii="Arial" w:hAnsi="Arial" w:cs="Arial"/>
        </w:rPr>
      </w:pPr>
    </w:p>
    <w:p w:rsidR="00566696" w:rsidRPr="00F9080F" w:rsidRDefault="00A77D26" w:rsidP="00566696">
      <w:pPr>
        <w:jc w:val="left"/>
        <w:rPr>
          <w:rFonts w:ascii="Arial" w:hAnsi="Arial" w:cs="Arial"/>
          <w:highlight w:val="yellow"/>
        </w:rPr>
      </w:pPr>
      <w:r w:rsidRPr="00F9080F">
        <w:rPr>
          <w:rFonts w:ascii="Arial" w:hAnsi="Arial" w:cs="Arial"/>
        </w:rPr>
        <w:t xml:space="preserve">Our intention is that this </w:t>
      </w:r>
      <w:r w:rsidR="009226A6" w:rsidRPr="00F9080F">
        <w:rPr>
          <w:rFonts w:ascii="Arial" w:hAnsi="Arial" w:cs="Arial"/>
        </w:rPr>
        <w:t xml:space="preserve">five year transformation plan </w:t>
      </w:r>
      <w:r w:rsidRPr="00F9080F">
        <w:rPr>
          <w:rFonts w:ascii="Arial" w:hAnsi="Arial" w:cs="Arial"/>
        </w:rPr>
        <w:t>will</w:t>
      </w:r>
      <w:r w:rsidR="0075695B" w:rsidRPr="00F9080F">
        <w:rPr>
          <w:rFonts w:ascii="Arial" w:hAnsi="Arial" w:cs="Arial"/>
        </w:rPr>
        <w:t xml:space="preserve"> deliver </w:t>
      </w:r>
      <w:r w:rsidR="00012C99" w:rsidRPr="00F9080F">
        <w:rPr>
          <w:rFonts w:ascii="Arial" w:hAnsi="Arial" w:cs="Arial"/>
        </w:rPr>
        <w:t xml:space="preserve">a </w:t>
      </w:r>
      <w:r w:rsidR="0075695B" w:rsidRPr="00F9080F">
        <w:rPr>
          <w:rFonts w:ascii="Arial" w:hAnsi="Arial" w:cs="Arial"/>
        </w:rPr>
        <w:t>£500m</w:t>
      </w:r>
      <w:r w:rsidR="0075695B" w:rsidRPr="00F9080F">
        <w:rPr>
          <w:rFonts w:ascii="Arial" w:hAnsi="Arial" w:cs="Arial"/>
          <w:b/>
        </w:rPr>
        <w:t xml:space="preserve"> </w:t>
      </w:r>
      <w:r w:rsidR="0075695B" w:rsidRPr="00F9080F">
        <w:rPr>
          <w:rFonts w:ascii="Arial" w:hAnsi="Arial" w:cs="Arial"/>
        </w:rPr>
        <w:t xml:space="preserve">sustainable </w:t>
      </w:r>
      <w:r w:rsidR="00A845B7">
        <w:rPr>
          <w:rFonts w:ascii="Arial" w:hAnsi="Arial" w:cs="Arial"/>
        </w:rPr>
        <w:t xml:space="preserve">annual profit uplift by </w:t>
      </w:r>
      <w:r w:rsidR="0071504B">
        <w:rPr>
          <w:rFonts w:ascii="Arial" w:hAnsi="Arial" w:cs="Arial"/>
        </w:rPr>
        <w:t xml:space="preserve">the </w:t>
      </w:r>
      <w:r w:rsidR="00A845B7">
        <w:rPr>
          <w:rFonts w:ascii="Arial" w:hAnsi="Arial" w:cs="Arial"/>
        </w:rPr>
        <w:t>end of Y</w:t>
      </w:r>
      <w:r w:rsidR="0075695B" w:rsidRPr="00F9080F">
        <w:rPr>
          <w:rFonts w:ascii="Arial" w:hAnsi="Arial" w:cs="Arial"/>
        </w:rPr>
        <w:t>ear 5</w:t>
      </w:r>
      <w:r w:rsidR="00FE784B" w:rsidRPr="00F9080F">
        <w:rPr>
          <w:rFonts w:ascii="Arial" w:hAnsi="Arial" w:cs="Arial"/>
        </w:rPr>
        <w:t>,</w:t>
      </w:r>
      <w:r w:rsidR="0075695B" w:rsidRPr="00F9080F">
        <w:rPr>
          <w:rFonts w:ascii="Arial" w:hAnsi="Arial" w:cs="Arial"/>
        </w:rPr>
        <w:t xml:space="preserve"> over and above </w:t>
      </w:r>
      <w:r w:rsidR="00AC2B0B" w:rsidRPr="00F9080F">
        <w:rPr>
          <w:rFonts w:ascii="Arial" w:hAnsi="Arial" w:cs="Arial"/>
        </w:rPr>
        <w:t>BAU</w:t>
      </w:r>
      <w:r w:rsidR="0075695B" w:rsidRPr="00F9080F">
        <w:rPr>
          <w:rFonts w:ascii="Arial" w:hAnsi="Arial" w:cs="Arial"/>
        </w:rPr>
        <w:t xml:space="preserve">. </w:t>
      </w:r>
      <w:r w:rsidRPr="00F9080F">
        <w:rPr>
          <w:rFonts w:ascii="Arial" w:hAnsi="Arial" w:cs="Arial"/>
        </w:rPr>
        <w:t>Furthermore, u</w:t>
      </w:r>
      <w:r w:rsidR="00566696" w:rsidRPr="00F9080F">
        <w:rPr>
          <w:rFonts w:ascii="Arial" w:hAnsi="Arial" w:cs="Arial"/>
        </w:rPr>
        <w:t>ntil we have unified our customer offer, we will have limited expansion, the focus of which</w:t>
      </w:r>
      <w:r w:rsidR="004752D0" w:rsidRPr="00F9080F">
        <w:rPr>
          <w:rFonts w:ascii="Arial" w:hAnsi="Arial" w:cs="Arial"/>
        </w:rPr>
        <w:t xml:space="preserve"> </w:t>
      </w:r>
      <w:r w:rsidR="00566696" w:rsidRPr="00F9080F">
        <w:rPr>
          <w:rFonts w:ascii="Arial" w:hAnsi="Arial" w:cs="Arial"/>
        </w:rPr>
        <w:t xml:space="preserve">will be Screwfix UK </w:t>
      </w:r>
      <w:r w:rsidR="00A359EE" w:rsidRPr="00F9080F">
        <w:rPr>
          <w:rFonts w:ascii="Arial" w:hAnsi="Arial" w:cs="Arial"/>
        </w:rPr>
        <w:t>and</w:t>
      </w:r>
      <w:r w:rsidR="00566696" w:rsidRPr="00F9080F">
        <w:rPr>
          <w:rFonts w:ascii="Arial" w:hAnsi="Arial" w:cs="Arial"/>
        </w:rPr>
        <w:t xml:space="preserve"> Europe</w:t>
      </w:r>
      <w:r w:rsidR="004752D0" w:rsidRPr="00F9080F">
        <w:rPr>
          <w:rFonts w:ascii="Arial" w:hAnsi="Arial" w:cs="Arial"/>
        </w:rPr>
        <w:t xml:space="preserve"> in the medium-term</w:t>
      </w:r>
      <w:r w:rsidR="00566696" w:rsidRPr="00F9080F">
        <w:rPr>
          <w:rFonts w:ascii="Arial" w:hAnsi="Arial" w:cs="Arial"/>
        </w:rPr>
        <w:t xml:space="preserve">. </w:t>
      </w:r>
      <w:r w:rsidR="009707FB" w:rsidRPr="00F9080F">
        <w:rPr>
          <w:rFonts w:ascii="Arial" w:hAnsi="Arial" w:cs="Arial"/>
        </w:rPr>
        <w:t xml:space="preserve">The total expected cash cost </w:t>
      </w:r>
      <w:r w:rsidR="000F3A45" w:rsidRPr="00F9080F">
        <w:rPr>
          <w:rFonts w:ascii="Arial" w:hAnsi="Arial" w:cs="Arial"/>
        </w:rPr>
        <w:t xml:space="preserve">of the transformation </w:t>
      </w:r>
      <w:r w:rsidR="009707FB" w:rsidRPr="00F9080F">
        <w:rPr>
          <w:rFonts w:ascii="Arial" w:hAnsi="Arial" w:cs="Arial"/>
        </w:rPr>
        <w:t>is £800m</w:t>
      </w:r>
      <w:r w:rsidR="00CD0303" w:rsidRPr="00F9080F">
        <w:rPr>
          <w:rFonts w:ascii="Arial" w:hAnsi="Arial" w:cs="Arial"/>
        </w:rPr>
        <w:t xml:space="preserve"> (P&amp;L, exceptional and capex)</w:t>
      </w:r>
      <w:r w:rsidR="009707FB" w:rsidRPr="00F9080F">
        <w:rPr>
          <w:rFonts w:ascii="Arial" w:hAnsi="Arial" w:cs="Arial"/>
        </w:rPr>
        <w:t xml:space="preserve">. </w:t>
      </w:r>
    </w:p>
    <w:p w:rsidR="00566696" w:rsidRPr="00F9080F" w:rsidRDefault="00566696">
      <w:pPr>
        <w:jc w:val="left"/>
        <w:rPr>
          <w:rFonts w:ascii="Arial" w:hAnsi="Arial" w:cs="Arial"/>
          <w:highlight w:val="yellow"/>
        </w:rPr>
      </w:pPr>
    </w:p>
    <w:p w:rsidR="004752D0" w:rsidRPr="00F9080F" w:rsidRDefault="00A77D26">
      <w:pPr>
        <w:jc w:val="left"/>
        <w:rPr>
          <w:rFonts w:ascii="Arial" w:hAnsi="Arial" w:cs="Arial"/>
        </w:rPr>
      </w:pPr>
      <w:r w:rsidRPr="00F9080F">
        <w:rPr>
          <w:rFonts w:ascii="Arial" w:hAnsi="Arial" w:cs="Arial"/>
        </w:rPr>
        <w:t>The focus of the</w:t>
      </w:r>
      <w:r w:rsidR="007A42E8" w:rsidRPr="00F9080F">
        <w:rPr>
          <w:rFonts w:ascii="Arial" w:hAnsi="Arial" w:cs="Arial"/>
        </w:rPr>
        <w:t xml:space="preserve"> </w:t>
      </w:r>
      <w:r w:rsidRPr="00F9080F">
        <w:rPr>
          <w:rFonts w:ascii="Arial" w:hAnsi="Arial" w:cs="Arial"/>
        </w:rPr>
        <w:t xml:space="preserve">transformation plan is on three key strategic pillars: </w:t>
      </w:r>
    </w:p>
    <w:p w:rsidR="004752D0" w:rsidRPr="00F9080F" w:rsidRDefault="00A77D26" w:rsidP="00AF31F4">
      <w:pPr>
        <w:pStyle w:val="ListParagraph"/>
        <w:numPr>
          <w:ilvl w:val="0"/>
          <w:numId w:val="12"/>
        </w:numPr>
        <w:jc w:val="left"/>
        <w:rPr>
          <w:rFonts w:ascii="Arial" w:hAnsi="Arial" w:cs="Arial"/>
        </w:rPr>
      </w:pPr>
      <w:r w:rsidRPr="00F9080F">
        <w:rPr>
          <w:rFonts w:ascii="Arial" w:hAnsi="Arial" w:cs="Arial"/>
        </w:rPr>
        <w:t xml:space="preserve">creating a unified, unique and leading home improvement offer; </w:t>
      </w:r>
    </w:p>
    <w:p w:rsidR="004752D0" w:rsidRPr="00F9080F" w:rsidRDefault="00A77D26" w:rsidP="00AF31F4">
      <w:pPr>
        <w:pStyle w:val="ListParagraph"/>
        <w:numPr>
          <w:ilvl w:val="0"/>
          <w:numId w:val="12"/>
        </w:numPr>
        <w:jc w:val="left"/>
        <w:rPr>
          <w:rFonts w:ascii="Arial" w:hAnsi="Arial" w:cs="Arial"/>
        </w:rPr>
      </w:pPr>
      <w:r w:rsidRPr="00F9080F">
        <w:rPr>
          <w:rFonts w:ascii="Arial" w:hAnsi="Arial" w:cs="Arial"/>
        </w:rPr>
        <w:t xml:space="preserve">driving our digital capability; and </w:t>
      </w:r>
    </w:p>
    <w:p w:rsidR="004752D0" w:rsidRPr="00F9080F" w:rsidRDefault="00A77D26" w:rsidP="00AF31F4">
      <w:pPr>
        <w:pStyle w:val="ListParagraph"/>
        <w:numPr>
          <w:ilvl w:val="0"/>
          <w:numId w:val="12"/>
        </w:numPr>
        <w:jc w:val="left"/>
        <w:rPr>
          <w:rFonts w:ascii="Arial" w:hAnsi="Arial" w:cs="Arial"/>
        </w:rPr>
      </w:pPr>
      <w:r w:rsidRPr="00F9080F">
        <w:rPr>
          <w:rFonts w:ascii="Arial" w:hAnsi="Arial" w:cs="Arial"/>
        </w:rPr>
        <w:t xml:space="preserve">optimising our operational efficiency. </w:t>
      </w:r>
    </w:p>
    <w:p w:rsidR="004752D0" w:rsidRPr="001505B3" w:rsidRDefault="004752D0" w:rsidP="000F07BB">
      <w:pPr>
        <w:jc w:val="left"/>
        <w:rPr>
          <w:rFonts w:ascii="Arial" w:hAnsi="Arial" w:cs="Arial"/>
          <w:sz w:val="24"/>
          <w:szCs w:val="24"/>
          <w:highlight w:val="yellow"/>
        </w:rPr>
      </w:pPr>
    </w:p>
    <w:p w:rsidR="002A043D" w:rsidRPr="00A845B7" w:rsidRDefault="002A043D" w:rsidP="000F07BB">
      <w:pPr>
        <w:jc w:val="left"/>
        <w:rPr>
          <w:rFonts w:ascii="Arial" w:hAnsi="Arial" w:cs="Arial"/>
          <w:b/>
        </w:rPr>
      </w:pPr>
      <w:r w:rsidRPr="00A845B7">
        <w:rPr>
          <w:rFonts w:ascii="Arial" w:hAnsi="Arial" w:cs="Arial"/>
          <w:b/>
        </w:rPr>
        <w:t>Progress against the FY 2016/17 strategic milestones:</w:t>
      </w:r>
    </w:p>
    <w:p w:rsidR="00887ECC" w:rsidRPr="001505B3" w:rsidRDefault="00887ECC" w:rsidP="009226A6">
      <w:pPr>
        <w:jc w:val="left"/>
        <w:rPr>
          <w:rFonts w:ascii="Arial" w:hAnsi="Arial" w:cs="Arial"/>
          <w:sz w:val="24"/>
          <w:szCs w:val="24"/>
          <w:highlight w:val="yellow"/>
        </w:rPr>
      </w:pPr>
    </w:p>
    <w:tbl>
      <w:tblPr>
        <w:tblStyle w:val="TableGrid"/>
        <w:tblW w:w="0" w:type="auto"/>
        <w:tblLook w:val="04A0" w:firstRow="1" w:lastRow="0" w:firstColumn="1" w:lastColumn="0" w:noHBand="0" w:noVBand="1"/>
      </w:tblPr>
      <w:tblGrid>
        <w:gridCol w:w="9631"/>
      </w:tblGrid>
      <w:tr w:rsidR="009014DF" w:rsidRPr="00F764D3" w:rsidTr="009014DF">
        <w:tc>
          <w:tcPr>
            <w:tcW w:w="9631" w:type="dxa"/>
          </w:tcPr>
          <w:p w:rsidR="009014DF" w:rsidRPr="001505B3" w:rsidRDefault="009014DF" w:rsidP="00925EFB">
            <w:pPr>
              <w:pStyle w:val="ListParagraph"/>
              <w:ind w:left="360"/>
              <w:rPr>
                <w:rFonts w:ascii="Arial" w:hAnsi="Arial" w:cs="Arial"/>
                <w:sz w:val="24"/>
                <w:szCs w:val="24"/>
                <w:highlight w:val="yellow"/>
                <w:u w:val="single"/>
              </w:rPr>
            </w:pPr>
          </w:p>
          <w:p w:rsidR="009014DF" w:rsidRPr="00A845B7" w:rsidRDefault="009014DF" w:rsidP="00AF31F4">
            <w:pPr>
              <w:pStyle w:val="ListParagraph"/>
              <w:numPr>
                <w:ilvl w:val="0"/>
                <w:numId w:val="11"/>
              </w:numPr>
              <w:ind w:left="360"/>
              <w:rPr>
                <w:rFonts w:ascii="Arial" w:hAnsi="Arial" w:cs="Arial"/>
                <w:sz w:val="22"/>
                <w:szCs w:val="22"/>
                <w:u w:val="single"/>
              </w:rPr>
            </w:pPr>
            <w:r w:rsidRPr="00A845B7">
              <w:rPr>
                <w:rFonts w:ascii="Arial" w:hAnsi="Arial" w:cs="Arial"/>
                <w:sz w:val="22"/>
                <w:szCs w:val="22"/>
                <w:u w:val="single"/>
              </w:rPr>
              <w:t xml:space="preserve">Unified, unique and leading offer </w:t>
            </w:r>
          </w:p>
          <w:p w:rsidR="009014DF" w:rsidRPr="00A97463" w:rsidRDefault="009014DF" w:rsidP="009014DF">
            <w:pPr>
              <w:jc w:val="left"/>
              <w:rPr>
                <w:rFonts w:ascii="Arial" w:hAnsi="Arial" w:cs="Arial"/>
                <w:b/>
                <w:sz w:val="24"/>
                <w:szCs w:val="24"/>
                <w:u w:val="single"/>
              </w:rPr>
            </w:pPr>
          </w:p>
          <w:p w:rsidR="009014DF" w:rsidRPr="00F9080F" w:rsidRDefault="009014DF" w:rsidP="009014DF">
            <w:pPr>
              <w:jc w:val="left"/>
              <w:rPr>
                <w:rFonts w:ascii="Arial" w:hAnsi="Arial" w:cs="Arial"/>
                <w:sz w:val="22"/>
                <w:szCs w:val="22"/>
              </w:rPr>
            </w:pPr>
            <w:r w:rsidRPr="00F9080F">
              <w:rPr>
                <w:rFonts w:ascii="Arial" w:hAnsi="Arial" w:cs="Arial"/>
                <w:sz w:val="22"/>
                <w:szCs w:val="22"/>
              </w:rPr>
              <w:t>We have started unifying ou</w:t>
            </w:r>
            <w:r w:rsidR="00C61C28">
              <w:rPr>
                <w:rFonts w:ascii="Arial" w:hAnsi="Arial" w:cs="Arial"/>
                <w:sz w:val="22"/>
                <w:szCs w:val="22"/>
              </w:rPr>
              <w:t>r offer</w:t>
            </w:r>
            <w:r w:rsidR="007135F2">
              <w:rPr>
                <w:rFonts w:ascii="Arial" w:hAnsi="Arial" w:cs="Arial"/>
                <w:sz w:val="22"/>
                <w:szCs w:val="22"/>
              </w:rPr>
              <w:t>.</w:t>
            </w:r>
            <w:r w:rsidRPr="00F9080F">
              <w:rPr>
                <w:rFonts w:ascii="Arial" w:hAnsi="Arial" w:cs="Arial"/>
                <w:sz w:val="22"/>
                <w:szCs w:val="22"/>
              </w:rPr>
              <w:t xml:space="preserve"> This will deliver significant customer benefits (</w:t>
            </w:r>
            <w:r w:rsidR="00FE784B" w:rsidRPr="00F9080F">
              <w:rPr>
                <w:rFonts w:ascii="Arial" w:hAnsi="Arial" w:cs="Arial"/>
                <w:sz w:val="22"/>
                <w:szCs w:val="22"/>
              </w:rPr>
              <w:t xml:space="preserve">newer products, higher quality, better sustainability, lower prices, </w:t>
            </w:r>
            <w:r w:rsidRPr="00F9080F">
              <w:rPr>
                <w:rFonts w:ascii="Arial" w:hAnsi="Arial" w:cs="Arial"/>
                <w:sz w:val="22"/>
                <w:szCs w:val="22"/>
              </w:rPr>
              <w:t>simpler ranges, clearer merchandising</w:t>
            </w:r>
            <w:r w:rsidR="00FE784B" w:rsidRPr="00F9080F">
              <w:rPr>
                <w:rFonts w:ascii="Arial" w:hAnsi="Arial" w:cs="Arial"/>
                <w:sz w:val="22"/>
                <w:szCs w:val="22"/>
              </w:rPr>
              <w:t xml:space="preserve"> and</w:t>
            </w:r>
            <w:r w:rsidRPr="00F9080F">
              <w:rPr>
                <w:rFonts w:ascii="Arial" w:hAnsi="Arial" w:cs="Arial"/>
                <w:sz w:val="22"/>
                <w:szCs w:val="22"/>
              </w:rPr>
              <w:t xml:space="preserve"> </w:t>
            </w:r>
            <w:r w:rsidR="00FE784B" w:rsidRPr="00F9080F">
              <w:rPr>
                <w:rFonts w:ascii="Arial" w:hAnsi="Arial" w:cs="Arial"/>
                <w:sz w:val="22"/>
                <w:szCs w:val="22"/>
              </w:rPr>
              <w:t>better packaging</w:t>
            </w:r>
            <w:r w:rsidRPr="00F9080F">
              <w:rPr>
                <w:rFonts w:ascii="Arial" w:hAnsi="Arial" w:cs="Arial"/>
                <w:sz w:val="22"/>
                <w:szCs w:val="22"/>
              </w:rPr>
              <w:t>) alongside significant business benefits (higher sales, fewer SKUs*, fewer suppliers, cost price reduction (CPR</w:t>
            </w:r>
            <w:r w:rsidR="007135F2">
              <w:rPr>
                <w:rFonts w:ascii="Arial" w:hAnsi="Arial" w:cs="Arial"/>
                <w:sz w:val="22"/>
                <w:szCs w:val="22"/>
              </w:rPr>
              <w:t>*</w:t>
            </w:r>
            <w:r w:rsidRPr="00F9080F">
              <w:rPr>
                <w:rFonts w:ascii="Arial" w:hAnsi="Arial" w:cs="Arial"/>
                <w:sz w:val="22"/>
                <w:szCs w:val="22"/>
              </w:rPr>
              <w:t xml:space="preserve">) and improved processes). </w:t>
            </w:r>
          </w:p>
          <w:p w:rsidR="009014DF" w:rsidRPr="001505B3" w:rsidRDefault="009014DF" w:rsidP="009014DF">
            <w:pPr>
              <w:jc w:val="left"/>
              <w:rPr>
                <w:rFonts w:ascii="Arial" w:hAnsi="Arial" w:cs="Arial"/>
                <w:i/>
                <w:sz w:val="24"/>
                <w:szCs w:val="24"/>
                <w:highlight w:val="yellow"/>
              </w:rPr>
            </w:pPr>
          </w:p>
          <w:p w:rsidR="009014DF" w:rsidRPr="00A845B7" w:rsidRDefault="009014DF" w:rsidP="00AF31F4">
            <w:pPr>
              <w:pStyle w:val="ListParagraph"/>
              <w:numPr>
                <w:ilvl w:val="0"/>
                <w:numId w:val="9"/>
              </w:numPr>
              <w:jc w:val="left"/>
              <w:rPr>
                <w:rFonts w:ascii="Arial" w:hAnsi="Arial" w:cs="Arial"/>
                <w:i/>
                <w:sz w:val="22"/>
                <w:szCs w:val="22"/>
              </w:rPr>
            </w:pPr>
            <w:r w:rsidRPr="00A845B7">
              <w:rPr>
                <w:rFonts w:ascii="Arial" w:hAnsi="Arial" w:cs="Arial"/>
                <w:i/>
                <w:sz w:val="22"/>
                <w:szCs w:val="22"/>
              </w:rPr>
              <w:t>Achieve 4% unified cost of goods sold</w:t>
            </w:r>
            <w:r w:rsidR="00AC2B0B" w:rsidRPr="00A845B7">
              <w:rPr>
                <w:rFonts w:ascii="Arial" w:hAnsi="Arial" w:cs="Arial"/>
                <w:i/>
                <w:sz w:val="22"/>
                <w:szCs w:val="22"/>
              </w:rPr>
              <w:t xml:space="preserve"> (COGS)</w:t>
            </w:r>
          </w:p>
          <w:p w:rsidR="00BE0412" w:rsidRPr="001505B3" w:rsidRDefault="00BE0412" w:rsidP="002E570E">
            <w:pPr>
              <w:pStyle w:val="ListParagraph"/>
              <w:jc w:val="left"/>
              <w:rPr>
                <w:rFonts w:ascii="Arial" w:hAnsi="Arial" w:cs="Arial"/>
                <w:i/>
                <w:sz w:val="24"/>
                <w:szCs w:val="24"/>
                <w:highlight w:val="yellow"/>
              </w:rPr>
            </w:pPr>
          </w:p>
          <w:p w:rsidR="008C55A2" w:rsidRPr="00F9080F" w:rsidRDefault="008C55A2" w:rsidP="009014DF">
            <w:pPr>
              <w:jc w:val="left"/>
              <w:rPr>
                <w:rFonts w:ascii="Arial" w:hAnsi="Arial" w:cs="Arial"/>
                <w:sz w:val="22"/>
                <w:szCs w:val="22"/>
              </w:rPr>
            </w:pPr>
            <w:r w:rsidRPr="00F9080F">
              <w:rPr>
                <w:rFonts w:ascii="Arial" w:hAnsi="Arial" w:cs="Arial"/>
                <w:sz w:val="22"/>
                <w:szCs w:val="22"/>
              </w:rPr>
              <w:t xml:space="preserve">We have unified </w:t>
            </w:r>
            <w:r w:rsidR="006B5C11" w:rsidRPr="00F9080F">
              <w:rPr>
                <w:rFonts w:ascii="Arial" w:hAnsi="Arial" w:cs="Arial"/>
                <w:sz w:val="22"/>
                <w:szCs w:val="22"/>
              </w:rPr>
              <w:t>4</w:t>
            </w:r>
            <w:r w:rsidR="00A80137" w:rsidRPr="00F9080F">
              <w:rPr>
                <w:rFonts w:ascii="Arial" w:hAnsi="Arial" w:cs="Arial"/>
                <w:sz w:val="22"/>
                <w:szCs w:val="22"/>
              </w:rPr>
              <w:t>% of COGS</w:t>
            </w:r>
            <w:r w:rsidRPr="00F9080F">
              <w:rPr>
                <w:rFonts w:ascii="Arial" w:hAnsi="Arial" w:cs="Arial"/>
                <w:sz w:val="22"/>
                <w:szCs w:val="22"/>
              </w:rPr>
              <w:t xml:space="preserve"> across the year</w:t>
            </w:r>
            <w:r w:rsidR="00A22442">
              <w:rPr>
                <w:rFonts w:ascii="Arial" w:hAnsi="Arial" w:cs="Arial"/>
                <w:sz w:val="22"/>
                <w:szCs w:val="22"/>
              </w:rPr>
              <w:t xml:space="preserve"> with an exit rate of 8%</w:t>
            </w:r>
            <w:r w:rsidRPr="00F9080F">
              <w:rPr>
                <w:rFonts w:ascii="Arial" w:hAnsi="Arial" w:cs="Arial"/>
                <w:sz w:val="22"/>
                <w:szCs w:val="22"/>
              </w:rPr>
              <w:t xml:space="preserve">, </w:t>
            </w:r>
            <w:r w:rsidR="00C61C28">
              <w:rPr>
                <w:rFonts w:ascii="Arial" w:hAnsi="Arial" w:cs="Arial"/>
                <w:sz w:val="22"/>
                <w:szCs w:val="22"/>
              </w:rPr>
              <w:t>including</w:t>
            </w:r>
            <w:r w:rsidRPr="00F9080F">
              <w:rPr>
                <w:rFonts w:ascii="Arial" w:hAnsi="Arial" w:cs="Arial"/>
                <w:sz w:val="22"/>
                <w:szCs w:val="22"/>
              </w:rPr>
              <w:t xml:space="preserve"> </w:t>
            </w:r>
            <w:r w:rsidR="009014DF" w:rsidRPr="00F9080F">
              <w:rPr>
                <w:rFonts w:ascii="Arial" w:hAnsi="Arial" w:cs="Arial"/>
                <w:sz w:val="22"/>
                <w:szCs w:val="22"/>
              </w:rPr>
              <w:t>air treatment, light bulbs, kitchen sinks</w:t>
            </w:r>
            <w:r w:rsidRPr="00F9080F">
              <w:rPr>
                <w:rFonts w:ascii="Arial" w:hAnsi="Arial" w:cs="Arial"/>
                <w:sz w:val="22"/>
                <w:szCs w:val="22"/>
              </w:rPr>
              <w:t xml:space="preserve"> and ladders. </w:t>
            </w:r>
            <w:r w:rsidR="0040721C">
              <w:rPr>
                <w:rFonts w:ascii="Arial" w:hAnsi="Arial" w:cs="Arial"/>
                <w:sz w:val="22"/>
                <w:szCs w:val="22"/>
              </w:rPr>
              <w:t>S</w:t>
            </w:r>
            <w:r w:rsidRPr="00F9080F">
              <w:rPr>
                <w:rFonts w:ascii="Arial" w:hAnsi="Arial" w:cs="Arial"/>
                <w:sz w:val="22"/>
                <w:szCs w:val="22"/>
              </w:rPr>
              <w:t>ales</w:t>
            </w:r>
            <w:r w:rsidR="0040721C">
              <w:rPr>
                <w:rFonts w:ascii="Arial" w:hAnsi="Arial" w:cs="Arial"/>
                <w:sz w:val="22"/>
                <w:szCs w:val="22"/>
              </w:rPr>
              <w:t xml:space="preserve"> excluding clearance</w:t>
            </w:r>
            <w:r w:rsidRPr="00F9080F">
              <w:rPr>
                <w:rFonts w:ascii="Arial" w:hAnsi="Arial" w:cs="Arial"/>
                <w:sz w:val="22"/>
                <w:szCs w:val="22"/>
              </w:rPr>
              <w:t xml:space="preserve"> </w:t>
            </w:r>
            <w:r w:rsidR="00B02A8C">
              <w:rPr>
                <w:rFonts w:ascii="Arial" w:hAnsi="Arial" w:cs="Arial"/>
                <w:sz w:val="22"/>
                <w:szCs w:val="22"/>
              </w:rPr>
              <w:t xml:space="preserve">on those ranges </w:t>
            </w:r>
            <w:r w:rsidRPr="00F9080F">
              <w:rPr>
                <w:rFonts w:ascii="Arial" w:hAnsi="Arial" w:cs="Arial"/>
                <w:sz w:val="22"/>
                <w:szCs w:val="22"/>
              </w:rPr>
              <w:t>were slightly ahead of last year with cost of change and CPR delivering in line with expectations. On these ranges</w:t>
            </w:r>
            <w:r w:rsidR="00C61C28">
              <w:rPr>
                <w:rFonts w:ascii="Arial" w:hAnsi="Arial" w:cs="Arial"/>
                <w:sz w:val="22"/>
                <w:szCs w:val="22"/>
              </w:rPr>
              <w:t xml:space="preserve"> we have reduced the total</w:t>
            </w:r>
            <w:r w:rsidR="000F376D" w:rsidRPr="00F9080F">
              <w:rPr>
                <w:rFonts w:ascii="Arial" w:hAnsi="Arial" w:cs="Arial"/>
                <w:sz w:val="22"/>
                <w:szCs w:val="22"/>
              </w:rPr>
              <w:t xml:space="preserve"> </w:t>
            </w:r>
            <w:r w:rsidRPr="00F9080F">
              <w:rPr>
                <w:rFonts w:ascii="Arial" w:hAnsi="Arial" w:cs="Arial"/>
                <w:sz w:val="22"/>
                <w:szCs w:val="22"/>
              </w:rPr>
              <w:t xml:space="preserve">number of SKUs </w:t>
            </w:r>
            <w:r w:rsidR="000F376D" w:rsidRPr="00F9080F">
              <w:rPr>
                <w:rFonts w:ascii="Arial" w:hAnsi="Arial" w:cs="Arial"/>
                <w:sz w:val="22"/>
                <w:szCs w:val="22"/>
              </w:rPr>
              <w:t xml:space="preserve">across the company from c.28,000 to c.7,000, </w:t>
            </w:r>
            <w:r w:rsidR="00C61C28">
              <w:rPr>
                <w:rFonts w:ascii="Arial" w:hAnsi="Arial" w:cs="Arial"/>
                <w:sz w:val="22"/>
                <w:szCs w:val="22"/>
              </w:rPr>
              <w:t xml:space="preserve">without impacting </w:t>
            </w:r>
            <w:r w:rsidR="000F376D" w:rsidRPr="00F9080F">
              <w:rPr>
                <w:rFonts w:ascii="Arial" w:hAnsi="Arial" w:cs="Arial"/>
                <w:sz w:val="22"/>
                <w:szCs w:val="22"/>
              </w:rPr>
              <w:t>the choice on offer to customers in each country</w:t>
            </w:r>
            <w:r w:rsidR="00C61C28">
              <w:rPr>
                <w:rFonts w:ascii="Arial" w:hAnsi="Arial" w:cs="Arial"/>
                <w:sz w:val="22"/>
                <w:szCs w:val="22"/>
              </w:rPr>
              <w:t>.</w:t>
            </w:r>
            <w:r w:rsidR="000F376D" w:rsidRPr="00F9080F">
              <w:rPr>
                <w:rFonts w:ascii="Arial" w:hAnsi="Arial" w:cs="Arial"/>
                <w:sz w:val="22"/>
                <w:szCs w:val="22"/>
              </w:rPr>
              <w:t xml:space="preserve"> </w:t>
            </w:r>
            <w:r w:rsidR="004F00F9" w:rsidRPr="00F9080F">
              <w:rPr>
                <w:rFonts w:ascii="Arial" w:hAnsi="Arial" w:cs="Arial"/>
                <w:sz w:val="22"/>
                <w:szCs w:val="22"/>
              </w:rPr>
              <w:t>T</w:t>
            </w:r>
            <w:r w:rsidR="000F376D" w:rsidRPr="00F9080F">
              <w:rPr>
                <w:rFonts w:ascii="Arial" w:hAnsi="Arial" w:cs="Arial"/>
                <w:sz w:val="22"/>
                <w:szCs w:val="22"/>
              </w:rPr>
              <w:t>he number of suppliers o</w:t>
            </w:r>
            <w:r w:rsidR="000835E6">
              <w:rPr>
                <w:rFonts w:ascii="Arial" w:hAnsi="Arial" w:cs="Arial"/>
                <w:sz w:val="22"/>
                <w:szCs w:val="22"/>
              </w:rPr>
              <w:t>f</w:t>
            </w:r>
            <w:r w:rsidR="000F376D" w:rsidRPr="00F9080F">
              <w:rPr>
                <w:rFonts w:ascii="Arial" w:hAnsi="Arial" w:cs="Arial"/>
                <w:sz w:val="22"/>
                <w:szCs w:val="22"/>
              </w:rPr>
              <w:t xml:space="preserve"> these ranges has reduced from </w:t>
            </w:r>
            <w:r w:rsidRPr="00F9080F">
              <w:rPr>
                <w:rFonts w:ascii="Arial" w:hAnsi="Arial" w:cs="Arial"/>
                <w:sz w:val="22"/>
                <w:szCs w:val="22"/>
              </w:rPr>
              <w:t xml:space="preserve">840 to 130. </w:t>
            </w:r>
          </w:p>
          <w:p w:rsidR="008C55A2" w:rsidRPr="00F9080F" w:rsidRDefault="008C55A2" w:rsidP="009014DF">
            <w:pPr>
              <w:jc w:val="left"/>
              <w:rPr>
                <w:rFonts w:ascii="Arial" w:hAnsi="Arial" w:cs="Arial"/>
                <w:sz w:val="22"/>
                <w:szCs w:val="22"/>
              </w:rPr>
            </w:pPr>
          </w:p>
          <w:p w:rsidR="009014DF" w:rsidRPr="00F9080F" w:rsidRDefault="008C55A2" w:rsidP="009014DF">
            <w:pPr>
              <w:jc w:val="left"/>
              <w:rPr>
                <w:rFonts w:ascii="Arial" w:hAnsi="Arial" w:cs="Arial"/>
                <w:sz w:val="22"/>
                <w:szCs w:val="22"/>
                <w:highlight w:val="yellow"/>
              </w:rPr>
            </w:pPr>
            <w:r w:rsidRPr="00F9080F">
              <w:rPr>
                <w:rFonts w:ascii="Arial" w:hAnsi="Arial" w:cs="Arial"/>
                <w:sz w:val="22"/>
                <w:szCs w:val="22"/>
              </w:rPr>
              <w:t xml:space="preserve">In addition, having undertaken in-depth studies of customer needs </w:t>
            </w:r>
            <w:r w:rsidR="000835E6">
              <w:rPr>
                <w:rFonts w:ascii="Arial" w:hAnsi="Arial" w:cs="Arial"/>
                <w:sz w:val="22"/>
                <w:szCs w:val="22"/>
              </w:rPr>
              <w:t>for</w:t>
            </w:r>
            <w:r w:rsidRPr="00F9080F">
              <w:rPr>
                <w:rFonts w:ascii="Arial" w:hAnsi="Arial" w:cs="Arial"/>
                <w:sz w:val="22"/>
                <w:szCs w:val="22"/>
              </w:rPr>
              <w:t xml:space="preserve"> outdoor and bathroom ranges, we are starting to land our first unique ranges</w:t>
            </w:r>
            <w:r w:rsidR="004016BE" w:rsidRPr="00F9080F">
              <w:rPr>
                <w:rFonts w:ascii="Arial" w:hAnsi="Arial" w:cs="Arial"/>
                <w:sz w:val="22"/>
                <w:szCs w:val="22"/>
              </w:rPr>
              <w:t xml:space="preserve"> to Kingfisher</w:t>
            </w:r>
            <w:r w:rsidRPr="00F9080F">
              <w:rPr>
                <w:rFonts w:ascii="Arial" w:hAnsi="Arial" w:cs="Arial"/>
                <w:sz w:val="22"/>
                <w:szCs w:val="22"/>
              </w:rPr>
              <w:t xml:space="preserve">. These comprise </w:t>
            </w:r>
            <w:r w:rsidR="004016BE" w:rsidRPr="00F9080F">
              <w:rPr>
                <w:rFonts w:ascii="Arial" w:hAnsi="Arial" w:cs="Arial"/>
                <w:sz w:val="22"/>
                <w:szCs w:val="22"/>
              </w:rPr>
              <w:t xml:space="preserve">features such as slim </w:t>
            </w:r>
            <w:r w:rsidRPr="00F9080F">
              <w:rPr>
                <w:rFonts w:ascii="Arial" w:hAnsi="Arial" w:cs="Arial"/>
                <w:sz w:val="22"/>
                <w:szCs w:val="22"/>
              </w:rPr>
              <w:t xml:space="preserve">bathroom storage </w:t>
            </w:r>
            <w:r w:rsidR="004016BE" w:rsidRPr="00F9080F">
              <w:rPr>
                <w:rFonts w:ascii="Arial" w:hAnsi="Arial" w:cs="Arial"/>
                <w:sz w:val="22"/>
                <w:szCs w:val="22"/>
              </w:rPr>
              <w:t>solutions</w:t>
            </w:r>
            <w:r w:rsidR="000835E6">
              <w:rPr>
                <w:rFonts w:ascii="Arial" w:hAnsi="Arial" w:cs="Arial"/>
                <w:sz w:val="22"/>
                <w:szCs w:val="22"/>
              </w:rPr>
              <w:t xml:space="preserve"> which</w:t>
            </w:r>
            <w:r w:rsidR="004016BE" w:rsidRPr="00F9080F">
              <w:rPr>
                <w:rFonts w:ascii="Arial" w:hAnsi="Arial" w:cs="Arial"/>
                <w:sz w:val="22"/>
                <w:szCs w:val="22"/>
              </w:rPr>
              <w:t xml:space="preserve"> mak</w:t>
            </w:r>
            <w:r w:rsidR="000835E6">
              <w:rPr>
                <w:rFonts w:ascii="Arial" w:hAnsi="Arial" w:cs="Arial"/>
                <w:sz w:val="22"/>
                <w:szCs w:val="22"/>
              </w:rPr>
              <w:t>e</w:t>
            </w:r>
            <w:r w:rsidR="000700B7" w:rsidRPr="00F9080F">
              <w:rPr>
                <w:rFonts w:ascii="Arial" w:hAnsi="Arial" w:cs="Arial"/>
                <w:sz w:val="22"/>
                <w:szCs w:val="22"/>
              </w:rPr>
              <w:t xml:space="preserve"> the most of limited s</w:t>
            </w:r>
            <w:r w:rsidR="004016BE" w:rsidRPr="00F9080F">
              <w:rPr>
                <w:rFonts w:ascii="Arial" w:hAnsi="Arial" w:cs="Arial"/>
                <w:sz w:val="22"/>
                <w:szCs w:val="22"/>
              </w:rPr>
              <w:t>pace</w:t>
            </w:r>
            <w:r w:rsidR="00AF31F4">
              <w:rPr>
                <w:rFonts w:ascii="Arial" w:hAnsi="Arial" w:cs="Arial"/>
                <w:sz w:val="22"/>
                <w:szCs w:val="22"/>
              </w:rPr>
              <w:t>;</w:t>
            </w:r>
            <w:r w:rsidR="004016BE" w:rsidRPr="00F9080F">
              <w:rPr>
                <w:rFonts w:ascii="Arial" w:hAnsi="Arial" w:cs="Arial"/>
                <w:sz w:val="22"/>
                <w:szCs w:val="22"/>
              </w:rPr>
              <w:t xml:space="preserve"> </w:t>
            </w:r>
            <w:r w:rsidR="00964CD4" w:rsidRPr="00F9080F">
              <w:rPr>
                <w:rFonts w:ascii="Arial" w:hAnsi="Arial" w:cs="Arial"/>
                <w:sz w:val="22"/>
                <w:szCs w:val="22"/>
              </w:rPr>
              <w:t>easy to store,</w:t>
            </w:r>
            <w:r w:rsidR="004016BE" w:rsidRPr="00F9080F">
              <w:rPr>
                <w:rFonts w:ascii="Arial" w:hAnsi="Arial" w:cs="Arial"/>
                <w:sz w:val="22"/>
                <w:szCs w:val="22"/>
              </w:rPr>
              <w:t xml:space="preserve"> space efficient outdoor furniture and low maintenance, easy to install modular fencing. </w:t>
            </w:r>
          </w:p>
          <w:p w:rsidR="009014DF" w:rsidRPr="001505B3" w:rsidRDefault="009014DF" w:rsidP="009014DF">
            <w:pPr>
              <w:jc w:val="left"/>
              <w:rPr>
                <w:rFonts w:ascii="Arial" w:hAnsi="Arial" w:cs="Arial"/>
                <w:sz w:val="24"/>
                <w:szCs w:val="24"/>
                <w:highlight w:val="yellow"/>
              </w:rPr>
            </w:pPr>
          </w:p>
          <w:p w:rsidR="009014DF" w:rsidRPr="00A845B7" w:rsidRDefault="009014DF" w:rsidP="00AF31F4">
            <w:pPr>
              <w:pStyle w:val="ListParagraph"/>
              <w:numPr>
                <w:ilvl w:val="0"/>
                <w:numId w:val="9"/>
              </w:numPr>
              <w:jc w:val="left"/>
              <w:rPr>
                <w:rFonts w:ascii="Arial" w:hAnsi="Arial" w:cs="Arial"/>
                <w:i/>
                <w:sz w:val="22"/>
                <w:szCs w:val="22"/>
              </w:rPr>
            </w:pPr>
            <w:r w:rsidRPr="00A845B7">
              <w:rPr>
                <w:rFonts w:ascii="Arial" w:hAnsi="Arial" w:cs="Arial"/>
                <w:i/>
                <w:sz w:val="22"/>
                <w:szCs w:val="22"/>
              </w:rPr>
              <w:t xml:space="preserve">Deliver new ONE Offer &amp; Supply Chain Organisation </w:t>
            </w:r>
          </w:p>
          <w:p w:rsidR="00BE0412" w:rsidRPr="001505B3" w:rsidRDefault="00BE0412" w:rsidP="002E570E">
            <w:pPr>
              <w:pStyle w:val="ListParagraph"/>
              <w:jc w:val="left"/>
              <w:rPr>
                <w:rFonts w:ascii="Arial" w:hAnsi="Arial" w:cs="Arial"/>
                <w:i/>
                <w:sz w:val="24"/>
                <w:szCs w:val="24"/>
                <w:highlight w:val="yellow"/>
              </w:rPr>
            </w:pPr>
          </w:p>
          <w:p w:rsidR="009014DF" w:rsidRPr="00F9080F" w:rsidRDefault="009014DF" w:rsidP="009014DF">
            <w:pPr>
              <w:jc w:val="left"/>
              <w:rPr>
                <w:rFonts w:ascii="Arial" w:hAnsi="Arial" w:cs="Arial"/>
                <w:sz w:val="22"/>
                <w:szCs w:val="22"/>
              </w:rPr>
            </w:pPr>
            <w:r w:rsidRPr="00F9080F">
              <w:rPr>
                <w:rFonts w:ascii="Arial" w:hAnsi="Arial" w:cs="Arial"/>
                <w:sz w:val="22"/>
                <w:szCs w:val="22"/>
              </w:rPr>
              <w:t xml:space="preserve">We are moving away from an organisation </w:t>
            </w:r>
            <w:r w:rsidR="00644C12" w:rsidRPr="00F9080F">
              <w:rPr>
                <w:rFonts w:ascii="Arial" w:hAnsi="Arial" w:cs="Arial"/>
                <w:sz w:val="22"/>
                <w:szCs w:val="22"/>
              </w:rPr>
              <w:t xml:space="preserve">structure </w:t>
            </w:r>
            <w:r w:rsidRPr="00F9080F">
              <w:rPr>
                <w:rFonts w:ascii="Arial" w:hAnsi="Arial" w:cs="Arial"/>
                <w:sz w:val="22"/>
                <w:szCs w:val="22"/>
              </w:rPr>
              <w:t xml:space="preserve">with nine buying </w:t>
            </w:r>
            <w:r w:rsidR="00E27B98" w:rsidRPr="00F9080F">
              <w:rPr>
                <w:rFonts w:ascii="Arial" w:hAnsi="Arial" w:cs="Arial"/>
                <w:sz w:val="22"/>
                <w:szCs w:val="22"/>
              </w:rPr>
              <w:t xml:space="preserve">and logistics </w:t>
            </w:r>
            <w:r w:rsidRPr="00F9080F">
              <w:rPr>
                <w:rFonts w:ascii="Arial" w:hAnsi="Arial" w:cs="Arial"/>
                <w:sz w:val="22"/>
                <w:szCs w:val="22"/>
              </w:rPr>
              <w:t>teams, in nine operating companies</w:t>
            </w:r>
            <w:r w:rsidR="00644C12" w:rsidRPr="00F9080F">
              <w:rPr>
                <w:rFonts w:ascii="Arial" w:hAnsi="Arial" w:cs="Arial"/>
                <w:sz w:val="22"/>
                <w:szCs w:val="22"/>
              </w:rPr>
              <w:t xml:space="preserve"> which</w:t>
            </w:r>
            <w:r w:rsidRPr="00F9080F">
              <w:rPr>
                <w:rFonts w:ascii="Arial" w:hAnsi="Arial" w:cs="Arial"/>
                <w:sz w:val="22"/>
                <w:szCs w:val="22"/>
              </w:rPr>
              <w:t xml:space="preserve"> sourc</w:t>
            </w:r>
            <w:r w:rsidR="00644C12" w:rsidRPr="00F9080F">
              <w:rPr>
                <w:rFonts w:ascii="Arial" w:hAnsi="Arial" w:cs="Arial"/>
                <w:sz w:val="22"/>
                <w:szCs w:val="22"/>
              </w:rPr>
              <w:t>e</w:t>
            </w:r>
            <w:r w:rsidRPr="00F9080F">
              <w:rPr>
                <w:rFonts w:ascii="Arial" w:hAnsi="Arial" w:cs="Arial"/>
                <w:sz w:val="22"/>
                <w:szCs w:val="22"/>
              </w:rPr>
              <w:t xml:space="preserve"> and merchandis</w:t>
            </w:r>
            <w:r w:rsidR="00644C12" w:rsidRPr="00F9080F">
              <w:rPr>
                <w:rFonts w:ascii="Arial" w:hAnsi="Arial" w:cs="Arial"/>
                <w:sz w:val="22"/>
                <w:szCs w:val="22"/>
              </w:rPr>
              <w:t>e</w:t>
            </w:r>
            <w:r w:rsidRPr="00F9080F">
              <w:rPr>
                <w:rFonts w:ascii="Arial" w:hAnsi="Arial" w:cs="Arial"/>
                <w:sz w:val="22"/>
                <w:szCs w:val="22"/>
              </w:rPr>
              <w:t xml:space="preserve"> their own ranges</w:t>
            </w:r>
            <w:r w:rsidR="00644C12" w:rsidRPr="00F9080F">
              <w:rPr>
                <w:rFonts w:ascii="Arial" w:hAnsi="Arial" w:cs="Arial"/>
                <w:sz w:val="22"/>
                <w:szCs w:val="22"/>
              </w:rPr>
              <w:t xml:space="preserve"> independently</w:t>
            </w:r>
            <w:r w:rsidR="00B53210" w:rsidRPr="00F9080F">
              <w:rPr>
                <w:rFonts w:ascii="Arial" w:hAnsi="Arial" w:cs="Arial"/>
                <w:sz w:val="22"/>
                <w:szCs w:val="22"/>
              </w:rPr>
              <w:t xml:space="preserve">. Instead, we are reorganising as </w:t>
            </w:r>
            <w:r w:rsidRPr="00F9080F">
              <w:rPr>
                <w:rFonts w:ascii="Arial" w:hAnsi="Arial" w:cs="Arial"/>
                <w:sz w:val="22"/>
                <w:szCs w:val="22"/>
              </w:rPr>
              <w:t>ONE organisation</w:t>
            </w:r>
            <w:r w:rsidR="008411FC" w:rsidRPr="00F9080F">
              <w:rPr>
                <w:rFonts w:ascii="Arial" w:hAnsi="Arial" w:cs="Arial"/>
                <w:sz w:val="22"/>
                <w:szCs w:val="22"/>
              </w:rPr>
              <w:t>, starting with our offer</w:t>
            </w:r>
            <w:r w:rsidR="0094503D">
              <w:rPr>
                <w:rFonts w:ascii="Arial" w:hAnsi="Arial" w:cs="Arial"/>
                <w:sz w:val="22"/>
                <w:szCs w:val="22"/>
              </w:rPr>
              <w:t>,</w:t>
            </w:r>
            <w:r w:rsidR="00584787">
              <w:rPr>
                <w:rFonts w:ascii="Arial" w:hAnsi="Arial" w:cs="Arial"/>
                <w:sz w:val="22"/>
                <w:szCs w:val="22"/>
              </w:rPr>
              <w:t xml:space="preserve"> with planning underway to develop an integrated supply chain network.   </w:t>
            </w:r>
          </w:p>
          <w:p w:rsidR="009014DF" w:rsidRPr="00F9080F" w:rsidRDefault="009014DF" w:rsidP="009014DF">
            <w:pPr>
              <w:jc w:val="left"/>
              <w:rPr>
                <w:rFonts w:ascii="Arial" w:hAnsi="Arial" w:cs="Arial"/>
                <w:sz w:val="22"/>
                <w:szCs w:val="22"/>
                <w:highlight w:val="yellow"/>
              </w:rPr>
            </w:pPr>
          </w:p>
          <w:p w:rsidR="009014DF" w:rsidRPr="00F9080F" w:rsidRDefault="009014DF" w:rsidP="009014DF">
            <w:pPr>
              <w:jc w:val="left"/>
              <w:rPr>
                <w:rFonts w:ascii="Arial" w:hAnsi="Arial" w:cs="Arial"/>
                <w:sz w:val="22"/>
                <w:szCs w:val="22"/>
              </w:rPr>
            </w:pPr>
            <w:r w:rsidRPr="00F9080F">
              <w:rPr>
                <w:rFonts w:ascii="Arial" w:hAnsi="Arial" w:cs="Arial"/>
                <w:sz w:val="22"/>
                <w:szCs w:val="22"/>
              </w:rPr>
              <w:t>New unified global functions and roles started from June, mostly as a result of internal moves</w:t>
            </w:r>
            <w:r w:rsidR="007356C2" w:rsidRPr="00F9080F">
              <w:rPr>
                <w:rFonts w:ascii="Arial" w:hAnsi="Arial" w:cs="Arial"/>
                <w:sz w:val="22"/>
                <w:szCs w:val="22"/>
              </w:rPr>
              <w:t xml:space="preserve">, leading to </w:t>
            </w:r>
            <w:r w:rsidR="00291BBE" w:rsidRPr="00F9080F">
              <w:rPr>
                <w:rFonts w:ascii="Arial" w:hAnsi="Arial" w:cs="Arial"/>
                <w:sz w:val="22"/>
                <w:szCs w:val="22"/>
              </w:rPr>
              <w:t xml:space="preserve">lower </w:t>
            </w:r>
            <w:r w:rsidR="008411FC" w:rsidRPr="00F9080F">
              <w:rPr>
                <w:rFonts w:ascii="Arial" w:hAnsi="Arial" w:cs="Arial"/>
                <w:sz w:val="22"/>
                <w:szCs w:val="22"/>
              </w:rPr>
              <w:t xml:space="preserve">transformation </w:t>
            </w:r>
            <w:r w:rsidR="007356C2" w:rsidRPr="00F9080F">
              <w:rPr>
                <w:rFonts w:ascii="Arial" w:hAnsi="Arial" w:cs="Arial"/>
                <w:sz w:val="22"/>
                <w:szCs w:val="22"/>
              </w:rPr>
              <w:t>exceptional costs than originally anticipated</w:t>
            </w:r>
            <w:r w:rsidR="00E53A31" w:rsidRPr="00F9080F">
              <w:rPr>
                <w:rFonts w:ascii="Arial" w:hAnsi="Arial" w:cs="Arial"/>
                <w:sz w:val="22"/>
                <w:szCs w:val="22"/>
              </w:rPr>
              <w:t xml:space="preserve"> for this year</w:t>
            </w:r>
            <w:r w:rsidRPr="00F9080F">
              <w:rPr>
                <w:rFonts w:ascii="Arial" w:hAnsi="Arial" w:cs="Arial"/>
                <w:sz w:val="22"/>
                <w:szCs w:val="22"/>
              </w:rPr>
              <w:t xml:space="preserve">. New range teams, located across the UK </w:t>
            </w:r>
            <w:r w:rsidR="00291BBE" w:rsidRPr="00F9080F">
              <w:rPr>
                <w:rFonts w:ascii="Arial" w:hAnsi="Arial" w:cs="Arial"/>
                <w:sz w:val="22"/>
                <w:szCs w:val="22"/>
              </w:rPr>
              <w:t>and</w:t>
            </w:r>
            <w:r w:rsidRPr="00F9080F">
              <w:rPr>
                <w:rFonts w:ascii="Arial" w:hAnsi="Arial" w:cs="Arial"/>
                <w:sz w:val="22"/>
                <w:szCs w:val="22"/>
              </w:rPr>
              <w:t xml:space="preserve"> France</w:t>
            </w:r>
            <w:r w:rsidR="00A80137" w:rsidRPr="00F9080F">
              <w:rPr>
                <w:rFonts w:ascii="Arial" w:hAnsi="Arial" w:cs="Arial"/>
                <w:sz w:val="22"/>
                <w:szCs w:val="22"/>
              </w:rPr>
              <w:t xml:space="preserve"> are</w:t>
            </w:r>
            <w:r w:rsidRPr="00F9080F">
              <w:rPr>
                <w:rFonts w:ascii="Arial" w:hAnsi="Arial" w:cs="Arial"/>
                <w:sz w:val="22"/>
                <w:szCs w:val="22"/>
              </w:rPr>
              <w:t xml:space="preserve"> work</w:t>
            </w:r>
            <w:r w:rsidR="00A80137" w:rsidRPr="00F9080F">
              <w:rPr>
                <w:rFonts w:ascii="Arial" w:hAnsi="Arial" w:cs="Arial"/>
                <w:sz w:val="22"/>
                <w:szCs w:val="22"/>
              </w:rPr>
              <w:t>ing</w:t>
            </w:r>
            <w:r w:rsidRPr="00F9080F">
              <w:rPr>
                <w:rFonts w:ascii="Arial" w:hAnsi="Arial" w:cs="Arial"/>
                <w:sz w:val="22"/>
                <w:szCs w:val="22"/>
              </w:rPr>
              <w:t xml:space="preserve"> closely with operating companies, who retain responsibility for </w:t>
            </w:r>
            <w:r w:rsidR="00644C12" w:rsidRPr="00F9080F">
              <w:rPr>
                <w:rFonts w:ascii="Arial" w:hAnsi="Arial" w:cs="Arial"/>
                <w:sz w:val="22"/>
                <w:szCs w:val="22"/>
              </w:rPr>
              <w:t>activities such as</w:t>
            </w:r>
            <w:r w:rsidRPr="00F9080F">
              <w:rPr>
                <w:rFonts w:ascii="Arial" w:hAnsi="Arial" w:cs="Arial"/>
                <w:sz w:val="22"/>
                <w:szCs w:val="22"/>
              </w:rPr>
              <w:t xml:space="preserve"> trading, range implementation, </w:t>
            </w:r>
            <w:r w:rsidR="00E27B98" w:rsidRPr="00F9080F">
              <w:rPr>
                <w:rFonts w:ascii="Arial" w:hAnsi="Arial" w:cs="Arial"/>
                <w:sz w:val="22"/>
                <w:szCs w:val="22"/>
              </w:rPr>
              <w:t xml:space="preserve">local </w:t>
            </w:r>
            <w:r w:rsidRPr="00F9080F">
              <w:rPr>
                <w:rFonts w:ascii="Arial" w:hAnsi="Arial" w:cs="Arial"/>
                <w:sz w:val="22"/>
                <w:szCs w:val="22"/>
              </w:rPr>
              <w:t xml:space="preserve">pricing and customer </w:t>
            </w:r>
            <w:r w:rsidR="00242F12" w:rsidRPr="00F9080F">
              <w:rPr>
                <w:rFonts w:ascii="Arial" w:hAnsi="Arial" w:cs="Arial"/>
                <w:sz w:val="22"/>
                <w:szCs w:val="22"/>
              </w:rPr>
              <w:t>needs</w:t>
            </w:r>
            <w:r w:rsidRPr="00F9080F">
              <w:rPr>
                <w:rFonts w:ascii="Arial" w:hAnsi="Arial" w:cs="Arial"/>
                <w:sz w:val="22"/>
                <w:szCs w:val="22"/>
              </w:rPr>
              <w:t xml:space="preserve">. </w:t>
            </w:r>
          </w:p>
          <w:p w:rsidR="009014DF" w:rsidRPr="001505B3" w:rsidRDefault="009014DF" w:rsidP="009226A6">
            <w:pPr>
              <w:jc w:val="left"/>
              <w:rPr>
                <w:rFonts w:ascii="Arial" w:hAnsi="Arial" w:cs="Arial"/>
                <w:sz w:val="24"/>
                <w:szCs w:val="24"/>
                <w:highlight w:val="yellow"/>
              </w:rPr>
            </w:pPr>
          </w:p>
        </w:tc>
      </w:tr>
    </w:tbl>
    <w:p w:rsidR="00A93D96" w:rsidRDefault="00A93D96">
      <w:pPr>
        <w:jc w:val="left"/>
        <w:rPr>
          <w:rFonts w:ascii="Arial" w:hAnsi="Arial" w:cs="Arial"/>
          <w:sz w:val="24"/>
          <w:szCs w:val="24"/>
          <w:highlight w:val="yellow"/>
        </w:rPr>
      </w:pPr>
      <w:r>
        <w:rPr>
          <w:rFonts w:ascii="Arial" w:hAnsi="Arial" w:cs="Arial"/>
          <w:sz w:val="24"/>
          <w:szCs w:val="24"/>
          <w:highlight w:val="yellow"/>
        </w:rPr>
        <w:br w:type="page"/>
      </w:r>
    </w:p>
    <w:tbl>
      <w:tblPr>
        <w:tblStyle w:val="TableGrid"/>
        <w:tblW w:w="0" w:type="auto"/>
        <w:tblLook w:val="04A0" w:firstRow="1" w:lastRow="0" w:firstColumn="1" w:lastColumn="0" w:noHBand="0" w:noVBand="1"/>
      </w:tblPr>
      <w:tblGrid>
        <w:gridCol w:w="9631"/>
      </w:tblGrid>
      <w:tr w:rsidR="009014DF" w:rsidRPr="00F764D3" w:rsidTr="009014DF">
        <w:tc>
          <w:tcPr>
            <w:tcW w:w="9631" w:type="dxa"/>
          </w:tcPr>
          <w:p w:rsidR="009014DF" w:rsidRPr="001505B3" w:rsidRDefault="009014DF" w:rsidP="00925EFB">
            <w:pPr>
              <w:pStyle w:val="ListParagraph"/>
              <w:ind w:left="360"/>
              <w:rPr>
                <w:rFonts w:ascii="Arial" w:hAnsi="Arial" w:cs="Arial"/>
                <w:sz w:val="24"/>
                <w:szCs w:val="24"/>
                <w:highlight w:val="yellow"/>
                <w:u w:val="single"/>
              </w:rPr>
            </w:pPr>
          </w:p>
          <w:p w:rsidR="009014DF" w:rsidRPr="00A845B7" w:rsidRDefault="009014DF" w:rsidP="00AF31F4">
            <w:pPr>
              <w:pStyle w:val="ListParagraph"/>
              <w:numPr>
                <w:ilvl w:val="0"/>
                <w:numId w:val="11"/>
              </w:numPr>
              <w:ind w:left="360"/>
              <w:rPr>
                <w:rFonts w:ascii="Arial" w:hAnsi="Arial" w:cs="Arial"/>
                <w:sz w:val="22"/>
                <w:szCs w:val="22"/>
                <w:u w:val="single"/>
              </w:rPr>
            </w:pPr>
            <w:r w:rsidRPr="00A845B7">
              <w:rPr>
                <w:rFonts w:ascii="Arial" w:hAnsi="Arial" w:cs="Arial"/>
                <w:sz w:val="22"/>
                <w:szCs w:val="22"/>
                <w:u w:val="single"/>
              </w:rPr>
              <w:t>Driving our digital capability</w:t>
            </w:r>
          </w:p>
          <w:p w:rsidR="009014DF" w:rsidRPr="001505B3" w:rsidRDefault="009014DF" w:rsidP="009014DF">
            <w:pPr>
              <w:jc w:val="left"/>
              <w:rPr>
                <w:rFonts w:ascii="Arial" w:hAnsi="Arial" w:cs="Arial"/>
                <w:i/>
                <w:sz w:val="24"/>
                <w:szCs w:val="24"/>
                <w:highlight w:val="yellow"/>
              </w:rPr>
            </w:pPr>
          </w:p>
          <w:p w:rsidR="009014DF" w:rsidRPr="00F9080F" w:rsidRDefault="009014DF" w:rsidP="009014DF">
            <w:pPr>
              <w:spacing w:after="200"/>
              <w:contextualSpacing/>
              <w:jc w:val="left"/>
              <w:rPr>
                <w:rFonts w:ascii="Arial" w:hAnsi="Arial" w:cs="Arial"/>
                <w:sz w:val="22"/>
                <w:szCs w:val="22"/>
              </w:rPr>
            </w:pPr>
            <w:r w:rsidRPr="00F9080F">
              <w:rPr>
                <w:rFonts w:ascii="Arial" w:hAnsi="Arial" w:cs="Arial"/>
                <w:sz w:val="22"/>
                <w:szCs w:val="22"/>
              </w:rPr>
              <w:t>Implementation of a unified IT system is a key enabler of our ONE</w:t>
            </w:r>
            <w:r w:rsidR="0093770F" w:rsidRPr="00F9080F">
              <w:rPr>
                <w:rFonts w:ascii="Arial" w:hAnsi="Arial" w:cs="Arial"/>
                <w:sz w:val="22"/>
                <w:szCs w:val="22"/>
              </w:rPr>
              <w:t xml:space="preserve"> Kingfisher plan. It </w:t>
            </w:r>
            <w:r w:rsidRPr="00F9080F">
              <w:rPr>
                <w:rFonts w:ascii="Arial" w:hAnsi="Arial" w:cs="Arial"/>
                <w:sz w:val="22"/>
                <w:szCs w:val="22"/>
              </w:rPr>
              <w:t xml:space="preserve">will </w:t>
            </w:r>
            <w:r w:rsidR="000E5933" w:rsidRPr="00F9080F">
              <w:rPr>
                <w:rFonts w:ascii="Arial" w:hAnsi="Arial" w:cs="Arial"/>
                <w:sz w:val="22"/>
                <w:szCs w:val="22"/>
              </w:rPr>
              <w:t xml:space="preserve">also </w:t>
            </w:r>
            <w:r w:rsidRPr="00F9080F">
              <w:rPr>
                <w:rFonts w:ascii="Arial" w:hAnsi="Arial" w:cs="Arial"/>
                <w:sz w:val="22"/>
                <w:szCs w:val="22"/>
              </w:rPr>
              <w:t xml:space="preserve">provide </w:t>
            </w:r>
            <w:r w:rsidR="001F74B0" w:rsidRPr="00F9080F">
              <w:rPr>
                <w:rFonts w:ascii="Arial" w:hAnsi="Arial" w:cs="Arial"/>
                <w:sz w:val="22"/>
                <w:szCs w:val="22"/>
              </w:rPr>
              <w:t>a significant opportunity, with a seamless and stronger digital offer for our customers, to substantially increase</w:t>
            </w:r>
            <w:r w:rsidRPr="00F9080F">
              <w:rPr>
                <w:rFonts w:ascii="Arial" w:hAnsi="Arial" w:cs="Arial"/>
                <w:sz w:val="22"/>
                <w:szCs w:val="22"/>
              </w:rPr>
              <w:t xml:space="preserve"> sales </w:t>
            </w:r>
            <w:r w:rsidR="001F74B0" w:rsidRPr="00F9080F">
              <w:rPr>
                <w:rFonts w:ascii="Arial" w:hAnsi="Arial" w:cs="Arial"/>
                <w:sz w:val="22"/>
                <w:szCs w:val="22"/>
              </w:rPr>
              <w:t>and digital penetration</w:t>
            </w:r>
            <w:r w:rsidRPr="00F9080F">
              <w:rPr>
                <w:rFonts w:ascii="Arial" w:hAnsi="Arial" w:cs="Arial"/>
                <w:sz w:val="22"/>
                <w:szCs w:val="22"/>
              </w:rPr>
              <w:t xml:space="preserve">. </w:t>
            </w:r>
          </w:p>
          <w:p w:rsidR="009014DF" w:rsidRPr="00A845B7" w:rsidRDefault="009014DF" w:rsidP="00AF31F4">
            <w:pPr>
              <w:pStyle w:val="ListParagraph"/>
              <w:numPr>
                <w:ilvl w:val="0"/>
                <w:numId w:val="10"/>
              </w:numPr>
              <w:jc w:val="left"/>
              <w:rPr>
                <w:rFonts w:ascii="Arial" w:hAnsi="Arial" w:cs="Arial"/>
                <w:i/>
                <w:sz w:val="22"/>
                <w:szCs w:val="22"/>
              </w:rPr>
            </w:pPr>
            <w:r w:rsidRPr="00A845B7">
              <w:rPr>
                <w:rFonts w:ascii="Arial" w:hAnsi="Arial" w:cs="Arial"/>
                <w:i/>
                <w:sz w:val="22"/>
                <w:szCs w:val="22"/>
              </w:rPr>
              <w:t>Complete unified IT platform roll out in B&amp;Q and start Castorama France roll out</w:t>
            </w:r>
          </w:p>
          <w:p w:rsidR="00BE0412" w:rsidRPr="001505B3" w:rsidRDefault="00BE0412" w:rsidP="002E570E">
            <w:pPr>
              <w:pStyle w:val="ListParagraph"/>
              <w:jc w:val="left"/>
              <w:rPr>
                <w:rFonts w:ascii="Arial" w:hAnsi="Arial" w:cs="Arial"/>
                <w:i/>
                <w:sz w:val="24"/>
                <w:szCs w:val="24"/>
                <w:highlight w:val="yellow"/>
              </w:rPr>
            </w:pPr>
          </w:p>
          <w:p w:rsidR="000E5933" w:rsidRPr="00F9080F" w:rsidRDefault="00E77B37" w:rsidP="009014DF">
            <w:pPr>
              <w:spacing w:after="200"/>
              <w:contextualSpacing/>
              <w:jc w:val="left"/>
              <w:rPr>
                <w:rFonts w:ascii="Arial" w:hAnsi="Arial" w:cs="Arial"/>
                <w:sz w:val="22"/>
                <w:szCs w:val="22"/>
              </w:rPr>
            </w:pPr>
            <w:r w:rsidRPr="00F9080F">
              <w:rPr>
                <w:rFonts w:ascii="Arial" w:hAnsi="Arial" w:cs="Arial"/>
                <w:sz w:val="22"/>
                <w:szCs w:val="22"/>
              </w:rPr>
              <w:t>The B&amp;Q store r</w:t>
            </w:r>
            <w:r w:rsidR="000E5933" w:rsidRPr="00F9080F">
              <w:rPr>
                <w:rFonts w:ascii="Arial" w:hAnsi="Arial" w:cs="Arial"/>
                <w:sz w:val="22"/>
                <w:szCs w:val="22"/>
              </w:rPr>
              <w:t xml:space="preserve">oll out </w:t>
            </w:r>
            <w:r w:rsidRPr="00F9080F">
              <w:rPr>
                <w:rFonts w:ascii="Arial" w:hAnsi="Arial" w:cs="Arial"/>
                <w:sz w:val="22"/>
                <w:szCs w:val="22"/>
              </w:rPr>
              <w:t xml:space="preserve">was </w:t>
            </w:r>
            <w:r w:rsidR="000E5933" w:rsidRPr="00F9080F">
              <w:rPr>
                <w:rFonts w:ascii="Arial" w:hAnsi="Arial" w:cs="Arial"/>
                <w:sz w:val="22"/>
                <w:szCs w:val="22"/>
              </w:rPr>
              <w:t xml:space="preserve">completed in </w:t>
            </w:r>
            <w:r w:rsidR="00A30738" w:rsidRPr="00F9080F">
              <w:rPr>
                <w:rFonts w:ascii="Arial" w:hAnsi="Arial" w:cs="Arial"/>
                <w:sz w:val="22"/>
                <w:szCs w:val="22"/>
              </w:rPr>
              <w:t>Q1</w:t>
            </w:r>
            <w:r w:rsidR="000E5933" w:rsidRPr="00F9080F">
              <w:rPr>
                <w:rFonts w:ascii="Arial" w:hAnsi="Arial" w:cs="Arial"/>
                <w:sz w:val="22"/>
                <w:szCs w:val="22"/>
              </w:rPr>
              <w:t xml:space="preserve"> ahead of plan, with back office and supply chain </w:t>
            </w:r>
            <w:r w:rsidR="00C11AD5" w:rsidRPr="00F9080F">
              <w:rPr>
                <w:rFonts w:ascii="Arial" w:hAnsi="Arial" w:cs="Arial"/>
                <w:sz w:val="22"/>
                <w:szCs w:val="22"/>
              </w:rPr>
              <w:t xml:space="preserve">now substantially </w:t>
            </w:r>
            <w:r w:rsidRPr="00F9080F">
              <w:rPr>
                <w:rFonts w:ascii="Arial" w:hAnsi="Arial" w:cs="Arial"/>
                <w:sz w:val="22"/>
                <w:szCs w:val="22"/>
              </w:rPr>
              <w:t>complete</w:t>
            </w:r>
            <w:r w:rsidR="00C11AD5" w:rsidRPr="00F9080F">
              <w:rPr>
                <w:rFonts w:ascii="Arial" w:hAnsi="Arial" w:cs="Arial"/>
                <w:sz w:val="22"/>
                <w:szCs w:val="22"/>
              </w:rPr>
              <w:t>.</w:t>
            </w:r>
            <w:r w:rsidR="000E5933" w:rsidRPr="00F9080F">
              <w:rPr>
                <w:rFonts w:ascii="Arial" w:hAnsi="Arial" w:cs="Arial"/>
                <w:sz w:val="22"/>
                <w:szCs w:val="22"/>
              </w:rPr>
              <w:t xml:space="preserve"> </w:t>
            </w:r>
            <w:r w:rsidR="00C11AD5" w:rsidRPr="00F9080F">
              <w:rPr>
                <w:rFonts w:ascii="Arial" w:hAnsi="Arial" w:cs="Arial"/>
                <w:sz w:val="22"/>
                <w:szCs w:val="22"/>
              </w:rPr>
              <w:t xml:space="preserve">Six </w:t>
            </w:r>
            <w:r w:rsidR="000E5933" w:rsidRPr="00F9080F">
              <w:rPr>
                <w:rFonts w:ascii="Arial" w:hAnsi="Arial" w:cs="Arial"/>
                <w:sz w:val="22"/>
                <w:szCs w:val="22"/>
              </w:rPr>
              <w:t>Castorama pilot store</w:t>
            </w:r>
            <w:r w:rsidR="00C11AD5" w:rsidRPr="00F9080F">
              <w:rPr>
                <w:rFonts w:ascii="Arial" w:hAnsi="Arial" w:cs="Arial"/>
                <w:sz w:val="22"/>
                <w:szCs w:val="22"/>
              </w:rPr>
              <w:t>s</w:t>
            </w:r>
            <w:r w:rsidR="000E5933" w:rsidRPr="00F9080F">
              <w:rPr>
                <w:rFonts w:ascii="Arial" w:hAnsi="Arial" w:cs="Arial"/>
                <w:sz w:val="22"/>
                <w:szCs w:val="22"/>
              </w:rPr>
              <w:t xml:space="preserve"> </w:t>
            </w:r>
            <w:r w:rsidR="00C11AD5" w:rsidRPr="00F9080F">
              <w:rPr>
                <w:rFonts w:ascii="Arial" w:hAnsi="Arial" w:cs="Arial"/>
                <w:sz w:val="22"/>
                <w:szCs w:val="22"/>
              </w:rPr>
              <w:t xml:space="preserve">were launched successfully in H2 with the wider roll out now underway. </w:t>
            </w:r>
            <w:r w:rsidRPr="00F9080F">
              <w:rPr>
                <w:rFonts w:ascii="Arial" w:hAnsi="Arial" w:cs="Arial"/>
                <w:sz w:val="22"/>
                <w:szCs w:val="22"/>
              </w:rPr>
              <w:t xml:space="preserve"> </w:t>
            </w:r>
            <w:r w:rsidR="000E5933" w:rsidRPr="00F9080F">
              <w:rPr>
                <w:rFonts w:ascii="Arial" w:hAnsi="Arial" w:cs="Arial"/>
                <w:sz w:val="22"/>
                <w:szCs w:val="22"/>
              </w:rPr>
              <w:t xml:space="preserve"> </w:t>
            </w:r>
          </w:p>
          <w:p w:rsidR="009014DF" w:rsidRPr="001505B3" w:rsidRDefault="009014DF" w:rsidP="009014DF">
            <w:pPr>
              <w:jc w:val="left"/>
              <w:rPr>
                <w:rFonts w:ascii="Arial" w:hAnsi="Arial" w:cs="Arial"/>
                <w:sz w:val="24"/>
                <w:szCs w:val="24"/>
                <w:highlight w:val="yellow"/>
              </w:rPr>
            </w:pPr>
          </w:p>
          <w:p w:rsidR="00A30738" w:rsidRPr="00A845B7" w:rsidRDefault="009014DF" w:rsidP="00AF31F4">
            <w:pPr>
              <w:pStyle w:val="ListParagraph"/>
              <w:numPr>
                <w:ilvl w:val="0"/>
                <w:numId w:val="10"/>
              </w:numPr>
              <w:jc w:val="left"/>
              <w:rPr>
                <w:rFonts w:ascii="Arial" w:hAnsi="Arial" w:cs="Arial"/>
                <w:i/>
                <w:sz w:val="22"/>
                <w:szCs w:val="22"/>
              </w:rPr>
            </w:pPr>
            <w:r w:rsidRPr="00A845B7">
              <w:rPr>
                <w:rFonts w:ascii="Arial" w:hAnsi="Arial" w:cs="Arial"/>
                <w:i/>
                <w:sz w:val="22"/>
                <w:szCs w:val="22"/>
              </w:rPr>
              <w:t>Build Digital ‘Brilliant Basics’ platform for B&amp;Q</w:t>
            </w:r>
          </w:p>
          <w:p w:rsidR="00BE0412" w:rsidRPr="001505B3" w:rsidRDefault="00BE0412" w:rsidP="002E570E">
            <w:pPr>
              <w:pStyle w:val="ListParagraph"/>
              <w:jc w:val="left"/>
              <w:rPr>
                <w:rFonts w:ascii="Arial" w:hAnsi="Arial" w:cs="Arial"/>
                <w:i/>
                <w:sz w:val="24"/>
                <w:szCs w:val="24"/>
                <w:highlight w:val="yellow"/>
              </w:rPr>
            </w:pPr>
          </w:p>
          <w:p w:rsidR="00186FB0" w:rsidRPr="00F9080F" w:rsidRDefault="00EC1CC5" w:rsidP="009014DF">
            <w:pPr>
              <w:spacing w:after="200"/>
              <w:contextualSpacing/>
              <w:jc w:val="left"/>
              <w:rPr>
                <w:rFonts w:ascii="Arial" w:hAnsi="Arial" w:cs="Arial"/>
                <w:sz w:val="22"/>
                <w:szCs w:val="22"/>
              </w:rPr>
            </w:pPr>
            <w:r w:rsidRPr="00F9080F">
              <w:rPr>
                <w:rFonts w:ascii="Arial" w:hAnsi="Arial" w:cs="Arial"/>
                <w:sz w:val="22"/>
                <w:szCs w:val="22"/>
              </w:rPr>
              <w:t xml:space="preserve">This involves </w:t>
            </w:r>
            <w:r w:rsidR="00A30738" w:rsidRPr="00F9080F">
              <w:rPr>
                <w:rFonts w:ascii="Arial" w:hAnsi="Arial" w:cs="Arial"/>
                <w:sz w:val="22"/>
                <w:szCs w:val="22"/>
              </w:rPr>
              <w:t xml:space="preserve">investing in our core e-commerce platforms, </w:t>
            </w:r>
            <w:r w:rsidRPr="00F9080F">
              <w:rPr>
                <w:rFonts w:ascii="Arial" w:hAnsi="Arial" w:cs="Arial"/>
                <w:sz w:val="22"/>
                <w:szCs w:val="22"/>
              </w:rPr>
              <w:t xml:space="preserve">enabled by the new unified IT platform, and </w:t>
            </w:r>
            <w:r w:rsidR="00A30738" w:rsidRPr="00F9080F">
              <w:rPr>
                <w:rFonts w:ascii="Arial" w:hAnsi="Arial" w:cs="Arial"/>
                <w:sz w:val="22"/>
                <w:szCs w:val="22"/>
              </w:rPr>
              <w:t>leveraging our Screwfix best</w:t>
            </w:r>
            <w:r w:rsidR="00B53210" w:rsidRPr="00F9080F">
              <w:rPr>
                <w:rFonts w:ascii="Arial" w:hAnsi="Arial" w:cs="Arial"/>
                <w:sz w:val="22"/>
                <w:szCs w:val="22"/>
              </w:rPr>
              <w:t>-</w:t>
            </w:r>
            <w:r w:rsidR="00A30738" w:rsidRPr="00F9080F">
              <w:rPr>
                <w:rFonts w:ascii="Arial" w:hAnsi="Arial" w:cs="Arial"/>
                <w:sz w:val="22"/>
                <w:szCs w:val="22"/>
              </w:rPr>
              <w:t>in</w:t>
            </w:r>
            <w:r w:rsidR="00B53210" w:rsidRPr="00F9080F">
              <w:rPr>
                <w:rFonts w:ascii="Arial" w:hAnsi="Arial" w:cs="Arial"/>
                <w:sz w:val="22"/>
                <w:szCs w:val="22"/>
              </w:rPr>
              <w:t>-</w:t>
            </w:r>
            <w:r w:rsidR="00A30738" w:rsidRPr="00F9080F">
              <w:rPr>
                <w:rFonts w:ascii="Arial" w:hAnsi="Arial" w:cs="Arial"/>
                <w:sz w:val="22"/>
                <w:szCs w:val="22"/>
              </w:rPr>
              <w:t>class capability.</w:t>
            </w:r>
            <w:r w:rsidRPr="00F9080F">
              <w:rPr>
                <w:rFonts w:ascii="Arial" w:hAnsi="Arial" w:cs="Arial"/>
                <w:sz w:val="22"/>
                <w:szCs w:val="22"/>
              </w:rPr>
              <w:t xml:space="preserve"> </w:t>
            </w:r>
          </w:p>
          <w:p w:rsidR="00186FB0" w:rsidRPr="00F9080F" w:rsidRDefault="00186FB0" w:rsidP="009014DF">
            <w:pPr>
              <w:spacing w:after="200"/>
              <w:contextualSpacing/>
              <w:jc w:val="left"/>
              <w:rPr>
                <w:rFonts w:ascii="Arial" w:hAnsi="Arial" w:cs="Arial"/>
                <w:sz w:val="22"/>
                <w:szCs w:val="22"/>
                <w:highlight w:val="yellow"/>
              </w:rPr>
            </w:pPr>
          </w:p>
          <w:p w:rsidR="009014DF" w:rsidRPr="00F9080F" w:rsidRDefault="00555D2A" w:rsidP="009014DF">
            <w:pPr>
              <w:spacing w:after="200"/>
              <w:contextualSpacing/>
              <w:jc w:val="left"/>
              <w:rPr>
                <w:rFonts w:ascii="Arial" w:hAnsi="Arial" w:cs="Arial"/>
                <w:sz w:val="22"/>
                <w:szCs w:val="22"/>
                <w:highlight w:val="yellow"/>
              </w:rPr>
            </w:pPr>
            <w:r w:rsidRPr="00F9080F">
              <w:rPr>
                <w:rFonts w:ascii="Arial" w:hAnsi="Arial" w:cs="Arial"/>
                <w:sz w:val="22"/>
                <w:szCs w:val="22"/>
              </w:rPr>
              <w:t>The UK has</w:t>
            </w:r>
            <w:r w:rsidR="00A92087" w:rsidRPr="00F9080F">
              <w:rPr>
                <w:rFonts w:ascii="Arial" w:hAnsi="Arial" w:cs="Arial"/>
                <w:sz w:val="22"/>
                <w:szCs w:val="22"/>
              </w:rPr>
              <w:t xml:space="preserve"> started to</w:t>
            </w:r>
            <w:r w:rsidRPr="00F9080F">
              <w:rPr>
                <w:rFonts w:ascii="Arial" w:hAnsi="Arial" w:cs="Arial"/>
                <w:sz w:val="22"/>
                <w:szCs w:val="22"/>
              </w:rPr>
              <w:t xml:space="preserve"> benefi</w:t>
            </w:r>
            <w:r w:rsidR="00A92087" w:rsidRPr="00F9080F">
              <w:rPr>
                <w:rFonts w:ascii="Arial" w:hAnsi="Arial" w:cs="Arial"/>
                <w:sz w:val="22"/>
                <w:szCs w:val="22"/>
              </w:rPr>
              <w:t>t</w:t>
            </w:r>
            <w:r w:rsidRPr="00F9080F">
              <w:rPr>
                <w:rFonts w:ascii="Arial" w:hAnsi="Arial" w:cs="Arial"/>
                <w:sz w:val="22"/>
                <w:szCs w:val="22"/>
              </w:rPr>
              <w:t xml:space="preserve"> from u</w:t>
            </w:r>
            <w:r w:rsidR="00EC1CC5" w:rsidRPr="00F9080F">
              <w:rPr>
                <w:rFonts w:ascii="Arial" w:hAnsi="Arial" w:cs="Arial"/>
                <w:sz w:val="22"/>
                <w:szCs w:val="22"/>
              </w:rPr>
              <w:t xml:space="preserve">pweighted digital marketing, improved site search and new checkout </w:t>
            </w:r>
            <w:r w:rsidR="00FE66C6" w:rsidRPr="00F9080F">
              <w:rPr>
                <w:rFonts w:ascii="Arial" w:hAnsi="Arial" w:cs="Arial"/>
                <w:sz w:val="22"/>
                <w:szCs w:val="22"/>
              </w:rPr>
              <w:t>at Screwfix</w:t>
            </w:r>
            <w:r w:rsidR="00A92087" w:rsidRPr="00F9080F">
              <w:rPr>
                <w:rFonts w:ascii="Arial" w:hAnsi="Arial" w:cs="Arial"/>
                <w:sz w:val="22"/>
                <w:szCs w:val="22"/>
              </w:rPr>
              <w:t xml:space="preserve">. All these areas are being further </w:t>
            </w:r>
            <w:r w:rsidR="00B53210" w:rsidRPr="00F9080F">
              <w:rPr>
                <w:rFonts w:ascii="Arial" w:hAnsi="Arial" w:cs="Arial"/>
                <w:sz w:val="22"/>
                <w:szCs w:val="22"/>
              </w:rPr>
              <w:t>developed</w:t>
            </w:r>
            <w:r w:rsidR="00EC1CC5" w:rsidRPr="00F9080F">
              <w:rPr>
                <w:rFonts w:ascii="Arial" w:hAnsi="Arial" w:cs="Arial"/>
                <w:sz w:val="22"/>
                <w:szCs w:val="22"/>
              </w:rPr>
              <w:t xml:space="preserve"> for both diy.com and castorama.fr. We are also develop</w:t>
            </w:r>
            <w:r w:rsidR="002C020D" w:rsidRPr="00F9080F">
              <w:rPr>
                <w:rFonts w:ascii="Arial" w:hAnsi="Arial" w:cs="Arial"/>
                <w:sz w:val="22"/>
                <w:szCs w:val="22"/>
              </w:rPr>
              <w:t>ing</w:t>
            </w:r>
            <w:r w:rsidR="00EC1CC5" w:rsidRPr="00F9080F">
              <w:rPr>
                <w:rFonts w:ascii="Arial" w:hAnsi="Arial" w:cs="Arial"/>
                <w:sz w:val="22"/>
                <w:szCs w:val="22"/>
              </w:rPr>
              <w:t xml:space="preserve"> a new company wide mobile platform</w:t>
            </w:r>
            <w:r w:rsidR="00B02A8C">
              <w:rPr>
                <w:rFonts w:ascii="Arial" w:hAnsi="Arial" w:cs="Arial"/>
                <w:sz w:val="22"/>
                <w:szCs w:val="22"/>
              </w:rPr>
              <w:t xml:space="preserve"> due for launch</w:t>
            </w:r>
            <w:r w:rsidR="00FE66C6" w:rsidRPr="00F9080F">
              <w:rPr>
                <w:rFonts w:ascii="Arial" w:hAnsi="Arial" w:cs="Arial"/>
                <w:sz w:val="22"/>
                <w:szCs w:val="22"/>
              </w:rPr>
              <w:t xml:space="preserve"> </w:t>
            </w:r>
            <w:r w:rsidR="0015723F">
              <w:rPr>
                <w:rFonts w:ascii="Arial" w:hAnsi="Arial" w:cs="Arial"/>
                <w:sz w:val="22"/>
                <w:szCs w:val="22"/>
              </w:rPr>
              <w:t>during 2017</w:t>
            </w:r>
            <w:r w:rsidR="00A92087" w:rsidRPr="00F9080F">
              <w:rPr>
                <w:rFonts w:ascii="Arial" w:hAnsi="Arial" w:cs="Arial"/>
                <w:sz w:val="22"/>
                <w:szCs w:val="22"/>
              </w:rPr>
              <w:t xml:space="preserve">. </w:t>
            </w:r>
          </w:p>
          <w:p w:rsidR="009014DF" w:rsidRPr="001505B3" w:rsidRDefault="009014DF" w:rsidP="009226A6">
            <w:pPr>
              <w:jc w:val="left"/>
              <w:rPr>
                <w:rFonts w:ascii="Arial" w:hAnsi="Arial" w:cs="Arial"/>
                <w:sz w:val="24"/>
                <w:szCs w:val="24"/>
                <w:highlight w:val="yellow"/>
              </w:rPr>
            </w:pPr>
          </w:p>
        </w:tc>
      </w:tr>
    </w:tbl>
    <w:p w:rsidR="0075695B" w:rsidRPr="001505B3" w:rsidRDefault="0075695B" w:rsidP="009226A6">
      <w:pPr>
        <w:jc w:val="left"/>
        <w:rPr>
          <w:rFonts w:ascii="Arial" w:hAnsi="Arial" w:cs="Arial"/>
          <w:sz w:val="24"/>
          <w:szCs w:val="24"/>
          <w:highlight w:val="yellow"/>
        </w:rPr>
      </w:pPr>
    </w:p>
    <w:tbl>
      <w:tblPr>
        <w:tblStyle w:val="TableGrid"/>
        <w:tblW w:w="0" w:type="auto"/>
        <w:tblLook w:val="04A0" w:firstRow="1" w:lastRow="0" w:firstColumn="1" w:lastColumn="0" w:noHBand="0" w:noVBand="1"/>
      </w:tblPr>
      <w:tblGrid>
        <w:gridCol w:w="9631"/>
      </w:tblGrid>
      <w:tr w:rsidR="006E508D" w:rsidRPr="00F764D3" w:rsidTr="006E508D">
        <w:tc>
          <w:tcPr>
            <w:tcW w:w="9631" w:type="dxa"/>
          </w:tcPr>
          <w:p w:rsidR="006E508D" w:rsidRPr="001505B3" w:rsidRDefault="006E508D" w:rsidP="00925EFB">
            <w:pPr>
              <w:pStyle w:val="ListParagraph"/>
              <w:ind w:left="360"/>
              <w:jc w:val="left"/>
              <w:rPr>
                <w:rFonts w:ascii="Arial" w:hAnsi="Arial" w:cs="Arial"/>
                <w:b/>
                <w:sz w:val="24"/>
                <w:szCs w:val="24"/>
                <w:highlight w:val="yellow"/>
                <w:u w:val="single"/>
              </w:rPr>
            </w:pPr>
          </w:p>
          <w:p w:rsidR="006E508D" w:rsidRPr="00A845B7" w:rsidRDefault="006E508D" w:rsidP="00AF31F4">
            <w:pPr>
              <w:pStyle w:val="ListParagraph"/>
              <w:numPr>
                <w:ilvl w:val="0"/>
                <w:numId w:val="11"/>
              </w:numPr>
              <w:ind w:left="360"/>
              <w:rPr>
                <w:rFonts w:ascii="Arial" w:hAnsi="Arial" w:cs="Arial"/>
                <w:sz w:val="22"/>
                <w:szCs w:val="22"/>
                <w:u w:val="single"/>
              </w:rPr>
            </w:pPr>
            <w:r w:rsidRPr="00A845B7">
              <w:rPr>
                <w:rFonts w:ascii="Arial" w:hAnsi="Arial" w:cs="Arial"/>
                <w:sz w:val="22"/>
                <w:szCs w:val="22"/>
                <w:u w:val="single"/>
              </w:rPr>
              <w:t>Optimising our operational efficiency</w:t>
            </w:r>
          </w:p>
          <w:p w:rsidR="006E508D" w:rsidRPr="00332C10" w:rsidRDefault="006E508D" w:rsidP="006E508D">
            <w:pPr>
              <w:jc w:val="left"/>
              <w:rPr>
                <w:rFonts w:ascii="Arial" w:hAnsi="Arial" w:cs="Arial"/>
                <w:b/>
                <w:sz w:val="24"/>
                <w:szCs w:val="24"/>
                <w:u w:val="single"/>
              </w:rPr>
            </w:pPr>
          </w:p>
          <w:p w:rsidR="006E508D" w:rsidRPr="00F9080F" w:rsidRDefault="006E508D" w:rsidP="006E508D">
            <w:pPr>
              <w:autoSpaceDE w:val="0"/>
              <w:autoSpaceDN w:val="0"/>
              <w:adjustRightInd w:val="0"/>
              <w:jc w:val="left"/>
              <w:rPr>
                <w:rFonts w:ascii="Arial" w:hAnsi="Arial" w:cs="Arial"/>
                <w:color w:val="000000"/>
                <w:sz w:val="22"/>
                <w:szCs w:val="22"/>
              </w:rPr>
            </w:pPr>
            <w:r w:rsidRPr="00F9080F">
              <w:rPr>
                <w:rFonts w:ascii="Arial" w:hAnsi="Arial" w:cs="Arial"/>
                <w:color w:val="000000"/>
                <w:sz w:val="22"/>
                <w:szCs w:val="22"/>
              </w:rPr>
              <w:t xml:space="preserve">The main driver will come from unifying c.90% of the £1.2bn annual spend on GNFR. </w:t>
            </w:r>
            <w:r w:rsidRPr="00F9080F">
              <w:rPr>
                <w:rFonts w:ascii="Arial" w:hAnsi="Arial" w:cs="Arial"/>
                <w:sz w:val="22"/>
                <w:szCs w:val="22"/>
              </w:rPr>
              <w:t xml:space="preserve">This programme is a combination of cost savings, and an opportunity to work in a simpler and more effective way across the business. </w:t>
            </w:r>
          </w:p>
          <w:p w:rsidR="006E508D" w:rsidRPr="001505B3" w:rsidRDefault="006E508D" w:rsidP="006E508D">
            <w:pPr>
              <w:jc w:val="left"/>
              <w:rPr>
                <w:rFonts w:ascii="Arial" w:hAnsi="Arial" w:cs="Arial"/>
                <w:b/>
                <w:sz w:val="24"/>
                <w:szCs w:val="24"/>
                <w:highlight w:val="yellow"/>
                <w:u w:val="single"/>
              </w:rPr>
            </w:pPr>
          </w:p>
          <w:p w:rsidR="001A0AF9" w:rsidRPr="00A845B7" w:rsidRDefault="001A0AF9" w:rsidP="00AF31F4">
            <w:pPr>
              <w:pStyle w:val="ListParagraph"/>
              <w:numPr>
                <w:ilvl w:val="0"/>
                <w:numId w:val="13"/>
              </w:numPr>
              <w:jc w:val="left"/>
              <w:rPr>
                <w:rFonts w:ascii="Arial" w:hAnsi="Arial" w:cs="Arial"/>
                <w:i/>
                <w:sz w:val="22"/>
                <w:szCs w:val="22"/>
              </w:rPr>
            </w:pPr>
            <w:r w:rsidRPr="00A845B7">
              <w:rPr>
                <w:rFonts w:ascii="Arial" w:hAnsi="Arial" w:cs="Arial"/>
                <w:i/>
                <w:sz w:val="22"/>
                <w:szCs w:val="22"/>
              </w:rPr>
              <w:t>Complete closure of c.15% surplus space at B&amp;Q (65 stores)</w:t>
            </w:r>
          </w:p>
          <w:p w:rsidR="001A0AF9" w:rsidRPr="001505B3" w:rsidRDefault="001A0AF9" w:rsidP="001A0AF9">
            <w:pPr>
              <w:pStyle w:val="ListParagraph"/>
              <w:jc w:val="left"/>
              <w:rPr>
                <w:rFonts w:ascii="Arial" w:hAnsi="Arial" w:cs="Arial"/>
                <w:i/>
                <w:sz w:val="24"/>
                <w:szCs w:val="24"/>
                <w:highlight w:val="yellow"/>
              </w:rPr>
            </w:pPr>
          </w:p>
          <w:p w:rsidR="001A0AF9" w:rsidRPr="00F9080F" w:rsidRDefault="001A0AF9" w:rsidP="001A0AF9">
            <w:pPr>
              <w:jc w:val="left"/>
              <w:rPr>
                <w:rFonts w:ascii="Arial" w:hAnsi="Arial" w:cs="Arial"/>
                <w:sz w:val="22"/>
                <w:szCs w:val="22"/>
              </w:rPr>
            </w:pPr>
            <w:r w:rsidRPr="00F9080F">
              <w:rPr>
                <w:rFonts w:ascii="Arial" w:hAnsi="Arial" w:cs="Arial"/>
                <w:sz w:val="22"/>
                <w:szCs w:val="22"/>
              </w:rPr>
              <w:t xml:space="preserve">Closure programme now completed with 35 stores closed during 2016/17, taking the total to 65. </w:t>
            </w:r>
            <w:r w:rsidR="0071504B">
              <w:rPr>
                <w:rFonts w:ascii="Arial" w:hAnsi="Arial" w:cs="Arial"/>
                <w:sz w:val="22"/>
                <w:szCs w:val="22"/>
              </w:rPr>
              <w:t>LFL s</w:t>
            </w:r>
            <w:r w:rsidRPr="00F9080F">
              <w:rPr>
                <w:rFonts w:ascii="Arial" w:hAnsi="Arial" w:cs="Arial"/>
                <w:sz w:val="22"/>
                <w:szCs w:val="22"/>
              </w:rPr>
              <w:t xml:space="preserve">ales transference </w:t>
            </w:r>
            <w:r w:rsidR="0071504B">
              <w:rPr>
                <w:rFonts w:ascii="Arial" w:hAnsi="Arial" w:cs="Arial"/>
                <w:sz w:val="22"/>
                <w:szCs w:val="22"/>
              </w:rPr>
              <w:t xml:space="preserve">benefit </w:t>
            </w:r>
            <w:r w:rsidRPr="00F9080F">
              <w:rPr>
                <w:rFonts w:ascii="Arial" w:hAnsi="Arial" w:cs="Arial"/>
                <w:sz w:val="22"/>
                <w:szCs w:val="22"/>
              </w:rPr>
              <w:t>of 2</w:t>
            </w:r>
            <w:r w:rsidR="00911348">
              <w:rPr>
                <w:rFonts w:ascii="Arial" w:hAnsi="Arial" w:cs="Arial"/>
                <w:sz w:val="22"/>
                <w:szCs w:val="22"/>
              </w:rPr>
              <w:t>.6</w:t>
            </w:r>
            <w:r w:rsidRPr="00F9080F">
              <w:rPr>
                <w:rFonts w:ascii="Arial" w:hAnsi="Arial" w:cs="Arial"/>
                <w:sz w:val="22"/>
                <w:szCs w:val="22"/>
              </w:rPr>
              <w:t xml:space="preserve">% during </w:t>
            </w:r>
            <w:r w:rsidR="00FE66C6" w:rsidRPr="00F9080F">
              <w:rPr>
                <w:rFonts w:ascii="Arial" w:hAnsi="Arial" w:cs="Arial"/>
                <w:sz w:val="22"/>
                <w:szCs w:val="22"/>
              </w:rPr>
              <w:t xml:space="preserve">the year </w:t>
            </w:r>
            <w:r w:rsidRPr="00F9080F">
              <w:rPr>
                <w:rFonts w:ascii="Arial" w:hAnsi="Arial" w:cs="Arial"/>
                <w:sz w:val="22"/>
                <w:szCs w:val="22"/>
              </w:rPr>
              <w:t>has support</w:t>
            </w:r>
            <w:r w:rsidR="002A043D" w:rsidRPr="00F9080F">
              <w:rPr>
                <w:rFonts w:ascii="Arial" w:hAnsi="Arial" w:cs="Arial"/>
                <w:sz w:val="22"/>
                <w:szCs w:val="22"/>
              </w:rPr>
              <w:t xml:space="preserve">ed the </w:t>
            </w:r>
            <w:r w:rsidRPr="00F9080F">
              <w:rPr>
                <w:rFonts w:ascii="Arial" w:hAnsi="Arial" w:cs="Arial"/>
                <w:sz w:val="22"/>
                <w:szCs w:val="22"/>
              </w:rPr>
              <w:t xml:space="preserve">business case for the closures. In Q1 B&amp;Q outsourced </w:t>
            </w:r>
            <w:r w:rsidR="0071504B">
              <w:rPr>
                <w:rFonts w:ascii="Arial" w:hAnsi="Arial" w:cs="Arial"/>
                <w:sz w:val="22"/>
                <w:szCs w:val="22"/>
              </w:rPr>
              <w:t xml:space="preserve">the </w:t>
            </w:r>
            <w:r w:rsidRPr="00F9080F">
              <w:rPr>
                <w:rFonts w:ascii="Arial" w:hAnsi="Arial" w:cs="Arial"/>
                <w:sz w:val="22"/>
                <w:szCs w:val="22"/>
              </w:rPr>
              <w:t>remaining lease exits to a third party via a lease liability transaction. Of the 1</w:t>
            </w:r>
            <w:r w:rsidR="00B00737">
              <w:rPr>
                <w:rFonts w:ascii="Arial" w:hAnsi="Arial" w:cs="Arial"/>
                <w:sz w:val="22"/>
                <w:szCs w:val="22"/>
              </w:rPr>
              <w:t>5</w:t>
            </w:r>
            <w:r w:rsidRPr="00F9080F">
              <w:rPr>
                <w:rFonts w:ascii="Arial" w:hAnsi="Arial" w:cs="Arial"/>
                <w:sz w:val="22"/>
                <w:szCs w:val="22"/>
              </w:rPr>
              <w:t xml:space="preserve"> exits secured in </w:t>
            </w:r>
            <w:r w:rsidR="002A043D" w:rsidRPr="00F9080F">
              <w:rPr>
                <w:rFonts w:ascii="Arial" w:hAnsi="Arial" w:cs="Arial"/>
                <w:sz w:val="22"/>
                <w:szCs w:val="22"/>
              </w:rPr>
              <w:t xml:space="preserve">FY </w:t>
            </w:r>
            <w:r w:rsidRPr="00F9080F">
              <w:rPr>
                <w:rFonts w:ascii="Arial" w:hAnsi="Arial" w:cs="Arial"/>
                <w:sz w:val="22"/>
                <w:szCs w:val="22"/>
              </w:rPr>
              <w:t>2016/</w:t>
            </w:r>
            <w:r w:rsidRPr="00D75F42">
              <w:rPr>
                <w:rFonts w:ascii="Arial" w:hAnsi="Arial" w:cs="Arial"/>
              </w:rPr>
              <w:t>17, 1</w:t>
            </w:r>
            <w:r w:rsidR="00B00737">
              <w:rPr>
                <w:rFonts w:ascii="Arial" w:hAnsi="Arial" w:cs="Arial"/>
              </w:rPr>
              <w:t>1</w:t>
            </w:r>
            <w:r w:rsidRPr="00D75F42">
              <w:rPr>
                <w:rFonts w:ascii="Arial" w:hAnsi="Arial" w:cs="Arial"/>
              </w:rPr>
              <w:t xml:space="preserve"> were</w:t>
            </w:r>
            <w:r w:rsidRPr="00F9080F">
              <w:rPr>
                <w:rFonts w:ascii="Arial" w:hAnsi="Arial" w:cs="Arial"/>
                <w:sz w:val="22"/>
                <w:szCs w:val="22"/>
              </w:rPr>
              <w:t xml:space="preserve"> undertaken by this third party. Of the 65 stores, we have now secured exits on a total of 5</w:t>
            </w:r>
            <w:r w:rsidR="00911348">
              <w:rPr>
                <w:rFonts w:ascii="Arial" w:hAnsi="Arial" w:cs="Arial"/>
                <w:sz w:val="22"/>
                <w:szCs w:val="22"/>
              </w:rPr>
              <w:t>5</w:t>
            </w:r>
            <w:r w:rsidRPr="00F9080F">
              <w:rPr>
                <w:rFonts w:ascii="Arial" w:hAnsi="Arial" w:cs="Arial"/>
                <w:sz w:val="22"/>
                <w:szCs w:val="22"/>
              </w:rPr>
              <w:t xml:space="preserve">. </w:t>
            </w:r>
          </w:p>
          <w:p w:rsidR="001A0AF9" w:rsidRPr="00332C10" w:rsidRDefault="001A0AF9" w:rsidP="001A0AF9">
            <w:pPr>
              <w:jc w:val="left"/>
              <w:rPr>
                <w:rFonts w:ascii="Arial" w:hAnsi="Arial" w:cs="Arial"/>
                <w:sz w:val="24"/>
                <w:szCs w:val="24"/>
              </w:rPr>
            </w:pPr>
          </w:p>
          <w:p w:rsidR="00352523" w:rsidRPr="00A845B7" w:rsidRDefault="006E508D" w:rsidP="00AF31F4">
            <w:pPr>
              <w:pStyle w:val="ListParagraph"/>
              <w:numPr>
                <w:ilvl w:val="0"/>
                <w:numId w:val="13"/>
              </w:numPr>
              <w:jc w:val="left"/>
              <w:rPr>
                <w:rFonts w:ascii="Arial" w:hAnsi="Arial" w:cs="Arial"/>
                <w:i/>
                <w:sz w:val="22"/>
                <w:szCs w:val="22"/>
              </w:rPr>
            </w:pPr>
            <w:r w:rsidRPr="00A845B7">
              <w:rPr>
                <w:rFonts w:ascii="Arial" w:hAnsi="Arial" w:cs="Arial"/>
                <w:i/>
                <w:sz w:val="22"/>
                <w:szCs w:val="22"/>
              </w:rPr>
              <w:t xml:space="preserve">Deliver </w:t>
            </w:r>
            <w:r w:rsidR="00A92087" w:rsidRPr="00A845B7">
              <w:rPr>
                <w:rFonts w:ascii="Arial" w:hAnsi="Arial" w:cs="Arial"/>
                <w:i/>
                <w:sz w:val="22"/>
                <w:szCs w:val="22"/>
              </w:rPr>
              <w:t xml:space="preserve">£20m </w:t>
            </w:r>
            <w:r w:rsidRPr="00A845B7">
              <w:rPr>
                <w:rFonts w:ascii="Arial" w:hAnsi="Arial" w:cs="Arial"/>
                <w:i/>
                <w:sz w:val="22"/>
                <w:szCs w:val="22"/>
              </w:rPr>
              <w:t>benefits from unified GNFR programme</w:t>
            </w:r>
          </w:p>
          <w:p w:rsidR="00BE0412" w:rsidRPr="001505B3" w:rsidRDefault="00BE0412" w:rsidP="002E570E">
            <w:pPr>
              <w:pStyle w:val="ListParagraph"/>
              <w:jc w:val="left"/>
              <w:rPr>
                <w:rFonts w:ascii="Arial" w:hAnsi="Arial" w:cs="Arial"/>
                <w:i/>
                <w:sz w:val="24"/>
                <w:szCs w:val="24"/>
                <w:highlight w:val="yellow"/>
              </w:rPr>
            </w:pPr>
          </w:p>
          <w:p w:rsidR="006E508D" w:rsidRPr="001505B3" w:rsidRDefault="002C56F9" w:rsidP="00F9080F">
            <w:pPr>
              <w:autoSpaceDE w:val="0"/>
              <w:autoSpaceDN w:val="0"/>
              <w:adjustRightInd w:val="0"/>
              <w:jc w:val="left"/>
              <w:rPr>
                <w:rFonts w:ascii="Arial" w:hAnsi="Arial" w:cs="Arial"/>
                <w:b/>
                <w:sz w:val="24"/>
                <w:szCs w:val="24"/>
                <w:highlight w:val="yellow"/>
              </w:rPr>
            </w:pPr>
            <w:r>
              <w:rPr>
                <w:rFonts w:ascii="Arial" w:hAnsi="Arial" w:cs="Arial"/>
                <w:sz w:val="22"/>
                <w:szCs w:val="22"/>
              </w:rPr>
              <w:t>A</w:t>
            </w:r>
            <w:r w:rsidRPr="00F9080F">
              <w:rPr>
                <w:rFonts w:ascii="Arial" w:hAnsi="Arial" w:cs="Arial"/>
                <w:sz w:val="22"/>
                <w:szCs w:val="22"/>
              </w:rPr>
              <w:t xml:space="preserve">longside </w:t>
            </w:r>
            <w:r w:rsidR="00484EB7" w:rsidRPr="00F9080F">
              <w:rPr>
                <w:rFonts w:ascii="Arial" w:hAnsi="Arial" w:cs="Arial"/>
                <w:sz w:val="22"/>
                <w:szCs w:val="22"/>
              </w:rPr>
              <w:t>helping us to work in a simpler more effective way, w</w:t>
            </w:r>
            <w:r w:rsidR="006E508D" w:rsidRPr="00F9080F">
              <w:rPr>
                <w:rFonts w:ascii="Arial" w:hAnsi="Arial" w:cs="Arial"/>
                <w:sz w:val="22"/>
                <w:szCs w:val="22"/>
              </w:rPr>
              <w:t>e have achieved cost savings on categories reviewed</w:t>
            </w:r>
            <w:r w:rsidR="009D4F50" w:rsidRPr="00F9080F">
              <w:rPr>
                <w:rFonts w:ascii="Arial" w:hAnsi="Arial" w:cs="Arial"/>
                <w:sz w:val="22"/>
                <w:szCs w:val="22"/>
              </w:rPr>
              <w:t xml:space="preserve"> so far</w:t>
            </w:r>
            <w:r>
              <w:rPr>
                <w:rFonts w:ascii="Arial" w:hAnsi="Arial" w:cs="Arial"/>
                <w:sz w:val="22"/>
                <w:szCs w:val="22"/>
              </w:rPr>
              <w:t xml:space="preserve">. </w:t>
            </w:r>
            <w:r w:rsidRPr="00F9080F">
              <w:rPr>
                <w:rFonts w:ascii="Arial" w:hAnsi="Arial" w:cs="Arial"/>
                <w:sz w:val="22"/>
                <w:szCs w:val="22"/>
              </w:rPr>
              <w:t>During the year</w:t>
            </w:r>
            <w:r w:rsidR="004754EE">
              <w:rPr>
                <w:rFonts w:ascii="Arial" w:hAnsi="Arial" w:cs="Arial"/>
                <w:sz w:val="22"/>
                <w:szCs w:val="22"/>
              </w:rPr>
              <w:t xml:space="preserve"> we</w:t>
            </w:r>
            <w:r w:rsidR="006E508D" w:rsidRPr="00F9080F">
              <w:rPr>
                <w:rFonts w:ascii="Arial" w:hAnsi="Arial" w:cs="Arial"/>
                <w:sz w:val="22"/>
                <w:szCs w:val="22"/>
              </w:rPr>
              <w:t xml:space="preserve"> </w:t>
            </w:r>
            <w:r w:rsidR="006158D6">
              <w:rPr>
                <w:rFonts w:ascii="Arial" w:hAnsi="Arial" w:cs="Arial"/>
                <w:sz w:val="22"/>
                <w:szCs w:val="22"/>
              </w:rPr>
              <w:t>achieved</w:t>
            </w:r>
            <w:r w:rsidR="004754EE" w:rsidRPr="00F9080F">
              <w:rPr>
                <w:rFonts w:ascii="Arial" w:hAnsi="Arial" w:cs="Arial"/>
                <w:sz w:val="22"/>
                <w:szCs w:val="22"/>
              </w:rPr>
              <w:t xml:space="preserve"> </w:t>
            </w:r>
            <w:r w:rsidR="0065238B" w:rsidRPr="00F9080F">
              <w:rPr>
                <w:rFonts w:ascii="Arial" w:hAnsi="Arial" w:cs="Arial"/>
                <w:sz w:val="22"/>
                <w:szCs w:val="22"/>
              </w:rPr>
              <w:t>a</w:t>
            </w:r>
            <w:r w:rsidR="00FC0855">
              <w:rPr>
                <w:rFonts w:ascii="Arial" w:hAnsi="Arial" w:cs="Arial"/>
              </w:rPr>
              <w:t xml:space="preserve"> </w:t>
            </w:r>
            <w:r w:rsidR="00484EB7" w:rsidRPr="00F9080F">
              <w:rPr>
                <w:rFonts w:ascii="Arial" w:hAnsi="Arial" w:cs="Arial"/>
                <w:sz w:val="22"/>
                <w:szCs w:val="22"/>
              </w:rPr>
              <w:t>£</w:t>
            </w:r>
            <w:r w:rsidR="00332C10" w:rsidRPr="00F9080F">
              <w:rPr>
                <w:rFonts w:ascii="Arial" w:hAnsi="Arial" w:cs="Arial"/>
                <w:sz w:val="22"/>
                <w:szCs w:val="22"/>
              </w:rPr>
              <w:t>3</w:t>
            </w:r>
            <w:r w:rsidR="00F9080F">
              <w:rPr>
                <w:rFonts w:ascii="Arial" w:hAnsi="Arial" w:cs="Arial"/>
                <w:sz w:val="22"/>
                <w:szCs w:val="22"/>
              </w:rPr>
              <w:t>0</w:t>
            </w:r>
            <w:r w:rsidR="00332C10" w:rsidRPr="00F9080F">
              <w:rPr>
                <w:rFonts w:ascii="Arial" w:hAnsi="Arial" w:cs="Arial"/>
                <w:sz w:val="22"/>
                <w:szCs w:val="22"/>
              </w:rPr>
              <w:t xml:space="preserve">m </w:t>
            </w:r>
            <w:r w:rsidR="00484EB7" w:rsidRPr="00F9080F">
              <w:rPr>
                <w:rFonts w:ascii="Arial" w:hAnsi="Arial" w:cs="Arial"/>
                <w:sz w:val="22"/>
                <w:szCs w:val="22"/>
              </w:rPr>
              <w:t>benefit</w:t>
            </w:r>
            <w:r w:rsidR="004754EE">
              <w:rPr>
                <w:rFonts w:ascii="Arial" w:hAnsi="Arial" w:cs="Arial"/>
                <w:sz w:val="22"/>
                <w:szCs w:val="22"/>
              </w:rPr>
              <w:t xml:space="preserve">, </w:t>
            </w:r>
            <w:r w:rsidR="00332C10" w:rsidRPr="00F9080F">
              <w:rPr>
                <w:rFonts w:ascii="Arial" w:hAnsi="Arial" w:cs="Arial"/>
                <w:sz w:val="22"/>
                <w:szCs w:val="22"/>
              </w:rPr>
              <w:t>£1</w:t>
            </w:r>
            <w:r w:rsidR="00F9080F">
              <w:rPr>
                <w:rFonts w:ascii="Arial" w:hAnsi="Arial" w:cs="Arial"/>
                <w:sz w:val="22"/>
                <w:szCs w:val="22"/>
              </w:rPr>
              <w:t>0</w:t>
            </w:r>
            <w:r w:rsidR="00332C10" w:rsidRPr="00F9080F">
              <w:rPr>
                <w:rFonts w:ascii="Arial" w:hAnsi="Arial" w:cs="Arial"/>
                <w:sz w:val="22"/>
                <w:szCs w:val="22"/>
              </w:rPr>
              <w:t xml:space="preserve">m ahead of </w:t>
            </w:r>
            <w:r w:rsidR="00C32FA6" w:rsidRPr="00F9080F">
              <w:rPr>
                <w:rFonts w:ascii="Arial" w:hAnsi="Arial" w:cs="Arial"/>
                <w:sz w:val="22"/>
                <w:szCs w:val="22"/>
              </w:rPr>
              <w:t xml:space="preserve">our target </w:t>
            </w:r>
            <w:r w:rsidR="0015723F">
              <w:rPr>
                <w:rFonts w:ascii="Arial" w:hAnsi="Arial" w:cs="Arial"/>
                <w:sz w:val="22"/>
                <w:szCs w:val="22"/>
              </w:rPr>
              <w:t>at the start of</w:t>
            </w:r>
            <w:r w:rsidR="00C32FA6" w:rsidRPr="00F9080F">
              <w:rPr>
                <w:rFonts w:ascii="Arial" w:hAnsi="Arial" w:cs="Arial"/>
                <w:sz w:val="22"/>
                <w:szCs w:val="22"/>
              </w:rPr>
              <w:t xml:space="preserve"> the year</w:t>
            </w:r>
            <w:r w:rsidR="006158D6">
              <w:rPr>
                <w:rFonts w:ascii="Arial" w:hAnsi="Arial" w:cs="Arial"/>
                <w:sz w:val="22"/>
                <w:szCs w:val="22"/>
              </w:rPr>
              <w:t>, reflecting early delivery of the plan</w:t>
            </w:r>
            <w:r w:rsidR="00C32FA6" w:rsidRPr="00F9080F">
              <w:rPr>
                <w:rFonts w:ascii="Arial" w:hAnsi="Arial" w:cs="Arial"/>
                <w:sz w:val="22"/>
                <w:szCs w:val="22"/>
              </w:rPr>
              <w:t>.</w:t>
            </w:r>
            <w:r w:rsidR="00C32FA6">
              <w:rPr>
                <w:rFonts w:ascii="Arial" w:hAnsi="Arial" w:cs="Arial"/>
                <w:sz w:val="24"/>
                <w:szCs w:val="24"/>
              </w:rPr>
              <w:t xml:space="preserve"> </w:t>
            </w:r>
            <w:r w:rsidR="00332C10" w:rsidRPr="00F9080F">
              <w:rPr>
                <w:rFonts w:ascii="Arial" w:hAnsi="Arial" w:cs="Arial"/>
                <w:sz w:val="24"/>
                <w:szCs w:val="24"/>
              </w:rPr>
              <w:t xml:space="preserve"> </w:t>
            </w:r>
          </w:p>
          <w:p w:rsidR="00E53A31" w:rsidRPr="001505B3" w:rsidRDefault="00E53A31">
            <w:pPr>
              <w:jc w:val="left"/>
              <w:rPr>
                <w:rFonts w:ascii="Arial" w:hAnsi="Arial" w:cs="Arial"/>
                <w:sz w:val="24"/>
                <w:szCs w:val="24"/>
                <w:highlight w:val="yellow"/>
              </w:rPr>
            </w:pPr>
          </w:p>
        </w:tc>
      </w:tr>
    </w:tbl>
    <w:p w:rsidR="00BE0412" w:rsidRPr="001505B3" w:rsidRDefault="00BE0412" w:rsidP="000550AF">
      <w:pPr>
        <w:jc w:val="left"/>
        <w:rPr>
          <w:rFonts w:ascii="Arial" w:hAnsi="Arial" w:cs="Arial"/>
          <w:sz w:val="24"/>
          <w:szCs w:val="24"/>
          <w:highlight w:val="yellow"/>
        </w:rPr>
      </w:pPr>
    </w:p>
    <w:p w:rsidR="007A42E8" w:rsidRPr="00F9080F" w:rsidRDefault="007A42E8" w:rsidP="007A42E8">
      <w:pPr>
        <w:jc w:val="left"/>
        <w:rPr>
          <w:rFonts w:ascii="Arial" w:hAnsi="Arial" w:cs="Arial"/>
        </w:rPr>
      </w:pPr>
      <w:r w:rsidRPr="00F9080F">
        <w:rPr>
          <w:rFonts w:ascii="Arial" w:hAnsi="Arial" w:cs="Arial"/>
        </w:rPr>
        <w:t xml:space="preserve">Alongside these three pillars which </w:t>
      </w:r>
      <w:r w:rsidR="005256BD" w:rsidRPr="00F9080F">
        <w:rPr>
          <w:rFonts w:ascii="Arial" w:hAnsi="Arial" w:cs="Arial"/>
        </w:rPr>
        <w:t xml:space="preserve">collectively </w:t>
      </w:r>
      <w:r w:rsidRPr="00F9080F">
        <w:rPr>
          <w:rFonts w:ascii="Arial" w:hAnsi="Arial" w:cs="Arial"/>
        </w:rPr>
        <w:t xml:space="preserve">drive the £500m sustainable profit uplift by the end of Year 5, we are </w:t>
      </w:r>
      <w:r w:rsidR="0071504B">
        <w:rPr>
          <w:rFonts w:ascii="Arial" w:hAnsi="Arial" w:cs="Arial"/>
        </w:rPr>
        <w:t xml:space="preserve">also </w:t>
      </w:r>
      <w:r w:rsidR="00E44FF5">
        <w:rPr>
          <w:rFonts w:ascii="Arial" w:hAnsi="Arial" w:cs="Arial"/>
        </w:rPr>
        <w:t>working on our</w:t>
      </w:r>
      <w:r w:rsidRPr="00F9080F">
        <w:rPr>
          <w:rFonts w:ascii="Arial" w:hAnsi="Arial" w:cs="Arial"/>
        </w:rPr>
        <w:t xml:space="preserve"> Retail Operations. In this area last year, we launched four Big Box best practice stores in the UK, France, Poland and Russia in a first</w:t>
      </w:r>
      <w:r w:rsidR="00185D83" w:rsidRPr="00F9080F">
        <w:rPr>
          <w:rFonts w:ascii="Arial" w:hAnsi="Arial" w:cs="Arial"/>
        </w:rPr>
        <w:t xml:space="preserve"> step towards convergence</w:t>
      </w:r>
      <w:r w:rsidR="0015723F">
        <w:rPr>
          <w:rFonts w:ascii="Arial" w:hAnsi="Arial" w:cs="Arial"/>
        </w:rPr>
        <w:t xml:space="preserve"> and e</w:t>
      </w:r>
      <w:r w:rsidRPr="00F9080F">
        <w:rPr>
          <w:rFonts w:ascii="Arial" w:hAnsi="Arial" w:cs="Arial"/>
        </w:rPr>
        <w:t>arly results are encouraging. In addition, w</w:t>
      </w:r>
      <w:r w:rsidR="00CF6B8E" w:rsidRPr="00F9080F">
        <w:rPr>
          <w:rFonts w:ascii="Arial" w:hAnsi="Arial" w:cs="Arial"/>
        </w:rPr>
        <w:t>e opened 60 Screwfix outlets</w:t>
      </w:r>
      <w:r w:rsidRPr="00F9080F">
        <w:rPr>
          <w:rFonts w:ascii="Arial" w:hAnsi="Arial" w:cs="Arial"/>
        </w:rPr>
        <w:t xml:space="preserve"> in the UK and ten in Germany.  </w:t>
      </w:r>
    </w:p>
    <w:p w:rsidR="00185D83" w:rsidRDefault="00185D83" w:rsidP="007A42E8">
      <w:pPr>
        <w:jc w:val="left"/>
        <w:rPr>
          <w:rFonts w:ascii="Arial" w:hAnsi="Arial" w:cs="Arial"/>
          <w:sz w:val="24"/>
          <w:szCs w:val="24"/>
        </w:rPr>
      </w:pPr>
    </w:p>
    <w:p w:rsidR="00A93D96" w:rsidRDefault="00A93D96">
      <w:pPr>
        <w:jc w:val="left"/>
        <w:rPr>
          <w:rFonts w:ascii="Arial" w:hAnsi="Arial" w:cs="Arial"/>
          <w:b/>
          <w:sz w:val="24"/>
          <w:szCs w:val="24"/>
          <w:u w:val="single"/>
        </w:rPr>
      </w:pPr>
      <w:r>
        <w:rPr>
          <w:rFonts w:ascii="Arial" w:hAnsi="Arial" w:cs="Arial"/>
          <w:b/>
          <w:sz w:val="24"/>
          <w:szCs w:val="24"/>
          <w:u w:val="single"/>
        </w:rPr>
        <w:br w:type="page"/>
      </w:r>
    </w:p>
    <w:p w:rsidR="00767C7D" w:rsidRPr="00A845B7" w:rsidRDefault="00E27B2D" w:rsidP="00767C7D">
      <w:pPr>
        <w:jc w:val="left"/>
        <w:rPr>
          <w:rFonts w:ascii="Arial" w:hAnsi="Arial" w:cs="Arial"/>
          <w:b/>
        </w:rPr>
      </w:pPr>
      <w:r>
        <w:rPr>
          <w:rFonts w:ascii="Arial" w:hAnsi="Arial" w:cs="Arial"/>
          <w:b/>
        </w:rPr>
        <w:lastRenderedPageBreak/>
        <w:t>FY 2017/18 and beyond</w:t>
      </w:r>
      <w:r w:rsidR="0094503D">
        <w:rPr>
          <w:rFonts w:ascii="Arial" w:hAnsi="Arial" w:cs="Arial"/>
          <w:b/>
        </w:rPr>
        <w:t>:</w:t>
      </w:r>
    </w:p>
    <w:p w:rsidR="00185D83" w:rsidRDefault="00185D83" w:rsidP="00767C7D">
      <w:pPr>
        <w:jc w:val="left"/>
        <w:rPr>
          <w:rFonts w:ascii="Arial" w:hAnsi="Arial" w:cs="Arial"/>
          <w:b/>
          <w:sz w:val="24"/>
          <w:szCs w:val="24"/>
          <w:u w:val="single"/>
        </w:rPr>
      </w:pPr>
    </w:p>
    <w:p w:rsidR="00186B39" w:rsidRPr="00F9080F" w:rsidRDefault="00BA6D64">
      <w:pPr>
        <w:jc w:val="left"/>
        <w:rPr>
          <w:rFonts w:ascii="Arial" w:hAnsi="Arial" w:cs="Arial"/>
        </w:rPr>
      </w:pPr>
      <w:r w:rsidRPr="00635946">
        <w:rPr>
          <w:rFonts w:ascii="Arial" w:hAnsi="Arial" w:cs="Arial"/>
        </w:rPr>
        <w:t xml:space="preserve">We </w:t>
      </w:r>
      <w:r w:rsidR="00635946">
        <w:rPr>
          <w:rFonts w:ascii="Arial" w:hAnsi="Arial" w:cs="Arial"/>
        </w:rPr>
        <w:t xml:space="preserve">are well set up to deliver Year 2 alongside preparing for Year 3. We have taken on board key learnings, as outlined below, and we are aware of the challenges as the level of </w:t>
      </w:r>
      <w:r w:rsidRPr="00635946">
        <w:rPr>
          <w:rFonts w:ascii="Arial" w:hAnsi="Arial" w:cs="Arial"/>
        </w:rPr>
        <w:t>transformat</w:t>
      </w:r>
      <w:r w:rsidR="00635946">
        <w:rPr>
          <w:rFonts w:ascii="Arial" w:hAnsi="Arial" w:cs="Arial"/>
        </w:rPr>
        <w:t xml:space="preserve">ion activity </w:t>
      </w:r>
      <w:r w:rsidRPr="00635946">
        <w:rPr>
          <w:rFonts w:ascii="Arial" w:hAnsi="Arial" w:cs="Arial"/>
        </w:rPr>
        <w:t>increase</w:t>
      </w:r>
      <w:r w:rsidR="00635946">
        <w:rPr>
          <w:rFonts w:ascii="Arial" w:hAnsi="Arial" w:cs="Arial"/>
        </w:rPr>
        <w:t>s:</w:t>
      </w:r>
    </w:p>
    <w:p w:rsidR="00186B39" w:rsidRPr="00F9080F" w:rsidRDefault="00186B39">
      <w:pPr>
        <w:jc w:val="left"/>
        <w:rPr>
          <w:rFonts w:ascii="Arial" w:hAnsi="Arial" w:cs="Arial"/>
        </w:rPr>
      </w:pPr>
    </w:p>
    <w:p w:rsidR="00BA6D64" w:rsidRPr="00F9080F" w:rsidRDefault="00186B39" w:rsidP="00AF31F4">
      <w:pPr>
        <w:pStyle w:val="ListParagraph"/>
        <w:numPr>
          <w:ilvl w:val="0"/>
          <w:numId w:val="13"/>
        </w:numPr>
        <w:jc w:val="left"/>
        <w:rPr>
          <w:rFonts w:ascii="Arial" w:hAnsi="Arial" w:cs="Arial"/>
        </w:rPr>
      </w:pPr>
      <w:r w:rsidRPr="00F9080F">
        <w:rPr>
          <w:rFonts w:ascii="Arial" w:hAnsi="Arial" w:cs="Arial"/>
          <w:i/>
        </w:rPr>
        <w:t>Clearing of old ranges</w:t>
      </w:r>
      <w:r w:rsidRPr="00F9080F">
        <w:rPr>
          <w:rFonts w:ascii="Arial" w:hAnsi="Arial" w:cs="Arial"/>
        </w:rPr>
        <w:t xml:space="preserve"> - how and when </w:t>
      </w:r>
      <w:r w:rsidR="000030F0" w:rsidRPr="00F9080F">
        <w:rPr>
          <w:rFonts w:ascii="Arial" w:hAnsi="Arial" w:cs="Arial"/>
        </w:rPr>
        <w:t xml:space="preserve">we </w:t>
      </w:r>
      <w:r w:rsidR="00762CE7" w:rsidRPr="00F9080F">
        <w:rPr>
          <w:rFonts w:ascii="Arial" w:hAnsi="Arial" w:cs="Arial"/>
        </w:rPr>
        <w:t>clear</w:t>
      </w:r>
      <w:r w:rsidR="00B356A1" w:rsidRPr="00F9080F">
        <w:rPr>
          <w:rFonts w:ascii="Arial" w:hAnsi="Arial" w:cs="Arial"/>
        </w:rPr>
        <w:t xml:space="preserve"> is now</w:t>
      </w:r>
      <w:r w:rsidR="00762CE7" w:rsidRPr="00F9080F">
        <w:rPr>
          <w:rFonts w:ascii="Arial" w:hAnsi="Arial" w:cs="Arial"/>
        </w:rPr>
        <w:t xml:space="preserve"> </w:t>
      </w:r>
      <w:r w:rsidRPr="00F9080F">
        <w:rPr>
          <w:rFonts w:ascii="Arial" w:hAnsi="Arial" w:cs="Arial"/>
        </w:rPr>
        <w:t>supported by group best practice to enable a consistent approach, to maximise customer availability and proposition whilst minimising the financial cost</w:t>
      </w:r>
      <w:r w:rsidR="00B356A1" w:rsidRPr="00F9080F">
        <w:rPr>
          <w:rFonts w:ascii="Arial" w:hAnsi="Arial" w:cs="Arial"/>
        </w:rPr>
        <w:t>. Clearance has started and is so far on track</w:t>
      </w:r>
    </w:p>
    <w:p w:rsidR="00186B39" w:rsidRPr="00F9080F" w:rsidRDefault="00186B39" w:rsidP="00AF31F4">
      <w:pPr>
        <w:pStyle w:val="ListParagraph"/>
        <w:numPr>
          <w:ilvl w:val="0"/>
          <w:numId w:val="13"/>
        </w:numPr>
        <w:jc w:val="left"/>
        <w:rPr>
          <w:rFonts w:ascii="Arial" w:hAnsi="Arial" w:cs="Arial"/>
        </w:rPr>
      </w:pPr>
      <w:r w:rsidRPr="00F9080F">
        <w:rPr>
          <w:rFonts w:ascii="Arial" w:hAnsi="Arial" w:cs="Arial"/>
          <w:i/>
        </w:rPr>
        <w:t>Remerchandising of new ranges</w:t>
      </w:r>
      <w:r w:rsidRPr="00F9080F">
        <w:rPr>
          <w:rFonts w:ascii="Arial" w:hAnsi="Arial" w:cs="Arial"/>
        </w:rPr>
        <w:t xml:space="preserve"> - how we </w:t>
      </w:r>
      <w:r w:rsidR="00185D83" w:rsidRPr="00F9080F">
        <w:rPr>
          <w:rFonts w:ascii="Arial" w:hAnsi="Arial" w:cs="Arial"/>
        </w:rPr>
        <w:t xml:space="preserve">physically remerchandise 25% of our company wide store space </w:t>
      </w:r>
      <w:r w:rsidR="00B356A1" w:rsidRPr="00F9080F">
        <w:rPr>
          <w:rFonts w:ascii="Arial" w:hAnsi="Arial" w:cs="Arial"/>
        </w:rPr>
        <w:t xml:space="preserve">is now </w:t>
      </w:r>
      <w:r w:rsidR="00762CE7" w:rsidRPr="00F9080F">
        <w:rPr>
          <w:rFonts w:ascii="Arial" w:hAnsi="Arial" w:cs="Arial"/>
        </w:rPr>
        <w:t xml:space="preserve">supported </w:t>
      </w:r>
      <w:r w:rsidRPr="00F9080F">
        <w:rPr>
          <w:rFonts w:ascii="Arial" w:hAnsi="Arial" w:cs="Arial"/>
        </w:rPr>
        <w:t xml:space="preserve">by group best </w:t>
      </w:r>
      <w:r w:rsidR="00B356A1" w:rsidRPr="00F9080F">
        <w:rPr>
          <w:rFonts w:ascii="Arial" w:hAnsi="Arial" w:cs="Arial"/>
        </w:rPr>
        <w:t xml:space="preserve">practice with resourcing </w:t>
      </w:r>
      <w:r w:rsidR="007C361A">
        <w:rPr>
          <w:rFonts w:ascii="Arial" w:hAnsi="Arial" w:cs="Arial"/>
        </w:rPr>
        <w:t>plans</w:t>
      </w:r>
      <w:r w:rsidR="00B356A1" w:rsidRPr="00F9080F">
        <w:rPr>
          <w:rFonts w:ascii="Arial" w:hAnsi="Arial" w:cs="Arial"/>
        </w:rPr>
        <w:t xml:space="preserve"> </w:t>
      </w:r>
      <w:r w:rsidR="00762CE7" w:rsidRPr="00F9080F">
        <w:rPr>
          <w:rFonts w:ascii="Arial" w:hAnsi="Arial" w:cs="Arial"/>
        </w:rPr>
        <w:t>in place</w:t>
      </w:r>
      <w:r w:rsidR="00A850ED">
        <w:rPr>
          <w:rFonts w:ascii="Arial" w:hAnsi="Arial" w:cs="Arial"/>
        </w:rPr>
        <w:t xml:space="preserve"> and</w:t>
      </w:r>
      <w:r w:rsidR="007C453A">
        <w:rPr>
          <w:rFonts w:ascii="Arial" w:hAnsi="Arial" w:cs="Arial"/>
        </w:rPr>
        <w:t>;</w:t>
      </w:r>
    </w:p>
    <w:p w:rsidR="00BA6D64" w:rsidRPr="00F9080F" w:rsidRDefault="00762CE7" w:rsidP="00AF31F4">
      <w:pPr>
        <w:pStyle w:val="ListParagraph"/>
        <w:numPr>
          <w:ilvl w:val="0"/>
          <w:numId w:val="14"/>
        </w:numPr>
        <w:jc w:val="left"/>
        <w:rPr>
          <w:rFonts w:ascii="Arial" w:hAnsi="Arial" w:cs="Arial"/>
        </w:rPr>
      </w:pPr>
      <w:r w:rsidRPr="00F9080F">
        <w:rPr>
          <w:rFonts w:ascii="Arial" w:hAnsi="Arial" w:cs="Arial"/>
          <w:i/>
        </w:rPr>
        <w:t>Managing the volume of organisational change</w:t>
      </w:r>
      <w:r w:rsidRPr="00F9080F">
        <w:rPr>
          <w:rFonts w:ascii="Arial" w:hAnsi="Arial" w:cs="Arial"/>
        </w:rPr>
        <w:t xml:space="preserve"> - </w:t>
      </w:r>
      <w:r w:rsidR="00B356A1" w:rsidRPr="00F9080F">
        <w:rPr>
          <w:rFonts w:ascii="Arial" w:hAnsi="Arial" w:cs="Arial"/>
        </w:rPr>
        <w:t xml:space="preserve">we have </w:t>
      </w:r>
      <w:r w:rsidR="00D71831" w:rsidRPr="00C31F13">
        <w:rPr>
          <w:rFonts w:ascii="Arial" w:hAnsi="Arial" w:cs="Arial"/>
        </w:rPr>
        <w:t>identified</w:t>
      </w:r>
      <w:r w:rsidRPr="00F9080F">
        <w:rPr>
          <w:rFonts w:ascii="Arial" w:hAnsi="Arial" w:cs="Arial"/>
        </w:rPr>
        <w:t xml:space="preserve"> the need to approach the</w:t>
      </w:r>
      <w:r w:rsidR="00B356A1" w:rsidRPr="00F9080F">
        <w:rPr>
          <w:rFonts w:ascii="Arial" w:hAnsi="Arial" w:cs="Arial"/>
        </w:rPr>
        <w:t xml:space="preserve"> wider</w:t>
      </w:r>
      <w:r w:rsidRPr="00F9080F">
        <w:rPr>
          <w:rFonts w:ascii="Arial" w:hAnsi="Arial" w:cs="Arial"/>
        </w:rPr>
        <w:t xml:space="preserve"> transformation as a series of </w:t>
      </w:r>
      <w:r w:rsidR="0071504B">
        <w:rPr>
          <w:rFonts w:ascii="Arial" w:hAnsi="Arial" w:cs="Arial"/>
        </w:rPr>
        <w:t xml:space="preserve">sequential </w:t>
      </w:r>
      <w:r w:rsidRPr="00F9080F">
        <w:rPr>
          <w:rFonts w:ascii="Arial" w:hAnsi="Arial" w:cs="Arial"/>
        </w:rPr>
        <w:t>‘change releases’ to ensure appropriate cross visibility and prioritisation</w:t>
      </w:r>
      <w:r w:rsidR="00B356A1" w:rsidRPr="00F9080F">
        <w:rPr>
          <w:rFonts w:ascii="Arial" w:hAnsi="Arial" w:cs="Arial"/>
        </w:rPr>
        <w:t xml:space="preserve">. </w:t>
      </w:r>
    </w:p>
    <w:p w:rsidR="00185D83" w:rsidRDefault="00185D83" w:rsidP="00185D83">
      <w:pPr>
        <w:jc w:val="left"/>
        <w:rPr>
          <w:rFonts w:ascii="Arial" w:hAnsi="Arial" w:cs="Arial"/>
          <w:sz w:val="24"/>
          <w:szCs w:val="24"/>
        </w:rPr>
      </w:pPr>
    </w:p>
    <w:p w:rsidR="00767C7D" w:rsidRDefault="00767C7D" w:rsidP="00134B83">
      <w:pPr>
        <w:spacing w:after="200"/>
        <w:contextualSpacing/>
        <w:jc w:val="left"/>
        <w:rPr>
          <w:rFonts w:ascii="Arial" w:hAnsi="Arial" w:cs="Arial"/>
          <w:b/>
          <w:sz w:val="24"/>
          <w:szCs w:val="24"/>
        </w:rPr>
      </w:pPr>
    </w:p>
    <w:p w:rsidR="00A80137" w:rsidRPr="00A845B7" w:rsidRDefault="00332C10" w:rsidP="00134B83">
      <w:pPr>
        <w:spacing w:after="200"/>
        <w:contextualSpacing/>
        <w:jc w:val="left"/>
        <w:rPr>
          <w:rFonts w:ascii="Arial" w:hAnsi="Arial" w:cs="Arial"/>
          <w:b/>
        </w:rPr>
      </w:pPr>
      <w:r w:rsidRPr="00A845B7">
        <w:rPr>
          <w:rFonts w:ascii="Arial" w:hAnsi="Arial" w:cs="Arial"/>
          <w:b/>
        </w:rPr>
        <w:t>Strategic</w:t>
      </w:r>
      <w:r w:rsidR="00A80137" w:rsidRPr="00A845B7">
        <w:rPr>
          <w:rFonts w:ascii="Arial" w:hAnsi="Arial" w:cs="Arial"/>
          <w:b/>
        </w:rPr>
        <w:t xml:space="preserve"> </w:t>
      </w:r>
      <w:r w:rsidRPr="00A845B7">
        <w:rPr>
          <w:rFonts w:ascii="Arial" w:hAnsi="Arial" w:cs="Arial"/>
          <w:b/>
        </w:rPr>
        <w:t>m</w:t>
      </w:r>
      <w:r w:rsidR="00A80137" w:rsidRPr="00A845B7">
        <w:rPr>
          <w:rFonts w:ascii="Arial" w:hAnsi="Arial" w:cs="Arial"/>
          <w:b/>
        </w:rPr>
        <w:t>ilestones</w:t>
      </w:r>
      <w:r w:rsidRPr="00A845B7">
        <w:rPr>
          <w:rFonts w:ascii="Arial" w:hAnsi="Arial" w:cs="Arial"/>
          <w:b/>
        </w:rPr>
        <w:t xml:space="preserve"> for 2017/18</w:t>
      </w:r>
      <w:r w:rsidR="00A35D34" w:rsidRPr="00A845B7">
        <w:rPr>
          <w:rFonts w:ascii="Arial" w:hAnsi="Arial" w:cs="Arial"/>
          <w:b/>
        </w:rPr>
        <w:t>:</w:t>
      </w:r>
    </w:p>
    <w:p w:rsidR="00332C10" w:rsidRPr="001505B3" w:rsidRDefault="00332C10" w:rsidP="00134B83">
      <w:pPr>
        <w:spacing w:after="200"/>
        <w:contextualSpacing/>
        <w:jc w:val="left"/>
        <w:rPr>
          <w:rFonts w:ascii="Arial" w:hAnsi="Arial" w:cs="Arial"/>
          <w:b/>
          <w:sz w:val="24"/>
          <w:szCs w:val="24"/>
        </w:rPr>
      </w:pPr>
    </w:p>
    <w:tbl>
      <w:tblPr>
        <w:tblStyle w:val="TableGrid"/>
        <w:tblW w:w="0" w:type="auto"/>
        <w:tblLook w:val="04A0" w:firstRow="1" w:lastRow="0" w:firstColumn="1" w:lastColumn="0" w:noHBand="0" w:noVBand="1"/>
      </w:tblPr>
      <w:tblGrid>
        <w:gridCol w:w="9631"/>
      </w:tblGrid>
      <w:tr w:rsidR="00713333" w:rsidRPr="00713333" w:rsidTr="00713333">
        <w:tc>
          <w:tcPr>
            <w:tcW w:w="9631" w:type="dxa"/>
          </w:tcPr>
          <w:p w:rsidR="0094503D" w:rsidRDefault="0094503D" w:rsidP="00713333">
            <w:pPr>
              <w:spacing w:after="200"/>
              <w:contextualSpacing/>
              <w:jc w:val="left"/>
              <w:rPr>
                <w:rFonts w:ascii="Arial" w:hAnsi="Arial" w:cs="Arial"/>
                <w:sz w:val="22"/>
                <w:szCs w:val="22"/>
                <w:u w:val="single"/>
              </w:rPr>
            </w:pPr>
          </w:p>
          <w:p w:rsidR="00713333" w:rsidRPr="00A845B7" w:rsidRDefault="00713333" w:rsidP="00713333">
            <w:pPr>
              <w:spacing w:after="200"/>
              <w:contextualSpacing/>
              <w:jc w:val="left"/>
              <w:rPr>
                <w:rFonts w:ascii="Arial" w:hAnsi="Arial" w:cs="Arial"/>
                <w:sz w:val="22"/>
                <w:szCs w:val="22"/>
                <w:u w:val="single"/>
              </w:rPr>
            </w:pPr>
            <w:r w:rsidRPr="00A845B7">
              <w:rPr>
                <w:rFonts w:ascii="Arial" w:hAnsi="Arial" w:cs="Arial"/>
                <w:sz w:val="22"/>
                <w:szCs w:val="22"/>
                <w:u w:val="single"/>
              </w:rPr>
              <w:t>Unified &amp; Unique Offer</w:t>
            </w:r>
          </w:p>
          <w:p w:rsidR="00713333" w:rsidRPr="00A845B7" w:rsidRDefault="00713333" w:rsidP="00AF31F4">
            <w:pPr>
              <w:pStyle w:val="ListParagraph"/>
              <w:numPr>
                <w:ilvl w:val="0"/>
                <w:numId w:val="13"/>
              </w:numPr>
              <w:spacing w:after="200"/>
              <w:contextualSpacing/>
              <w:jc w:val="left"/>
              <w:rPr>
                <w:rFonts w:ascii="Arial" w:hAnsi="Arial" w:cs="Arial"/>
                <w:i/>
                <w:sz w:val="22"/>
                <w:szCs w:val="22"/>
              </w:rPr>
            </w:pPr>
            <w:r w:rsidRPr="00A845B7">
              <w:rPr>
                <w:rFonts w:ascii="Arial" w:hAnsi="Arial" w:cs="Arial"/>
                <w:i/>
                <w:sz w:val="22"/>
                <w:szCs w:val="22"/>
              </w:rPr>
              <w:t>Achieve 20% unified COGS</w:t>
            </w:r>
          </w:p>
          <w:p w:rsidR="00713333" w:rsidRPr="0015723F" w:rsidRDefault="00713333" w:rsidP="00713333">
            <w:pPr>
              <w:spacing w:after="200"/>
              <w:contextualSpacing/>
              <w:jc w:val="left"/>
              <w:rPr>
                <w:rFonts w:ascii="Arial" w:hAnsi="Arial" w:cs="Arial"/>
                <w:i/>
                <w:sz w:val="22"/>
                <w:szCs w:val="22"/>
              </w:rPr>
            </w:pPr>
            <w:r w:rsidRPr="00A845B7">
              <w:rPr>
                <w:rFonts w:ascii="Arial" w:hAnsi="Arial" w:cs="Arial"/>
                <w:sz w:val="22"/>
                <w:szCs w:val="22"/>
                <w:u w:val="single"/>
              </w:rPr>
              <w:t>Digital</w:t>
            </w:r>
          </w:p>
          <w:p w:rsidR="0015723F" w:rsidRPr="0015723F" w:rsidRDefault="0015723F" w:rsidP="0015723F">
            <w:pPr>
              <w:pStyle w:val="ListParagraph"/>
              <w:numPr>
                <w:ilvl w:val="0"/>
                <w:numId w:val="13"/>
              </w:numPr>
              <w:spacing w:after="200"/>
              <w:contextualSpacing/>
              <w:rPr>
                <w:rFonts w:ascii="Arial" w:hAnsi="Arial" w:cs="Arial"/>
                <w:i/>
                <w:sz w:val="22"/>
                <w:szCs w:val="22"/>
              </w:rPr>
            </w:pPr>
            <w:r w:rsidRPr="0015723F">
              <w:rPr>
                <w:rFonts w:ascii="Arial" w:hAnsi="Arial" w:cs="Arial"/>
                <w:i/>
                <w:sz w:val="22"/>
                <w:szCs w:val="22"/>
              </w:rPr>
              <w:t xml:space="preserve">Deliver Year 2 of 3 year unified IT platform roll out alongside Brilliant Basics </w:t>
            </w:r>
          </w:p>
          <w:p w:rsidR="00713333" w:rsidRPr="00A845B7" w:rsidRDefault="00713333" w:rsidP="00713333">
            <w:pPr>
              <w:spacing w:after="200"/>
              <w:contextualSpacing/>
              <w:jc w:val="left"/>
              <w:rPr>
                <w:rFonts w:ascii="Arial" w:hAnsi="Arial" w:cs="Arial"/>
                <w:sz w:val="22"/>
                <w:szCs w:val="22"/>
                <w:u w:val="single"/>
              </w:rPr>
            </w:pPr>
            <w:r w:rsidRPr="00A845B7">
              <w:rPr>
                <w:rFonts w:ascii="Arial" w:hAnsi="Arial" w:cs="Arial"/>
                <w:sz w:val="22"/>
                <w:szCs w:val="22"/>
                <w:u w:val="single"/>
              </w:rPr>
              <w:t>Operational Efficiency</w:t>
            </w:r>
          </w:p>
          <w:p w:rsidR="00713333" w:rsidRPr="00F9080F" w:rsidRDefault="00713333" w:rsidP="00AF31F4">
            <w:pPr>
              <w:pStyle w:val="ListParagraph"/>
              <w:numPr>
                <w:ilvl w:val="0"/>
                <w:numId w:val="13"/>
              </w:numPr>
              <w:spacing w:after="200"/>
              <w:contextualSpacing/>
              <w:jc w:val="left"/>
              <w:rPr>
                <w:rFonts w:ascii="Arial" w:hAnsi="Arial" w:cs="Arial"/>
                <w:i/>
                <w:sz w:val="22"/>
                <w:szCs w:val="22"/>
              </w:rPr>
            </w:pPr>
            <w:r w:rsidRPr="00F9080F">
              <w:rPr>
                <w:rFonts w:ascii="Arial" w:hAnsi="Arial" w:cs="Arial"/>
                <w:i/>
                <w:sz w:val="22"/>
                <w:szCs w:val="22"/>
              </w:rPr>
              <w:t>Deliver</w:t>
            </w:r>
            <w:r w:rsidR="0015723F">
              <w:rPr>
                <w:rFonts w:ascii="Arial" w:hAnsi="Arial" w:cs="Arial"/>
                <w:i/>
                <w:sz w:val="22"/>
                <w:szCs w:val="22"/>
              </w:rPr>
              <w:t xml:space="preserve"> a further</w:t>
            </w:r>
            <w:r w:rsidRPr="00F9080F">
              <w:rPr>
                <w:rFonts w:ascii="Arial" w:hAnsi="Arial" w:cs="Arial"/>
                <w:i/>
                <w:sz w:val="22"/>
                <w:szCs w:val="22"/>
              </w:rPr>
              <w:t xml:space="preserve"> £</w:t>
            </w:r>
            <w:r w:rsidR="00A35D34" w:rsidRPr="00F9080F">
              <w:rPr>
                <w:rFonts w:ascii="Arial" w:hAnsi="Arial" w:cs="Arial"/>
                <w:i/>
                <w:sz w:val="22"/>
                <w:szCs w:val="22"/>
              </w:rPr>
              <w:t>20</w:t>
            </w:r>
            <w:r w:rsidRPr="00F9080F">
              <w:rPr>
                <w:rFonts w:ascii="Arial" w:hAnsi="Arial" w:cs="Arial"/>
                <w:i/>
                <w:sz w:val="22"/>
                <w:szCs w:val="22"/>
              </w:rPr>
              <w:t>m benefits from unified GNFR programme</w:t>
            </w:r>
          </w:p>
        </w:tc>
      </w:tr>
    </w:tbl>
    <w:p w:rsidR="00464FD5" w:rsidRDefault="00464FD5" w:rsidP="00134B83">
      <w:pPr>
        <w:spacing w:after="200"/>
        <w:contextualSpacing/>
        <w:jc w:val="left"/>
        <w:rPr>
          <w:rFonts w:ascii="Arial" w:hAnsi="Arial" w:cs="Arial"/>
          <w:b/>
          <w:sz w:val="24"/>
          <w:szCs w:val="24"/>
          <w:highlight w:val="yellow"/>
        </w:rPr>
      </w:pPr>
    </w:p>
    <w:p w:rsidR="00A80137" w:rsidRDefault="00A80137" w:rsidP="00134B83">
      <w:pPr>
        <w:spacing w:after="200"/>
        <w:contextualSpacing/>
        <w:jc w:val="left"/>
        <w:rPr>
          <w:rFonts w:ascii="Arial" w:hAnsi="Arial" w:cs="Arial"/>
          <w:b/>
          <w:sz w:val="24"/>
          <w:szCs w:val="24"/>
          <w:highlight w:val="yellow"/>
        </w:rPr>
      </w:pPr>
    </w:p>
    <w:p w:rsidR="00134B83" w:rsidRPr="00A845B7" w:rsidRDefault="00134B83" w:rsidP="00134B83">
      <w:pPr>
        <w:spacing w:after="200"/>
        <w:contextualSpacing/>
        <w:jc w:val="left"/>
        <w:rPr>
          <w:rFonts w:ascii="Arial" w:hAnsi="Arial" w:cs="Arial"/>
          <w:b/>
        </w:rPr>
      </w:pPr>
      <w:r w:rsidRPr="00A845B7">
        <w:rPr>
          <w:rFonts w:ascii="Arial" w:hAnsi="Arial" w:cs="Arial"/>
          <w:b/>
        </w:rPr>
        <w:t>Summary</w:t>
      </w:r>
      <w:r w:rsidR="001A79E0" w:rsidRPr="00A845B7">
        <w:rPr>
          <w:rFonts w:ascii="Arial" w:hAnsi="Arial" w:cs="Arial"/>
          <w:b/>
        </w:rPr>
        <w:t>:</w:t>
      </w:r>
    </w:p>
    <w:p w:rsidR="00134B83" w:rsidRPr="00F764D3" w:rsidRDefault="00134B83" w:rsidP="00134B83">
      <w:pPr>
        <w:spacing w:after="200"/>
        <w:contextualSpacing/>
        <w:jc w:val="left"/>
        <w:rPr>
          <w:rFonts w:ascii="Arial" w:hAnsi="Arial" w:cs="Arial"/>
          <w:sz w:val="24"/>
          <w:szCs w:val="24"/>
          <w:highlight w:val="yellow"/>
        </w:rPr>
      </w:pPr>
    </w:p>
    <w:p w:rsidR="00FA6F68" w:rsidRPr="00F9080F" w:rsidRDefault="00C85CCF" w:rsidP="002E570E">
      <w:pPr>
        <w:jc w:val="left"/>
        <w:rPr>
          <w:rFonts w:ascii="Arial" w:hAnsi="Arial" w:cs="Arial"/>
          <w:bCs/>
        </w:rPr>
      </w:pPr>
      <w:r>
        <w:rPr>
          <w:rFonts w:ascii="Arial" w:hAnsi="Arial" w:cs="Arial"/>
          <w:bCs/>
        </w:rPr>
        <w:t>Key</w:t>
      </w:r>
      <w:r w:rsidR="00A46AA8" w:rsidRPr="00F9080F">
        <w:rPr>
          <w:rFonts w:ascii="Arial" w:hAnsi="Arial" w:cs="Arial"/>
          <w:bCs/>
        </w:rPr>
        <w:t xml:space="preserve"> </w:t>
      </w:r>
      <w:r w:rsidR="00B356A1" w:rsidRPr="00F9080F">
        <w:rPr>
          <w:rFonts w:ascii="Arial" w:hAnsi="Arial" w:cs="Arial"/>
          <w:bCs/>
        </w:rPr>
        <w:t>Year 1</w:t>
      </w:r>
      <w:r w:rsidR="003445C3" w:rsidRPr="00F9080F">
        <w:rPr>
          <w:rFonts w:ascii="Arial" w:hAnsi="Arial" w:cs="Arial"/>
          <w:bCs/>
        </w:rPr>
        <w:t xml:space="preserve"> </w:t>
      </w:r>
      <w:r w:rsidR="00DC3339" w:rsidRPr="00F9080F">
        <w:rPr>
          <w:rFonts w:ascii="Arial" w:hAnsi="Arial" w:cs="Arial"/>
          <w:bCs/>
        </w:rPr>
        <w:t>strategic</w:t>
      </w:r>
      <w:r w:rsidR="003445C3" w:rsidRPr="00F9080F">
        <w:rPr>
          <w:rFonts w:ascii="Arial" w:hAnsi="Arial" w:cs="Arial"/>
          <w:bCs/>
        </w:rPr>
        <w:t xml:space="preserve"> milestones</w:t>
      </w:r>
      <w:r w:rsidR="001A79E0" w:rsidRPr="00F9080F">
        <w:rPr>
          <w:rFonts w:ascii="Arial" w:hAnsi="Arial" w:cs="Arial"/>
          <w:bCs/>
        </w:rPr>
        <w:t xml:space="preserve"> have </w:t>
      </w:r>
      <w:r w:rsidR="00A71597" w:rsidRPr="00F9080F">
        <w:rPr>
          <w:rFonts w:ascii="Arial" w:hAnsi="Arial" w:cs="Arial"/>
          <w:bCs/>
        </w:rPr>
        <w:t>been</w:t>
      </w:r>
      <w:r w:rsidR="00A46AA8">
        <w:rPr>
          <w:rFonts w:ascii="Arial" w:hAnsi="Arial" w:cs="Arial"/>
          <w:bCs/>
        </w:rPr>
        <w:t xml:space="preserve"> delivered</w:t>
      </w:r>
      <w:r>
        <w:rPr>
          <w:rFonts w:ascii="Arial" w:hAnsi="Arial" w:cs="Arial"/>
          <w:bCs/>
        </w:rPr>
        <w:t>,</w:t>
      </w:r>
      <w:r w:rsidR="000730F3">
        <w:rPr>
          <w:rFonts w:ascii="Arial" w:hAnsi="Arial" w:cs="Arial"/>
          <w:bCs/>
        </w:rPr>
        <w:t xml:space="preserve"> we are well set up for Year 2</w:t>
      </w:r>
      <w:r w:rsidR="00A71597" w:rsidRPr="00F9080F">
        <w:rPr>
          <w:rFonts w:ascii="Arial" w:hAnsi="Arial" w:cs="Arial"/>
          <w:bCs/>
        </w:rPr>
        <w:t xml:space="preserve"> and key learnings have</w:t>
      </w:r>
      <w:r w:rsidR="000730F3">
        <w:rPr>
          <w:rFonts w:ascii="Arial" w:hAnsi="Arial" w:cs="Arial"/>
          <w:bCs/>
        </w:rPr>
        <w:t xml:space="preserve"> been taken on board</w:t>
      </w:r>
      <w:r w:rsidR="00D13500" w:rsidRPr="00F9080F">
        <w:rPr>
          <w:rFonts w:ascii="Arial" w:hAnsi="Arial" w:cs="Arial"/>
          <w:bCs/>
        </w:rPr>
        <w:t xml:space="preserve">. </w:t>
      </w:r>
      <w:r w:rsidR="000730F3">
        <w:rPr>
          <w:rFonts w:ascii="Arial" w:hAnsi="Arial" w:cs="Arial"/>
          <w:bCs/>
        </w:rPr>
        <w:t>We are reaffirming our five year financial targets and although t</w:t>
      </w:r>
      <w:r w:rsidR="00A71597" w:rsidRPr="00F9080F">
        <w:rPr>
          <w:rFonts w:ascii="Arial" w:hAnsi="Arial" w:cs="Arial"/>
          <w:bCs/>
        </w:rPr>
        <w:t xml:space="preserve">otal </w:t>
      </w:r>
      <w:r w:rsidR="00FA6F68" w:rsidRPr="00F9080F">
        <w:rPr>
          <w:rFonts w:ascii="Arial" w:hAnsi="Arial" w:cs="Arial"/>
          <w:bCs/>
        </w:rPr>
        <w:t xml:space="preserve">transformation costs for </w:t>
      </w:r>
      <w:r w:rsidR="00FA08D9">
        <w:rPr>
          <w:rFonts w:ascii="Arial" w:hAnsi="Arial" w:cs="Arial"/>
          <w:bCs/>
        </w:rPr>
        <w:t>Year 1</w:t>
      </w:r>
      <w:r w:rsidR="00FA6F68" w:rsidRPr="00F9080F">
        <w:rPr>
          <w:rFonts w:ascii="Arial" w:hAnsi="Arial" w:cs="Arial"/>
          <w:bCs/>
        </w:rPr>
        <w:t xml:space="preserve"> </w:t>
      </w:r>
      <w:r w:rsidR="000835E6">
        <w:rPr>
          <w:rFonts w:ascii="Arial" w:hAnsi="Arial" w:cs="Arial"/>
          <w:bCs/>
        </w:rPr>
        <w:t>we</w:t>
      </w:r>
      <w:r w:rsidR="00FA6F68" w:rsidRPr="00F9080F">
        <w:rPr>
          <w:rFonts w:ascii="Arial" w:hAnsi="Arial" w:cs="Arial"/>
          <w:bCs/>
        </w:rPr>
        <w:t xml:space="preserve">re lower than originally guided, reflecting lower </w:t>
      </w:r>
      <w:r w:rsidR="00A2041B" w:rsidRPr="00F9080F">
        <w:rPr>
          <w:rFonts w:ascii="Arial" w:hAnsi="Arial" w:cs="Arial"/>
          <w:bCs/>
        </w:rPr>
        <w:t xml:space="preserve">initial </w:t>
      </w:r>
      <w:r w:rsidR="006058FA" w:rsidRPr="00F9080F">
        <w:rPr>
          <w:rFonts w:ascii="Arial" w:hAnsi="Arial" w:cs="Arial"/>
          <w:bCs/>
        </w:rPr>
        <w:t>reorganisation</w:t>
      </w:r>
      <w:r w:rsidR="00FA6F68" w:rsidRPr="00F9080F">
        <w:rPr>
          <w:rFonts w:ascii="Arial" w:hAnsi="Arial" w:cs="Arial"/>
          <w:bCs/>
        </w:rPr>
        <w:t xml:space="preserve"> costs</w:t>
      </w:r>
      <w:r w:rsidR="00A2041B" w:rsidRPr="00F9080F">
        <w:rPr>
          <w:rFonts w:ascii="Arial" w:hAnsi="Arial" w:cs="Arial"/>
          <w:bCs/>
        </w:rPr>
        <w:t xml:space="preserve"> and phasing on spend</w:t>
      </w:r>
      <w:r w:rsidR="000730F3">
        <w:rPr>
          <w:rFonts w:ascii="Arial" w:hAnsi="Arial" w:cs="Arial"/>
          <w:bCs/>
        </w:rPr>
        <w:t xml:space="preserve">, we are not </w:t>
      </w:r>
      <w:r w:rsidR="00FA6F68" w:rsidRPr="00F9080F">
        <w:rPr>
          <w:rFonts w:ascii="Arial" w:hAnsi="Arial" w:cs="Arial"/>
          <w:bCs/>
        </w:rPr>
        <w:t xml:space="preserve">changing our five year total transformation cost </w:t>
      </w:r>
      <w:r w:rsidR="00BE0412" w:rsidRPr="00F9080F">
        <w:rPr>
          <w:rFonts w:ascii="Arial" w:hAnsi="Arial" w:cs="Arial"/>
          <w:bCs/>
        </w:rPr>
        <w:t xml:space="preserve">guidance </w:t>
      </w:r>
      <w:r w:rsidR="00FA6F68" w:rsidRPr="00F9080F">
        <w:rPr>
          <w:rFonts w:ascii="Arial" w:hAnsi="Arial" w:cs="Arial"/>
          <w:bCs/>
        </w:rPr>
        <w:t>of £800m</w:t>
      </w:r>
      <w:r w:rsidR="00BE0412" w:rsidRPr="00F9080F">
        <w:rPr>
          <w:rFonts w:ascii="Arial" w:hAnsi="Arial" w:cs="Arial"/>
          <w:bCs/>
        </w:rPr>
        <w:t>. It</w:t>
      </w:r>
      <w:r w:rsidR="00FA6F68" w:rsidRPr="00F9080F">
        <w:rPr>
          <w:rFonts w:ascii="Arial" w:hAnsi="Arial" w:cs="Arial"/>
          <w:bCs/>
        </w:rPr>
        <w:t xml:space="preserve"> is early days and given the nature of the plan, phasing differences are to be expected. </w:t>
      </w:r>
    </w:p>
    <w:p w:rsidR="00FA6F68" w:rsidRPr="00F9080F" w:rsidRDefault="00FA6F68" w:rsidP="002E570E">
      <w:pPr>
        <w:jc w:val="left"/>
        <w:rPr>
          <w:rFonts w:ascii="Arial" w:hAnsi="Arial" w:cs="Arial"/>
          <w:bCs/>
        </w:rPr>
      </w:pPr>
    </w:p>
    <w:p w:rsidR="00FA6F68" w:rsidRPr="00F9080F" w:rsidRDefault="00FA6F68" w:rsidP="00B6158A">
      <w:pPr>
        <w:jc w:val="left"/>
        <w:rPr>
          <w:rFonts w:ascii="Arial" w:hAnsi="Arial" w:cs="Arial"/>
          <w:bCs/>
        </w:rPr>
      </w:pPr>
      <w:r w:rsidRPr="00F9080F">
        <w:rPr>
          <w:rFonts w:ascii="Arial" w:hAnsi="Arial" w:cs="Arial"/>
        </w:rPr>
        <w:t xml:space="preserve">We continue to monitor our progress against our financial and </w:t>
      </w:r>
      <w:r w:rsidR="00DC3339" w:rsidRPr="00F9080F">
        <w:rPr>
          <w:rFonts w:ascii="Arial" w:hAnsi="Arial" w:cs="Arial"/>
        </w:rPr>
        <w:t>strategic</w:t>
      </w:r>
      <w:r w:rsidRPr="00F9080F">
        <w:rPr>
          <w:rFonts w:ascii="Arial" w:hAnsi="Arial" w:cs="Arial"/>
        </w:rPr>
        <w:t xml:space="preserve"> milestones, and we will update as we progress.</w:t>
      </w:r>
    </w:p>
    <w:p w:rsidR="003445C3" w:rsidRDefault="003445C3" w:rsidP="00134B83">
      <w:pPr>
        <w:spacing w:after="200"/>
        <w:contextualSpacing/>
        <w:jc w:val="left"/>
        <w:rPr>
          <w:rFonts w:ascii="Arial" w:hAnsi="Arial" w:cs="Arial"/>
          <w:bCs/>
          <w:sz w:val="24"/>
          <w:szCs w:val="24"/>
        </w:rPr>
      </w:pPr>
    </w:p>
    <w:p w:rsidR="00B356A1" w:rsidRDefault="00B356A1">
      <w:pPr>
        <w:jc w:val="left"/>
        <w:rPr>
          <w:rFonts w:ascii="Arial" w:hAnsi="Arial" w:cs="Arial"/>
          <w:b/>
          <w:bCs/>
          <w:sz w:val="24"/>
          <w:szCs w:val="24"/>
        </w:rPr>
      </w:pPr>
      <w:r>
        <w:rPr>
          <w:rFonts w:ascii="Arial" w:hAnsi="Arial" w:cs="Arial"/>
          <w:b/>
          <w:bCs/>
          <w:sz w:val="24"/>
          <w:szCs w:val="24"/>
        </w:rPr>
        <w:br w:type="page"/>
      </w:r>
    </w:p>
    <w:p w:rsidR="00C62542" w:rsidRPr="00A845B7" w:rsidRDefault="00C62542" w:rsidP="00C62542">
      <w:pPr>
        <w:jc w:val="left"/>
        <w:rPr>
          <w:rFonts w:ascii="Arial" w:hAnsi="Arial" w:cs="Arial"/>
          <w:b/>
          <w:bCs/>
        </w:rPr>
      </w:pPr>
      <w:r w:rsidRPr="00A845B7">
        <w:rPr>
          <w:rFonts w:ascii="Arial" w:hAnsi="Arial" w:cs="Arial"/>
          <w:b/>
          <w:bCs/>
        </w:rPr>
        <w:lastRenderedPageBreak/>
        <w:t xml:space="preserve">Section 2: Trading review by </w:t>
      </w:r>
      <w:r w:rsidR="00130A12" w:rsidRPr="00A845B7">
        <w:rPr>
          <w:rFonts w:ascii="Arial" w:hAnsi="Arial" w:cs="Arial"/>
          <w:b/>
          <w:bCs/>
        </w:rPr>
        <w:t>division</w:t>
      </w:r>
      <w:r w:rsidRPr="00A845B7">
        <w:rPr>
          <w:rFonts w:ascii="Arial" w:hAnsi="Arial" w:cs="Arial"/>
          <w:b/>
          <w:bCs/>
        </w:rPr>
        <w:t xml:space="preserve">  </w:t>
      </w:r>
    </w:p>
    <w:p w:rsidR="00DA4C33" w:rsidRDefault="00DA4C33" w:rsidP="00C62542">
      <w:pPr>
        <w:jc w:val="left"/>
        <w:rPr>
          <w:rFonts w:ascii="Arial" w:hAnsi="Arial" w:cs="Arial"/>
          <w:b/>
          <w:bCs/>
          <w:sz w:val="24"/>
          <w:szCs w:val="24"/>
        </w:rPr>
      </w:pPr>
    </w:p>
    <w:p w:rsidR="00DA4C33" w:rsidRPr="00F9080F" w:rsidRDefault="00DA4C33" w:rsidP="00C62542">
      <w:pPr>
        <w:jc w:val="left"/>
        <w:rPr>
          <w:rFonts w:ascii="Arial" w:hAnsi="Arial" w:cs="Arial"/>
          <w:bCs/>
          <w:i/>
        </w:rPr>
      </w:pPr>
      <w:r w:rsidRPr="00F9080F">
        <w:rPr>
          <w:rFonts w:ascii="Arial" w:hAnsi="Arial" w:cs="Arial"/>
          <w:bCs/>
          <w:i/>
        </w:rPr>
        <w:t>Note: all commentary below is in constant currencies</w:t>
      </w:r>
    </w:p>
    <w:p w:rsidR="00C62542" w:rsidRDefault="00C62542" w:rsidP="007D43ED">
      <w:pPr>
        <w:jc w:val="left"/>
        <w:rPr>
          <w:rFonts w:ascii="Arial" w:hAnsi="Arial" w:cs="Arial"/>
          <w:b/>
          <w:bCs/>
          <w:sz w:val="24"/>
          <w:szCs w:val="24"/>
        </w:rPr>
      </w:pPr>
    </w:p>
    <w:p w:rsidR="007D43ED" w:rsidRPr="00A845B7" w:rsidRDefault="007D43ED" w:rsidP="007D43ED">
      <w:pPr>
        <w:jc w:val="left"/>
        <w:rPr>
          <w:rFonts w:ascii="Arial" w:hAnsi="Arial" w:cs="Arial"/>
          <w:b/>
          <w:bCs/>
        </w:rPr>
      </w:pPr>
      <w:r w:rsidRPr="00A845B7">
        <w:rPr>
          <w:rFonts w:ascii="Arial" w:hAnsi="Arial" w:cs="Arial"/>
          <w:b/>
          <w:bCs/>
        </w:rPr>
        <w:t>UK &amp; IRELAND</w:t>
      </w:r>
    </w:p>
    <w:p w:rsidR="007D43ED" w:rsidRPr="00A845B7" w:rsidRDefault="007D43ED" w:rsidP="007D43ED">
      <w:pPr>
        <w:jc w:val="left"/>
        <w:rPr>
          <w:rFonts w:ascii="Arial" w:hAnsi="Arial" w:cs="Arial"/>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1323"/>
        <w:gridCol w:w="1319"/>
        <w:gridCol w:w="1612"/>
        <w:gridCol w:w="1759"/>
        <w:gridCol w:w="1173"/>
      </w:tblGrid>
      <w:tr w:rsidR="007D43ED" w:rsidRPr="00A845B7" w:rsidTr="006F78D1">
        <w:tc>
          <w:tcPr>
            <w:tcW w:w="1269" w:type="pct"/>
            <w:tcBorders>
              <w:bottom w:val="single" w:sz="4" w:space="0" w:color="auto"/>
            </w:tcBorders>
          </w:tcPr>
          <w:p w:rsidR="007D43ED" w:rsidRPr="00A845B7" w:rsidRDefault="007D43ED" w:rsidP="00C51098">
            <w:pPr>
              <w:rPr>
                <w:rFonts w:ascii="Arial" w:hAnsi="Arial" w:cs="Arial"/>
              </w:rPr>
            </w:pPr>
            <w:r w:rsidRPr="00A845B7">
              <w:rPr>
                <w:rFonts w:ascii="Arial" w:hAnsi="Arial" w:cs="Arial"/>
              </w:rPr>
              <w:t>£m</w:t>
            </w:r>
          </w:p>
        </w:tc>
        <w:tc>
          <w:tcPr>
            <w:tcW w:w="687" w:type="pct"/>
            <w:tcBorders>
              <w:bottom w:val="single" w:sz="4" w:space="0" w:color="auto"/>
            </w:tcBorders>
          </w:tcPr>
          <w:p w:rsidR="007D43ED" w:rsidRPr="00A845B7" w:rsidRDefault="007D43ED">
            <w:pPr>
              <w:jc w:val="right"/>
              <w:rPr>
                <w:rFonts w:ascii="Arial" w:hAnsi="Arial" w:cs="Arial"/>
              </w:rPr>
            </w:pPr>
            <w:r w:rsidRPr="00A845B7">
              <w:rPr>
                <w:rFonts w:ascii="Arial" w:hAnsi="Arial" w:cs="Arial"/>
                <w:b/>
                <w:bCs/>
              </w:rPr>
              <w:t>2016</w:t>
            </w:r>
            <w:r w:rsidR="002F5458" w:rsidRPr="00A845B7">
              <w:rPr>
                <w:rFonts w:ascii="Arial" w:hAnsi="Arial" w:cs="Arial"/>
                <w:b/>
                <w:bCs/>
              </w:rPr>
              <w:t>/17</w:t>
            </w:r>
          </w:p>
        </w:tc>
        <w:tc>
          <w:tcPr>
            <w:tcW w:w="685" w:type="pct"/>
            <w:tcBorders>
              <w:bottom w:val="single" w:sz="4" w:space="0" w:color="auto"/>
            </w:tcBorders>
          </w:tcPr>
          <w:p w:rsidR="007D43ED" w:rsidRPr="00A845B7" w:rsidRDefault="007D43ED">
            <w:pPr>
              <w:jc w:val="right"/>
              <w:rPr>
                <w:rFonts w:ascii="Arial" w:hAnsi="Arial" w:cs="Arial"/>
                <w:b/>
                <w:bCs/>
              </w:rPr>
            </w:pPr>
            <w:r w:rsidRPr="00A845B7">
              <w:rPr>
                <w:rFonts w:ascii="Arial" w:hAnsi="Arial" w:cs="Arial"/>
                <w:b/>
                <w:bCs/>
              </w:rPr>
              <w:t>2015</w:t>
            </w:r>
            <w:r w:rsidR="002F5458" w:rsidRPr="00A845B7">
              <w:rPr>
                <w:rFonts w:ascii="Arial" w:hAnsi="Arial" w:cs="Arial"/>
                <w:b/>
                <w:bCs/>
              </w:rPr>
              <w:t>/16</w:t>
            </w:r>
          </w:p>
        </w:tc>
        <w:tc>
          <w:tcPr>
            <w:tcW w:w="837" w:type="pct"/>
            <w:tcBorders>
              <w:bottom w:val="single" w:sz="4" w:space="0" w:color="auto"/>
            </w:tcBorders>
          </w:tcPr>
          <w:p w:rsidR="007D43ED" w:rsidRPr="00A845B7" w:rsidRDefault="007D43ED" w:rsidP="00C51098">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rsidR="007D43ED" w:rsidRPr="00A845B7" w:rsidRDefault="007D43ED" w:rsidP="00C51098">
            <w:pPr>
              <w:jc w:val="right"/>
              <w:rPr>
                <w:rFonts w:ascii="Arial" w:hAnsi="Arial" w:cs="Arial"/>
                <w:b/>
                <w:bCs/>
              </w:rPr>
            </w:pPr>
          </w:p>
        </w:tc>
        <w:tc>
          <w:tcPr>
            <w:tcW w:w="913" w:type="pct"/>
            <w:tcBorders>
              <w:bottom w:val="single" w:sz="4" w:space="0" w:color="auto"/>
            </w:tcBorders>
          </w:tcPr>
          <w:p w:rsidR="007D43ED" w:rsidRPr="00A845B7" w:rsidRDefault="007D43ED" w:rsidP="00C51098">
            <w:pPr>
              <w:jc w:val="right"/>
              <w:rPr>
                <w:rFonts w:ascii="Arial" w:hAnsi="Arial" w:cs="Arial"/>
                <w:b/>
                <w:bCs/>
              </w:rPr>
            </w:pPr>
            <w:r w:rsidRPr="00A845B7">
              <w:rPr>
                <w:rFonts w:ascii="Arial" w:hAnsi="Arial" w:cs="Arial"/>
                <w:b/>
                <w:bCs/>
              </w:rPr>
              <w:t>% Constant</w:t>
            </w:r>
          </w:p>
          <w:p w:rsidR="007D43ED" w:rsidRPr="00A845B7" w:rsidRDefault="007D43ED" w:rsidP="00C51098">
            <w:pPr>
              <w:jc w:val="right"/>
              <w:rPr>
                <w:rFonts w:ascii="Arial" w:hAnsi="Arial" w:cs="Arial"/>
                <w:b/>
                <w:bCs/>
              </w:rPr>
            </w:pPr>
            <w:r w:rsidRPr="00A845B7">
              <w:rPr>
                <w:rFonts w:ascii="Arial" w:hAnsi="Arial" w:cs="Arial"/>
                <w:b/>
                <w:bCs/>
              </w:rPr>
              <w:t>Currency</w:t>
            </w:r>
          </w:p>
          <w:p w:rsidR="007D43ED" w:rsidRPr="00A845B7" w:rsidRDefault="007D43ED" w:rsidP="00C51098">
            <w:pPr>
              <w:jc w:val="right"/>
              <w:rPr>
                <w:rFonts w:ascii="Arial" w:hAnsi="Arial" w:cs="Arial"/>
                <w:b/>
                <w:bCs/>
              </w:rPr>
            </w:pPr>
            <w:r w:rsidRPr="00A845B7">
              <w:rPr>
                <w:rFonts w:ascii="Arial" w:hAnsi="Arial" w:cs="Arial"/>
                <w:b/>
                <w:bCs/>
              </w:rPr>
              <w:t xml:space="preserve">Change  </w:t>
            </w:r>
          </w:p>
        </w:tc>
        <w:tc>
          <w:tcPr>
            <w:tcW w:w="609" w:type="pct"/>
            <w:tcBorders>
              <w:bottom w:val="single" w:sz="4" w:space="0" w:color="auto"/>
            </w:tcBorders>
          </w:tcPr>
          <w:p w:rsidR="007D43ED" w:rsidRPr="00A845B7" w:rsidRDefault="007D43ED" w:rsidP="00C51098">
            <w:pPr>
              <w:ind w:hanging="108"/>
              <w:jc w:val="right"/>
              <w:rPr>
                <w:rFonts w:ascii="Arial" w:hAnsi="Arial" w:cs="Arial"/>
                <w:b/>
                <w:bCs/>
              </w:rPr>
            </w:pPr>
            <w:r w:rsidRPr="00A845B7">
              <w:rPr>
                <w:rFonts w:ascii="Arial" w:hAnsi="Arial" w:cs="Arial"/>
                <w:b/>
                <w:bCs/>
              </w:rPr>
              <w:t>% LFL</w:t>
            </w:r>
          </w:p>
          <w:p w:rsidR="007D43ED" w:rsidRPr="00A845B7" w:rsidRDefault="007D43ED" w:rsidP="00C51098">
            <w:pPr>
              <w:ind w:hanging="108"/>
              <w:jc w:val="right"/>
              <w:rPr>
                <w:rFonts w:ascii="Arial" w:hAnsi="Arial" w:cs="Arial"/>
                <w:b/>
                <w:bCs/>
              </w:rPr>
            </w:pPr>
            <w:r w:rsidRPr="00A845B7">
              <w:rPr>
                <w:rFonts w:ascii="Arial" w:hAnsi="Arial" w:cs="Arial"/>
                <w:b/>
                <w:bCs/>
              </w:rPr>
              <w:t>Change</w:t>
            </w:r>
          </w:p>
        </w:tc>
      </w:tr>
      <w:tr w:rsidR="007D43ED" w:rsidRPr="00A845B7" w:rsidTr="006F78D1">
        <w:trPr>
          <w:trHeight w:val="147"/>
        </w:trPr>
        <w:tc>
          <w:tcPr>
            <w:tcW w:w="1269" w:type="pct"/>
            <w:tcBorders>
              <w:bottom w:val="single" w:sz="4" w:space="0" w:color="auto"/>
            </w:tcBorders>
          </w:tcPr>
          <w:p w:rsidR="007D43ED" w:rsidRPr="00A845B7" w:rsidRDefault="007D43ED" w:rsidP="00C51098">
            <w:pPr>
              <w:rPr>
                <w:rFonts w:ascii="Arial" w:hAnsi="Arial" w:cs="Arial"/>
                <w:b/>
              </w:rPr>
            </w:pPr>
            <w:r w:rsidRPr="00A845B7">
              <w:rPr>
                <w:rFonts w:ascii="Arial" w:hAnsi="Arial" w:cs="Arial"/>
                <w:b/>
                <w:bCs/>
              </w:rPr>
              <w:t>Sales</w:t>
            </w:r>
          </w:p>
        </w:tc>
        <w:tc>
          <w:tcPr>
            <w:tcW w:w="687" w:type="pct"/>
            <w:tcBorders>
              <w:bottom w:val="single" w:sz="4" w:space="0" w:color="auto"/>
            </w:tcBorders>
          </w:tcPr>
          <w:p w:rsidR="007D43ED" w:rsidRPr="00A845B7" w:rsidRDefault="00253C4D" w:rsidP="00C51098">
            <w:pPr>
              <w:jc w:val="right"/>
              <w:rPr>
                <w:rFonts w:ascii="Arial" w:hAnsi="Arial" w:cs="Arial"/>
              </w:rPr>
            </w:pPr>
            <w:r w:rsidRPr="00A845B7">
              <w:rPr>
                <w:rFonts w:ascii="Arial" w:hAnsi="Arial" w:cs="Arial"/>
              </w:rPr>
              <w:t>4,979</w:t>
            </w:r>
          </w:p>
        </w:tc>
        <w:tc>
          <w:tcPr>
            <w:tcW w:w="685" w:type="pct"/>
            <w:tcBorders>
              <w:bottom w:val="single" w:sz="4" w:space="0" w:color="auto"/>
            </w:tcBorders>
          </w:tcPr>
          <w:p w:rsidR="007D43ED" w:rsidRPr="00A845B7" w:rsidRDefault="00274B89" w:rsidP="00C51098">
            <w:pPr>
              <w:jc w:val="right"/>
              <w:rPr>
                <w:rFonts w:ascii="Arial" w:hAnsi="Arial" w:cs="Arial"/>
              </w:rPr>
            </w:pPr>
            <w:r w:rsidRPr="00A845B7">
              <w:rPr>
                <w:rFonts w:ascii="Arial" w:hAnsi="Arial" w:cs="Arial"/>
              </w:rPr>
              <w:t>4,853</w:t>
            </w:r>
          </w:p>
        </w:tc>
        <w:tc>
          <w:tcPr>
            <w:tcW w:w="837" w:type="pct"/>
            <w:tcBorders>
              <w:bottom w:val="single" w:sz="4" w:space="0" w:color="auto"/>
            </w:tcBorders>
          </w:tcPr>
          <w:p w:rsidR="007D43ED" w:rsidRPr="00A845B7" w:rsidRDefault="000533AE" w:rsidP="00C51098">
            <w:pPr>
              <w:jc w:val="right"/>
              <w:rPr>
                <w:rFonts w:ascii="Arial" w:hAnsi="Arial" w:cs="Arial"/>
              </w:rPr>
            </w:pPr>
            <w:r w:rsidRPr="00A845B7">
              <w:rPr>
                <w:rFonts w:ascii="Arial" w:hAnsi="Arial" w:cs="Arial"/>
              </w:rPr>
              <w:t>+</w:t>
            </w:r>
            <w:r w:rsidR="00A950C9" w:rsidRPr="00A845B7">
              <w:rPr>
                <w:rFonts w:ascii="Arial" w:hAnsi="Arial" w:cs="Arial"/>
              </w:rPr>
              <w:t>2.6</w:t>
            </w:r>
            <w:r w:rsidR="002E5D72" w:rsidRPr="00A845B7">
              <w:rPr>
                <w:rFonts w:ascii="Arial" w:hAnsi="Arial" w:cs="Arial"/>
              </w:rPr>
              <w:t>%</w:t>
            </w:r>
          </w:p>
        </w:tc>
        <w:tc>
          <w:tcPr>
            <w:tcW w:w="913" w:type="pct"/>
            <w:tcBorders>
              <w:bottom w:val="single" w:sz="4" w:space="0" w:color="auto"/>
            </w:tcBorders>
          </w:tcPr>
          <w:p w:rsidR="007D43ED" w:rsidRPr="00A845B7" w:rsidRDefault="000533AE" w:rsidP="00C51098">
            <w:pPr>
              <w:jc w:val="right"/>
              <w:rPr>
                <w:rFonts w:ascii="Arial" w:hAnsi="Arial" w:cs="Arial"/>
              </w:rPr>
            </w:pPr>
            <w:r w:rsidRPr="00A845B7">
              <w:rPr>
                <w:rFonts w:ascii="Arial" w:hAnsi="Arial" w:cs="Arial"/>
              </w:rPr>
              <w:t>+</w:t>
            </w:r>
            <w:r w:rsidR="00253C4D" w:rsidRPr="00A845B7">
              <w:rPr>
                <w:rFonts w:ascii="Arial" w:hAnsi="Arial" w:cs="Arial"/>
              </w:rPr>
              <w:t>2.</w:t>
            </w:r>
            <w:r w:rsidR="00A950C9" w:rsidRPr="00A845B7">
              <w:rPr>
                <w:rFonts w:ascii="Arial" w:hAnsi="Arial" w:cs="Arial"/>
              </w:rPr>
              <w:t>4</w:t>
            </w:r>
            <w:r w:rsidR="002E5D72" w:rsidRPr="00A845B7">
              <w:rPr>
                <w:rFonts w:ascii="Arial" w:hAnsi="Arial" w:cs="Arial"/>
              </w:rPr>
              <w:t>%</w:t>
            </w:r>
          </w:p>
        </w:tc>
        <w:tc>
          <w:tcPr>
            <w:tcW w:w="609" w:type="pct"/>
            <w:tcBorders>
              <w:bottom w:val="single" w:sz="4" w:space="0" w:color="auto"/>
            </w:tcBorders>
            <w:shd w:val="clear" w:color="auto" w:fill="auto"/>
          </w:tcPr>
          <w:p w:rsidR="007D43ED" w:rsidRPr="00A845B7" w:rsidRDefault="000533AE" w:rsidP="00C51098">
            <w:pPr>
              <w:jc w:val="right"/>
              <w:rPr>
                <w:rFonts w:ascii="Arial" w:hAnsi="Arial" w:cs="Arial"/>
                <w:highlight w:val="yellow"/>
              </w:rPr>
            </w:pPr>
            <w:r w:rsidRPr="00A845B7">
              <w:rPr>
                <w:rFonts w:ascii="Arial" w:hAnsi="Arial" w:cs="Arial"/>
              </w:rPr>
              <w:t>+</w:t>
            </w:r>
            <w:r w:rsidR="00253C4D" w:rsidRPr="00A845B7">
              <w:rPr>
                <w:rFonts w:ascii="Arial" w:hAnsi="Arial" w:cs="Arial"/>
              </w:rPr>
              <w:t>5</w:t>
            </w:r>
            <w:r w:rsidR="002E5D72" w:rsidRPr="00A845B7">
              <w:rPr>
                <w:rFonts w:ascii="Arial" w:hAnsi="Arial" w:cs="Arial"/>
              </w:rPr>
              <w:t>.</w:t>
            </w:r>
            <w:r w:rsidR="00253C4D" w:rsidRPr="00A845B7">
              <w:rPr>
                <w:rFonts w:ascii="Arial" w:hAnsi="Arial" w:cs="Arial"/>
              </w:rPr>
              <w:t>9</w:t>
            </w:r>
            <w:r w:rsidR="002E5D72" w:rsidRPr="00A845B7">
              <w:rPr>
                <w:rFonts w:ascii="Arial" w:hAnsi="Arial" w:cs="Arial"/>
              </w:rPr>
              <w:t>%</w:t>
            </w:r>
          </w:p>
        </w:tc>
      </w:tr>
      <w:tr w:rsidR="007D43ED" w:rsidRPr="00A845B7" w:rsidTr="006F78D1">
        <w:trPr>
          <w:gridAfter w:val="1"/>
          <w:wAfter w:w="609" w:type="pct"/>
        </w:trPr>
        <w:tc>
          <w:tcPr>
            <w:tcW w:w="1269" w:type="pct"/>
            <w:tcBorders>
              <w:top w:val="nil"/>
              <w:left w:val="nil"/>
              <w:bottom w:val="single" w:sz="4" w:space="0" w:color="auto"/>
              <w:right w:val="nil"/>
            </w:tcBorders>
          </w:tcPr>
          <w:p w:rsidR="007D43ED" w:rsidRPr="00A845B7" w:rsidRDefault="007D43ED" w:rsidP="00C51098">
            <w:pPr>
              <w:rPr>
                <w:rFonts w:ascii="Arial" w:hAnsi="Arial" w:cs="Arial"/>
                <w:bCs/>
              </w:rPr>
            </w:pPr>
          </w:p>
        </w:tc>
        <w:tc>
          <w:tcPr>
            <w:tcW w:w="687" w:type="pct"/>
            <w:tcBorders>
              <w:top w:val="nil"/>
              <w:left w:val="nil"/>
              <w:bottom w:val="single" w:sz="4" w:space="0" w:color="auto"/>
              <w:right w:val="nil"/>
            </w:tcBorders>
          </w:tcPr>
          <w:p w:rsidR="007D43ED" w:rsidRPr="00A845B7" w:rsidRDefault="007D43ED" w:rsidP="00C51098">
            <w:pPr>
              <w:jc w:val="right"/>
              <w:rPr>
                <w:rFonts w:ascii="Arial" w:hAnsi="Arial" w:cs="Arial"/>
              </w:rPr>
            </w:pPr>
          </w:p>
        </w:tc>
        <w:tc>
          <w:tcPr>
            <w:tcW w:w="685" w:type="pct"/>
            <w:tcBorders>
              <w:top w:val="nil"/>
              <w:left w:val="nil"/>
              <w:bottom w:val="single" w:sz="4" w:space="0" w:color="auto"/>
              <w:right w:val="nil"/>
            </w:tcBorders>
          </w:tcPr>
          <w:p w:rsidR="007D43ED" w:rsidRPr="00A845B7" w:rsidRDefault="007D43ED" w:rsidP="00C51098">
            <w:pPr>
              <w:jc w:val="right"/>
              <w:rPr>
                <w:rFonts w:ascii="Arial" w:hAnsi="Arial" w:cs="Arial"/>
              </w:rPr>
            </w:pPr>
          </w:p>
        </w:tc>
        <w:tc>
          <w:tcPr>
            <w:tcW w:w="837" w:type="pct"/>
            <w:tcBorders>
              <w:top w:val="nil"/>
              <w:left w:val="nil"/>
              <w:bottom w:val="single" w:sz="4" w:space="0" w:color="auto"/>
              <w:right w:val="nil"/>
            </w:tcBorders>
          </w:tcPr>
          <w:p w:rsidR="007D43ED" w:rsidRPr="00A845B7" w:rsidRDefault="007D43ED" w:rsidP="00C51098">
            <w:pPr>
              <w:jc w:val="right"/>
              <w:rPr>
                <w:rFonts w:ascii="Arial" w:hAnsi="Arial" w:cs="Arial"/>
              </w:rPr>
            </w:pPr>
          </w:p>
        </w:tc>
        <w:tc>
          <w:tcPr>
            <w:tcW w:w="913" w:type="pct"/>
            <w:tcBorders>
              <w:top w:val="nil"/>
              <w:left w:val="nil"/>
              <w:bottom w:val="single" w:sz="4" w:space="0" w:color="auto"/>
              <w:right w:val="nil"/>
            </w:tcBorders>
          </w:tcPr>
          <w:p w:rsidR="007D43ED" w:rsidRPr="00A845B7" w:rsidRDefault="007D43ED" w:rsidP="00C51098">
            <w:pPr>
              <w:jc w:val="right"/>
              <w:rPr>
                <w:rFonts w:ascii="Arial" w:hAnsi="Arial" w:cs="Arial"/>
              </w:rPr>
            </w:pPr>
          </w:p>
        </w:tc>
      </w:tr>
      <w:tr w:rsidR="007D43ED" w:rsidRPr="00A845B7" w:rsidTr="006F78D1">
        <w:trPr>
          <w:gridAfter w:val="1"/>
          <w:wAfter w:w="609" w:type="pct"/>
        </w:trPr>
        <w:tc>
          <w:tcPr>
            <w:tcW w:w="1269" w:type="pct"/>
            <w:tcBorders>
              <w:top w:val="single" w:sz="4" w:space="0" w:color="auto"/>
            </w:tcBorders>
          </w:tcPr>
          <w:p w:rsidR="007D43ED" w:rsidRPr="00A845B7" w:rsidRDefault="007D43ED" w:rsidP="00C51098">
            <w:pPr>
              <w:rPr>
                <w:rFonts w:ascii="Arial" w:hAnsi="Arial" w:cs="Arial"/>
                <w:b/>
              </w:rPr>
            </w:pPr>
            <w:r w:rsidRPr="00A845B7">
              <w:rPr>
                <w:rFonts w:ascii="Arial" w:hAnsi="Arial" w:cs="Arial"/>
                <w:b/>
                <w:bCs/>
              </w:rPr>
              <w:t>Retail profit</w:t>
            </w:r>
          </w:p>
        </w:tc>
        <w:tc>
          <w:tcPr>
            <w:tcW w:w="687" w:type="pct"/>
            <w:tcBorders>
              <w:top w:val="single" w:sz="4" w:space="0" w:color="auto"/>
            </w:tcBorders>
          </w:tcPr>
          <w:p w:rsidR="007D43ED" w:rsidRPr="00A845B7" w:rsidRDefault="00253C4D">
            <w:pPr>
              <w:jc w:val="right"/>
              <w:rPr>
                <w:rFonts w:ascii="Arial" w:hAnsi="Arial" w:cs="Arial"/>
              </w:rPr>
            </w:pPr>
            <w:r w:rsidRPr="00A845B7">
              <w:rPr>
                <w:rFonts w:ascii="Arial" w:hAnsi="Arial" w:cs="Arial"/>
              </w:rPr>
              <w:t>3</w:t>
            </w:r>
            <w:r w:rsidR="00244602" w:rsidRPr="00A845B7">
              <w:rPr>
                <w:rFonts w:ascii="Arial" w:hAnsi="Arial" w:cs="Arial"/>
              </w:rPr>
              <w:t>5</w:t>
            </w:r>
            <w:r w:rsidR="00605C9B" w:rsidRPr="00A845B7">
              <w:rPr>
                <w:rFonts w:ascii="Arial" w:hAnsi="Arial" w:cs="Arial"/>
              </w:rPr>
              <w:t>8</w:t>
            </w:r>
          </w:p>
        </w:tc>
        <w:tc>
          <w:tcPr>
            <w:tcW w:w="685" w:type="pct"/>
            <w:tcBorders>
              <w:top w:val="single" w:sz="4" w:space="0" w:color="auto"/>
            </w:tcBorders>
          </w:tcPr>
          <w:p w:rsidR="007D43ED" w:rsidRPr="00A845B7" w:rsidRDefault="00274B89">
            <w:pPr>
              <w:jc w:val="right"/>
              <w:rPr>
                <w:rFonts w:ascii="Arial" w:hAnsi="Arial" w:cs="Arial"/>
              </w:rPr>
            </w:pPr>
            <w:r w:rsidRPr="00A845B7">
              <w:rPr>
                <w:rFonts w:ascii="Arial" w:hAnsi="Arial" w:cs="Arial"/>
              </w:rPr>
              <w:t>326</w:t>
            </w:r>
          </w:p>
        </w:tc>
        <w:tc>
          <w:tcPr>
            <w:tcW w:w="837" w:type="pct"/>
            <w:tcBorders>
              <w:top w:val="single" w:sz="4" w:space="0" w:color="auto"/>
            </w:tcBorders>
          </w:tcPr>
          <w:p w:rsidR="007D43ED" w:rsidRPr="00A845B7" w:rsidRDefault="0047756B">
            <w:pPr>
              <w:jc w:val="right"/>
              <w:rPr>
                <w:rFonts w:ascii="Arial" w:hAnsi="Arial" w:cs="Arial"/>
              </w:rPr>
            </w:pPr>
            <w:r w:rsidRPr="00A845B7">
              <w:rPr>
                <w:rFonts w:ascii="Arial" w:hAnsi="Arial" w:cs="Arial"/>
              </w:rPr>
              <w:t>+</w:t>
            </w:r>
            <w:r w:rsidR="00244602" w:rsidRPr="00A845B7">
              <w:rPr>
                <w:rFonts w:ascii="Arial" w:hAnsi="Arial" w:cs="Arial"/>
              </w:rPr>
              <w:t>9</w:t>
            </w:r>
            <w:r w:rsidR="00A45362" w:rsidRPr="00A845B7">
              <w:rPr>
                <w:rFonts w:ascii="Arial" w:hAnsi="Arial" w:cs="Arial"/>
              </w:rPr>
              <w:t>.</w:t>
            </w:r>
            <w:r w:rsidR="00605C9B" w:rsidRPr="00A845B7">
              <w:rPr>
                <w:rFonts w:ascii="Arial" w:hAnsi="Arial" w:cs="Arial"/>
              </w:rPr>
              <w:t>8</w:t>
            </w:r>
            <w:r w:rsidR="00316CF3" w:rsidRPr="00A845B7">
              <w:rPr>
                <w:rFonts w:ascii="Arial" w:hAnsi="Arial" w:cs="Arial"/>
              </w:rPr>
              <w:t>%</w:t>
            </w:r>
          </w:p>
        </w:tc>
        <w:tc>
          <w:tcPr>
            <w:tcW w:w="913" w:type="pct"/>
            <w:tcBorders>
              <w:top w:val="single" w:sz="4" w:space="0" w:color="auto"/>
            </w:tcBorders>
          </w:tcPr>
          <w:p w:rsidR="007D43ED" w:rsidRPr="00A845B7" w:rsidRDefault="0047756B" w:rsidP="00DC3143">
            <w:pPr>
              <w:jc w:val="right"/>
              <w:rPr>
                <w:rFonts w:ascii="Arial" w:hAnsi="Arial" w:cs="Arial"/>
              </w:rPr>
            </w:pPr>
            <w:r w:rsidRPr="00A845B7">
              <w:rPr>
                <w:rFonts w:ascii="Arial" w:hAnsi="Arial" w:cs="Arial"/>
              </w:rPr>
              <w:t>+</w:t>
            </w:r>
            <w:r w:rsidR="00244602" w:rsidRPr="00A845B7">
              <w:rPr>
                <w:rFonts w:ascii="Arial" w:hAnsi="Arial" w:cs="Arial"/>
              </w:rPr>
              <w:t>9</w:t>
            </w:r>
            <w:r w:rsidR="00A45362" w:rsidRPr="00A845B7">
              <w:rPr>
                <w:rFonts w:ascii="Arial" w:hAnsi="Arial" w:cs="Arial"/>
              </w:rPr>
              <w:t>.</w:t>
            </w:r>
            <w:r w:rsidR="00605C9B" w:rsidRPr="00A845B7">
              <w:rPr>
                <w:rFonts w:ascii="Arial" w:hAnsi="Arial" w:cs="Arial"/>
              </w:rPr>
              <w:t>9</w:t>
            </w:r>
            <w:r w:rsidR="00721073" w:rsidRPr="00A845B7">
              <w:rPr>
                <w:rFonts w:ascii="Arial" w:hAnsi="Arial" w:cs="Arial"/>
              </w:rPr>
              <w:t>%</w:t>
            </w:r>
          </w:p>
        </w:tc>
      </w:tr>
    </w:tbl>
    <w:p w:rsidR="007D43ED" w:rsidRDefault="007D43ED" w:rsidP="007D43ED">
      <w:pPr>
        <w:jc w:val="left"/>
        <w:rPr>
          <w:rFonts w:ascii="Arial" w:hAnsi="Arial" w:cs="Arial"/>
          <w:sz w:val="24"/>
          <w:szCs w:val="24"/>
        </w:rPr>
      </w:pPr>
    </w:p>
    <w:p w:rsidR="00E16A6C" w:rsidRPr="00F9080F" w:rsidRDefault="007D43ED" w:rsidP="007D43ED">
      <w:pPr>
        <w:jc w:val="left"/>
        <w:rPr>
          <w:rFonts w:ascii="Arial" w:hAnsi="Arial" w:cs="Arial"/>
        </w:rPr>
      </w:pPr>
      <w:r w:rsidRPr="00F9080F">
        <w:rPr>
          <w:rFonts w:ascii="Arial" w:hAnsi="Arial" w:cs="Arial"/>
        </w:rPr>
        <w:t xml:space="preserve">Kingfisher UK &amp; Ireland sales were up </w:t>
      </w:r>
      <w:r w:rsidR="0066107E" w:rsidRPr="00F9080F">
        <w:rPr>
          <w:rFonts w:ascii="Arial" w:hAnsi="Arial" w:cs="Arial"/>
        </w:rPr>
        <w:t>2.4</w:t>
      </w:r>
      <w:r w:rsidRPr="00F9080F">
        <w:rPr>
          <w:rFonts w:ascii="Arial" w:hAnsi="Arial" w:cs="Arial"/>
        </w:rPr>
        <w:t>% (+</w:t>
      </w:r>
      <w:r w:rsidR="00253C4D" w:rsidRPr="00F9080F">
        <w:rPr>
          <w:rFonts w:ascii="Arial" w:hAnsi="Arial" w:cs="Arial"/>
        </w:rPr>
        <w:t>5.9%</w:t>
      </w:r>
      <w:r w:rsidRPr="00F9080F">
        <w:rPr>
          <w:rFonts w:ascii="Arial" w:hAnsi="Arial" w:cs="Arial"/>
        </w:rPr>
        <w:t xml:space="preserve"> LFL) to £</w:t>
      </w:r>
      <w:r w:rsidR="00253C4D" w:rsidRPr="00F9080F">
        <w:rPr>
          <w:rFonts w:ascii="Arial" w:hAnsi="Arial" w:cs="Arial"/>
        </w:rPr>
        <w:t>4</w:t>
      </w:r>
      <w:r w:rsidR="002E5D72" w:rsidRPr="00F9080F">
        <w:rPr>
          <w:rFonts w:ascii="Arial" w:hAnsi="Arial" w:cs="Arial"/>
        </w:rPr>
        <w:t>,</w:t>
      </w:r>
      <w:r w:rsidR="00253C4D" w:rsidRPr="00F9080F">
        <w:rPr>
          <w:rFonts w:ascii="Arial" w:hAnsi="Arial" w:cs="Arial"/>
        </w:rPr>
        <w:t>979</w:t>
      </w:r>
      <w:r w:rsidR="006006C6" w:rsidRPr="00F9080F">
        <w:rPr>
          <w:rFonts w:ascii="Arial" w:hAnsi="Arial" w:cs="Arial"/>
        </w:rPr>
        <w:t xml:space="preserve"> </w:t>
      </w:r>
      <w:r w:rsidRPr="00F9080F">
        <w:rPr>
          <w:rFonts w:ascii="Arial" w:hAnsi="Arial" w:cs="Arial"/>
        </w:rPr>
        <w:t>million</w:t>
      </w:r>
      <w:r w:rsidR="0027369E" w:rsidRPr="00F9080F">
        <w:rPr>
          <w:rFonts w:ascii="Arial" w:hAnsi="Arial" w:cs="Arial"/>
        </w:rPr>
        <w:t xml:space="preserve"> benefi</w:t>
      </w:r>
      <w:r w:rsidRPr="00F9080F">
        <w:rPr>
          <w:rFonts w:ascii="Arial" w:hAnsi="Arial" w:cs="Arial"/>
        </w:rPr>
        <w:t xml:space="preserve">ting from a </w:t>
      </w:r>
      <w:r w:rsidR="00645DC4" w:rsidRPr="00F9080F">
        <w:rPr>
          <w:rFonts w:ascii="Arial" w:hAnsi="Arial" w:cs="Arial"/>
        </w:rPr>
        <w:t xml:space="preserve">broadly </w:t>
      </w:r>
      <w:r w:rsidR="00080DD2" w:rsidRPr="00F9080F">
        <w:rPr>
          <w:rFonts w:ascii="Arial" w:hAnsi="Arial" w:cs="Arial"/>
        </w:rPr>
        <w:t>sup</w:t>
      </w:r>
      <w:r w:rsidR="00645DC4" w:rsidRPr="00F9080F">
        <w:rPr>
          <w:rFonts w:ascii="Arial" w:hAnsi="Arial" w:cs="Arial"/>
        </w:rPr>
        <w:t>p</w:t>
      </w:r>
      <w:r w:rsidR="00080DD2" w:rsidRPr="00F9080F">
        <w:rPr>
          <w:rFonts w:ascii="Arial" w:hAnsi="Arial" w:cs="Arial"/>
        </w:rPr>
        <w:t xml:space="preserve">ortive </w:t>
      </w:r>
      <w:r w:rsidR="00645DC4" w:rsidRPr="00F9080F">
        <w:rPr>
          <w:rFonts w:ascii="Arial" w:hAnsi="Arial" w:cs="Arial"/>
        </w:rPr>
        <w:t xml:space="preserve">backdrop </w:t>
      </w:r>
      <w:r w:rsidRPr="00F9080F">
        <w:rPr>
          <w:rFonts w:ascii="Arial" w:hAnsi="Arial" w:cs="Arial"/>
        </w:rPr>
        <w:t xml:space="preserve">and </w:t>
      </w:r>
      <w:r w:rsidR="00645DC4" w:rsidRPr="00F9080F">
        <w:rPr>
          <w:rFonts w:ascii="Arial" w:hAnsi="Arial" w:cs="Arial"/>
        </w:rPr>
        <w:t>continued strong Screwfix performance</w:t>
      </w:r>
      <w:r w:rsidRPr="00F9080F">
        <w:rPr>
          <w:rFonts w:ascii="Arial" w:hAnsi="Arial" w:cs="Arial"/>
        </w:rPr>
        <w:t xml:space="preserve">. Retail profit grew by </w:t>
      </w:r>
      <w:r w:rsidR="00925A3E" w:rsidRPr="00F9080F">
        <w:rPr>
          <w:rFonts w:ascii="Arial" w:hAnsi="Arial" w:cs="Arial"/>
        </w:rPr>
        <w:t>9.</w:t>
      </w:r>
      <w:r w:rsidR="00605C9B" w:rsidRPr="00F9080F">
        <w:rPr>
          <w:rFonts w:ascii="Arial" w:hAnsi="Arial" w:cs="Arial"/>
        </w:rPr>
        <w:t>9</w:t>
      </w:r>
      <w:r w:rsidRPr="00F9080F">
        <w:rPr>
          <w:rFonts w:ascii="Arial" w:hAnsi="Arial" w:cs="Arial"/>
        </w:rPr>
        <w:t>% to £</w:t>
      </w:r>
      <w:r w:rsidR="00253C4D" w:rsidRPr="00F9080F">
        <w:rPr>
          <w:rFonts w:ascii="Arial" w:hAnsi="Arial" w:cs="Arial"/>
        </w:rPr>
        <w:t>3</w:t>
      </w:r>
      <w:r w:rsidR="00244602" w:rsidRPr="00F9080F">
        <w:rPr>
          <w:rFonts w:ascii="Arial" w:hAnsi="Arial" w:cs="Arial"/>
        </w:rPr>
        <w:t>5</w:t>
      </w:r>
      <w:r w:rsidR="00605C9B" w:rsidRPr="00F9080F">
        <w:rPr>
          <w:rFonts w:ascii="Arial" w:hAnsi="Arial" w:cs="Arial"/>
        </w:rPr>
        <w:t>8</w:t>
      </w:r>
      <w:r w:rsidR="002E5D72" w:rsidRPr="00F9080F">
        <w:rPr>
          <w:rFonts w:ascii="Arial" w:hAnsi="Arial" w:cs="Arial"/>
        </w:rPr>
        <w:t xml:space="preserve"> </w:t>
      </w:r>
      <w:r w:rsidRPr="00F9080F">
        <w:rPr>
          <w:rFonts w:ascii="Arial" w:hAnsi="Arial" w:cs="Arial"/>
        </w:rPr>
        <w:t xml:space="preserve">million. Gross margins were down </w:t>
      </w:r>
      <w:r w:rsidR="00255EE9">
        <w:rPr>
          <w:rFonts w:ascii="Arial" w:hAnsi="Arial" w:cs="Arial"/>
        </w:rPr>
        <w:t>8</w:t>
      </w:r>
      <w:r w:rsidR="00255EE9" w:rsidRPr="00F9080F">
        <w:rPr>
          <w:rFonts w:ascii="Arial" w:hAnsi="Arial" w:cs="Arial"/>
        </w:rPr>
        <w:t xml:space="preserve">0 </w:t>
      </w:r>
      <w:r w:rsidRPr="00F9080F">
        <w:rPr>
          <w:rFonts w:ascii="Arial" w:hAnsi="Arial" w:cs="Arial"/>
        </w:rPr>
        <w:t>b</w:t>
      </w:r>
      <w:r w:rsidR="00CC45F6" w:rsidRPr="00F9080F">
        <w:rPr>
          <w:rFonts w:ascii="Arial" w:hAnsi="Arial" w:cs="Arial"/>
        </w:rPr>
        <w:t xml:space="preserve">asis </w:t>
      </w:r>
      <w:r w:rsidRPr="00F9080F">
        <w:rPr>
          <w:rFonts w:ascii="Arial" w:hAnsi="Arial" w:cs="Arial"/>
        </w:rPr>
        <w:t>p</w:t>
      </w:r>
      <w:r w:rsidR="00CC45F6" w:rsidRPr="00F9080F">
        <w:rPr>
          <w:rFonts w:ascii="Arial" w:hAnsi="Arial" w:cs="Arial"/>
        </w:rPr>
        <w:t>oint</w:t>
      </w:r>
      <w:r w:rsidRPr="00F9080F">
        <w:rPr>
          <w:rFonts w:ascii="Arial" w:hAnsi="Arial" w:cs="Arial"/>
        </w:rPr>
        <w:t>s</w:t>
      </w:r>
      <w:r w:rsidR="0027369E" w:rsidRPr="00F9080F">
        <w:rPr>
          <w:rFonts w:ascii="Arial" w:hAnsi="Arial" w:cs="Arial"/>
        </w:rPr>
        <w:t xml:space="preserve"> </w:t>
      </w:r>
      <w:r w:rsidR="006C517B" w:rsidRPr="00F9080F">
        <w:rPr>
          <w:rFonts w:ascii="Arial" w:hAnsi="Arial" w:cs="Arial"/>
        </w:rPr>
        <w:t xml:space="preserve">reflecting </w:t>
      </w:r>
      <w:r w:rsidR="0027369E" w:rsidRPr="00F9080F">
        <w:rPr>
          <w:rFonts w:ascii="Arial" w:hAnsi="Arial" w:cs="Arial"/>
        </w:rPr>
        <w:t>mix effects from strong growth in Screwfix</w:t>
      </w:r>
      <w:r w:rsidR="00A511F0" w:rsidRPr="00F9080F">
        <w:rPr>
          <w:rFonts w:ascii="Arial" w:hAnsi="Arial" w:cs="Arial"/>
        </w:rPr>
        <w:t>,</w:t>
      </w:r>
      <w:r w:rsidR="006C517B" w:rsidRPr="00F9080F">
        <w:rPr>
          <w:rFonts w:ascii="Arial" w:hAnsi="Arial" w:cs="Arial"/>
        </w:rPr>
        <w:t xml:space="preserve"> clearance related to the B&amp;Q store closures</w:t>
      </w:r>
      <w:r w:rsidR="00A511F0" w:rsidRPr="00F9080F">
        <w:rPr>
          <w:rFonts w:ascii="Arial" w:hAnsi="Arial" w:cs="Arial"/>
        </w:rPr>
        <w:t xml:space="preserve"> and higher</w:t>
      </w:r>
      <w:r w:rsidR="00706F8F" w:rsidRPr="00F9080F">
        <w:rPr>
          <w:rFonts w:ascii="Arial" w:hAnsi="Arial" w:cs="Arial"/>
        </w:rPr>
        <w:t xml:space="preserve"> digital</w:t>
      </w:r>
      <w:r w:rsidR="00A511F0" w:rsidRPr="00F9080F">
        <w:rPr>
          <w:rFonts w:ascii="Arial" w:hAnsi="Arial" w:cs="Arial"/>
        </w:rPr>
        <w:t xml:space="preserve"> sales</w:t>
      </w:r>
      <w:r w:rsidRPr="00F9080F">
        <w:rPr>
          <w:rFonts w:ascii="Arial" w:hAnsi="Arial" w:cs="Arial"/>
        </w:rPr>
        <w:t xml:space="preserve">. </w:t>
      </w:r>
      <w:r w:rsidR="00033A05" w:rsidRPr="00F9080F">
        <w:rPr>
          <w:rFonts w:ascii="Arial" w:hAnsi="Arial" w:cs="Arial"/>
        </w:rPr>
        <w:t xml:space="preserve">Focus on </w:t>
      </w:r>
      <w:r w:rsidR="000B34A0" w:rsidRPr="00F9080F">
        <w:rPr>
          <w:rFonts w:ascii="Arial" w:hAnsi="Arial" w:cs="Arial"/>
        </w:rPr>
        <w:t>cost</w:t>
      </w:r>
      <w:r w:rsidR="00791A78" w:rsidRPr="00F9080F">
        <w:rPr>
          <w:rFonts w:ascii="Arial" w:hAnsi="Arial" w:cs="Arial"/>
        </w:rPr>
        <w:t xml:space="preserve"> </w:t>
      </w:r>
      <w:r w:rsidRPr="00F9080F">
        <w:rPr>
          <w:rFonts w:ascii="Arial" w:hAnsi="Arial" w:cs="Arial"/>
        </w:rPr>
        <w:t xml:space="preserve">control continued. </w:t>
      </w:r>
    </w:p>
    <w:p w:rsidR="007D43ED" w:rsidRPr="00F764D3" w:rsidRDefault="007D43ED" w:rsidP="007D43ED">
      <w:pPr>
        <w:jc w:val="left"/>
        <w:rPr>
          <w:rFonts w:ascii="Arial" w:hAnsi="Arial" w:cs="Arial"/>
          <w:sz w:val="24"/>
          <w:szCs w:val="24"/>
          <w:highlight w:val="yellow"/>
        </w:rPr>
      </w:pPr>
    </w:p>
    <w:p w:rsidR="007D43ED" w:rsidRPr="00F9080F" w:rsidRDefault="007D43ED" w:rsidP="007D43ED">
      <w:pPr>
        <w:jc w:val="left"/>
        <w:rPr>
          <w:rFonts w:ascii="Arial" w:hAnsi="Arial" w:cs="Arial"/>
        </w:rPr>
      </w:pPr>
      <w:r w:rsidRPr="00A845B7">
        <w:rPr>
          <w:rFonts w:ascii="Arial" w:hAnsi="Arial" w:cs="Arial"/>
          <w:b/>
          <w:bCs/>
        </w:rPr>
        <w:t>B&amp;Q</w:t>
      </w:r>
      <w:r w:rsidRPr="00A845B7">
        <w:rPr>
          <w:rFonts w:ascii="Arial" w:hAnsi="Arial" w:cs="Arial"/>
        </w:rPr>
        <w:t xml:space="preserve"> total sales </w:t>
      </w:r>
      <w:r w:rsidR="002E5D72" w:rsidRPr="00A845B7">
        <w:rPr>
          <w:rFonts w:ascii="Arial" w:hAnsi="Arial" w:cs="Arial"/>
        </w:rPr>
        <w:t xml:space="preserve">declined by </w:t>
      </w:r>
      <w:r w:rsidR="00850AD2" w:rsidRPr="00A845B7">
        <w:rPr>
          <w:rFonts w:ascii="Arial" w:hAnsi="Arial" w:cs="Arial"/>
        </w:rPr>
        <w:t>3.</w:t>
      </w:r>
      <w:r w:rsidR="005D6074" w:rsidRPr="00A845B7">
        <w:rPr>
          <w:rFonts w:ascii="Arial" w:hAnsi="Arial" w:cs="Arial"/>
        </w:rPr>
        <w:t>3</w:t>
      </w:r>
      <w:r w:rsidRPr="00A845B7">
        <w:rPr>
          <w:rFonts w:ascii="Arial" w:hAnsi="Arial" w:cs="Arial"/>
        </w:rPr>
        <w:t xml:space="preserve">% </w:t>
      </w:r>
      <w:r w:rsidR="00E27B2D" w:rsidRPr="00A845B7">
        <w:rPr>
          <w:rFonts w:ascii="Arial" w:hAnsi="Arial" w:cs="Arial"/>
        </w:rPr>
        <w:t>to</w:t>
      </w:r>
      <w:r w:rsidR="00E27B2D" w:rsidRPr="00F9080F">
        <w:rPr>
          <w:rFonts w:ascii="Arial" w:hAnsi="Arial" w:cs="Arial"/>
        </w:rPr>
        <w:t xml:space="preserve"> £3,680 million</w:t>
      </w:r>
      <w:r w:rsidR="00E27B2D" w:rsidRPr="00A845B7">
        <w:rPr>
          <w:rFonts w:ascii="Arial" w:hAnsi="Arial" w:cs="Arial"/>
        </w:rPr>
        <w:t xml:space="preserve"> </w:t>
      </w:r>
      <w:r w:rsidR="002E5D72" w:rsidRPr="00A845B7">
        <w:rPr>
          <w:rFonts w:ascii="Arial" w:hAnsi="Arial" w:cs="Arial"/>
        </w:rPr>
        <w:t>reflecting</w:t>
      </w:r>
      <w:r w:rsidR="000835E6">
        <w:rPr>
          <w:rFonts w:ascii="Arial" w:hAnsi="Arial" w:cs="Arial"/>
        </w:rPr>
        <w:t xml:space="preserve"> planned</w:t>
      </w:r>
      <w:r w:rsidR="002E5D72" w:rsidRPr="00A845B7">
        <w:rPr>
          <w:rFonts w:ascii="Arial" w:hAnsi="Arial" w:cs="Arial"/>
        </w:rPr>
        <w:t xml:space="preserve"> store closures</w:t>
      </w:r>
      <w:r w:rsidR="00E53A31" w:rsidRPr="00A845B7">
        <w:rPr>
          <w:rFonts w:ascii="Arial" w:hAnsi="Arial" w:cs="Arial"/>
        </w:rPr>
        <w:t xml:space="preserve"> </w:t>
      </w:r>
      <w:r w:rsidR="0015723F">
        <w:rPr>
          <w:rFonts w:ascii="Arial" w:hAnsi="Arial" w:cs="Arial"/>
        </w:rPr>
        <w:t xml:space="preserve">partly offset by </w:t>
      </w:r>
      <w:r w:rsidR="00E53A31" w:rsidRPr="00A845B7">
        <w:rPr>
          <w:rFonts w:ascii="Arial" w:hAnsi="Arial" w:cs="Arial"/>
        </w:rPr>
        <w:t>sales transference</w:t>
      </w:r>
      <w:r w:rsidRPr="00F9080F">
        <w:rPr>
          <w:rFonts w:ascii="Arial" w:hAnsi="Arial" w:cs="Arial"/>
        </w:rPr>
        <w:t>.</w:t>
      </w:r>
      <w:r w:rsidR="0036279F" w:rsidRPr="00F9080F">
        <w:rPr>
          <w:rFonts w:ascii="Arial" w:hAnsi="Arial" w:cs="Arial"/>
        </w:rPr>
        <w:t xml:space="preserve"> </w:t>
      </w:r>
      <w:r w:rsidR="00875F9A" w:rsidRPr="00F9080F">
        <w:rPr>
          <w:rFonts w:ascii="Arial" w:hAnsi="Arial" w:cs="Arial"/>
        </w:rPr>
        <w:t xml:space="preserve">LFL sales </w:t>
      </w:r>
      <w:r w:rsidR="009C1F35">
        <w:rPr>
          <w:rFonts w:ascii="Arial" w:hAnsi="Arial" w:cs="Arial"/>
        </w:rPr>
        <w:t>increased by 3.5% of which</w:t>
      </w:r>
      <w:r w:rsidR="00875F9A" w:rsidRPr="00F9080F">
        <w:rPr>
          <w:rFonts w:ascii="Arial" w:hAnsi="Arial" w:cs="Arial"/>
        </w:rPr>
        <w:t xml:space="preserve"> 2</w:t>
      </w:r>
      <w:r w:rsidR="00911348">
        <w:rPr>
          <w:rFonts w:ascii="Arial" w:hAnsi="Arial" w:cs="Arial"/>
        </w:rPr>
        <w:t>.6</w:t>
      </w:r>
      <w:r w:rsidR="00875F9A" w:rsidRPr="00F9080F">
        <w:rPr>
          <w:rFonts w:ascii="Arial" w:hAnsi="Arial" w:cs="Arial"/>
        </w:rPr>
        <w:t xml:space="preserve">% </w:t>
      </w:r>
      <w:r w:rsidR="009C1F35">
        <w:rPr>
          <w:rFonts w:ascii="Arial" w:hAnsi="Arial" w:cs="Arial"/>
        </w:rPr>
        <w:t xml:space="preserve">resulted </w:t>
      </w:r>
      <w:r w:rsidR="00875F9A" w:rsidRPr="00F9080F">
        <w:rPr>
          <w:rFonts w:ascii="Arial" w:hAnsi="Arial" w:cs="Arial"/>
        </w:rPr>
        <w:t xml:space="preserve">from sales transference associated with the store closures. </w:t>
      </w:r>
      <w:r w:rsidR="00D02AC2" w:rsidRPr="00F9080F">
        <w:rPr>
          <w:rFonts w:ascii="Arial" w:hAnsi="Arial" w:cs="Arial"/>
        </w:rPr>
        <w:t>LFL s</w:t>
      </w:r>
      <w:r w:rsidRPr="00F9080F">
        <w:rPr>
          <w:rFonts w:ascii="Arial" w:hAnsi="Arial" w:cs="Arial"/>
        </w:rPr>
        <w:t xml:space="preserve">ales of </w:t>
      </w:r>
      <w:r w:rsidR="00372D95">
        <w:rPr>
          <w:rFonts w:ascii="Arial" w:hAnsi="Arial" w:cs="Arial"/>
        </w:rPr>
        <w:t>seasonal</w:t>
      </w:r>
      <w:r w:rsidRPr="00F9080F">
        <w:rPr>
          <w:rFonts w:ascii="Arial" w:hAnsi="Arial" w:cs="Arial"/>
        </w:rPr>
        <w:t xml:space="preserve"> products were </w:t>
      </w:r>
      <w:r w:rsidR="0047756B" w:rsidRPr="00F9080F">
        <w:rPr>
          <w:rFonts w:ascii="Arial" w:hAnsi="Arial" w:cs="Arial"/>
        </w:rPr>
        <w:t xml:space="preserve">up </w:t>
      </w:r>
      <w:r w:rsidR="004938BA" w:rsidRPr="00F9080F">
        <w:rPr>
          <w:rFonts w:ascii="Arial" w:hAnsi="Arial" w:cs="Arial"/>
        </w:rPr>
        <w:t>3.1</w:t>
      </w:r>
      <w:r w:rsidRPr="00F9080F">
        <w:rPr>
          <w:rFonts w:ascii="Arial" w:hAnsi="Arial" w:cs="Arial"/>
        </w:rPr>
        <w:t xml:space="preserve">% while sales of </w:t>
      </w:r>
      <w:r w:rsidR="004D39CE">
        <w:rPr>
          <w:rFonts w:ascii="Arial" w:hAnsi="Arial" w:cs="Arial"/>
        </w:rPr>
        <w:t>non-seasonal</w:t>
      </w:r>
      <w:r w:rsidR="004D39CE" w:rsidRPr="00F9080F">
        <w:rPr>
          <w:rFonts w:ascii="Arial" w:hAnsi="Arial" w:cs="Arial"/>
        </w:rPr>
        <w:t xml:space="preserve"> </w:t>
      </w:r>
      <w:r w:rsidRPr="00F9080F">
        <w:rPr>
          <w:rFonts w:ascii="Arial" w:hAnsi="Arial" w:cs="Arial"/>
        </w:rPr>
        <w:t xml:space="preserve">products, </w:t>
      </w:r>
      <w:r w:rsidR="0047756B" w:rsidRPr="00F9080F">
        <w:rPr>
          <w:rFonts w:ascii="Arial" w:hAnsi="Arial" w:cs="Arial"/>
        </w:rPr>
        <w:t xml:space="preserve">including </w:t>
      </w:r>
      <w:r w:rsidRPr="00F9080F">
        <w:rPr>
          <w:rFonts w:ascii="Arial" w:hAnsi="Arial" w:cs="Arial"/>
        </w:rPr>
        <w:t xml:space="preserve">showroom, were up </w:t>
      </w:r>
      <w:r w:rsidR="00476AA4" w:rsidRPr="00F9080F">
        <w:rPr>
          <w:rFonts w:ascii="Arial" w:hAnsi="Arial" w:cs="Arial"/>
        </w:rPr>
        <w:t>3.6</w:t>
      </w:r>
      <w:r w:rsidRPr="00F9080F">
        <w:rPr>
          <w:rFonts w:ascii="Arial" w:hAnsi="Arial" w:cs="Arial"/>
        </w:rPr>
        <w:t>%.</w:t>
      </w:r>
      <w:r w:rsidR="0027369E" w:rsidRPr="00F9080F">
        <w:rPr>
          <w:rFonts w:ascii="Arial" w:hAnsi="Arial" w:cs="Arial"/>
        </w:rPr>
        <w:t xml:space="preserve"> </w:t>
      </w:r>
    </w:p>
    <w:p w:rsidR="007D43ED" w:rsidRPr="00F9080F" w:rsidRDefault="007D43ED" w:rsidP="007D43ED">
      <w:pPr>
        <w:jc w:val="left"/>
        <w:rPr>
          <w:rFonts w:ascii="Arial" w:hAnsi="Arial" w:cs="Arial"/>
          <w:highlight w:val="yellow"/>
        </w:rPr>
      </w:pPr>
    </w:p>
    <w:p w:rsidR="007D43ED" w:rsidRPr="00A845B7" w:rsidRDefault="00372D95" w:rsidP="007D43ED">
      <w:pPr>
        <w:jc w:val="left"/>
        <w:rPr>
          <w:rFonts w:ascii="Arial" w:hAnsi="Arial" w:cs="Arial"/>
        </w:rPr>
      </w:pPr>
      <w:r>
        <w:rPr>
          <w:rFonts w:ascii="Arial" w:hAnsi="Arial" w:cs="Arial"/>
        </w:rPr>
        <w:t>C</w:t>
      </w:r>
      <w:r w:rsidR="007D43ED" w:rsidRPr="00A845B7">
        <w:rPr>
          <w:rFonts w:ascii="Arial" w:hAnsi="Arial" w:cs="Arial"/>
        </w:rPr>
        <w:t xml:space="preserve">lick &amp; </w:t>
      </w:r>
      <w:r w:rsidR="00875F9A" w:rsidRPr="00A845B7">
        <w:rPr>
          <w:rFonts w:ascii="Arial" w:hAnsi="Arial" w:cs="Arial"/>
        </w:rPr>
        <w:t>c</w:t>
      </w:r>
      <w:r w:rsidR="007D43ED" w:rsidRPr="00A845B7">
        <w:rPr>
          <w:rFonts w:ascii="Arial" w:hAnsi="Arial" w:cs="Arial"/>
        </w:rPr>
        <w:t>ollect is now available</w:t>
      </w:r>
      <w:r w:rsidR="006C517B" w:rsidRPr="00A845B7">
        <w:rPr>
          <w:rFonts w:ascii="Arial" w:hAnsi="Arial" w:cs="Arial"/>
        </w:rPr>
        <w:t xml:space="preserve"> on </w:t>
      </w:r>
      <w:r w:rsidR="003678C1" w:rsidRPr="00A845B7">
        <w:rPr>
          <w:rFonts w:ascii="Arial" w:hAnsi="Arial" w:cs="Arial"/>
        </w:rPr>
        <w:t xml:space="preserve">over </w:t>
      </w:r>
      <w:r w:rsidR="008068D0" w:rsidRPr="00A845B7">
        <w:rPr>
          <w:rFonts w:ascii="Arial" w:hAnsi="Arial" w:cs="Arial"/>
        </w:rPr>
        <w:t>31</w:t>
      </w:r>
      <w:r w:rsidR="00937988" w:rsidRPr="00A845B7">
        <w:rPr>
          <w:rFonts w:ascii="Arial" w:hAnsi="Arial" w:cs="Arial"/>
        </w:rPr>
        <w:t>,</w:t>
      </w:r>
      <w:r w:rsidR="008068D0" w:rsidRPr="00A845B7">
        <w:rPr>
          <w:rFonts w:ascii="Arial" w:hAnsi="Arial" w:cs="Arial"/>
        </w:rPr>
        <w:t>500</w:t>
      </w:r>
      <w:r w:rsidR="00E95DC2" w:rsidRPr="00A845B7">
        <w:rPr>
          <w:rFonts w:ascii="Arial" w:hAnsi="Arial" w:cs="Arial"/>
        </w:rPr>
        <w:t xml:space="preserve"> </w:t>
      </w:r>
      <w:r w:rsidR="007D43ED" w:rsidRPr="00A845B7">
        <w:rPr>
          <w:rFonts w:ascii="Arial" w:hAnsi="Arial" w:cs="Arial"/>
        </w:rPr>
        <w:t>products</w:t>
      </w:r>
      <w:r w:rsidR="008068D0" w:rsidRPr="00A845B7">
        <w:rPr>
          <w:rFonts w:ascii="Arial" w:hAnsi="Arial" w:cs="Arial"/>
        </w:rPr>
        <w:t xml:space="preserve"> (FY 2015/16: </w:t>
      </w:r>
      <w:r w:rsidR="004B3EA9">
        <w:rPr>
          <w:rFonts w:ascii="Arial" w:hAnsi="Arial" w:cs="Arial"/>
        </w:rPr>
        <w:t>16,700</w:t>
      </w:r>
      <w:r w:rsidR="008068D0" w:rsidRPr="00A845B7">
        <w:rPr>
          <w:rFonts w:ascii="Arial" w:hAnsi="Arial" w:cs="Arial"/>
        </w:rPr>
        <w:t>)</w:t>
      </w:r>
      <w:r w:rsidR="007D43ED" w:rsidRPr="00A845B7">
        <w:rPr>
          <w:rFonts w:ascii="Arial" w:hAnsi="Arial" w:cs="Arial"/>
        </w:rPr>
        <w:t xml:space="preserve">. Total </w:t>
      </w:r>
      <w:r w:rsidR="00AF31F4" w:rsidRPr="00A845B7">
        <w:rPr>
          <w:rFonts w:ascii="Arial" w:hAnsi="Arial" w:cs="Arial"/>
        </w:rPr>
        <w:t>digital</w:t>
      </w:r>
      <w:r w:rsidR="007D43ED" w:rsidRPr="00A845B7">
        <w:rPr>
          <w:rFonts w:ascii="Arial" w:hAnsi="Arial" w:cs="Arial"/>
        </w:rPr>
        <w:t xml:space="preserve"> sales</w:t>
      </w:r>
      <w:r w:rsidR="00461A73" w:rsidRPr="00A845B7">
        <w:rPr>
          <w:rFonts w:ascii="Arial" w:hAnsi="Arial" w:cs="Arial"/>
        </w:rPr>
        <w:t>*</w:t>
      </w:r>
      <w:r w:rsidR="007D43ED" w:rsidRPr="00A845B7">
        <w:rPr>
          <w:rFonts w:ascii="Arial" w:hAnsi="Arial" w:cs="Arial"/>
        </w:rPr>
        <w:t xml:space="preserve">, including home delivery, continued to make good progress with sales growing by </w:t>
      </w:r>
      <w:r w:rsidR="0066107E" w:rsidRPr="00A845B7">
        <w:rPr>
          <w:rFonts w:ascii="Arial" w:hAnsi="Arial" w:cs="Arial"/>
        </w:rPr>
        <w:t>45</w:t>
      </w:r>
      <w:r w:rsidR="007D43ED" w:rsidRPr="00A845B7">
        <w:rPr>
          <w:rFonts w:ascii="Arial" w:hAnsi="Arial" w:cs="Arial"/>
        </w:rPr>
        <w:t>%.</w:t>
      </w:r>
    </w:p>
    <w:p w:rsidR="007D43ED" w:rsidRPr="00A845B7" w:rsidRDefault="007D43ED" w:rsidP="007D43ED">
      <w:pPr>
        <w:jc w:val="left"/>
        <w:rPr>
          <w:rFonts w:ascii="Arial" w:hAnsi="Arial" w:cs="Arial"/>
          <w:highlight w:val="yellow"/>
        </w:rPr>
      </w:pPr>
    </w:p>
    <w:p w:rsidR="007D43ED" w:rsidRPr="00A845B7" w:rsidRDefault="007D43ED" w:rsidP="007D43ED">
      <w:pPr>
        <w:pStyle w:val="PlainText"/>
        <w:rPr>
          <w:rFonts w:ascii="Arial" w:hAnsi="Arial" w:cs="Arial"/>
          <w:sz w:val="22"/>
          <w:szCs w:val="22"/>
        </w:rPr>
      </w:pPr>
      <w:r w:rsidRPr="00A845B7">
        <w:rPr>
          <w:rFonts w:ascii="Arial" w:hAnsi="Arial" w:cs="Arial"/>
          <w:b/>
          <w:sz w:val="22"/>
          <w:szCs w:val="22"/>
        </w:rPr>
        <w:t>Screwfix</w:t>
      </w:r>
      <w:r w:rsidRPr="00A845B7">
        <w:rPr>
          <w:rFonts w:ascii="Arial" w:hAnsi="Arial" w:cs="Arial"/>
          <w:sz w:val="22"/>
          <w:szCs w:val="22"/>
        </w:rPr>
        <w:t xml:space="preserve"> grew total sales by </w:t>
      </w:r>
      <w:r w:rsidR="00850AD2" w:rsidRPr="00A845B7">
        <w:rPr>
          <w:rFonts w:ascii="Arial" w:hAnsi="Arial" w:cs="Arial"/>
          <w:sz w:val="22"/>
          <w:szCs w:val="22"/>
        </w:rPr>
        <w:t>23.2</w:t>
      </w:r>
      <w:r w:rsidRPr="00A845B7">
        <w:rPr>
          <w:rFonts w:ascii="Arial" w:hAnsi="Arial" w:cs="Arial"/>
          <w:sz w:val="22"/>
          <w:szCs w:val="22"/>
        </w:rPr>
        <w:t>% (+</w:t>
      </w:r>
      <w:r w:rsidR="00850AD2" w:rsidRPr="00A845B7">
        <w:rPr>
          <w:rFonts w:ascii="Arial" w:hAnsi="Arial" w:cs="Arial"/>
          <w:sz w:val="22"/>
          <w:szCs w:val="22"/>
        </w:rPr>
        <w:t>13.8</w:t>
      </w:r>
      <w:r w:rsidRPr="00A845B7">
        <w:rPr>
          <w:rFonts w:ascii="Arial" w:hAnsi="Arial" w:cs="Arial"/>
          <w:sz w:val="22"/>
          <w:szCs w:val="22"/>
        </w:rPr>
        <w:t>% LFL) to £</w:t>
      </w:r>
      <w:r w:rsidR="00850AD2" w:rsidRPr="00A845B7">
        <w:rPr>
          <w:rFonts w:ascii="Arial" w:hAnsi="Arial" w:cs="Arial"/>
          <w:sz w:val="22"/>
          <w:szCs w:val="22"/>
        </w:rPr>
        <w:t>1,299</w:t>
      </w:r>
      <w:r w:rsidR="00E95DC2" w:rsidRPr="00A845B7">
        <w:rPr>
          <w:rFonts w:ascii="Arial" w:hAnsi="Arial" w:cs="Arial"/>
          <w:sz w:val="22"/>
          <w:szCs w:val="22"/>
        </w:rPr>
        <w:t xml:space="preserve"> </w:t>
      </w:r>
      <w:r w:rsidRPr="00A845B7">
        <w:rPr>
          <w:rFonts w:ascii="Arial" w:hAnsi="Arial" w:cs="Arial"/>
          <w:sz w:val="22"/>
          <w:szCs w:val="22"/>
        </w:rPr>
        <w:t>million, driven by strong growth from the specialist trade desks exclusive to plumbers and electricians, strong digital growth</w:t>
      </w:r>
      <w:r w:rsidR="008669E9" w:rsidRPr="00A845B7">
        <w:rPr>
          <w:rFonts w:ascii="Arial" w:hAnsi="Arial" w:cs="Arial"/>
          <w:sz w:val="22"/>
          <w:szCs w:val="22"/>
        </w:rPr>
        <w:t xml:space="preserve"> (e.g. click &amp; collect +</w:t>
      </w:r>
      <w:r w:rsidR="00A01841" w:rsidRPr="00A845B7">
        <w:rPr>
          <w:rFonts w:ascii="Arial" w:hAnsi="Arial" w:cs="Arial"/>
          <w:sz w:val="22"/>
          <w:szCs w:val="22"/>
        </w:rPr>
        <w:t>60</w:t>
      </w:r>
      <w:r w:rsidR="008669E9" w:rsidRPr="00A845B7">
        <w:rPr>
          <w:rFonts w:ascii="Arial" w:hAnsi="Arial" w:cs="Arial"/>
          <w:sz w:val="22"/>
          <w:szCs w:val="22"/>
        </w:rPr>
        <w:t>%</w:t>
      </w:r>
      <w:r w:rsidR="00A01841" w:rsidRPr="00A845B7">
        <w:rPr>
          <w:rFonts w:ascii="Arial" w:hAnsi="Arial" w:cs="Arial"/>
          <w:sz w:val="22"/>
          <w:szCs w:val="22"/>
        </w:rPr>
        <w:t>, mobile +124%</w:t>
      </w:r>
      <w:r w:rsidR="008669E9" w:rsidRPr="00A845B7">
        <w:rPr>
          <w:rFonts w:ascii="Arial" w:hAnsi="Arial" w:cs="Arial"/>
          <w:sz w:val="22"/>
          <w:szCs w:val="22"/>
        </w:rPr>
        <w:t>)</w:t>
      </w:r>
      <w:r w:rsidRPr="00A845B7">
        <w:rPr>
          <w:rFonts w:ascii="Arial" w:hAnsi="Arial" w:cs="Arial"/>
          <w:sz w:val="22"/>
          <w:szCs w:val="22"/>
        </w:rPr>
        <w:t xml:space="preserve"> </w:t>
      </w:r>
      <w:r w:rsidR="009A66A7" w:rsidRPr="00A845B7">
        <w:rPr>
          <w:rFonts w:ascii="Arial" w:hAnsi="Arial" w:cs="Arial"/>
          <w:sz w:val="22"/>
          <w:szCs w:val="22"/>
        </w:rPr>
        <w:t xml:space="preserve">and </w:t>
      </w:r>
      <w:r w:rsidRPr="00A845B7">
        <w:rPr>
          <w:rFonts w:ascii="Arial" w:hAnsi="Arial" w:cs="Arial"/>
          <w:sz w:val="22"/>
          <w:szCs w:val="22"/>
        </w:rPr>
        <w:t>the continued roll out of new outlets. </w:t>
      </w:r>
      <w:r w:rsidR="004938BA" w:rsidRPr="00A845B7">
        <w:rPr>
          <w:rFonts w:ascii="Arial" w:hAnsi="Arial" w:cs="Arial"/>
          <w:sz w:val="22"/>
          <w:szCs w:val="22"/>
        </w:rPr>
        <w:t>60</w:t>
      </w:r>
      <w:r w:rsidR="00E95DC2" w:rsidRPr="00A845B7">
        <w:rPr>
          <w:rFonts w:ascii="Arial" w:hAnsi="Arial" w:cs="Arial"/>
          <w:sz w:val="22"/>
          <w:szCs w:val="22"/>
        </w:rPr>
        <w:t xml:space="preserve"> </w:t>
      </w:r>
      <w:r w:rsidRPr="00A845B7">
        <w:rPr>
          <w:rFonts w:ascii="Arial" w:hAnsi="Arial" w:cs="Arial"/>
          <w:sz w:val="22"/>
          <w:szCs w:val="22"/>
        </w:rPr>
        <w:t xml:space="preserve">new outlets were opened, taking the total to </w:t>
      </w:r>
      <w:r w:rsidR="004938BA" w:rsidRPr="00A845B7">
        <w:rPr>
          <w:rFonts w:ascii="Arial" w:hAnsi="Arial" w:cs="Arial"/>
          <w:sz w:val="22"/>
          <w:szCs w:val="22"/>
        </w:rPr>
        <w:t>517</w:t>
      </w:r>
      <w:r w:rsidRPr="00A845B7">
        <w:rPr>
          <w:rFonts w:ascii="Arial" w:hAnsi="Arial" w:cs="Arial"/>
          <w:sz w:val="22"/>
          <w:szCs w:val="22"/>
        </w:rPr>
        <w:t>.</w:t>
      </w:r>
      <w:r w:rsidR="00CF6B8E" w:rsidRPr="00A845B7">
        <w:rPr>
          <w:rFonts w:ascii="Arial" w:hAnsi="Arial" w:cs="Arial"/>
          <w:sz w:val="22"/>
          <w:szCs w:val="22"/>
        </w:rPr>
        <w:t xml:space="preserve"> Our overall target is to have around 700 outlets in the UK</w:t>
      </w:r>
      <w:r w:rsidR="00AF31F4" w:rsidRPr="00A845B7">
        <w:rPr>
          <w:rFonts w:ascii="Arial" w:hAnsi="Arial" w:cs="Arial"/>
          <w:sz w:val="22"/>
          <w:szCs w:val="22"/>
        </w:rPr>
        <w:t xml:space="preserve">, up from 600 previously. </w:t>
      </w:r>
      <w:r w:rsidR="00332A96" w:rsidRPr="00A845B7">
        <w:rPr>
          <w:rFonts w:ascii="Arial" w:hAnsi="Arial" w:cs="Arial"/>
          <w:sz w:val="22"/>
          <w:szCs w:val="22"/>
        </w:rPr>
        <w:t xml:space="preserve"> </w:t>
      </w:r>
    </w:p>
    <w:p w:rsidR="002F5458" w:rsidRPr="00F764D3" w:rsidRDefault="002F5458">
      <w:pPr>
        <w:jc w:val="left"/>
        <w:rPr>
          <w:rFonts w:ascii="Arial" w:hAnsi="Arial" w:cs="Arial"/>
          <w:sz w:val="24"/>
          <w:szCs w:val="24"/>
          <w:highlight w:val="yellow"/>
        </w:rPr>
      </w:pPr>
      <w:r w:rsidRPr="00F764D3">
        <w:rPr>
          <w:rFonts w:ascii="Arial" w:hAnsi="Arial" w:cs="Arial"/>
          <w:sz w:val="24"/>
          <w:szCs w:val="24"/>
          <w:highlight w:val="yellow"/>
        </w:rPr>
        <w:br w:type="page"/>
      </w:r>
    </w:p>
    <w:p w:rsidR="002F5458" w:rsidRPr="00A845B7" w:rsidRDefault="002F5458" w:rsidP="002F5458">
      <w:pPr>
        <w:jc w:val="left"/>
        <w:rPr>
          <w:rFonts w:ascii="Arial" w:hAnsi="Arial" w:cs="Arial"/>
        </w:rPr>
      </w:pPr>
      <w:r w:rsidRPr="00A845B7">
        <w:rPr>
          <w:rFonts w:ascii="Arial" w:hAnsi="Arial" w:cs="Arial"/>
          <w:b/>
          <w:bCs/>
        </w:rPr>
        <w:lastRenderedPageBreak/>
        <w:t xml:space="preserve">FRANCE </w:t>
      </w:r>
    </w:p>
    <w:p w:rsidR="002F5458" w:rsidRPr="00A845B7" w:rsidRDefault="002F5458" w:rsidP="002F5458">
      <w:pPr>
        <w:rPr>
          <w:rFonts w:ascii="Arial" w:hAnsi="Arial" w:cs="Arial"/>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344"/>
        <w:gridCol w:w="1190"/>
        <w:gridCol w:w="1637"/>
        <w:gridCol w:w="1786"/>
        <w:gridCol w:w="1190"/>
      </w:tblGrid>
      <w:tr w:rsidR="002F5458" w:rsidRPr="00A845B7" w:rsidTr="006F78D1">
        <w:tc>
          <w:tcPr>
            <w:tcW w:w="1289" w:type="pct"/>
            <w:tcBorders>
              <w:bottom w:val="single" w:sz="4" w:space="0" w:color="auto"/>
            </w:tcBorders>
          </w:tcPr>
          <w:p w:rsidR="002F5458" w:rsidRPr="00A845B7" w:rsidRDefault="002F5458" w:rsidP="009C6430">
            <w:pPr>
              <w:rPr>
                <w:rFonts w:ascii="Arial" w:hAnsi="Arial" w:cs="Arial"/>
              </w:rPr>
            </w:pPr>
            <w:r w:rsidRPr="00A845B7">
              <w:rPr>
                <w:rFonts w:ascii="Arial" w:hAnsi="Arial" w:cs="Arial"/>
              </w:rPr>
              <w:t>£m</w:t>
            </w:r>
          </w:p>
        </w:tc>
        <w:tc>
          <w:tcPr>
            <w:tcW w:w="698" w:type="pct"/>
            <w:tcBorders>
              <w:bottom w:val="single" w:sz="4" w:space="0" w:color="auto"/>
            </w:tcBorders>
          </w:tcPr>
          <w:p w:rsidR="002F5458" w:rsidRPr="00A845B7" w:rsidRDefault="002F5458" w:rsidP="009C6430">
            <w:pPr>
              <w:jc w:val="right"/>
              <w:rPr>
                <w:rFonts w:ascii="Arial" w:hAnsi="Arial" w:cs="Arial"/>
              </w:rPr>
            </w:pPr>
            <w:r w:rsidRPr="00A845B7">
              <w:rPr>
                <w:rFonts w:ascii="Arial" w:hAnsi="Arial" w:cs="Arial"/>
                <w:b/>
                <w:bCs/>
              </w:rPr>
              <w:t>2016/17</w:t>
            </w:r>
          </w:p>
        </w:tc>
        <w:tc>
          <w:tcPr>
            <w:tcW w:w="618" w:type="pct"/>
            <w:tcBorders>
              <w:bottom w:val="single" w:sz="4" w:space="0" w:color="auto"/>
            </w:tcBorders>
          </w:tcPr>
          <w:p w:rsidR="002F5458" w:rsidRPr="00A845B7" w:rsidRDefault="002F5458" w:rsidP="009C6430">
            <w:pPr>
              <w:jc w:val="right"/>
              <w:rPr>
                <w:rFonts w:ascii="Arial" w:hAnsi="Arial" w:cs="Arial"/>
                <w:b/>
                <w:bCs/>
              </w:rPr>
            </w:pPr>
            <w:r w:rsidRPr="00A845B7">
              <w:rPr>
                <w:rFonts w:ascii="Arial" w:hAnsi="Arial" w:cs="Arial"/>
                <w:b/>
                <w:bCs/>
              </w:rPr>
              <w:t>2015/16</w:t>
            </w:r>
          </w:p>
        </w:tc>
        <w:tc>
          <w:tcPr>
            <w:tcW w:w="850" w:type="pct"/>
            <w:tcBorders>
              <w:bottom w:val="single" w:sz="4" w:space="0" w:color="auto"/>
            </w:tcBorders>
          </w:tcPr>
          <w:p w:rsidR="002F5458" w:rsidRPr="00A845B7" w:rsidRDefault="002F5458" w:rsidP="009C6430">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rsidR="002F5458" w:rsidRPr="00A845B7" w:rsidRDefault="002F5458" w:rsidP="009C6430">
            <w:pPr>
              <w:jc w:val="right"/>
              <w:rPr>
                <w:rFonts w:ascii="Arial" w:hAnsi="Arial" w:cs="Arial"/>
                <w:b/>
                <w:bCs/>
              </w:rPr>
            </w:pPr>
          </w:p>
        </w:tc>
        <w:tc>
          <w:tcPr>
            <w:tcW w:w="927" w:type="pct"/>
            <w:tcBorders>
              <w:bottom w:val="single" w:sz="4" w:space="0" w:color="auto"/>
            </w:tcBorders>
          </w:tcPr>
          <w:p w:rsidR="002F5458" w:rsidRPr="00A845B7" w:rsidRDefault="002F5458" w:rsidP="009C6430">
            <w:pPr>
              <w:jc w:val="right"/>
              <w:rPr>
                <w:rFonts w:ascii="Arial" w:hAnsi="Arial" w:cs="Arial"/>
                <w:b/>
                <w:bCs/>
              </w:rPr>
            </w:pPr>
            <w:r w:rsidRPr="00A845B7">
              <w:rPr>
                <w:rFonts w:ascii="Arial" w:hAnsi="Arial" w:cs="Arial"/>
                <w:b/>
                <w:bCs/>
              </w:rPr>
              <w:t>% Constant</w:t>
            </w:r>
          </w:p>
          <w:p w:rsidR="002F5458" w:rsidRPr="00A845B7" w:rsidRDefault="002F5458" w:rsidP="009C6430">
            <w:pPr>
              <w:jc w:val="right"/>
              <w:rPr>
                <w:rFonts w:ascii="Arial" w:hAnsi="Arial" w:cs="Arial"/>
                <w:b/>
                <w:bCs/>
              </w:rPr>
            </w:pPr>
            <w:r w:rsidRPr="00A845B7">
              <w:rPr>
                <w:rFonts w:ascii="Arial" w:hAnsi="Arial" w:cs="Arial"/>
                <w:b/>
                <w:bCs/>
              </w:rPr>
              <w:t>Currency</w:t>
            </w:r>
          </w:p>
          <w:p w:rsidR="002F5458" w:rsidRPr="00A845B7" w:rsidRDefault="002F5458" w:rsidP="009C6430">
            <w:pPr>
              <w:jc w:val="right"/>
              <w:rPr>
                <w:rFonts w:ascii="Arial" w:hAnsi="Arial" w:cs="Arial"/>
                <w:b/>
                <w:bCs/>
              </w:rPr>
            </w:pPr>
            <w:r w:rsidRPr="00A845B7">
              <w:rPr>
                <w:rFonts w:ascii="Arial" w:hAnsi="Arial" w:cs="Arial"/>
                <w:b/>
                <w:bCs/>
              </w:rPr>
              <w:t xml:space="preserve">Change  </w:t>
            </w:r>
          </w:p>
        </w:tc>
        <w:tc>
          <w:tcPr>
            <w:tcW w:w="618" w:type="pct"/>
            <w:tcBorders>
              <w:bottom w:val="single" w:sz="4" w:space="0" w:color="auto"/>
            </w:tcBorders>
          </w:tcPr>
          <w:p w:rsidR="002F5458" w:rsidRPr="00A845B7" w:rsidRDefault="002F5458" w:rsidP="009C6430">
            <w:pPr>
              <w:ind w:hanging="108"/>
              <w:jc w:val="right"/>
              <w:rPr>
                <w:rFonts w:ascii="Arial" w:hAnsi="Arial" w:cs="Arial"/>
                <w:b/>
                <w:bCs/>
              </w:rPr>
            </w:pPr>
            <w:r w:rsidRPr="00A845B7">
              <w:rPr>
                <w:rFonts w:ascii="Arial" w:hAnsi="Arial" w:cs="Arial"/>
                <w:b/>
                <w:bCs/>
              </w:rPr>
              <w:t>% LFL</w:t>
            </w:r>
          </w:p>
          <w:p w:rsidR="002F5458" w:rsidRPr="00A845B7" w:rsidRDefault="002F5458" w:rsidP="009C6430">
            <w:pPr>
              <w:ind w:hanging="108"/>
              <w:jc w:val="right"/>
              <w:rPr>
                <w:rFonts w:ascii="Arial" w:hAnsi="Arial" w:cs="Arial"/>
                <w:b/>
                <w:bCs/>
              </w:rPr>
            </w:pPr>
            <w:r w:rsidRPr="00A845B7">
              <w:rPr>
                <w:rFonts w:ascii="Arial" w:hAnsi="Arial" w:cs="Arial"/>
                <w:b/>
                <w:bCs/>
              </w:rPr>
              <w:t>Change</w:t>
            </w:r>
          </w:p>
        </w:tc>
      </w:tr>
      <w:tr w:rsidR="002F5458" w:rsidRPr="00A845B7" w:rsidTr="006F78D1">
        <w:trPr>
          <w:trHeight w:val="147"/>
        </w:trPr>
        <w:tc>
          <w:tcPr>
            <w:tcW w:w="1289" w:type="pct"/>
            <w:tcBorders>
              <w:bottom w:val="single" w:sz="4" w:space="0" w:color="auto"/>
            </w:tcBorders>
          </w:tcPr>
          <w:p w:rsidR="002F5458" w:rsidRPr="00A845B7" w:rsidRDefault="002F5458" w:rsidP="009C6430">
            <w:pPr>
              <w:rPr>
                <w:rFonts w:ascii="Arial" w:hAnsi="Arial" w:cs="Arial"/>
                <w:b/>
              </w:rPr>
            </w:pPr>
            <w:r w:rsidRPr="00A845B7">
              <w:rPr>
                <w:rFonts w:ascii="Arial" w:hAnsi="Arial" w:cs="Arial"/>
                <w:b/>
                <w:bCs/>
              </w:rPr>
              <w:t>Sales</w:t>
            </w:r>
          </w:p>
        </w:tc>
        <w:tc>
          <w:tcPr>
            <w:tcW w:w="698" w:type="pct"/>
            <w:tcBorders>
              <w:bottom w:val="single" w:sz="4" w:space="0" w:color="auto"/>
            </w:tcBorders>
          </w:tcPr>
          <w:p w:rsidR="002F5458" w:rsidRPr="00A845B7" w:rsidRDefault="00850AD2" w:rsidP="009C6430">
            <w:pPr>
              <w:jc w:val="right"/>
              <w:rPr>
                <w:rFonts w:ascii="Arial" w:hAnsi="Arial" w:cs="Arial"/>
              </w:rPr>
            </w:pPr>
            <w:r w:rsidRPr="00A845B7">
              <w:rPr>
                <w:rFonts w:ascii="Arial" w:hAnsi="Arial" w:cs="Arial"/>
              </w:rPr>
              <w:t>4,254</w:t>
            </w:r>
          </w:p>
        </w:tc>
        <w:tc>
          <w:tcPr>
            <w:tcW w:w="618" w:type="pct"/>
            <w:tcBorders>
              <w:bottom w:val="single" w:sz="4" w:space="0" w:color="auto"/>
            </w:tcBorders>
          </w:tcPr>
          <w:p w:rsidR="002F5458" w:rsidRPr="00A845B7" w:rsidRDefault="005D6074" w:rsidP="009C6430">
            <w:pPr>
              <w:jc w:val="right"/>
              <w:rPr>
                <w:rFonts w:ascii="Arial" w:hAnsi="Arial" w:cs="Arial"/>
              </w:rPr>
            </w:pPr>
            <w:r w:rsidRPr="00A845B7">
              <w:rPr>
                <w:rFonts w:ascii="Arial" w:hAnsi="Arial" w:cs="Arial"/>
              </w:rPr>
              <w:t>3,786</w:t>
            </w:r>
          </w:p>
        </w:tc>
        <w:tc>
          <w:tcPr>
            <w:tcW w:w="850" w:type="pct"/>
            <w:tcBorders>
              <w:bottom w:val="single" w:sz="4" w:space="0" w:color="auto"/>
            </w:tcBorders>
          </w:tcPr>
          <w:p w:rsidR="002F5458" w:rsidRPr="00A845B7" w:rsidRDefault="006D7DB0">
            <w:pPr>
              <w:jc w:val="right"/>
              <w:rPr>
                <w:rFonts w:ascii="Arial" w:hAnsi="Arial" w:cs="Arial"/>
              </w:rPr>
            </w:pPr>
            <w:r w:rsidRPr="00A845B7">
              <w:rPr>
                <w:rFonts w:ascii="Arial" w:hAnsi="Arial" w:cs="Arial"/>
              </w:rPr>
              <w:t>+</w:t>
            </w:r>
            <w:r w:rsidR="005D6074" w:rsidRPr="00A845B7">
              <w:rPr>
                <w:rFonts w:ascii="Arial" w:hAnsi="Arial" w:cs="Arial"/>
              </w:rPr>
              <w:t>12.4</w:t>
            </w:r>
            <w:r w:rsidR="002E5D72" w:rsidRPr="00A845B7">
              <w:rPr>
                <w:rFonts w:ascii="Arial" w:hAnsi="Arial" w:cs="Arial"/>
              </w:rPr>
              <w:t>%</w:t>
            </w:r>
          </w:p>
        </w:tc>
        <w:tc>
          <w:tcPr>
            <w:tcW w:w="927" w:type="pct"/>
            <w:tcBorders>
              <w:bottom w:val="single" w:sz="4" w:space="0" w:color="auto"/>
            </w:tcBorders>
          </w:tcPr>
          <w:p w:rsidR="002F5458" w:rsidRPr="00A845B7" w:rsidRDefault="006D7DB0" w:rsidP="009C6430">
            <w:pPr>
              <w:jc w:val="right"/>
              <w:rPr>
                <w:rFonts w:ascii="Arial" w:hAnsi="Arial" w:cs="Arial"/>
              </w:rPr>
            </w:pPr>
            <w:r w:rsidRPr="00A845B7">
              <w:rPr>
                <w:rFonts w:ascii="Arial" w:hAnsi="Arial" w:cs="Arial"/>
              </w:rPr>
              <w:t>(1.4)</w:t>
            </w:r>
            <w:r w:rsidR="002E5D72" w:rsidRPr="00A845B7">
              <w:rPr>
                <w:rFonts w:ascii="Arial" w:hAnsi="Arial" w:cs="Arial"/>
              </w:rPr>
              <w:t>%</w:t>
            </w:r>
          </w:p>
        </w:tc>
        <w:tc>
          <w:tcPr>
            <w:tcW w:w="618" w:type="pct"/>
            <w:tcBorders>
              <w:bottom w:val="single" w:sz="4" w:space="0" w:color="auto"/>
            </w:tcBorders>
          </w:tcPr>
          <w:p w:rsidR="002F5458" w:rsidRPr="00A845B7" w:rsidRDefault="0047756B" w:rsidP="009C6430">
            <w:pPr>
              <w:jc w:val="right"/>
              <w:rPr>
                <w:rFonts w:ascii="Arial" w:hAnsi="Arial" w:cs="Arial"/>
              </w:rPr>
            </w:pPr>
            <w:r w:rsidRPr="00A845B7">
              <w:rPr>
                <w:rFonts w:ascii="Arial" w:hAnsi="Arial" w:cs="Arial"/>
              </w:rPr>
              <w:t>(</w:t>
            </w:r>
            <w:r w:rsidR="00850AD2" w:rsidRPr="00A845B7">
              <w:rPr>
                <w:rFonts w:ascii="Arial" w:hAnsi="Arial" w:cs="Arial"/>
              </w:rPr>
              <w:t>2.7</w:t>
            </w:r>
            <w:r w:rsidRPr="00A845B7">
              <w:rPr>
                <w:rFonts w:ascii="Arial" w:hAnsi="Arial" w:cs="Arial"/>
              </w:rPr>
              <w:t>)</w:t>
            </w:r>
            <w:r w:rsidR="002E5D72" w:rsidRPr="00A845B7">
              <w:rPr>
                <w:rFonts w:ascii="Arial" w:hAnsi="Arial" w:cs="Arial"/>
              </w:rPr>
              <w:t>%</w:t>
            </w:r>
          </w:p>
        </w:tc>
      </w:tr>
      <w:tr w:rsidR="002F5458" w:rsidRPr="00A845B7" w:rsidTr="006F78D1">
        <w:trPr>
          <w:gridAfter w:val="1"/>
          <w:wAfter w:w="618" w:type="pct"/>
        </w:trPr>
        <w:tc>
          <w:tcPr>
            <w:tcW w:w="1289" w:type="pct"/>
            <w:tcBorders>
              <w:top w:val="nil"/>
              <w:left w:val="nil"/>
              <w:bottom w:val="single" w:sz="4" w:space="0" w:color="auto"/>
              <w:right w:val="nil"/>
            </w:tcBorders>
          </w:tcPr>
          <w:p w:rsidR="002F5458" w:rsidRPr="00A845B7" w:rsidRDefault="002F5458" w:rsidP="009C6430">
            <w:pPr>
              <w:rPr>
                <w:rFonts w:ascii="Arial" w:hAnsi="Arial" w:cs="Arial"/>
                <w:bCs/>
              </w:rPr>
            </w:pPr>
          </w:p>
        </w:tc>
        <w:tc>
          <w:tcPr>
            <w:tcW w:w="698" w:type="pct"/>
            <w:tcBorders>
              <w:top w:val="nil"/>
              <w:left w:val="nil"/>
              <w:bottom w:val="single" w:sz="4" w:space="0" w:color="auto"/>
              <w:right w:val="nil"/>
            </w:tcBorders>
          </w:tcPr>
          <w:p w:rsidR="002F5458" w:rsidRPr="00A845B7" w:rsidRDefault="002F5458" w:rsidP="009C6430">
            <w:pPr>
              <w:jc w:val="right"/>
              <w:rPr>
                <w:rFonts w:ascii="Arial" w:hAnsi="Arial" w:cs="Arial"/>
              </w:rPr>
            </w:pPr>
          </w:p>
        </w:tc>
        <w:tc>
          <w:tcPr>
            <w:tcW w:w="618" w:type="pct"/>
            <w:tcBorders>
              <w:top w:val="nil"/>
              <w:left w:val="nil"/>
              <w:bottom w:val="single" w:sz="4" w:space="0" w:color="auto"/>
              <w:right w:val="nil"/>
            </w:tcBorders>
          </w:tcPr>
          <w:p w:rsidR="002F5458" w:rsidRPr="00A845B7" w:rsidRDefault="002F5458" w:rsidP="009C6430">
            <w:pPr>
              <w:jc w:val="right"/>
              <w:rPr>
                <w:rFonts w:ascii="Arial" w:hAnsi="Arial" w:cs="Arial"/>
              </w:rPr>
            </w:pPr>
          </w:p>
        </w:tc>
        <w:tc>
          <w:tcPr>
            <w:tcW w:w="850" w:type="pct"/>
            <w:tcBorders>
              <w:top w:val="nil"/>
              <w:left w:val="nil"/>
              <w:bottom w:val="single" w:sz="4" w:space="0" w:color="auto"/>
              <w:right w:val="nil"/>
            </w:tcBorders>
          </w:tcPr>
          <w:p w:rsidR="002F5458" w:rsidRPr="00A845B7" w:rsidRDefault="002F5458" w:rsidP="009C6430">
            <w:pPr>
              <w:jc w:val="right"/>
              <w:rPr>
                <w:rFonts w:ascii="Arial" w:hAnsi="Arial" w:cs="Arial"/>
              </w:rPr>
            </w:pPr>
          </w:p>
        </w:tc>
        <w:tc>
          <w:tcPr>
            <w:tcW w:w="927" w:type="pct"/>
            <w:tcBorders>
              <w:top w:val="nil"/>
              <w:left w:val="nil"/>
              <w:bottom w:val="single" w:sz="4" w:space="0" w:color="auto"/>
              <w:right w:val="nil"/>
            </w:tcBorders>
          </w:tcPr>
          <w:p w:rsidR="002F5458" w:rsidRPr="00A845B7" w:rsidRDefault="002F5458" w:rsidP="009C6430">
            <w:pPr>
              <w:jc w:val="right"/>
              <w:rPr>
                <w:rFonts w:ascii="Arial" w:hAnsi="Arial" w:cs="Arial"/>
              </w:rPr>
            </w:pPr>
          </w:p>
        </w:tc>
      </w:tr>
      <w:tr w:rsidR="00E0450C" w:rsidRPr="00A845B7" w:rsidTr="006F78D1">
        <w:trPr>
          <w:gridAfter w:val="1"/>
          <w:wAfter w:w="618" w:type="pct"/>
        </w:trPr>
        <w:tc>
          <w:tcPr>
            <w:tcW w:w="1289" w:type="pct"/>
            <w:tcBorders>
              <w:top w:val="single" w:sz="4" w:space="0" w:color="auto"/>
              <w:bottom w:val="single" w:sz="4" w:space="0" w:color="auto"/>
            </w:tcBorders>
          </w:tcPr>
          <w:p w:rsidR="00E0450C" w:rsidRPr="00A845B7" w:rsidRDefault="00E0450C" w:rsidP="00E0450C">
            <w:pPr>
              <w:rPr>
                <w:rFonts w:ascii="Arial" w:hAnsi="Arial" w:cs="Arial"/>
                <w:b/>
              </w:rPr>
            </w:pPr>
            <w:r w:rsidRPr="00A845B7">
              <w:rPr>
                <w:rFonts w:ascii="Arial" w:hAnsi="Arial" w:cs="Arial"/>
                <w:b/>
                <w:bCs/>
              </w:rPr>
              <w:t>Retail profit</w:t>
            </w:r>
          </w:p>
        </w:tc>
        <w:tc>
          <w:tcPr>
            <w:tcW w:w="698" w:type="pct"/>
            <w:tcBorders>
              <w:top w:val="single" w:sz="4" w:space="0" w:color="auto"/>
              <w:bottom w:val="single" w:sz="4" w:space="0" w:color="auto"/>
            </w:tcBorders>
          </w:tcPr>
          <w:p w:rsidR="00E0450C" w:rsidRPr="00A845B7" w:rsidRDefault="00E0450C" w:rsidP="00E0450C">
            <w:pPr>
              <w:jc w:val="right"/>
              <w:rPr>
                <w:rFonts w:ascii="Arial" w:hAnsi="Arial" w:cs="Arial"/>
              </w:rPr>
            </w:pPr>
            <w:r w:rsidRPr="00A845B7">
              <w:rPr>
                <w:rFonts w:ascii="Arial" w:hAnsi="Arial" w:cs="Arial"/>
              </w:rPr>
              <w:t>35</w:t>
            </w:r>
            <w:r w:rsidR="00C2543B" w:rsidRPr="00A845B7">
              <w:rPr>
                <w:rFonts w:ascii="Arial" w:hAnsi="Arial" w:cs="Arial"/>
              </w:rPr>
              <w:t>3</w:t>
            </w:r>
          </w:p>
        </w:tc>
        <w:tc>
          <w:tcPr>
            <w:tcW w:w="618" w:type="pct"/>
            <w:tcBorders>
              <w:top w:val="single" w:sz="4" w:space="0" w:color="auto"/>
              <w:bottom w:val="single" w:sz="4" w:space="0" w:color="auto"/>
            </w:tcBorders>
          </w:tcPr>
          <w:p w:rsidR="00E0450C" w:rsidRPr="00A845B7" w:rsidRDefault="00E0450C" w:rsidP="00E0450C">
            <w:pPr>
              <w:jc w:val="right"/>
              <w:rPr>
                <w:rFonts w:ascii="Arial" w:hAnsi="Arial" w:cs="Arial"/>
              </w:rPr>
            </w:pPr>
            <w:r w:rsidRPr="00A845B7">
              <w:rPr>
                <w:rFonts w:ascii="Arial" w:hAnsi="Arial" w:cs="Arial"/>
              </w:rPr>
              <w:t>311</w:t>
            </w:r>
          </w:p>
        </w:tc>
        <w:tc>
          <w:tcPr>
            <w:tcW w:w="850" w:type="pct"/>
            <w:tcBorders>
              <w:top w:val="single" w:sz="4" w:space="0" w:color="auto"/>
              <w:bottom w:val="single" w:sz="4" w:space="0" w:color="auto"/>
            </w:tcBorders>
          </w:tcPr>
          <w:p w:rsidR="00E0450C" w:rsidRPr="00A845B7" w:rsidRDefault="00E0450C" w:rsidP="00E0450C">
            <w:pPr>
              <w:jc w:val="right"/>
              <w:rPr>
                <w:rFonts w:ascii="Arial" w:hAnsi="Arial" w:cs="Arial"/>
              </w:rPr>
            </w:pPr>
            <w:r w:rsidRPr="00A845B7">
              <w:rPr>
                <w:rFonts w:ascii="Arial" w:hAnsi="Arial" w:cs="Arial"/>
              </w:rPr>
              <w:t>+13.</w:t>
            </w:r>
            <w:r w:rsidR="008D395C" w:rsidRPr="00A845B7">
              <w:rPr>
                <w:rFonts w:ascii="Arial" w:hAnsi="Arial" w:cs="Arial"/>
              </w:rPr>
              <w:t>6</w:t>
            </w:r>
            <w:r w:rsidRPr="00A845B7">
              <w:rPr>
                <w:rFonts w:ascii="Arial" w:hAnsi="Arial" w:cs="Arial"/>
              </w:rPr>
              <w:t>%</w:t>
            </w:r>
          </w:p>
        </w:tc>
        <w:tc>
          <w:tcPr>
            <w:tcW w:w="927" w:type="pct"/>
            <w:tcBorders>
              <w:top w:val="single" w:sz="4" w:space="0" w:color="auto"/>
              <w:bottom w:val="single" w:sz="4" w:space="0" w:color="auto"/>
            </w:tcBorders>
          </w:tcPr>
          <w:p w:rsidR="00E0450C" w:rsidRPr="00A845B7" w:rsidRDefault="00E0450C" w:rsidP="00E0450C">
            <w:pPr>
              <w:jc w:val="right"/>
              <w:rPr>
                <w:rFonts w:ascii="Arial" w:hAnsi="Arial" w:cs="Arial"/>
              </w:rPr>
            </w:pPr>
            <w:r w:rsidRPr="00A845B7">
              <w:rPr>
                <w:rFonts w:ascii="Arial" w:hAnsi="Arial" w:cs="Arial"/>
              </w:rPr>
              <w:t>(0.</w:t>
            </w:r>
            <w:r w:rsidR="008D395C" w:rsidRPr="00A845B7">
              <w:rPr>
                <w:rFonts w:ascii="Arial" w:hAnsi="Arial" w:cs="Arial"/>
              </w:rPr>
              <w:t>3</w:t>
            </w:r>
            <w:r w:rsidRPr="00A845B7">
              <w:rPr>
                <w:rFonts w:ascii="Arial" w:hAnsi="Arial" w:cs="Arial"/>
              </w:rPr>
              <w:t>)%</w:t>
            </w:r>
          </w:p>
        </w:tc>
      </w:tr>
    </w:tbl>
    <w:p w:rsidR="002F5458" w:rsidRDefault="002F5458" w:rsidP="002F5458">
      <w:pPr>
        <w:jc w:val="left"/>
        <w:rPr>
          <w:rFonts w:ascii="Arial" w:hAnsi="Arial" w:cs="Arial"/>
          <w:b/>
          <w:bCs/>
          <w:sz w:val="24"/>
          <w:szCs w:val="24"/>
        </w:rPr>
      </w:pPr>
    </w:p>
    <w:p w:rsidR="00A77608" w:rsidRDefault="002F5458" w:rsidP="00BD5F44">
      <w:pPr>
        <w:jc w:val="left"/>
        <w:rPr>
          <w:rFonts w:ascii="Arial" w:hAnsi="Arial" w:cs="Arial"/>
        </w:rPr>
      </w:pPr>
      <w:r w:rsidRPr="00F9080F">
        <w:rPr>
          <w:rFonts w:ascii="Arial" w:hAnsi="Arial" w:cs="Arial"/>
          <w:bCs/>
        </w:rPr>
        <w:t xml:space="preserve">Kingfisher France </w:t>
      </w:r>
      <w:r w:rsidRPr="00A845B7">
        <w:rPr>
          <w:rFonts w:ascii="Arial" w:hAnsi="Arial" w:cs="Arial"/>
          <w:b/>
          <w:bCs/>
        </w:rPr>
        <w:t>sales</w:t>
      </w:r>
      <w:r w:rsidRPr="00F9080F">
        <w:rPr>
          <w:rFonts w:ascii="Arial" w:hAnsi="Arial" w:cs="Arial"/>
          <w:bCs/>
        </w:rPr>
        <w:t xml:space="preserve"> </w:t>
      </w:r>
      <w:r w:rsidR="006D7DB0" w:rsidRPr="00F9080F">
        <w:rPr>
          <w:rFonts w:ascii="Arial" w:hAnsi="Arial" w:cs="Arial"/>
          <w:bCs/>
        </w:rPr>
        <w:t>declined</w:t>
      </w:r>
      <w:r w:rsidR="00921FFC" w:rsidRPr="00F9080F">
        <w:rPr>
          <w:rFonts w:ascii="Arial" w:hAnsi="Arial" w:cs="Arial"/>
          <w:bCs/>
        </w:rPr>
        <w:t xml:space="preserve"> </w:t>
      </w:r>
      <w:r w:rsidRPr="00F9080F">
        <w:rPr>
          <w:rFonts w:ascii="Arial" w:hAnsi="Arial" w:cs="Arial"/>
          <w:bCs/>
        </w:rPr>
        <w:t xml:space="preserve">by </w:t>
      </w:r>
      <w:r w:rsidR="006D7DB0" w:rsidRPr="00F9080F">
        <w:rPr>
          <w:rFonts w:ascii="Arial" w:hAnsi="Arial" w:cs="Arial"/>
          <w:bCs/>
        </w:rPr>
        <w:t>1.4</w:t>
      </w:r>
      <w:r w:rsidRPr="00F9080F">
        <w:rPr>
          <w:rFonts w:ascii="Arial" w:hAnsi="Arial" w:cs="Arial"/>
          <w:bCs/>
        </w:rPr>
        <w:t>% (-</w:t>
      </w:r>
      <w:r w:rsidR="006A32AE" w:rsidRPr="00F9080F">
        <w:rPr>
          <w:rFonts w:ascii="Arial" w:hAnsi="Arial" w:cs="Arial"/>
          <w:bCs/>
        </w:rPr>
        <w:t>2.7</w:t>
      </w:r>
      <w:r w:rsidRPr="00F9080F">
        <w:rPr>
          <w:rFonts w:ascii="Arial" w:hAnsi="Arial" w:cs="Arial"/>
          <w:bCs/>
        </w:rPr>
        <w:t>% LFL) to £</w:t>
      </w:r>
      <w:r w:rsidR="006A32AE" w:rsidRPr="00F9080F">
        <w:rPr>
          <w:rFonts w:ascii="Arial" w:hAnsi="Arial" w:cs="Arial"/>
          <w:bCs/>
        </w:rPr>
        <w:t>4</w:t>
      </w:r>
      <w:r w:rsidR="009C6430" w:rsidRPr="00F9080F">
        <w:rPr>
          <w:rFonts w:ascii="Arial" w:hAnsi="Arial" w:cs="Arial"/>
          <w:bCs/>
        </w:rPr>
        <w:t>,</w:t>
      </w:r>
      <w:r w:rsidR="006A32AE" w:rsidRPr="00F9080F">
        <w:rPr>
          <w:rFonts w:ascii="Arial" w:hAnsi="Arial" w:cs="Arial"/>
          <w:bCs/>
        </w:rPr>
        <w:t>254</w:t>
      </w:r>
      <w:r w:rsidRPr="00F9080F">
        <w:rPr>
          <w:rFonts w:ascii="Arial" w:hAnsi="Arial" w:cs="Arial"/>
          <w:bCs/>
        </w:rPr>
        <w:t xml:space="preserve"> million</w:t>
      </w:r>
      <w:r w:rsidR="00E16A6C" w:rsidRPr="00F9080F">
        <w:rPr>
          <w:rFonts w:ascii="Arial" w:hAnsi="Arial" w:cs="Arial"/>
          <w:bCs/>
        </w:rPr>
        <w:t xml:space="preserve">. </w:t>
      </w:r>
      <w:r w:rsidR="006D7C59" w:rsidRPr="00F9080F">
        <w:rPr>
          <w:rFonts w:ascii="Arial" w:hAnsi="Arial" w:cs="Arial"/>
        </w:rPr>
        <w:t>According to Banque de France d</w:t>
      </w:r>
      <w:r w:rsidR="006D7C59" w:rsidRPr="0011451D">
        <w:rPr>
          <w:rFonts w:ascii="Arial" w:hAnsi="Arial" w:cs="Arial"/>
        </w:rPr>
        <w:t>ata</w:t>
      </w:r>
      <w:r w:rsidR="00A359EE" w:rsidRPr="0011451D">
        <w:rPr>
          <w:rFonts w:ascii="Arial" w:hAnsi="Arial" w:cs="Arial"/>
          <w:bCs/>
        </w:rPr>
        <w:t>*</w:t>
      </w:r>
      <w:r w:rsidR="006D7C59" w:rsidRPr="0011451D">
        <w:rPr>
          <w:rFonts w:ascii="Arial" w:hAnsi="Arial" w:cs="Arial"/>
        </w:rPr>
        <w:t>,</w:t>
      </w:r>
      <w:r w:rsidR="00A359EE" w:rsidRPr="0011451D">
        <w:rPr>
          <w:rFonts w:ascii="Arial" w:hAnsi="Arial" w:cs="Arial"/>
        </w:rPr>
        <w:t xml:space="preserve"> </w:t>
      </w:r>
      <w:r w:rsidR="006D7C59" w:rsidRPr="0011451D">
        <w:rPr>
          <w:rFonts w:ascii="Arial" w:hAnsi="Arial" w:cs="Arial"/>
        </w:rPr>
        <w:t xml:space="preserve">sales for the home improvement market were </w:t>
      </w:r>
      <w:r w:rsidR="0066107E" w:rsidRPr="0011451D">
        <w:rPr>
          <w:rFonts w:ascii="Arial" w:hAnsi="Arial" w:cs="Arial"/>
        </w:rPr>
        <w:t>down</w:t>
      </w:r>
      <w:r w:rsidR="006D7C59" w:rsidRPr="0011451D">
        <w:rPr>
          <w:rFonts w:ascii="Arial" w:hAnsi="Arial" w:cs="Arial"/>
        </w:rPr>
        <w:t xml:space="preserve"> </w:t>
      </w:r>
      <w:r w:rsidR="00A01841" w:rsidRPr="0011451D">
        <w:rPr>
          <w:rFonts w:ascii="Arial" w:hAnsi="Arial" w:cs="Arial"/>
        </w:rPr>
        <w:t>0.6</w:t>
      </w:r>
      <w:r w:rsidR="006D7C59" w:rsidRPr="0011451D">
        <w:rPr>
          <w:rFonts w:ascii="Arial" w:hAnsi="Arial" w:cs="Arial"/>
        </w:rPr>
        <w:t xml:space="preserve">%. </w:t>
      </w:r>
      <w:r w:rsidR="00A77608" w:rsidRPr="00595659">
        <w:rPr>
          <w:rFonts w:ascii="Arial" w:hAnsi="Arial" w:cs="Arial"/>
        </w:rPr>
        <w:t>Whilst holding a strong market position in France</w:t>
      </w:r>
      <w:r w:rsidR="00A77608">
        <w:rPr>
          <w:rFonts w:ascii="Arial" w:hAnsi="Arial" w:cs="Arial"/>
        </w:rPr>
        <w:t xml:space="preserve"> and</w:t>
      </w:r>
      <w:r w:rsidR="00A77608" w:rsidRPr="00595659">
        <w:rPr>
          <w:rFonts w:ascii="Arial" w:hAnsi="Arial" w:cs="Arial"/>
        </w:rPr>
        <w:t xml:space="preserve"> benefiting from a well invested store estate, both businesses have delivered </w:t>
      </w:r>
      <w:r w:rsidR="00A77608">
        <w:rPr>
          <w:rFonts w:ascii="Arial" w:hAnsi="Arial" w:cs="Arial"/>
        </w:rPr>
        <w:t>weaker</w:t>
      </w:r>
      <w:r w:rsidR="00A77608" w:rsidRPr="00595659">
        <w:rPr>
          <w:rFonts w:ascii="Arial" w:hAnsi="Arial" w:cs="Arial"/>
        </w:rPr>
        <w:t xml:space="preserve"> sal</w:t>
      </w:r>
      <w:r w:rsidR="000730F3">
        <w:rPr>
          <w:rFonts w:ascii="Arial" w:hAnsi="Arial" w:cs="Arial"/>
        </w:rPr>
        <w:t xml:space="preserve">es compared to the </w:t>
      </w:r>
      <w:r w:rsidR="00A77608" w:rsidRPr="00595659">
        <w:rPr>
          <w:rFonts w:ascii="Arial" w:hAnsi="Arial" w:cs="Arial"/>
        </w:rPr>
        <w:t>marke</w:t>
      </w:r>
      <w:r w:rsidR="000730F3">
        <w:rPr>
          <w:rFonts w:ascii="Arial" w:hAnsi="Arial" w:cs="Arial"/>
        </w:rPr>
        <w:t>t</w:t>
      </w:r>
      <w:r w:rsidR="00A77608" w:rsidRPr="00595659">
        <w:rPr>
          <w:rFonts w:ascii="Arial" w:hAnsi="Arial" w:cs="Arial"/>
        </w:rPr>
        <w:t xml:space="preserve">. </w:t>
      </w:r>
    </w:p>
    <w:p w:rsidR="00A77608" w:rsidRDefault="00A77608" w:rsidP="00BD5F44">
      <w:pPr>
        <w:jc w:val="left"/>
        <w:rPr>
          <w:rFonts w:ascii="Arial" w:hAnsi="Arial" w:cs="Arial"/>
        </w:rPr>
      </w:pPr>
    </w:p>
    <w:p w:rsidR="0049531E" w:rsidRDefault="00BD5F44" w:rsidP="0049531E">
      <w:pPr>
        <w:spacing w:after="200"/>
        <w:contextualSpacing/>
        <w:jc w:val="left"/>
        <w:rPr>
          <w:rFonts w:ascii="Arial" w:hAnsi="Arial" w:cs="Arial"/>
        </w:rPr>
      </w:pPr>
      <w:r w:rsidRPr="00372D95">
        <w:rPr>
          <w:rFonts w:ascii="Arial" w:hAnsi="Arial" w:cs="Arial"/>
          <w:b/>
          <w:bCs/>
        </w:rPr>
        <w:t>Castorama</w:t>
      </w:r>
      <w:r w:rsidRPr="006B39C7">
        <w:rPr>
          <w:rFonts w:ascii="Arial" w:hAnsi="Arial" w:cs="Arial"/>
        </w:rPr>
        <w:t xml:space="preserve"> </w:t>
      </w:r>
      <w:r w:rsidRPr="00ED4D39">
        <w:rPr>
          <w:rFonts w:ascii="Arial" w:hAnsi="Arial" w:cs="Arial"/>
        </w:rPr>
        <w:t xml:space="preserve">total </w:t>
      </w:r>
      <w:r w:rsidR="00A77608">
        <w:rPr>
          <w:rFonts w:ascii="Arial" w:hAnsi="Arial" w:cs="Arial"/>
        </w:rPr>
        <w:t xml:space="preserve">sales </w:t>
      </w:r>
      <w:r w:rsidRPr="00ED4D39">
        <w:rPr>
          <w:rFonts w:ascii="Arial" w:hAnsi="Arial" w:cs="Arial"/>
        </w:rPr>
        <w:t xml:space="preserve">declined by 2.4% (-3.0% LFL) to £2,308 million. LFL sales of </w:t>
      </w:r>
      <w:r w:rsidR="009C1F35">
        <w:rPr>
          <w:rFonts w:ascii="Arial" w:hAnsi="Arial" w:cs="Arial"/>
        </w:rPr>
        <w:t xml:space="preserve">seasonal </w:t>
      </w:r>
      <w:r w:rsidRPr="000730F3">
        <w:rPr>
          <w:rFonts w:ascii="Arial" w:hAnsi="Arial" w:cs="Arial"/>
        </w:rPr>
        <w:t xml:space="preserve">products were down 4.6% and sales </w:t>
      </w:r>
      <w:r w:rsidR="00BE0CF5">
        <w:rPr>
          <w:rFonts w:ascii="Arial" w:hAnsi="Arial" w:cs="Arial"/>
        </w:rPr>
        <w:t xml:space="preserve">of </w:t>
      </w:r>
      <w:r w:rsidR="001E7802">
        <w:rPr>
          <w:rFonts w:ascii="Arial" w:hAnsi="Arial" w:cs="Arial"/>
        </w:rPr>
        <w:t>non-seasonal</w:t>
      </w:r>
      <w:r w:rsidR="00BE0CF5">
        <w:rPr>
          <w:rFonts w:ascii="Arial" w:hAnsi="Arial" w:cs="Arial"/>
        </w:rPr>
        <w:t xml:space="preserve"> products</w:t>
      </w:r>
      <w:r w:rsidR="001E7802">
        <w:rPr>
          <w:rFonts w:ascii="Arial" w:hAnsi="Arial" w:cs="Arial"/>
        </w:rPr>
        <w:t>, including showroom</w:t>
      </w:r>
      <w:r w:rsidRPr="000730F3">
        <w:rPr>
          <w:rFonts w:ascii="Arial" w:hAnsi="Arial" w:cs="Arial"/>
        </w:rPr>
        <w:t xml:space="preserve"> were down 2.5%.</w:t>
      </w:r>
      <w:r w:rsidR="00E87867">
        <w:rPr>
          <w:rFonts w:ascii="Arial" w:hAnsi="Arial" w:cs="Arial"/>
        </w:rPr>
        <w:t xml:space="preserve"> </w:t>
      </w:r>
      <w:r w:rsidRPr="000730F3">
        <w:rPr>
          <w:rFonts w:ascii="Arial" w:hAnsi="Arial" w:cs="Arial"/>
          <w:b/>
          <w:bCs/>
        </w:rPr>
        <w:t>Brico Dépôt</w:t>
      </w:r>
      <w:r w:rsidRPr="000730F3">
        <w:rPr>
          <w:rFonts w:ascii="Arial" w:hAnsi="Arial" w:cs="Arial"/>
          <w:bCs/>
          <w:sz w:val="24"/>
          <w:szCs w:val="24"/>
        </w:rPr>
        <w:t xml:space="preserve"> </w:t>
      </w:r>
      <w:r w:rsidRPr="000730F3">
        <w:rPr>
          <w:rFonts w:ascii="Arial" w:hAnsi="Arial" w:cs="Arial"/>
          <w:bCs/>
        </w:rPr>
        <w:t xml:space="preserve">total sales were broadly flat (-2.3% LFL) at £1,946 million reflecting store openings. </w:t>
      </w:r>
      <w:r w:rsidR="0049531E">
        <w:rPr>
          <w:rFonts w:ascii="Arial" w:hAnsi="Arial" w:cs="Arial"/>
        </w:rPr>
        <w:t xml:space="preserve">Across the two businesses, </w:t>
      </w:r>
      <w:r w:rsidR="0049531E" w:rsidRPr="00BD5F44">
        <w:rPr>
          <w:rFonts w:ascii="Arial" w:hAnsi="Arial" w:cs="Arial"/>
          <w:bCs/>
        </w:rPr>
        <w:t xml:space="preserve">one net new store was opened and </w:t>
      </w:r>
      <w:r w:rsidR="0049531E">
        <w:rPr>
          <w:rFonts w:ascii="Arial" w:hAnsi="Arial" w:cs="Arial"/>
          <w:bCs/>
        </w:rPr>
        <w:t xml:space="preserve">four were revamped, adding </w:t>
      </w:r>
      <w:r w:rsidR="0049531E" w:rsidRPr="00F9080F">
        <w:rPr>
          <w:rFonts w:ascii="Arial" w:hAnsi="Arial" w:cs="Arial"/>
          <w:bCs/>
        </w:rPr>
        <w:t>around 1% new space.</w:t>
      </w:r>
    </w:p>
    <w:p w:rsidR="000730F3" w:rsidRDefault="000730F3" w:rsidP="000730F3">
      <w:pPr>
        <w:spacing w:after="200"/>
        <w:contextualSpacing/>
        <w:jc w:val="left"/>
        <w:rPr>
          <w:rFonts w:ascii="Arial" w:hAnsi="Arial" w:cs="Arial"/>
          <w:b/>
          <w:bCs/>
          <w:sz w:val="24"/>
          <w:szCs w:val="24"/>
        </w:rPr>
      </w:pPr>
    </w:p>
    <w:p w:rsidR="000E0FB9" w:rsidRDefault="000E0FB9" w:rsidP="00862FEB">
      <w:pPr>
        <w:jc w:val="left"/>
        <w:rPr>
          <w:rFonts w:ascii="Arial" w:hAnsi="Arial" w:cs="Arial"/>
        </w:rPr>
      </w:pPr>
      <w:r>
        <w:rPr>
          <w:rFonts w:ascii="Arial" w:hAnsi="Arial" w:cs="Arial"/>
        </w:rPr>
        <w:t xml:space="preserve">By the end of next year, our ONE Kingfisher plan will provide newness in our customer proposition as over half of France’s offer will be unified and unique. Some of the CPR benefits will be reinvested in price as we </w:t>
      </w:r>
      <w:r w:rsidR="003A14F2">
        <w:rPr>
          <w:rFonts w:ascii="Arial" w:hAnsi="Arial" w:cs="Arial"/>
        </w:rPr>
        <w:t xml:space="preserve">start to </w:t>
      </w:r>
      <w:r>
        <w:rPr>
          <w:rFonts w:ascii="Arial" w:hAnsi="Arial" w:cs="Arial"/>
        </w:rPr>
        <w:t xml:space="preserve">move towards </w:t>
      </w:r>
      <w:r w:rsidR="003A14F2">
        <w:rPr>
          <w:rFonts w:ascii="Arial" w:hAnsi="Arial" w:cs="Arial"/>
        </w:rPr>
        <w:t>making home improvement more affordable for customers. In addition,</w:t>
      </w:r>
      <w:r>
        <w:rPr>
          <w:rFonts w:ascii="Arial" w:hAnsi="Arial" w:cs="Arial"/>
        </w:rPr>
        <w:t xml:space="preserve"> this yea</w:t>
      </w:r>
      <w:r w:rsidR="003A14F2">
        <w:rPr>
          <w:rFonts w:ascii="Arial" w:hAnsi="Arial" w:cs="Arial"/>
        </w:rPr>
        <w:t>r</w:t>
      </w:r>
      <w:r>
        <w:rPr>
          <w:rFonts w:ascii="Arial" w:hAnsi="Arial" w:cs="Arial"/>
        </w:rPr>
        <w:t xml:space="preserve"> we will complete the roll out of the unified IT platform in Castorama France, enabling us to build a stronger digital offer, starting with new mobile and site search. </w:t>
      </w:r>
    </w:p>
    <w:p w:rsidR="00832EAF" w:rsidRDefault="00832EAF" w:rsidP="00832EAF">
      <w:pPr>
        <w:jc w:val="left"/>
        <w:rPr>
          <w:rFonts w:ascii="Arial" w:hAnsi="Arial" w:cs="Arial"/>
          <w:sz w:val="24"/>
          <w:szCs w:val="24"/>
        </w:rPr>
      </w:pPr>
    </w:p>
    <w:p w:rsidR="001B2D28" w:rsidRDefault="001B2D28" w:rsidP="001B2D28">
      <w:pPr>
        <w:jc w:val="left"/>
        <w:rPr>
          <w:rFonts w:ascii="Arial" w:hAnsi="Arial" w:cs="Arial"/>
          <w:bCs/>
        </w:rPr>
      </w:pPr>
      <w:r w:rsidRPr="00A845B7">
        <w:rPr>
          <w:rFonts w:ascii="Arial" w:hAnsi="Arial" w:cs="Arial"/>
          <w:b/>
          <w:bCs/>
        </w:rPr>
        <w:t>Retail profit</w:t>
      </w:r>
      <w:r w:rsidRPr="00A845B7">
        <w:rPr>
          <w:rFonts w:ascii="Arial" w:hAnsi="Arial" w:cs="Arial"/>
          <w:bCs/>
        </w:rPr>
        <w:t xml:space="preserve"> was </w:t>
      </w:r>
      <w:r w:rsidR="008D395C" w:rsidRPr="00A845B7">
        <w:rPr>
          <w:rFonts w:ascii="Arial" w:hAnsi="Arial" w:cs="Arial"/>
          <w:bCs/>
        </w:rPr>
        <w:t xml:space="preserve">broadly </w:t>
      </w:r>
      <w:r w:rsidRPr="00A845B7">
        <w:rPr>
          <w:rFonts w:ascii="Arial" w:hAnsi="Arial" w:cs="Arial"/>
          <w:bCs/>
        </w:rPr>
        <w:t>flat at £353 million, despite the weaker sales, reflecting higher gross</w:t>
      </w:r>
      <w:r w:rsidRPr="009D68F4">
        <w:rPr>
          <w:rFonts w:ascii="Arial" w:hAnsi="Arial" w:cs="Arial"/>
          <w:bCs/>
        </w:rPr>
        <w:t xml:space="preserve"> margins (+20 basis points) benefiting from less promotional activity, and continued focus on cost control. </w:t>
      </w:r>
    </w:p>
    <w:p w:rsidR="002F5458" w:rsidRPr="00F764D3" w:rsidRDefault="002F5458" w:rsidP="002F5458">
      <w:pPr>
        <w:jc w:val="left"/>
        <w:rPr>
          <w:rFonts w:ascii="Arial" w:hAnsi="Arial" w:cs="Arial"/>
          <w:color w:val="FF0000"/>
          <w:sz w:val="24"/>
          <w:szCs w:val="24"/>
          <w:highlight w:val="yellow"/>
        </w:rPr>
      </w:pPr>
    </w:p>
    <w:p w:rsidR="007D43ED" w:rsidRDefault="007D43ED" w:rsidP="00F9080F">
      <w:pPr>
        <w:spacing w:after="200"/>
        <w:contextualSpacing/>
        <w:jc w:val="left"/>
        <w:rPr>
          <w:rFonts w:ascii="Arial" w:hAnsi="Arial" w:cs="Arial"/>
          <w:b/>
          <w:bCs/>
          <w:sz w:val="24"/>
          <w:szCs w:val="24"/>
        </w:rPr>
      </w:pPr>
      <w:r>
        <w:rPr>
          <w:rFonts w:ascii="Arial" w:hAnsi="Arial" w:cs="Arial"/>
          <w:b/>
          <w:bCs/>
          <w:sz w:val="24"/>
          <w:szCs w:val="24"/>
        </w:rPr>
        <w:br w:type="page"/>
      </w:r>
    </w:p>
    <w:p w:rsidR="007D43ED" w:rsidRPr="00A845B7" w:rsidRDefault="007D43ED" w:rsidP="007D43ED">
      <w:pPr>
        <w:rPr>
          <w:rFonts w:ascii="Arial" w:hAnsi="Arial" w:cs="Arial"/>
          <w:b/>
          <w:bCs/>
        </w:rPr>
      </w:pPr>
      <w:r w:rsidRPr="00A845B7">
        <w:rPr>
          <w:rFonts w:ascii="Arial" w:hAnsi="Arial" w:cs="Arial"/>
          <w:b/>
          <w:bCs/>
        </w:rPr>
        <w:lastRenderedPageBreak/>
        <w:t>OTHER INTERNATIONAL</w:t>
      </w:r>
      <w:r w:rsidR="00013088" w:rsidRPr="00A845B7">
        <w:rPr>
          <w:rFonts w:ascii="Arial" w:hAnsi="Arial" w:cs="Arial"/>
          <w:b/>
          <w:bCs/>
        </w:rPr>
        <w:t xml:space="preserve"> </w:t>
      </w:r>
    </w:p>
    <w:p w:rsidR="007D43ED" w:rsidRPr="00A845B7" w:rsidRDefault="007D43ED" w:rsidP="007D43ED">
      <w:pPr>
        <w:rPr>
          <w:rFonts w:ascii="Arial" w:hAnsi="Arial" w:cs="Arial"/>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1344"/>
        <w:gridCol w:w="1192"/>
        <w:gridCol w:w="1637"/>
        <w:gridCol w:w="1639"/>
        <w:gridCol w:w="1339"/>
      </w:tblGrid>
      <w:tr w:rsidR="006B02CB" w:rsidRPr="00A845B7" w:rsidTr="006F78D1">
        <w:tc>
          <w:tcPr>
            <w:tcW w:w="1287" w:type="pct"/>
            <w:tcBorders>
              <w:bottom w:val="single" w:sz="4" w:space="0" w:color="auto"/>
            </w:tcBorders>
          </w:tcPr>
          <w:p w:rsidR="007D43ED" w:rsidRPr="00A845B7" w:rsidRDefault="007D43ED" w:rsidP="00C51098">
            <w:pPr>
              <w:rPr>
                <w:rFonts w:ascii="Arial" w:hAnsi="Arial" w:cs="Arial"/>
                <w:b/>
              </w:rPr>
            </w:pPr>
            <w:r w:rsidRPr="00A845B7">
              <w:rPr>
                <w:rFonts w:ascii="Arial" w:hAnsi="Arial" w:cs="Arial"/>
                <w:b/>
              </w:rPr>
              <w:t>£m</w:t>
            </w:r>
          </w:p>
        </w:tc>
        <w:tc>
          <w:tcPr>
            <w:tcW w:w="698" w:type="pct"/>
            <w:tcBorders>
              <w:bottom w:val="single" w:sz="4" w:space="0" w:color="auto"/>
            </w:tcBorders>
          </w:tcPr>
          <w:p w:rsidR="007D43ED" w:rsidRPr="00A845B7" w:rsidRDefault="007D43ED">
            <w:pPr>
              <w:jc w:val="right"/>
              <w:rPr>
                <w:rFonts w:ascii="Arial" w:hAnsi="Arial" w:cs="Arial"/>
              </w:rPr>
            </w:pPr>
            <w:r w:rsidRPr="00A845B7">
              <w:rPr>
                <w:rFonts w:ascii="Arial" w:hAnsi="Arial" w:cs="Arial"/>
                <w:b/>
                <w:bCs/>
              </w:rPr>
              <w:t>2016</w:t>
            </w:r>
            <w:r w:rsidR="00931630" w:rsidRPr="00A845B7">
              <w:rPr>
                <w:rFonts w:ascii="Arial" w:hAnsi="Arial" w:cs="Arial"/>
                <w:b/>
                <w:bCs/>
              </w:rPr>
              <w:t>/17</w:t>
            </w:r>
          </w:p>
        </w:tc>
        <w:tc>
          <w:tcPr>
            <w:tcW w:w="619" w:type="pct"/>
            <w:tcBorders>
              <w:bottom w:val="single" w:sz="4" w:space="0" w:color="auto"/>
            </w:tcBorders>
          </w:tcPr>
          <w:p w:rsidR="007D43ED" w:rsidRPr="00A845B7" w:rsidRDefault="007D43ED">
            <w:pPr>
              <w:jc w:val="right"/>
              <w:rPr>
                <w:rFonts w:ascii="Arial" w:hAnsi="Arial" w:cs="Arial"/>
                <w:b/>
                <w:bCs/>
              </w:rPr>
            </w:pPr>
            <w:r w:rsidRPr="00A845B7">
              <w:rPr>
                <w:rFonts w:ascii="Arial" w:hAnsi="Arial" w:cs="Arial"/>
                <w:b/>
                <w:bCs/>
              </w:rPr>
              <w:t>2015</w:t>
            </w:r>
            <w:r w:rsidR="00931630" w:rsidRPr="00A845B7">
              <w:rPr>
                <w:rFonts w:ascii="Arial" w:hAnsi="Arial" w:cs="Arial"/>
                <w:b/>
                <w:bCs/>
              </w:rPr>
              <w:t>/16</w:t>
            </w:r>
          </w:p>
        </w:tc>
        <w:tc>
          <w:tcPr>
            <w:tcW w:w="850" w:type="pct"/>
            <w:tcBorders>
              <w:bottom w:val="single" w:sz="4" w:space="0" w:color="auto"/>
            </w:tcBorders>
          </w:tcPr>
          <w:p w:rsidR="007D43ED" w:rsidRPr="00A845B7" w:rsidRDefault="007D43ED" w:rsidP="00C51098">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rsidR="007D43ED" w:rsidRPr="00A845B7" w:rsidRDefault="007D43ED" w:rsidP="00C51098">
            <w:pPr>
              <w:jc w:val="right"/>
              <w:rPr>
                <w:rFonts w:ascii="Arial" w:hAnsi="Arial" w:cs="Arial"/>
                <w:b/>
                <w:bCs/>
              </w:rPr>
            </w:pPr>
          </w:p>
        </w:tc>
        <w:tc>
          <w:tcPr>
            <w:tcW w:w="851" w:type="pct"/>
            <w:tcBorders>
              <w:bottom w:val="single" w:sz="4" w:space="0" w:color="auto"/>
            </w:tcBorders>
          </w:tcPr>
          <w:p w:rsidR="007D43ED" w:rsidRPr="00A845B7" w:rsidRDefault="007D43ED" w:rsidP="00C51098">
            <w:pPr>
              <w:jc w:val="right"/>
              <w:rPr>
                <w:rFonts w:ascii="Arial" w:hAnsi="Arial" w:cs="Arial"/>
                <w:b/>
                <w:bCs/>
              </w:rPr>
            </w:pPr>
            <w:r w:rsidRPr="00A845B7">
              <w:rPr>
                <w:rFonts w:ascii="Arial" w:hAnsi="Arial" w:cs="Arial"/>
                <w:b/>
                <w:bCs/>
              </w:rPr>
              <w:t>% Constant</w:t>
            </w:r>
          </w:p>
          <w:p w:rsidR="007D43ED" w:rsidRPr="00A845B7" w:rsidRDefault="007D43ED" w:rsidP="00C51098">
            <w:pPr>
              <w:jc w:val="right"/>
              <w:rPr>
                <w:rFonts w:ascii="Arial" w:hAnsi="Arial" w:cs="Arial"/>
                <w:b/>
                <w:bCs/>
              </w:rPr>
            </w:pPr>
            <w:r w:rsidRPr="00A845B7">
              <w:rPr>
                <w:rFonts w:ascii="Arial" w:hAnsi="Arial" w:cs="Arial"/>
                <w:b/>
                <w:bCs/>
              </w:rPr>
              <w:t>Currency</w:t>
            </w:r>
          </w:p>
          <w:p w:rsidR="007D43ED" w:rsidRPr="00A845B7" w:rsidRDefault="007D43ED" w:rsidP="00C51098">
            <w:pPr>
              <w:jc w:val="right"/>
              <w:rPr>
                <w:rFonts w:ascii="Arial" w:hAnsi="Arial" w:cs="Arial"/>
                <w:b/>
                <w:bCs/>
              </w:rPr>
            </w:pPr>
            <w:r w:rsidRPr="00A845B7">
              <w:rPr>
                <w:rFonts w:ascii="Arial" w:hAnsi="Arial" w:cs="Arial"/>
                <w:b/>
                <w:bCs/>
              </w:rPr>
              <w:t xml:space="preserve">Change  </w:t>
            </w:r>
          </w:p>
        </w:tc>
        <w:tc>
          <w:tcPr>
            <w:tcW w:w="695" w:type="pct"/>
            <w:tcBorders>
              <w:bottom w:val="single" w:sz="4" w:space="0" w:color="auto"/>
            </w:tcBorders>
          </w:tcPr>
          <w:p w:rsidR="007D43ED" w:rsidRPr="00A845B7" w:rsidRDefault="007D43ED" w:rsidP="00C51098">
            <w:pPr>
              <w:ind w:hanging="108"/>
              <w:jc w:val="right"/>
              <w:rPr>
                <w:rFonts w:ascii="Arial" w:hAnsi="Arial" w:cs="Arial"/>
                <w:b/>
                <w:bCs/>
              </w:rPr>
            </w:pPr>
            <w:r w:rsidRPr="00A845B7">
              <w:rPr>
                <w:rFonts w:ascii="Arial" w:hAnsi="Arial" w:cs="Arial"/>
                <w:b/>
                <w:bCs/>
              </w:rPr>
              <w:t>% LFL</w:t>
            </w:r>
          </w:p>
          <w:p w:rsidR="007D43ED" w:rsidRPr="00A845B7" w:rsidRDefault="007D43ED" w:rsidP="00C51098">
            <w:pPr>
              <w:ind w:hanging="108"/>
              <w:jc w:val="right"/>
              <w:rPr>
                <w:rFonts w:ascii="Arial" w:hAnsi="Arial" w:cs="Arial"/>
                <w:b/>
                <w:bCs/>
              </w:rPr>
            </w:pPr>
            <w:r w:rsidRPr="00A845B7">
              <w:rPr>
                <w:rFonts w:ascii="Arial" w:hAnsi="Arial" w:cs="Arial"/>
                <w:b/>
                <w:bCs/>
              </w:rPr>
              <w:t>Change</w:t>
            </w:r>
          </w:p>
        </w:tc>
      </w:tr>
      <w:tr w:rsidR="006B02CB" w:rsidRPr="00A845B7" w:rsidTr="006F78D1">
        <w:trPr>
          <w:trHeight w:val="147"/>
        </w:trPr>
        <w:tc>
          <w:tcPr>
            <w:tcW w:w="1287" w:type="pct"/>
            <w:tcBorders>
              <w:bottom w:val="single" w:sz="4" w:space="0" w:color="auto"/>
            </w:tcBorders>
            <w:shd w:val="clear" w:color="auto" w:fill="auto"/>
          </w:tcPr>
          <w:p w:rsidR="007D43ED" w:rsidRPr="00A845B7" w:rsidRDefault="007D43ED" w:rsidP="00C51098">
            <w:pPr>
              <w:rPr>
                <w:rFonts w:ascii="Arial" w:hAnsi="Arial" w:cs="Arial"/>
                <w:b/>
              </w:rPr>
            </w:pPr>
            <w:r w:rsidRPr="00A845B7">
              <w:rPr>
                <w:rFonts w:ascii="Arial" w:hAnsi="Arial" w:cs="Arial"/>
                <w:b/>
                <w:bCs/>
              </w:rPr>
              <w:t>Sales</w:t>
            </w:r>
          </w:p>
        </w:tc>
        <w:tc>
          <w:tcPr>
            <w:tcW w:w="698" w:type="pct"/>
            <w:tcBorders>
              <w:bottom w:val="single" w:sz="4" w:space="0" w:color="auto"/>
            </w:tcBorders>
            <w:shd w:val="clear" w:color="auto" w:fill="auto"/>
          </w:tcPr>
          <w:p w:rsidR="007D43ED" w:rsidRPr="00A845B7" w:rsidRDefault="00EA7F9F" w:rsidP="00C51098">
            <w:pPr>
              <w:jc w:val="right"/>
              <w:rPr>
                <w:rFonts w:ascii="Arial" w:hAnsi="Arial" w:cs="Arial"/>
                <w:highlight w:val="yellow"/>
              </w:rPr>
            </w:pPr>
            <w:r w:rsidRPr="00A845B7">
              <w:rPr>
                <w:rFonts w:ascii="Arial" w:hAnsi="Arial" w:cs="Arial"/>
              </w:rPr>
              <w:t>1,99</w:t>
            </w:r>
            <w:r w:rsidR="005D6074" w:rsidRPr="00A845B7">
              <w:rPr>
                <w:rFonts w:ascii="Arial" w:hAnsi="Arial" w:cs="Arial"/>
              </w:rPr>
              <w:t>2</w:t>
            </w:r>
          </w:p>
        </w:tc>
        <w:tc>
          <w:tcPr>
            <w:tcW w:w="619" w:type="pct"/>
            <w:tcBorders>
              <w:bottom w:val="single" w:sz="4" w:space="0" w:color="auto"/>
            </w:tcBorders>
            <w:shd w:val="clear" w:color="auto" w:fill="auto"/>
          </w:tcPr>
          <w:p w:rsidR="007D43ED" w:rsidRPr="00A845B7" w:rsidRDefault="00274B89" w:rsidP="00C51098">
            <w:pPr>
              <w:jc w:val="right"/>
              <w:rPr>
                <w:rFonts w:ascii="Arial" w:hAnsi="Arial" w:cs="Arial"/>
              </w:rPr>
            </w:pPr>
            <w:r w:rsidRPr="00A845B7">
              <w:rPr>
                <w:rFonts w:ascii="Arial" w:hAnsi="Arial" w:cs="Arial"/>
              </w:rPr>
              <w:t>1,692</w:t>
            </w:r>
          </w:p>
        </w:tc>
        <w:tc>
          <w:tcPr>
            <w:tcW w:w="850" w:type="pct"/>
            <w:tcBorders>
              <w:bottom w:val="single" w:sz="4" w:space="0" w:color="auto"/>
            </w:tcBorders>
            <w:shd w:val="clear" w:color="auto" w:fill="auto"/>
          </w:tcPr>
          <w:p w:rsidR="007D43ED" w:rsidRPr="00A845B7" w:rsidRDefault="002E5D72" w:rsidP="00C51098">
            <w:pPr>
              <w:jc w:val="right"/>
              <w:rPr>
                <w:rFonts w:ascii="Arial" w:hAnsi="Arial" w:cs="Arial"/>
                <w:highlight w:val="yellow"/>
              </w:rPr>
            </w:pPr>
            <w:r w:rsidRPr="00A845B7">
              <w:rPr>
                <w:rFonts w:ascii="Arial" w:hAnsi="Arial" w:cs="Arial"/>
              </w:rPr>
              <w:t>+</w:t>
            </w:r>
            <w:r w:rsidR="00EA7F9F" w:rsidRPr="00A845B7">
              <w:rPr>
                <w:rFonts w:ascii="Arial" w:hAnsi="Arial" w:cs="Arial"/>
              </w:rPr>
              <w:t>17.8</w:t>
            </w:r>
            <w:r w:rsidRPr="00A845B7">
              <w:rPr>
                <w:rFonts w:ascii="Arial" w:hAnsi="Arial" w:cs="Arial"/>
              </w:rPr>
              <w:t>%</w:t>
            </w:r>
          </w:p>
        </w:tc>
        <w:tc>
          <w:tcPr>
            <w:tcW w:w="851" w:type="pct"/>
            <w:tcBorders>
              <w:bottom w:val="single" w:sz="4" w:space="0" w:color="auto"/>
            </w:tcBorders>
            <w:shd w:val="clear" w:color="auto" w:fill="auto"/>
          </w:tcPr>
          <w:p w:rsidR="007D43ED" w:rsidRPr="00A845B7" w:rsidRDefault="002E5D72" w:rsidP="00C51098">
            <w:pPr>
              <w:jc w:val="right"/>
              <w:rPr>
                <w:rFonts w:ascii="Arial" w:hAnsi="Arial" w:cs="Arial"/>
                <w:highlight w:val="yellow"/>
              </w:rPr>
            </w:pPr>
            <w:r w:rsidRPr="00A845B7">
              <w:rPr>
                <w:rFonts w:ascii="Arial" w:hAnsi="Arial" w:cs="Arial"/>
              </w:rPr>
              <w:t>+7.</w:t>
            </w:r>
            <w:r w:rsidR="001F0554" w:rsidRPr="00A845B7">
              <w:rPr>
                <w:rFonts w:ascii="Arial" w:hAnsi="Arial" w:cs="Arial"/>
              </w:rPr>
              <w:t>0</w:t>
            </w:r>
            <w:r w:rsidRPr="00A845B7">
              <w:rPr>
                <w:rFonts w:ascii="Arial" w:hAnsi="Arial" w:cs="Arial"/>
              </w:rPr>
              <w:t>%</w:t>
            </w:r>
          </w:p>
        </w:tc>
        <w:tc>
          <w:tcPr>
            <w:tcW w:w="695" w:type="pct"/>
            <w:tcBorders>
              <w:bottom w:val="single" w:sz="4" w:space="0" w:color="auto"/>
            </w:tcBorders>
            <w:shd w:val="clear" w:color="auto" w:fill="auto"/>
          </w:tcPr>
          <w:p w:rsidR="007D43ED" w:rsidRPr="00A845B7" w:rsidRDefault="002E5D72" w:rsidP="00C51098">
            <w:pPr>
              <w:jc w:val="right"/>
              <w:rPr>
                <w:rFonts w:ascii="Arial" w:hAnsi="Arial" w:cs="Arial"/>
                <w:highlight w:val="yellow"/>
              </w:rPr>
            </w:pPr>
            <w:r w:rsidRPr="00A845B7">
              <w:rPr>
                <w:rFonts w:ascii="Arial" w:hAnsi="Arial" w:cs="Arial"/>
              </w:rPr>
              <w:t>+5.</w:t>
            </w:r>
            <w:r w:rsidR="00EA7F9F" w:rsidRPr="00A845B7">
              <w:rPr>
                <w:rFonts w:ascii="Arial" w:hAnsi="Arial" w:cs="Arial"/>
              </w:rPr>
              <w:t>1</w:t>
            </w:r>
            <w:r w:rsidRPr="00A845B7">
              <w:rPr>
                <w:rFonts w:ascii="Arial" w:hAnsi="Arial" w:cs="Arial"/>
              </w:rPr>
              <w:t>%</w:t>
            </w:r>
          </w:p>
        </w:tc>
      </w:tr>
      <w:tr w:rsidR="006B02CB" w:rsidRPr="00A845B7" w:rsidTr="006F78D1">
        <w:trPr>
          <w:gridAfter w:val="1"/>
          <w:wAfter w:w="695" w:type="pct"/>
        </w:trPr>
        <w:tc>
          <w:tcPr>
            <w:tcW w:w="1287" w:type="pct"/>
            <w:tcBorders>
              <w:top w:val="nil"/>
              <w:left w:val="nil"/>
              <w:bottom w:val="single" w:sz="4" w:space="0" w:color="auto"/>
              <w:right w:val="nil"/>
            </w:tcBorders>
          </w:tcPr>
          <w:p w:rsidR="007D43ED" w:rsidRPr="00A845B7" w:rsidRDefault="007D43ED" w:rsidP="00C51098">
            <w:pPr>
              <w:rPr>
                <w:rFonts w:ascii="Arial" w:hAnsi="Arial" w:cs="Arial"/>
                <w:bCs/>
              </w:rPr>
            </w:pPr>
          </w:p>
        </w:tc>
        <w:tc>
          <w:tcPr>
            <w:tcW w:w="698" w:type="pct"/>
            <w:tcBorders>
              <w:top w:val="nil"/>
              <w:left w:val="nil"/>
              <w:bottom w:val="single" w:sz="4" w:space="0" w:color="auto"/>
              <w:right w:val="nil"/>
            </w:tcBorders>
          </w:tcPr>
          <w:p w:rsidR="007D43ED" w:rsidRPr="00A845B7" w:rsidRDefault="007D43ED" w:rsidP="00C51098">
            <w:pPr>
              <w:jc w:val="right"/>
              <w:rPr>
                <w:rFonts w:ascii="Arial" w:hAnsi="Arial" w:cs="Arial"/>
              </w:rPr>
            </w:pPr>
          </w:p>
        </w:tc>
        <w:tc>
          <w:tcPr>
            <w:tcW w:w="619" w:type="pct"/>
            <w:tcBorders>
              <w:top w:val="nil"/>
              <w:left w:val="nil"/>
              <w:bottom w:val="single" w:sz="4" w:space="0" w:color="auto"/>
              <w:right w:val="nil"/>
            </w:tcBorders>
          </w:tcPr>
          <w:p w:rsidR="007D43ED" w:rsidRPr="00A845B7" w:rsidRDefault="007D43ED" w:rsidP="00C51098">
            <w:pPr>
              <w:jc w:val="right"/>
              <w:rPr>
                <w:rFonts w:ascii="Arial" w:hAnsi="Arial" w:cs="Arial"/>
              </w:rPr>
            </w:pPr>
          </w:p>
        </w:tc>
        <w:tc>
          <w:tcPr>
            <w:tcW w:w="850" w:type="pct"/>
            <w:tcBorders>
              <w:top w:val="nil"/>
              <w:left w:val="nil"/>
              <w:bottom w:val="single" w:sz="4" w:space="0" w:color="auto"/>
              <w:right w:val="nil"/>
            </w:tcBorders>
          </w:tcPr>
          <w:p w:rsidR="007D43ED" w:rsidRPr="00A845B7" w:rsidRDefault="007D43ED" w:rsidP="00C51098">
            <w:pPr>
              <w:jc w:val="right"/>
              <w:rPr>
                <w:rFonts w:ascii="Arial" w:hAnsi="Arial" w:cs="Arial"/>
              </w:rPr>
            </w:pPr>
          </w:p>
        </w:tc>
        <w:tc>
          <w:tcPr>
            <w:tcW w:w="851" w:type="pct"/>
            <w:tcBorders>
              <w:top w:val="nil"/>
              <w:left w:val="nil"/>
              <w:bottom w:val="single" w:sz="4" w:space="0" w:color="auto"/>
              <w:right w:val="nil"/>
            </w:tcBorders>
          </w:tcPr>
          <w:p w:rsidR="007D43ED" w:rsidRPr="00A845B7" w:rsidRDefault="007D43ED" w:rsidP="00C51098">
            <w:pPr>
              <w:jc w:val="right"/>
              <w:rPr>
                <w:rFonts w:ascii="Arial" w:hAnsi="Arial" w:cs="Arial"/>
              </w:rPr>
            </w:pPr>
          </w:p>
        </w:tc>
      </w:tr>
      <w:tr w:rsidR="006B02CB" w:rsidRPr="00A845B7" w:rsidTr="006F78D1">
        <w:trPr>
          <w:gridAfter w:val="1"/>
          <w:wAfter w:w="695" w:type="pct"/>
        </w:trPr>
        <w:tc>
          <w:tcPr>
            <w:tcW w:w="1287" w:type="pct"/>
            <w:tcBorders>
              <w:top w:val="single" w:sz="4" w:space="0" w:color="auto"/>
              <w:bottom w:val="single" w:sz="4" w:space="0" w:color="auto"/>
            </w:tcBorders>
          </w:tcPr>
          <w:p w:rsidR="007D43ED" w:rsidRPr="00A845B7" w:rsidRDefault="007D43ED" w:rsidP="00C51098">
            <w:pPr>
              <w:rPr>
                <w:rFonts w:ascii="Arial" w:hAnsi="Arial" w:cs="Arial"/>
                <w:b/>
              </w:rPr>
            </w:pPr>
            <w:r w:rsidRPr="00A845B7">
              <w:rPr>
                <w:rFonts w:ascii="Arial" w:hAnsi="Arial" w:cs="Arial"/>
                <w:b/>
                <w:bCs/>
              </w:rPr>
              <w:t>Retail profit</w:t>
            </w:r>
          </w:p>
        </w:tc>
        <w:tc>
          <w:tcPr>
            <w:tcW w:w="698" w:type="pct"/>
            <w:tcBorders>
              <w:top w:val="single" w:sz="4" w:space="0" w:color="auto"/>
              <w:bottom w:val="single" w:sz="4" w:space="0" w:color="auto"/>
            </w:tcBorders>
          </w:tcPr>
          <w:p w:rsidR="007D43ED" w:rsidRPr="00A845B7" w:rsidRDefault="007D43ED" w:rsidP="00C51098">
            <w:pPr>
              <w:jc w:val="right"/>
              <w:rPr>
                <w:rFonts w:ascii="Arial" w:hAnsi="Arial" w:cs="Arial"/>
              </w:rPr>
            </w:pPr>
          </w:p>
        </w:tc>
        <w:tc>
          <w:tcPr>
            <w:tcW w:w="619" w:type="pct"/>
            <w:tcBorders>
              <w:top w:val="single" w:sz="4" w:space="0" w:color="auto"/>
              <w:bottom w:val="single" w:sz="4" w:space="0" w:color="auto"/>
            </w:tcBorders>
          </w:tcPr>
          <w:p w:rsidR="007D43ED" w:rsidRPr="00A845B7" w:rsidRDefault="007D43ED" w:rsidP="00C51098">
            <w:pPr>
              <w:jc w:val="right"/>
              <w:rPr>
                <w:rFonts w:ascii="Arial" w:hAnsi="Arial" w:cs="Arial"/>
              </w:rPr>
            </w:pPr>
          </w:p>
        </w:tc>
        <w:tc>
          <w:tcPr>
            <w:tcW w:w="850" w:type="pct"/>
            <w:tcBorders>
              <w:top w:val="single" w:sz="4" w:space="0" w:color="auto"/>
              <w:bottom w:val="single" w:sz="4" w:space="0" w:color="auto"/>
            </w:tcBorders>
          </w:tcPr>
          <w:p w:rsidR="007D43ED" w:rsidRPr="00A845B7" w:rsidRDefault="007D43ED" w:rsidP="00C51098">
            <w:pPr>
              <w:jc w:val="right"/>
              <w:rPr>
                <w:rFonts w:ascii="Arial" w:hAnsi="Arial" w:cs="Arial"/>
              </w:rPr>
            </w:pPr>
          </w:p>
        </w:tc>
        <w:tc>
          <w:tcPr>
            <w:tcW w:w="851" w:type="pct"/>
            <w:tcBorders>
              <w:top w:val="single" w:sz="4" w:space="0" w:color="auto"/>
              <w:bottom w:val="single" w:sz="4" w:space="0" w:color="auto"/>
            </w:tcBorders>
          </w:tcPr>
          <w:p w:rsidR="007D43ED" w:rsidRPr="00A845B7" w:rsidRDefault="007D43ED" w:rsidP="00C51098">
            <w:pPr>
              <w:jc w:val="right"/>
              <w:rPr>
                <w:rFonts w:ascii="Arial" w:hAnsi="Arial" w:cs="Arial"/>
              </w:rPr>
            </w:pPr>
          </w:p>
        </w:tc>
      </w:tr>
      <w:tr w:rsidR="00E0450C" w:rsidRPr="00A845B7" w:rsidTr="006F78D1">
        <w:trPr>
          <w:gridAfter w:val="1"/>
          <w:wAfter w:w="695" w:type="pct"/>
        </w:trPr>
        <w:tc>
          <w:tcPr>
            <w:tcW w:w="1287" w:type="pct"/>
            <w:tcBorders>
              <w:top w:val="single" w:sz="4" w:space="0" w:color="auto"/>
            </w:tcBorders>
          </w:tcPr>
          <w:p w:rsidR="00E0450C" w:rsidRPr="00A845B7" w:rsidRDefault="00E0450C" w:rsidP="00E0450C">
            <w:pPr>
              <w:jc w:val="left"/>
              <w:rPr>
                <w:rFonts w:ascii="Arial" w:hAnsi="Arial" w:cs="Arial"/>
                <w:bCs/>
              </w:rPr>
            </w:pPr>
            <w:r w:rsidRPr="00A845B7">
              <w:rPr>
                <w:rFonts w:ascii="Arial" w:hAnsi="Arial" w:cs="Arial"/>
              </w:rPr>
              <w:t>Other International (established)</w:t>
            </w:r>
          </w:p>
        </w:tc>
        <w:tc>
          <w:tcPr>
            <w:tcW w:w="698" w:type="pct"/>
            <w:tcBorders>
              <w:top w:val="single" w:sz="4" w:space="0" w:color="auto"/>
            </w:tcBorders>
          </w:tcPr>
          <w:p w:rsidR="00E0450C" w:rsidRPr="00A845B7" w:rsidRDefault="00E0450C" w:rsidP="00E0450C">
            <w:pPr>
              <w:jc w:val="right"/>
              <w:rPr>
                <w:rFonts w:ascii="Arial" w:hAnsi="Arial" w:cs="Arial"/>
              </w:rPr>
            </w:pPr>
            <w:r w:rsidRPr="00A845B7">
              <w:rPr>
                <w:rFonts w:ascii="Arial" w:hAnsi="Arial" w:cs="Arial"/>
              </w:rPr>
              <w:t>15</w:t>
            </w:r>
            <w:r w:rsidR="00C2543B" w:rsidRPr="00A845B7">
              <w:rPr>
                <w:rFonts w:ascii="Arial" w:hAnsi="Arial" w:cs="Arial"/>
              </w:rPr>
              <w:t>2</w:t>
            </w:r>
          </w:p>
        </w:tc>
        <w:tc>
          <w:tcPr>
            <w:tcW w:w="619" w:type="pct"/>
            <w:tcBorders>
              <w:top w:val="single" w:sz="4" w:space="0" w:color="auto"/>
            </w:tcBorders>
          </w:tcPr>
          <w:p w:rsidR="00E0450C" w:rsidRPr="00A845B7" w:rsidRDefault="00E0450C" w:rsidP="00E0450C">
            <w:pPr>
              <w:jc w:val="right"/>
              <w:rPr>
                <w:rFonts w:ascii="Arial" w:hAnsi="Arial" w:cs="Arial"/>
              </w:rPr>
            </w:pPr>
            <w:r w:rsidRPr="00A845B7">
              <w:rPr>
                <w:rFonts w:ascii="Arial" w:hAnsi="Arial" w:cs="Arial"/>
              </w:rPr>
              <w:t>126</w:t>
            </w:r>
          </w:p>
        </w:tc>
        <w:tc>
          <w:tcPr>
            <w:tcW w:w="850" w:type="pct"/>
            <w:tcBorders>
              <w:top w:val="single" w:sz="4" w:space="0" w:color="auto"/>
            </w:tcBorders>
            <w:shd w:val="clear" w:color="auto" w:fill="auto"/>
          </w:tcPr>
          <w:p w:rsidR="00E0450C" w:rsidRPr="00A845B7" w:rsidRDefault="00E0450C" w:rsidP="00E0450C">
            <w:pPr>
              <w:jc w:val="right"/>
              <w:rPr>
                <w:rFonts w:ascii="Arial" w:hAnsi="Arial" w:cs="Arial"/>
                <w:highlight w:val="yellow"/>
              </w:rPr>
            </w:pPr>
            <w:r w:rsidRPr="00A845B7">
              <w:rPr>
                <w:rFonts w:ascii="Arial" w:hAnsi="Arial" w:cs="Arial"/>
              </w:rPr>
              <w:t>+19.</w:t>
            </w:r>
            <w:r w:rsidR="00F938E9">
              <w:rPr>
                <w:rFonts w:ascii="Arial" w:hAnsi="Arial" w:cs="Arial"/>
              </w:rPr>
              <w:t>6</w:t>
            </w:r>
            <w:r w:rsidRPr="00A845B7">
              <w:rPr>
                <w:rFonts w:ascii="Arial" w:hAnsi="Arial" w:cs="Arial"/>
              </w:rPr>
              <w:t>%</w:t>
            </w:r>
          </w:p>
        </w:tc>
        <w:tc>
          <w:tcPr>
            <w:tcW w:w="851" w:type="pct"/>
            <w:tcBorders>
              <w:top w:val="single" w:sz="4" w:space="0" w:color="auto"/>
            </w:tcBorders>
          </w:tcPr>
          <w:p w:rsidR="00E0450C" w:rsidRPr="00A845B7" w:rsidRDefault="00E0450C" w:rsidP="00E0450C">
            <w:pPr>
              <w:jc w:val="right"/>
              <w:rPr>
                <w:rFonts w:ascii="Arial" w:hAnsi="Arial" w:cs="Arial"/>
                <w:highlight w:val="yellow"/>
              </w:rPr>
            </w:pPr>
            <w:r w:rsidRPr="00A845B7">
              <w:rPr>
                <w:rFonts w:ascii="Arial" w:hAnsi="Arial" w:cs="Arial"/>
              </w:rPr>
              <w:t>+9.</w:t>
            </w:r>
            <w:r w:rsidR="004B3EA9">
              <w:rPr>
                <w:rFonts w:ascii="Arial" w:hAnsi="Arial" w:cs="Arial"/>
              </w:rPr>
              <w:t>7</w:t>
            </w:r>
            <w:r w:rsidRPr="00A845B7">
              <w:rPr>
                <w:rFonts w:ascii="Arial" w:hAnsi="Arial" w:cs="Arial"/>
              </w:rPr>
              <w:t>%</w:t>
            </w:r>
          </w:p>
        </w:tc>
      </w:tr>
      <w:tr w:rsidR="00E0450C" w:rsidRPr="00A845B7" w:rsidTr="006F78D1">
        <w:trPr>
          <w:gridAfter w:val="1"/>
          <w:wAfter w:w="695" w:type="pct"/>
        </w:trPr>
        <w:tc>
          <w:tcPr>
            <w:tcW w:w="1287" w:type="pct"/>
            <w:tcBorders>
              <w:top w:val="single" w:sz="4" w:space="0" w:color="auto"/>
            </w:tcBorders>
          </w:tcPr>
          <w:p w:rsidR="00E0450C" w:rsidRPr="00A845B7" w:rsidRDefault="00E0450C" w:rsidP="00E0450C">
            <w:pPr>
              <w:jc w:val="left"/>
              <w:rPr>
                <w:rFonts w:ascii="Arial" w:hAnsi="Arial" w:cs="Arial"/>
              </w:rPr>
            </w:pPr>
            <w:r w:rsidRPr="00A845B7">
              <w:rPr>
                <w:rFonts w:ascii="Arial" w:hAnsi="Arial" w:cs="Arial"/>
              </w:rPr>
              <w:t>New Country Development*</w:t>
            </w:r>
          </w:p>
        </w:tc>
        <w:tc>
          <w:tcPr>
            <w:tcW w:w="698" w:type="pct"/>
            <w:tcBorders>
              <w:top w:val="single" w:sz="4" w:space="0" w:color="auto"/>
            </w:tcBorders>
          </w:tcPr>
          <w:p w:rsidR="00E0450C" w:rsidRPr="00A845B7" w:rsidRDefault="00E0450C" w:rsidP="00E0450C">
            <w:pPr>
              <w:jc w:val="right"/>
              <w:rPr>
                <w:rFonts w:ascii="Arial" w:hAnsi="Arial" w:cs="Arial"/>
              </w:rPr>
            </w:pPr>
            <w:r w:rsidRPr="00A845B7">
              <w:rPr>
                <w:rFonts w:ascii="Arial" w:hAnsi="Arial" w:cs="Arial"/>
              </w:rPr>
              <w:t>(1</w:t>
            </w:r>
            <w:r w:rsidR="009C1F35">
              <w:rPr>
                <w:rFonts w:ascii="Arial" w:hAnsi="Arial" w:cs="Arial"/>
              </w:rPr>
              <w:t>6</w:t>
            </w:r>
            <w:r w:rsidRPr="00A845B7">
              <w:rPr>
                <w:rFonts w:ascii="Arial" w:hAnsi="Arial" w:cs="Arial"/>
              </w:rPr>
              <w:t>)</w:t>
            </w:r>
          </w:p>
        </w:tc>
        <w:tc>
          <w:tcPr>
            <w:tcW w:w="619" w:type="pct"/>
            <w:tcBorders>
              <w:top w:val="single" w:sz="4" w:space="0" w:color="auto"/>
            </w:tcBorders>
          </w:tcPr>
          <w:p w:rsidR="00E0450C" w:rsidRPr="00A845B7" w:rsidRDefault="00E0450C" w:rsidP="00E0450C">
            <w:pPr>
              <w:jc w:val="right"/>
              <w:rPr>
                <w:rFonts w:ascii="Arial" w:hAnsi="Arial" w:cs="Arial"/>
              </w:rPr>
            </w:pPr>
            <w:r w:rsidRPr="00A845B7">
              <w:rPr>
                <w:rFonts w:ascii="Arial" w:hAnsi="Arial" w:cs="Arial"/>
              </w:rPr>
              <w:t>(17)</w:t>
            </w:r>
          </w:p>
        </w:tc>
        <w:tc>
          <w:tcPr>
            <w:tcW w:w="850" w:type="pct"/>
            <w:tcBorders>
              <w:top w:val="single" w:sz="4" w:space="0" w:color="auto"/>
            </w:tcBorders>
          </w:tcPr>
          <w:p w:rsidR="00E0450C" w:rsidRPr="00A845B7" w:rsidRDefault="00E0450C" w:rsidP="00E0450C">
            <w:pPr>
              <w:jc w:val="right"/>
              <w:rPr>
                <w:rFonts w:ascii="Arial" w:hAnsi="Arial" w:cs="Arial"/>
                <w:highlight w:val="yellow"/>
              </w:rPr>
            </w:pPr>
            <w:r w:rsidRPr="00A845B7">
              <w:rPr>
                <w:rFonts w:ascii="Arial" w:hAnsi="Arial" w:cs="Arial"/>
              </w:rPr>
              <w:t>n/a</w:t>
            </w:r>
          </w:p>
        </w:tc>
        <w:tc>
          <w:tcPr>
            <w:tcW w:w="851" w:type="pct"/>
            <w:tcBorders>
              <w:top w:val="single" w:sz="4" w:space="0" w:color="auto"/>
            </w:tcBorders>
          </w:tcPr>
          <w:p w:rsidR="00E0450C" w:rsidRPr="00A845B7" w:rsidRDefault="00E0450C" w:rsidP="00E0450C">
            <w:pPr>
              <w:jc w:val="right"/>
              <w:rPr>
                <w:rFonts w:ascii="Arial" w:hAnsi="Arial" w:cs="Arial"/>
                <w:highlight w:val="yellow"/>
              </w:rPr>
            </w:pPr>
            <w:r w:rsidRPr="00A845B7">
              <w:rPr>
                <w:rFonts w:ascii="Arial" w:hAnsi="Arial" w:cs="Arial"/>
              </w:rPr>
              <w:t>n/a</w:t>
            </w:r>
          </w:p>
        </w:tc>
      </w:tr>
      <w:tr w:rsidR="00E0450C" w:rsidRPr="00A845B7" w:rsidTr="006F78D1">
        <w:trPr>
          <w:gridAfter w:val="1"/>
          <w:wAfter w:w="695" w:type="pct"/>
        </w:trPr>
        <w:tc>
          <w:tcPr>
            <w:tcW w:w="1287" w:type="pct"/>
            <w:tcBorders>
              <w:top w:val="single" w:sz="4" w:space="0" w:color="auto"/>
            </w:tcBorders>
          </w:tcPr>
          <w:p w:rsidR="00E0450C" w:rsidRPr="00A845B7" w:rsidRDefault="00E0450C" w:rsidP="00E0450C">
            <w:pPr>
              <w:rPr>
                <w:rFonts w:ascii="Arial" w:hAnsi="Arial" w:cs="Arial"/>
              </w:rPr>
            </w:pPr>
            <w:r w:rsidRPr="00A845B7">
              <w:rPr>
                <w:rFonts w:ascii="Arial" w:hAnsi="Arial" w:cs="Arial"/>
              </w:rPr>
              <w:t>Total</w:t>
            </w:r>
          </w:p>
        </w:tc>
        <w:tc>
          <w:tcPr>
            <w:tcW w:w="698" w:type="pct"/>
            <w:tcBorders>
              <w:top w:val="single" w:sz="4" w:space="0" w:color="auto"/>
            </w:tcBorders>
          </w:tcPr>
          <w:p w:rsidR="00E0450C" w:rsidRPr="00A845B7" w:rsidRDefault="00E0450C" w:rsidP="00E0450C">
            <w:pPr>
              <w:jc w:val="right"/>
              <w:rPr>
                <w:rFonts w:ascii="Arial" w:hAnsi="Arial" w:cs="Arial"/>
              </w:rPr>
            </w:pPr>
            <w:r w:rsidRPr="00A845B7">
              <w:rPr>
                <w:rFonts w:ascii="Arial" w:hAnsi="Arial" w:cs="Arial"/>
              </w:rPr>
              <w:t>13</w:t>
            </w:r>
            <w:r w:rsidR="00E21A8E">
              <w:rPr>
                <w:rFonts w:ascii="Arial" w:hAnsi="Arial" w:cs="Arial"/>
              </w:rPr>
              <w:t>6</w:t>
            </w:r>
          </w:p>
        </w:tc>
        <w:tc>
          <w:tcPr>
            <w:tcW w:w="619" w:type="pct"/>
            <w:tcBorders>
              <w:top w:val="single" w:sz="4" w:space="0" w:color="auto"/>
            </w:tcBorders>
          </w:tcPr>
          <w:p w:rsidR="00E0450C" w:rsidRPr="00A845B7" w:rsidRDefault="00E0450C" w:rsidP="00E0450C">
            <w:pPr>
              <w:jc w:val="right"/>
              <w:rPr>
                <w:rFonts w:ascii="Arial" w:hAnsi="Arial" w:cs="Arial"/>
              </w:rPr>
            </w:pPr>
            <w:r w:rsidRPr="00A845B7">
              <w:rPr>
                <w:rFonts w:ascii="Arial" w:hAnsi="Arial" w:cs="Arial"/>
              </w:rPr>
              <w:t>109</w:t>
            </w:r>
          </w:p>
        </w:tc>
        <w:tc>
          <w:tcPr>
            <w:tcW w:w="850" w:type="pct"/>
            <w:tcBorders>
              <w:top w:val="single" w:sz="4" w:space="0" w:color="auto"/>
            </w:tcBorders>
          </w:tcPr>
          <w:p w:rsidR="00E0450C" w:rsidRPr="00A845B7" w:rsidRDefault="00E0450C" w:rsidP="00E0450C">
            <w:pPr>
              <w:jc w:val="right"/>
              <w:rPr>
                <w:rFonts w:ascii="Arial" w:hAnsi="Arial" w:cs="Arial"/>
                <w:highlight w:val="yellow"/>
              </w:rPr>
            </w:pPr>
            <w:r w:rsidRPr="00A845B7">
              <w:rPr>
                <w:rFonts w:ascii="Arial" w:hAnsi="Arial" w:cs="Arial"/>
              </w:rPr>
              <w:t>+2</w:t>
            </w:r>
            <w:r w:rsidR="00E21A8E">
              <w:rPr>
                <w:rFonts w:ascii="Arial" w:hAnsi="Arial" w:cs="Arial"/>
              </w:rPr>
              <w:t>4.1</w:t>
            </w:r>
            <w:r w:rsidRPr="00A845B7">
              <w:rPr>
                <w:rFonts w:ascii="Arial" w:hAnsi="Arial" w:cs="Arial"/>
              </w:rPr>
              <w:t>%</w:t>
            </w:r>
            <w:r w:rsidRPr="00A845B7" w:rsidDel="00931630">
              <w:rPr>
                <w:rFonts w:ascii="Arial" w:hAnsi="Arial" w:cs="Arial"/>
              </w:rPr>
              <w:t xml:space="preserve"> </w:t>
            </w:r>
          </w:p>
        </w:tc>
        <w:tc>
          <w:tcPr>
            <w:tcW w:w="851" w:type="pct"/>
            <w:tcBorders>
              <w:top w:val="single" w:sz="4" w:space="0" w:color="auto"/>
            </w:tcBorders>
          </w:tcPr>
          <w:p w:rsidR="00E0450C" w:rsidRPr="00A845B7" w:rsidRDefault="00E21A8E" w:rsidP="00E0450C">
            <w:pPr>
              <w:jc w:val="right"/>
              <w:rPr>
                <w:rFonts w:ascii="Arial" w:hAnsi="Arial" w:cs="Arial"/>
                <w:highlight w:val="yellow"/>
              </w:rPr>
            </w:pPr>
            <w:r>
              <w:rPr>
                <w:rFonts w:ascii="Arial" w:hAnsi="Arial" w:cs="Arial"/>
              </w:rPr>
              <w:t>+14.5</w:t>
            </w:r>
            <w:r w:rsidR="00E0450C" w:rsidRPr="00A845B7">
              <w:rPr>
                <w:rFonts w:ascii="Arial" w:hAnsi="Arial" w:cs="Arial"/>
              </w:rPr>
              <w:t>%</w:t>
            </w:r>
          </w:p>
        </w:tc>
      </w:tr>
    </w:tbl>
    <w:p w:rsidR="007D43ED" w:rsidRPr="000971B9" w:rsidRDefault="007D43ED" w:rsidP="007D43ED">
      <w:pPr>
        <w:rPr>
          <w:rFonts w:ascii="Arial" w:hAnsi="Arial" w:cs="Arial"/>
          <w:b/>
          <w:bCs/>
          <w:sz w:val="24"/>
          <w:szCs w:val="24"/>
        </w:rPr>
      </w:pPr>
    </w:p>
    <w:p w:rsidR="007D43ED" w:rsidRPr="00F9080F" w:rsidRDefault="007D43ED" w:rsidP="007D43ED">
      <w:pPr>
        <w:jc w:val="left"/>
        <w:rPr>
          <w:rFonts w:ascii="Arial" w:hAnsi="Arial" w:cs="Arial"/>
        </w:rPr>
      </w:pPr>
      <w:r w:rsidRPr="00F9080F">
        <w:rPr>
          <w:rFonts w:ascii="Arial" w:hAnsi="Arial" w:cs="Arial"/>
        </w:rPr>
        <w:t xml:space="preserve">Other International total sales increased by </w:t>
      </w:r>
      <w:r w:rsidR="001F0554" w:rsidRPr="00F9080F">
        <w:rPr>
          <w:rFonts w:ascii="Arial" w:hAnsi="Arial" w:cs="Arial"/>
        </w:rPr>
        <w:t>7.0</w:t>
      </w:r>
      <w:r w:rsidRPr="00F9080F">
        <w:rPr>
          <w:rFonts w:ascii="Arial" w:hAnsi="Arial" w:cs="Arial"/>
        </w:rPr>
        <w:t>% (+</w:t>
      </w:r>
      <w:r w:rsidR="009C6430" w:rsidRPr="00F9080F">
        <w:rPr>
          <w:rFonts w:ascii="Arial" w:hAnsi="Arial" w:cs="Arial"/>
        </w:rPr>
        <w:t>5.</w:t>
      </w:r>
      <w:r w:rsidR="00EA7F9F" w:rsidRPr="00F9080F">
        <w:rPr>
          <w:rFonts w:ascii="Arial" w:hAnsi="Arial" w:cs="Arial"/>
        </w:rPr>
        <w:t>1</w:t>
      </w:r>
      <w:r w:rsidRPr="00F9080F">
        <w:rPr>
          <w:rFonts w:ascii="Arial" w:hAnsi="Arial" w:cs="Arial"/>
        </w:rPr>
        <w:t>% LFL) to £</w:t>
      </w:r>
      <w:r w:rsidR="00EA7F9F" w:rsidRPr="00F9080F">
        <w:rPr>
          <w:rFonts w:ascii="Arial" w:hAnsi="Arial" w:cs="Arial"/>
        </w:rPr>
        <w:t>1,99</w:t>
      </w:r>
      <w:r w:rsidR="005D6074" w:rsidRPr="00F9080F">
        <w:rPr>
          <w:rFonts w:ascii="Arial" w:hAnsi="Arial" w:cs="Arial"/>
        </w:rPr>
        <w:t>2</w:t>
      </w:r>
      <w:r w:rsidR="00EA7F9F" w:rsidRPr="00F9080F">
        <w:rPr>
          <w:rFonts w:ascii="Arial" w:hAnsi="Arial" w:cs="Arial"/>
        </w:rPr>
        <w:t xml:space="preserve"> </w:t>
      </w:r>
      <w:r w:rsidRPr="00F9080F">
        <w:rPr>
          <w:rFonts w:ascii="Arial" w:hAnsi="Arial" w:cs="Arial"/>
        </w:rPr>
        <w:t>million</w:t>
      </w:r>
      <w:r w:rsidR="006319F7">
        <w:rPr>
          <w:rFonts w:ascii="Arial" w:hAnsi="Arial" w:cs="Arial"/>
        </w:rPr>
        <w:t>. R</w:t>
      </w:r>
      <w:r w:rsidR="005B1D91" w:rsidRPr="00F9080F">
        <w:rPr>
          <w:rFonts w:ascii="Arial" w:hAnsi="Arial" w:cs="Arial"/>
        </w:rPr>
        <w:t xml:space="preserve">etail profit increased by </w:t>
      </w:r>
      <w:r w:rsidR="005A1FE8" w:rsidRPr="00F9080F">
        <w:rPr>
          <w:rFonts w:ascii="Arial" w:hAnsi="Arial" w:cs="Arial"/>
        </w:rPr>
        <w:t>14.</w:t>
      </w:r>
      <w:r w:rsidR="00E21A8E">
        <w:rPr>
          <w:rFonts w:ascii="Arial" w:hAnsi="Arial" w:cs="Arial"/>
        </w:rPr>
        <w:t>5</w:t>
      </w:r>
      <w:r w:rsidR="005B1D91" w:rsidRPr="00F9080F">
        <w:rPr>
          <w:rFonts w:ascii="Arial" w:hAnsi="Arial" w:cs="Arial"/>
        </w:rPr>
        <w:t>% to £</w:t>
      </w:r>
      <w:r w:rsidR="00EA7F9F" w:rsidRPr="00F9080F">
        <w:rPr>
          <w:rFonts w:ascii="Arial" w:hAnsi="Arial" w:cs="Arial"/>
        </w:rPr>
        <w:t>13</w:t>
      </w:r>
      <w:r w:rsidR="00E21A8E">
        <w:rPr>
          <w:rFonts w:ascii="Arial" w:hAnsi="Arial" w:cs="Arial"/>
        </w:rPr>
        <w:t>6</w:t>
      </w:r>
      <w:r w:rsidR="00EA7F9F" w:rsidRPr="00F9080F">
        <w:rPr>
          <w:rFonts w:ascii="Arial" w:hAnsi="Arial" w:cs="Arial"/>
        </w:rPr>
        <w:t xml:space="preserve"> </w:t>
      </w:r>
      <w:r w:rsidR="005B1D91" w:rsidRPr="00F9080F">
        <w:rPr>
          <w:rFonts w:ascii="Arial" w:hAnsi="Arial" w:cs="Arial"/>
        </w:rPr>
        <w:t>million driven by Poland</w:t>
      </w:r>
      <w:r w:rsidR="005B1D91" w:rsidRPr="00055323">
        <w:rPr>
          <w:rFonts w:ascii="Arial" w:hAnsi="Arial" w:cs="Arial"/>
        </w:rPr>
        <w:t>.</w:t>
      </w:r>
      <w:r w:rsidR="005B1D91" w:rsidRPr="00F9080F">
        <w:rPr>
          <w:rFonts w:ascii="Arial" w:hAnsi="Arial" w:cs="Arial"/>
        </w:rPr>
        <w:t xml:space="preserve"> </w:t>
      </w:r>
      <w:r w:rsidRPr="00F9080F">
        <w:rPr>
          <w:rFonts w:ascii="Arial" w:hAnsi="Arial" w:cs="Arial"/>
        </w:rPr>
        <w:t xml:space="preserve"> </w:t>
      </w:r>
    </w:p>
    <w:p w:rsidR="007D43ED" w:rsidRPr="00F9080F" w:rsidRDefault="007D43ED" w:rsidP="007D43ED">
      <w:pPr>
        <w:jc w:val="left"/>
        <w:rPr>
          <w:rFonts w:ascii="Arial" w:hAnsi="Arial" w:cs="Arial"/>
          <w:highlight w:val="yellow"/>
        </w:rPr>
      </w:pPr>
    </w:p>
    <w:p w:rsidR="007D43ED" w:rsidRPr="00F9080F" w:rsidRDefault="007D43ED" w:rsidP="007D43ED">
      <w:pPr>
        <w:jc w:val="left"/>
        <w:rPr>
          <w:rFonts w:ascii="Arial" w:hAnsi="Arial" w:cs="Arial"/>
          <w:b/>
        </w:rPr>
      </w:pPr>
      <w:r w:rsidRPr="00F9080F">
        <w:rPr>
          <w:rFonts w:ascii="Arial" w:hAnsi="Arial" w:cs="Arial"/>
        </w:rPr>
        <w:t xml:space="preserve">During </w:t>
      </w:r>
      <w:r w:rsidR="00EA7F9F" w:rsidRPr="00F9080F">
        <w:rPr>
          <w:rFonts w:ascii="Arial" w:hAnsi="Arial" w:cs="Arial"/>
        </w:rPr>
        <w:t xml:space="preserve">the year </w:t>
      </w:r>
      <w:r w:rsidR="004938BA" w:rsidRPr="00F9080F">
        <w:rPr>
          <w:rFonts w:ascii="Arial" w:hAnsi="Arial" w:cs="Arial"/>
        </w:rPr>
        <w:t>1</w:t>
      </w:r>
      <w:r w:rsidR="0089712B">
        <w:rPr>
          <w:rFonts w:ascii="Arial" w:hAnsi="Arial" w:cs="Arial"/>
        </w:rPr>
        <w:t>2</w:t>
      </w:r>
      <w:r w:rsidR="00EA7F9F" w:rsidRPr="00F9080F">
        <w:rPr>
          <w:rFonts w:ascii="Arial" w:hAnsi="Arial" w:cs="Arial"/>
        </w:rPr>
        <w:t xml:space="preserve"> </w:t>
      </w:r>
      <w:r w:rsidRPr="00F9080F">
        <w:rPr>
          <w:rFonts w:ascii="Arial" w:hAnsi="Arial" w:cs="Arial"/>
        </w:rPr>
        <w:t>net new</w:t>
      </w:r>
      <w:r w:rsidR="002E501D" w:rsidRPr="00F9080F">
        <w:rPr>
          <w:rFonts w:ascii="Arial" w:hAnsi="Arial" w:cs="Arial"/>
        </w:rPr>
        <w:t xml:space="preserve"> stores were opened,</w:t>
      </w:r>
      <w:r w:rsidRPr="00F9080F">
        <w:rPr>
          <w:rFonts w:ascii="Arial" w:hAnsi="Arial" w:cs="Arial"/>
        </w:rPr>
        <w:t xml:space="preserve"> </w:t>
      </w:r>
      <w:r w:rsidR="0089712B">
        <w:rPr>
          <w:rFonts w:ascii="Arial" w:hAnsi="Arial" w:cs="Arial"/>
        </w:rPr>
        <w:t>including</w:t>
      </w:r>
      <w:r w:rsidR="0089712B" w:rsidRPr="00F9080F">
        <w:rPr>
          <w:rFonts w:ascii="Arial" w:hAnsi="Arial" w:cs="Arial"/>
        </w:rPr>
        <w:t xml:space="preserve"> </w:t>
      </w:r>
      <w:r w:rsidR="002209D6" w:rsidRPr="00F9080F">
        <w:rPr>
          <w:rFonts w:ascii="Arial" w:hAnsi="Arial" w:cs="Arial"/>
        </w:rPr>
        <w:t xml:space="preserve">two </w:t>
      </w:r>
      <w:r w:rsidR="006B02CB" w:rsidRPr="00F9080F">
        <w:rPr>
          <w:rFonts w:ascii="Arial" w:hAnsi="Arial" w:cs="Arial"/>
        </w:rPr>
        <w:t>in Poland</w:t>
      </w:r>
      <w:r w:rsidR="0089712B">
        <w:rPr>
          <w:rFonts w:ascii="Arial" w:hAnsi="Arial" w:cs="Arial"/>
        </w:rPr>
        <w:t xml:space="preserve"> and</w:t>
      </w:r>
      <w:r w:rsidR="0089712B" w:rsidRPr="00F9080F">
        <w:rPr>
          <w:rFonts w:ascii="Arial" w:hAnsi="Arial" w:cs="Arial"/>
        </w:rPr>
        <w:t xml:space="preserve"> </w:t>
      </w:r>
      <w:r w:rsidR="00B019FB">
        <w:rPr>
          <w:rFonts w:ascii="Arial" w:hAnsi="Arial" w:cs="Arial"/>
        </w:rPr>
        <w:t>ten</w:t>
      </w:r>
      <w:r w:rsidR="002209D6" w:rsidRPr="00F9080F">
        <w:rPr>
          <w:rFonts w:ascii="Arial" w:hAnsi="Arial" w:cs="Arial"/>
        </w:rPr>
        <w:t xml:space="preserve"> </w:t>
      </w:r>
      <w:r w:rsidRPr="00F9080F">
        <w:rPr>
          <w:rFonts w:ascii="Arial" w:hAnsi="Arial" w:cs="Arial"/>
        </w:rPr>
        <w:t>in Screwfix Germany</w:t>
      </w:r>
      <w:r w:rsidR="002E501D" w:rsidRPr="00F9080F">
        <w:rPr>
          <w:rFonts w:ascii="Arial" w:hAnsi="Arial" w:cs="Arial"/>
        </w:rPr>
        <w:t>, adding</w:t>
      </w:r>
      <w:r w:rsidR="00596958" w:rsidRPr="00F9080F">
        <w:rPr>
          <w:rFonts w:ascii="Arial" w:hAnsi="Arial" w:cs="Arial"/>
        </w:rPr>
        <w:t xml:space="preserve"> </w:t>
      </w:r>
      <w:r w:rsidR="006319F7">
        <w:rPr>
          <w:rFonts w:ascii="Arial" w:hAnsi="Arial" w:cs="Arial"/>
        </w:rPr>
        <w:t>around 2</w:t>
      </w:r>
      <w:r w:rsidR="00596958" w:rsidRPr="00F9080F">
        <w:rPr>
          <w:rFonts w:ascii="Arial" w:hAnsi="Arial" w:cs="Arial"/>
        </w:rPr>
        <w:t>%</w:t>
      </w:r>
      <w:r w:rsidRPr="00F9080F">
        <w:rPr>
          <w:rFonts w:ascii="Arial" w:hAnsi="Arial" w:cs="Arial"/>
        </w:rPr>
        <w:t xml:space="preserve"> </w:t>
      </w:r>
      <w:r w:rsidR="003678C1" w:rsidRPr="00F9080F">
        <w:rPr>
          <w:rFonts w:ascii="Arial" w:hAnsi="Arial" w:cs="Arial"/>
        </w:rPr>
        <w:t xml:space="preserve">more space </w:t>
      </w:r>
      <w:r w:rsidRPr="00F9080F">
        <w:rPr>
          <w:rFonts w:ascii="Arial" w:hAnsi="Arial" w:cs="Arial"/>
        </w:rPr>
        <w:t>compared to</w:t>
      </w:r>
      <w:r w:rsidR="0064522A" w:rsidRPr="00F9080F">
        <w:rPr>
          <w:rFonts w:ascii="Arial" w:hAnsi="Arial" w:cs="Arial"/>
        </w:rPr>
        <w:t xml:space="preserve"> </w:t>
      </w:r>
      <w:r w:rsidRPr="00F9080F">
        <w:rPr>
          <w:rFonts w:ascii="Arial" w:hAnsi="Arial" w:cs="Arial"/>
        </w:rPr>
        <w:t xml:space="preserve">last year. </w:t>
      </w:r>
    </w:p>
    <w:p w:rsidR="007D43ED" w:rsidRPr="00931630" w:rsidRDefault="007D43ED" w:rsidP="007D43ED">
      <w:pPr>
        <w:jc w:val="left"/>
        <w:rPr>
          <w:rFonts w:ascii="Arial" w:hAnsi="Arial" w:cs="Arial"/>
          <w:sz w:val="24"/>
          <w:szCs w:val="24"/>
          <w:highlight w:val="yellow"/>
        </w:rPr>
      </w:pPr>
    </w:p>
    <w:p w:rsidR="007D43ED" w:rsidRPr="00A845B7" w:rsidRDefault="007D43ED" w:rsidP="007D43ED">
      <w:pPr>
        <w:jc w:val="left"/>
        <w:rPr>
          <w:rFonts w:ascii="Arial" w:hAnsi="Arial" w:cs="Arial"/>
          <w:b/>
        </w:rPr>
      </w:pPr>
      <w:r w:rsidRPr="00A845B7">
        <w:rPr>
          <w:rFonts w:ascii="Arial" w:hAnsi="Arial" w:cs="Arial"/>
          <w:b/>
          <w:bCs/>
        </w:rPr>
        <w:t>Other International</w:t>
      </w:r>
      <w:r w:rsidRPr="00A845B7">
        <w:rPr>
          <w:rFonts w:ascii="Arial" w:hAnsi="Arial" w:cs="Arial"/>
          <w:b/>
        </w:rPr>
        <w:t xml:space="preserve"> (established): </w:t>
      </w:r>
    </w:p>
    <w:p w:rsidR="007D43ED" w:rsidRPr="00925EFB" w:rsidRDefault="007D43ED" w:rsidP="007D43ED">
      <w:pPr>
        <w:jc w:val="left"/>
        <w:rPr>
          <w:rFonts w:ascii="Arial" w:hAnsi="Arial" w:cs="Arial"/>
          <w:sz w:val="24"/>
          <w:szCs w:val="24"/>
          <w:highlight w:val="yellow"/>
        </w:rPr>
      </w:pPr>
    </w:p>
    <w:p w:rsidR="007D43ED" w:rsidRPr="001505B3" w:rsidRDefault="007D43ED" w:rsidP="007D43ED">
      <w:pPr>
        <w:jc w:val="left"/>
        <w:rPr>
          <w:rFonts w:ascii="Arial" w:hAnsi="Arial" w:cs="Arial"/>
          <w:sz w:val="24"/>
          <w:szCs w:val="24"/>
          <w:highlight w:val="yellow"/>
        </w:rPr>
      </w:pPr>
      <w:r w:rsidRPr="00A845B7">
        <w:rPr>
          <w:rFonts w:ascii="Arial" w:hAnsi="Arial" w:cs="Arial"/>
        </w:rPr>
        <w:t xml:space="preserve">Sales in </w:t>
      </w:r>
      <w:r w:rsidRPr="00A845B7">
        <w:rPr>
          <w:rFonts w:ascii="Arial" w:hAnsi="Arial" w:cs="Arial"/>
          <w:b/>
        </w:rPr>
        <w:t>Poland</w:t>
      </w:r>
      <w:r w:rsidRPr="00A845B7">
        <w:rPr>
          <w:rFonts w:ascii="Arial" w:hAnsi="Arial" w:cs="Arial"/>
        </w:rPr>
        <w:t xml:space="preserve"> were up </w:t>
      </w:r>
      <w:r w:rsidR="001F0554" w:rsidRPr="00A845B7">
        <w:rPr>
          <w:rFonts w:ascii="Arial" w:hAnsi="Arial" w:cs="Arial"/>
        </w:rPr>
        <w:t>10.1</w:t>
      </w:r>
      <w:r w:rsidRPr="00A845B7">
        <w:rPr>
          <w:rFonts w:ascii="Arial" w:hAnsi="Arial" w:cs="Arial"/>
        </w:rPr>
        <w:t>% (+</w:t>
      </w:r>
      <w:r w:rsidR="008E36A9" w:rsidRPr="00A845B7">
        <w:rPr>
          <w:rFonts w:ascii="Arial" w:hAnsi="Arial" w:cs="Arial"/>
        </w:rPr>
        <w:t>7.5</w:t>
      </w:r>
      <w:r w:rsidRPr="00A845B7">
        <w:rPr>
          <w:rFonts w:ascii="Arial" w:hAnsi="Arial" w:cs="Arial"/>
        </w:rPr>
        <w:t>% LFL) to £</w:t>
      </w:r>
      <w:r w:rsidR="00EA7F9F" w:rsidRPr="00A845B7">
        <w:rPr>
          <w:rFonts w:ascii="Arial" w:hAnsi="Arial" w:cs="Arial"/>
        </w:rPr>
        <w:t>1,19</w:t>
      </w:r>
      <w:r w:rsidR="005D6074" w:rsidRPr="00A845B7">
        <w:rPr>
          <w:rFonts w:ascii="Arial" w:hAnsi="Arial" w:cs="Arial"/>
        </w:rPr>
        <w:t>1</w:t>
      </w:r>
      <w:r w:rsidR="00EA7F9F" w:rsidRPr="00A845B7">
        <w:rPr>
          <w:rFonts w:ascii="Arial" w:hAnsi="Arial" w:cs="Arial"/>
        </w:rPr>
        <w:t xml:space="preserve"> </w:t>
      </w:r>
      <w:r w:rsidRPr="00A845B7">
        <w:rPr>
          <w:rFonts w:ascii="Arial" w:hAnsi="Arial" w:cs="Arial"/>
        </w:rPr>
        <w:t>million</w:t>
      </w:r>
      <w:r w:rsidR="00F23600" w:rsidRPr="00A845B7">
        <w:rPr>
          <w:rFonts w:ascii="Arial" w:hAnsi="Arial" w:cs="Arial"/>
        </w:rPr>
        <w:t xml:space="preserve"> benefiting from </w:t>
      </w:r>
      <w:r w:rsidR="00624ACF" w:rsidRPr="00A845B7">
        <w:rPr>
          <w:rFonts w:ascii="Arial" w:hAnsi="Arial" w:cs="Arial"/>
        </w:rPr>
        <w:t>a supportive market</w:t>
      </w:r>
      <w:r w:rsidR="00624ACF" w:rsidRPr="00F9080F">
        <w:rPr>
          <w:rFonts w:ascii="Arial" w:hAnsi="Arial" w:cs="Arial"/>
        </w:rPr>
        <w:t xml:space="preserve"> and </w:t>
      </w:r>
      <w:r w:rsidR="00F23600" w:rsidRPr="00F9080F">
        <w:rPr>
          <w:rFonts w:ascii="Arial" w:hAnsi="Arial" w:cs="Arial"/>
        </w:rPr>
        <w:t>new ranges</w:t>
      </w:r>
      <w:r w:rsidRPr="00F9080F">
        <w:rPr>
          <w:rFonts w:ascii="Arial" w:hAnsi="Arial" w:cs="Arial"/>
        </w:rPr>
        <w:t xml:space="preserve">. LFL sales of seasonal products were up </w:t>
      </w:r>
      <w:r w:rsidR="003A5C67" w:rsidRPr="00F9080F">
        <w:rPr>
          <w:rFonts w:ascii="Arial" w:hAnsi="Arial" w:cs="Arial"/>
        </w:rPr>
        <w:t>9</w:t>
      </w:r>
      <w:r w:rsidR="00EA7F9F" w:rsidRPr="00F9080F">
        <w:rPr>
          <w:rFonts w:ascii="Arial" w:hAnsi="Arial" w:cs="Arial"/>
        </w:rPr>
        <w:t>.</w:t>
      </w:r>
      <w:r w:rsidR="003A5C67" w:rsidRPr="00F9080F">
        <w:rPr>
          <w:rFonts w:ascii="Arial" w:hAnsi="Arial" w:cs="Arial"/>
        </w:rPr>
        <w:t>5</w:t>
      </w:r>
      <w:r w:rsidRPr="00F9080F">
        <w:rPr>
          <w:rFonts w:ascii="Arial" w:hAnsi="Arial" w:cs="Arial"/>
        </w:rPr>
        <w:t xml:space="preserve">% with sales of </w:t>
      </w:r>
      <w:r w:rsidR="001E7802">
        <w:rPr>
          <w:rFonts w:ascii="Arial" w:hAnsi="Arial" w:cs="Arial"/>
        </w:rPr>
        <w:t xml:space="preserve">non-seasonal </w:t>
      </w:r>
      <w:r w:rsidRPr="00F9080F">
        <w:rPr>
          <w:rFonts w:ascii="Arial" w:hAnsi="Arial" w:cs="Arial"/>
        </w:rPr>
        <w:t>products</w:t>
      </w:r>
      <w:r w:rsidR="00BE0CF5">
        <w:rPr>
          <w:rFonts w:ascii="Arial" w:hAnsi="Arial" w:cs="Arial"/>
        </w:rPr>
        <w:t>, including showroom</w:t>
      </w:r>
      <w:r w:rsidRPr="00F9080F">
        <w:rPr>
          <w:rFonts w:ascii="Arial" w:hAnsi="Arial" w:cs="Arial"/>
        </w:rPr>
        <w:t xml:space="preserve"> up </w:t>
      </w:r>
      <w:r w:rsidR="003A5C67" w:rsidRPr="00F9080F">
        <w:rPr>
          <w:rFonts w:ascii="Arial" w:hAnsi="Arial" w:cs="Arial"/>
        </w:rPr>
        <w:t>7.3</w:t>
      </w:r>
      <w:r w:rsidRPr="00F9080F">
        <w:rPr>
          <w:rFonts w:ascii="Arial" w:hAnsi="Arial" w:cs="Arial"/>
        </w:rPr>
        <w:t xml:space="preserve">%. Gross margins were up </w:t>
      </w:r>
      <w:r w:rsidR="00EA7F9F" w:rsidRPr="00F9080F">
        <w:rPr>
          <w:rFonts w:ascii="Arial" w:hAnsi="Arial" w:cs="Arial"/>
        </w:rPr>
        <w:t xml:space="preserve">90 </w:t>
      </w:r>
      <w:r w:rsidRPr="00F9080F">
        <w:rPr>
          <w:rFonts w:ascii="Arial" w:hAnsi="Arial" w:cs="Arial"/>
        </w:rPr>
        <w:t>basis points</w:t>
      </w:r>
      <w:r w:rsidR="003B06F1" w:rsidRPr="00F9080F">
        <w:rPr>
          <w:rFonts w:ascii="Arial" w:hAnsi="Arial" w:cs="Arial"/>
        </w:rPr>
        <w:t xml:space="preserve"> </w:t>
      </w:r>
      <w:r w:rsidR="00911348">
        <w:rPr>
          <w:rFonts w:ascii="Arial" w:hAnsi="Arial" w:cs="Arial"/>
        </w:rPr>
        <w:t>driven by strong trading and sales mix benefits</w:t>
      </w:r>
      <w:r w:rsidRPr="00F9080F">
        <w:rPr>
          <w:rFonts w:ascii="Arial" w:hAnsi="Arial" w:cs="Arial"/>
        </w:rPr>
        <w:t xml:space="preserve">. Retail profit grew by </w:t>
      </w:r>
      <w:r w:rsidR="00E21A8E">
        <w:rPr>
          <w:rFonts w:ascii="Arial" w:hAnsi="Arial" w:cs="Arial"/>
        </w:rPr>
        <w:t>15.8</w:t>
      </w:r>
      <w:r w:rsidRPr="00F9080F">
        <w:rPr>
          <w:rFonts w:ascii="Arial" w:hAnsi="Arial" w:cs="Arial"/>
        </w:rPr>
        <w:t>% to £</w:t>
      </w:r>
      <w:r w:rsidR="00EA7F9F" w:rsidRPr="00F9080F">
        <w:rPr>
          <w:rFonts w:ascii="Arial" w:hAnsi="Arial" w:cs="Arial"/>
        </w:rPr>
        <w:t>14</w:t>
      </w:r>
      <w:r w:rsidR="00C2543B">
        <w:rPr>
          <w:rFonts w:ascii="Arial" w:hAnsi="Arial" w:cs="Arial"/>
        </w:rPr>
        <w:t>4</w:t>
      </w:r>
      <w:r w:rsidR="00EA7F9F" w:rsidRPr="00F9080F">
        <w:rPr>
          <w:rFonts w:ascii="Arial" w:hAnsi="Arial" w:cs="Arial"/>
        </w:rPr>
        <w:t xml:space="preserve"> </w:t>
      </w:r>
      <w:r w:rsidRPr="00F9080F">
        <w:rPr>
          <w:rFonts w:ascii="Arial" w:hAnsi="Arial" w:cs="Arial"/>
        </w:rPr>
        <w:t xml:space="preserve">million </w:t>
      </w:r>
      <w:r w:rsidR="005B1D91" w:rsidRPr="00F9080F">
        <w:rPr>
          <w:rFonts w:ascii="Arial" w:hAnsi="Arial" w:cs="Arial"/>
        </w:rPr>
        <w:t>reflecting</w:t>
      </w:r>
      <w:r w:rsidRPr="00F9080F">
        <w:rPr>
          <w:rFonts w:ascii="Arial" w:hAnsi="Arial" w:cs="Arial"/>
        </w:rPr>
        <w:t xml:space="preserve"> the sales growth</w:t>
      </w:r>
      <w:r w:rsidR="005B1D91" w:rsidRPr="00F9080F">
        <w:rPr>
          <w:rFonts w:ascii="Arial" w:hAnsi="Arial" w:cs="Arial"/>
        </w:rPr>
        <w:t xml:space="preserve"> and higher gross margins.</w:t>
      </w:r>
      <w:r w:rsidR="005B1D91" w:rsidRPr="001F0554">
        <w:rPr>
          <w:rFonts w:ascii="Arial" w:hAnsi="Arial" w:cs="Arial"/>
          <w:sz w:val="24"/>
          <w:szCs w:val="24"/>
        </w:rPr>
        <w:t xml:space="preserve"> </w:t>
      </w:r>
    </w:p>
    <w:p w:rsidR="007D43ED" w:rsidRPr="00F764D3" w:rsidRDefault="007D43ED" w:rsidP="007D43ED">
      <w:pPr>
        <w:jc w:val="left"/>
        <w:rPr>
          <w:rFonts w:ascii="Arial" w:hAnsi="Arial" w:cs="Arial"/>
          <w:sz w:val="24"/>
          <w:szCs w:val="24"/>
          <w:highlight w:val="yellow"/>
        </w:rPr>
      </w:pPr>
    </w:p>
    <w:p w:rsidR="007D43ED" w:rsidRPr="00A845B7" w:rsidRDefault="007D43ED" w:rsidP="007D43ED">
      <w:pPr>
        <w:jc w:val="left"/>
        <w:rPr>
          <w:rFonts w:ascii="Arial" w:hAnsi="Arial" w:cs="Arial"/>
        </w:rPr>
      </w:pPr>
      <w:r w:rsidRPr="00A845B7">
        <w:rPr>
          <w:rFonts w:ascii="Arial" w:hAnsi="Arial" w:cs="Arial"/>
        </w:rPr>
        <w:t xml:space="preserve">In </w:t>
      </w:r>
      <w:r w:rsidRPr="00A845B7">
        <w:rPr>
          <w:rFonts w:ascii="Arial" w:hAnsi="Arial" w:cs="Arial"/>
          <w:b/>
        </w:rPr>
        <w:t xml:space="preserve">Russia </w:t>
      </w:r>
      <w:r w:rsidRPr="00A845B7">
        <w:rPr>
          <w:rFonts w:ascii="Arial" w:hAnsi="Arial" w:cs="Arial"/>
        </w:rPr>
        <w:t xml:space="preserve">sales </w:t>
      </w:r>
      <w:r w:rsidR="00106BDC" w:rsidRPr="00A845B7">
        <w:rPr>
          <w:rFonts w:ascii="Arial" w:hAnsi="Arial" w:cs="Arial"/>
        </w:rPr>
        <w:t xml:space="preserve">declined </w:t>
      </w:r>
      <w:r w:rsidR="009C6430" w:rsidRPr="00A845B7">
        <w:rPr>
          <w:rFonts w:ascii="Arial" w:hAnsi="Arial" w:cs="Arial"/>
        </w:rPr>
        <w:t xml:space="preserve">slightly </w:t>
      </w:r>
      <w:r w:rsidR="00FC5C5A" w:rsidRPr="00A845B7">
        <w:rPr>
          <w:rFonts w:ascii="Arial" w:hAnsi="Arial" w:cs="Arial"/>
        </w:rPr>
        <w:t xml:space="preserve">by </w:t>
      </w:r>
      <w:r w:rsidR="00FC45BD" w:rsidRPr="00A845B7">
        <w:rPr>
          <w:rFonts w:ascii="Arial" w:hAnsi="Arial" w:cs="Arial"/>
        </w:rPr>
        <w:t>0.2</w:t>
      </w:r>
      <w:r w:rsidRPr="00A845B7">
        <w:rPr>
          <w:rFonts w:ascii="Arial" w:hAnsi="Arial" w:cs="Arial"/>
        </w:rPr>
        <w:t>% (+</w:t>
      </w:r>
      <w:r w:rsidR="008E36A9" w:rsidRPr="00A845B7">
        <w:rPr>
          <w:rFonts w:ascii="Arial" w:hAnsi="Arial" w:cs="Arial"/>
        </w:rPr>
        <w:t>0.3</w:t>
      </w:r>
      <w:r w:rsidRPr="00A845B7">
        <w:rPr>
          <w:rFonts w:ascii="Arial" w:hAnsi="Arial" w:cs="Arial"/>
        </w:rPr>
        <w:t>% LFL) to £</w:t>
      </w:r>
      <w:r w:rsidR="008E36A9" w:rsidRPr="00A845B7">
        <w:rPr>
          <w:rFonts w:ascii="Arial" w:hAnsi="Arial" w:cs="Arial"/>
        </w:rPr>
        <w:t>349</w:t>
      </w:r>
      <w:r w:rsidR="009C6430" w:rsidRPr="00A845B7">
        <w:rPr>
          <w:rFonts w:ascii="Arial" w:hAnsi="Arial" w:cs="Arial"/>
        </w:rPr>
        <w:t xml:space="preserve"> </w:t>
      </w:r>
      <w:r w:rsidRPr="00A845B7">
        <w:rPr>
          <w:rFonts w:ascii="Arial" w:hAnsi="Arial" w:cs="Arial"/>
        </w:rPr>
        <w:t xml:space="preserve">million </w:t>
      </w:r>
      <w:r w:rsidR="00624ACF" w:rsidRPr="00A845B7">
        <w:rPr>
          <w:rFonts w:ascii="Arial" w:hAnsi="Arial" w:cs="Arial"/>
        </w:rPr>
        <w:t>against strong</w:t>
      </w:r>
      <w:r w:rsidR="00624ACF" w:rsidRPr="00F9080F">
        <w:rPr>
          <w:rFonts w:ascii="Arial" w:hAnsi="Arial" w:cs="Arial"/>
        </w:rPr>
        <w:t xml:space="preserve"> compar</w:t>
      </w:r>
      <w:r w:rsidR="005B1D91" w:rsidRPr="00F9080F">
        <w:rPr>
          <w:rFonts w:ascii="Arial" w:hAnsi="Arial" w:cs="Arial"/>
        </w:rPr>
        <w:t>atives</w:t>
      </w:r>
      <w:r w:rsidR="00624ACF" w:rsidRPr="00F9080F">
        <w:rPr>
          <w:rFonts w:ascii="Arial" w:hAnsi="Arial" w:cs="Arial"/>
        </w:rPr>
        <w:t xml:space="preserve"> (2015/16: +</w:t>
      </w:r>
      <w:r w:rsidR="00FC45BD" w:rsidRPr="00F9080F">
        <w:rPr>
          <w:rFonts w:ascii="Arial" w:hAnsi="Arial" w:cs="Arial"/>
        </w:rPr>
        <w:t>7.2%</w:t>
      </w:r>
      <w:r w:rsidR="00624ACF" w:rsidRPr="00F9080F">
        <w:rPr>
          <w:rFonts w:ascii="Arial" w:hAnsi="Arial" w:cs="Arial"/>
        </w:rPr>
        <w:t xml:space="preserve"> LFL)</w:t>
      </w:r>
      <w:r w:rsidR="00596958" w:rsidRPr="00F9080F">
        <w:rPr>
          <w:rFonts w:ascii="Arial" w:hAnsi="Arial" w:cs="Arial"/>
        </w:rPr>
        <w:t>.</w:t>
      </w:r>
      <w:r w:rsidRPr="00F9080F">
        <w:rPr>
          <w:rFonts w:ascii="Arial" w:hAnsi="Arial" w:cs="Arial"/>
        </w:rPr>
        <w:t xml:space="preserve"> </w:t>
      </w:r>
      <w:r w:rsidR="00624ACF" w:rsidRPr="00F9080F">
        <w:rPr>
          <w:rFonts w:ascii="Arial" w:hAnsi="Arial" w:cs="Arial"/>
        </w:rPr>
        <w:t xml:space="preserve">The business </w:t>
      </w:r>
      <w:r w:rsidR="00AC2B0B" w:rsidRPr="00F9080F">
        <w:rPr>
          <w:rFonts w:ascii="Arial" w:hAnsi="Arial" w:cs="Arial"/>
        </w:rPr>
        <w:t xml:space="preserve">delivered a </w:t>
      </w:r>
      <w:r w:rsidR="008E36A9" w:rsidRPr="00F9080F">
        <w:rPr>
          <w:rFonts w:ascii="Arial" w:hAnsi="Arial" w:cs="Arial"/>
        </w:rPr>
        <w:t>£1</w:t>
      </w:r>
      <w:r w:rsidR="006319F7">
        <w:rPr>
          <w:rFonts w:ascii="Arial" w:hAnsi="Arial" w:cs="Arial"/>
        </w:rPr>
        <w:t xml:space="preserve"> </w:t>
      </w:r>
      <w:r w:rsidR="008E36A9" w:rsidRPr="00F9080F">
        <w:rPr>
          <w:rFonts w:ascii="Arial" w:hAnsi="Arial" w:cs="Arial"/>
        </w:rPr>
        <w:t>m</w:t>
      </w:r>
      <w:r w:rsidR="006319F7">
        <w:rPr>
          <w:rFonts w:ascii="Arial" w:hAnsi="Arial" w:cs="Arial"/>
        </w:rPr>
        <w:t>illion</w:t>
      </w:r>
      <w:r w:rsidR="008E36A9" w:rsidRPr="00F9080F">
        <w:rPr>
          <w:rFonts w:ascii="Arial" w:hAnsi="Arial" w:cs="Arial"/>
        </w:rPr>
        <w:t xml:space="preserve"> profit</w:t>
      </w:r>
      <w:r w:rsidR="001068E7" w:rsidRPr="00F9080F">
        <w:rPr>
          <w:rFonts w:ascii="Arial" w:hAnsi="Arial" w:cs="Arial"/>
        </w:rPr>
        <w:t xml:space="preserve"> </w:t>
      </w:r>
      <w:r w:rsidR="00681C26" w:rsidRPr="00F9080F">
        <w:rPr>
          <w:rFonts w:ascii="Arial" w:hAnsi="Arial" w:cs="Arial"/>
        </w:rPr>
        <w:t>(2015</w:t>
      </w:r>
      <w:r w:rsidR="00822B9C" w:rsidRPr="00F9080F">
        <w:rPr>
          <w:rFonts w:ascii="Arial" w:hAnsi="Arial" w:cs="Arial"/>
        </w:rPr>
        <w:t>/16</w:t>
      </w:r>
      <w:r w:rsidR="00681C26" w:rsidRPr="00F9080F">
        <w:rPr>
          <w:rFonts w:ascii="Arial" w:hAnsi="Arial" w:cs="Arial"/>
        </w:rPr>
        <w:t>: £</w:t>
      </w:r>
      <w:r w:rsidR="008E36A9" w:rsidRPr="00F9080F">
        <w:rPr>
          <w:rFonts w:ascii="Arial" w:hAnsi="Arial" w:cs="Arial"/>
        </w:rPr>
        <w:t xml:space="preserve">6 </w:t>
      </w:r>
      <w:r w:rsidR="00681C26" w:rsidRPr="00F9080F">
        <w:rPr>
          <w:rFonts w:ascii="Arial" w:hAnsi="Arial" w:cs="Arial"/>
        </w:rPr>
        <w:t>million reported retail profit</w:t>
      </w:r>
      <w:r w:rsidR="00144DA6" w:rsidRPr="00F9080F">
        <w:rPr>
          <w:rFonts w:ascii="Arial" w:hAnsi="Arial" w:cs="Arial"/>
        </w:rPr>
        <w:t xml:space="preserve">) </w:t>
      </w:r>
      <w:r w:rsidR="0012195C" w:rsidRPr="00F9080F">
        <w:rPr>
          <w:rFonts w:ascii="Arial" w:hAnsi="Arial" w:cs="Arial"/>
        </w:rPr>
        <w:t xml:space="preserve">reflecting a challenging environment and </w:t>
      </w:r>
      <w:r w:rsidR="00144DA6" w:rsidRPr="00F9080F">
        <w:rPr>
          <w:rFonts w:ascii="Arial" w:hAnsi="Arial" w:cs="Arial"/>
        </w:rPr>
        <w:t xml:space="preserve">adverse foreign currency exchange </w:t>
      </w:r>
      <w:r w:rsidR="00144DA6" w:rsidRPr="00A845B7">
        <w:rPr>
          <w:rFonts w:ascii="Arial" w:hAnsi="Arial" w:cs="Arial"/>
        </w:rPr>
        <w:t>movements.</w:t>
      </w:r>
      <w:r w:rsidRPr="00A845B7">
        <w:rPr>
          <w:rFonts w:ascii="Arial" w:hAnsi="Arial" w:cs="Arial"/>
        </w:rPr>
        <w:t xml:space="preserve"> In </w:t>
      </w:r>
      <w:r w:rsidRPr="00A845B7">
        <w:rPr>
          <w:rFonts w:ascii="Arial" w:hAnsi="Arial" w:cs="Arial"/>
          <w:b/>
        </w:rPr>
        <w:t>Spain</w:t>
      </w:r>
      <w:r w:rsidRPr="00A845B7">
        <w:rPr>
          <w:rFonts w:ascii="Arial" w:hAnsi="Arial" w:cs="Arial"/>
        </w:rPr>
        <w:t xml:space="preserve"> sales </w:t>
      </w:r>
      <w:r w:rsidR="00822B9C" w:rsidRPr="00A845B7">
        <w:rPr>
          <w:rFonts w:ascii="Arial" w:hAnsi="Arial" w:cs="Arial"/>
        </w:rPr>
        <w:t xml:space="preserve">increased </w:t>
      </w:r>
      <w:r w:rsidRPr="00A845B7">
        <w:rPr>
          <w:rFonts w:ascii="Arial" w:hAnsi="Arial" w:cs="Arial"/>
        </w:rPr>
        <w:t xml:space="preserve">by </w:t>
      </w:r>
      <w:r w:rsidR="005A1FE8" w:rsidRPr="00A845B7">
        <w:rPr>
          <w:rFonts w:ascii="Arial" w:hAnsi="Arial" w:cs="Arial"/>
        </w:rPr>
        <w:t>2.1</w:t>
      </w:r>
      <w:r w:rsidRPr="00A845B7">
        <w:rPr>
          <w:rFonts w:ascii="Arial" w:hAnsi="Arial" w:cs="Arial"/>
        </w:rPr>
        <w:t>% (</w:t>
      </w:r>
      <w:r w:rsidR="00822B9C" w:rsidRPr="00A845B7">
        <w:rPr>
          <w:rFonts w:ascii="Arial" w:hAnsi="Arial" w:cs="Arial"/>
        </w:rPr>
        <w:t>+</w:t>
      </w:r>
      <w:r w:rsidR="008E36A9" w:rsidRPr="00A845B7">
        <w:rPr>
          <w:rFonts w:ascii="Arial" w:hAnsi="Arial" w:cs="Arial"/>
        </w:rPr>
        <w:t>0.5</w:t>
      </w:r>
      <w:r w:rsidRPr="00A845B7">
        <w:rPr>
          <w:rFonts w:ascii="Arial" w:hAnsi="Arial" w:cs="Arial"/>
        </w:rPr>
        <w:t>% LFL) to £</w:t>
      </w:r>
      <w:r w:rsidR="008E36A9" w:rsidRPr="00A845B7">
        <w:rPr>
          <w:rFonts w:ascii="Arial" w:hAnsi="Arial" w:cs="Arial"/>
        </w:rPr>
        <w:t>312</w:t>
      </w:r>
      <w:r w:rsidR="00822B9C" w:rsidRPr="00A845B7">
        <w:rPr>
          <w:rFonts w:ascii="Arial" w:hAnsi="Arial" w:cs="Arial"/>
        </w:rPr>
        <w:t xml:space="preserve"> </w:t>
      </w:r>
      <w:r w:rsidRPr="00A845B7">
        <w:rPr>
          <w:rFonts w:ascii="Arial" w:hAnsi="Arial" w:cs="Arial"/>
        </w:rPr>
        <w:t>million</w:t>
      </w:r>
      <w:r w:rsidR="00F04F80" w:rsidRPr="00A845B7">
        <w:rPr>
          <w:rFonts w:ascii="Arial" w:hAnsi="Arial" w:cs="Arial"/>
        </w:rPr>
        <w:t>,</w:t>
      </w:r>
      <w:r w:rsidR="00C51098" w:rsidRPr="00A845B7">
        <w:rPr>
          <w:rFonts w:ascii="Arial" w:hAnsi="Arial" w:cs="Arial"/>
        </w:rPr>
        <w:t xml:space="preserve"> delivering a</w:t>
      </w:r>
      <w:r w:rsidRPr="00A845B7">
        <w:rPr>
          <w:rFonts w:ascii="Arial" w:hAnsi="Arial" w:cs="Arial"/>
        </w:rPr>
        <w:t xml:space="preserve"> </w:t>
      </w:r>
      <w:r w:rsidR="0047756B" w:rsidRPr="00A845B7">
        <w:rPr>
          <w:rFonts w:ascii="Arial" w:hAnsi="Arial" w:cs="Arial"/>
        </w:rPr>
        <w:t>£</w:t>
      </w:r>
      <w:r w:rsidR="008E36A9" w:rsidRPr="00A845B7">
        <w:rPr>
          <w:rFonts w:ascii="Arial" w:hAnsi="Arial" w:cs="Arial"/>
        </w:rPr>
        <w:t>2</w:t>
      </w:r>
      <w:r w:rsidR="0047756B" w:rsidRPr="00A845B7">
        <w:rPr>
          <w:rFonts w:ascii="Arial" w:hAnsi="Arial" w:cs="Arial"/>
        </w:rPr>
        <w:t xml:space="preserve"> million retail profit</w:t>
      </w:r>
      <w:r w:rsidRPr="00A845B7">
        <w:rPr>
          <w:rFonts w:ascii="Arial" w:hAnsi="Arial" w:cs="Arial"/>
        </w:rPr>
        <w:t xml:space="preserve"> (2015</w:t>
      </w:r>
      <w:r w:rsidR="00822B9C" w:rsidRPr="00A845B7">
        <w:rPr>
          <w:rFonts w:ascii="Arial" w:hAnsi="Arial" w:cs="Arial"/>
        </w:rPr>
        <w:t>/16</w:t>
      </w:r>
      <w:r w:rsidRPr="00A845B7">
        <w:rPr>
          <w:rFonts w:ascii="Arial" w:hAnsi="Arial" w:cs="Arial"/>
        </w:rPr>
        <w:t xml:space="preserve">: </w:t>
      </w:r>
      <w:r w:rsidR="00AF715F" w:rsidRPr="00A845B7">
        <w:rPr>
          <w:rFonts w:ascii="Arial" w:hAnsi="Arial" w:cs="Arial"/>
        </w:rPr>
        <w:t>breakeven</w:t>
      </w:r>
      <w:r w:rsidRPr="00A845B7">
        <w:rPr>
          <w:rFonts w:ascii="Arial" w:hAnsi="Arial" w:cs="Arial"/>
        </w:rPr>
        <w:t xml:space="preserve">). </w:t>
      </w:r>
      <w:r w:rsidR="00E53A31" w:rsidRPr="00A845B7">
        <w:rPr>
          <w:rFonts w:ascii="Arial" w:hAnsi="Arial" w:cs="Arial"/>
        </w:rPr>
        <w:t xml:space="preserve">In </w:t>
      </w:r>
      <w:r w:rsidR="00E53A31" w:rsidRPr="00A845B7">
        <w:rPr>
          <w:rFonts w:ascii="Arial" w:hAnsi="Arial" w:cs="Arial"/>
          <w:b/>
        </w:rPr>
        <w:t xml:space="preserve">Turkey, </w:t>
      </w:r>
      <w:r w:rsidR="00E53A31" w:rsidRPr="00A845B7">
        <w:rPr>
          <w:rFonts w:ascii="Arial" w:hAnsi="Arial" w:cs="Arial"/>
        </w:rPr>
        <w:t xml:space="preserve">Kingfisher’s 50% JV, </w:t>
      </w:r>
      <w:r w:rsidR="00E53A31" w:rsidRPr="00A845B7">
        <w:rPr>
          <w:rFonts w:ascii="Arial" w:hAnsi="Arial" w:cs="Arial"/>
          <w:bCs/>
        </w:rPr>
        <w:t>Koçtaş,</w:t>
      </w:r>
      <w:r w:rsidR="00E53A31" w:rsidRPr="00A845B7">
        <w:rPr>
          <w:rFonts w:ascii="Arial" w:hAnsi="Arial" w:cs="Arial"/>
        </w:rPr>
        <w:t xml:space="preserve"> contributed retail profit of £</w:t>
      </w:r>
      <w:r w:rsidR="008E36A9" w:rsidRPr="00A845B7">
        <w:rPr>
          <w:rFonts w:ascii="Arial" w:hAnsi="Arial" w:cs="Arial"/>
        </w:rPr>
        <w:t xml:space="preserve">5 </w:t>
      </w:r>
      <w:r w:rsidR="00E53A31" w:rsidRPr="00A845B7">
        <w:rPr>
          <w:rFonts w:ascii="Arial" w:hAnsi="Arial" w:cs="Arial"/>
        </w:rPr>
        <w:t>million (2015/16: £</w:t>
      </w:r>
      <w:r w:rsidR="008E36A9" w:rsidRPr="00A845B7">
        <w:rPr>
          <w:rFonts w:ascii="Arial" w:hAnsi="Arial" w:cs="Arial"/>
        </w:rPr>
        <w:t xml:space="preserve">7 </w:t>
      </w:r>
      <w:r w:rsidR="00E53A31" w:rsidRPr="00A845B7">
        <w:rPr>
          <w:rFonts w:ascii="Arial" w:hAnsi="Arial" w:cs="Arial"/>
        </w:rPr>
        <w:t>million reported retail profit).</w:t>
      </w:r>
    </w:p>
    <w:p w:rsidR="007D43ED" w:rsidRPr="00931630" w:rsidRDefault="007D43ED" w:rsidP="007D43ED">
      <w:pPr>
        <w:jc w:val="left"/>
        <w:rPr>
          <w:rFonts w:ascii="Arial" w:hAnsi="Arial" w:cs="Arial"/>
          <w:b/>
          <w:sz w:val="24"/>
          <w:szCs w:val="24"/>
          <w:highlight w:val="yellow"/>
          <w:u w:val="single"/>
        </w:rPr>
      </w:pPr>
    </w:p>
    <w:p w:rsidR="007D43ED" w:rsidRPr="00A845B7" w:rsidRDefault="007D43ED" w:rsidP="007D43ED">
      <w:pPr>
        <w:jc w:val="left"/>
        <w:rPr>
          <w:rFonts w:ascii="Arial" w:hAnsi="Arial" w:cs="Arial"/>
          <w:b/>
        </w:rPr>
      </w:pPr>
      <w:r w:rsidRPr="00A845B7">
        <w:rPr>
          <w:rFonts w:ascii="Arial" w:hAnsi="Arial" w:cs="Arial"/>
          <w:b/>
        </w:rPr>
        <w:t>New Country Development:</w:t>
      </w:r>
    </w:p>
    <w:p w:rsidR="007D43ED" w:rsidRPr="00F9080F" w:rsidRDefault="007D43ED" w:rsidP="007D43ED">
      <w:pPr>
        <w:jc w:val="left"/>
        <w:rPr>
          <w:rFonts w:ascii="Arial" w:hAnsi="Arial" w:cs="Arial"/>
          <w:b/>
          <w:highlight w:val="yellow"/>
        </w:rPr>
      </w:pPr>
    </w:p>
    <w:p w:rsidR="007D43ED" w:rsidRPr="00F9080F" w:rsidRDefault="007D43ED">
      <w:pPr>
        <w:jc w:val="left"/>
        <w:rPr>
          <w:rFonts w:ascii="Arial" w:hAnsi="Arial" w:cs="Arial"/>
        </w:rPr>
      </w:pPr>
      <w:r w:rsidRPr="00F9080F">
        <w:rPr>
          <w:rFonts w:ascii="Arial" w:hAnsi="Arial" w:cs="Arial"/>
        </w:rPr>
        <w:t xml:space="preserve">New Country Development </w:t>
      </w:r>
      <w:r w:rsidR="006319F7">
        <w:rPr>
          <w:rFonts w:ascii="Arial" w:hAnsi="Arial" w:cs="Arial"/>
        </w:rPr>
        <w:t>comprises our</w:t>
      </w:r>
      <w:r w:rsidRPr="00F9080F">
        <w:rPr>
          <w:rFonts w:ascii="Arial" w:hAnsi="Arial" w:cs="Arial"/>
        </w:rPr>
        <w:t xml:space="preserve"> operations in Romania, Portugal and Germany. Sales were £</w:t>
      </w:r>
      <w:r w:rsidR="008E36A9" w:rsidRPr="00F9080F">
        <w:rPr>
          <w:rFonts w:ascii="Arial" w:hAnsi="Arial" w:cs="Arial"/>
        </w:rPr>
        <w:t>14</w:t>
      </w:r>
      <w:r w:rsidR="005D6074" w:rsidRPr="00F9080F">
        <w:rPr>
          <w:rFonts w:ascii="Arial" w:hAnsi="Arial" w:cs="Arial"/>
        </w:rPr>
        <w:t>0</w:t>
      </w:r>
      <w:r w:rsidR="008E36A9" w:rsidRPr="00F9080F">
        <w:rPr>
          <w:rFonts w:ascii="Arial" w:hAnsi="Arial" w:cs="Arial"/>
        </w:rPr>
        <w:t xml:space="preserve"> </w:t>
      </w:r>
      <w:r w:rsidRPr="00F9080F">
        <w:rPr>
          <w:rFonts w:ascii="Arial" w:hAnsi="Arial" w:cs="Arial"/>
        </w:rPr>
        <w:t>million with losses of £</w:t>
      </w:r>
      <w:r w:rsidR="00C2543B" w:rsidRPr="00F9080F">
        <w:rPr>
          <w:rFonts w:ascii="Arial" w:hAnsi="Arial" w:cs="Arial"/>
        </w:rPr>
        <w:t>1</w:t>
      </w:r>
      <w:r w:rsidR="00E21A8E">
        <w:rPr>
          <w:rFonts w:ascii="Arial" w:hAnsi="Arial" w:cs="Arial"/>
        </w:rPr>
        <w:t>6</w:t>
      </w:r>
      <w:r w:rsidR="00C2543B" w:rsidRPr="00F9080F">
        <w:rPr>
          <w:rFonts w:ascii="Arial" w:hAnsi="Arial" w:cs="Arial"/>
        </w:rPr>
        <w:t xml:space="preserve"> </w:t>
      </w:r>
      <w:r w:rsidRPr="00F9080F">
        <w:rPr>
          <w:rFonts w:ascii="Arial" w:hAnsi="Arial" w:cs="Arial"/>
        </w:rPr>
        <w:t>million (2015</w:t>
      </w:r>
      <w:r w:rsidR="00822B9C" w:rsidRPr="00F9080F">
        <w:rPr>
          <w:rFonts w:ascii="Arial" w:hAnsi="Arial" w:cs="Arial"/>
        </w:rPr>
        <w:t>/16</w:t>
      </w:r>
      <w:r w:rsidRPr="00F9080F">
        <w:rPr>
          <w:rFonts w:ascii="Arial" w:hAnsi="Arial" w:cs="Arial"/>
        </w:rPr>
        <w:t>: £</w:t>
      </w:r>
      <w:r w:rsidR="001633F9" w:rsidRPr="00F9080F">
        <w:rPr>
          <w:rFonts w:ascii="Arial" w:hAnsi="Arial" w:cs="Arial"/>
        </w:rPr>
        <w:t>17</w:t>
      </w:r>
      <w:r w:rsidR="008E36A9" w:rsidRPr="00F9080F">
        <w:rPr>
          <w:rFonts w:ascii="Arial" w:hAnsi="Arial" w:cs="Arial"/>
        </w:rPr>
        <w:t xml:space="preserve"> </w:t>
      </w:r>
      <w:r w:rsidRPr="00F9080F">
        <w:rPr>
          <w:rFonts w:ascii="Arial" w:hAnsi="Arial" w:cs="Arial"/>
        </w:rPr>
        <w:t>million reported retail loss</w:t>
      </w:r>
      <w:r w:rsidR="00DC0114" w:rsidRPr="00F9080F">
        <w:rPr>
          <w:rFonts w:ascii="Arial" w:hAnsi="Arial" w:cs="Arial"/>
        </w:rPr>
        <w:t>)</w:t>
      </w:r>
      <w:r w:rsidR="00AF715F" w:rsidRPr="00F9080F">
        <w:rPr>
          <w:rFonts w:ascii="Arial" w:hAnsi="Arial" w:cs="Arial"/>
        </w:rPr>
        <w:t>.</w:t>
      </w:r>
      <w:r w:rsidR="00DC0114" w:rsidRPr="00F9080F">
        <w:rPr>
          <w:rFonts w:ascii="Arial" w:hAnsi="Arial" w:cs="Arial"/>
        </w:rPr>
        <w:t xml:space="preserve"> </w:t>
      </w:r>
      <w:r w:rsidR="005709B5" w:rsidRPr="00F9080F">
        <w:rPr>
          <w:rFonts w:ascii="Arial" w:hAnsi="Arial" w:cs="Arial"/>
        </w:rPr>
        <w:t>Romania</w:t>
      </w:r>
      <w:r w:rsidR="008E36A9" w:rsidRPr="00F9080F">
        <w:rPr>
          <w:rFonts w:ascii="Arial" w:hAnsi="Arial" w:cs="Arial"/>
        </w:rPr>
        <w:t xml:space="preserve"> </w:t>
      </w:r>
      <w:r w:rsidR="00AF715F" w:rsidRPr="00F9080F">
        <w:rPr>
          <w:rFonts w:ascii="Arial" w:hAnsi="Arial" w:cs="Arial"/>
        </w:rPr>
        <w:t xml:space="preserve">delivered a breakeven result </w:t>
      </w:r>
      <w:r w:rsidR="008E36A9" w:rsidRPr="00F9080F">
        <w:rPr>
          <w:rFonts w:ascii="Arial" w:hAnsi="Arial" w:cs="Arial"/>
        </w:rPr>
        <w:t>(2015/16: £9 million loss)</w:t>
      </w:r>
      <w:r w:rsidR="00241697" w:rsidRPr="00F9080F">
        <w:rPr>
          <w:rFonts w:ascii="Arial" w:hAnsi="Arial" w:cs="Arial"/>
        </w:rPr>
        <w:t xml:space="preserve"> </w:t>
      </w:r>
      <w:r w:rsidR="008E36A9" w:rsidRPr="00F9080F">
        <w:rPr>
          <w:rFonts w:ascii="Arial" w:hAnsi="Arial" w:cs="Arial"/>
        </w:rPr>
        <w:t xml:space="preserve">and </w:t>
      </w:r>
      <w:r w:rsidR="00AF715F" w:rsidRPr="00F9080F">
        <w:rPr>
          <w:rFonts w:ascii="Arial" w:hAnsi="Arial" w:cs="Arial"/>
        </w:rPr>
        <w:t xml:space="preserve">Screwfix Germany opened </w:t>
      </w:r>
      <w:r w:rsidR="00B019FB">
        <w:rPr>
          <w:rFonts w:ascii="Arial" w:hAnsi="Arial" w:cs="Arial"/>
        </w:rPr>
        <w:t>ten</w:t>
      </w:r>
      <w:r w:rsidR="00AF715F" w:rsidRPr="00F9080F">
        <w:rPr>
          <w:rFonts w:ascii="Arial" w:hAnsi="Arial" w:cs="Arial"/>
        </w:rPr>
        <w:t xml:space="preserve"> </w:t>
      </w:r>
      <w:r w:rsidR="00241697" w:rsidRPr="00F9080F">
        <w:rPr>
          <w:rFonts w:ascii="Arial" w:hAnsi="Arial" w:cs="Arial"/>
        </w:rPr>
        <w:t>new outlets</w:t>
      </w:r>
      <w:r w:rsidR="005A1FE8" w:rsidRPr="00F9080F">
        <w:rPr>
          <w:rFonts w:ascii="Arial" w:hAnsi="Arial" w:cs="Arial"/>
        </w:rPr>
        <w:t xml:space="preserve">, </w:t>
      </w:r>
      <w:r w:rsidR="00AF715F" w:rsidRPr="00F9080F">
        <w:rPr>
          <w:rFonts w:ascii="Arial" w:hAnsi="Arial" w:cs="Arial"/>
        </w:rPr>
        <w:t>re</w:t>
      </w:r>
      <w:r w:rsidR="005A1FE8" w:rsidRPr="00F9080F">
        <w:rPr>
          <w:rFonts w:ascii="Arial" w:hAnsi="Arial" w:cs="Arial"/>
        </w:rPr>
        <w:t>sulting in a</w:t>
      </w:r>
      <w:r w:rsidR="00AF715F" w:rsidRPr="00F9080F">
        <w:rPr>
          <w:rFonts w:ascii="Arial" w:hAnsi="Arial" w:cs="Arial"/>
        </w:rPr>
        <w:t xml:space="preserve"> </w:t>
      </w:r>
      <w:r w:rsidR="008E36A9" w:rsidRPr="00F9080F">
        <w:rPr>
          <w:rFonts w:ascii="Arial" w:hAnsi="Arial" w:cs="Arial"/>
        </w:rPr>
        <w:t>£</w:t>
      </w:r>
      <w:r w:rsidR="00C2543B" w:rsidRPr="00F9080F">
        <w:rPr>
          <w:rFonts w:ascii="Arial" w:hAnsi="Arial" w:cs="Arial"/>
        </w:rPr>
        <w:t>1</w:t>
      </w:r>
      <w:r w:rsidR="00C2543B">
        <w:rPr>
          <w:rFonts w:ascii="Arial" w:hAnsi="Arial" w:cs="Arial"/>
        </w:rPr>
        <w:t>4</w:t>
      </w:r>
      <w:r w:rsidR="00C2543B" w:rsidRPr="00F9080F">
        <w:rPr>
          <w:rFonts w:ascii="Arial" w:hAnsi="Arial" w:cs="Arial"/>
        </w:rPr>
        <w:t xml:space="preserve"> </w:t>
      </w:r>
      <w:r w:rsidR="008E36A9" w:rsidRPr="00F9080F">
        <w:rPr>
          <w:rFonts w:ascii="Arial" w:hAnsi="Arial" w:cs="Arial"/>
        </w:rPr>
        <w:t xml:space="preserve">million loss </w:t>
      </w:r>
      <w:r w:rsidR="00AF715F" w:rsidRPr="00F9080F">
        <w:rPr>
          <w:rFonts w:ascii="Arial" w:hAnsi="Arial" w:cs="Arial"/>
        </w:rPr>
        <w:t>(</w:t>
      </w:r>
      <w:r w:rsidR="008E36A9" w:rsidRPr="00F9080F">
        <w:rPr>
          <w:rFonts w:ascii="Arial" w:hAnsi="Arial" w:cs="Arial"/>
        </w:rPr>
        <w:t>2015/16: £7 million loss)</w:t>
      </w:r>
      <w:r w:rsidR="00241697" w:rsidRPr="00F9080F">
        <w:rPr>
          <w:rFonts w:ascii="Arial" w:hAnsi="Arial" w:cs="Arial"/>
        </w:rPr>
        <w:t>.</w:t>
      </w:r>
    </w:p>
    <w:p w:rsidR="004B36D9" w:rsidRDefault="004B36D9">
      <w:pPr>
        <w:jc w:val="left"/>
        <w:rPr>
          <w:rFonts w:ascii="Arial" w:hAnsi="Arial" w:cs="Arial"/>
          <w:b/>
          <w:bCs/>
          <w:sz w:val="24"/>
          <w:szCs w:val="24"/>
        </w:rPr>
      </w:pPr>
      <w:r>
        <w:rPr>
          <w:rFonts w:ascii="Arial" w:hAnsi="Arial" w:cs="Arial"/>
          <w:b/>
          <w:bCs/>
          <w:sz w:val="24"/>
          <w:szCs w:val="24"/>
        </w:rPr>
        <w:br w:type="page"/>
      </w:r>
    </w:p>
    <w:p w:rsidR="007D43ED" w:rsidRPr="00A845B7" w:rsidRDefault="007D43ED" w:rsidP="007D43ED">
      <w:pPr>
        <w:jc w:val="left"/>
        <w:rPr>
          <w:rFonts w:ascii="Arial" w:hAnsi="Arial" w:cs="Arial"/>
          <w:b/>
          <w:bCs/>
        </w:rPr>
      </w:pPr>
      <w:r w:rsidRPr="00A845B7">
        <w:rPr>
          <w:rFonts w:ascii="Arial" w:hAnsi="Arial" w:cs="Arial"/>
          <w:b/>
          <w:bCs/>
        </w:rPr>
        <w:lastRenderedPageBreak/>
        <w:t>Section 3: FY 20</w:t>
      </w:r>
      <w:r w:rsidR="00D23E41" w:rsidRPr="00A845B7">
        <w:rPr>
          <w:rFonts w:ascii="Arial" w:hAnsi="Arial" w:cs="Arial"/>
          <w:b/>
          <w:bCs/>
        </w:rPr>
        <w:t>17</w:t>
      </w:r>
      <w:r w:rsidR="00F764D3" w:rsidRPr="00A845B7">
        <w:rPr>
          <w:rFonts w:ascii="Arial" w:hAnsi="Arial" w:cs="Arial"/>
          <w:b/>
          <w:bCs/>
        </w:rPr>
        <w:t>/18</w:t>
      </w:r>
      <w:r w:rsidRPr="00A845B7">
        <w:rPr>
          <w:rFonts w:ascii="Arial" w:hAnsi="Arial" w:cs="Arial"/>
          <w:b/>
          <w:bCs/>
        </w:rPr>
        <w:t xml:space="preserve"> Technical guidance </w:t>
      </w:r>
    </w:p>
    <w:p w:rsidR="007D43ED" w:rsidRPr="00A845B7" w:rsidRDefault="007D43ED" w:rsidP="007D43ED">
      <w:pPr>
        <w:jc w:val="left"/>
        <w:rPr>
          <w:rFonts w:ascii="Arial" w:hAnsi="Arial" w:cs="Arial"/>
          <w:b/>
          <w:bCs/>
        </w:rPr>
      </w:pPr>
    </w:p>
    <w:p w:rsidR="007D43ED" w:rsidRPr="00165A9B" w:rsidRDefault="002E501D" w:rsidP="00925EFB">
      <w:pPr>
        <w:jc w:val="left"/>
        <w:rPr>
          <w:rFonts w:ascii="Arial" w:hAnsi="Arial" w:cs="Arial"/>
          <w:b/>
          <w:bCs/>
        </w:rPr>
      </w:pPr>
      <w:r w:rsidRPr="00165A9B">
        <w:rPr>
          <w:rFonts w:ascii="Arial" w:hAnsi="Arial" w:cs="Arial"/>
          <w:b/>
          <w:bCs/>
        </w:rPr>
        <w:t>Emplo</w:t>
      </w:r>
      <w:r w:rsidR="00E5523A" w:rsidRPr="00165A9B">
        <w:rPr>
          <w:rFonts w:ascii="Arial" w:hAnsi="Arial" w:cs="Arial"/>
          <w:b/>
          <w:bCs/>
        </w:rPr>
        <w:t>yee</w:t>
      </w:r>
      <w:r w:rsidR="00B019FB" w:rsidRPr="00165A9B">
        <w:rPr>
          <w:rFonts w:ascii="Arial" w:hAnsi="Arial" w:cs="Arial"/>
          <w:b/>
          <w:bCs/>
        </w:rPr>
        <w:t>s</w:t>
      </w:r>
      <w:r w:rsidR="00E5523A" w:rsidRPr="00165A9B">
        <w:rPr>
          <w:rFonts w:ascii="Arial" w:hAnsi="Arial" w:cs="Arial"/>
          <w:b/>
          <w:bCs/>
        </w:rPr>
        <w:t>,</w:t>
      </w:r>
      <w:r w:rsidR="007D43ED" w:rsidRPr="00165A9B">
        <w:rPr>
          <w:rFonts w:ascii="Arial" w:hAnsi="Arial" w:cs="Arial"/>
          <w:b/>
          <w:bCs/>
        </w:rPr>
        <w:t xml:space="preserve"> new stores and space growth:</w:t>
      </w:r>
    </w:p>
    <w:tbl>
      <w:tblPr>
        <w:tblW w:w="5000" w:type="pct"/>
        <w:tblInd w:w="2" w:type="dxa"/>
        <w:tblLayout w:type="fixed"/>
        <w:tblLook w:val="01E0" w:firstRow="1" w:lastRow="1" w:firstColumn="1" w:lastColumn="1" w:noHBand="0" w:noVBand="0"/>
      </w:tblPr>
      <w:tblGrid>
        <w:gridCol w:w="2405"/>
        <w:gridCol w:w="1527"/>
        <w:gridCol w:w="1275"/>
        <w:gridCol w:w="1600"/>
        <w:gridCol w:w="1417"/>
        <w:gridCol w:w="1417"/>
      </w:tblGrid>
      <w:tr w:rsidR="001178CC" w:rsidRPr="00A845B7" w:rsidTr="00FD5A2D">
        <w:trPr>
          <w:trHeight w:val="739"/>
        </w:trPr>
        <w:tc>
          <w:tcPr>
            <w:tcW w:w="1247" w:type="pct"/>
          </w:tcPr>
          <w:p w:rsidR="001178CC" w:rsidRPr="00A845B7" w:rsidRDefault="001178CC" w:rsidP="00FD5A2D">
            <w:pPr>
              <w:ind w:left="110" w:hanging="110"/>
              <w:jc w:val="left"/>
              <w:rPr>
                <w:rFonts w:ascii="Arial" w:hAnsi="Arial" w:cs="Arial"/>
              </w:rPr>
            </w:pPr>
          </w:p>
          <w:p w:rsidR="001178CC" w:rsidRPr="00A845B7" w:rsidRDefault="001178CC" w:rsidP="00FD5A2D">
            <w:pPr>
              <w:jc w:val="left"/>
              <w:rPr>
                <w:rFonts w:ascii="Arial" w:hAnsi="Arial" w:cs="Arial"/>
                <w:b/>
                <w:bCs/>
              </w:rPr>
            </w:pPr>
          </w:p>
        </w:tc>
        <w:tc>
          <w:tcPr>
            <w:tcW w:w="792" w:type="pct"/>
          </w:tcPr>
          <w:p w:rsidR="0041662F" w:rsidRPr="00A845B7" w:rsidRDefault="0041662F" w:rsidP="00FD5A2D">
            <w:pPr>
              <w:ind w:left="110" w:hanging="110"/>
              <w:jc w:val="right"/>
              <w:rPr>
                <w:rFonts w:ascii="Arial" w:hAnsi="Arial" w:cs="Arial"/>
                <w:b/>
                <w:bCs/>
              </w:rPr>
            </w:pPr>
          </w:p>
          <w:p w:rsidR="001178CC" w:rsidRPr="00A845B7" w:rsidRDefault="001178CC" w:rsidP="00FD5A2D">
            <w:pPr>
              <w:ind w:left="110" w:hanging="110"/>
              <w:jc w:val="right"/>
              <w:rPr>
                <w:rFonts w:ascii="Arial" w:hAnsi="Arial" w:cs="Arial"/>
                <w:b/>
                <w:bCs/>
              </w:rPr>
            </w:pPr>
            <w:r w:rsidRPr="00A845B7">
              <w:rPr>
                <w:rFonts w:ascii="Arial" w:hAnsi="Arial" w:cs="Arial"/>
                <w:b/>
                <w:bCs/>
              </w:rPr>
              <w:t>Employees</w:t>
            </w:r>
          </w:p>
          <w:p w:rsidR="0041662F" w:rsidRPr="00A845B7" w:rsidRDefault="001178CC" w:rsidP="00FD5A2D">
            <w:pPr>
              <w:ind w:left="110" w:hanging="110"/>
              <w:jc w:val="right"/>
              <w:rPr>
                <w:rFonts w:ascii="Arial" w:hAnsi="Arial" w:cs="Arial"/>
                <w:b/>
                <w:bCs/>
              </w:rPr>
            </w:pPr>
            <w:r w:rsidRPr="00A845B7">
              <w:rPr>
                <w:rFonts w:ascii="Arial" w:hAnsi="Arial" w:cs="Arial"/>
                <w:b/>
                <w:bCs/>
              </w:rPr>
              <w:t>(FTE)</w:t>
            </w:r>
            <w:r w:rsidR="0041662F" w:rsidRPr="00A845B7">
              <w:rPr>
                <w:rFonts w:ascii="Arial" w:hAnsi="Arial" w:cs="Arial"/>
                <w:b/>
                <w:bCs/>
              </w:rPr>
              <w:t xml:space="preserve"> </w:t>
            </w:r>
          </w:p>
          <w:p w:rsidR="001178CC" w:rsidRPr="00A845B7" w:rsidRDefault="0041662F">
            <w:pPr>
              <w:ind w:left="110" w:hanging="110"/>
              <w:jc w:val="right"/>
              <w:rPr>
                <w:rFonts w:ascii="Arial" w:hAnsi="Arial" w:cs="Arial"/>
                <w:b/>
                <w:bCs/>
              </w:rPr>
            </w:pPr>
            <w:r w:rsidRPr="00A845B7">
              <w:rPr>
                <w:rFonts w:ascii="Arial" w:hAnsi="Arial" w:cs="Arial"/>
                <w:b/>
                <w:bCs/>
              </w:rPr>
              <w:t xml:space="preserve">at </w:t>
            </w:r>
            <w:r w:rsidR="00931630" w:rsidRPr="00A845B7">
              <w:rPr>
                <w:rFonts w:ascii="Arial" w:hAnsi="Arial" w:cs="Arial"/>
                <w:b/>
                <w:bCs/>
              </w:rPr>
              <w:t>31 J</w:t>
            </w:r>
            <w:r w:rsidR="00F764D3" w:rsidRPr="00A845B7">
              <w:rPr>
                <w:rFonts w:ascii="Arial" w:hAnsi="Arial" w:cs="Arial"/>
                <w:b/>
                <w:bCs/>
              </w:rPr>
              <w:t>an</w:t>
            </w:r>
            <w:r w:rsidR="00931630" w:rsidRPr="00A845B7">
              <w:rPr>
                <w:rFonts w:ascii="Arial" w:hAnsi="Arial" w:cs="Arial"/>
                <w:b/>
                <w:bCs/>
              </w:rPr>
              <w:t xml:space="preserve"> </w:t>
            </w:r>
            <w:r w:rsidRPr="00A845B7">
              <w:rPr>
                <w:rFonts w:ascii="Arial" w:hAnsi="Arial" w:cs="Arial"/>
                <w:b/>
                <w:bCs/>
              </w:rPr>
              <w:t>201</w:t>
            </w:r>
            <w:r w:rsidR="00F764D3" w:rsidRPr="00A845B7">
              <w:rPr>
                <w:rFonts w:ascii="Arial" w:hAnsi="Arial" w:cs="Arial"/>
                <w:b/>
                <w:bCs/>
              </w:rPr>
              <w:t>7</w:t>
            </w:r>
          </w:p>
        </w:tc>
        <w:tc>
          <w:tcPr>
            <w:tcW w:w="661" w:type="pct"/>
          </w:tcPr>
          <w:p w:rsidR="0041662F" w:rsidRPr="00A845B7" w:rsidRDefault="0041662F" w:rsidP="00FD5A2D">
            <w:pPr>
              <w:ind w:left="110" w:hanging="110"/>
              <w:jc w:val="right"/>
              <w:rPr>
                <w:rFonts w:ascii="Arial" w:hAnsi="Arial" w:cs="Arial"/>
                <w:b/>
                <w:bCs/>
              </w:rPr>
            </w:pPr>
          </w:p>
          <w:p w:rsidR="001178CC" w:rsidRPr="00A845B7" w:rsidRDefault="001178CC" w:rsidP="00FD5A2D">
            <w:pPr>
              <w:ind w:left="110" w:hanging="110"/>
              <w:jc w:val="right"/>
              <w:rPr>
                <w:rFonts w:ascii="Arial" w:hAnsi="Arial" w:cs="Arial"/>
                <w:b/>
                <w:bCs/>
              </w:rPr>
            </w:pPr>
            <w:r w:rsidRPr="00A845B7">
              <w:rPr>
                <w:rFonts w:ascii="Arial" w:hAnsi="Arial" w:cs="Arial"/>
                <w:b/>
                <w:bCs/>
              </w:rPr>
              <w:t xml:space="preserve">Store </w:t>
            </w:r>
          </w:p>
          <w:p w:rsidR="001178CC" w:rsidRPr="00A845B7" w:rsidRDefault="0041662F">
            <w:pPr>
              <w:ind w:left="110" w:hanging="110"/>
              <w:jc w:val="right"/>
              <w:rPr>
                <w:rFonts w:ascii="Arial" w:hAnsi="Arial" w:cs="Arial"/>
                <w:b/>
                <w:bCs/>
              </w:rPr>
            </w:pPr>
            <w:r w:rsidRPr="00A845B7">
              <w:rPr>
                <w:rFonts w:ascii="Arial" w:hAnsi="Arial" w:cs="Arial"/>
                <w:b/>
                <w:bCs/>
              </w:rPr>
              <w:t>N</w:t>
            </w:r>
            <w:r w:rsidR="001178CC" w:rsidRPr="00A845B7">
              <w:rPr>
                <w:rFonts w:ascii="Arial" w:hAnsi="Arial" w:cs="Arial"/>
                <w:b/>
                <w:bCs/>
              </w:rPr>
              <w:t>umbers</w:t>
            </w:r>
            <w:r w:rsidRPr="00A845B7">
              <w:rPr>
                <w:rFonts w:ascii="Arial" w:hAnsi="Arial" w:cs="Arial"/>
                <w:b/>
                <w:bCs/>
              </w:rPr>
              <w:t xml:space="preserve"> at 31 </w:t>
            </w:r>
            <w:r w:rsidR="00931630" w:rsidRPr="00A845B7">
              <w:rPr>
                <w:rFonts w:ascii="Arial" w:hAnsi="Arial" w:cs="Arial"/>
                <w:b/>
                <w:bCs/>
              </w:rPr>
              <w:t>J</w:t>
            </w:r>
            <w:r w:rsidR="00F764D3" w:rsidRPr="00A845B7">
              <w:rPr>
                <w:rFonts w:ascii="Arial" w:hAnsi="Arial" w:cs="Arial"/>
                <w:b/>
                <w:bCs/>
              </w:rPr>
              <w:t>an</w:t>
            </w:r>
            <w:r w:rsidR="00931630" w:rsidRPr="00A845B7">
              <w:rPr>
                <w:rFonts w:ascii="Arial" w:hAnsi="Arial" w:cs="Arial"/>
                <w:b/>
                <w:bCs/>
              </w:rPr>
              <w:t xml:space="preserve"> </w:t>
            </w:r>
            <w:r w:rsidR="00F764D3" w:rsidRPr="00A845B7">
              <w:rPr>
                <w:rFonts w:ascii="Arial" w:hAnsi="Arial" w:cs="Arial"/>
                <w:b/>
                <w:bCs/>
              </w:rPr>
              <w:t>2017</w:t>
            </w:r>
          </w:p>
        </w:tc>
        <w:tc>
          <w:tcPr>
            <w:tcW w:w="830" w:type="pct"/>
          </w:tcPr>
          <w:p w:rsidR="0041662F" w:rsidRPr="00A845B7" w:rsidRDefault="0041662F" w:rsidP="00FD5A2D">
            <w:pPr>
              <w:ind w:left="110" w:hanging="110"/>
              <w:jc w:val="right"/>
              <w:rPr>
                <w:rFonts w:ascii="Arial" w:hAnsi="Arial" w:cs="Arial"/>
                <w:b/>
                <w:bCs/>
              </w:rPr>
            </w:pPr>
          </w:p>
          <w:p w:rsidR="001178CC" w:rsidRPr="00A845B7" w:rsidRDefault="0041662F" w:rsidP="00FD5A2D">
            <w:pPr>
              <w:ind w:left="110" w:hanging="110"/>
              <w:jc w:val="right"/>
              <w:rPr>
                <w:rFonts w:ascii="Arial" w:hAnsi="Arial" w:cs="Arial"/>
                <w:b/>
                <w:bCs/>
              </w:rPr>
            </w:pPr>
            <w:r w:rsidRPr="00A845B7">
              <w:rPr>
                <w:rFonts w:ascii="Arial" w:hAnsi="Arial" w:cs="Arial"/>
                <w:b/>
                <w:bCs/>
              </w:rPr>
              <w:t xml:space="preserve">Sales area </w:t>
            </w:r>
            <w:r w:rsidRPr="00A845B7">
              <w:rPr>
                <w:rFonts w:ascii="Arial" w:hAnsi="Arial" w:cs="Arial"/>
                <w:b/>
                <w:bCs/>
                <w:vertAlign w:val="superscript"/>
              </w:rPr>
              <w:t>(1)</w:t>
            </w:r>
          </w:p>
          <w:p w:rsidR="0041662F" w:rsidRPr="00A845B7" w:rsidRDefault="001178CC" w:rsidP="00FD5A2D">
            <w:pPr>
              <w:ind w:left="110" w:hanging="110"/>
              <w:jc w:val="right"/>
              <w:rPr>
                <w:rFonts w:ascii="Arial" w:hAnsi="Arial" w:cs="Arial"/>
                <w:b/>
                <w:bCs/>
              </w:rPr>
            </w:pPr>
            <w:r w:rsidRPr="00A845B7">
              <w:rPr>
                <w:rFonts w:ascii="Arial" w:hAnsi="Arial" w:cs="Arial"/>
                <w:b/>
                <w:bCs/>
              </w:rPr>
              <w:t>(000s m</w:t>
            </w:r>
            <w:r w:rsidRPr="00A845B7">
              <w:rPr>
                <w:rFonts w:ascii="Arial" w:hAnsi="Arial" w:cs="Arial"/>
                <w:b/>
                <w:bCs/>
                <w:vertAlign w:val="superscript"/>
              </w:rPr>
              <w:t>2</w:t>
            </w:r>
            <w:r w:rsidRPr="00A845B7">
              <w:rPr>
                <w:rFonts w:ascii="Arial" w:hAnsi="Arial" w:cs="Arial"/>
                <w:b/>
                <w:bCs/>
              </w:rPr>
              <w:t>)</w:t>
            </w:r>
            <w:r w:rsidR="0041662F" w:rsidRPr="00A845B7">
              <w:rPr>
                <w:rFonts w:ascii="Arial" w:hAnsi="Arial" w:cs="Arial"/>
                <w:b/>
                <w:bCs/>
              </w:rPr>
              <w:t xml:space="preserve"> </w:t>
            </w:r>
          </w:p>
          <w:p w:rsidR="001178CC" w:rsidRPr="00A845B7" w:rsidRDefault="0041662F">
            <w:pPr>
              <w:ind w:left="110" w:hanging="110"/>
              <w:jc w:val="right"/>
              <w:rPr>
                <w:rFonts w:ascii="Arial" w:hAnsi="Arial" w:cs="Arial"/>
                <w:b/>
                <w:bCs/>
              </w:rPr>
            </w:pPr>
            <w:r w:rsidRPr="00A845B7">
              <w:rPr>
                <w:rFonts w:ascii="Arial" w:hAnsi="Arial" w:cs="Arial"/>
                <w:b/>
                <w:bCs/>
              </w:rPr>
              <w:t xml:space="preserve">at 31 </w:t>
            </w:r>
            <w:r w:rsidR="00F764D3" w:rsidRPr="00A845B7">
              <w:rPr>
                <w:rFonts w:ascii="Arial" w:hAnsi="Arial" w:cs="Arial"/>
                <w:b/>
                <w:bCs/>
              </w:rPr>
              <w:t xml:space="preserve">Jan </w:t>
            </w:r>
            <w:r w:rsidRPr="00A845B7">
              <w:rPr>
                <w:rFonts w:ascii="Arial" w:hAnsi="Arial" w:cs="Arial"/>
                <w:b/>
                <w:bCs/>
              </w:rPr>
              <w:t>201</w:t>
            </w:r>
            <w:r w:rsidR="00F764D3" w:rsidRPr="00A845B7">
              <w:rPr>
                <w:rFonts w:ascii="Arial" w:hAnsi="Arial" w:cs="Arial"/>
                <w:b/>
                <w:bCs/>
              </w:rPr>
              <w:t>7</w:t>
            </w:r>
          </w:p>
        </w:tc>
        <w:tc>
          <w:tcPr>
            <w:tcW w:w="735" w:type="pct"/>
          </w:tcPr>
          <w:p w:rsidR="0041662F" w:rsidRPr="00A845B7" w:rsidRDefault="0041662F" w:rsidP="00FD5A2D">
            <w:pPr>
              <w:ind w:left="110" w:hanging="110"/>
              <w:jc w:val="right"/>
              <w:rPr>
                <w:rFonts w:ascii="Arial" w:hAnsi="Arial" w:cs="Arial"/>
                <w:b/>
                <w:bCs/>
              </w:rPr>
            </w:pPr>
          </w:p>
          <w:p w:rsidR="00C449AA" w:rsidRPr="00A845B7" w:rsidRDefault="00C449AA" w:rsidP="00FD5A2D">
            <w:pPr>
              <w:ind w:left="110" w:hanging="110"/>
              <w:jc w:val="right"/>
              <w:rPr>
                <w:rFonts w:ascii="Arial" w:hAnsi="Arial" w:cs="Arial"/>
                <w:b/>
                <w:bCs/>
              </w:rPr>
            </w:pPr>
          </w:p>
          <w:p w:rsidR="001178CC" w:rsidRPr="00A845B7" w:rsidRDefault="001178CC" w:rsidP="00FD5A2D">
            <w:pPr>
              <w:ind w:left="110" w:hanging="110"/>
              <w:jc w:val="right"/>
              <w:rPr>
                <w:rFonts w:ascii="Arial" w:hAnsi="Arial" w:cs="Arial"/>
                <w:b/>
                <w:bCs/>
              </w:rPr>
            </w:pPr>
            <w:r w:rsidRPr="00A845B7">
              <w:rPr>
                <w:rFonts w:ascii="Arial" w:hAnsi="Arial" w:cs="Arial"/>
                <w:b/>
                <w:bCs/>
              </w:rPr>
              <w:t>Net new stores</w:t>
            </w:r>
          </w:p>
          <w:p w:rsidR="00C449AA" w:rsidRPr="00A845B7" w:rsidRDefault="00C449AA">
            <w:pPr>
              <w:ind w:left="110" w:hanging="110"/>
              <w:jc w:val="right"/>
              <w:rPr>
                <w:rFonts w:ascii="Arial" w:hAnsi="Arial" w:cs="Arial"/>
                <w:b/>
                <w:bCs/>
              </w:rPr>
            </w:pPr>
            <w:r w:rsidRPr="00A845B7">
              <w:rPr>
                <w:rFonts w:ascii="Arial" w:hAnsi="Arial" w:cs="Arial"/>
                <w:b/>
                <w:bCs/>
              </w:rPr>
              <w:t>FY 2017</w:t>
            </w:r>
            <w:r w:rsidR="00F764D3" w:rsidRPr="00A845B7">
              <w:rPr>
                <w:rFonts w:ascii="Arial" w:hAnsi="Arial" w:cs="Arial"/>
                <w:b/>
                <w:bCs/>
              </w:rPr>
              <w:t>/18</w:t>
            </w:r>
          </w:p>
        </w:tc>
        <w:tc>
          <w:tcPr>
            <w:tcW w:w="735" w:type="pct"/>
          </w:tcPr>
          <w:p w:rsidR="0041662F" w:rsidRPr="00A845B7" w:rsidRDefault="0041662F" w:rsidP="00FD5A2D">
            <w:pPr>
              <w:ind w:left="110" w:hanging="110"/>
              <w:jc w:val="center"/>
              <w:rPr>
                <w:rFonts w:ascii="Arial" w:hAnsi="Arial" w:cs="Arial"/>
                <w:b/>
                <w:bCs/>
              </w:rPr>
            </w:pPr>
          </w:p>
          <w:p w:rsidR="00C449AA" w:rsidRPr="00A845B7" w:rsidRDefault="00C449AA" w:rsidP="00440B16">
            <w:pPr>
              <w:ind w:left="110" w:hanging="110"/>
              <w:jc w:val="right"/>
              <w:rPr>
                <w:rFonts w:ascii="Arial" w:hAnsi="Arial" w:cs="Arial"/>
                <w:b/>
                <w:bCs/>
              </w:rPr>
            </w:pPr>
          </w:p>
          <w:p w:rsidR="001178CC" w:rsidRPr="00A845B7" w:rsidRDefault="001178CC" w:rsidP="00440B16">
            <w:pPr>
              <w:ind w:left="110" w:hanging="110"/>
              <w:jc w:val="right"/>
              <w:rPr>
                <w:rFonts w:ascii="Arial" w:hAnsi="Arial" w:cs="Arial"/>
                <w:b/>
                <w:bCs/>
              </w:rPr>
            </w:pPr>
            <w:r w:rsidRPr="00A845B7">
              <w:rPr>
                <w:rFonts w:ascii="Arial" w:hAnsi="Arial" w:cs="Arial"/>
                <w:b/>
                <w:bCs/>
              </w:rPr>
              <w:t>Space</w:t>
            </w:r>
          </w:p>
          <w:p w:rsidR="001178CC" w:rsidRPr="00A845B7" w:rsidRDefault="001178CC" w:rsidP="00440B16">
            <w:pPr>
              <w:ind w:left="110" w:hanging="110"/>
              <w:jc w:val="right"/>
              <w:rPr>
                <w:rFonts w:ascii="Arial" w:hAnsi="Arial" w:cs="Arial"/>
                <w:b/>
                <w:bCs/>
              </w:rPr>
            </w:pPr>
            <w:r w:rsidRPr="00A845B7">
              <w:rPr>
                <w:rFonts w:ascii="Arial" w:hAnsi="Arial" w:cs="Arial"/>
                <w:b/>
                <w:bCs/>
              </w:rPr>
              <w:t>% change</w:t>
            </w:r>
          </w:p>
          <w:p w:rsidR="00C449AA" w:rsidRPr="00A845B7" w:rsidRDefault="00C449AA">
            <w:pPr>
              <w:ind w:left="110" w:hanging="110"/>
              <w:jc w:val="right"/>
              <w:rPr>
                <w:rFonts w:ascii="Arial" w:hAnsi="Arial" w:cs="Arial"/>
                <w:b/>
                <w:bCs/>
              </w:rPr>
            </w:pPr>
            <w:r w:rsidRPr="00A845B7">
              <w:rPr>
                <w:rFonts w:ascii="Arial" w:hAnsi="Arial" w:cs="Arial"/>
                <w:b/>
                <w:bCs/>
              </w:rPr>
              <w:t>FY 2017</w:t>
            </w:r>
            <w:r w:rsidR="00F764D3" w:rsidRPr="00A845B7">
              <w:rPr>
                <w:rFonts w:ascii="Arial" w:hAnsi="Arial" w:cs="Arial"/>
                <w:b/>
                <w:bCs/>
              </w:rPr>
              <w:t>/18</w:t>
            </w:r>
          </w:p>
        </w:tc>
      </w:tr>
      <w:tr w:rsidR="00E0450C" w:rsidRPr="00A845B7" w:rsidTr="00925EFB">
        <w:tc>
          <w:tcPr>
            <w:tcW w:w="1247" w:type="pct"/>
            <w:tcBorders>
              <w:top w:val="single" w:sz="4" w:space="0" w:color="auto"/>
            </w:tcBorders>
          </w:tcPr>
          <w:p w:rsidR="00E0450C" w:rsidRPr="00A845B7" w:rsidRDefault="00E0450C" w:rsidP="00E0450C">
            <w:pPr>
              <w:spacing w:before="60"/>
              <w:jc w:val="left"/>
              <w:rPr>
                <w:rFonts w:ascii="Arial" w:hAnsi="Arial" w:cs="Arial"/>
              </w:rPr>
            </w:pPr>
            <w:r w:rsidRPr="00A845B7">
              <w:rPr>
                <w:rFonts w:ascii="Arial" w:hAnsi="Arial" w:cs="Arial"/>
              </w:rPr>
              <w:t>B&amp;Q UK &amp; Ireland</w:t>
            </w:r>
          </w:p>
        </w:tc>
        <w:tc>
          <w:tcPr>
            <w:tcW w:w="792" w:type="pct"/>
            <w:tcBorders>
              <w:top w:val="single" w:sz="4" w:space="0" w:color="auto"/>
            </w:tcBorders>
          </w:tcPr>
          <w:p w:rsidR="00E0450C" w:rsidRPr="00A845B7" w:rsidRDefault="00E0450C" w:rsidP="00E0450C">
            <w:pPr>
              <w:spacing w:before="60"/>
              <w:ind w:left="110" w:hanging="110"/>
              <w:jc w:val="right"/>
              <w:rPr>
                <w:rFonts w:ascii="Arial" w:hAnsi="Arial" w:cs="Arial"/>
              </w:rPr>
            </w:pPr>
            <w:r w:rsidRPr="00A845B7">
              <w:rPr>
                <w:rFonts w:ascii="Arial" w:hAnsi="Arial" w:cs="Arial"/>
              </w:rPr>
              <w:t>18,883</w:t>
            </w:r>
          </w:p>
        </w:tc>
        <w:tc>
          <w:tcPr>
            <w:tcW w:w="661" w:type="pct"/>
            <w:tcBorders>
              <w:top w:val="single" w:sz="4" w:space="0" w:color="auto"/>
            </w:tcBorders>
          </w:tcPr>
          <w:p w:rsidR="00E0450C" w:rsidRPr="00A845B7" w:rsidRDefault="00E0450C" w:rsidP="00E0450C">
            <w:pPr>
              <w:spacing w:before="60"/>
              <w:ind w:left="110" w:hanging="110"/>
              <w:jc w:val="right"/>
              <w:rPr>
                <w:rFonts w:ascii="Arial" w:hAnsi="Arial" w:cs="Arial"/>
              </w:rPr>
            </w:pPr>
            <w:r w:rsidRPr="00A845B7">
              <w:rPr>
                <w:rFonts w:ascii="Arial" w:hAnsi="Arial" w:cs="Arial"/>
              </w:rPr>
              <w:t>295</w:t>
            </w:r>
          </w:p>
        </w:tc>
        <w:tc>
          <w:tcPr>
            <w:tcW w:w="830" w:type="pct"/>
            <w:tcBorders>
              <w:top w:val="single" w:sz="4" w:space="0" w:color="auto"/>
            </w:tcBorders>
          </w:tcPr>
          <w:p w:rsidR="00E0450C" w:rsidRPr="00A845B7" w:rsidRDefault="00E0450C" w:rsidP="00E0450C">
            <w:pPr>
              <w:spacing w:before="60"/>
              <w:ind w:left="110" w:hanging="110"/>
              <w:jc w:val="right"/>
              <w:rPr>
                <w:rFonts w:ascii="Arial" w:hAnsi="Arial" w:cs="Arial"/>
              </w:rPr>
            </w:pPr>
            <w:r w:rsidRPr="00A845B7">
              <w:rPr>
                <w:rFonts w:ascii="Arial" w:hAnsi="Arial" w:cs="Arial"/>
              </w:rPr>
              <w:t>2,</w:t>
            </w:r>
            <w:r w:rsidR="00543323" w:rsidRPr="00A845B7">
              <w:rPr>
                <w:rFonts w:ascii="Arial" w:hAnsi="Arial" w:cs="Arial"/>
              </w:rPr>
              <w:t>221</w:t>
            </w:r>
          </w:p>
        </w:tc>
        <w:tc>
          <w:tcPr>
            <w:tcW w:w="735" w:type="pct"/>
            <w:tcBorders>
              <w:top w:val="single" w:sz="4" w:space="0" w:color="auto"/>
            </w:tcBorders>
          </w:tcPr>
          <w:p w:rsidR="00E0450C" w:rsidRPr="00A845B7" w:rsidRDefault="00E0450C" w:rsidP="00E0450C">
            <w:pPr>
              <w:spacing w:before="60"/>
              <w:ind w:left="110" w:hanging="110"/>
              <w:jc w:val="right"/>
              <w:rPr>
                <w:rFonts w:ascii="Arial" w:hAnsi="Arial" w:cs="Arial"/>
                <w:highlight w:val="yellow"/>
              </w:rPr>
            </w:pPr>
            <w:r w:rsidRPr="00A845B7">
              <w:rPr>
                <w:rFonts w:ascii="Arial" w:hAnsi="Arial" w:cs="Arial"/>
              </w:rPr>
              <w:t>1</w:t>
            </w:r>
          </w:p>
        </w:tc>
        <w:tc>
          <w:tcPr>
            <w:tcW w:w="735" w:type="pct"/>
            <w:tcBorders>
              <w:top w:val="single" w:sz="4" w:space="0" w:color="auto"/>
            </w:tcBorders>
          </w:tcPr>
          <w:p w:rsidR="00E0450C" w:rsidRPr="00A845B7" w:rsidRDefault="00451BDE" w:rsidP="00E0450C">
            <w:pPr>
              <w:spacing w:before="60"/>
              <w:ind w:left="110" w:hanging="110"/>
              <w:jc w:val="right"/>
              <w:rPr>
                <w:rFonts w:ascii="Arial" w:hAnsi="Arial" w:cs="Arial"/>
              </w:rPr>
            </w:pPr>
            <w:r>
              <w:rPr>
                <w:rFonts w:ascii="Arial" w:hAnsi="Arial" w:cs="Arial"/>
              </w:rPr>
              <w:t>-</w:t>
            </w:r>
          </w:p>
        </w:tc>
      </w:tr>
      <w:tr w:rsidR="00E0450C" w:rsidRPr="00A845B7" w:rsidTr="00FD5A2D">
        <w:tc>
          <w:tcPr>
            <w:tcW w:w="1247" w:type="pct"/>
            <w:tcBorders>
              <w:bottom w:val="single" w:sz="4" w:space="0" w:color="auto"/>
            </w:tcBorders>
          </w:tcPr>
          <w:p w:rsidR="00E0450C" w:rsidRPr="00A845B7" w:rsidRDefault="00E0450C" w:rsidP="00E0450C">
            <w:pPr>
              <w:ind w:left="110" w:hanging="110"/>
              <w:jc w:val="left"/>
              <w:rPr>
                <w:rFonts w:ascii="Arial" w:hAnsi="Arial" w:cs="Arial"/>
              </w:rPr>
            </w:pPr>
            <w:r w:rsidRPr="00A845B7">
              <w:rPr>
                <w:rFonts w:ascii="Arial" w:hAnsi="Arial" w:cs="Arial"/>
              </w:rPr>
              <w:t xml:space="preserve">Screwfix </w:t>
            </w:r>
          </w:p>
        </w:tc>
        <w:tc>
          <w:tcPr>
            <w:tcW w:w="792" w:type="pct"/>
            <w:tcBorders>
              <w:bottom w:val="single" w:sz="4" w:space="0" w:color="auto"/>
            </w:tcBorders>
          </w:tcPr>
          <w:p w:rsidR="00E0450C" w:rsidRPr="00A845B7" w:rsidRDefault="00E0450C" w:rsidP="00E0450C">
            <w:pPr>
              <w:ind w:left="110" w:hanging="110"/>
              <w:jc w:val="right"/>
              <w:rPr>
                <w:rFonts w:ascii="Arial" w:hAnsi="Arial" w:cs="Arial"/>
              </w:rPr>
            </w:pPr>
            <w:r w:rsidRPr="00A845B7">
              <w:rPr>
                <w:rFonts w:ascii="Arial" w:hAnsi="Arial" w:cs="Arial"/>
              </w:rPr>
              <w:t>7,130</w:t>
            </w:r>
          </w:p>
        </w:tc>
        <w:tc>
          <w:tcPr>
            <w:tcW w:w="661" w:type="pct"/>
            <w:tcBorders>
              <w:bottom w:val="single" w:sz="4" w:space="0" w:color="auto"/>
            </w:tcBorders>
          </w:tcPr>
          <w:p w:rsidR="00E0450C" w:rsidRPr="00A845B7" w:rsidRDefault="00E0450C" w:rsidP="00E0450C">
            <w:pPr>
              <w:ind w:left="110" w:hanging="110"/>
              <w:jc w:val="right"/>
              <w:rPr>
                <w:rFonts w:ascii="Arial" w:hAnsi="Arial" w:cs="Arial"/>
              </w:rPr>
            </w:pPr>
            <w:r w:rsidRPr="00A845B7">
              <w:rPr>
                <w:rFonts w:ascii="Arial" w:hAnsi="Arial" w:cs="Arial"/>
              </w:rPr>
              <w:t>517</w:t>
            </w:r>
          </w:p>
        </w:tc>
        <w:tc>
          <w:tcPr>
            <w:tcW w:w="830" w:type="pct"/>
            <w:tcBorders>
              <w:bottom w:val="single" w:sz="4" w:space="0" w:color="auto"/>
            </w:tcBorders>
            <w:shd w:val="clear" w:color="auto" w:fill="auto"/>
          </w:tcPr>
          <w:p w:rsidR="00E0450C" w:rsidRPr="00A845B7" w:rsidRDefault="00E0450C" w:rsidP="00E0450C">
            <w:pPr>
              <w:ind w:left="110" w:hanging="110"/>
              <w:jc w:val="right"/>
              <w:rPr>
                <w:rFonts w:ascii="Arial" w:hAnsi="Arial" w:cs="Arial"/>
              </w:rPr>
            </w:pPr>
            <w:r w:rsidRPr="00A845B7">
              <w:rPr>
                <w:rFonts w:ascii="Arial" w:hAnsi="Arial" w:cs="Arial"/>
              </w:rPr>
              <w:t>31</w:t>
            </w:r>
          </w:p>
        </w:tc>
        <w:tc>
          <w:tcPr>
            <w:tcW w:w="735" w:type="pct"/>
            <w:tcBorders>
              <w:bottom w:val="single" w:sz="4" w:space="0" w:color="auto"/>
            </w:tcBorders>
          </w:tcPr>
          <w:p w:rsidR="00E0450C" w:rsidRPr="00A845B7" w:rsidRDefault="00BC1B73" w:rsidP="00E0450C">
            <w:pPr>
              <w:ind w:left="110" w:hanging="110"/>
              <w:jc w:val="right"/>
              <w:rPr>
                <w:rFonts w:ascii="Arial" w:hAnsi="Arial" w:cs="Arial"/>
                <w:highlight w:val="yellow"/>
              </w:rPr>
            </w:pPr>
            <w:r>
              <w:rPr>
                <w:rFonts w:ascii="Arial" w:hAnsi="Arial" w:cs="Arial"/>
              </w:rPr>
              <w:t>50</w:t>
            </w:r>
          </w:p>
        </w:tc>
        <w:tc>
          <w:tcPr>
            <w:tcW w:w="735" w:type="pct"/>
            <w:tcBorders>
              <w:bottom w:val="single" w:sz="4" w:space="0" w:color="auto"/>
            </w:tcBorders>
          </w:tcPr>
          <w:p w:rsidR="00E0450C" w:rsidRPr="00A845B7" w:rsidRDefault="00E0450C" w:rsidP="00E0450C">
            <w:pPr>
              <w:ind w:left="110" w:hanging="110"/>
              <w:jc w:val="right"/>
              <w:rPr>
                <w:rFonts w:ascii="Arial" w:hAnsi="Arial" w:cs="Arial"/>
              </w:rPr>
            </w:pPr>
            <w:r w:rsidRPr="00A845B7">
              <w:rPr>
                <w:rFonts w:ascii="Arial" w:hAnsi="Arial" w:cs="Arial"/>
              </w:rPr>
              <w:t>+</w:t>
            </w:r>
            <w:r w:rsidR="008C5D79">
              <w:rPr>
                <w:rFonts w:ascii="Arial" w:hAnsi="Arial" w:cs="Arial"/>
              </w:rPr>
              <w:t>7</w:t>
            </w:r>
            <w:r w:rsidRPr="00A845B7">
              <w:rPr>
                <w:rFonts w:ascii="Arial" w:hAnsi="Arial" w:cs="Arial"/>
              </w:rPr>
              <w:t>%</w:t>
            </w:r>
          </w:p>
        </w:tc>
      </w:tr>
      <w:tr w:rsidR="00E0450C" w:rsidRPr="00A845B7" w:rsidTr="00FD5A2D">
        <w:tc>
          <w:tcPr>
            <w:tcW w:w="1247" w:type="pct"/>
            <w:tcBorders>
              <w:top w:val="single" w:sz="4" w:space="0" w:color="auto"/>
            </w:tcBorders>
          </w:tcPr>
          <w:p w:rsidR="00E0450C" w:rsidRPr="00A845B7" w:rsidRDefault="00E0450C" w:rsidP="00E0450C">
            <w:pPr>
              <w:ind w:left="110" w:hanging="110"/>
              <w:jc w:val="left"/>
              <w:rPr>
                <w:rFonts w:ascii="Arial" w:hAnsi="Arial" w:cs="Arial"/>
                <w:b/>
                <w:bCs/>
              </w:rPr>
            </w:pPr>
            <w:r w:rsidRPr="00A845B7">
              <w:rPr>
                <w:rFonts w:ascii="Arial" w:hAnsi="Arial" w:cs="Arial"/>
                <w:b/>
                <w:bCs/>
              </w:rPr>
              <w:t>UK &amp; Ireland</w:t>
            </w:r>
          </w:p>
        </w:tc>
        <w:tc>
          <w:tcPr>
            <w:tcW w:w="792" w:type="pct"/>
            <w:tcBorders>
              <w:top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26,013</w:t>
            </w:r>
          </w:p>
        </w:tc>
        <w:tc>
          <w:tcPr>
            <w:tcW w:w="661" w:type="pct"/>
            <w:tcBorders>
              <w:top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812</w:t>
            </w:r>
          </w:p>
        </w:tc>
        <w:tc>
          <w:tcPr>
            <w:tcW w:w="830" w:type="pct"/>
            <w:tcBorders>
              <w:top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2,</w:t>
            </w:r>
            <w:r w:rsidR="00543323" w:rsidRPr="00A845B7">
              <w:rPr>
                <w:rFonts w:ascii="Arial" w:hAnsi="Arial" w:cs="Arial"/>
                <w:b/>
                <w:bCs/>
              </w:rPr>
              <w:t>252</w:t>
            </w:r>
          </w:p>
        </w:tc>
        <w:tc>
          <w:tcPr>
            <w:tcW w:w="735" w:type="pct"/>
            <w:tcBorders>
              <w:top w:val="single" w:sz="4" w:space="0" w:color="auto"/>
            </w:tcBorders>
          </w:tcPr>
          <w:p w:rsidR="00E0450C" w:rsidRPr="00A845B7" w:rsidRDefault="000943C0" w:rsidP="00E0450C">
            <w:pPr>
              <w:ind w:left="110" w:hanging="110"/>
              <w:jc w:val="right"/>
              <w:rPr>
                <w:rFonts w:ascii="Arial" w:hAnsi="Arial" w:cs="Arial"/>
                <w:b/>
                <w:bCs/>
                <w:highlight w:val="yellow"/>
              </w:rPr>
            </w:pPr>
            <w:r>
              <w:rPr>
                <w:rFonts w:ascii="Arial" w:hAnsi="Arial" w:cs="Arial"/>
                <w:b/>
                <w:bCs/>
              </w:rPr>
              <w:t>5</w:t>
            </w:r>
            <w:r w:rsidRPr="00A845B7">
              <w:rPr>
                <w:rFonts w:ascii="Arial" w:hAnsi="Arial" w:cs="Arial"/>
                <w:b/>
                <w:bCs/>
              </w:rPr>
              <w:t>1</w:t>
            </w:r>
          </w:p>
        </w:tc>
        <w:tc>
          <w:tcPr>
            <w:tcW w:w="735" w:type="pct"/>
            <w:tcBorders>
              <w:top w:val="single" w:sz="4" w:space="0" w:color="auto"/>
            </w:tcBorders>
          </w:tcPr>
          <w:p w:rsidR="00E0450C" w:rsidRPr="00C64809" w:rsidRDefault="00451BDE" w:rsidP="00E0450C">
            <w:pPr>
              <w:ind w:left="110" w:hanging="110"/>
              <w:jc w:val="right"/>
              <w:rPr>
                <w:rFonts w:ascii="Arial" w:hAnsi="Arial" w:cs="Arial"/>
                <w:b/>
                <w:bCs/>
              </w:rPr>
            </w:pPr>
            <w:r>
              <w:rPr>
                <w:rFonts w:ascii="Arial" w:hAnsi="Arial" w:cs="Arial"/>
                <w:b/>
              </w:rPr>
              <w:t>-</w:t>
            </w:r>
          </w:p>
        </w:tc>
      </w:tr>
      <w:tr w:rsidR="00E0450C" w:rsidRPr="00A845B7" w:rsidTr="00FF5257">
        <w:tc>
          <w:tcPr>
            <w:tcW w:w="1247" w:type="pct"/>
            <w:tcBorders>
              <w:top w:val="single" w:sz="4" w:space="0" w:color="auto"/>
            </w:tcBorders>
          </w:tcPr>
          <w:p w:rsidR="00E0450C" w:rsidRPr="00A845B7" w:rsidRDefault="00E0450C" w:rsidP="00E0450C">
            <w:pPr>
              <w:ind w:left="110" w:hanging="110"/>
              <w:jc w:val="left"/>
              <w:rPr>
                <w:rFonts w:ascii="Arial" w:hAnsi="Arial" w:cs="Arial"/>
              </w:rPr>
            </w:pPr>
            <w:r w:rsidRPr="00A845B7">
              <w:rPr>
                <w:rFonts w:ascii="Arial" w:hAnsi="Arial" w:cs="Arial"/>
              </w:rPr>
              <w:t>Castorama</w:t>
            </w:r>
            <w:r w:rsidRPr="00A845B7" w:rsidDel="00CC3AB5">
              <w:rPr>
                <w:rFonts w:ascii="Arial" w:hAnsi="Arial" w:cs="Arial"/>
              </w:rPr>
              <w:t xml:space="preserve"> </w:t>
            </w:r>
          </w:p>
        </w:tc>
        <w:tc>
          <w:tcPr>
            <w:tcW w:w="792" w:type="pct"/>
            <w:tcBorders>
              <w:top w:val="single" w:sz="4" w:space="0" w:color="auto"/>
            </w:tcBorders>
          </w:tcPr>
          <w:p w:rsidR="00E0450C" w:rsidRPr="00A845B7" w:rsidRDefault="00E0450C" w:rsidP="00E0450C">
            <w:pPr>
              <w:ind w:left="110" w:hanging="110"/>
              <w:jc w:val="right"/>
              <w:rPr>
                <w:rFonts w:ascii="Arial" w:hAnsi="Arial" w:cs="Arial"/>
              </w:rPr>
            </w:pPr>
            <w:r w:rsidRPr="00A845B7">
              <w:rPr>
                <w:rFonts w:ascii="Arial" w:hAnsi="Arial" w:cs="Arial"/>
              </w:rPr>
              <w:t>11,480</w:t>
            </w:r>
          </w:p>
        </w:tc>
        <w:tc>
          <w:tcPr>
            <w:tcW w:w="661" w:type="pct"/>
            <w:tcBorders>
              <w:top w:val="single" w:sz="4" w:space="0" w:color="auto"/>
            </w:tcBorders>
          </w:tcPr>
          <w:p w:rsidR="00E0450C" w:rsidRPr="00A845B7" w:rsidRDefault="00E0450C" w:rsidP="00E0450C">
            <w:pPr>
              <w:ind w:left="110" w:hanging="110"/>
              <w:jc w:val="right"/>
              <w:rPr>
                <w:rFonts w:ascii="Arial" w:hAnsi="Arial" w:cs="Arial"/>
              </w:rPr>
            </w:pPr>
            <w:r w:rsidRPr="00A845B7">
              <w:rPr>
                <w:rFonts w:ascii="Arial" w:hAnsi="Arial" w:cs="Arial"/>
              </w:rPr>
              <w:t>102</w:t>
            </w:r>
          </w:p>
        </w:tc>
        <w:tc>
          <w:tcPr>
            <w:tcW w:w="830" w:type="pct"/>
            <w:tcBorders>
              <w:top w:val="single" w:sz="4" w:space="0" w:color="auto"/>
            </w:tcBorders>
          </w:tcPr>
          <w:p w:rsidR="00E0450C" w:rsidRPr="00A845B7" w:rsidRDefault="00E0450C" w:rsidP="00E0450C">
            <w:pPr>
              <w:ind w:left="110" w:hanging="110"/>
              <w:jc w:val="right"/>
              <w:rPr>
                <w:rFonts w:ascii="Arial" w:hAnsi="Arial" w:cs="Arial"/>
              </w:rPr>
            </w:pPr>
            <w:r w:rsidRPr="00A845B7">
              <w:rPr>
                <w:rFonts w:ascii="Arial" w:hAnsi="Arial" w:cs="Arial"/>
              </w:rPr>
              <w:t>1,</w:t>
            </w:r>
            <w:r w:rsidR="00543323" w:rsidRPr="00A845B7">
              <w:rPr>
                <w:rFonts w:ascii="Arial" w:hAnsi="Arial" w:cs="Arial"/>
              </w:rPr>
              <w:t>248</w:t>
            </w:r>
          </w:p>
        </w:tc>
        <w:tc>
          <w:tcPr>
            <w:tcW w:w="735" w:type="pct"/>
            <w:tcBorders>
              <w:top w:val="single" w:sz="4" w:space="0" w:color="auto"/>
            </w:tcBorders>
          </w:tcPr>
          <w:p w:rsidR="00E0450C" w:rsidRPr="00A845B7" w:rsidRDefault="00E0450C" w:rsidP="00E0450C">
            <w:pPr>
              <w:ind w:left="110" w:hanging="110"/>
              <w:jc w:val="right"/>
              <w:rPr>
                <w:rFonts w:ascii="Arial" w:hAnsi="Arial" w:cs="Arial"/>
                <w:highlight w:val="yellow"/>
              </w:rPr>
            </w:pPr>
            <w:r w:rsidRPr="00A845B7">
              <w:rPr>
                <w:rFonts w:ascii="Arial" w:hAnsi="Arial" w:cs="Arial"/>
              </w:rPr>
              <w:t>-</w:t>
            </w:r>
          </w:p>
        </w:tc>
        <w:tc>
          <w:tcPr>
            <w:tcW w:w="735" w:type="pct"/>
            <w:tcBorders>
              <w:top w:val="single" w:sz="4" w:space="0" w:color="auto"/>
            </w:tcBorders>
          </w:tcPr>
          <w:p w:rsidR="00E0450C" w:rsidRPr="00A845B7" w:rsidRDefault="00E0450C" w:rsidP="00E0450C">
            <w:pPr>
              <w:ind w:left="110" w:hanging="110"/>
              <w:jc w:val="right"/>
              <w:rPr>
                <w:rFonts w:ascii="Arial" w:hAnsi="Arial" w:cs="Arial"/>
              </w:rPr>
            </w:pPr>
            <w:r w:rsidRPr="00A845B7">
              <w:rPr>
                <w:rFonts w:ascii="Arial" w:hAnsi="Arial" w:cs="Arial"/>
              </w:rPr>
              <w:t>+</w:t>
            </w:r>
            <w:r w:rsidR="00B26D8F" w:rsidRPr="00A845B7">
              <w:rPr>
                <w:rFonts w:ascii="Arial" w:hAnsi="Arial" w:cs="Arial"/>
              </w:rPr>
              <w:t>1</w:t>
            </w:r>
            <w:r w:rsidRPr="00A845B7">
              <w:rPr>
                <w:rFonts w:ascii="Arial" w:hAnsi="Arial" w:cs="Arial"/>
              </w:rPr>
              <w:t>%</w:t>
            </w:r>
          </w:p>
        </w:tc>
      </w:tr>
      <w:tr w:rsidR="00E0450C" w:rsidRPr="00A845B7" w:rsidTr="00FF5257">
        <w:tc>
          <w:tcPr>
            <w:tcW w:w="1247" w:type="pct"/>
            <w:tcBorders>
              <w:bottom w:val="single" w:sz="4" w:space="0" w:color="auto"/>
            </w:tcBorders>
          </w:tcPr>
          <w:p w:rsidR="00E0450C" w:rsidRPr="00A845B7" w:rsidRDefault="00E0450C" w:rsidP="00E0450C">
            <w:pPr>
              <w:ind w:left="110" w:hanging="110"/>
              <w:jc w:val="left"/>
              <w:rPr>
                <w:rFonts w:ascii="Arial" w:hAnsi="Arial" w:cs="Arial"/>
              </w:rPr>
            </w:pPr>
            <w:r w:rsidRPr="00A845B7">
              <w:rPr>
                <w:rFonts w:ascii="Arial" w:hAnsi="Arial" w:cs="Arial"/>
              </w:rPr>
              <w:t>Brico Dépôt</w:t>
            </w:r>
          </w:p>
        </w:tc>
        <w:tc>
          <w:tcPr>
            <w:tcW w:w="792" w:type="pct"/>
            <w:tcBorders>
              <w:bottom w:val="single" w:sz="4" w:space="0" w:color="auto"/>
            </w:tcBorders>
          </w:tcPr>
          <w:p w:rsidR="00E0450C" w:rsidRPr="00A845B7" w:rsidRDefault="00E0450C" w:rsidP="00E0450C">
            <w:pPr>
              <w:ind w:left="110" w:hanging="110"/>
              <w:jc w:val="right"/>
              <w:rPr>
                <w:rFonts w:ascii="Arial" w:hAnsi="Arial" w:cs="Arial"/>
              </w:rPr>
            </w:pPr>
            <w:r w:rsidRPr="00A845B7">
              <w:rPr>
                <w:rFonts w:ascii="Arial" w:hAnsi="Arial" w:cs="Arial"/>
              </w:rPr>
              <w:t>7,242</w:t>
            </w:r>
          </w:p>
        </w:tc>
        <w:tc>
          <w:tcPr>
            <w:tcW w:w="661" w:type="pct"/>
            <w:tcBorders>
              <w:bottom w:val="single" w:sz="4" w:space="0" w:color="auto"/>
            </w:tcBorders>
          </w:tcPr>
          <w:p w:rsidR="00E0450C" w:rsidRPr="00A845B7" w:rsidRDefault="00E0450C" w:rsidP="00E0450C">
            <w:pPr>
              <w:ind w:left="110" w:hanging="110"/>
              <w:jc w:val="right"/>
              <w:rPr>
                <w:rFonts w:ascii="Arial" w:hAnsi="Arial" w:cs="Arial"/>
              </w:rPr>
            </w:pPr>
            <w:r w:rsidRPr="00A845B7">
              <w:rPr>
                <w:rFonts w:ascii="Arial" w:hAnsi="Arial" w:cs="Arial"/>
              </w:rPr>
              <w:t>119</w:t>
            </w:r>
          </w:p>
        </w:tc>
        <w:tc>
          <w:tcPr>
            <w:tcW w:w="830" w:type="pct"/>
            <w:tcBorders>
              <w:bottom w:val="single" w:sz="4" w:space="0" w:color="auto"/>
            </w:tcBorders>
          </w:tcPr>
          <w:p w:rsidR="00E0450C" w:rsidRPr="00A845B7" w:rsidRDefault="00543323" w:rsidP="00E0450C">
            <w:pPr>
              <w:ind w:left="110" w:hanging="110"/>
              <w:jc w:val="right"/>
              <w:rPr>
                <w:rFonts w:ascii="Arial" w:hAnsi="Arial" w:cs="Arial"/>
              </w:rPr>
            </w:pPr>
            <w:r w:rsidRPr="00A845B7">
              <w:rPr>
                <w:rFonts w:ascii="Arial" w:hAnsi="Arial" w:cs="Arial"/>
              </w:rPr>
              <w:t>831</w:t>
            </w:r>
          </w:p>
        </w:tc>
        <w:tc>
          <w:tcPr>
            <w:tcW w:w="735" w:type="pct"/>
            <w:tcBorders>
              <w:bottom w:val="single" w:sz="4" w:space="0" w:color="auto"/>
            </w:tcBorders>
          </w:tcPr>
          <w:p w:rsidR="00E0450C" w:rsidRPr="00A845B7" w:rsidRDefault="00E0450C" w:rsidP="00E0450C">
            <w:pPr>
              <w:ind w:left="110" w:hanging="110"/>
              <w:jc w:val="right"/>
              <w:rPr>
                <w:rFonts w:ascii="Arial" w:hAnsi="Arial" w:cs="Arial"/>
                <w:highlight w:val="yellow"/>
              </w:rPr>
            </w:pPr>
            <w:r w:rsidRPr="00A845B7">
              <w:rPr>
                <w:rFonts w:ascii="Arial" w:hAnsi="Arial" w:cs="Arial"/>
              </w:rPr>
              <w:t>2</w:t>
            </w:r>
          </w:p>
        </w:tc>
        <w:tc>
          <w:tcPr>
            <w:tcW w:w="735" w:type="pct"/>
            <w:tcBorders>
              <w:bottom w:val="single" w:sz="4" w:space="0" w:color="auto"/>
            </w:tcBorders>
          </w:tcPr>
          <w:p w:rsidR="00E0450C" w:rsidRPr="00A845B7" w:rsidRDefault="00E0450C" w:rsidP="00E0450C">
            <w:pPr>
              <w:ind w:left="110" w:hanging="110"/>
              <w:jc w:val="right"/>
              <w:rPr>
                <w:rFonts w:ascii="Arial" w:hAnsi="Arial" w:cs="Arial"/>
              </w:rPr>
            </w:pPr>
            <w:r w:rsidRPr="00A845B7">
              <w:rPr>
                <w:rFonts w:ascii="Arial" w:hAnsi="Arial" w:cs="Arial"/>
              </w:rPr>
              <w:t>+1%</w:t>
            </w:r>
          </w:p>
        </w:tc>
      </w:tr>
      <w:tr w:rsidR="00E0450C" w:rsidRPr="00A845B7" w:rsidTr="00925EFB">
        <w:tc>
          <w:tcPr>
            <w:tcW w:w="1247" w:type="pct"/>
            <w:tcBorders>
              <w:top w:val="single" w:sz="4" w:space="0" w:color="auto"/>
              <w:bottom w:val="single" w:sz="4" w:space="0" w:color="auto"/>
            </w:tcBorders>
          </w:tcPr>
          <w:p w:rsidR="00E0450C" w:rsidRPr="00A845B7" w:rsidRDefault="00E0450C" w:rsidP="00E0450C">
            <w:pPr>
              <w:ind w:left="110" w:hanging="110"/>
              <w:jc w:val="left"/>
              <w:rPr>
                <w:rFonts w:ascii="Arial" w:hAnsi="Arial" w:cs="Arial"/>
                <w:b/>
                <w:bCs/>
              </w:rPr>
            </w:pPr>
            <w:r w:rsidRPr="00A845B7">
              <w:rPr>
                <w:rFonts w:ascii="Arial" w:hAnsi="Arial" w:cs="Arial"/>
                <w:b/>
                <w:bCs/>
              </w:rPr>
              <w:t>France</w:t>
            </w:r>
          </w:p>
        </w:tc>
        <w:tc>
          <w:tcPr>
            <w:tcW w:w="792" w:type="pct"/>
            <w:tcBorders>
              <w:top w:val="single" w:sz="4" w:space="0" w:color="auto"/>
              <w:bottom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18,722</w:t>
            </w:r>
          </w:p>
        </w:tc>
        <w:tc>
          <w:tcPr>
            <w:tcW w:w="661" w:type="pct"/>
            <w:tcBorders>
              <w:top w:val="single" w:sz="4" w:space="0" w:color="auto"/>
              <w:bottom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221</w:t>
            </w:r>
          </w:p>
        </w:tc>
        <w:tc>
          <w:tcPr>
            <w:tcW w:w="830" w:type="pct"/>
            <w:tcBorders>
              <w:top w:val="single" w:sz="4" w:space="0" w:color="auto"/>
              <w:bottom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2,</w:t>
            </w:r>
            <w:r w:rsidR="00543323" w:rsidRPr="00A845B7">
              <w:rPr>
                <w:rFonts w:ascii="Arial" w:hAnsi="Arial" w:cs="Arial"/>
                <w:b/>
                <w:bCs/>
              </w:rPr>
              <w:t>079</w:t>
            </w:r>
          </w:p>
        </w:tc>
        <w:tc>
          <w:tcPr>
            <w:tcW w:w="735" w:type="pct"/>
            <w:tcBorders>
              <w:top w:val="single" w:sz="4" w:space="0" w:color="auto"/>
              <w:bottom w:val="single" w:sz="4" w:space="0" w:color="auto"/>
            </w:tcBorders>
          </w:tcPr>
          <w:p w:rsidR="00E0450C" w:rsidRPr="00A845B7" w:rsidRDefault="00E0450C" w:rsidP="00E0450C">
            <w:pPr>
              <w:ind w:left="110" w:hanging="110"/>
              <w:jc w:val="right"/>
              <w:rPr>
                <w:rFonts w:ascii="Arial" w:hAnsi="Arial" w:cs="Arial"/>
                <w:b/>
                <w:bCs/>
                <w:highlight w:val="yellow"/>
              </w:rPr>
            </w:pPr>
            <w:r w:rsidRPr="00A845B7">
              <w:rPr>
                <w:rFonts w:ascii="Arial" w:hAnsi="Arial" w:cs="Arial"/>
                <w:b/>
                <w:bCs/>
              </w:rPr>
              <w:t>2</w:t>
            </w:r>
          </w:p>
        </w:tc>
        <w:tc>
          <w:tcPr>
            <w:tcW w:w="735" w:type="pct"/>
            <w:tcBorders>
              <w:top w:val="single" w:sz="4" w:space="0" w:color="auto"/>
              <w:bottom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w:t>
            </w:r>
            <w:r w:rsidR="00B26D8F" w:rsidRPr="00A845B7">
              <w:rPr>
                <w:rFonts w:ascii="Arial" w:hAnsi="Arial" w:cs="Arial"/>
                <w:b/>
                <w:bCs/>
              </w:rPr>
              <w:t>1</w:t>
            </w:r>
            <w:r w:rsidRPr="00A845B7">
              <w:rPr>
                <w:rFonts w:ascii="Arial" w:hAnsi="Arial" w:cs="Arial"/>
                <w:b/>
                <w:bCs/>
              </w:rPr>
              <w:t>%</w:t>
            </w:r>
          </w:p>
        </w:tc>
      </w:tr>
      <w:tr w:rsidR="00E0450C" w:rsidRPr="00A845B7" w:rsidTr="00925EFB">
        <w:tc>
          <w:tcPr>
            <w:tcW w:w="1247" w:type="pct"/>
            <w:tcBorders>
              <w:top w:val="single" w:sz="4" w:space="0" w:color="auto"/>
            </w:tcBorders>
          </w:tcPr>
          <w:p w:rsidR="00E0450C" w:rsidRPr="00A845B7" w:rsidRDefault="00E0450C" w:rsidP="00E0450C">
            <w:pPr>
              <w:spacing w:before="60"/>
              <w:ind w:left="110" w:hanging="110"/>
              <w:jc w:val="left"/>
              <w:rPr>
                <w:rFonts w:ascii="Arial" w:hAnsi="Arial" w:cs="Arial"/>
              </w:rPr>
            </w:pPr>
            <w:r w:rsidRPr="00A845B7">
              <w:rPr>
                <w:rFonts w:ascii="Arial" w:hAnsi="Arial" w:cs="Arial"/>
              </w:rPr>
              <w:t>Poland</w:t>
            </w:r>
          </w:p>
        </w:tc>
        <w:tc>
          <w:tcPr>
            <w:tcW w:w="792" w:type="pct"/>
            <w:tcBorders>
              <w:top w:val="single" w:sz="4" w:space="0" w:color="auto"/>
            </w:tcBorders>
          </w:tcPr>
          <w:p w:rsidR="00E0450C" w:rsidRPr="00A845B7" w:rsidRDefault="00E0450C" w:rsidP="00E0450C">
            <w:pPr>
              <w:spacing w:before="60"/>
              <w:ind w:left="110" w:hanging="110"/>
              <w:jc w:val="right"/>
              <w:rPr>
                <w:rFonts w:ascii="Arial" w:hAnsi="Arial" w:cs="Arial"/>
              </w:rPr>
            </w:pPr>
            <w:r w:rsidRPr="00A845B7">
              <w:rPr>
                <w:rFonts w:ascii="Arial" w:hAnsi="Arial" w:cs="Arial"/>
              </w:rPr>
              <w:t>11,404</w:t>
            </w:r>
          </w:p>
        </w:tc>
        <w:tc>
          <w:tcPr>
            <w:tcW w:w="661" w:type="pct"/>
            <w:tcBorders>
              <w:top w:val="single" w:sz="4" w:space="0" w:color="auto"/>
            </w:tcBorders>
          </w:tcPr>
          <w:p w:rsidR="00E0450C" w:rsidRPr="00A845B7" w:rsidRDefault="00E0450C" w:rsidP="00E0450C">
            <w:pPr>
              <w:spacing w:before="60"/>
              <w:ind w:left="110" w:hanging="110"/>
              <w:jc w:val="right"/>
              <w:rPr>
                <w:rFonts w:ascii="Arial" w:hAnsi="Arial" w:cs="Arial"/>
              </w:rPr>
            </w:pPr>
            <w:r w:rsidRPr="00A845B7">
              <w:rPr>
                <w:rFonts w:ascii="Arial" w:hAnsi="Arial" w:cs="Arial"/>
              </w:rPr>
              <w:t>75</w:t>
            </w:r>
          </w:p>
        </w:tc>
        <w:tc>
          <w:tcPr>
            <w:tcW w:w="830" w:type="pct"/>
            <w:tcBorders>
              <w:top w:val="single" w:sz="4" w:space="0" w:color="auto"/>
            </w:tcBorders>
          </w:tcPr>
          <w:p w:rsidR="00E0450C" w:rsidRPr="00A845B7" w:rsidRDefault="00E0450C" w:rsidP="00E0450C">
            <w:pPr>
              <w:spacing w:before="60"/>
              <w:ind w:left="110" w:hanging="110"/>
              <w:jc w:val="right"/>
              <w:rPr>
                <w:rFonts w:ascii="Arial" w:hAnsi="Arial" w:cs="Arial"/>
              </w:rPr>
            </w:pPr>
            <w:r w:rsidRPr="00A845B7">
              <w:rPr>
                <w:rFonts w:ascii="Arial" w:hAnsi="Arial" w:cs="Arial"/>
              </w:rPr>
              <w:t>635</w:t>
            </w:r>
          </w:p>
        </w:tc>
        <w:tc>
          <w:tcPr>
            <w:tcW w:w="735" w:type="pct"/>
            <w:tcBorders>
              <w:top w:val="single" w:sz="4" w:space="0" w:color="auto"/>
            </w:tcBorders>
          </w:tcPr>
          <w:p w:rsidR="00E0450C" w:rsidRPr="00A845B7" w:rsidRDefault="00E0450C" w:rsidP="00E0450C">
            <w:pPr>
              <w:spacing w:before="60"/>
              <w:ind w:left="110" w:hanging="110"/>
              <w:jc w:val="right"/>
              <w:rPr>
                <w:rFonts w:ascii="Arial" w:hAnsi="Arial" w:cs="Arial"/>
                <w:highlight w:val="yellow"/>
              </w:rPr>
            </w:pPr>
            <w:r w:rsidRPr="00A845B7">
              <w:rPr>
                <w:rFonts w:ascii="Arial" w:hAnsi="Arial" w:cs="Arial"/>
              </w:rPr>
              <w:t>1</w:t>
            </w:r>
          </w:p>
        </w:tc>
        <w:tc>
          <w:tcPr>
            <w:tcW w:w="735" w:type="pct"/>
            <w:tcBorders>
              <w:top w:val="single" w:sz="4" w:space="0" w:color="auto"/>
            </w:tcBorders>
          </w:tcPr>
          <w:p w:rsidR="00E0450C" w:rsidRPr="00A845B7" w:rsidRDefault="00E0450C" w:rsidP="00E0450C">
            <w:pPr>
              <w:spacing w:before="60"/>
              <w:ind w:left="110" w:hanging="110"/>
              <w:jc w:val="right"/>
              <w:rPr>
                <w:rFonts w:ascii="Arial" w:hAnsi="Arial" w:cs="Arial"/>
              </w:rPr>
            </w:pPr>
            <w:r w:rsidRPr="00A845B7">
              <w:rPr>
                <w:rFonts w:ascii="Arial" w:hAnsi="Arial" w:cs="Arial"/>
              </w:rPr>
              <w:t>+2%</w:t>
            </w:r>
          </w:p>
        </w:tc>
      </w:tr>
      <w:tr w:rsidR="00E0450C" w:rsidRPr="00A845B7" w:rsidTr="00FD5A2D">
        <w:tc>
          <w:tcPr>
            <w:tcW w:w="1247" w:type="pct"/>
          </w:tcPr>
          <w:p w:rsidR="00E0450C" w:rsidRPr="00A845B7" w:rsidRDefault="00E0450C" w:rsidP="00E0450C">
            <w:pPr>
              <w:ind w:left="110" w:hanging="110"/>
              <w:jc w:val="left"/>
              <w:rPr>
                <w:rFonts w:ascii="Arial" w:hAnsi="Arial" w:cs="Arial"/>
                <w:lang w:val="it-IT"/>
              </w:rPr>
            </w:pPr>
            <w:r w:rsidRPr="00A845B7">
              <w:rPr>
                <w:rFonts w:ascii="Arial" w:hAnsi="Arial" w:cs="Arial"/>
                <w:lang w:val="it-IT"/>
              </w:rPr>
              <w:t>Portugal</w:t>
            </w:r>
          </w:p>
        </w:tc>
        <w:tc>
          <w:tcPr>
            <w:tcW w:w="792" w:type="pct"/>
          </w:tcPr>
          <w:p w:rsidR="00E0450C" w:rsidRPr="00A845B7" w:rsidRDefault="00E0450C" w:rsidP="00E0450C">
            <w:pPr>
              <w:ind w:left="110" w:hanging="110"/>
              <w:jc w:val="right"/>
              <w:rPr>
                <w:rFonts w:ascii="Arial" w:hAnsi="Arial" w:cs="Arial"/>
              </w:rPr>
            </w:pPr>
            <w:r w:rsidRPr="00A845B7">
              <w:rPr>
                <w:rFonts w:ascii="Arial" w:hAnsi="Arial" w:cs="Arial"/>
              </w:rPr>
              <w:t>155</w:t>
            </w:r>
          </w:p>
        </w:tc>
        <w:tc>
          <w:tcPr>
            <w:tcW w:w="661" w:type="pct"/>
          </w:tcPr>
          <w:p w:rsidR="00E0450C" w:rsidRPr="00A845B7" w:rsidRDefault="00E0450C" w:rsidP="00E0450C">
            <w:pPr>
              <w:ind w:left="110" w:hanging="110"/>
              <w:jc w:val="right"/>
              <w:rPr>
                <w:rFonts w:ascii="Arial" w:hAnsi="Arial" w:cs="Arial"/>
              </w:rPr>
            </w:pPr>
            <w:r w:rsidRPr="00A845B7">
              <w:rPr>
                <w:rFonts w:ascii="Arial" w:hAnsi="Arial" w:cs="Arial"/>
              </w:rPr>
              <w:t>3</w:t>
            </w:r>
          </w:p>
        </w:tc>
        <w:tc>
          <w:tcPr>
            <w:tcW w:w="830" w:type="pct"/>
          </w:tcPr>
          <w:p w:rsidR="00E0450C" w:rsidRPr="00A845B7" w:rsidRDefault="00E0450C" w:rsidP="00E0450C">
            <w:pPr>
              <w:ind w:left="110" w:hanging="110"/>
              <w:jc w:val="right"/>
              <w:rPr>
                <w:rFonts w:ascii="Arial" w:hAnsi="Arial" w:cs="Arial"/>
              </w:rPr>
            </w:pPr>
            <w:r w:rsidRPr="00A845B7">
              <w:rPr>
                <w:rFonts w:ascii="Arial" w:hAnsi="Arial" w:cs="Arial"/>
              </w:rPr>
              <w:t>20</w:t>
            </w:r>
          </w:p>
        </w:tc>
        <w:tc>
          <w:tcPr>
            <w:tcW w:w="735" w:type="pct"/>
          </w:tcPr>
          <w:p w:rsidR="00E0450C" w:rsidRPr="00A845B7" w:rsidRDefault="00E0450C" w:rsidP="00E0450C">
            <w:pPr>
              <w:ind w:left="110" w:hanging="110"/>
              <w:jc w:val="right"/>
              <w:rPr>
                <w:rFonts w:ascii="Arial" w:hAnsi="Arial" w:cs="Arial"/>
                <w:highlight w:val="yellow"/>
              </w:rPr>
            </w:pPr>
            <w:r w:rsidRPr="00A845B7">
              <w:rPr>
                <w:rFonts w:ascii="Arial" w:hAnsi="Arial" w:cs="Arial"/>
              </w:rPr>
              <w:t>-</w:t>
            </w:r>
          </w:p>
        </w:tc>
        <w:tc>
          <w:tcPr>
            <w:tcW w:w="735" w:type="pct"/>
          </w:tcPr>
          <w:p w:rsidR="00E0450C" w:rsidRPr="00A845B7" w:rsidRDefault="00E0450C" w:rsidP="00E0450C">
            <w:pPr>
              <w:ind w:left="110" w:hanging="110"/>
              <w:jc w:val="right"/>
              <w:rPr>
                <w:rFonts w:ascii="Arial" w:hAnsi="Arial" w:cs="Arial"/>
              </w:rPr>
            </w:pPr>
            <w:r w:rsidRPr="00A845B7">
              <w:rPr>
                <w:rFonts w:ascii="Arial" w:hAnsi="Arial" w:cs="Arial"/>
                <w:lang w:val="it-IT"/>
              </w:rPr>
              <w:t>-</w:t>
            </w:r>
          </w:p>
        </w:tc>
      </w:tr>
      <w:tr w:rsidR="00E0450C" w:rsidRPr="00A845B7" w:rsidTr="00FD5A2D">
        <w:tc>
          <w:tcPr>
            <w:tcW w:w="1247" w:type="pct"/>
          </w:tcPr>
          <w:p w:rsidR="00E0450C" w:rsidRPr="00A845B7" w:rsidRDefault="00E0450C" w:rsidP="00E0450C">
            <w:pPr>
              <w:ind w:left="110" w:hanging="110"/>
              <w:jc w:val="left"/>
              <w:rPr>
                <w:rFonts w:ascii="Arial" w:hAnsi="Arial" w:cs="Arial"/>
                <w:lang w:val="it-IT"/>
              </w:rPr>
            </w:pPr>
            <w:r w:rsidRPr="00A845B7">
              <w:rPr>
                <w:rFonts w:ascii="Arial" w:hAnsi="Arial" w:cs="Arial"/>
                <w:lang w:val="it-IT"/>
              </w:rPr>
              <w:t>Romania</w:t>
            </w:r>
          </w:p>
        </w:tc>
        <w:tc>
          <w:tcPr>
            <w:tcW w:w="792" w:type="pct"/>
          </w:tcPr>
          <w:p w:rsidR="00E0450C" w:rsidRPr="00A845B7" w:rsidRDefault="00E0450C" w:rsidP="00E0450C">
            <w:pPr>
              <w:ind w:left="110" w:hanging="110"/>
              <w:jc w:val="right"/>
              <w:rPr>
                <w:rFonts w:ascii="Arial" w:hAnsi="Arial" w:cs="Arial"/>
              </w:rPr>
            </w:pPr>
            <w:r w:rsidRPr="00A845B7">
              <w:rPr>
                <w:rFonts w:ascii="Arial" w:hAnsi="Arial" w:cs="Arial"/>
              </w:rPr>
              <w:t>816</w:t>
            </w:r>
          </w:p>
        </w:tc>
        <w:tc>
          <w:tcPr>
            <w:tcW w:w="661" w:type="pct"/>
          </w:tcPr>
          <w:p w:rsidR="00E0450C" w:rsidRPr="00A845B7" w:rsidRDefault="00E0450C" w:rsidP="00E0450C">
            <w:pPr>
              <w:ind w:left="110" w:hanging="110"/>
              <w:jc w:val="right"/>
              <w:rPr>
                <w:rFonts w:ascii="Arial" w:hAnsi="Arial" w:cs="Arial"/>
              </w:rPr>
            </w:pPr>
            <w:r w:rsidRPr="00A845B7">
              <w:rPr>
                <w:rFonts w:ascii="Arial" w:hAnsi="Arial" w:cs="Arial"/>
              </w:rPr>
              <w:t>15</w:t>
            </w:r>
          </w:p>
        </w:tc>
        <w:tc>
          <w:tcPr>
            <w:tcW w:w="830" w:type="pct"/>
          </w:tcPr>
          <w:p w:rsidR="00E0450C" w:rsidRPr="00A845B7" w:rsidRDefault="00E0450C" w:rsidP="00E0450C">
            <w:pPr>
              <w:ind w:left="110" w:hanging="110"/>
              <w:jc w:val="right"/>
              <w:rPr>
                <w:rFonts w:ascii="Arial" w:hAnsi="Arial" w:cs="Arial"/>
              </w:rPr>
            </w:pPr>
            <w:r w:rsidRPr="00A845B7">
              <w:rPr>
                <w:rFonts w:ascii="Arial" w:hAnsi="Arial" w:cs="Arial"/>
              </w:rPr>
              <w:t>114</w:t>
            </w:r>
          </w:p>
        </w:tc>
        <w:tc>
          <w:tcPr>
            <w:tcW w:w="735" w:type="pct"/>
          </w:tcPr>
          <w:p w:rsidR="00E0450C" w:rsidRPr="00A845B7" w:rsidRDefault="00E0450C" w:rsidP="00E0450C">
            <w:pPr>
              <w:ind w:left="110" w:hanging="110"/>
              <w:jc w:val="right"/>
              <w:rPr>
                <w:rFonts w:ascii="Arial" w:hAnsi="Arial" w:cs="Arial"/>
                <w:highlight w:val="yellow"/>
              </w:rPr>
            </w:pPr>
            <w:r w:rsidRPr="00A845B7">
              <w:rPr>
                <w:rFonts w:ascii="Arial" w:hAnsi="Arial" w:cs="Arial"/>
              </w:rPr>
              <w:t>-</w:t>
            </w:r>
          </w:p>
        </w:tc>
        <w:tc>
          <w:tcPr>
            <w:tcW w:w="735" w:type="pct"/>
          </w:tcPr>
          <w:p w:rsidR="00E0450C" w:rsidRPr="00A845B7" w:rsidRDefault="00E0450C" w:rsidP="00E0450C">
            <w:pPr>
              <w:ind w:left="110" w:hanging="110"/>
              <w:jc w:val="right"/>
              <w:rPr>
                <w:rFonts w:ascii="Arial" w:hAnsi="Arial" w:cs="Arial"/>
              </w:rPr>
            </w:pPr>
            <w:r w:rsidRPr="00A845B7">
              <w:rPr>
                <w:rFonts w:ascii="Arial" w:hAnsi="Arial" w:cs="Arial"/>
              </w:rPr>
              <w:t>-</w:t>
            </w:r>
          </w:p>
        </w:tc>
      </w:tr>
      <w:tr w:rsidR="00E0450C" w:rsidRPr="00A845B7" w:rsidTr="00FD5A2D">
        <w:tc>
          <w:tcPr>
            <w:tcW w:w="1247" w:type="pct"/>
          </w:tcPr>
          <w:p w:rsidR="00E0450C" w:rsidRPr="00A845B7" w:rsidRDefault="00E0450C" w:rsidP="00E0450C">
            <w:pPr>
              <w:jc w:val="left"/>
              <w:rPr>
                <w:rFonts w:ascii="Arial" w:hAnsi="Arial" w:cs="Arial"/>
                <w:lang w:val="it-IT"/>
              </w:rPr>
            </w:pPr>
            <w:r w:rsidRPr="00A845B7">
              <w:rPr>
                <w:rFonts w:ascii="Arial" w:hAnsi="Arial" w:cs="Arial"/>
                <w:lang w:val="it-IT"/>
              </w:rPr>
              <w:t>Russia</w:t>
            </w:r>
          </w:p>
        </w:tc>
        <w:tc>
          <w:tcPr>
            <w:tcW w:w="792" w:type="pct"/>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3,</w:t>
            </w:r>
            <w:r w:rsidR="004B3EA9" w:rsidRPr="00A845B7">
              <w:rPr>
                <w:rFonts w:ascii="Arial" w:hAnsi="Arial" w:cs="Arial"/>
                <w:lang w:val="it-IT"/>
              </w:rPr>
              <w:t>17</w:t>
            </w:r>
            <w:r w:rsidR="004B3EA9">
              <w:rPr>
                <w:rFonts w:ascii="Arial" w:hAnsi="Arial" w:cs="Arial"/>
                <w:lang w:val="it-IT"/>
              </w:rPr>
              <w:t>7</w:t>
            </w:r>
          </w:p>
        </w:tc>
        <w:tc>
          <w:tcPr>
            <w:tcW w:w="661" w:type="pct"/>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21</w:t>
            </w:r>
          </w:p>
        </w:tc>
        <w:tc>
          <w:tcPr>
            <w:tcW w:w="830" w:type="pct"/>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209</w:t>
            </w:r>
          </w:p>
        </w:tc>
        <w:tc>
          <w:tcPr>
            <w:tcW w:w="735" w:type="pct"/>
          </w:tcPr>
          <w:p w:rsidR="00E0450C" w:rsidRPr="00A845B7" w:rsidRDefault="00E0450C" w:rsidP="00E0450C">
            <w:pPr>
              <w:ind w:left="110" w:hanging="110"/>
              <w:jc w:val="right"/>
              <w:rPr>
                <w:rFonts w:ascii="Arial" w:hAnsi="Arial" w:cs="Arial"/>
                <w:highlight w:val="yellow"/>
                <w:lang w:val="it-IT"/>
              </w:rPr>
            </w:pPr>
            <w:r w:rsidRPr="00A845B7">
              <w:rPr>
                <w:rFonts w:ascii="Arial" w:hAnsi="Arial" w:cs="Arial"/>
                <w:lang w:val="it-IT"/>
              </w:rPr>
              <w:t>-</w:t>
            </w:r>
          </w:p>
        </w:tc>
        <w:tc>
          <w:tcPr>
            <w:tcW w:w="735" w:type="pct"/>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w:t>
            </w:r>
          </w:p>
        </w:tc>
      </w:tr>
      <w:tr w:rsidR="00E0450C" w:rsidRPr="00A845B7" w:rsidTr="00FD5A2D">
        <w:tc>
          <w:tcPr>
            <w:tcW w:w="1247" w:type="pct"/>
          </w:tcPr>
          <w:p w:rsidR="00E0450C" w:rsidRPr="00A845B7" w:rsidRDefault="00E0450C" w:rsidP="00E0450C">
            <w:pPr>
              <w:jc w:val="left"/>
              <w:rPr>
                <w:rFonts w:ascii="Arial" w:hAnsi="Arial" w:cs="Arial"/>
                <w:lang w:val="it-IT"/>
              </w:rPr>
            </w:pPr>
            <w:r w:rsidRPr="00A845B7">
              <w:rPr>
                <w:rFonts w:ascii="Arial" w:hAnsi="Arial" w:cs="Arial"/>
                <w:lang w:val="it-IT"/>
              </w:rPr>
              <w:t>Spain</w:t>
            </w:r>
          </w:p>
        </w:tc>
        <w:tc>
          <w:tcPr>
            <w:tcW w:w="792" w:type="pct"/>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1,555</w:t>
            </w:r>
          </w:p>
        </w:tc>
        <w:tc>
          <w:tcPr>
            <w:tcW w:w="661" w:type="pct"/>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2</w:t>
            </w:r>
            <w:r w:rsidR="00C2543B" w:rsidRPr="00A845B7">
              <w:rPr>
                <w:rFonts w:ascii="Arial" w:hAnsi="Arial" w:cs="Arial"/>
                <w:lang w:val="it-IT"/>
              </w:rPr>
              <w:t>8</w:t>
            </w:r>
          </w:p>
        </w:tc>
        <w:tc>
          <w:tcPr>
            <w:tcW w:w="830" w:type="pct"/>
          </w:tcPr>
          <w:p w:rsidR="00E0450C" w:rsidRPr="00A845B7" w:rsidRDefault="00543323" w:rsidP="00E0450C">
            <w:pPr>
              <w:ind w:left="110" w:hanging="110"/>
              <w:jc w:val="right"/>
              <w:rPr>
                <w:rFonts w:ascii="Arial" w:hAnsi="Arial" w:cs="Arial"/>
                <w:lang w:val="it-IT"/>
              </w:rPr>
            </w:pPr>
            <w:r w:rsidRPr="00A845B7">
              <w:rPr>
                <w:rFonts w:ascii="Arial" w:hAnsi="Arial" w:cs="Arial"/>
                <w:lang w:val="it-IT"/>
              </w:rPr>
              <w:t>175</w:t>
            </w:r>
          </w:p>
        </w:tc>
        <w:tc>
          <w:tcPr>
            <w:tcW w:w="735" w:type="pct"/>
          </w:tcPr>
          <w:p w:rsidR="00E0450C" w:rsidRPr="00A845B7" w:rsidRDefault="00E0450C" w:rsidP="00E0450C">
            <w:pPr>
              <w:ind w:left="110" w:hanging="110"/>
              <w:jc w:val="right"/>
              <w:rPr>
                <w:rFonts w:ascii="Arial" w:hAnsi="Arial" w:cs="Arial"/>
                <w:highlight w:val="yellow"/>
                <w:lang w:val="it-IT"/>
              </w:rPr>
            </w:pPr>
            <w:r w:rsidRPr="00A845B7">
              <w:rPr>
                <w:rFonts w:ascii="Arial" w:hAnsi="Arial" w:cs="Arial"/>
                <w:lang w:val="it-IT"/>
              </w:rPr>
              <w:t>-</w:t>
            </w:r>
          </w:p>
        </w:tc>
        <w:tc>
          <w:tcPr>
            <w:tcW w:w="735" w:type="pct"/>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w:t>
            </w:r>
          </w:p>
        </w:tc>
      </w:tr>
      <w:tr w:rsidR="00E0450C" w:rsidRPr="00A845B7" w:rsidTr="00FD5A2D">
        <w:tc>
          <w:tcPr>
            <w:tcW w:w="1247" w:type="pct"/>
            <w:tcBorders>
              <w:bottom w:val="single" w:sz="4" w:space="0" w:color="auto"/>
            </w:tcBorders>
          </w:tcPr>
          <w:p w:rsidR="00E0450C" w:rsidRPr="00A845B7" w:rsidRDefault="00E0450C" w:rsidP="00E0450C">
            <w:pPr>
              <w:jc w:val="left"/>
              <w:rPr>
                <w:rFonts w:ascii="Arial" w:hAnsi="Arial" w:cs="Arial"/>
                <w:lang w:val="it-IT"/>
              </w:rPr>
            </w:pPr>
            <w:r w:rsidRPr="00A845B7">
              <w:rPr>
                <w:rFonts w:ascii="Arial" w:hAnsi="Arial" w:cs="Arial"/>
                <w:lang w:val="it-IT"/>
              </w:rPr>
              <w:t>Screwfix Germany</w:t>
            </w:r>
          </w:p>
        </w:tc>
        <w:tc>
          <w:tcPr>
            <w:tcW w:w="792" w:type="pct"/>
            <w:tcBorders>
              <w:bottom w:val="single" w:sz="4" w:space="0" w:color="auto"/>
            </w:tcBorders>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170</w:t>
            </w:r>
          </w:p>
        </w:tc>
        <w:tc>
          <w:tcPr>
            <w:tcW w:w="661" w:type="pct"/>
            <w:tcBorders>
              <w:bottom w:val="single" w:sz="4" w:space="0" w:color="auto"/>
            </w:tcBorders>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19</w:t>
            </w:r>
          </w:p>
        </w:tc>
        <w:tc>
          <w:tcPr>
            <w:tcW w:w="830" w:type="pct"/>
            <w:tcBorders>
              <w:bottom w:val="single" w:sz="4" w:space="0" w:color="auto"/>
            </w:tcBorders>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1</w:t>
            </w:r>
          </w:p>
        </w:tc>
        <w:tc>
          <w:tcPr>
            <w:tcW w:w="735" w:type="pct"/>
            <w:tcBorders>
              <w:bottom w:val="single" w:sz="4" w:space="0" w:color="auto"/>
            </w:tcBorders>
          </w:tcPr>
          <w:p w:rsidR="00E0450C" w:rsidRPr="00A845B7" w:rsidRDefault="00E0450C" w:rsidP="00E0450C">
            <w:pPr>
              <w:ind w:left="110" w:hanging="110"/>
              <w:jc w:val="right"/>
              <w:rPr>
                <w:rFonts w:ascii="Arial" w:hAnsi="Arial" w:cs="Arial"/>
                <w:highlight w:val="yellow"/>
                <w:lang w:val="it-IT"/>
              </w:rPr>
            </w:pPr>
            <w:r w:rsidRPr="00A845B7">
              <w:rPr>
                <w:rFonts w:ascii="Arial" w:hAnsi="Arial" w:cs="Arial"/>
                <w:lang w:val="it-IT"/>
              </w:rPr>
              <w:t>-</w:t>
            </w:r>
          </w:p>
        </w:tc>
        <w:tc>
          <w:tcPr>
            <w:tcW w:w="735" w:type="pct"/>
            <w:tcBorders>
              <w:bottom w:val="single" w:sz="4" w:space="0" w:color="auto"/>
            </w:tcBorders>
          </w:tcPr>
          <w:p w:rsidR="00E0450C" w:rsidRPr="00A845B7" w:rsidRDefault="00E0450C" w:rsidP="00E0450C">
            <w:pPr>
              <w:ind w:left="110" w:hanging="110"/>
              <w:jc w:val="right"/>
              <w:rPr>
                <w:rFonts w:ascii="Arial" w:hAnsi="Arial" w:cs="Arial"/>
                <w:lang w:val="it-IT"/>
              </w:rPr>
            </w:pPr>
            <w:r w:rsidRPr="00A845B7">
              <w:rPr>
                <w:rFonts w:ascii="Arial" w:hAnsi="Arial" w:cs="Arial"/>
                <w:lang w:val="it-IT"/>
              </w:rPr>
              <w:t>-</w:t>
            </w:r>
          </w:p>
        </w:tc>
      </w:tr>
      <w:tr w:rsidR="00E0450C" w:rsidRPr="00A845B7" w:rsidTr="00FD5A2D">
        <w:tc>
          <w:tcPr>
            <w:tcW w:w="1247" w:type="pct"/>
            <w:tcBorders>
              <w:top w:val="single" w:sz="4" w:space="0" w:color="auto"/>
              <w:bottom w:val="single" w:sz="4" w:space="0" w:color="auto"/>
            </w:tcBorders>
          </w:tcPr>
          <w:p w:rsidR="00E0450C" w:rsidRPr="00A845B7" w:rsidRDefault="00E0450C" w:rsidP="00E0450C">
            <w:pPr>
              <w:jc w:val="left"/>
              <w:rPr>
                <w:rFonts w:ascii="Arial" w:hAnsi="Arial" w:cs="Arial"/>
                <w:b/>
                <w:bCs/>
              </w:rPr>
            </w:pPr>
            <w:r w:rsidRPr="00A845B7">
              <w:rPr>
                <w:rFonts w:ascii="Arial" w:hAnsi="Arial" w:cs="Arial"/>
                <w:b/>
                <w:bCs/>
              </w:rPr>
              <w:t>Other International</w:t>
            </w:r>
          </w:p>
        </w:tc>
        <w:tc>
          <w:tcPr>
            <w:tcW w:w="792" w:type="pct"/>
            <w:tcBorders>
              <w:top w:val="single" w:sz="4" w:space="0" w:color="auto"/>
              <w:bottom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17,</w:t>
            </w:r>
            <w:r w:rsidR="004B3EA9" w:rsidRPr="00A845B7">
              <w:rPr>
                <w:rFonts w:ascii="Arial" w:hAnsi="Arial" w:cs="Arial"/>
                <w:b/>
                <w:bCs/>
              </w:rPr>
              <w:t>27</w:t>
            </w:r>
            <w:r w:rsidR="004B3EA9">
              <w:rPr>
                <w:rFonts w:ascii="Arial" w:hAnsi="Arial" w:cs="Arial"/>
                <w:b/>
                <w:bCs/>
              </w:rPr>
              <w:t>7</w:t>
            </w:r>
          </w:p>
        </w:tc>
        <w:tc>
          <w:tcPr>
            <w:tcW w:w="661" w:type="pct"/>
            <w:tcBorders>
              <w:top w:val="single" w:sz="4" w:space="0" w:color="auto"/>
              <w:bottom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16</w:t>
            </w:r>
            <w:r w:rsidR="00C2543B" w:rsidRPr="00A845B7">
              <w:rPr>
                <w:rFonts w:ascii="Arial" w:hAnsi="Arial" w:cs="Arial"/>
                <w:b/>
                <w:bCs/>
              </w:rPr>
              <w:t>1</w:t>
            </w:r>
          </w:p>
        </w:tc>
        <w:tc>
          <w:tcPr>
            <w:tcW w:w="830" w:type="pct"/>
            <w:tcBorders>
              <w:top w:val="single" w:sz="4" w:space="0" w:color="auto"/>
              <w:bottom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1,</w:t>
            </w:r>
            <w:r w:rsidR="00543323" w:rsidRPr="00A845B7">
              <w:rPr>
                <w:rFonts w:ascii="Arial" w:hAnsi="Arial" w:cs="Arial"/>
                <w:b/>
                <w:bCs/>
              </w:rPr>
              <w:t>154</w:t>
            </w:r>
          </w:p>
        </w:tc>
        <w:tc>
          <w:tcPr>
            <w:tcW w:w="735" w:type="pct"/>
            <w:tcBorders>
              <w:top w:val="single" w:sz="4" w:space="0" w:color="auto"/>
              <w:bottom w:val="single" w:sz="4" w:space="0" w:color="auto"/>
            </w:tcBorders>
          </w:tcPr>
          <w:p w:rsidR="00E0450C" w:rsidRPr="00A845B7" w:rsidRDefault="00E0450C" w:rsidP="00E0450C">
            <w:pPr>
              <w:ind w:left="110" w:hanging="110"/>
              <w:jc w:val="right"/>
              <w:rPr>
                <w:rFonts w:ascii="Arial" w:hAnsi="Arial" w:cs="Arial"/>
                <w:b/>
                <w:bCs/>
                <w:highlight w:val="yellow"/>
              </w:rPr>
            </w:pPr>
            <w:r w:rsidRPr="00A845B7">
              <w:rPr>
                <w:rFonts w:ascii="Arial" w:hAnsi="Arial" w:cs="Arial"/>
                <w:b/>
                <w:bCs/>
              </w:rPr>
              <w:t>1</w:t>
            </w:r>
          </w:p>
        </w:tc>
        <w:tc>
          <w:tcPr>
            <w:tcW w:w="735" w:type="pct"/>
            <w:tcBorders>
              <w:top w:val="single" w:sz="4" w:space="0" w:color="auto"/>
              <w:bottom w:val="single" w:sz="4" w:space="0" w:color="auto"/>
            </w:tcBorders>
          </w:tcPr>
          <w:p w:rsidR="00E0450C" w:rsidRPr="00A845B7" w:rsidRDefault="00E0450C" w:rsidP="00E0450C">
            <w:pPr>
              <w:ind w:left="110" w:hanging="110"/>
              <w:jc w:val="right"/>
              <w:rPr>
                <w:rFonts w:ascii="Arial" w:hAnsi="Arial" w:cs="Arial"/>
                <w:b/>
                <w:bCs/>
              </w:rPr>
            </w:pPr>
            <w:r w:rsidRPr="00A845B7">
              <w:rPr>
                <w:rFonts w:ascii="Arial" w:hAnsi="Arial" w:cs="Arial"/>
                <w:b/>
                <w:bCs/>
              </w:rPr>
              <w:t>+1%</w:t>
            </w:r>
          </w:p>
        </w:tc>
      </w:tr>
      <w:tr w:rsidR="00E0450C" w:rsidRPr="00A845B7" w:rsidTr="00883882">
        <w:trPr>
          <w:trHeight w:val="185"/>
        </w:trPr>
        <w:tc>
          <w:tcPr>
            <w:tcW w:w="1247" w:type="pct"/>
            <w:tcBorders>
              <w:top w:val="single" w:sz="4" w:space="0" w:color="auto"/>
              <w:bottom w:val="single" w:sz="4" w:space="0" w:color="auto"/>
            </w:tcBorders>
          </w:tcPr>
          <w:p w:rsidR="00E0450C" w:rsidRPr="00A845B7" w:rsidRDefault="00E0450C" w:rsidP="00E0450C">
            <w:pPr>
              <w:spacing w:before="100"/>
              <w:ind w:left="108" w:hanging="108"/>
              <w:jc w:val="left"/>
              <w:rPr>
                <w:rFonts w:ascii="Arial" w:hAnsi="Arial" w:cs="Arial"/>
                <w:b/>
                <w:bCs/>
              </w:rPr>
            </w:pPr>
            <w:r w:rsidRPr="00A845B7">
              <w:rPr>
                <w:rFonts w:ascii="Arial" w:hAnsi="Arial" w:cs="Arial"/>
                <w:b/>
                <w:bCs/>
              </w:rPr>
              <w:t xml:space="preserve">Total </w:t>
            </w:r>
          </w:p>
        </w:tc>
        <w:tc>
          <w:tcPr>
            <w:tcW w:w="792" w:type="pct"/>
            <w:tcBorders>
              <w:top w:val="single" w:sz="4" w:space="0" w:color="auto"/>
              <w:bottom w:val="single" w:sz="4" w:space="0" w:color="auto"/>
            </w:tcBorders>
          </w:tcPr>
          <w:p w:rsidR="00E0450C" w:rsidRPr="00A845B7" w:rsidRDefault="00E0450C" w:rsidP="00E0450C">
            <w:pPr>
              <w:spacing w:before="100"/>
              <w:ind w:left="108" w:hanging="108"/>
              <w:jc w:val="right"/>
              <w:rPr>
                <w:rFonts w:ascii="Arial" w:hAnsi="Arial" w:cs="Arial"/>
                <w:b/>
                <w:bCs/>
              </w:rPr>
            </w:pPr>
            <w:r w:rsidRPr="00A845B7">
              <w:rPr>
                <w:rFonts w:ascii="Arial" w:hAnsi="Arial" w:cs="Arial"/>
                <w:b/>
                <w:bCs/>
              </w:rPr>
              <w:t>62,</w:t>
            </w:r>
            <w:r w:rsidR="004B3EA9" w:rsidRPr="00A845B7">
              <w:rPr>
                <w:rFonts w:ascii="Arial" w:hAnsi="Arial" w:cs="Arial"/>
                <w:b/>
                <w:bCs/>
              </w:rPr>
              <w:t>01</w:t>
            </w:r>
            <w:r w:rsidR="004B3EA9">
              <w:rPr>
                <w:rFonts w:ascii="Arial" w:hAnsi="Arial" w:cs="Arial"/>
                <w:b/>
                <w:bCs/>
              </w:rPr>
              <w:t>2</w:t>
            </w:r>
          </w:p>
        </w:tc>
        <w:tc>
          <w:tcPr>
            <w:tcW w:w="661" w:type="pct"/>
            <w:tcBorders>
              <w:top w:val="single" w:sz="4" w:space="0" w:color="auto"/>
              <w:bottom w:val="single" w:sz="4" w:space="0" w:color="auto"/>
            </w:tcBorders>
          </w:tcPr>
          <w:p w:rsidR="00E0450C" w:rsidRPr="00A845B7" w:rsidRDefault="00E0450C" w:rsidP="00E0450C">
            <w:pPr>
              <w:spacing w:before="100"/>
              <w:ind w:left="108" w:hanging="108"/>
              <w:jc w:val="right"/>
              <w:rPr>
                <w:rFonts w:ascii="Arial" w:hAnsi="Arial" w:cs="Arial"/>
                <w:b/>
                <w:bCs/>
              </w:rPr>
            </w:pPr>
            <w:r w:rsidRPr="00A845B7">
              <w:rPr>
                <w:rFonts w:ascii="Arial" w:hAnsi="Arial" w:cs="Arial"/>
                <w:b/>
                <w:bCs/>
              </w:rPr>
              <w:t>1,19</w:t>
            </w:r>
            <w:r w:rsidR="00C2543B" w:rsidRPr="00A845B7">
              <w:rPr>
                <w:rFonts w:ascii="Arial" w:hAnsi="Arial" w:cs="Arial"/>
                <w:b/>
                <w:bCs/>
              </w:rPr>
              <w:t>4</w:t>
            </w:r>
          </w:p>
        </w:tc>
        <w:tc>
          <w:tcPr>
            <w:tcW w:w="830" w:type="pct"/>
            <w:tcBorders>
              <w:top w:val="single" w:sz="4" w:space="0" w:color="auto"/>
              <w:bottom w:val="single" w:sz="4" w:space="0" w:color="auto"/>
            </w:tcBorders>
          </w:tcPr>
          <w:p w:rsidR="00E0450C" w:rsidRPr="00A845B7" w:rsidRDefault="00E0450C" w:rsidP="00E0450C">
            <w:pPr>
              <w:spacing w:before="100"/>
              <w:ind w:left="108" w:hanging="108"/>
              <w:jc w:val="right"/>
              <w:rPr>
                <w:rFonts w:ascii="Arial" w:hAnsi="Arial" w:cs="Arial"/>
                <w:b/>
                <w:bCs/>
              </w:rPr>
            </w:pPr>
            <w:r w:rsidRPr="00A845B7">
              <w:rPr>
                <w:rFonts w:ascii="Arial" w:hAnsi="Arial" w:cs="Arial"/>
                <w:b/>
                <w:bCs/>
              </w:rPr>
              <w:t>5,</w:t>
            </w:r>
            <w:r w:rsidR="00543323" w:rsidRPr="00A845B7">
              <w:rPr>
                <w:rFonts w:ascii="Arial" w:hAnsi="Arial" w:cs="Arial"/>
                <w:b/>
                <w:bCs/>
              </w:rPr>
              <w:t>485</w:t>
            </w:r>
          </w:p>
        </w:tc>
        <w:tc>
          <w:tcPr>
            <w:tcW w:w="735" w:type="pct"/>
            <w:tcBorders>
              <w:top w:val="single" w:sz="4" w:space="0" w:color="auto"/>
              <w:bottom w:val="single" w:sz="4" w:space="0" w:color="auto"/>
            </w:tcBorders>
          </w:tcPr>
          <w:p w:rsidR="00E0450C" w:rsidRPr="00A845B7" w:rsidRDefault="000943C0" w:rsidP="00E0450C">
            <w:pPr>
              <w:spacing w:before="100"/>
              <w:ind w:left="108" w:hanging="108"/>
              <w:jc w:val="right"/>
              <w:rPr>
                <w:rFonts w:ascii="Arial" w:hAnsi="Arial" w:cs="Arial"/>
                <w:b/>
                <w:bCs/>
                <w:highlight w:val="yellow"/>
              </w:rPr>
            </w:pPr>
            <w:r>
              <w:rPr>
                <w:rFonts w:ascii="Arial" w:hAnsi="Arial" w:cs="Arial"/>
                <w:b/>
                <w:bCs/>
              </w:rPr>
              <w:t>5</w:t>
            </w:r>
            <w:r w:rsidRPr="00A845B7">
              <w:rPr>
                <w:rFonts w:ascii="Arial" w:hAnsi="Arial" w:cs="Arial"/>
                <w:b/>
                <w:bCs/>
              </w:rPr>
              <w:t>4</w:t>
            </w:r>
          </w:p>
        </w:tc>
        <w:tc>
          <w:tcPr>
            <w:tcW w:w="735" w:type="pct"/>
            <w:tcBorders>
              <w:top w:val="single" w:sz="4" w:space="0" w:color="auto"/>
              <w:bottom w:val="single" w:sz="4" w:space="0" w:color="auto"/>
            </w:tcBorders>
          </w:tcPr>
          <w:p w:rsidR="00E0450C" w:rsidRPr="00A845B7" w:rsidRDefault="00E0450C" w:rsidP="00E0450C">
            <w:pPr>
              <w:spacing w:before="100"/>
              <w:ind w:left="108" w:hanging="108"/>
              <w:jc w:val="right"/>
              <w:rPr>
                <w:rFonts w:ascii="Arial" w:hAnsi="Arial" w:cs="Arial"/>
                <w:b/>
                <w:bCs/>
              </w:rPr>
            </w:pPr>
            <w:r w:rsidRPr="00A845B7">
              <w:rPr>
                <w:rFonts w:ascii="Arial" w:hAnsi="Arial" w:cs="Arial"/>
                <w:b/>
                <w:bCs/>
              </w:rPr>
              <w:t>+</w:t>
            </w:r>
            <w:r w:rsidR="00B26D8F" w:rsidRPr="00A845B7">
              <w:rPr>
                <w:rFonts w:ascii="Arial" w:hAnsi="Arial" w:cs="Arial"/>
                <w:b/>
                <w:bCs/>
              </w:rPr>
              <w:t>1</w:t>
            </w:r>
            <w:r w:rsidRPr="00A845B7">
              <w:rPr>
                <w:rFonts w:ascii="Arial" w:hAnsi="Arial" w:cs="Arial"/>
                <w:b/>
                <w:bCs/>
              </w:rPr>
              <w:t>%</w:t>
            </w:r>
          </w:p>
        </w:tc>
      </w:tr>
    </w:tbl>
    <w:p w:rsidR="00CF487E" w:rsidRPr="00A845B7" w:rsidRDefault="007D43ED" w:rsidP="007D43ED">
      <w:pPr>
        <w:jc w:val="left"/>
        <w:rPr>
          <w:rFonts w:ascii="Arial" w:hAnsi="Arial" w:cs="Arial"/>
        </w:rPr>
      </w:pPr>
      <w:r w:rsidRPr="00A845B7">
        <w:rPr>
          <w:rFonts w:ascii="Arial" w:hAnsi="Arial" w:cs="Arial"/>
          <w:bCs/>
          <w:vertAlign w:val="superscript"/>
        </w:rPr>
        <w:t>(</w:t>
      </w:r>
      <w:r w:rsidR="00931630" w:rsidRPr="00A845B7">
        <w:rPr>
          <w:rFonts w:ascii="Arial" w:hAnsi="Arial" w:cs="Arial"/>
          <w:bCs/>
          <w:vertAlign w:val="superscript"/>
        </w:rPr>
        <w:t>1</w:t>
      </w:r>
      <w:r w:rsidRPr="00A845B7">
        <w:rPr>
          <w:rFonts w:ascii="Arial" w:hAnsi="Arial" w:cs="Arial"/>
          <w:bCs/>
          <w:vertAlign w:val="superscript"/>
        </w:rPr>
        <w:t xml:space="preserve">) </w:t>
      </w:r>
      <w:r w:rsidRPr="00A845B7">
        <w:rPr>
          <w:rFonts w:ascii="Arial" w:hAnsi="Arial" w:cs="Arial"/>
        </w:rPr>
        <w:t>Screwfix sales area relates to the front of counter area of an outlet</w:t>
      </w:r>
    </w:p>
    <w:p w:rsidR="007D43ED" w:rsidRPr="00A845B7" w:rsidRDefault="007D43ED" w:rsidP="007D43ED">
      <w:pPr>
        <w:pStyle w:val="ListParagraph"/>
        <w:jc w:val="left"/>
        <w:rPr>
          <w:rFonts w:ascii="Arial" w:hAnsi="Arial" w:cs="Arial"/>
          <w:bCs/>
          <w:highlight w:val="yellow"/>
        </w:rPr>
      </w:pPr>
    </w:p>
    <w:p w:rsidR="007D43ED" w:rsidRPr="00A845B7" w:rsidRDefault="007D43ED" w:rsidP="00925EFB">
      <w:pPr>
        <w:jc w:val="left"/>
        <w:rPr>
          <w:rFonts w:ascii="Arial" w:hAnsi="Arial" w:cs="Arial"/>
          <w:b/>
          <w:bCs/>
        </w:rPr>
      </w:pPr>
      <w:r w:rsidRPr="00A845B7">
        <w:rPr>
          <w:rFonts w:ascii="Arial" w:hAnsi="Arial" w:cs="Arial"/>
          <w:b/>
          <w:bCs/>
        </w:rPr>
        <w:t>Income statement:</w:t>
      </w:r>
    </w:p>
    <w:p w:rsidR="007A7843" w:rsidRPr="00A845B7" w:rsidRDefault="00B019FB" w:rsidP="006B39C7">
      <w:pPr>
        <w:pStyle w:val="ListParagraph"/>
        <w:numPr>
          <w:ilvl w:val="0"/>
          <w:numId w:val="4"/>
        </w:numPr>
        <w:jc w:val="left"/>
        <w:rPr>
          <w:rFonts w:ascii="Arial" w:hAnsi="Arial" w:cs="Arial"/>
          <w:bCs/>
        </w:rPr>
      </w:pPr>
      <w:r>
        <w:rPr>
          <w:rFonts w:ascii="Arial" w:hAnsi="Arial" w:cs="Arial"/>
          <w:bCs/>
        </w:rPr>
        <w:t>Broadly flat gross margin</w:t>
      </w:r>
      <w:r w:rsidR="00F8340C" w:rsidRPr="00A845B7">
        <w:rPr>
          <w:rFonts w:ascii="Arial" w:hAnsi="Arial" w:cs="Arial"/>
          <w:bCs/>
        </w:rPr>
        <w:t xml:space="preserve"> assuming Unified &amp; Unique </w:t>
      </w:r>
      <w:r w:rsidR="001F5359" w:rsidRPr="00A845B7">
        <w:rPr>
          <w:rFonts w:ascii="Arial" w:hAnsi="Arial" w:cs="Arial"/>
          <w:bCs/>
        </w:rPr>
        <w:t>O</w:t>
      </w:r>
      <w:r w:rsidR="00F8340C" w:rsidRPr="00A845B7">
        <w:rPr>
          <w:rFonts w:ascii="Arial" w:hAnsi="Arial" w:cs="Arial"/>
          <w:bCs/>
        </w:rPr>
        <w:t xml:space="preserve">ffer </w:t>
      </w:r>
      <w:r w:rsidR="00B23552" w:rsidRPr="00A845B7">
        <w:rPr>
          <w:rFonts w:ascii="Arial" w:hAnsi="Arial" w:cs="Arial"/>
          <w:bCs/>
        </w:rPr>
        <w:t>CPR</w:t>
      </w:r>
      <w:r w:rsidR="00F8340C" w:rsidRPr="00A845B7">
        <w:rPr>
          <w:rFonts w:ascii="Arial" w:hAnsi="Arial" w:cs="Arial"/>
          <w:bCs/>
          <w:vertAlign w:val="superscript"/>
        </w:rPr>
        <w:t xml:space="preserve"> </w:t>
      </w:r>
      <w:r w:rsidR="00F8340C" w:rsidRPr="00A845B7">
        <w:rPr>
          <w:rFonts w:ascii="Arial" w:hAnsi="Arial" w:cs="Arial"/>
          <w:bCs/>
        </w:rPr>
        <w:t xml:space="preserve">benefits are offset by </w:t>
      </w:r>
      <w:r w:rsidR="00841F7E">
        <w:rPr>
          <w:rFonts w:ascii="Arial" w:hAnsi="Arial" w:cs="Arial"/>
          <w:bCs/>
        </w:rPr>
        <w:t>some price reinvestment</w:t>
      </w:r>
      <w:r w:rsidR="00FD4447">
        <w:rPr>
          <w:rFonts w:ascii="Arial" w:hAnsi="Arial" w:cs="Arial"/>
          <w:bCs/>
        </w:rPr>
        <w:t xml:space="preserve"> and </w:t>
      </w:r>
      <w:r w:rsidR="00F8340C" w:rsidRPr="00A845B7">
        <w:rPr>
          <w:rFonts w:ascii="Arial" w:hAnsi="Arial" w:cs="Arial"/>
          <w:bCs/>
        </w:rPr>
        <w:t xml:space="preserve">clearance </w:t>
      </w:r>
    </w:p>
    <w:p w:rsidR="007072BB" w:rsidRPr="00A845B7" w:rsidRDefault="007072BB">
      <w:pPr>
        <w:pStyle w:val="ListParagraph"/>
        <w:numPr>
          <w:ilvl w:val="0"/>
          <w:numId w:val="4"/>
        </w:numPr>
        <w:jc w:val="left"/>
        <w:rPr>
          <w:rFonts w:ascii="Arial" w:hAnsi="Arial" w:cs="Arial"/>
          <w:bCs/>
        </w:rPr>
      </w:pPr>
      <w:r w:rsidRPr="00A845B7">
        <w:rPr>
          <w:rFonts w:ascii="Arial" w:hAnsi="Arial" w:cs="Arial"/>
          <w:bCs/>
        </w:rPr>
        <w:t>Underlying profit expected to include up to</w:t>
      </w:r>
      <w:r w:rsidR="00B019FB">
        <w:rPr>
          <w:rFonts w:ascii="Arial" w:hAnsi="Arial" w:cs="Arial"/>
          <w:bCs/>
        </w:rPr>
        <w:t xml:space="preserve"> a further</w:t>
      </w:r>
      <w:r w:rsidRPr="00A845B7">
        <w:rPr>
          <w:rFonts w:ascii="Arial" w:hAnsi="Arial" w:cs="Arial"/>
          <w:bCs/>
        </w:rPr>
        <w:t xml:space="preserve"> £</w:t>
      </w:r>
      <w:r w:rsidR="00AA79E8" w:rsidRPr="00A845B7">
        <w:rPr>
          <w:rFonts w:ascii="Arial" w:hAnsi="Arial" w:cs="Arial"/>
          <w:bCs/>
        </w:rPr>
        <w:t>20</w:t>
      </w:r>
      <w:r w:rsidRPr="00A845B7">
        <w:rPr>
          <w:rFonts w:ascii="Arial" w:hAnsi="Arial" w:cs="Arial"/>
          <w:bCs/>
        </w:rPr>
        <w:t>m operational efficiency benefits</w:t>
      </w:r>
    </w:p>
    <w:p w:rsidR="00622B91" w:rsidRDefault="00622B91">
      <w:pPr>
        <w:pStyle w:val="ListParagraph"/>
        <w:numPr>
          <w:ilvl w:val="0"/>
          <w:numId w:val="4"/>
        </w:numPr>
        <w:jc w:val="left"/>
        <w:rPr>
          <w:rFonts w:ascii="Arial" w:hAnsi="Arial" w:cs="Arial"/>
          <w:bCs/>
        </w:rPr>
      </w:pPr>
      <w:r>
        <w:rPr>
          <w:rFonts w:ascii="Arial" w:hAnsi="Arial" w:cs="Arial"/>
          <w:bCs/>
        </w:rPr>
        <w:t>Total 5 year transformation costs £800m</w:t>
      </w:r>
    </w:p>
    <w:p w:rsidR="000E51EF" w:rsidRPr="00A845B7" w:rsidRDefault="000E51EF" w:rsidP="00C36E6F">
      <w:pPr>
        <w:pStyle w:val="ListParagraph"/>
        <w:numPr>
          <w:ilvl w:val="1"/>
          <w:numId w:val="4"/>
        </w:numPr>
        <w:jc w:val="left"/>
        <w:rPr>
          <w:rFonts w:ascii="Arial" w:hAnsi="Arial" w:cs="Arial"/>
          <w:bCs/>
        </w:rPr>
      </w:pPr>
      <w:r w:rsidRPr="00A845B7">
        <w:rPr>
          <w:rFonts w:ascii="Arial" w:hAnsi="Arial" w:cs="Arial"/>
          <w:bCs/>
        </w:rPr>
        <w:t xml:space="preserve">Transformation P&amp;L costs of </w:t>
      </w:r>
      <w:r w:rsidR="00B23552" w:rsidRPr="00A845B7">
        <w:rPr>
          <w:rFonts w:ascii="Arial" w:hAnsi="Arial" w:cs="Arial"/>
          <w:bCs/>
        </w:rPr>
        <w:t>c.</w:t>
      </w:r>
      <w:r w:rsidRPr="00A845B7">
        <w:rPr>
          <w:rFonts w:ascii="Arial" w:hAnsi="Arial" w:cs="Arial"/>
          <w:bCs/>
        </w:rPr>
        <w:t>£</w:t>
      </w:r>
      <w:r w:rsidR="00F14169" w:rsidRPr="00A845B7">
        <w:rPr>
          <w:rFonts w:ascii="Arial" w:hAnsi="Arial" w:cs="Arial"/>
          <w:bCs/>
        </w:rPr>
        <w:t>3</w:t>
      </w:r>
      <w:r w:rsidR="00B23552" w:rsidRPr="00A845B7">
        <w:rPr>
          <w:rFonts w:ascii="Arial" w:hAnsi="Arial" w:cs="Arial"/>
          <w:bCs/>
        </w:rPr>
        <w:t>1</w:t>
      </w:r>
      <w:r w:rsidR="00F14169" w:rsidRPr="00A845B7">
        <w:rPr>
          <w:rFonts w:ascii="Arial" w:hAnsi="Arial" w:cs="Arial"/>
          <w:bCs/>
        </w:rPr>
        <w:t>0</w:t>
      </w:r>
      <w:r w:rsidR="00E95DC2" w:rsidRPr="00A845B7">
        <w:rPr>
          <w:rFonts w:ascii="Arial" w:hAnsi="Arial" w:cs="Arial"/>
          <w:bCs/>
        </w:rPr>
        <w:t>m (previously £220m</w:t>
      </w:r>
      <w:r w:rsidR="00F14169" w:rsidRPr="00A845B7">
        <w:rPr>
          <w:rFonts w:ascii="Arial" w:hAnsi="Arial" w:cs="Arial"/>
          <w:bCs/>
        </w:rPr>
        <w:t xml:space="preserve">) </w:t>
      </w:r>
      <w:r w:rsidRPr="00A845B7">
        <w:rPr>
          <w:rFonts w:ascii="Arial" w:hAnsi="Arial" w:cs="Arial"/>
          <w:bCs/>
        </w:rPr>
        <w:t xml:space="preserve">over </w:t>
      </w:r>
      <w:r w:rsidR="00E95DC2" w:rsidRPr="00A845B7">
        <w:rPr>
          <w:rFonts w:ascii="Arial" w:hAnsi="Arial" w:cs="Arial"/>
          <w:bCs/>
        </w:rPr>
        <w:t xml:space="preserve">5 </w:t>
      </w:r>
      <w:r w:rsidRPr="00A845B7">
        <w:rPr>
          <w:rFonts w:ascii="Arial" w:hAnsi="Arial" w:cs="Arial"/>
          <w:bCs/>
        </w:rPr>
        <w:t>years to</w:t>
      </w:r>
      <w:r w:rsidR="00E95DC2" w:rsidRPr="00A845B7">
        <w:rPr>
          <w:rFonts w:ascii="Arial" w:hAnsi="Arial" w:cs="Arial"/>
          <w:bCs/>
        </w:rPr>
        <w:t xml:space="preserve"> FY 2020/21,</w:t>
      </w:r>
      <w:r w:rsidRPr="00A845B7">
        <w:rPr>
          <w:rFonts w:ascii="Arial" w:hAnsi="Arial" w:cs="Arial"/>
          <w:bCs/>
        </w:rPr>
        <w:t xml:space="preserve"> </w:t>
      </w:r>
      <w:r w:rsidR="00F14169" w:rsidRPr="00A845B7">
        <w:rPr>
          <w:rFonts w:ascii="Arial" w:hAnsi="Arial" w:cs="Arial"/>
          <w:bCs/>
        </w:rPr>
        <w:t xml:space="preserve">to </w:t>
      </w:r>
      <w:r w:rsidRPr="00A845B7">
        <w:rPr>
          <w:rFonts w:ascii="Arial" w:hAnsi="Arial" w:cs="Arial"/>
          <w:bCs/>
        </w:rPr>
        <w:t xml:space="preserve">be mostly incurred </w:t>
      </w:r>
      <w:r w:rsidR="007110C0" w:rsidRPr="00A845B7">
        <w:rPr>
          <w:rFonts w:ascii="Arial" w:hAnsi="Arial" w:cs="Arial"/>
          <w:bCs/>
        </w:rPr>
        <w:t xml:space="preserve">over </w:t>
      </w:r>
      <w:r w:rsidR="00F8340C" w:rsidRPr="00A845B7">
        <w:rPr>
          <w:rFonts w:ascii="Arial" w:hAnsi="Arial" w:cs="Arial"/>
          <w:bCs/>
        </w:rPr>
        <w:t>first 3</w:t>
      </w:r>
      <w:r w:rsidRPr="00A845B7">
        <w:rPr>
          <w:rFonts w:ascii="Arial" w:hAnsi="Arial" w:cs="Arial"/>
          <w:bCs/>
        </w:rPr>
        <w:t xml:space="preserve"> </w:t>
      </w:r>
      <w:r w:rsidR="007110C0" w:rsidRPr="00A845B7">
        <w:rPr>
          <w:rFonts w:ascii="Arial" w:hAnsi="Arial" w:cs="Arial"/>
          <w:bCs/>
        </w:rPr>
        <w:t>years</w:t>
      </w:r>
      <w:r w:rsidR="00F14169" w:rsidRPr="00A845B7">
        <w:rPr>
          <w:rFonts w:ascii="Arial" w:hAnsi="Arial" w:cs="Arial"/>
          <w:bCs/>
        </w:rPr>
        <w:t xml:space="preserve">. </w:t>
      </w:r>
      <w:r w:rsidRPr="00A845B7">
        <w:rPr>
          <w:rFonts w:ascii="Arial" w:hAnsi="Arial" w:cs="Arial"/>
          <w:bCs/>
        </w:rPr>
        <w:t>FY 2017</w:t>
      </w:r>
      <w:r w:rsidR="00E95DC2" w:rsidRPr="00A845B7">
        <w:rPr>
          <w:rFonts w:ascii="Arial" w:hAnsi="Arial" w:cs="Arial"/>
          <w:bCs/>
        </w:rPr>
        <w:t>/18</w:t>
      </w:r>
      <w:r w:rsidRPr="00A845B7">
        <w:rPr>
          <w:rFonts w:ascii="Arial" w:hAnsi="Arial" w:cs="Arial"/>
          <w:bCs/>
        </w:rPr>
        <w:t xml:space="preserve"> expected to be </w:t>
      </w:r>
      <w:r w:rsidR="007072BB" w:rsidRPr="00A845B7">
        <w:rPr>
          <w:rFonts w:ascii="Arial" w:hAnsi="Arial" w:cs="Arial"/>
          <w:bCs/>
        </w:rPr>
        <w:t>c.</w:t>
      </w:r>
      <w:r w:rsidRPr="00A845B7">
        <w:rPr>
          <w:rFonts w:ascii="Arial" w:hAnsi="Arial" w:cs="Arial"/>
          <w:bCs/>
        </w:rPr>
        <w:t>£</w:t>
      </w:r>
      <w:r w:rsidR="00BA5E9A" w:rsidRPr="00A845B7">
        <w:rPr>
          <w:rFonts w:ascii="Arial" w:hAnsi="Arial" w:cs="Arial"/>
          <w:bCs/>
        </w:rPr>
        <w:t>1</w:t>
      </w:r>
      <w:r w:rsidR="00D75F42">
        <w:rPr>
          <w:rFonts w:ascii="Arial" w:hAnsi="Arial" w:cs="Arial"/>
          <w:bCs/>
        </w:rPr>
        <w:t>50</w:t>
      </w:r>
      <w:r w:rsidR="001D11D3" w:rsidRPr="00A845B7">
        <w:rPr>
          <w:rFonts w:ascii="Arial" w:hAnsi="Arial" w:cs="Arial"/>
          <w:bCs/>
        </w:rPr>
        <w:t>m</w:t>
      </w:r>
      <w:r w:rsidR="0074063A" w:rsidRPr="00A845B7">
        <w:rPr>
          <w:rFonts w:ascii="Arial" w:hAnsi="Arial" w:cs="Arial"/>
          <w:bCs/>
        </w:rPr>
        <w:t xml:space="preserve"> </w:t>
      </w:r>
    </w:p>
    <w:p w:rsidR="000E51EF" w:rsidRPr="00A845B7" w:rsidRDefault="000E51EF" w:rsidP="00C36E6F">
      <w:pPr>
        <w:pStyle w:val="ListParagraph"/>
        <w:numPr>
          <w:ilvl w:val="1"/>
          <w:numId w:val="4"/>
        </w:numPr>
        <w:jc w:val="left"/>
        <w:rPr>
          <w:rFonts w:ascii="Arial" w:hAnsi="Arial" w:cs="Arial"/>
          <w:bCs/>
        </w:rPr>
      </w:pPr>
      <w:r w:rsidRPr="00A845B7">
        <w:rPr>
          <w:rFonts w:ascii="Arial" w:hAnsi="Arial" w:cs="Arial"/>
          <w:bCs/>
        </w:rPr>
        <w:t xml:space="preserve">Transformation exceptional costs of </w:t>
      </w:r>
      <w:r w:rsidR="00B23552" w:rsidRPr="00A845B7">
        <w:rPr>
          <w:rFonts w:ascii="Arial" w:hAnsi="Arial" w:cs="Arial"/>
          <w:bCs/>
        </w:rPr>
        <w:t>c.</w:t>
      </w:r>
      <w:r w:rsidRPr="00A845B7">
        <w:rPr>
          <w:rFonts w:ascii="Arial" w:hAnsi="Arial" w:cs="Arial"/>
          <w:bCs/>
        </w:rPr>
        <w:t>£</w:t>
      </w:r>
      <w:r w:rsidR="00B23552" w:rsidRPr="00A845B7">
        <w:rPr>
          <w:rFonts w:ascii="Arial" w:hAnsi="Arial" w:cs="Arial"/>
          <w:bCs/>
        </w:rPr>
        <w:t>170</w:t>
      </w:r>
      <w:r w:rsidR="00E95DC2" w:rsidRPr="00A845B7">
        <w:rPr>
          <w:rFonts w:ascii="Arial" w:hAnsi="Arial" w:cs="Arial"/>
          <w:bCs/>
        </w:rPr>
        <w:t>m</w:t>
      </w:r>
      <w:r w:rsidRPr="00A845B7">
        <w:rPr>
          <w:rFonts w:ascii="Arial" w:hAnsi="Arial" w:cs="Arial"/>
          <w:bCs/>
        </w:rPr>
        <w:t xml:space="preserve"> </w:t>
      </w:r>
      <w:r w:rsidR="00E95DC2" w:rsidRPr="00A845B7">
        <w:rPr>
          <w:rFonts w:ascii="Arial" w:hAnsi="Arial" w:cs="Arial"/>
          <w:bCs/>
        </w:rPr>
        <w:t xml:space="preserve">(previously £270m) </w:t>
      </w:r>
      <w:r w:rsidRPr="00A845B7">
        <w:rPr>
          <w:rFonts w:ascii="Arial" w:hAnsi="Arial" w:cs="Arial"/>
          <w:bCs/>
        </w:rPr>
        <w:t xml:space="preserve">over </w:t>
      </w:r>
      <w:r w:rsidR="00E95DC2" w:rsidRPr="00A845B7">
        <w:rPr>
          <w:rFonts w:ascii="Arial" w:hAnsi="Arial" w:cs="Arial"/>
          <w:bCs/>
        </w:rPr>
        <w:t>5</w:t>
      </w:r>
      <w:r w:rsidRPr="00A845B7">
        <w:rPr>
          <w:rFonts w:ascii="Arial" w:hAnsi="Arial" w:cs="Arial"/>
          <w:bCs/>
        </w:rPr>
        <w:t xml:space="preserve"> years to </w:t>
      </w:r>
      <w:r w:rsidR="00E95DC2" w:rsidRPr="00A845B7">
        <w:rPr>
          <w:rFonts w:ascii="Arial" w:hAnsi="Arial" w:cs="Arial"/>
          <w:bCs/>
        </w:rPr>
        <w:t>FY 2020/21</w:t>
      </w:r>
      <w:r w:rsidR="00F8340C" w:rsidRPr="00A845B7">
        <w:rPr>
          <w:rFonts w:ascii="Arial" w:hAnsi="Arial" w:cs="Arial"/>
          <w:bCs/>
        </w:rPr>
        <w:t>, to be</w:t>
      </w:r>
      <w:r w:rsidRPr="00A845B7">
        <w:rPr>
          <w:rFonts w:ascii="Arial" w:hAnsi="Arial" w:cs="Arial"/>
          <w:bCs/>
        </w:rPr>
        <w:t xml:space="preserve"> incurred </w:t>
      </w:r>
      <w:r w:rsidR="007110C0" w:rsidRPr="00A845B7">
        <w:rPr>
          <w:rFonts w:ascii="Arial" w:hAnsi="Arial" w:cs="Arial"/>
          <w:bCs/>
        </w:rPr>
        <w:t xml:space="preserve">over </w:t>
      </w:r>
      <w:r w:rsidR="00F8340C" w:rsidRPr="00A845B7">
        <w:rPr>
          <w:rFonts w:ascii="Arial" w:hAnsi="Arial" w:cs="Arial"/>
          <w:bCs/>
        </w:rPr>
        <w:t>first 4</w:t>
      </w:r>
      <w:r w:rsidR="007110C0" w:rsidRPr="00A845B7">
        <w:rPr>
          <w:rFonts w:ascii="Arial" w:hAnsi="Arial" w:cs="Arial"/>
          <w:bCs/>
        </w:rPr>
        <w:t xml:space="preserve"> years</w:t>
      </w:r>
      <w:r w:rsidR="0074063A" w:rsidRPr="00A845B7">
        <w:rPr>
          <w:rFonts w:ascii="Arial" w:hAnsi="Arial" w:cs="Arial"/>
          <w:bCs/>
        </w:rPr>
        <w:t xml:space="preserve"> (previously 3 years)</w:t>
      </w:r>
      <w:r w:rsidR="00F8340C" w:rsidRPr="00A845B7">
        <w:rPr>
          <w:rFonts w:ascii="Arial" w:hAnsi="Arial" w:cs="Arial"/>
          <w:bCs/>
        </w:rPr>
        <w:t>.</w:t>
      </w:r>
      <w:r w:rsidR="007110C0" w:rsidRPr="00A845B7">
        <w:rPr>
          <w:rFonts w:ascii="Arial" w:hAnsi="Arial" w:cs="Arial"/>
          <w:bCs/>
        </w:rPr>
        <w:t xml:space="preserve"> </w:t>
      </w:r>
      <w:r w:rsidRPr="00A845B7">
        <w:rPr>
          <w:rFonts w:ascii="Arial" w:hAnsi="Arial" w:cs="Arial"/>
          <w:bCs/>
        </w:rPr>
        <w:t>FY 2017</w:t>
      </w:r>
      <w:r w:rsidR="007110C0" w:rsidRPr="00A845B7">
        <w:rPr>
          <w:rFonts w:ascii="Arial" w:hAnsi="Arial" w:cs="Arial"/>
          <w:bCs/>
        </w:rPr>
        <w:t>/18</w:t>
      </w:r>
      <w:r w:rsidRPr="00A845B7">
        <w:rPr>
          <w:rFonts w:ascii="Arial" w:hAnsi="Arial" w:cs="Arial"/>
          <w:bCs/>
        </w:rPr>
        <w:t xml:space="preserve"> </w:t>
      </w:r>
      <w:r w:rsidR="00791A78" w:rsidRPr="00A845B7">
        <w:rPr>
          <w:rFonts w:ascii="Arial" w:hAnsi="Arial" w:cs="Arial"/>
          <w:bCs/>
        </w:rPr>
        <w:t xml:space="preserve">transformation </w:t>
      </w:r>
      <w:r w:rsidR="00AC2B0B" w:rsidRPr="00A845B7">
        <w:rPr>
          <w:rFonts w:ascii="Arial" w:hAnsi="Arial" w:cs="Arial"/>
          <w:bCs/>
        </w:rPr>
        <w:t xml:space="preserve">exceptional costs </w:t>
      </w:r>
      <w:r w:rsidRPr="00A845B7">
        <w:rPr>
          <w:rFonts w:ascii="Arial" w:hAnsi="Arial" w:cs="Arial"/>
          <w:bCs/>
        </w:rPr>
        <w:t>expected to be</w:t>
      </w:r>
      <w:r w:rsidR="007110C0" w:rsidRPr="00A845B7">
        <w:rPr>
          <w:rFonts w:ascii="Arial" w:hAnsi="Arial" w:cs="Arial"/>
          <w:bCs/>
        </w:rPr>
        <w:t xml:space="preserve"> </w:t>
      </w:r>
      <w:r w:rsidR="00B23552" w:rsidRPr="00A845B7">
        <w:rPr>
          <w:rFonts w:ascii="Arial" w:hAnsi="Arial" w:cs="Arial"/>
          <w:bCs/>
        </w:rPr>
        <w:t>c.</w:t>
      </w:r>
      <w:r w:rsidR="007110C0" w:rsidRPr="00A845B7">
        <w:rPr>
          <w:rFonts w:ascii="Arial" w:hAnsi="Arial" w:cs="Arial"/>
          <w:bCs/>
        </w:rPr>
        <w:t>£</w:t>
      </w:r>
      <w:r w:rsidR="00B23552" w:rsidRPr="00A845B7">
        <w:rPr>
          <w:rFonts w:ascii="Arial" w:hAnsi="Arial" w:cs="Arial"/>
          <w:bCs/>
        </w:rPr>
        <w:t>30</w:t>
      </w:r>
      <w:r w:rsidR="007110C0" w:rsidRPr="00A845B7">
        <w:rPr>
          <w:rFonts w:ascii="Arial" w:hAnsi="Arial" w:cs="Arial"/>
          <w:bCs/>
        </w:rPr>
        <w:t>m</w:t>
      </w:r>
    </w:p>
    <w:p w:rsidR="00332C10" w:rsidRPr="00A845B7" w:rsidRDefault="00B019FB">
      <w:pPr>
        <w:pStyle w:val="ListParagraph"/>
        <w:numPr>
          <w:ilvl w:val="0"/>
          <w:numId w:val="4"/>
        </w:numPr>
        <w:jc w:val="left"/>
        <w:rPr>
          <w:rFonts w:ascii="Arial" w:hAnsi="Arial" w:cs="Arial"/>
          <w:bCs/>
        </w:rPr>
      </w:pPr>
      <w:r>
        <w:rPr>
          <w:rFonts w:ascii="Arial" w:hAnsi="Arial" w:cs="Arial"/>
        </w:rPr>
        <w:t>c.</w:t>
      </w:r>
      <w:r w:rsidR="00332C10" w:rsidRPr="00A845B7">
        <w:rPr>
          <w:rFonts w:ascii="Arial" w:hAnsi="Arial" w:cs="Arial"/>
        </w:rPr>
        <w:t xml:space="preserve">1% </w:t>
      </w:r>
      <w:r w:rsidR="00B173F3">
        <w:rPr>
          <w:rFonts w:ascii="Arial" w:hAnsi="Arial" w:cs="Arial"/>
        </w:rPr>
        <w:t xml:space="preserve">LFL </w:t>
      </w:r>
      <w:r w:rsidR="00332C10" w:rsidRPr="00A845B7">
        <w:rPr>
          <w:rFonts w:ascii="Arial" w:hAnsi="Arial" w:cs="Arial"/>
        </w:rPr>
        <w:t xml:space="preserve">sales transference benefit from B&amp;Q store closures </w:t>
      </w:r>
    </w:p>
    <w:p w:rsidR="007D43ED" w:rsidRPr="00A845B7" w:rsidRDefault="007D43ED">
      <w:pPr>
        <w:pStyle w:val="ListParagraph"/>
        <w:numPr>
          <w:ilvl w:val="0"/>
          <w:numId w:val="4"/>
        </w:numPr>
        <w:jc w:val="left"/>
        <w:rPr>
          <w:rFonts w:ascii="Arial" w:hAnsi="Arial" w:cs="Arial"/>
          <w:bCs/>
        </w:rPr>
      </w:pPr>
      <w:r w:rsidRPr="00A845B7">
        <w:rPr>
          <w:rFonts w:ascii="Arial" w:hAnsi="Arial" w:cs="Arial"/>
          <w:bCs/>
        </w:rPr>
        <w:t xml:space="preserve">Retail losses from new country development activity expected to be </w:t>
      </w:r>
      <w:r w:rsidR="007072BB" w:rsidRPr="00A845B7">
        <w:rPr>
          <w:rFonts w:ascii="Arial" w:hAnsi="Arial" w:cs="Arial"/>
          <w:bCs/>
        </w:rPr>
        <w:t>c.</w:t>
      </w:r>
      <w:r w:rsidRPr="00A845B7">
        <w:rPr>
          <w:rFonts w:ascii="Arial" w:hAnsi="Arial" w:cs="Arial"/>
          <w:bCs/>
        </w:rPr>
        <w:t>£</w:t>
      </w:r>
      <w:r w:rsidR="00E97208" w:rsidRPr="00A845B7">
        <w:rPr>
          <w:rFonts w:ascii="Arial" w:hAnsi="Arial" w:cs="Arial"/>
          <w:bCs/>
        </w:rPr>
        <w:t>15</w:t>
      </w:r>
      <w:r w:rsidR="001D11D3" w:rsidRPr="00A845B7">
        <w:rPr>
          <w:rFonts w:ascii="Arial" w:hAnsi="Arial" w:cs="Arial"/>
          <w:bCs/>
        </w:rPr>
        <w:t>m</w:t>
      </w:r>
      <w:r w:rsidRPr="00A845B7">
        <w:rPr>
          <w:rFonts w:ascii="Arial" w:hAnsi="Arial" w:cs="Arial"/>
          <w:bCs/>
        </w:rPr>
        <w:t xml:space="preserve"> </w:t>
      </w:r>
      <w:r w:rsidR="00466E20" w:rsidRPr="00A845B7">
        <w:rPr>
          <w:rFonts w:ascii="Arial" w:hAnsi="Arial" w:cs="Arial"/>
          <w:bCs/>
        </w:rPr>
        <w:t xml:space="preserve">driven by </w:t>
      </w:r>
      <w:r w:rsidR="00B82D66" w:rsidRPr="00A845B7">
        <w:rPr>
          <w:rFonts w:ascii="Arial" w:hAnsi="Arial" w:cs="Arial"/>
          <w:bCs/>
        </w:rPr>
        <w:t>Screwfix Europe</w:t>
      </w:r>
      <w:r w:rsidR="00461A73" w:rsidRPr="00A845B7">
        <w:rPr>
          <w:rFonts w:ascii="Arial" w:hAnsi="Arial" w:cs="Arial"/>
          <w:bCs/>
        </w:rPr>
        <w:t>*</w:t>
      </w:r>
      <w:r w:rsidR="007110C0" w:rsidRPr="00A845B7">
        <w:rPr>
          <w:rFonts w:ascii="Arial" w:hAnsi="Arial" w:cs="Arial"/>
          <w:bCs/>
        </w:rPr>
        <w:t xml:space="preserve"> </w:t>
      </w:r>
    </w:p>
    <w:p w:rsidR="007D43ED" w:rsidRPr="00A845B7" w:rsidRDefault="007D43ED">
      <w:pPr>
        <w:pStyle w:val="ListParagraph"/>
        <w:numPr>
          <w:ilvl w:val="0"/>
          <w:numId w:val="4"/>
        </w:numPr>
        <w:jc w:val="left"/>
        <w:rPr>
          <w:rFonts w:ascii="Arial" w:hAnsi="Arial" w:cs="Arial"/>
          <w:bCs/>
        </w:rPr>
      </w:pPr>
      <w:r w:rsidRPr="00A845B7">
        <w:rPr>
          <w:rFonts w:ascii="Arial" w:hAnsi="Arial" w:cs="Arial"/>
          <w:bCs/>
        </w:rPr>
        <w:t xml:space="preserve">Group interest charge expected to be </w:t>
      </w:r>
      <w:r w:rsidR="007072BB" w:rsidRPr="006931BA">
        <w:rPr>
          <w:rFonts w:ascii="Arial" w:hAnsi="Arial" w:cs="Arial"/>
          <w:bCs/>
        </w:rPr>
        <w:t>c.</w:t>
      </w:r>
      <w:r w:rsidRPr="006931BA">
        <w:rPr>
          <w:rFonts w:ascii="Arial" w:hAnsi="Arial" w:cs="Arial"/>
          <w:bCs/>
        </w:rPr>
        <w:t>£</w:t>
      </w:r>
      <w:r w:rsidR="00B26D8F" w:rsidRPr="006931BA">
        <w:rPr>
          <w:rFonts w:ascii="Arial" w:hAnsi="Arial" w:cs="Arial"/>
          <w:bCs/>
        </w:rPr>
        <w:t>5m</w:t>
      </w:r>
      <w:r w:rsidR="00B26D8F" w:rsidRPr="00A845B7">
        <w:rPr>
          <w:rFonts w:ascii="Arial" w:hAnsi="Arial" w:cs="Arial"/>
          <w:bCs/>
        </w:rPr>
        <w:t xml:space="preserve"> </w:t>
      </w:r>
      <w:r w:rsidR="00052C44" w:rsidRPr="00A845B7">
        <w:rPr>
          <w:rFonts w:ascii="Arial" w:hAnsi="Arial" w:cs="Arial"/>
          <w:bCs/>
        </w:rPr>
        <w:t>(excluding FFVR</w:t>
      </w:r>
      <w:r w:rsidR="00106BDC" w:rsidRPr="00A845B7">
        <w:rPr>
          <w:rFonts w:ascii="Arial" w:hAnsi="Arial" w:cs="Arial"/>
          <w:bCs/>
        </w:rPr>
        <w:t>* and exceptionals</w:t>
      </w:r>
      <w:r w:rsidR="00052C44" w:rsidRPr="00A845B7">
        <w:rPr>
          <w:rFonts w:ascii="Arial" w:hAnsi="Arial" w:cs="Arial"/>
          <w:bCs/>
        </w:rPr>
        <w:t>)</w:t>
      </w:r>
    </w:p>
    <w:p w:rsidR="007D43ED" w:rsidRPr="00A845B7" w:rsidRDefault="00365B2C">
      <w:pPr>
        <w:pStyle w:val="ListParagraph"/>
        <w:numPr>
          <w:ilvl w:val="0"/>
          <w:numId w:val="4"/>
        </w:numPr>
        <w:jc w:val="left"/>
        <w:rPr>
          <w:rFonts w:ascii="Arial" w:hAnsi="Arial" w:cs="Arial"/>
          <w:bCs/>
        </w:rPr>
      </w:pPr>
      <w:r w:rsidRPr="00783F92">
        <w:rPr>
          <w:rFonts w:ascii="Arial" w:hAnsi="Arial" w:cs="Arial"/>
          <w:bCs/>
        </w:rPr>
        <w:t xml:space="preserve">Effective </w:t>
      </w:r>
      <w:r w:rsidR="007D43ED" w:rsidRPr="00783F92">
        <w:rPr>
          <w:rFonts w:ascii="Arial" w:hAnsi="Arial" w:cs="Arial"/>
          <w:bCs/>
        </w:rPr>
        <w:t>tax rate expected to be around 26%, subject to the blend of profit within the</w:t>
      </w:r>
      <w:r w:rsidR="007D43ED" w:rsidRPr="00A845B7">
        <w:rPr>
          <w:rFonts w:ascii="Arial" w:hAnsi="Arial" w:cs="Arial"/>
          <w:bCs/>
        </w:rPr>
        <w:t xml:space="preserve"> companies</w:t>
      </w:r>
      <w:r w:rsidR="00D23E41" w:rsidRPr="00A845B7">
        <w:rPr>
          <w:rFonts w:ascii="Arial" w:hAnsi="Arial" w:cs="Arial"/>
          <w:bCs/>
        </w:rPr>
        <w:t>’</w:t>
      </w:r>
      <w:r w:rsidR="007D43ED" w:rsidRPr="00A845B7">
        <w:rPr>
          <w:rFonts w:ascii="Arial" w:hAnsi="Arial" w:cs="Arial"/>
          <w:bCs/>
        </w:rPr>
        <w:t xml:space="preserve"> various jurisdictions </w:t>
      </w:r>
    </w:p>
    <w:p w:rsidR="00320919" w:rsidRPr="00A845B7" w:rsidRDefault="00320919" w:rsidP="00925EFB">
      <w:pPr>
        <w:pStyle w:val="ListParagraph"/>
        <w:jc w:val="left"/>
        <w:rPr>
          <w:rFonts w:ascii="Arial" w:hAnsi="Arial" w:cs="Arial"/>
          <w:bCs/>
        </w:rPr>
      </w:pPr>
    </w:p>
    <w:p w:rsidR="007D43ED" w:rsidRPr="00A845B7" w:rsidRDefault="007D43ED" w:rsidP="00925EFB">
      <w:pPr>
        <w:jc w:val="left"/>
        <w:rPr>
          <w:rFonts w:ascii="Arial" w:hAnsi="Arial" w:cs="Arial"/>
          <w:b/>
          <w:bCs/>
        </w:rPr>
      </w:pPr>
      <w:r w:rsidRPr="00A845B7">
        <w:rPr>
          <w:rFonts w:ascii="Arial" w:hAnsi="Arial" w:cs="Arial"/>
          <w:b/>
          <w:bCs/>
        </w:rPr>
        <w:t>Cash flow:</w:t>
      </w:r>
    </w:p>
    <w:p w:rsidR="00AD3484" w:rsidRPr="00A845B7" w:rsidRDefault="007110C0" w:rsidP="00925EFB">
      <w:pPr>
        <w:pStyle w:val="ListParagraph"/>
        <w:numPr>
          <w:ilvl w:val="0"/>
          <w:numId w:val="4"/>
        </w:numPr>
        <w:jc w:val="left"/>
        <w:rPr>
          <w:rFonts w:ascii="Arial" w:hAnsi="Arial" w:cs="Arial"/>
          <w:bCs/>
        </w:rPr>
      </w:pPr>
      <w:r w:rsidRPr="00A845B7">
        <w:rPr>
          <w:rFonts w:ascii="Arial" w:hAnsi="Arial" w:cs="Arial"/>
          <w:bCs/>
        </w:rPr>
        <w:t xml:space="preserve">Total capex including transformation of </w:t>
      </w:r>
      <w:r w:rsidR="00AD3484" w:rsidRPr="00A845B7">
        <w:rPr>
          <w:rFonts w:ascii="Arial" w:hAnsi="Arial" w:cs="Arial"/>
          <w:bCs/>
        </w:rPr>
        <w:t>c.£</w:t>
      </w:r>
      <w:r w:rsidR="00B23552" w:rsidRPr="00A845B7">
        <w:rPr>
          <w:rFonts w:ascii="Arial" w:hAnsi="Arial" w:cs="Arial"/>
          <w:bCs/>
        </w:rPr>
        <w:t>450</w:t>
      </w:r>
      <w:r w:rsidR="002B3E94" w:rsidRPr="00A845B7">
        <w:rPr>
          <w:rFonts w:ascii="Arial" w:hAnsi="Arial" w:cs="Arial"/>
          <w:bCs/>
        </w:rPr>
        <w:t>m</w:t>
      </w:r>
      <w:r w:rsidR="00AD3484" w:rsidRPr="00A845B7">
        <w:rPr>
          <w:rFonts w:ascii="Arial" w:hAnsi="Arial" w:cs="Arial"/>
          <w:bCs/>
        </w:rPr>
        <w:t xml:space="preserve"> for FY 2017</w:t>
      </w:r>
      <w:r w:rsidR="00F764D3" w:rsidRPr="00A845B7">
        <w:rPr>
          <w:rFonts w:ascii="Arial" w:hAnsi="Arial" w:cs="Arial"/>
          <w:bCs/>
        </w:rPr>
        <w:t>/18</w:t>
      </w:r>
    </w:p>
    <w:p w:rsidR="007D43ED" w:rsidRPr="00A845B7" w:rsidRDefault="007D43ED" w:rsidP="00925EFB">
      <w:pPr>
        <w:pStyle w:val="ListParagraph"/>
        <w:numPr>
          <w:ilvl w:val="0"/>
          <w:numId w:val="4"/>
        </w:numPr>
        <w:jc w:val="left"/>
        <w:rPr>
          <w:rFonts w:ascii="Arial" w:hAnsi="Arial" w:cs="Arial"/>
          <w:bCs/>
        </w:rPr>
      </w:pPr>
      <w:r w:rsidRPr="00A845B7">
        <w:rPr>
          <w:rFonts w:ascii="Arial" w:hAnsi="Arial" w:cs="Arial"/>
          <w:bCs/>
        </w:rPr>
        <w:t xml:space="preserve">Capital return of c.£600m </w:t>
      </w:r>
      <w:r w:rsidR="00791A78" w:rsidRPr="00A845B7">
        <w:rPr>
          <w:rFonts w:ascii="Arial" w:hAnsi="Arial" w:cs="Arial"/>
          <w:bCs/>
        </w:rPr>
        <w:t>by the end of FY 2018/19</w:t>
      </w:r>
      <w:r w:rsidR="00A75E65" w:rsidRPr="00A845B7">
        <w:rPr>
          <w:rFonts w:ascii="Arial" w:hAnsi="Arial" w:cs="Arial"/>
          <w:bCs/>
        </w:rPr>
        <w:t xml:space="preserve"> </w:t>
      </w:r>
      <w:r w:rsidRPr="00A845B7">
        <w:rPr>
          <w:rFonts w:ascii="Arial" w:hAnsi="Arial" w:cs="Arial"/>
          <w:bCs/>
        </w:rPr>
        <w:t>expected to be via share buyback</w:t>
      </w:r>
      <w:r w:rsidR="00D8346C" w:rsidRPr="00A845B7">
        <w:rPr>
          <w:rFonts w:ascii="Arial" w:hAnsi="Arial" w:cs="Arial"/>
          <w:bCs/>
        </w:rPr>
        <w:t xml:space="preserve"> </w:t>
      </w:r>
      <w:r w:rsidR="002B3E94" w:rsidRPr="00A845B7">
        <w:rPr>
          <w:rFonts w:ascii="Arial" w:hAnsi="Arial" w:cs="Arial"/>
          <w:bCs/>
        </w:rPr>
        <w:t>(£200m completed in FY 2016/17)</w:t>
      </w:r>
    </w:p>
    <w:p w:rsidR="00773A54" w:rsidRPr="00A845B7" w:rsidRDefault="007D43ED" w:rsidP="00773A54">
      <w:pPr>
        <w:jc w:val="left"/>
        <w:rPr>
          <w:rFonts w:ascii="Arial" w:hAnsi="Arial" w:cs="Arial"/>
        </w:rPr>
      </w:pPr>
      <w:r w:rsidRPr="00376C53">
        <w:rPr>
          <w:rFonts w:ascii="Arial" w:hAnsi="Arial" w:cs="Arial"/>
          <w:b/>
          <w:bCs/>
          <w:color w:val="FF0000"/>
          <w:sz w:val="24"/>
          <w:szCs w:val="24"/>
        </w:rPr>
        <w:br w:type="page"/>
      </w:r>
      <w:r w:rsidR="00773A54" w:rsidRPr="00A845B7">
        <w:rPr>
          <w:rFonts w:ascii="Arial" w:hAnsi="Arial" w:cs="Arial"/>
          <w:b/>
          <w:bCs/>
        </w:rPr>
        <w:lastRenderedPageBreak/>
        <w:t xml:space="preserve">Section 4: </w:t>
      </w:r>
      <w:r w:rsidR="00930D09" w:rsidRPr="00A845B7">
        <w:rPr>
          <w:rFonts w:ascii="Arial" w:hAnsi="Arial" w:cs="Arial"/>
          <w:b/>
          <w:bCs/>
        </w:rPr>
        <w:t xml:space="preserve">FY </w:t>
      </w:r>
      <w:r w:rsidR="00773A54" w:rsidRPr="00A845B7">
        <w:rPr>
          <w:rFonts w:ascii="Arial" w:hAnsi="Arial" w:cs="Arial"/>
          <w:b/>
          <w:bCs/>
        </w:rPr>
        <w:t xml:space="preserve">2016/17 Financial </w:t>
      </w:r>
      <w:r w:rsidR="007341CC" w:rsidRPr="00A845B7">
        <w:rPr>
          <w:rFonts w:ascii="Arial" w:hAnsi="Arial" w:cs="Arial"/>
          <w:b/>
          <w:bCs/>
        </w:rPr>
        <w:t>r</w:t>
      </w:r>
      <w:r w:rsidR="00773A54" w:rsidRPr="00A845B7">
        <w:rPr>
          <w:rFonts w:ascii="Arial" w:hAnsi="Arial" w:cs="Arial"/>
          <w:b/>
          <w:bCs/>
        </w:rPr>
        <w:t xml:space="preserve">eview </w:t>
      </w:r>
    </w:p>
    <w:p w:rsidR="00773A54" w:rsidRPr="00A845B7" w:rsidRDefault="00773A54" w:rsidP="00773A54">
      <w:pPr>
        <w:tabs>
          <w:tab w:val="right" w:pos="9356"/>
        </w:tabs>
        <w:rPr>
          <w:rFonts w:ascii="Arial" w:hAnsi="Arial" w:cs="Arial"/>
          <w:b/>
          <w:i/>
        </w:rPr>
      </w:pPr>
    </w:p>
    <w:p w:rsidR="00997637" w:rsidRPr="00A845B7" w:rsidRDefault="00997637" w:rsidP="00997637">
      <w:pPr>
        <w:jc w:val="left"/>
        <w:rPr>
          <w:rFonts w:ascii="Arial" w:hAnsi="Arial" w:cs="Arial"/>
        </w:rPr>
      </w:pPr>
      <w:r w:rsidRPr="00A845B7">
        <w:rPr>
          <w:rFonts w:ascii="Arial" w:hAnsi="Arial" w:cs="Arial"/>
        </w:rPr>
        <w:t>A summary of the reported financial results for the year ended 31 January 2017 is set out below:</w:t>
      </w:r>
    </w:p>
    <w:p w:rsidR="00997637" w:rsidRPr="00A845B7" w:rsidRDefault="00997637" w:rsidP="00997637">
      <w:pPr>
        <w:jc w:val="left"/>
        <w:rPr>
          <w:rFonts w:ascii="Arial" w:hAnsi="Arial" w:cs="Arial"/>
        </w:rPr>
      </w:pPr>
    </w:p>
    <w:tbl>
      <w:tblPr>
        <w:tblW w:w="5000" w:type="pct"/>
        <w:tblLayout w:type="fixed"/>
        <w:tblLook w:val="01E0" w:firstRow="1" w:lastRow="1" w:firstColumn="1" w:lastColumn="1" w:noHBand="0" w:noVBand="0"/>
      </w:tblPr>
      <w:tblGrid>
        <w:gridCol w:w="3992"/>
        <w:gridCol w:w="1516"/>
        <w:gridCol w:w="1377"/>
        <w:gridCol w:w="1352"/>
        <w:gridCol w:w="1404"/>
      </w:tblGrid>
      <w:tr w:rsidR="00997637" w:rsidRPr="00A845B7" w:rsidTr="006F78D1">
        <w:tc>
          <w:tcPr>
            <w:tcW w:w="2071" w:type="pct"/>
            <w:tcBorders>
              <w:bottom w:val="single" w:sz="4" w:space="0" w:color="auto"/>
            </w:tcBorders>
            <w:shd w:val="clear" w:color="auto" w:fill="auto"/>
          </w:tcPr>
          <w:p w:rsidR="00997637" w:rsidRPr="00A845B7" w:rsidRDefault="00997637" w:rsidP="00F24C8A">
            <w:pPr>
              <w:rPr>
                <w:rFonts w:ascii="Arial" w:hAnsi="Arial" w:cs="Arial"/>
              </w:rPr>
            </w:pPr>
          </w:p>
        </w:tc>
        <w:tc>
          <w:tcPr>
            <w:tcW w:w="786" w:type="pct"/>
            <w:tcBorders>
              <w:bottom w:val="single" w:sz="4" w:space="0" w:color="auto"/>
            </w:tcBorders>
            <w:shd w:val="clear" w:color="auto" w:fill="auto"/>
          </w:tcPr>
          <w:p w:rsidR="00997637" w:rsidRPr="00F50924" w:rsidRDefault="00997637" w:rsidP="00F24C8A">
            <w:pPr>
              <w:jc w:val="right"/>
              <w:rPr>
                <w:rFonts w:ascii="Arial" w:hAnsi="Arial" w:cs="Arial"/>
                <w:b/>
              </w:rPr>
            </w:pPr>
            <w:r w:rsidRPr="00F50924">
              <w:rPr>
                <w:rFonts w:ascii="Arial" w:hAnsi="Arial" w:cs="Arial"/>
                <w:b/>
              </w:rPr>
              <w:t>2016/17</w:t>
            </w:r>
          </w:p>
          <w:p w:rsidR="00997637" w:rsidRPr="003C6F01" w:rsidRDefault="00997637" w:rsidP="00F24C8A">
            <w:pPr>
              <w:jc w:val="right"/>
              <w:rPr>
                <w:rFonts w:ascii="Arial" w:hAnsi="Arial" w:cs="Arial"/>
                <w:b/>
              </w:rPr>
            </w:pPr>
          </w:p>
        </w:tc>
        <w:tc>
          <w:tcPr>
            <w:tcW w:w="714" w:type="pct"/>
            <w:tcBorders>
              <w:bottom w:val="single" w:sz="4" w:space="0" w:color="auto"/>
            </w:tcBorders>
            <w:shd w:val="clear" w:color="auto" w:fill="auto"/>
          </w:tcPr>
          <w:p w:rsidR="00997637" w:rsidRPr="001E7802" w:rsidRDefault="00997637" w:rsidP="00F24C8A">
            <w:pPr>
              <w:jc w:val="right"/>
              <w:rPr>
                <w:rFonts w:ascii="Arial" w:hAnsi="Arial" w:cs="Arial"/>
              </w:rPr>
            </w:pPr>
            <w:r w:rsidRPr="001E7802">
              <w:rPr>
                <w:rFonts w:ascii="Arial" w:hAnsi="Arial" w:cs="Arial"/>
              </w:rPr>
              <w:t>2015/16</w:t>
            </w:r>
          </w:p>
          <w:p w:rsidR="00997637" w:rsidRPr="00F158F2" w:rsidRDefault="00997637" w:rsidP="00F24C8A">
            <w:pPr>
              <w:tabs>
                <w:tab w:val="center" w:pos="434"/>
                <w:tab w:val="right" w:pos="869"/>
              </w:tabs>
              <w:jc w:val="right"/>
              <w:rPr>
                <w:rFonts w:ascii="Arial" w:hAnsi="Arial" w:cs="Arial"/>
              </w:rPr>
            </w:pPr>
          </w:p>
        </w:tc>
        <w:tc>
          <w:tcPr>
            <w:tcW w:w="701" w:type="pct"/>
            <w:tcBorders>
              <w:bottom w:val="single" w:sz="4" w:space="0" w:color="auto"/>
            </w:tcBorders>
          </w:tcPr>
          <w:p w:rsidR="00997637" w:rsidRPr="00F158F2" w:rsidRDefault="00997637" w:rsidP="00F24C8A">
            <w:pPr>
              <w:jc w:val="right"/>
              <w:rPr>
                <w:rFonts w:ascii="Arial" w:hAnsi="Arial" w:cs="Arial"/>
              </w:rPr>
            </w:pPr>
            <w:r w:rsidRPr="00F158F2">
              <w:rPr>
                <w:rFonts w:ascii="Arial" w:hAnsi="Arial" w:cs="Arial"/>
              </w:rPr>
              <w:t>% Reported Change</w:t>
            </w:r>
          </w:p>
        </w:tc>
        <w:tc>
          <w:tcPr>
            <w:tcW w:w="728" w:type="pct"/>
            <w:tcBorders>
              <w:bottom w:val="single" w:sz="4" w:space="0" w:color="auto"/>
            </w:tcBorders>
            <w:shd w:val="clear" w:color="auto" w:fill="auto"/>
          </w:tcPr>
          <w:p w:rsidR="00997637" w:rsidRPr="00A845B7" w:rsidRDefault="00997637" w:rsidP="00F24C8A">
            <w:pPr>
              <w:jc w:val="right"/>
              <w:rPr>
                <w:rFonts w:ascii="Arial" w:hAnsi="Arial" w:cs="Arial"/>
              </w:rPr>
            </w:pPr>
            <w:r w:rsidRPr="00F158F2">
              <w:rPr>
                <w:rFonts w:ascii="Arial" w:hAnsi="Arial" w:cs="Arial"/>
              </w:rPr>
              <w:t>% Constant Currency Change</w:t>
            </w:r>
          </w:p>
        </w:tc>
      </w:tr>
      <w:tr w:rsidR="00997637" w:rsidRPr="00A845B7" w:rsidTr="006F78D1">
        <w:trPr>
          <w:trHeight w:val="80"/>
        </w:trPr>
        <w:tc>
          <w:tcPr>
            <w:tcW w:w="2071" w:type="pct"/>
            <w:tcBorders>
              <w:top w:val="single" w:sz="4" w:space="0" w:color="auto"/>
            </w:tcBorders>
            <w:shd w:val="clear" w:color="auto" w:fill="auto"/>
          </w:tcPr>
          <w:p w:rsidR="00997637" w:rsidRPr="00A845B7" w:rsidRDefault="00997637" w:rsidP="00F24C8A">
            <w:pPr>
              <w:rPr>
                <w:rFonts w:ascii="Arial" w:hAnsi="Arial" w:cs="Arial"/>
              </w:rPr>
            </w:pPr>
          </w:p>
        </w:tc>
        <w:tc>
          <w:tcPr>
            <w:tcW w:w="786" w:type="pct"/>
            <w:tcBorders>
              <w:top w:val="single" w:sz="4" w:space="0" w:color="auto"/>
            </w:tcBorders>
            <w:shd w:val="clear" w:color="auto" w:fill="auto"/>
          </w:tcPr>
          <w:p w:rsidR="00997637" w:rsidRPr="00A845B7" w:rsidRDefault="00997637" w:rsidP="00F24C8A">
            <w:pPr>
              <w:jc w:val="right"/>
              <w:rPr>
                <w:rFonts w:ascii="Arial" w:hAnsi="Arial" w:cs="Arial"/>
                <w:b/>
                <w:highlight w:val="yellow"/>
              </w:rPr>
            </w:pPr>
          </w:p>
        </w:tc>
        <w:tc>
          <w:tcPr>
            <w:tcW w:w="714" w:type="pct"/>
            <w:tcBorders>
              <w:top w:val="single" w:sz="4" w:space="0" w:color="auto"/>
            </w:tcBorders>
            <w:shd w:val="clear" w:color="auto" w:fill="auto"/>
          </w:tcPr>
          <w:p w:rsidR="00997637" w:rsidRPr="00A845B7" w:rsidRDefault="00997637" w:rsidP="00F24C8A">
            <w:pPr>
              <w:jc w:val="right"/>
              <w:rPr>
                <w:rFonts w:ascii="Arial" w:hAnsi="Arial" w:cs="Arial"/>
              </w:rPr>
            </w:pPr>
          </w:p>
        </w:tc>
        <w:tc>
          <w:tcPr>
            <w:tcW w:w="701" w:type="pct"/>
            <w:tcBorders>
              <w:top w:val="single" w:sz="4" w:space="0" w:color="auto"/>
            </w:tcBorders>
          </w:tcPr>
          <w:p w:rsidR="00997637" w:rsidRPr="00A845B7" w:rsidRDefault="00997637" w:rsidP="00F24C8A">
            <w:pPr>
              <w:jc w:val="right"/>
              <w:rPr>
                <w:rFonts w:ascii="Arial" w:hAnsi="Arial" w:cs="Arial"/>
              </w:rPr>
            </w:pPr>
          </w:p>
        </w:tc>
        <w:tc>
          <w:tcPr>
            <w:tcW w:w="728" w:type="pct"/>
            <w:tcBorders>
              <w:top w:val="single" w:sz="4" w:space="0" w:color="auto"/>
            </w:tcBorders>
            <w:shd w:val="clear" w:color="auto" w:fill="auto"/>
          </w:tcPr>
          <w:p w:rsidR="00997637" w:rsidRPr="00A845B7" w:rsidRDefault="00997637" w:rsidP="00F24C8A">
            <w:pPr>
              <w:jc w:val="right"/>
              <w:rPr>
                <w:rFonts w:ascii="Arial" w:hAnsi="Arial" w:cs="Arial"/>
              </w:rPr>
            </w:pPr>
          </w:p>
        </w:tc>
      </w:tr>
      <w:tr w:rsidR="00997637" w:rsidRPr="00A845B7" w:rsidTr="006F78D1">
        <w:tc>
          <w:tcPr>
            <w:tcW w:w="2071" w:type="pct"/>
            <w:shd w:val="clear" w:color="auto" w:fill="auto"/>
          </w:tcPr>
          <w:p w:rsidR="00997637" w:rsidRPr="00A845B7" w:rsidRDefault="00997637" w:rsidP="00F24C8A">
            <w:pPr>
              <w:jc w:val="left"/>
              <w:rPr>
                <w:rFonts w:ascii="Arial" w:hAnsi="Arial" w:cs="Arial"/>
              </w:rPr>
            </w:pPr>
            <w:r w:rsidRPr="00A845B7">
              <w:rPr>
                <w:rFonts w:ascii="Arial" w:hAnsi="Arial" w:cs="Arial"/>
              </w:rPr>
              <w:t>Adjusted sales</w:t>
            </w:r>
          </w:p>
        </w:tc>
        <w:tc>
          <w:tcPr>
            <w:tcW w:w="786" w:type="pct"/>
            <w:shd w:val="clear" w:color="auto" w:fill="auto"/>
          </w:tcPr>
          <w:p w:rsidR="00997637" w:rsidRPr="00A845B7" w:rsidRDefault="00997637" w:rsidP="00F24C8A">
            <w:pPr>
              <w:jc w:val="right"/>
              <w:rPr>
                <w:rFonts w:ascii="Arial" w:hAnsi="Arial" w:cs="Arial"/>
                <w:b/>
              </w:rPr>
            </w:pPr>
            <w:r w:rsidRPr="00A845B7">
              <w:rPr>
                <w:rFonts w:ascii="Arial" w:hAnsi="Arial" w:cs="Arial"/>
                <w:b/>
              </w:rPr>
              <w:t>£11,225m</w:t>
            </w:r>
            <w:r w:rsidRPr="00A845B7" w:rsidDel="009E5D4B">
              <w:rPr>
                <w:rFonts w:ascii="Arial" w:hAnsi="Arial" w:cs="Arial"/>
                <w:b/>
              </w:rPr>
              <w:t xml:space="preserve"> </w:t>
            </w:r>
          </w:p>
        </w:tc>
        <w:tc>
          <w:tcPr>
            <w:tcW w:w="714" w:type="pct"/>
            <w:shd w:val="clear" w:color="auto" w:fill="auto"/>
          </w:tcPr>
          <w:p w:rsidR="00997637" w:rsidRPr="00A845B7" w:rsidRDefault="00997637" w:rsidP="00F24C8A">
            <w:pPr>
              <w:jc w:val="right"/>
              <w:rPr>
                <w:rFonts w:ascii="Arial" w:hAnsi="Arial" w:cs="Arial"/>
              </w:rPr>
            </w:pPr>
            <w:r w:rsidRPr="00A845B7">
              <w:rPr>
                <w:rFonts w:ascii="Arial" w:hAnsi="Arial" w:cs="Arial"/>
              </w:rPr>
              <w:t>£10,331m</w:t>
            </w:r>
            <w:r w:rsidRPr="00A845B7" w:rsidDel="009E5D4B">
              <w:rPr>
                <w:rFonts w:ascii="Arial" w:hAnsi="Arial" w:cs="Arial"/>
              </w:rPr>
              <w:t xml:space="preserve"> </w:t>
            </w:r>
          </w:p>
        </w:tc>
        <w:tc>
          <w:tcPr>
            <w:tcW w:w="701" w:type="pct"/>
          </w:tcPr>
          <w:p w:rsidR="00997637" w:rsidRPr="00A845B7" w:rsidRDefault="00997637" w:rsidP="00F24C8A">
            <w:pPr>
              <w:jc w:val="right"/>
              <w:rPr>
                <w:rFonts w:ascii="Arial" w:hAnsi="Arial" w:cs="Arial"/>
              </w:rPr>
            </w:pPr>
            <w:r w:rsidRPr="00A845B7">
              <w:rPr>
                <w:rFonts w:ascii="Arial" w:hAnsi="Arial" w:cs="Arial"/>
              </w:rPr>
              <w:t>+8.7%</w:t>
            </w:r>
            <w:r w:rsidRPr="00A845B7" w:rsidDel="00265815">
              <w:rPr>
                <w:rFonts w:ascii="Arial" w:hAnsi="Arial" w:cs="Arial"/>
              </w:rPr>
              <w:t xml:space="preserve"> </w:t>
            </w:r>
          </w:p>
        </w:tc>
        <w:tc>
          <w:tcPr>
            <w:tcW w:w="728" w:type="pct"/>
            <w:shd w:val="clear" w:color="auto" w:fill="auto"/>
          </w:tcPr>
          <w:p w:rsidR="00997637" w:rsidRPr="00052C90" w:rsidRDefault="00997637" w:rsidP="00F24C8A">
            <w:pPr>
              <w:jc w:val="right"/>
              <w:rPr>
                <w:rFonts w:ascii="Arial" w:hAnsi="Arial" w:cs="Arial"/>
              </w:rPr>
            </w:pPr>
            <w:r w:rsidRPr="00052C90">
              <w:rPr>
                <w:rFonts w:ascii="Arial" w:hAnsi="Arial" w:cs="Arial"/>
              </w:rPr>
              <w:t>+1.7%</w:t>
            </w:r>
          </w:p>
        </w:tc>
      </w:tr>
      <w:tr w:rsidR="00997637" w:rsidRPr="00A845B7" w:rsidTr="006F78D1">
        <w:tc>
          <w:tcPr>
            <w:tcW w:w="2071" w:type="pct"/>
            <w:shd w:val="clear" w:color="auto" w:fill="auto"/>
          </w:tcPr>
          <w:p w:rsidR="00997637" w:rsidRPr="00A845B7" w:rsidRDefault="00997637" w:rsidP="00F24C8A">
            <w:pPr>
              <w:jc w:val="left"/>
              <w:rPr>
                <w:rFonts w:ascii="Arial" w:hAnsi="Arial" w:cs="Arial"/>
              </w:rPr>
            </w:pPr>
            <w:r w:rsidRPr="00A845B7">
              <w:rPr>
                <w:rFonts w:ascii="Arial" w:hAnsi="Arial" w:cs="Arial"/>
              </w:rPr>
              <w:t xml:space="preserve">Statutory sales </w:t>
            </w:r>
            <w:r w:rsidRPr="00A845B7">
              <w:rPr>
                <w:rFonts w:ascii="Arial" w:hAnsi="Arial" w:cs="Arial"/>
                <w:vertAlign w:val="superscript"/>
              </w:rPr>
              <w:t>(1)</w:t>
            </w:r>
          </w:p>
        </w:tc>
        <w:tc>
          <w:tcPr>
            <w:tcW w:w="786" w:type="pct"/>
            <w:shd w:val="clear" w:color="auto" w:fill="auto"/>
          </w:tcPr>
          <w:p w:rsidR="00997637" w:rsidRPr="00A845B7" w:rsidRDefault="00997637" w:rsidP="00F24C8A">
            <w:pPr>
              <w:jc w:val="right"/>
              <w:rPr>
                <w:rFonts w:ascii="Arial" w:hAnsi="Arial" w:cs="Arial"/>
                <w:b/>
              </w:rPr>
            </w:pPr>
            <w:r w:rsidRPr="00A845B7">
              <w:rPr>
                <w:rFonts w:ascii="Arial" w:hAnsi="Arial" w:cs="Arial"/>
                <w:b/>
              </w:rPr>
              <w:t>£11,225m</w:t>
            </w:r>
            <w:r w:rsidRPr="00A845B7" w:rsidDel="00265815">
              <w:rPr>
                <w:rFonts w:ascii="Arial" w:hAnsi="Arial" w:cs="Arial"/>
                <w:b/>
              </w:rPr>
              <w:t xml:space="preserve"> </w:t>
            </w:r>
          </w:p>
        </w:tc>
        <w:tc>
          <w:tcPr>
            <w:tcW w:w="714" w:type="pct"/>
            <w:shd w:val="clear" w:color="auto" w:fill="auto"/>
          </w:tcPr>
          <w:p w:rsidR="00997637" w:rsidRPr="00A845B7" w:rsidRDefault="00997637" w:rsidP="00F24C8A">
            <w:pPr>
              <w:jc w:val="right"/>
              <w:rPr>
                <w:rFonts w:ascii="Arial" w:hAnsi="Arial" w:cs="Arial"/>
              </w:rPr>
            </w:pPr>
            <w:r w:rsidRPr="00A845B7">
              <w:rPr>
                <w:rFonts w:ascii="Arial" w:hAnsi="Arial" w:cs="Arial"/>
              </w:rPr>
              <w:t>£10,441m</w:t>
            </w:r>
            <w:r w:rsidRPr="00A845B7" w:rsidDel="009E5D4B">
              <w:rPr>
                <w:rFonts w:ascii="Arial" w:hAnsi="Arial" w:cs="Arial"/>
              </w:rPr>
              <w:t xml:space="preserve"> </w:t>
            </w:r>
          </w:p>
        </w:tc>
        <w:tc>
          <w:tcPr>
            <w:tcW w:w="701" w:type="pct"/>
            <w:shd w:val="clear" w:color="auto" w:fill="auto"/>
          </w:tcPr>
          <w:p w:rsidR="00997637" w:rsidRPr="00A845B7" w:rsidRDefault="00997637" w:rsidP="00F24C8A">
            <w:pPr>
              <w:jc w:val="right"/>
              <w:rPr>
                <w:rFonts w:ascii="Arial" w:hAnsi="Arial" w:cs="Arial"/>
              </w:rPr>
            </w:pPr>
            <w:r w:rsidRPr="00A845B7">
              <w:rPr>
                <w:rFonts w:ascii="Arial" w:hAnsi="Arial" w:cs="Arial"/>
              </w:rPr>
              <w:t>+7.5%</w:t>
            </w:r>
            <w:r w:rsidRPr="00A845B7" w:rsidDel="00265815">
              <w:rPr>
                <w:rFonts w:ascii="Arial" w:hAnsi="Arial" w:cs="Arial"/>
              </w:rPr>
              <w:t xml:space="preserve"> </w:t>
            </w:r>
          </w:p>
        </w:tc>
        <w:tc>
          <w:tcPr>
            <w:tcW w:w="728" w:type="pct"/>
            <w:shd w:val="clear" w:color="auto" w:fill="auto"/>
          </w:tcPr>
          <w:p w:rsidR="00997637" w:rsidRPr="00052C90" w:rsidRDefault="00997637" w:rsidP="00F24C8A">
            <w:pPr>
              <w:jc w:val="right"/>
              <w:rPr>
                <w:rFonts w:ascii="Arial" w:hAnsi="Arial" w:cs="Arial"/>
              </w:rPr>
            </w:pPr>
            <w:r w:rsidRPr="00052C90">
              <w:rPr>
                <w:rFonts w:ascii="Arial" w:hAnsi="Arial" w:cs="Arial"/>
              </w:rPr>
              <w:t>+0.7%</w:t>
            </w:r>
          </w:p>
        </w:tc>
      </w:tr>
      <w:tr w:rsidR="00997637" w:rsidRPr="00A845B7" w:rsidTr="006F78D1">
        <w:tc>
          <w:tcPr>
            <w:tcW w:w="2071" w:type="pct"/>
            <w:shd w:val="clear" w:color="auto" w:fill="auto"/>
          </w:tcPr>
          <w:p w:rsidR="00997637" w:rsidRPr="00A845B7" w:rsidRDefault="00997637" w:rsidP="00F24C8A">
            <w:pPr>
              <w:jc w:val="left"/>
              <w:rPr>
                <w:rFonts w:ascii="Arial" w:hAnsi="Arial" w:cs="Arial"/>
              </w:rPr>
            </w:pPr>
            <w:r w:rsidRPr="00A845B7">
              <w:rPr>
                <w:rFonts w:ascii="Arial" w:hAnsi="Arial" w:cs="Arial"/>
              </w:rPr>
              <w:t xml:space="preserve">Retail profit </w:t>
            </w:r>
          </w:p>
        </w:tc>
        <w:tc>
          <w:tcPr>
            <w:tcW w:w="786" w:type="pct"/>
            <w:shd w:val="clear" w:color="auto" w:fill="auto"/>
          </w:tcPr>
          <w:p w:rsidR="00997637" w:rsidRPr="00A845B7" w:rsidRDefault="002D666E" w:rsidP="00F24C8A">
            <w:pPr>
              <w:jc w:val="right"/>
              <w:rPr>
                <w:rFonts w:ascii="Arial" w:hAnsi="Arial" w:cs="Arial"/>
                <w:b/>
              </w:rPr>
            </w:pPr>
            <w:r>
              <w:rPr>
                <w:rFonts w:ascii="Arial" w:hAnsi="Arial" w:cs="Arial"/>
                <w:b/>
              </w:rPr>
              <w:t>£847</w:t>
            </w:r>
            <w:r w:rsidR="00997637" w:rsidRPr="00A845B7">
              <w:rPr>
                <w:rFonts w:ascii="Arial" w:hAnsi="Arial" w:cs="Arial"/>
                <w:b/>
              </w:rPr>
              <w:t>m</w:t>
            </w:r>
            <w:r w:rsidR="00997637" w:rsidRPr="00A845B7" w:rsidDel="00265815">
              <w:rPr>
                <w:rFonts w:ascii="Arial" w:hAnsi="Arial" w:cs="Arial"/>
                <w:b/>
              </w:rPr>
              <w:t xml:space="preserve"> </w:t>
            </w:r>
          </w:p>
        </w:tc>
        <w:tc>
          <w:tcPr>
            <w:tcW w:w="714" w:type="pct"/>
            <w:shd w:val="clear" w:color="auto" w:fill="auto"/>
          </w:tcPr>
          <w:p w:rsidR="00997637" w:rsidRPr="00A845B7" w:rsidRDefault="00997637" w:rsidP="00F24C8A">
            <w:pPr>
              <w:jc w:val="right"/>
              <w:rPr>
                <w:rFonts w:ascii="Arial" w:hAnsi="Arial" w:cs="Arial"/>
              </w:rPr>
            </w:pPr>
            <w:r w:rsidRPr="00A845B7">
              <w:rPr>
                <w:rFonts w:ascii="Arial" w:hAnsi="Arial" w:cs="Arial"/>
              </w:rPr>
              <w:t>£746m</w:t>
            </w:r>
            <w:r w:rsidRPr="00A845B7" w:rsidDel="009E5D4B">
              <w:rPr>
                <w:rFonts w:ascii="Arial" w:hAnsi="Arial" w:cs="Arial"/>
              </w:rPr>
              <w:t xml:space="preserve"> </w:t>
            </w:r>
          </w:p>
        </w:tc>
        <w:tc>
          <w:tcPr>
            <w:tcW w:w="701" w:type="pct"/>
          </w:tcPr>
          <w:p w:rsidR="00997637" w:rsidRPr="00A845B7" w:rsidRDefault="00997637" w:rsidP="00F24C8A">
            <w:pPr>
              <w:jc w:val="right"/>
              <w:rPr>
                <w:rFonts w:ascii="Arial" w:hAnsi="Arial" w:cs="Arial"/>
              </w:rPr>
            </w:pPr>
            <w:r w:rsidRPr="00A845B7">
              <w:rPr>
                <w:rFonts w:ascii="Arial" w:hAnsi="Arial" w:cs="Arial"/>
              </w:rPr>
              <w:t>+13.</w:t>
            </w:r>
            <w:r w:rsidR="002D666E">
              <w:rPr>
                <w:rFonts w:ascii="Arial" w:hAnsi="Arial" w:cs="Arial"/>
              </w:rPr>
              <w:t>5</w:t>
            </w:r>
            <w:r w:rsidRPr="00A845B7">
              <w:rPr>
                <w:rFonts w:ascii="Arial" w:hAnsi="Arial" w:cs="Arial"/>
              </w:rPr>
              <w:t>%</w:t>
            </w:r>
            <w:r w:rsidRPr="00A845B7" w:rsidDel="00265815">
              <w:rPr>
                <w:rFonts w:ascii="Arial" w:hAnsi="Arial" w:cs="Arial"/>
              </w:rPr>
              <w:t xml:space="preserve"> </w:t>
            </w:r>
          </w:p>
        </w:tc>
        <w:tc>
          <w:tcPr>
            <w:tcW w:w="728" w:type="pct"/>
            <w:shd w:val="clear" w:color="auto" w:fill="auto"/>
          </w:tcPr>
          <w:p w:rsidR="00997637" w:rsidRPr="00A845B7" w:rsidRDefault="002D666E" w:rsidP="00F24C8A">
            <w:pPr>
              <w:jc w:val="right"/>
              <w:rPr>
                <w:rFonts w:ascii="Arial" w:hAnsi="Arial" w:cs="Arial"/>
              </w:rPr>
            </w:pPr>
            <w:r>
              <w:rPr>
                <w:rFonts w:ascii="Arial" w:hAnsi="Arial" w:cs="Arial"/>
              </w:rPr>
              <w:t>+6.1</w:t>
            </w:r>
            <w:r w:rsidR="00997637" w:rsidRPr="00A845B7">
              <w:rPr>
                <w:rFonts w:ascii="Arial" w:hAnsi="Arial" w:cs="Arial"/>
              </w:rPr>
              <w:t>%</w:t>
            </w:r>
          </w:p>
        </w:tc>
      </w:tr>
      <w:tr w:rsidR="00997637" w:rsidRPr="00A845B7" w:rsidTr="006F78D1">
        <w:tc>
          <w:tcPr>
            <w:tcW w:w="2071" w:type="pct"/>
            <w:shd w:val="clear" w:color="auto" w:fill="auto"/>
          </w:tcPr>
          <w:p w:rsidR="00997637" w:rsidRPr="00A845B7" w:rsidRDefault="00997637" w:rsidP="00F24C8A">
            <w:pPr>
              <w:jc w:val="left"/>
              <w:rPr>
                <w:rFonts w:ascii="Arial" w:hAnsi="Arial" w:cs="Arial"/>
              </w:rPr>
            </w:pPr>
            <w:r w:rsidRPr="00A845B7">
              <w:rPr>
                <w:rFonts w:ascii="Arial" w:hAnsi="Arial" w:cs="Arial"/>
              </w:rPr>
              <w:t>Underlying pre-tax profit</w:t>
            </w:r>
          </w:p>
        </w:tc>
        <w:tc>
          <w:tcPr>
            <w:tcW w:w="786" w:type="pct"/>
            <w:shd w:val="clear" w:color="auto" w:fill="auto"/>
          </w:tcPr>
          <w:p w:rsidR="00997637" w:rsidRPr="00A845B7" w:rsidDel="00265815" w:rsidRDefault="002D666E" w:rsidP="00F24C8A">
            <w:pPr>
              <w:jc w:val="right"/>
              <w:rPr>
                <w:rFonts w:ascii="Arial" w:hAnsi="Arial" w:cs="Arial"/>
                <w:b/>
              </w:rPr>
            </w:pPr>
            <w:r>
              <w:rPr>
                <w:rFonts w:ascii="Arial" w:hAnsi="Arial" w:cs="Arial"/>
                <w:b/>
              </w:rPr>
              <w:t>£787</w:t>
            </w:r>
            <w:r w:rsidR="00997637" w:rsidRPr="00A845B7">
              <w:rPr>
                <w:rFonts w:ascii="Arial" w:hAnsi="Arial" w:cs="Arial"/>
                <w:b/>
              </w:rPr>
              <w:t>m</w:t>
            </w:r>
          </w:p>
        </w:tc>
        <w:tc>
          <w:tcPr>
            <w:tcW w:w="714" w:type="pct"/>
            <w:shd w:val="clear" w:color="auto" w:fill="auto"/>
          </w:tcPr>
          <w:p w:rsidR="00997637" w:rsidRPr="00A845B7" w:rsidRDefault="00997637" w:rsidP="00F24C8A">
            <w:pPr>
              <w:jc w:val="right"/>
              <w:rPr>
                <w:rFonts w:ascii="Arial" w:hAnsi="Arial" w:cs="Arial"/>
              </w:rPr>
            </w:pPr>
            <w:r w:rsidRPr="00A845B7">
              <w:rPr>
                <w:rFonts w:ascii="Arial" w:hAnsi="Arial" w:cs="Arial"/>
              </w:rPr>
              <w:t>£686m</w:t>
            </w:r>
          </w:p>
        </w:tc>
        <w:tc>
          <w:tcPr>
            <w:tcW w:w="701" w:type="pct"/>
          </w:tcPr>
          <w:p w:rsidR="00997637" w:rsidRPr="00A845B7" w:rsidDel="00265815" w:rsidRDefault="002D666E" w:rsidP="00F24C8A">
            <w:pPr>
              <w:jc w:val="right"/>
              <w:rPr>
                <w:rFonts w:ascii="Arial" w:hAnsi="Arial" w:cs="Arial"/>
              </w:rPr>
            </w:pPr>
            <w:r>
              <w:rPr>
                <w:rFonts w:ascii="Arial" w:hAnsi="Arial" w:cs="Arial"/>
              </w:rPr>
              <w:t>+14.7</w:t>
            </w:r>
            <w:r w:rsidR="00997637" w:rsidRPr="00A845B7">
              <w:rPr>
                <w:rFonts w:ascii="Arial" w:hAnsi="Arial" w:cs="Arial"/>
              </w:rPr>
              <w:t>%</w:t>
            </w:r>
          </w:p>
        </w:tc>
        <w:tc>
          <w:tcPr>
            <w:tcW w:w="728" w:type="pct"/>
            <w:shd w:val="clear" w:color="auto" w:fill="auto"/>
          </w:tcPr>
          <w:p w:rsidR="00997637" w:rsidRPr="00A845B7" w:rsidRDefault="00997637" w:rsidP="00F24C8A">
            <w:pPr>
              <w:jc w:val="right"/>
              <w:rPr>
                <w:rFonts w:ascii="Arial" w:hAnsi="Arial" w:cs="Arial"/>
              </w:rPr>
            </w:pPr>
          </w:p>
        </w:tc>
      </w:tr>
      <w:tr w:rsidR="00997637" w:rsidRPr="00A845B7" w:rsidTr="006F78D1">
        <w:tc>
          <w:tcPr>
            <w:tcW w:w="2071" w:type="pct"/>
            <w:shd w:val="clear" w:color="auto" w:fill="auto"/>
          </w:tcPr>
          <w:p w:rsidR="00997637" w:rsidRPr="00A845B7" w:rsidRDefault="00997637" w:rsidP="00F24C8A">
            <w:pPr>
              <w:jc w:val="left"/>
              <w:rPr>
                <w:rFonts w:ascii="Arial" w:hAnsi="Arial" w:cs="Arial"/>
              </w:rPr>
            </w:pPr>
            <w:r w:rsidRPr="00A845B7">
              <w:rPr>
                <w:rFonts w:ascii="Arial" w:hAnsi="Arial" w:cs="Arial"/>
              </w:rPr>
              <w:t>Transformation P&amp;L costs</w:t>
            </w:r>
            <w:r w:rsidR="004D01EC">
              <w:rPr>
                <w:rFonts w:ascii="Arial" w:hAnsi="Arial" w:cs="Arial"/>
              </w:rPr>
              <w:t xml:space="preserve"> </w:t>
            </w:r>
            <w:r w:rsidR="004D01EC" w:rsidRPr="006F78D1">
              <w:rPr>
                <w:rFonts w:ascii="Arial" w:hAnsi="Arial" w:cs="Arial"/>
                <w:vertAlign w:val="superscript"/>
              </w:rPr>
              <w:t>(2)</w:t>
            </w:r>
          </w:p>
        </w:tc>
        <w:tc>
          <w:tcPr>
            <w:tcW w:w="786" w:type="pct"/>
            <w:shd w:val="clear" w:color="auto" w:fill="auto"/>
          </w:tcPr>
          <w:p w:rsidR="00997637" w:rsidRPr="00A845B7" w:rsidDel="00265815" w:rsidRDefault="00997637" w:rsidP="00F24C8A">
            <w:pPr>
              <w:jc w:val="right"/>
              <w:rPr>
                <w:rFonts w:ascii="Arial" w:hAnsi="Arial" w:cs="Arial"/>
                <w:b/>
              </w:rPr>
            </w:pPr>
            <w:r w:rsidRPr="00A845B7">
              <w:rPr>
                <w:rFonts w:ascii="Arial" w:hAnsi="Arial" w:cs="Arial"/>
                <w:b/>
              </w:rPr>
              <w:t>£</w:t>
            </w:r>
            <w:r w:rsidR="003C6F01">
              <w:rPr>
                <w:rFonts w:ascii="Arial" w:hAnsi="Arial" w:cs="Arial"/>
                <w:b/>
              </w:rPr>
              <w:t>(</w:t>
            </w:r>
            <w:r w:rsidRPr="00A845B7">
              <w:rPr>
                <w:rFonts w:ascii="Arial" w:hAnsi="Arial" w:cs="Arial"/>
                <w:b/>
              </w:rPr>
              <w:t>44</w:t>
            </w:r>
            <w:r w:rsidR="003C6F01">
              <w:rPr>
                <w:rFonts w:ascii="Arial" w:hAnsi="Arial" w:cs="Arial"/>
                <w:b/>
              </w:rPr>
              <w:t>)</w:t>
            </w:r>
            <w:r w:rsidRPr="00A845B7">
              <w:rPr>
                <w:rFonts w:ascii="Arial" w:hAnsi="Arial" w:cs="Arial"/>
                <w:b/>
              </w:rPr>
              <w:t>m</w:t>
            </w:r>
          </w:p>
        </w:tc>
        <w:tc>
          <w:tcPr>
            <w:tcW w:w="714" w:type="pct"/>
            <w:shd w:val="clear" w:color="auto" w:fill="auto"/>
          </w:tcPr>
          <w:p w:rsidR="00997637" w:rsidRPr="00A845B7" w:rsidRDefault="00997637" w:rsidP="00F24C8A">
            <w:pPr>
              <w:jc w:val="right"/>
              <w:rPr>
                <w:rFonts w:ascii="Arial" w:hAnsi="Arial" w:cs="Arial"/>
              </w:rPr>
            </w:pPr>
            <w:r w:rsidRPr="00A845B7">
              <w:rPr>
                <w:rFonts w:ascii="Arial" w:hAnsi="Arial" w:cs="Arial"/>
              </w:rPr>
              <w:t>-</w:t>
            </w:r>
          </w:p>
        </w:tc>
        <w:tc>
          <w:tcPr>
            <w:tcW w:w="701" w:type="pct"/>
          </w:tcPr>
          <w:p w:rsidR="00997637" w:rsidRPr="00A845B7" w:rsidDel="00265815" w:rsidRDefault="00997637" w:rsidP="00F24C8A">
            <w:pPr>
              <w:jc w:val="right"/>
              <w:rPr>
                <w:rFonts w:ascii="Arial" w:hAnsi="Arial" w:cs="Arial"/>
              </w:rPr>
            </w:pPr>
            <w:r w:rsidRPr="00A845B7">
              <w:rPr>
                <w:rFonts w:ascii="Arial" w:hAnsi="Arial" w:cs="Arial"/>
              </w:rPr>
              <w:t>n/a</w:t>
            </w:r>
          </w:p>
        </w:tc>
        <w:tc>
          <w:tcPr>
            <w:tcW w:w="728" w:type="pct"/>
            <w:shd w:val="clear" w:color="auto" w:fill="auto"/>
          </w:tcPr>
          <w:p w:rsidR="00997637" w:rsidRPr="00A845B7" w:rsidRDefault="00997637" w:rsidP="00F24C8A">
            <w:pPr>
              <w:jc w:val="right"/>
              <w:rPr>
                <w:rFonts w:ascii="Arial" w:hAnsi="Arial" w:cs="Arial"/>
                <w:highlight w:val="yellow"/>
              </w:rPr>
            </w:pPr>
          </w:p>
        </w:tc>
      </w:tr>
      <w:tr w:rsidR="00997637" w:rsidRPr="00A845B7" w:rsidTr="006F78D1">
        <w:tc>
          <w:tcPr>
            <w:tcW w:w="2071" w:type="pct"/>
            <w:shd w:val="clear" w:color="auto" w:fill="auto"/>
          </w:tcPr>
          <w:p w:rsidR="00997637" w:rsidRPr="00A845B7" w:rsidRDefault="00997637" w:rsidP="00F24C8A">
            <w:pPr>
              <w:jc w:val="left"/>
              <w:rPr>
                <w:rFonts w:ascii="Arial" w:hAnsi="Arial" w:cs="Arial"/>
              </w:rPr>
            </w:pPr>
            <w:r w:rsidRPr="00A845B7">
              <w:rPr>
                <w:rFonts w:ascii="Arial" w:hAnsi="Arial" w:cs="Arial"/>
              </w:rPr>
              <w:t xml:space="preserve">Adjusted pre-tax profit </w:t>
            </w:r>
          </w:p>
        </w:tc>
        <w:tc>
          <w:tcPr>
            <w:tcW w:w="786" w:type="pct"/>
            <w:shd w:val="clear" w:color="auto" w:fill="auto"/>
          </w:tcPr>
          <w:p w:rsidR="00997637" w:rsidRPr="00A845B7" w:rsidRDefault="00997637" w:rsidP="00F24C8A">
            <w:pPr>
              <w:jc w:val="right"/>
              <w:rPr>
                <w:rFonts w:ascii="Arial" w:hAnsi="Arial" w:cs="Arial"/>
                <w:b/>
              </w:rPr>
            </w:pPr>
            <w:r w:rsidRPr="00A845B7">
              <w:rPr>
                <w:rFonts w:ascii="Arial" w:hAnsi="Arial" w:cs="Arial"/>
                <w:b/>
              </w:rPr>
              <w:t>£74</w:t>
            </w:r>
            <w:r w:rsidR="002D666E">
              <w:rPr>
                <w:rFonts w:ascii="Arial" w:hAnsi="Arial" w:cs="Arial"/>
                <w:b/>
              </w:rPr>
              <w:t>3</w:t>
            </w:r>
            <w:r w:rsidRPr="00A845B7">
              <w:rPr>
                <w:rFonts w:ascii="Arial" w:hAnsi="Arial" w:cs="Arial"/>
                <w:b/>
              </w:rPr>
              <w:t>m</w:t>
            </w:r>
            <w:r w:rsidRPr="00A845B7" w:rsidDel="00265815">
              <w:rPr>
                <w:rFonts w:ascii="Arial" w:hAnsi="Arial" w:cs="Arial"/>
                <w:b/>
              </w:rPr>
              <w:t xml:space="preserve"> </w:t>
            </w:r>
          </w:p>
        </w:tc>
        <w:tc>
          <w:tcPr>
            <w:tcW w:w="714" w:type="pct"/>
            <w:shd w:val="clear" w:color="auto" w:fill="auto"/>
          </w:tcPr>
          <w:p w:rsidR="00997637" w:rsidRPr="00A845B7" w:rsidRDefault="00997637" w:rsidP="00F24C8A">
            <w:pPr>
              <w:jc w:val="right"/>
              <w:rPr>
                <w:rFonts w:ascii="Arial" w:hAnsi="Arial" w:cs="Arial"/>
              </w:rPr>
            </w:pPr>
            <w:r w:rsidRPr="00A845B7">
              <w:rPr>
                <w:rFonts w:ascii="Arial" w:hAnsi="Arial" w:cs="Arial"/>
              </w:rPr>
              <w:t>£686m</w:t>
            </w:r>
            <w:r w:rsidRPr="00A845B7" w:rsidDel="009E5D4B">
              <w:rPr>
                <w:rFonts w:ascii="Arial" w:hAnsi="Arial" w:cs="Arial"/>
              </w:rPr>
              <w:t xml:space="preserve"> </w:t>
            </w:r>
          </w:p>
        </w:tc>
        <w:tc>
          <w:tcPr>
            <w:tcW w:w="701" w:type="pct"/>
          </w:tcPr>
          <w:p w:rsidR="00997637" w:rsidRPr="00A845B7" w:rsidRDefault="00997637" w:rsidP="00F24C8A">
            <w:pPr>
              <w:jc w:val="right"/>
              <w:rPr>
                <w:rFonts w:ascii="Arial" w:hAnsi="Arial" w:cs="Arial"/>
                <w:highlight w:val="yellow"/>
              </w:rPr>
            </w:pPr>
            <w:r w:rsidRPr="00A845B7">
              <w:rPr>
                <w:rFonts w:ascii="Arial" w:hAnsi="Arial" w:cs="Arial"/>
              </w:rPr>
              <w:t>+8.</w:t>
            </w:r>
            <w:r w:rsidR="002D666E">
              <w:rPr>
                <w:rFonts w:ascii="Arial" w:hAnsi="Arial" w:cs="Arial"/>
              </w:rPr>
              <w:t>3</w:t>
            </w:r>
            <w:r w:rsidRPr="00A845B7">
              <w:rPr>
                <w:rFonts w:ascii="Arial" w:hAnsi="Arial" w:cs="Arial"/>
              </w:rPr>
              <w:t>%</w:t>
            </w:r>
          </w:p>
        </w:tc>
        <w:tc>
          <w:tcPr>
            <w:tcW w:w="728" w:type="pct"/>
            <w:shd w:val="clear" w:color="auto" w:fill="auto"/>
          </w:tcPr>
          <w:p w:rsidR="00997637" w:rsidRPr="00A845B7" w:rsidRDefault="00997637" w:rsidP="00F24C8A">
            <w:pPr>
              <w:jc w:val="right"/>
              <w:rPr>
                <w:rFonts w:ascii="Arial" w:hAnsi="Arial" w:cs="Arial"/>
                <w:highlight w:val="yellow"/>
              </w:rPr>
            </w:pPr>
          </w:p>
        </w:tc>
      </w:tr>
      <w:tr w:rsidR="00997637" w:rsidRPr="00A845B7" w:rsidTr="006F78D1">
        <w:tc>
          <w:tcPr>
            <w:tcW w:w="2071" w:type="pct"/>
            <w:shd w:val="clear" w:color="auto" w:fill="auto"/>
          </w:tcPr>
          <w:p w:rsidR="00997637" w:rsidRPr="00A845B7" w:rsidRDefault="00997637" w:rsidP="00F24C8A">
            <w:pPr>
              <w:jc w:val="left"/>
              <w:rPr>
                <w:rFonts w:ascii="Arial" w:hAnsi="Arial" w:cs="Arial"/>
              </w:rPr>
            </w:pPr>
            <w:r w:rsidRPr="00A845B7">
              <w:rPr>
                <w:rFonts w:ascii="Arial" w:hAnsi="Arial" w:cs="Arial"/>
              </w:rPr>
              <w:t xml:space="preserve">Statutory pre-tax profit </w:t>
            </w:r>
            <w:r w:rsidRPr="00A845B7">
              <w:rPr>
                <w:rFonts w:ascii="Arial" w:hAnsi="Arial" w:cs="Arial"/>
                <w:vertAlign w:val="superscript"/>
              </w:rPr>
              <w:t>(1)</w:t>
            </w:r>
          </w:p>
        </w:tc>
        <w:tc>
          <w:tcPr>
            <w:tcW w:w="786" w:type="pct"/>
            <w:shd w:val="clear" w:color="auto" w:fill="auto"/>
          </w:tcPr>
          <w:p w:rsidR="00997637" w:rsidRPr="00A845B7" w:rsidRDefault="00997637" w:rsidP="00F24C8A">
            <w:pPr>
              <w:jc w:val="right"/>
              <w:rPr>
                <w:rFonts w:ascii="Arial" w:hAnsi="Arial" w:cs="Arial"/>
                <w:b/>
                <w:highlight w:val="yellow"/>
              </w:rPr>
            </w:pPr>
            <w:r w:rsidRPr="00A845B7">
              <w:rPr>
                <w:rFonts w:ascii="Arial" w:hAnsi="Arial" w:cs="Arial"/>
                <w:b/>
              </w:rPr>
              <w:t>£75</w:t>
            </w:r>
            <w:r w:rsidR="002D666E">
              <w:rPr>
                <w:rFonts w:ascii="Arial" w:hAnsi="Arial" w:cs="Arial"/>
                <w:b/>
              </w:rPr>
              <w:t>9</w:t>
            </w:r>
            <w:r w:rsidRPr="00A845B7">
              <w:rPr>
                <w:rFonts w:ascii="Arial" w:hAnsi="Arial" w:cs="Arial"/>
                <w:b/>
              </w:rPr>
              <w:t>m</w:t>
            </w:r>
            <w:r w:rsidRPr="00A845B7" w:rsidDel="00265815">
              <w:rPr>
                <w:rFonts w:ascii="Arial" w:hAnsi="Arial" w:cs="Arial"/>
                <w:b/>
                <w:highlight w:val="yellow"/>
              </w:rPr>
              <w:t xml:space="preserve"> </w:t>
            </w:r>
          </w:p>
        </w:tc>
        <w:tc>
          <w:tcPr>
            <w:tcW w:w="714" w:type="pct"/>
            <w:shd w:val="clear" w:color="auto" w:fill="auto"/>
          </w:tcPr>
          <w:p w:rsidR="00997637" w:rsidRPr="00A845B7" w:rsidRDefault="00997637" w:rsidP="00F24C8A">
            <w:pPr>
              <w:jc w:val="right"/>
              <w:rPr>
                <w:rFonts w:ascii="Arial" w:hAnsi="Arial" w:cs="Arial"/>
              </w:rPr>
            </w:pPr>
            <w:r w:rsidRPr="00A845B7">
              <w:rPr>
                <w:rFonts w:ascii="Arial" w:hAnsi="Arial" w:cs="Arial"/>
              </w:rPr>
              <w:t>£512m</w:t>
            </w:r>
            <w:r w:rsidRPr="00A845B7" w:rsidDel="009E5D4B">
              <w:rPr>
                <w:rFonts w:ascii="Arial" w:hAnsi="Arial" w:cs="Arial"/>
              </w:rPr>
              <w:t xml:space="preserve"> </w:t>
            </w:r>
          </w:p>
        </w:tc>
        <w:tc>
          <w:tcPr>
            <w:tcW w:w="701" w:type="pct"/>
          </w:tcPr>
          <w:p w:rsidR="00997637" w:rsidRPr="00A845B7" w:rsidRDefault="00997637" w:rsidP="00F24C8A">
            <w:pPr>
              <w:jc w:val="right"/>
              <w:rPr>
                <w:rFonts w:ascii="Arial" w:hAnsi="Arial" w:cs="Arial"/>
                <w:highlight w:val="yellow"/>
              </w:rPr>
            </w:pPr>
            <w:r w:rsidRPr="00A845B7">
              <w:rPr>
                <w:rFonts w:ascii="Arial" w:hAnsi="Arial" w:cs="Arial"/>
              </w:rPr>
              <w:t>+4</w:t>
            </w:r>
            <w:r w:rsidR="002D666E">
              <w:rPr>
                <w:rFonts w:ascii="Arial" w:hAnsi="Arial" w:cs="Arial"/>
              </w:rPr>
              <w:t>8.2</w:t>
            </w:r>
            <w:r w:rsidRPr="00A845B7">
              <w:rPr>
                <w:rFonts w:ascii="Arial" w:hAnsi="Arial" w:cs="Arial"/>
              </w:rPr>
              <w:t>%</w:t>
            </w:r>
            <w:r w:rsidRPr="00A845B7" w:rsidDel="00265815">
              <w:rPr>
                <w:rFonts w:ascii="Arial" w:hAnsi="Arial" w:cs="Arial"/>
                <w:highlight w:val="yellow"/>
              </w:rPr>
              <w:t xml:space="preserve"> </w:t>
            </w:r>
          </w:p>
        </w:tc>
        <w:tc>
          <w:tcPr>
            <w:tcW w:w="728" w:type="pct"/>
            <w:shd w:val="clear" w:color="auto" w:fill="auto"/>
          </w:tcPr>
          <w:p w:rsidR="00997637" w:rsidRPr="00A845B7" w:rsidRDefault="00997637" w:rsidP="00F24C8A">
            <w:pPr>
              <w:jc w:val="right"/>
              <w:rPr>
                <w:rFonts w:ascii="Arial" w:hAnsi="Arial" w:cs="Arial"/>
                <w:highlight w:val="yellow"/>
              </w:rPr>
            </w:pPr>
          </w:p>
        </w:tc>
      </w:tr>
      <w:tr w:rsidR="00F158F2" w:rsidRPr="00A845B7" w:rsidTr="006F78D1">
        <w:tc>
          <w:tcPr>
            <w:tcW w:w="2071" w:type="pct"/>
            <w:shd w:val="clear" w:color="auto" w:fill="auto"/>
          </w:tcPr>
          <w:p w:rsidR="00F158F2" w:rsidRPr="00F50924" w:rsidRDefault="00F158F2" w:rsidP="00F158F2">
            <w:pPr>
              <w:jc w:val="left"/>
              <w:rPr>
                <w:rFonts w:ascii="Arial" w:hAnsi="Arial" w:cs="Arial"/>
              </w:rPr>
            </w:pPr>
            <w:r w:rsidRPr="00165A9B">
              <w:rPr>
                <w:rFonts w:ascii="Arial" w:hAnsi="Arial" w:cs="Arial"/>
              </w:rPr>
              <w:t>Effective tax rate</w:t>
            </w:r>
          </w:p>
        </w:tc>
        <w:tc>
          <w:tcPr>
            <w:tcW w:w="786" w:type="pct"/>
            <w:shd w:val="clear" w:color="auto" w:fill="auto"/>
          </w:tcPr>
          <w:p w:rsidR="00F158F2" w:rsidRPr="00F50924" w:rsidRDefault="00F158F2" w:rsidP="00F158F2">
            <w:pPr>
              <w:jc w:val="right"/>
              <w:rPr>
                <w:rFonts w:ascii="Arial" w:hAnsi="Arial" w:cs="Arial"/>
                <w:b/>
              </w:rPr>
            </w:pPr>
            <w:r w:rsidRPr="00165A9B">
              <w:rPr>
                <w:rFonts w:ascii="Arial" w:hAnsi="Arial" w:cs="Arial"/>
                <w:b/>
              </w:rPr>
              <w:t>26%</w:t>
            </w:r>
          </w:p>
        </w:tc>
        <w:tc>
          <w:tcPr>
            <w:tcW w:w="714" w:type="pct"/>
            <w:shd w:val="clear" w:color="auto" w:fill="auto"/>
          </w:tcPr>
          <w:p w:rsidR="00F158F2" w:rsidRPr="00F50924" w:rsidRDefault="00F158F2" w:rsidP="00F158F2">
            <w:pPr>
              <w:jc w:val="right"/>
              <w:rPr>
                <w:rFonts w:ascii="Arial" w:hAnsi="Arial" w:cs="Arial"/>
              </w:rPr>
            </w:pPr>
            <w:r w:rsidRPr="00165A9B">
              <w:rPr>
                <w:rFonts w:ascii="Arial" w:hAnsi="Arial" w:cs="Arial"/>
              </w:rPr>
              <w:t>26%</w:t>
            </w:r>
          </w:p>
        </w:tc>
        <w:tc>
          <w:tcPr>
            <w:tcW w:w="701" w:type="pct"/>
            <w:shd w:val="clear" w:color="auto" w:fill="auto"/>
          </w:tcPr>
          <w:p w:rsidR="00F158F2" w:rsidRPr="003C6F01" w:rsidRDefault="00F158F2" w:rsidP="00F158F2">
            <w:pPr>
              <w:jc w:val="right"/>
              <w:rPr>
                <w:rFonts w:ascii="Arial" w:hAnsi="Arial" w:cs="Arial"/>
              </w:rPr>
            </w:pPr>
          </w:p>
        </w:tc>
        <w:tc>
          <w:tcPr>
            <w:tcW w:w="728" w:type="pct"/>
            <w:shd w:val="clear" w:color="auto" w:fill="auto"/>
          </w:tcPr>
          <w:p w:rsidR="00F158F2" w:rsidRPr="00165A9B" w:rsidRDefault="00F158F2" w:rsidP="00F158F2">
            <w:pPr>
              <w:jc w:val="right"/>
              <w:rPr>
                <w:rFonts w:ascii="Arial" w:hAnsi="Arial" w:cs="Arial"/>
              </w:rPr>
            </w:pPr>
          </w:p>
        </w:tc>
      </w:tr>
      <w:tr w:rsidR="00F158F2" w:rsidRPr="00A845B7" w:rsidTr="006F78D1">
        <w:tc>
          <w:tcPr>
            <w:tcW w:w="2071" w:type="pct"/>
            <w:shd w:val="clear" w:color="auto" w:fill="auto"/>
          </w:tcPr>
          <w:p w:rsidR="00F158F2" w:rsidRPr="00A845B7" w:rsidRDefault="00F158F2" w:rsidP="00F158F2">
            <w:pPr>
              <w:jc w:val="left"/>
              <w:rPr>
                <w:rFonts w:ascii="Arial" w:hAnsi="Arial" w:cs="Arial"/>
              </w:rPr>
            </w:pPr>
            <w:r w:rsidRPr="00A845B7">
              <w:rPr>
                <w:rFonts w:ascii="Arial" w:hAnsi="Arial" w:cs="Arial"/>
              </w:rPr>
              <w:t>Exceptional items (post-tax)</w:t>
            </w:r>
            <w:r w:rsidR="00466129" w:rsidRPr="00FE4205">
              <w:rPr>
                <w:rFonts w:ascii="Arial" w:hAnsi="Arial" w:cs="Arial"/>
                <w:vertAlign w:val="superscript"/>
              </w:rPr>
              <w:t xml:space="preserve"> (2)</w:t>
            </w:r>
          </w:p>
        </w:tc>
        <w:tc>
          <w:tcPr>
            <w:tcW w:w="786" w:type="pct"/>
            <w:shd w:val="clear" w:color="auto" w:fill="auto"/>
          </w:tcPr>
          <w:p w:rsidR="00F158F2" w:rsidRPr="00A845B7" w:rsidRDefault="00F158F2" w:rsidP="00F158F2">
            <w:pPr>
              <w:jc w:val="right"/>
              <w:rPr>
                <w:rFonts w:ascii="Arial" w:hAnsi="Arial" w:cs="Arial"/>
                <w:b/>
              </w:rPr>
            </w:pPr>
            <w:r>
              <w:rPr>
                <w:rFonts w:ascii="Arial" w:hAnsi="Arial" w:cs="Arial"/>
                <w:b/>
              </w:rPr>
              <w:t>£11</w:t>
            </w:r>
            <w:r w:rsidRPr="00A845B7">
              <w:rPr>
                <w:rFonts w:ascii="Arial" w:hAnsi="Arial" w:cs="Arial"/>
                <w:b/>
              </w:rPr>
              <w:t>m</w:t>
            </w:r>
          </w:p>
        </w:tc>
        <w:tc>
          <w:tcPr>
            <w:tcW w:w="714" w:type="pct"/>
            <w:shd w:val="clear" w:color="auto" w:fill="auto"/>
          </w:tcPr>
          <w:p w:rsidR="00F158F2" w:rsidRPr="00A845B7" w:rsidRDefault="00F158F2" w:rsidP="00F158F2">
            <w:pPr>
              <w:jc w:val="right"/>
              <w:rPr>
                <w:rFonts w:ascii="Arial" w:hAnsi="Arial" w:cs="Arial"/>
              </w:rPr>
            </w:pPr>
            <w:r w:rsidRPr="00A845B7">
              <w:rPr>
                <w:rFonts w:ascii="Arial" w:hAnsi="Arial" w:cs="Arial"/>
              </w:rPr>
              <w:t>£(99)m</w:t>
            </w:r>
            <w:r w:rsidRPr="00A845B7" w:rsidDel="009E5D4B">
              <w:rPr>
                <w:rFonts w:ascii="Arial" w:hAnsi="Arial" w:cs="Arial"/>
              </w:rPr>
              <w:t xml:space="preserve"> </w:t>
            </w:r>
          </w:p>
        </w:tc>
        <w:tc>
          <w:tcPr>
            <w:tcW w:w="701" w:type="pct"/>
            <w:shd w:val="clear" w:color="auto" w:fill="auto"/>
          </w:tcPr>
          <w:p w:rsidR="00F158F2" w:rsidRPr="00A845B7" w:rsidRDefault="00F158F2" w:rsidP="00F158F2">
            <w:pPr>
              <w:jc w:val="right"/>
              <w:rPr>
                <w:rFonts w:ascii="Arial" w:hAnsi="Arial" w:cs="Arial"/>
              </w:rPr>
            </w:pPr>
            <w:r w:rsidRPr="00A845B7">
              <w:rPr>
                <w:rFonts w:ascii="Arial" w:hAnsi="Arial" w:cs="Arial"/>
              </w:rPr>
              <w:t>n/a</w:t>
            </w:r>
          </w:p>
        </w:tc>
        <w:tc>
          <w:tcPr>
            <w:tcW w:w="728" w:type="pct"/>
            <w:shd w:val="clear" w:color="auto" w:fill="auto"/>
          </w:tcPr>
          <w:p w:rsidR="00F158F2" w:rsidRPr="00A845B7" w:rsidRDefault="00F158F2" w:rsidP="00F158F2">
            <w:pPr>
              <w:jc w:val="right"/>
              <w:rPr>
                <w:rFonts w:ascii="Arial" w:hAnsi="Arial" w:cs="Arial"/>
                <w:highlight w:val="yellow"/>
              </w:rPr>
            </w:pPr>
          </w:p>
        </w:tc>
      </w:tr>
      <w:tr w:rsidR="00F158F2" w:rsidRPr="00A845B7" w:rsidTr="006F78D1">
        <w:tc>
          <w:tcPr>
            <w:tcW w:w="2071" w:type="pct"/>
            <w:shd w:val="clear" w:color="auto" w:fill="auto"/>
          </w:tcPr>
          <w:p w:rsidR="00F158F2" w:rsidRPr="00A845B7" w:rsidRDefault="00F158F2" w:rsidP="00F158F2">
            <w:pPr>
              <w:jc w:val="left"/>
              <w:rPr>
                <w:rFonts w:ascii="Arial" w:hAnsi="Arial" w:cs="Arial"/>
              </w:rPr>
            </w:pPr>
            <w:r w:rsidRPr="00A845B7">
              <w:rPr>
                <w:rFonts w:ascii="Arial" w:hAnsi="Arial" w:cs="Arial"/>
              </w:rPr>
              <w:t xml:space="preserve">Underlying basic earnings per share </w:t>
            </w:r>
          </w:p>
        </w:tc>
        <w:tc>
          <w:tcPr>
            <w:tcW w:w="786" w:type="pct"/>
            <w:shd w:val="clear" w:color="auto" w:fill="auto"/>
          </w:tcPr>
          <w:p w:rsidR="00F158F2" w:rsidRPr="00A845B7" w:rsidRDefault="00F158F2" w:rsidP="00F158F2">
            <w:pPr>
              <w:jc w:val="right"/>
              <w:rPr>
                <w:rFonts w:ascii="Arial" w:hAnsi="Arial" w:cs="Arial"/>
                <w:b/>
              </w:rPr>
            </w:pPr>
            <w:r w:rsidRPr="00A845B7">
              <w:rPr>
                <w:rFonts w:ascii="Arial" w:hAnsi="Arial" w:cs="Arial"/>
                <w:b/>
              </w:rPr>
              <w:t>2</w:t>
            </w:r>
            <w:r>
              <w:rPr>
                <w:rFonts w:ascii="Arial" w:hAnsi="Arial" w:cs="Arial"/>
                <w:b/>
              </w:rPr>
              <w:t>5.9</w:t>
            </w:r>
            <w:r w:rsidRPr="00A845B7">
              <w:rPr>
                <w:rFonts w:ascii="Arial" w:hAnsi="Arial" w:cs="Arial"/>
                <w:b/>
              </w:rPr>
              <w:t>p</w:t>
            </w:r>
          </w:p>
        </w:tc>
        <w:tc>
          <w:tcPr>
            <w:tcW w:w="714" w:type="pct"/>
            <w:shd w:val="clear" w:color="auto" w:fill="auto"/>
          </w:tcPr>
          <w:p w:rsidR="00F158F2" w:rsidRPr="00A845B7" w:rsidRDefault="00F158F2" w:rsidP="00F158F2">
            <w:pPr>
              <w:jc w:val="right"/>
              <w:rPr>
                <w:rFonts w:ascii="Arial" w:hAnsi="Arial" w:cs="Arial"/>
              </w:rPr>
            </w:pPr>
            <w:r w:rsidRPr="00A845B7">
              <w:rPr>
                <w:rFonts w:ascii="Arial" w:hAnsi="Arial" w:cs="Arial"/>
              </w:rPr>
              <w:t>22.0p</w:t>
            </w:r>
          </w:p>
        </w:tc>
        <w:tc>
          <w:tcPr>
            <w:tcW w:w="701" w:type="pct"/>
            <w:shd w:val="clear" w:color="auto" w:fill="auto"/>
          </w:tcPr>
          <w:p w:rsidR="00F158F2" w:rsidRPr="00A845B7" w:rsidRDefault="00F158F2" w:rsidP="00F158F2">
            <w:pPr>
              <w:jc w:val="right"/>
              <w:rPr>
                <w:rFonts w:ascii="Arial" w:hAnsi="Arial" w:cs="Arial"/>
              </w:rPr>
            </w:pPr>
            <w:r w:rsidRPr="00A845B7">
              <w:rPr>
                <w:rFonts w:ascii="Arial" w:hAnsi="Arial" w:cs="Arial"/>
              </w:rPr>
              <w:t>+1</w:t>
            </w:r>
            <w:r>
              <w:rPr>
                <w:rFonts w:ascii="Arial" w:hAnsi="Arial" w:cs="Arial"/>
              </w:rPr>
              <w:t>7.7</w:t>
            </w:r>
            <w:r w:rsidRPr="00A845B7">
              <w:rPr>
                <w:rFonts w:ascii="Arial" w:hAnsi="Arial" w:cs="Arial"/>
              </w:rPr>
              <w:t>%</w:t>
            </w:r>
          </w:p>
        </w:tc>
        <w:tc>
          <w:tcPr>
            <w:tcW w:w="728" w:type="pct"/>
            <w:shd w:val="clear" w:color="auto" w:fill="auto"/>
          </w:tcPr>
          <w:p w:rsidR="00F158F2" w:rsidRPr="00A845B7" w:rsidRDefault="00F158F2" w:rsidP="00F158F2">
            <w:pPr>
              <w:jc w:val="right"/>
              <w:rPr>
                <w:rFonts w:ascii="Arial" w:hAnsi="Arial" w:cs="Arial"/>
                <w:highlight w:val="yellow"/>
              </w:rPr>
            </w:pPr>
          </w:p>
        </w:tc>
      </w:tr>
      <w:tr w:rsidR="00F158F2" w:rsidRPr="00A845B7" w:rsidTr="006F78D1">
        <w:tc>
          <w:tcPr>
            <w:tcW w:w="2071" w:type="pct"/>
            <w:shd w:val="clear" w:color="auto" w:fill="auto"/>
          </w:tcPr>
          <w:p w:rsidR="00F158F2" w:rsidRPr="00A845B7" w:rsidRDefault="00F158F2" w:rsidP="00F158F2">
            <w:pPr>
              <w:jc w:val="left"/>
              <w:rPr>
                <w:rFonts w:ascii="Arial" w:hAnsi="Arial" w:cs="Arial"/>
              </w:rPr>
            </w:pPr>
            <w:r w:rsidRPr="00A845B7">
              <w:rPr>
                <w:rFonts w:ascii="Arial" w:hAnsi="Arial" w:cs="Arial"/>
              </w:rPr>
              <w:t xml:space="preserve">Adjusted basic earnings per share </w:t>
            </w:r>
          </w:p>
        </w:tc>
        <w:tc>
          <w:tcPr>
            <w:tcW w:w="786" w:type="pct"/>
            <w:shd w:val="clear" w:color="auto" w:fill="auto"/>
          </w:tcPr>
          <w:p w:rsidR="00F158F2" w:rsidRPr="00A845B7" w:rsidRDefault="00F158F2" w:rsidP="00F158F2">
            <w:pPr>
              <w:jc w:val="right"/>
              <w:rPr>
                <w:rFonts w:ascii="Arial" w:hAnsi="Arial" w:cs="Arial"/>
                <w:b/>
              </w:rPr>
            </w:pPr>
            <w:r>
              <w:rPr>
                <w:rFonts w:ascii="Arial" w:hAnsi="Arial" w:cs="Arial"/>
                <w:b/>
              </w:rPr>
              <w:t>24.4</w:t>
            </w:r>
            <w:r w:rsidRPr="00A845B7">
              <w:rPr>
                <w:rFonts w:ascii="Arial" w:hAnsi="Arial" w:cs="Arial"/>
                <w:b/>
              </w:rPr>
              <w:t>p</w:t>
            </w:r>
            <w:r w:rsidRPr="00A845B7" w:rsidDel="009E5D4B">
              <w:rPr>
                <w:rFonts w:ascii="Arial" w:hAnsi="Arial" w:cs="Arial"/>
                <w:b/>
              </w:rPr>
              <w:t xml:space="preserve"> </w:t>
            </w:r>
          </w:p>
        </w:tc>
        <w:tc>
          <w:tcPr>
            <w:tcW w:w="714" w:type="pct"/>
            <w:shd w:val="clear" w:color="auto" w:fill="auto"/>
          </w:tcPr>
          <w:p w:rsidR="00F158F2" w:rsidRPr="00A845B7" w:rsidRDefault="00F158F2" w:rsidP="00F158F2">
            <w:pPr>
              <w:jc w:val="right"/>
              <w:rPr>
                <w:rFonts w:ascii="Arial" w:hAnsi="Arial" w:cs="Arial"/>
              </w:rPr>
            </w:pPr>
            <w:r w:rsidRPr="00A845B7">
              <w:rPr>
                <w:rFonts w:ascii="Arial" w:hAnsi="Arial" w:cs="Arial"/>
              </w:rPr>
              <w:t>22.0p</w:t>
            </w:r>
            <w:r w:rsidRPr="00A845B7" w:rsidDel="009E5D4B">
              <w:rPr>
                <w:rFonts w:ascii="Arial" w:hAnsi="Arial" w:cs="Arial"/>
              </w:rPr>
              <w:t xml:space="preserve"> </w:t>
            </w:r>
          </w:p>
        </w:tc>
        <w:tc>
          <w:tcPr>
            <w:tcW w:w="701" w:type="pct"/>
            <w:shd w:val="clear" w:color="auto" w:fill="auto"/>
          </w:tcPr>
          <w:p w:rsidR="00F158F2" w:rsidRPr="00A845B7" w:rsidRDefault="00F158F2" w:rsidP="00F158F2">
            <w:pPr>
              <w:jc w:val="right"/>
              <w:rPr>
                <w:rFonts w:ascii="Arial" w:hAnsi="Arial" w:cs="Arial"/>
              </w:rPr>
            </w:pPr>
            <w:r>
              <w:rPr>
                <w:rFonts w:ascii="Arial" w:hAnsi="Arial" w:cs="Arial"/>
              </w:rPr>
              <w:t>+10.9</w:t>
            </w:r>
            <w:r w:rsidRPr="00A845B7">
              <w:rPr>
                <w:rFonts w:ascii="Arial" w:hAnsi="Arial" w:cs="Arial"/>
              </w:rPr>
              <w:t>%</w:t>
            </w:r>
          </w:p>
        </w:tc>
        <w:tc>
          <w:tcPr>
            <w:tcW w:w="728" w:type="pct"/>
            <w:shd w:val="clear" w:color="auto" w:fill="auto"/>
          </w:tcPr>
          <w:p w:rsidR="00F158F2" w:rsidRPr="00A845B7" w:rsidRDefault="00F158F2" w:rsidP="00F158F2">
            <w:pPr>
              <w:jc w:val="right"/>
              <w:rPr>
                <w:rFonts w:ascii="Arial" w:hAnsi="Arial" w:cs="Arial"/>
                <w:highlight w:val="yellow"/>
              </w:rPr>
            </w:pPr>
          </w:p>
        </w:tc>
      </w:tr>
      <w:tr w:rsidR="00F158F2" w:rsidRPr="00A845B7" w:rsidTr="006F78D1">
        <w:tc>
          <w:tcPr>
            <w:tcW w:w="2071" w:type="pct"/>
            <w:shd w:val="clear" w:color="auto" w:fill="auto"/>
          </w:tcPr>
          <w:p w:rsidR="00F158F2" w:rsidRPr="00A845B7" w:rsidRDefault="00F158F2" w:rsidP="00F158F2">
            <w:pPr>
              <w:jc w:val="left"/>
              <w:rPr>
                <w:rFonts w:ascii="Arial" w:hAnsi="Arial" w:cs="Arial"/>
              </w:rPr>
            </w:pPr>
            <w:r w:rsidRPr="00A845B7">
              <w:rPr>
                <w:rFonts w:ascii="Arial" w:hAnsi="Arial" w:cs="Arial"/>
              </w:rPr>
              <w:t xml:space="preserve">Basic earnings per share </w:t>
            </w:r>
            <w:r w:rsidRPr="00A845B7">
              <w:rPr>
                <w:rFonts w:ascii="Arial" w:hAnsi="Arial" w:cs="Arial"/>
                <w:vertAlign w:val="superscript"/>
              </w:rPr>
              <w:t>(1)</w:t>
            </w:r>
          </w:p>
        </w:tc>
        <w:tc>
          <w:tcPr>
            <w:tcW w:w="786" w:type="pct"/>
            <w:shd w:val="clear" w:color="auto" w:fill="auto"/>
          </w:tcPr>
          <w:p w:rsidR="00F158F2" w:rsidRPr="00A845B7" w:rsidRDefault="00F158F2" w:rsidP="00F158F2">
            <w:pPr>
              <w:jc w:val="right"/>
              <w:rPr>
                <w:rFonts w:ascii="Arial" w:hAnsi="Arial" w:cs="Arial"/>
                <w:b/>
              </w:rPr>
            </w:pPr>
            <w:r>
              <w:rPr>
                <w:rFonts w:ascii="Arial" w:hAnsi="Arial" w:cs="Arial"/>
                <w:b/>
              </w:rPr>
              <w:t>27.1</w:t>
            </w:r>
            <w:r w:rsidRPr="00A845B7">
              <w:rPr>
                <w:rFonts w:ascii="Arial" w:hAnsi="Arial" w:cs="Arial"/>
                <w:b/>
              </w:rPr>
              <w:t>p</w:t>
            </w:r>
            <w:r w:rsidRPr="00A845B7" w:rsidDel="009E5D4B">
              <w:rPr>
                <w:rFonts w:ascii="Arial" w:hAnsi="Arial" w:cs="Arial"/>
                <w:b/>
              </w:rPr>
              <w:t xml:space="preserve"> </w:t>
            </w:r>
          </w:p>
        </w:tc>
        <w:tc>
          <w:tcPr>
            <w:tcW w:w="714" w:type="pct"/>
            <w:shd w:val="clear" w:color="auto" w:fill="auto"/>
          </w:tcPr>
          <w:p w:rsidR="00F158F2" w:rsidRPr="00A845B7" w:rsidDel="00791ABF" w:rsidRDefault="00F158F2" w:rsidP="00F158F2">
            <w:pPr>
              <w:jc w:val="right"/>
              <w:rPr>
                <w:rFonts w:ascii="Arial" w:hAnsi="Arial" w:cs="Arial"/>
              </w:rPr>
            </w:pPr>
            <w:r w:rsidRPr="00A845B7">
              <w:rPr>
                <w:rFonts w:ascii="Arial" w:hAnsi="Arial" w:cs="Arial"/>
              </w:rPr>
              <w:t>17.8p</w:t>
            </w:r>
            <w:r w:rsidRPr="00A845B7" w:rsidDel="009E5D4B">
              <w:rPr>
                <w:rFonts w:ascii="Arial" w:hAnsi="Arial" w:cs="Arial"/>
              </w:rPr>
              <w:t xml:space="preserve"> </w:t>
            </w:r>
          </w:p>
        </w:tc>
        <w:tc>
          <w:tcPr>
            <w:tcW w:w="701" w:type="pct"/>
            <w:shd w:val="clear" w:color="auto" w:fill="auto"/>
          </w:tcPr>
          <w:p w:rsidR="00F158F2" w:rsidRPr="00A845B7" w:rsidDel="00791ABF" w:rsidRDefault="00F158F2" w:rsidP="00F158F2">
            <w:pPr>
              <w:jc w:val="right"/>
              <w:rPr>
                <w:rFonts w:ascii="Arial" w:hAnsi="Arial" w:cs="Arial"/>
              </w:rPr>
            </w:pPr>
            <w:r w:rsidRPr="00A845B7">
              <w:rPr>
                <w:rFonts w:ascii="Arial" w:hAnsi="Arial" w:cs="Arial"/>
              </w:rPr>
              <w:t>+</w:t>
            </w:r>
            <w:r>
              <w:rPr>
                <w:rFonts w:ascii="Arial" w:hAnsi="Arial" w:cs="Arial"/>
              </w:rPr>
              <w:t>52.2</w:t>
            </w:r>
            <w:r w:rsidRPr="00A845B7">
              <w:rPr>
                <w:rFonts w:ascii="Arial" w:hAnsi="Arial" w:cs="Arial"/>
              </w:rPr>
              <w:t>%</w:t>
            </w:r>
            <w:r w:rsidRPr="00A845B7" w:rsidDel="00265815">
              <w:rPr>
                <w:rFonts w:ascii="Arial" w:hAnsi="Arial" w:cs="Arial"/>
              </w:rPr>
              <w:t xml:space="preserve"> </w:t>
            </w:r>
          </w:p>
        </w:tc>
        <w:tc>
          <w:tcPr>
            <w:tcW w:w="728" w:type="pct"/>
            <w:shd w:val="clear" w:color="auto" w:fill="auto"/>
          </w:tcPr>
          <w:p w:rsidR="00F158F2" w:rsidRPr="00A845B7" w:rsidRDefault="00F158F2" w:rsidP="00F158F2">
            <w:pPr>
              <w:jc w:val="right"/>
              <w:rPr>
                <w:rFonts w:ascii="Arial" w:hAnsi="Arial" w:cs="Arial"/>
                <w:highlight w:val="yellow"/>
              </w:rPr>
            </w:pPr>
          </w:p>
        </w:tc>
      </w:tr>
      <w:tr w:rsidR="00F158F2" w:rsidRPr="00A845B7" w:rsidTr="006F78D1">
        <w:tc>
          <w:tcPr>
            <w:tcW w:w="2071" w:type="pct"/>
            <w:shd w:val="clear" w:color="auto" w:fill="auto"/>
          </w:tcPr>
          <w:p w:rsidR="00F158F2" w:rsidRPr="00A845B7" w:rsidRDefault="00F158F2" w:rsidP="00F158F2">
            <w:pPr>
              <w:jc w:val="left"/>
              <w:rPr>
                <w:rFonts w:ascii="Arial" w:hAnsi="Arial" w:cs="Arial"/>
              </w:rPr>
            </w:pPr>
            <w:r w:rsidRPr="00A845B7">
              <w:rPr>
                <w:rFonts w:ascii="Arial" w:hAnsi="Arial" w:cs="Arial"/>
              </w:rPr>
              <w:t>Full year ordinary dividend</w:t>
            </w:r>
          </w:p>
        </w:tc>
        <w:tc>
          <w:tcPr>
            <w:tcW w:w="786" w:type="pct"/>
            <w:shd w:val="clear" w:color="auto" w:fill="auto"/>
          </w:tcPr>
          <w:p w:rsidR="00F158F2" w:rsidRPr="00862FEB" w:rsidRDefault="00A5402C" w:rsidP="00F158F2">
            <w:pPr>
              <w:jc w:val="right"/>
              <w:rPr>
                <w:rFonts w:ascii="Arial" w:hAnsi="Arial" w:cs="Arial"/>
                <w:b/>
              </w:rPr>
            </w:pPr>
            <w:r w:rsidRPr="00862FEB">
              <w:rPr>
                <w:rFonts w:ascii="Arial" w:hAnsi="Arial" w:cs="Arial"/>
                <w:b/>
              </w:rPr>
              <w:t>10.4</w:t>
            </w:r>
            <w:r w:rsidR="00F158F2" w:rsidRPr="00862FEB">
              <w:rPr>
                <w:rFonts w:ascii="Arial" w:hAnsi="Arial" w:cs="Arial"/>
                <w:b/>
              </w:rPr>
              <w:t>p</w:t>
            </w:r>
          </w:p>
        </w:tc>
        <w:tc>
          <w:tcPr>
            <w:tcW w:w="714" w:type="pct"/>
            <w:shd w:val="clear" w:color="auto" w:fill="auto"/>
          </w:tcPr>
          <w:p w:rsidR="00F158F2" w:rsidRPr="003925E2" w:rsidRDefault="00F158F2" w:rsidP="00F158F2">
            <w:pPr>
              <w:jc w:val="right"/>
              <w:rPr>
                <w:rFonts w:ascii="Arial" w:hAnsi="Arial" w:cs="Arial"/>
              </w:rPr>
            </w:pPr>
            <w:r w:rsidRPr="003925E2">
              <w:rPr>
                <w:rFonts w:ascii="Arial" w:hAnsi="Arial" w:cs="Arial"/>
              </w:rPr>
              <w:t>10.1p</w:t>
            </w:r>
          </w:p>
        </w:tc>
        <w:tc>
          <w:tcPr>
            <w:tcW w:w="701" w:type="pct"/>
          </w:tcPr>
          <w:p w:rsidR="00F158F2" w:rsidRPr="00862FEB" w:rsidDel="00713ADA" w:rsidRDefault="00F158F2" w:rsidP="00F158F2">
            <w:pPr>
              <w:jc w:val="right"/>
              <w:rPr>
                <w:rFonts w:ascii="Arial" w:hAnsi="Arial" w:cs="Arial"/>
              </w:rPr>
            </w:pPr>
            <w:r w:rsidRPr="00862FEB">
              <w:rPr>
                <w:rFonts w:ascii="Arial" w:hAnsi="Arial" w:cs="Arial"/>
              </w:rPr>
              <w:t>+</w:t>
            </w:r>
            <w:r w:rsidR="00A5402C" w:rsidRPr="00862FEB">
              <w:rPr>
                <w:rFonts w:ascii="Arial" w:hAnsi="Arial" w:cs="Arial"/>
              </w:rPr>
              <w:t>3</w:t>
            </w:r>
            <w:r w:rsidRPr="00862FEB">
              <w:rPr>
                <w:rFonts w:ascii="Arial" w:hAnsi="Arial" w:cs="Arial"/>
              </w:rPr>
              <w:t>.</w:t>
            </w:r>
            <w:r w:rsidR="00A5402C" w:rsidRPr="00862FEB">
              <w:rPr>
                <w:rFonts w:ascii="Arial" w:hAnsi="Arial" w:cs="Arial"/>
              </w:rPr>
              <w:t>0</w:t>
            </w:r>
            <w:r w:rsidRPr="00862FEB">
              <w:rPr>
                <w:rFonts w:ascii="Arial" w:hAnsi="Arial" w:cs="Arial"/>
              </w:rPr>
              <w:t>%</w:t>
            </w:r>
          </w:p>
        </w:tc>
        <w:tc>
          <w:tcPr>
            <w:tcW w:w="728" w:type="pct"/>
            <w:shd w:val="clear" w:color="auto" w:fill="auto"/>
          </w:tcPr>
          <w:p w:rsidR="00F158F2" w:rsidRPr="00A845B7" w:rsidRDefault="00F158F2" w:rsidP="00F158F2">
            <w:pPr>
              <w:jc w:val="right"/>
              <w:rPr>
                <w:rFonts w:ascii="Arial" w:hAnsi="Arial" w:cs="Arial"/>
                <w:highlight w:val="yellow"/>
              </w:rPr>
            </w:pPr>
          </w:p>
        </w:tc>
      </w:tr>
      <w:tr w:rsidR="00F158F2" w:rsidRPr="00A845B7" w:rsidTr="006F78D1">
        <w:tc>
          <w:tcPr>
            <w:tcW w:w="2071" w:type="pct"/>
            <w:shd w:val="clear" w:color="auto" w:fill="auto"/>
          </w:tcPr>
          <w:p w:rsidR="00F158F2" w:rsidRPr="00A845B7" w:rsidRDefault="00F158F2" w:rsidP="00F158F2">
            <w:pPr>
              <w:jc w:val="left"/>
              <w:rPr>
                <w:rFonts w:ascii="Arial" w:hAnsi="Arial" w:cs="Arial"/>
              </w:rPr>
            </w:pPr>
            <w:r w:rsidRPr="00A845B7">
              <w:rPr>
                <w:rFonts w:ascii="Arial" w:hAnsi="Arial" w:cs="Arial"/>
              </w:rPr>
              <w:t xml:space="preserve">Capital </w:t>
            </w:r>
            <w:r>
              <w:rPr>
                <w:rFonts w:ascii="Arial" w:hAnsi="Arial" w:cs="Arial"/>
              </w:rPr>
              <w:t>r</w:t>
            </w:r>
            <w:r w:rsidRPr="00A845B7">
              <w:rPr>
                <w:rFonts w:ascii="Arial" w:hAnsi="Arial" w:cs="Arial"/>
              </w:rPr>
              <w:t>eturn - share buyback</w:t>
            </w:r>
          </w:p>
        </w:tc>
        <w:tc>
          <w:tcPr>
            <w:tcW w:w="786" w:type="pct"/>
            <w:shd w:val="clear" w:color="auto" w:fill="auto"/>
          </w:tcPr>
          <w:p w:rsidR="00F158F2" w:rsidRPr="00A845B7" w:rsidRDefault="00F158F2" w:rsidP="00F158F2">
            <w:pPr>
              <w:jc w:val="right"/>
              <w:rPr>
                <w:rFonts w:ascii="Arial" w:hAnsi="Arial" w:cs="Arial"/>
                <w:b/>
              </w:rPr>
            </w:pPr>
            <w:r w:rsidRPr="00A845B7">
              <w:rPr>
                <w:rFonts w:ascii="Arial" w:hAnsi="Arial" w:cs="Arial"/>
                <w:b/>
              </w:rPr>
              <w:t>£200m</w:t>
            </w:r>
          </w:p>
        </w:tc>
        <w:tc>
          <w:tcPr>
            <w:tcW w:w="714" w:type="pct"/>
            <w:shd w:val="clear" w:color="auto" w:fill="auto"/>
          </w:tcPr>
          <w:p w:rsidR="00F158F2" w:rsidRPr="00A845B7" w:rsidRDefault="00F158F2" w:rsidP="00F158F2">
            <w:pPr>
              <w:jc w:val="right"/>
              <w:rPr>
                <w:rFonts w:ascii="Arial" w:hAnsi="Arial" w:cs="Arial"/>
              </w:rPr>
            </w:pPr>
            <w:r w:rsidRPr="00A845B7">
              <w:rPr>
                <w:rFonts w:ascii="Arial" w:hAnsi="Arial" w:cs="Arial"/>
              </w:rPr>
              <w:t>£200m</w:t>
            </w:r>
          </w:p>
        </w:tc>
        <w:tc>
          <w:tcPr>
            <w:tcW w:w="701" w:type="pct"/>
          </w:tcPr>
          <w:p w:rsidR="00F158F2" w:rsidRPr="00A845B7" w:rsidRDefault="00F158F2" w:rsidP="00F158F2">
            <w:pPr>
              <w:jc w:val="right"/>
              <w:rPr>
                <w:rFonts w:ascii="Arial" w:hAnsi="Arial" w:cs="Arial"/>
              </w:rPr>
            </w:pPr>
          </w:p>
        </w:tc>
        <w:tc>
          <w:tcPr>
            <w:tcW w:w="728" w:type="pct"/>
            <w:shd w:val="clear" w:color="auto" w:fill="auto"/>
          </w:tcPr>
          <w:p w:rsidR="00F158F2" w:rsidRPr="00A845B7" w:rsidRDefault="00F158F2" w:rsidP="00F158F2">
            <w:pPr>
              <w:jc w:val="right"/>
              <w:rPr>
                <w:rFonts w:ascii="Arial" w:hAnsi="Arial" w:cs="Arial"/>
              </w:rPr>
            </w:pPr>
          </w:p>
        </w:tc>
      </w:tr>
      <w:tr w:rsidR="00F158F2" w:rsidRPr="00A845B7" w:rsidTr="006F78D1">
        <w:tc>
          <w:tcPr>
            <w:tcW w:w="2071" w:type="pct"/>
            <w:tcBorders>
              <w:bottom w:val="single" w:sz="4" w:space="0" w:color="auto"/>
            </w:tcBorders>
            <w:shd w:val="clear" w:color="auto" w:fill="auto"/>
          </w:tcPr>
          <w:p w:rsidR="00F158F2" w:rsidRPr="00A845B7" w:rsidRDefault="00F158F2" w:rsidP="004B3EA9">
            <w:pPr>
              <w:jc w:val="left"/>
              <w:rPr>
                <w:rFonts w:ascii="Arial" w:hAnsi="Arial" w:cs="Arial"/>
              </w:rPr>
            </w:pPr>
            <w:r w:rsidRPr="00A845B7">
              <w:rPr>
                <w:rFonts w:ascii="Arial" w:hAnsi="Arial" w:cs="Arial"/>
              </w:rPr>
              <w:t xml:space="preserve">Net cash </w:t>
            </w:r>
          </w:p>
        </w:tc>
        <w:tc>
          <w:tcPr>
            <w:tcW w:w="786" w:type="pct"/>
            <w:tcBorders>
              <w:bottom w:val="single" w:sz="4" w:space="0" w:color="auto"/>
            </w:tcBorders>
            <w:shd w:val="clear" w:color="auto" w:fill="auto"/>
          </w:tcPr>
          <w:p w:rsidR="00F158F2" w:rsidRPr="00A845B7" w:rsidRDefault="00F158F2" w:rsidP="004B3EA9">
            <w:pPr>
              <w:jc w:val="right"/>
              <w:rPr>
                <w:rFonts w:ascii="Arial" w:hAnsi="Arial" w:cs="Arial"/>
                <w:b/>
                <w:highlight w:val="yellow"/>
              </w:rPr>
            </w:pPr>
            <w:r w:rsidRPr="00A845B7">
              <w:rPr>
                <w:rFonts w:ascii="Arial" w:hAnsi="Arial" w:cs="Arial"/>
                <w:b/>
              </w:rPr>
              <w:t>£641m</w:t>
            </w:r>
            <w:r w:rsidRPr="00A845B7" w:rsidDel="000D3023">
              <w:rPr>
                <w:rFonts w:ascii="Arial" w:hAnsi="Arial" w:cs="Arial"/>
                <w:b/>
                <w:highlight w:val="yellow"/>
              </w:rPr>
              <w:t xml:space="preserve"> </w:t>
            </w:r>
          </w:p>
        </w:tc>
        <w:tc>
          <w:tcPr>
            <w:tcW w:w="714" w:type="pct"/>
            <w:tcBorders>
              <w:bottom w:val="single" w:sz="4" w:space="0" w:color="auto"/>
            </w:tcBorders>
            <w:shd w:val="clear" w:color="auto" w:fill="auto"/>
          </w:tcPr>
          <w:p w:rsidR="00F158F2" w:rsidRPr="00A845B7" w:rsidRDefault="00F158F2" w:rsidP="004B3EA9">
            <w:pPr>
              <w:jc w:val="right"/>
              <w:rPr>
                <w:rFonts w:ascii="Arial" w:hAnsi="Arial" w:cs="Arial"/>
              </w:rPr>
            </w:pPr>
            <w:r w:rsidRPr="00A845B7">
              <w:rPr>
                <w:rFonts w:ascii="Arial" w:hAnsi="Arial" w:cs="Arial"/>
              </w:rPr>
              <w:t>£546m</w:t>
            </w:r>
          </w:p>
        </w:tc>
        <w:tc>
          <w:tcPr>
            <w:tcW w:w="701" w:type="pct"/>
            <w:tcBorders>
              <w:bottom w:val="single" w:sz="4" w:space="0" w:color="auto"/>
            </w:tcBorders>
          </w:tcPr>
          <w:p w:rsidR="00F158F2" w:rsidRPr="00A845B7" w:rsidRDefault="00F158F2" w:rsidP="004B3EA9">
            <w:pPr>
              <w:jc w:val="right"/>
              <w:rPr>
                <w:rFonts w:ascii="Arial" w:hAnsi="Arial" w:cs="Arial"/>
              </w:rPr>
            </w:pPr>
          </w:p>
        </w:tc>
        <w:tc>
          <w:tcPr>
            <w:tcW w:w="728" w:type="pct"/>
            <w:tcBorders>
              <w:bottom w:val="single" w:sz="4" w:space="0" w:color="auto"/>
            </w:tcBorders>
            <w:shd w:val="clear" w:color="auto" w:fill="auto"/>
          </w:tcPr>
          <w:p w:rsidR="00F158F2" w:rsidRPr="00A845B7" w:rsidRDefault="00F158F2" w:rsidP="004B3EA9">
            <w:pPr>
              <w:jc w:val="right"/>
              <w:rPr>
                <w:rFonts w:ascii="Arial" w:hAnsi="Arial" w:cs="Arial"/>
              </w:rPr>
            </w:pPr>
          </w:p>
        </w:tc>
      </w:tr>
    </w:tbl>
    <w:p w:rsidR="00997637" w:rsidRDefault="00997637" w:rsidP="00997637">
      <w:pPr>
        <w:jc w:val="left"/>
        <w:rPr>
          <w:rFonts w:ascii="Arial" w:hAnsi="Arial" w:cs="Arial"/>
          <w:sz w:val="18"/>
          <w:szCs w:val="24"/>
        </w:rPr>
      </w:pPr>
      <w:r w:rsidRPr="006F78D1">
        <w:rPr>
          <w:rFonts w:ascii="Arial" w:hAnsi="Arial" w:cs="Arial"/>
          <w:vertAlign w:val="superscript"/>
        </w:rPr>
        <w:t>(1)</w:t>
      </w:r>
      <w:r w:rsidRPr="000952F8">
        <w:rPr>
          <w:rFonts w:ascii="Arial" w:hAnsi="Arial" w:cs="Arial"/>
          <w:sz w:val="24"/>
          <w:szCs w:val="24"/>
        </w:rPr>
        <w:t xml:space="preserve"> </w:t>
      </w:r>
      <w:r>
        <w:rPr>
          <w:rFonts w:ascii="Arial" w:hAnsi="Arial" w:cs="Arial"/>
          <w:sz w:val="18"/>
          <w:szCs w:val="24"/>
        </w:rPr>
        <w:t>Statutory results include B&amp;Q China up to the date of disposal of controlling 70% stake (30 April 2015)</w:t>
      </w:r>
    </w:p>
    <w:p w:rsidR="004D01EC" w:rsidRDefault="004D01EC" w:rsidP="004D01EC">
      <w:pPr>
        <w:jc w:val="left"/>
        <w:rPr>
          <w:rFonts w:ascii="Arial" w:hAnsi="Arial" w:cs="Arial"/>
          <w:sz w:val="18"/>
          <w:szCs w:val="24"/>
        </w:rPr>
      </w:pPr>
      <w:r w:rsidRPr="006F78D1">
        <w:rPr>
          <w:rFonts w:ascii="Arial" w:hAnsi="Arial" w:cs="Arial"/>
          <w:vertAlign w:val="superscript"/>
        </w:rPr>
        <w:t>(2)</w:t>
      </w:r>
      <w:r w:rsidRPr="000952F8">
        <w:rPr>
          <w:rFonts w:ascii="Arial" w:hAnsi="Arial" w:cs="Arial"/>
          <w:sz w:val="24"/>
          <w:szCs w:val="24"/>
        </w:rPr>
        <w:t xml:space="preserve"> </w:t>
      </w:r>
      <w:r w:rsidRPr="006F78D1">
        <w:rPr>
          <w:rFonts w:ascii="Arial" w:hAnsi="Arial" w:cs="Arial"/>
          <w:sz w:val="18"/>
          <w:szCs w:val="24"/>
        </w:rPr>
        <w:t>Kingfisher separately reports exceptional items and transformation costs in order to calculate adjusted and underlying results, as it believes these measures provide additional useful information on underlying performance and trends</w:t>
      </w:r>
    </w:p>
    <w:p w:rsidR="00997637" w:rsidRPr="000F07BB" w:rsidRDefault="00997637" w:rsidP="00997637">
      <w:pPr>
        <w:jc w:val="left"/>
        <w:rPr>
          <w:rFonts w:ascii="Arial" w:hAnsi="Arial" w:cs="Arial"/>
          <w:sz w:val="24"/>
          <w:szCs w:val="24"/>
        </w:rPr>
      </w:pPr>
    </w:p>
    <w:p w:rsidR="00997637" w:rsidRPr="00686C6E" w:rsidRDefault="00997637" w:rsidP="00997637">
      <w:pPr>
        <w:jc w:val="left"/>
        <w:rPr>
          <w:rFonts w:ascii="Arial" w:hAnsi="Arial" w:cs="Arial"/>
        </w:rPr>
      </w:pPr>
      <w:r w:rsidRPr="00686C6E">
        <w:rPr>
          <w:rFonts w:ascii="Arial" w:hAnsi="Arial" w:cs="Arial"/>
        </w:rPr>
        <w:t xml:space="preserve">Reported </w:t>
      </w:r>
      <w:r w:rsidRPr="00165A9B">
        <w:rPr>
          <w:rFonts w:ascii="Arial" w:hAnsi="Arial" w:cs="Arial"/>
          <w:b/>
        </w:rPr>
        <w:t>retail profit</w:t>
      </w:r>
      <w:r w:rsidRPr="00686C6E">
        <w:rPr>
          <w:rFonts w:ascii="Arial" w:hAnsi="Arial" w:cs="Arial"/>
        </w:rPr>
        <w:t xml:space="preserve"> grew by 13.</w:t>
      </w:r>
      <w:r w:rsidR="002D666E">
        <w:rPr>
          <w:rFonts w:ascii="Arial" w:hAnsi="Arial" w:cs="Arial"/>
        </w:rPr>
        <w:t>5</w:t>
      </w:r>
      <w:r w:rsidRPr="00686C6E">
        <w:rPr>
          <w:rFonts w:ascii="Arial" w:hAnsi="Arial" w:cs="Arial"/>
        </w:rPr>
        <w:t>% including £52 million of favourable foreign exchange movement on translating foreign currency results into sterling. In constant currencies retail profi</w:t>
      </w:r>
      <w:r w:rsidR="002D666E">
        <w:rPr>
          <w:rFonts w:ascii="Arial" w:hAnsi="Arial" w:cs="Arial"/>
        </w:rPr>
        <w:t>t grew by 6.1</w:t>
      </w:r>
      <w:r w:rsidRPr="00686C6E">
        <w:rPr>
          <w:rFonts w:ascii="Arial" w:hAnsi="Arial" w:cs="Arial"/>
        </w:rPr>
        <w:t xml:space="preserve">%, reflecting strong </w:t>
      </w:r>
      <w:r w:rsidR="00A5402C">
        <w:rPr>
          <w:rFonts w:ascii="Arial" w:hAnsi="Arial" w:cs="Arial"/>
        </w:rPr>
        <w:t xml:space="preserve">LFL </w:t>
      </w:r>
      <w:r w:rsidRPr="00686C6E">
        <w:rPr>
          <w:rFonts w:ascii="Arial" w:hAnsi="Arial" w:cs="Arial"/>
        </w:rPr>
        <w:t>performance in the UK and Poland, fla</w:t>
      </w:r>
      <w:r w:rsidR="00B019FB">
        <w:rPr>
          <w:rFonts w:ascii="Arial" w:hAnsi="Arial" w:cs="Arial"/>
        </w:rPr>
        <w:t xml:space="preserve">t profits in France and </w:t>
      </w:r>
      <w:r w:rsidR="00D01E60">
        <w:rPr>
          <w:rFonts w:ascii="Arial" w:hAnsi="Arial" w:cs="Arial"/>
        </w:rPr>
        <w:t xml:space="preserve">including </w:t>
      </w:r>
      <w:r w:rsidR="002D666E">
        <w:rPr>
          <w:rFonts w:ascii="Arial" w:hAnsi="Arial" w:cs="Arial"/>
        </w:rPr>
        <w:t>£16</w:t>
      </w:r>
      <w:r w:rsidRPr="00686C6E">
        <w:rPr>
          <w:rFonts w:ascii="Arial" w:hAnsi="Arial" w:cs="Arial"/>
        </w:rPr>
        <w:t xml:space="preserve"> million of new country development losses. Our ongoing focus on cash and tight capital discipline enabled continued investment in the business and the transformation</w:t>
      </w:r>
      <w:r w:rsidR="000835E6">
        <w:rPr>
          <w:rFonts w:ascii="Arial" w:hAnsi="Arial" w:cs="Arial"/>
        </w:rPr>
        <w:t xml:space="preserve">, the </w:t>
      </w:r>
      <w:r w:rsidRPr="006B39C7">
        <w:rPr>
          <w:rFonts w:ascii="ArialMT" w:hAnsi="ArialMT" w:cs="ArialMT"/>
        </w:rPr>
        <w:t>pay</w:t>
      </w:r>
      <w:r w:rsidR="000835E6">
        <w:rPr>
          <w:rFonts w:ascii="ArialMT" w:hAnsi="ArialMT" w:cs="ArialMT"/>
        </w:rPr>
        <w:t>ment of</w:t>
      </w:r>
      <w:r w:rsidRPr="006B39C7">
        <w:rPr>
          <w:rFonts w:ascii="ArialMT" w:hAnsi="ArialMT" w:cs="ArialMT"/>
        </w:rPr>
        <w:t xml:space="preserve"> £230 million in cash</w:t>
      </w:r>
      <w:r w:rsidRPr="00686C6E">
        <w:rPr>
          <w:rFonts w:ascii="ArialMT" w:hAnsi="ArialMT" w:cs="ArialMT"/>
        </w:rPr>
        <w:t xml:space="preserve"> dividends and </w:t>
      </w:r>
      <w:r w:rsidR="000835E6">
        <w:rPr>
          <w:rFonts w:ascii="ArialMT" w:hAnsi="ArialMT" w:cs="ArialMT"/>
        </w:rPr>
        <w:t xml:space="preserve">a return of a further </w:t>
      </w:r>
      <w:r w:rsidRPr="00686C6E">
        <w:rPr>
          <w:rFonts w:ascii="ArialMT" w:hAnsi="ArialMT" w:cs="ArialMT"/>
        </w:rPr>
        <w:t>£200 million to</w:t>
      </w:r>
      <w:r w:rsidR="00B019FB">
        <w:rPr>
          <w:rFonts w:ascii="ArialMT" w:hAnsi="ArialMT" w:cs="ArialMT"/>
        </w:rPr>
        <w:t xml:space="preserve"> shareholders via share buyback</w:t>
      </w:r>
      <w:r w:rsidR="000835E6">
        <w:rPr>
          <w:rFonts w:ascii="ArialMT" w:hAnsi="ArialMT" w:cs="ArialMT"/>
        </w:rPr>
        <w:t>, while maintaining a strong balance sheet</w:t>
      </w:r>
      <w:r w:rsidRPr="00686C6E">
        <w:rPr>
          <w:rFonts w:ascii="ArialMT" w:hAnsi="ArialMT" w:cs="ArialMT"/>
        </w:rPr>
        <w:t>.</w:t>
      </w:r>
    </w:p>
    <w:p w:rsidR="00997637" w:rsidRPr="00686C6E" w:rsidRDefault="00997637" w:rsidP="00997637">
      <w:pPr>
        <w:jc w:val="left"/>
        <w:rPr>
          <w:rFonts w:ascii="Arial" w:hAnsi="Arial" w:cs="Arial"/>
          <w:highlight w:val="yellow"/>
        </w:rPr>
      </w:pPr>
    </w:p>
    <w:p w:rsidR="00997637" w:rsidRPr="00686C6E" w:rsidRDefault="00997637" w:rsidP="00997637">
      <w:pPr>
        <w:ind w:right="-368"/>
        <w:jc w:val="left"/>
        <w:rPr>
          <w:rFonts w:ascii="Arial" w:hAnsi="Arial" w:cs="Arial"/>
        </w:rPr>
      </w:pPr>
      <w:r w:rsidRPr="00686C6E">
        <w:rPr>
          <w:rFonts w:ascii="Arial" w:hAnsi="Arial" w:cs="Arial"/>
        </w:rPr>
        <w:t xml:space="preserve">Total </w:t>
      </w:r>
      <w:r w:rsidRPr="00165A9B">
        <w:rPr>
          <w:rFonts w:ascii="Arial" w:hAnsi="Arial" w:cs="Arial"/>
          <w:b/>
        </w:rPr>
        <w:t>adjusted</w:t>
      </w:r>
      <w:r w:rsidRPr="00F50924">
        <w:rPr>
          <w:rFonts w:ascii="Arial" w:hAnsi="Arial" w:cs="Arial"/>
          <w:b/>
        </w:rPr>
        <w:t xml:space="preserve"> </w:t>
      </w:r>
      <w:r w:rsidRPr="00165A9B">
        <w:rPr>
          <w:rFonts w:ascii="Arial" w:hAnsi="Arial" w:cs="Arial"/>
          <w:b/>
        </w:rPr>
        <w:t>sales</w:t>
      </w:r>
      <w:r w:rsidRPr="00686C6E">
        <w:rPr>
          <w:rFonts w:ascii="Arial" w:hAnsi="Arial" w:cs="Arial"/>
        </w:rPr>
        <w:t xml:space="preserve"> grew</w:t>
      </w:r>
      <w:r w:rsidR="003C6F01" w:rsidRPr="003C6F01">
        <w:rPr>
          <w:rFonts w:ascii="Arial" w:hAnsi="Arial" w:cs="Arial"/>
        </w:rPr>
        <w:t xml:space="preserve"> </w:t>
      </w:r>
      <w:r w:rsidR="003C6F01" w:rsidRPr="00686C6E">
        <w:rPr>
          <w:rFonts w:ascii="Arial" w:hAnsi="Arial" w:cs="Arial"/>
        </w:rPr>
        <w:t>to £11.2 billion</w:t>
      </w:r>
      <w:r w:rsidR="003C6F01">
        <w:rPr>
          <w:rFonts w:ascii="Arial" w:hAnsi="Arial" w:cs="Arial"/>
        </w:rPr>
        <w:t>,</w:t>
      </w:r>
      <w:r w:rsidRPr="00686C6E">
        <w:rPr>
          <w:rFonts w:ascii="Arial" w:hAnsi="Arial" w:cs="Arial"/>
        </w:rPr>
        <w:t xml:space="preserve"> </w:t>
      </w:r>
      <w:r w:rsidR="003C6F01">
        <w:rPr>
          <w:rFonts w:ascii="Arial" w:hAnsi="Arial" w:cs="Arial"/>
        </w:rPr>
        <w:t>up</w:t>
      </w:r>
      <w:r w:rsidR="003C6F01" w:rsidRPr="00686C6E">
        <w:rPr>
          <w:rFonts w:ascii="Arial" w:hAnsi="Arial" w:cs="Arial"/>
        </w:rPr>
        <w:t xml:space="preserve"> </w:t>
      </w:r>
      <w:r w:rsidRPr="00686C6E">
        <w:rPr>
          <w:rFonts w:ascii="Arial" w:hAnsi="Arial" w:cs="Arial"/>
        </w:rPr>
        <w:t xml:space="preserve">1.7% on a constant currency basis, with LFL sales up 2.3%. On a reported rate basis, which includes the impact of exchange rates, adjusted sales increased by 8.7%. During the year, sales growth benefited from </w:t>
      </w:r>
      <w:r w:rsidR="0089712B">
        <w:rPr>
          <w:rFonts w:ascii="Arial" w:hAnsi="Arial" w:cs="Arial"/>
        </w:rPr>
        <w:t>38</w:t>
      </w:r>
      <w:r w:rsidRPr="00686C6E">
        <w:rPr>
          <w:rFonts w:ascii="Arial" w:hAnsi="Arial" w:cs="Arial"/>
        </w:rPr>
        <w:t xml:space="preserve"> net new stores, driven by 60 Screwfix outlet openings in the UK, offset by the B&amp;Q store closures (65 over two years; 35 in FY 2016/17). </w:t>
      </w:r>
    </w:p>
    <w:p w:rsidR="00997637" w:rsidRPr="00F764D3" w:rsidRDefault="00997637" w:rsidP="00997637">
      <w:pPr>
        <w:jc w:val="left"/>
        <w:rPr>
          <w:rFonts w:ascii="Arial" w:hAnsi="Arial" w:cs="Arial"/>
          <w:sz w:val="24"/>
          <w:szCs w:val="24"/>
          <w:highlight w:val="yellow"/>
        </w:rPr>
      </w:pPr>
    </w:p>
    <w:p w:rsidR="00997637" w:rsidRPr="00A845B7" w:rsidRDefault="00997637" w:rsidP="00997637">
      <w:pPr>
        <w:autoSpaceDE w:val="0"/>
        <w:autoSpaceDN w:val="0"/>
        <w:jc w:val="left"/>
        <w:rPr>
          <w:rFonts w:ascii="Arial" w:hAnsi="Arial" w:cs="Arial"/>
        </w:rPr>
      </w:pPr>
      <w:r w:rsidRPr="00686C6E">
        <w:rPr>
          <w:rFonts w:ascii="Arial" w:hAnsi="Arial" w:cs="Arial"/>
          <w:bCs/>
        </w:rPr>
        <w:t xml:space="preserve">As previously announced, Kingfisher disposed of a controlling 70% stake in B&amp;Q China on 30 April </w:t>
      </w:r>
      <w:r w:rsidRPr="00A845B7">
        <w:rPr>
          <w:rFonts w:ascii="Arial" w:hAnsi="Arial" w:cs="Arial"/>
          <w:bCs/>
        </w:rPr>
        <w:t xml:space="preserve">2015. On 23 March 2016 </w:t>
      </w:r>
      <w:r w:rsidRPr="00A845B7">
        <w:rPr>
          <w:rFonts w:ascii="Arial" w:hAnsi="Arial" w:cs="Arial"/>
        </w:rPr>
        <w:t>Kingfisher exercised its option to dispose of the remaining 30% economic interest, with the agreement of Wumei Holdings Inc. (“Wumei”). Following regulatory approval, Kingfisher received net proceeds of £63 million in July 2016, completing the transaction.</w:t>
      </w:r>
    </w:p>
    <w:p w:rsidR="00997637" w:rsidRPr="00A845B7" w:rsidRDefault="00997637" w:rsidP="00997637">
      <w:pPr>
        <w:autoSpaceDE w:val="0"/>
        <w:autoSpaceDN w:val="0"/>
        <w:jc w:val="left"/>
        <w:rPr>
          <w:rFonts w:ascii="Arial" w:hAnsi="Arial" w:cs="Arial"/>
        </w:rPr>
      </w:pPr>
    </w:p>
    <w:p w:rsidR="00997637" w:rsidRPr="00A845B7" w:rsidRDefault="00997637" w:rsidP="00997637">
      <w:pPr>
        <w:ind w:right="-368"/>
        <w:jc w:val="left"/>
        <w:rPr>
          <w:rFonts w:ascii="Arial" w:hAnsi="Arial" w:cs="Arial"/>
        </w:rPr>
      </w:pPr>
      <w:r w:rsidRPr="00A845B7">
        <w:rPr>
          <w:rFonts w:ascii="Arial" w:hAnsi="Arial" w:cs="Arial"/>
          <w:b/>
        </w:rPr>
        <w:t>Underlying pre-tax profit</w:t>
      </w:r>
      <w:r w:rsidRPr="00A845B7">
        <w:rPr>
          <w:rFonts w:ascii="Arial" w:hAnsi="Arial" w:cs="Arial"/>
        </w:rPr>
        <w:t>, which excludes the impact of transformation P&amp;L costs</w:t>
      </w:r>
      <w:r w:rsidR="00B019FB">
        <w:rPr>
          <w:rFonts w:ascii="Arial" w:hAnsi="Arial" w:cs="Arial"/>
        </w:rPr>
        <w:t xml:space="preserve">, </w:t>
      </w:r>
      <w:r w:rsidRPr="00A845B7">
        <w:rPr>
          <w:rFonts w:ascii="Arial" w:hAnsi="Arial" w:cs="Arial"/>
        </w:rPr>
        <w:t>exceptional items and FFVR, increased by 14.</w:t>
      </w:r>
      <w:r w:rsidR="002D666E">
        <w:rPr>
          <w:rFonts w:ascii="Arial" w:hAnsi="Arial" w:cs="Arial"/>
        </w:rPr>
        <w:t>7</w:t>
      </w:r>
      <w:r w:rsidRPr="00A845B7">
        <w:rPr>
          <w:rFonts w:ascii="Arial" w:hAnsi="Arial" w:cs="Arial"/>
        </w:rPr>
        <w:t>%, to £78</w:t>
      </w:r>
      <w:r w:rsidR="002D666E">
        <w:rPr>
          <w:rFonts w:ascii="Arial" w:hAnsi="Arial" w:cs="Arial"/>
        </w:rPr>
        <w:t>7</w:t>
      </w:r>
      <w:r w:rsidRPr="00A845B7">
        <w:rPr>
          <w:rFonts w:ascii="Arial" w:hAnsi="Arial" w:cs="Arial"/>
        </w:rPr>
        <w:t xml:space="preserve"> million, in line with reported retail profit.  </w:t>
      </w:r>
    </w:p>
    <w:p w:rsidR="00997637" w:rsidRPr="00A845B7" w:rsidRDefault="00997637" w:rsidP="00997637">
      <w:pPr>
        <w:ind w:right="-368"/>
        <w:jc w:val="left"/>
        <w:rPr>
          <w:rFonts w:ascii="Arial" w:hAnsi="Arial" w:cs="Arial"/>
          <w:highlight w:val="yellow"/>
        </w:rPr>
      </w:pPr>
    </w:p>
    <w:p w:rsidR="00997637" w:rsidRPr="00A845B7" w:rsidRDefault="00997637" w:rsidP="00997637">
      <w:pPr>
        <w:ind w:right="-368"/>
        <w:jc w:val="left"/>
        <w:rPr>
          <w:rFonts w:ascii="Arial" w:hAnsi="Arial" w:cs="Arial"/>
        </w:rPr>
      </w:pPr>
      <w:r w:rsidRPr="00A845B7">
        <w:rPr>
          <w:rFonts w:ascii="Arial" w:hAnsi="Arial" w:cs="Arial"/>
          <w:b/>
        </w:rPr>
        <w:t>Adjusted pre-tax profit</w:t>
      </w:r>
      <w:r w:rsidRPr="00A845B7">
        <w:rPr>
          <w:rFonts w:ascii="Arial" w:hAnsi="Arial" w:cs="Arial"/>
        </w:rPr>
        <w:t>, which excludes the impact of exceptional items and</w:t>
      </w:r>
      <w:r w:rsidR="002D666E">
        <w:rPr>
          <w:rFonts w:ascii="Arial" w:hAnsi="Arial" w:cs="Arial"/>
        </w:rPr>
        <w:t xml:space="preserve"> FFVR, increased by 8.3% to £743</w:t>
      </w:r>
      <w:r w:rsidRPr="00A845B7">
        <w:rPr>
          <w:rFonts w:ascii="Arial" w:hAnsi="Arial" w:cs="Arial"/>
        </w:rPr>
        <w:t xml:space="preserve"> million, reflecting £44 million of transformation P&amp;L costs. </w:t>
      </w:r>
    </w:p>
    <w:p w:rsidR="00997637" w:rsidRPr="00A845B7" w:rsidRDefault="00997637" w:rsidP="00997637">
      <w:pPr>
        <w:ind w:right="-368"/>
        <w:jc w:val="left"/>
        <w:rPr>
          <w:rFonts w:ascii="Arial" w:hAnsi="Arial" w:cs="Arial"/>
        </w:rPr>
      </w:pPr>
      <w:r w:rsidRPr="00A845B7">
        <w:rPr>
          <w:rFonts w:ascii="Arial" w:hAnsi="Arial" w:cs="Arial"/>
          <w:highlight w:val="yellow"/>
        </w:rPr>
        <w:t xml:space="preserve"> </w:t>
      </w:r>
    </w:p>
    <w:p w:rsidR="00997637" w:rsidRDefault="00997637" w:rsidP="00997637">
      <w:pPr>
        <w:jc w:val="left"/>
        <w:rPr>
          <w:rFonts w:ascii="Arial" w:hAnsi="Arial" w:cs="Arial"/>
        </w:rPr>
      </w:pPr>
      <w:r w:rsidRPr="00A845B7">
        <w:rPr>
          <w:rFonts w:ascii="Arial" w:hAnsi="Arial" w:cs="Arial"/>
          <w:b/>
        </w:rPr>
        <w:t>Statutory pre-tax profit</w:t>
      </w:r>
      <w:r w:rsidRPr="00A845B7">
        <w:rPr>
          <w:rFonts w:ascii="Arial" w:hAnsi="Arial" w:cs="Arial"/>
        </w:rPr>
        <w:t>, which includes the impact of transformation costs, exceptional i</w:t>
      </w:r>
      <w:r w:rsidR="002D666E">
        <w:rPr>
          <w:rFonts w:ascii="Arial" w:hAnsi="Arial" w:cs="Arial"/>
        </w:rPr>
        <w:t>tems and FFVR, increased by 48.2% to £759</w:t>
      </w:r>
      <w:r w:rsidRPr="00A845B7">
        <w:rPr>
          <w:rFonts w:ascii="Arial" w:hAnsi="Arial" w:cs="Arial"/>
        </w:rPr>
        <w:t xml:space="preserve"> million, reflecting </w:t>
      </w:r>
      <w:r w:rsidR="002D666E">
        <w:rPr>
          <w:rFonts w:ascii="Arial" w:hAnsi="Arial" w:cs="Arial"/>
        </w:rPr>
        <w:t xml:space="preserve">an </w:t>
      </w:r>
      <w:r w:rsidRPr="00A845B7">
        <w:rPr>
          <w:rFonts w:ascii="Arial" w:hAnsi="Arial" w:cs="Arial"/>
        </w:rPr>
        <w:t>exceptional</w:t>
      </w:r>
      <w:r w:rsidR="002D666E">
        <w:rPr>
          <w:rFonts w:ascii="Arial" w:hAnsi="Arial" w:cs="Arial"/>
        </w:rPr>
        <w:t xml:space="preserve"> gain</w:t>
      </w:r>
      <w:r w:rsidRPr="00A845B7">
        <w:rPr>
          <w:rFonts w:ascii="Arial" w:hAnsi="Arial" w:cs="Arial"/>
        </w:rPr>
        <w:t xml:space="preserve"> compared to</w:t>
      </w:r>
      <w:r w:rsidR="002D666E">
        <w:rPr>
          <w:rFonts w:ascii="Arial" w:hAnsi="Arial" w:cs="Arial"/>
        </w:rPr>
        <w:t xml:space="preserve"> a charge</w:t>
      </w:r>
      <w:r w:rsidRPr="00A845B7">
        <w:rPr>
          <w:rFonts w:ascii="Arial" w:hAnsi="Arial" w:cs="Arial"/>
        </w:rPr>
        <w:t xml:space="preserve"> last year (see below). </w:t>
      </w:r>
    </w:p>
    <w:p w:rsidR="00B019FB" w:rsidRDefault="00B019FB" w:rsidP="00997637">
      <w:pPr>
        <w:jc w:val="left"/>
        <w:rPr>
          <w:rFonts w:ascii="Arial" w:hAnsi="Arial" w:cs="Arial"/>
        </w:rPr>
      </w:pPr>
    </w:p>
    <w:p w:rsidR="00A93D96" w:rsidRDefault="00A93D96">
      <w:pPr>
        <w:jc w:val="left"/>
        <w:rPr>
          <w:rFonts w:ascii="Arial" w:hAnsi="Arial" w:cs="Arial"/>
        </w:rPr>
      </w:pPr>
      <w:r>
        <w:rPr>
          <w:rFonts w:ascii="Arial" w:hAnsi="Arial" w:cs="Arial"/>
        </w:rPr>
        <w:br w:type="page"/>
      </w:r>
    </w:p>
    <w:p w:rsidR="00997637" w:rsidRPr="00A845B7" w:rsidRDefault="00997637" w:rsidP="00997637">
      <w:pPr>
        <w:jc w:val="left"/>
        <w:rPr>
          <w:rFonts w:ascii="Arial" w:hAnsi="Arial" w:cs="Arial"/>
        </w:rPr>
      </w:pPr>
      <w:r w:rsidRPr="00A845B7">
        <w:rPr>
          <w:rFonts w:ascii="Arial" w:hAnsi="Arial" w:cs="Arial"/>
        </w:rPr>
        <w:lastRenderedPageBreak/>
        <w:t>A reconciliation from the underlying basis to the statutory basis for pre-tax profit is set out below:</w:t>
      </w:r>
    </w:p>
    <w:p w:rsidR="00997637" w:rsidRPr="00686C6E" w:rsidRDefault="00997637" w:rsidP="00997637">
      <w:pPr>
        <w:jc w:val="lef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20"/>
        <w:gridCol w:w="1224"/>
        <w:gridCol w:w="1207"/>
        <w:gridCol w:w="1490"/>
      </w:tblGrid>
      <w:tr w:rsidR="00997637" w:rsidRPr="00A845B7" w:rsidTr="006F78D1">
        <w:tc>
          <w:tcPr>
            <w:tcW w:w="2966" w:type="pct"/>
            <w:tcBorders>
              <w:bottom w:val="single" w:sz="4" w:space="0" w:color="auto"/>
            </w:tcBorders>
          </w:tcPr>
          <w:p w:rsidR="00997637" w:rsidRPr="00A845B7" w:rsidRDefault="00997637" w:rsidP="00F24C8A">
            <w:pPr>
              <w:jc w:val="right"/>
              <w:rPr>
                <w:rFonts w:ascii="Arial" w:hAnsi="Arial" w:cs="Arial"/>
                <w:sz w:val="22"/>
                <w:szCs w:val="22"/>
              </w:rPr>
            </w:pPr>
          </w:p>
        </w:tc>
        <w:tc>
          <w:tcPr>
            <w:tcW w:w="635" w:type="pct"/>
            <w:tcBorders>
              <w:bottom w:val="single" w:sz="4" w:space="0" w:color="auto"/>
            </w:tcBorders>
          </w:tcPr>
          <w:p w:rsidR="00997637" w:rsidRPr="00A845B7" w:rsidRDefault="00997637" w:rsidP="00F24C8A">
            <w:pPr>
              <w:jc w:val="right"/>
              <w:rPr>
                <w:rFonts w:ascii="Arial" w:hAnsi="Arial" w:cs="Arial"/>
                <w:b/>
                <w:sz w:val="22"/>
                <w:szCs w:val="22"/>
              </w:rPr>
            </w:pPr>
            <w:r w:rsidRPr="00A845B7">
              <w:rPr>
                <w:rFonts w:ascii="Arial" w:hAnsi="Arial" w:cs="Arial"/>
                <w:b/>
                <w:sz w:val="22"/>
                <w:szCs w:val="22"/>
              </w:rPr>
              <w:t>2016/17</w:t>
            </w:r>
          </w:p>
          <w:p w:rsidR="00997637" w:rsidRPr="00A845B7" w:rsidRDefault="00997637" w:rsidP="00F24C8A">
            <w:pPr>
              <w:jc w:val="right"/>
              <w:rPr>
                <w:rFonts w:ascii="Arial" w:hAnsi="Arial" w:cs="Arial"/>
                <w:b/>
                <w:sz w:val="22"/>
                <w:szCs w:val="22"/>
              </w:rPr>
            </w:pPr>
            <w:r w:rsidRPr="00A845B7">
              <w:rPr>
                <w:rFonts w:ascii="Arial" w:hAnsi="Arial" w:cs="Arial"/>
                <w:b/>
                <w:sz w:val="22"/>
                <w:szCs w:val="22"/>
              </w:rPr>
              <w:t>£m</w:t>
            </w:r>
          </w:p>
        </w:tc>
        <w:tc>
          <w:tcPr>
            <w:tcW w:w="626" w:type="pct"/>
            <w:tcBorders>
              <w:bottom w:val="single" w:sz="4" w:space="0" w:color="auto"/>
            </w:tcBorders>
          </w:tcPr>
          <w:p w:rsidR="00997637" w:rsidRPr="00A845B7" w:rsidRDefault="00997637" w:rsidP="00F24C8A">
            <w:pPr>
              <w:jc w:val="right"/>
              <w:rPr>
                <w:rFonts w:ascii="Arial" w:hAnsi="Arial" w:cs="Arial"/>
                <w:sz w:val="22"/>
                <w:szCs w:val="22"/>
              </w:rPr>
            </w:pPr>
            <w:r w:rsidRPr="00A845B7">
              <w:rPr>
                <w:rFonts w:ascii="Arial" w:hAnsi="Arial" w:cs="Arial"/>
                <w:sz w:val="22"/>
                <w:szCs w:val="22"/>
              </w:rPr>
              <w:t>2015/16</w:t>
            </w:r>
          </w:p>
          <w:p w:rsidR="00997637" w:rsidRPr="00A845B7" w:rsidRDefault="00997637" w:rsidP="00F24C8A">
            <w:pPr>
              <w:jc w:val="right"/>
              <w:rPr>
                <w:rFonts w:ascii="Arial" w:hAnsi="Arial" w:cs="Arial"/>
                <w:sz w:val="22"/>
                <w:szCs w:val="22"/>
              </w:rPr>
            </w:pPr>
            <w:r w:rsidRPr="00A845B7">
              <w:rPr>
                <w:rFonts w:ascii="Arial" w:hAnsi="Arial" w:cs="Arial"/>
                <w:sz w:val="22"/>
                <w:szCs w:val="22"/>
              </w:rPr>
              <w:t>£m</w:t>
            </w:r>
          </w:p>
        </w:tc>
        <w:tc>
          <w:tcPr>
            <w:tcW w:w="773" w:type="pct"/>
            <w:tcBorders>
              <w:bottom w:val="single" w:sz="4" w:space="0" w:color="auto"/>
            </w:tcBorders>
          </w:tcPr>
          <w:p w:rsidR="00997637" w:rsidRPr="00A845B7" w:rsidRDefault="00997637" w:rsidP="00F24C8A">
            <w:pPr>
              <w:jc w:val="right"/>
              <w:rPr>
                <w:rFonts w:ascii="Arial" w:hAnsi="Arial" w:cs="Arial"/>
                <w:sz w:val="22"/>
                <w:szCs w:val="22"/>
              </w:rPr>
            </w:pPr>
          </w:p>
          <w:p w:rsidR="00997637" w:rsidRPr="00A845B7" w:rsidRDefault="00997637" w:rsidP="00F24C8A">
            <w:pPr>
              <w:jc w:val="right"/>
              <w:rPr>
                <w:rFonts w:ascii="Arial" w:hAnsi="Arial" w:cs="Arial"/>
                <w:sz w:val="22"/>
                <w:szCs w:val="22"/>
              </w:rPr>
            </w:pPr>
            <w:r w:rsidRPr="00A845B7">
              <w:rPr>
                <w:rFonts w:ascii="Arial" w:hAnsi="Arial" w:cs="Arial"/>
                <w:sz w:val="22"/>
                <w:szCs w:val="22"/>
              </w:rPr>
              <w:t xml:space="preserve">Increase </w:t>
            </w:r>
          </w:p>
        </w:tc>
      </w:tr>
      <w:tr w:rsidR="00997637" w:rsidRPr="00A845B7" w:rsidTr="006F78D1">
        <w:tc>
          <w:tcPr>
            <w:tcW w:w="2966" w:type="pct"/>
            <w:tcBorders>
              <w:top w:val="single" w:sz="4" w:space="0" w:color="auto"/>
            </w:tcBorders>
          </w:tcPr>
          <w:p w:rsidR="00997637" w:rsidRPr="00A845B7" w:rsidRDefault="00997637" w:rsidP="00F24C8A">
            <w:pPr>
              <w:jc w:val="left"/>
              <w:rPr>
                <w:rFonts w:ascii="Arial" w:hAnsi="Arial" w:cs="Arial"/>
                <w:b/>
                <w:sz w:val="22"/>
                <w:szCs w:val="22"/>
              </w:rPr>
            </w:pPr>
            <w:r w:rsidRPr="00A845B7">
              <w:rPr>
                <w:rFonts w:ascii="Arial" w:hAnsi="Arial" w:cs="Arial"/>
                <w:b/>
                <w:sz w:val="22"/>
                <w:szCs w:val="22"/>
              </w:rPr>
              <w:t>Retail profit</w:t>
            </w:r>
          </w:p>
        </w:tc>
        <w:tc>
          <w:tcPr>
            <w:tcW w:w="635" w:type="pct"/>
            <w:tcBorders>
              <w:top w:val="single" w:sz="4" w:space="0" w:color="auto"/>
            </w:tcBorders>
          </w:tcPr>
          <w:p w:rsidR="00997637" w:rsidRPr="00A845B7" w:rsidRDefault="00997637" w:rsidP="00F24C8A">
            <w:pPr>
              <w:jc w:val="right"/>
              <w:rPr>
                <w:rFonts w:ascii="Arial" w:hAnsi="Arial" w:cs="Arial"/>
                <w:b/>
                <w:sz w:val="22"/>
                <w:szCs w:val="22"/>
              </w:rPr>
            </w:pPr>
            <w:r w:rsidRPr="00A845B7">
              <w:rPr>
                <w:rFonts w:ascii="Arial" w:hAnsi="Arial" w:cs="Arial"/>
                <w:b/>
                <w:sz w:val="22"/>
                <w:szCs w:val="22"/>
              </w:rPr>
              <w:t>84</w:t>
            </w:r>
            <w:r w:rsidR="00052C90">
              <w:rPr>
                <w:rFonts w:ascii="Arial" w:hAnsi="Arial" w:cs="Arial"/>
                <w:b/>
                <w:sz w:val="22"/>
                <w:szCs w:val="22"/>
              </w:rPr>
              <w:t>7</w:t>
            </w:r>
          </w:p>
        </w:tc>
        <w:tc>
          <w:tcPr>
            <w:tcW w:w="626" w:type="pct"/>
            <w:tcBorders>
              <w:top w:val="single" w:sz="4" w:space="0" w:color="auto"/>
            </w:tcBorders>
          </w:tcPr>
          <w:p w:rsidR="00997637" w:rsidRPr="00A845B7" w:rsidRDefault="00997637" w:rsidP="00F24C8A">
            <w:pPr>
              <w:jc w:val="right"/>
              <w:rPr>
                <w:rFonts w:ascii="Arial" w:hAnsi="Arial" w:cs="Arial"/>
                <w:sz w:val="22"/>
                <w:szCs w:val="22"/>
              </w:rPr>
            </w:pPr>
            <w:r w:rsidRPr="00A845B7">
              <w:rPr>
                <w:rFonts w:ascii="Arial" w:hAnsi="Arial" w:cs="Arial"/>
                <w:sz w:val="22"/>
                <w:szCs w:val="22"/>
              </w:rPr>
              <w:t>746</w:t>
            </w:r>
          </w:p>
        </w:tc>
        <w:tc>
          <w:tcPr>
            <w:tcW w:w="773" w:type="pct"/>
            <w:tcBorders>
              <w:top w:val="single" w:sz="4" w:space="0" w:color="auto"/>
            </w:tcBorders>
            <w:vAlign w:val="bottom"/>
          </w:tcPr>
          <w:p w:rsidR="00997637" w:rsidRPr="00A845B7" w:rsidRDefault="00997637" w:rsidP="00F24C8A">
            <w:pPr>
              <w:jc w:val="right"/>
              <w:rPr>
                <w:rFonts w:ascii="Arial" w:hAnsi="Arial" w:cs="Arial"/>
                <w:sz w:val="22"/>
                <w:szCs w:val="22"/>
              </w:rPr>
            </w:pPr>
            <w:r w:rsidRPr="00A845B7">
              <w:rPr>
                <w:rFonts w:ascii="Arial" w:hAnsi="Arial" w:cs="Arial"/>
                <w:sz w:val="22"/>
                <w:szCs w:val="22"/>
              </w:rPr>
              <w:t>+13.</w:t>
            </w:r>
            <w:r w:rsidR="002D666E">
              <w:rPr>
                <w:rFonts w:ascii="Arial" w:hAnsi="Arial" w:cs="Arial"/>
                <w:sz w:val="22"/>
                <w:szCs w:val="22"/>
              </w:rPr>
              <w:t>5</w:t>
            </w:r>
            <w:r w:rsidRPr="00A845B7">
              <w:rPr>
                <w:rFonts w:ascii="Arial" w:hAnsi="Arial" w:cs="Arial"/>
                <w:sz w:val="22"/>
                <w:szCs w:val="22"/>
              </w:rPr>
              <w:t>%</w:t>
            </w:r>
          </w:p>
        </w:tc>
      </w:tr>
      <w:tr w:rsidR="00997637" w:rsidRPr="00A845B7" w:rsidTr="006F78D1">
        <w:tc>
          <w:tcPr>
            <w:tcW w:w="2966" w:type="pct"/>
          </w:tcPr>
          <w:p w:rsidR="00997637" w:rsidRPr="00A845B7" w:rsidRDefault="00997637" w:rsidP="00F24C8A">
            <w:pPr>
              <w:jc w:val="left"/>
              <w:rPr>
                <w:rFonts w:ascii="Arial" w:hAnsi="Arial" w:cs="Arial"/>
                <w:sz w:val="22"/>
                <w:szCs w:val="22"/>
              </w:rPr>
            </w:pPr>
            <w:r w:rsidRPr="00A845B7">
              <w:rPr>
                <w:rFonts w:ascii="Arial" w:hAnsi="Arial" w:cs="Arial"/>
                <w:sz w:val="22"/>
                <w:szCs w:val="22"/>
              </w:rPr>
              <w:t>Central costs</w:t>
            </w:r>
          </w:p>
        </w:tc>
        <w:tc>
          <w:tcPr>
            <w:tcW w:w="635" w:type="pct"/>
          </w:tcPr>
          <w:p w:rsidR="00997637" w:rsidRPr="00A845B7" w:rsidRDefault="002D666E" w:rsidP="00F24C8A">
            <w:pPr>
              <w:jc w:val="right"/>
              <w:rPr>
                <w:rFonts w:ascii="Arial" w:hAnsi="Arial" w:cs="Arial"/>
                <w:b/>
                <w:sz w:val="22"/>
                <w:szCs w:val="22"/>
              </w:rPr>
            </w:pPr>
            <w:r>
              <w:rPr>
                <w:rFonts w:ascii="Arial" w:hAnsi="Arial" w:cs="Arial"/>
                <w:b/>
                <w:sz w:val="22"/>
                <w:szCs w:val="22"/>
              </w:rPr>
              <w:t>(4</w:t>
            </w:r>
            <w:r w:rsidR="00052C90">
              <w:rPr>
                <w:rFonts w:ascii="Arial" w:hAnsi="Arial" w:cs="Arial"/>
                <w:b/>
                <w:sz w:val="22"/>
                <w:szCs w:val="22"/>
              </w:rPr>
              <w:t>8</w:t>
            </w:r>
            <w:r w:rsidR="00997637" w:rsidRPr="00A845B7">
              <w:rPr>
                <w:rFonts w:ascii="Arial" w:hAnsi="Arial" w:cs="Arial"/>
                <w:b/>
                <w:sz w:val="22"/>
                <w:szCs w:val="22"/>
              </w:rPr>
              <w:t>)</w:t>
            </w:r>
          </w:p>
        </w:tc>
        <w:tc>
          <w:tcPr>
            <w:tcW w:w="626" w:type="pct"/>
          </w:tcPr>
          <w:p w:rsidR="00997637" w:rsidRPr="00A845B7" w:rsidRDefault="00997637" w:rsidP="00F24C8A">
            <w:pPr>
              <w:jc w:val="right"/>
              <w:rPr>
                <w:rFonts w:ascii="Arial" w:hAnsi="Arial" w:cs="Arial"/>
                <w:sz w:val="22"/>
                <w:szCs w:val="22"/>
              </w:rPr>
            </w:pPr>
            <w:r w:rsidRPr="00A845B7">
              <w:rPr>
                <w:rFonts w:ascii="Arial" w:hAnsi="Arial" w:cs="Arial"/>
                <w:sz w:val="22"/>
                <w:szCs w:val="22"/>
              </w:rPr>
              <w:t>(45)</w:t>
            </w:r>
          </w:p>
        </w:tc>
        <w:tc>
          <w:tcPr>
            <w:tcW w:w="773" w:type="pct"/>
            <w:vAlign w:val="bottom"/>
          </w:tcPr>
          <w:p w:rsidR="00997637" w:rsidRPr="00A845B7" w:rsidRDefault="00997637" w:rsidP="00F24C8A">
            <w:pPr>
              <w:jc w:val="right"/>
              <w:rPr>
                <w:rFonts w:ascii="Arial" w:hAnsi="Arial" w:cs="Arial"/>
                <w:sz w:val="22"/>
                <w:szCs w:val="22"/>
              </w:rPr>
            </w:pPr>
          </w:p>
        </w:tc>
      </w:tr>
      <w:tr w:rsidR="00997637" w:rsidRPr="00A845B7" w:rsidTr="006F78D1">
        <w:tc>
          <w:tcPr>
            <w:tcW w:w="2966" w:type="pct"/>
          </w:tcPr>
          <w:p w:rsidR="00997637" w:rsidRPr="00A845B7" w:rsidRDefault="00997637" w:rsidP="00F24C8A">
            <w:pPr>
              <w:jc w:val="left"/>
              <w:rPr>
                <w:rFonts w:ascii="Arial" w:hAnsi="Arial" w:cs="Arial"/>
                <w:sz w:val="22"/>
                <w:szCs w:val="22"/>
              </w:rPr>
            </w:pPr>
            <w:r w:rsidRPr="00A845B7">
              <w:rPr>
                <w:rFonts w:ascii="Arial" w:hAnsi="Arial" w:cs="Arial"/>
                <w:sz w:val="22"/>
                <w:szCs w:val="22"/>
              </w:rPr>
              <w:t>Share of interest and tax of joint ventures &amp; associates</w:t>
            </w:r>
          </w:p>
        </w:tc>
        <w:tc>
          <w:tcPr>
            <w:tcW w:w="635" w:type="pct"/>
          </w:tcPr>
          <w:p w:rsidR="00997637" w:rsidRPr="00A845B7" w:rsidRDefault="00997637" w:rsidP="00F24C8A">
            <w:pPr>
              <w:jc w:val="right"/>
              <w:rPr>
                <w:rFonts w:ascii="Arial" w:hAnsi="Arial" w:cs="Arial"/>
                <w:b/>
                <w:sz w:val="22"/>
                <w:szCs w:val="22"/>
              </w:rPr>
            </w:pPr>
            <w:r w:rsidRPr="00A845B7">
              <w:rPr>
                <w:rFonts w:ascii="Arial" w:hAnsi="Arial" w:cs="Arial"/>
                <w:b/>
                <w:sz w:val="22"/>
                <w:szCs w:val="22"/>
              </w:rPr>
              <w:t>(5)</w:t>
            </w:r>
          </w:p>
        </w:tc>
        <w:tc>
          <w:tcPr>
            <w:tcW w:w="626" w:type="pct"/>
          </w:tcPr>
          <w:p w:rsidR="00997637" w:rsidRPr="00A845B7" w:rsidRDefault="00997637" w:rsidP="00F24C8A">
            <w:pPr>
              <w:jc w:val="right"/>
              <w:rPr>
                <w:rFonts w:ascii="Arial" w:hAnsi="Arial" w:cs="Arial"/>
                <w:sz w:val="22"/>
                <w:szCs w:val="22"/>
              </w:rPr>
            </w:pPr>
            <w:r w:rsidRPr="00A845B7">
              <w:rPr>
                <w:rFonts w:ascii="Arial" w:hAnsi="Arial" w:cs="Arial"/>
                <w:sz w:val="22"/>
                <w:szCs w:val="22"/>
              </w:rPr>
              <w:t>(5)</w:t>
            </w:r>
          </w:p>
        </w:tc>
        <w:tc>
          <w:tcPr>
            <w:tcW w:w="773" w:type="pct"/>
            <w:vAlign w:val="bottom"/>
          </w:tcPr>
          <w:p w:rsidR="00997637" w:rsidRPr="00A845B7" w:rsidRDefault="00997637" w:rsidP="00F24C8A">
            <w:pPr>
              <w:jc w:val="right"/>
              <w:rPr>
                <w:rFonts w:ascii="Arial" w:hAnsi="Arial" w:cs="Arial"/>
                <w:sz w:val="22"/>
                <w:szCs w:val="22"/>
              </w:rPr>
            </w:pPr>
          </w:p>
        </w:tc>
      </w:tr>
      <w:tr w:rsidR="00997637" w:rsidRPr="00A845B7" w:rsidTr="006F78D1">
        <w:tc>
          <w:tcPr>
            <w:tcW w:w="2966" w:type="pct"/>
            <w:tcBorders>
              <w:bottom w:val="single" w:sz="4" w:space="0" w:color="auto"/>
            </w:tcBorders>
          </w:tcPr>
          <w:p w:rsidR="00997637" w:rsidRPr="00A845B7" w:rsidRDefault="00997637" w:rsidP="00F24C8A">
            <w:pPr>
              <w:jc w:val="left"/>
              <w:rPr>
                <w:rFonts w:ascii="Arial" w:hAnsi="Arial" w:cs="Arial"/>
                <w:sz w:val="22"/>
                <w:szCs w:val="22"/>
              </w:rPr>
            </w:pPr>
            <w:r w:rsidRPr="00A845B7">
              <w:rPr>
                <w:rFonts w:ascii="Arial" w:hAnsi="Arial" w:cs="Arial"/>
                <w:sz w:val="22"/>
                <w:szCs w:val="22"/>
              </w:rPr>
              <w:t>Finance costs before exceptional items &amp; financing fair value remeasurements (FFVR)</w:t>
            </w:r>
          </w:p>
        </w:tc>
        <w:tc>
          <w:tcPr>
            <w:tcW w:w="635" w:type="pct"/>
            <w:tcBorders>
              <w:bottom w:val="single" w:sz="4" w:space="0" w:color="auto"/>
            </w:tcBorders>
          </w:tcPr>
          <w:p w:rsidR="00997637" w:rsidRPr="00A845B7" w:rsidRDefault="00997637" w:rsidP="00F24C8A">
            <w:pPr>
              <w:jc w:val="right"/>
              <w:rPr>
                <w:rFonts w:ascii="Arial" w:hAnsi="Arial" w:cs="Arial"/>
                <w:b/>
                <w:sz w:val="22"/>
                <w:szCs w:val="22"/>
              </w:rPr>
            </w:pPr>
          </w:p>
          <w:p w:rsidR="00997637" w:rsidRPr="00A845B7" w:rsidRDefault="00997637" w:rsidP="00F24C8A">
            <w:pPr>
              <w:jc w:val="right"/>
              <w:rPr>
                <w:rFonts w:ascii="Arial" w:hAnsi="Arial" w:cs="Arial"/>
                <w:b/>
                <w:sz w:val="22"/>
                <w:szCs w:val="22"/>
              </w:rPr>
            </w:pPr>
            <w:r w:rsidRPr="00A845B7">
              <w:rPr>
                <w:rFonts w:ascii="Arial" w:hAnsi="Arial" w:cs="Arial"/>
                <w:b/>
                <w:sz w:val="22"/>
                <w:szCs w:val="22"/>
              </w:rPr>
              <w:t>(</w:t>
            </w:r>
            <w:r w:rsidR="00052C90">
              <w:rPr>
                <w:rFonts w:ascii="Arial" w:hAnsi="Arial" w:cs="Arial"/>
                <w:b/>
                <w:sz w:val="22"/>
                <w:szCs w:val="22"/>
              </w:rPr>
              <w:t>7</w:t>
            </w:r>
            <w:r w:rsidRPr="00A845B7">
              <w:rPr>
                <w:rFonts w:ascii="Arial" w:hAnsi="Arial" w:cs="Arial"/>
                <w:b/>
                <w:sz w:val="22"/>
                <w:szCs w:val="22"/>
              </w:rPr>
              <w:t>)</w:t>
            </w:r>
          </w:p>
        </w:tc>
        <w:tc>
          <w:tcPr>
            <w:tcW w:w="626" w:type="pct"/>
            <w:tcBorders>
              <w:bottom w:val="single" w:sz="4" w:space="0" w:color="auto"/>
            </w:tcBorders>
          </w:tcPr>
          <w:p w:rsidR="00997637" w:rsidRPr="00A845B7" w:rsidRDefault="00997637" w:rsidP="00F24C8A">
            <w:pPr>
              <w:jc w:val="right"/>
              <w:rPr>
                <w:rFonts w:ascii="Arial" w:hAnsi="Arial" w:cs="Arial"/>
                <w:sz w:val="22"/>
                <w:szCs w:val="22"/>
              </w:rPr>
            </w:pPr>
          </w:p>
          <w:p w:rsidR="00997637" w:rsidRPr="00A845B7" w:rsidRDefault="00997637" w:rsidP="00F24C8A">
            <w:pPr>
              <w:jc w:val="right"/>
              <w:rPr>
                <w:rFonts w:ascii="Arial" w:hAnsi="Arial" w:cs="Arial"/>
                <w:sz w:val="22"/>
                <w:szCs w:val="22"/>
              </w:rPr>
            </w:pPr>
            <w:r w:rsidRPr="00A845B7">
              <w:rPr>
                <w:rFonts w:ascii="Arial" w:hAnsi="Arial" w:cs="Arial"/>
                <w:sz w:val="22"/>
                <w:szCs w:val="22"/>
              </w:rPr>
              <w:t>(10)</w:t>
            </w:r>
          </w:p>
        </w:tc>
        <w:tc>
          <w:tcPr>
            <w:tcW w:w="773" w:type="pct"/>
            <w:tcBorders>
              <w:bottom w:val="single" w:sz="4" w:space="0" w:color="auto"/>
            </w:tcBorders>
            <w:vAlign w:val="bottom"/>
          </w:tcPr>
          <w:p w:rsidR="00997637" w:rsidRPr="00A845B7" w:rsidRDefault="00997637" w:rsidP="00F24C8A">
            <w:pPr>
              <w:jc w:val="right"/>
              <w:rPr>
                <w:rFonts w:ascii="Arial" w:hAnsi="Arial" w:cs="Arial"/>
                <w:sz w:val="22"/>
                <w:szCs w:val="22"/>
              </w:rPr>
            </w:pPr>
          </w:p>
        </w:tc>
      </w:tr>
      <w:tr w:rsidR="00997637" w:rsidRPr="00A845B7" w:rsidTr="006F78D1">
        <w:tc>
          <w:tcPr>
            <w:tcW w:w="2966" w:type="pct"/>
            <w:tcBorders>
              <w:top w:val="single" w:sz="4" w:space="0" w:color="auto"/>
            </w:tcBorders>
          </w:tcPr>
          <w:p w:rsidR="00997637" w:rsidRPr="00A845B7" w:rsidRDefault="00997637" w:rsidP="00F24C8A">
            <w:pPr>
              <w:jc w:val="left"/>
              <w:rPr>
                <w:rFonts w:ascii="Arial" w:hAnsi="Arial" w:cs="Arial"/>
                <w:b/>
                <w:sz w:val="22"/>
                <w:szCs w:val="22"/>
              </w:rPr>
            </w:pPr>
            <w:r w:rsidRPr="00A845B7">
              <w:rPr>
                <w:rFonts w:ascii="Arial" w:hAnsi="Arial" w:cs="Arial"/>
                <w:b/>
                <w:sz w:val="22"/>
                <w:szCs w:val="22"/>
              </w:rPr>
              <w:t>Underlying pre-tax profit</w:t>
            </w:r>
          </w:p>
        </w:tc>
        <w:tc>
          <w:tcPr>
            <w:tcW w:w="635" w:type="pct"/>
            <w:tcBorders>
              <w:top w:val="single" w:sz="4" w:space="0" w:color="auto"/>
            </w:tcBorders>
          </w:tcPr>
          <w:p w:rsidR="00997637" w:rsidRPr="00A845B7" w:rsidRDefault="00997637" w:rsidP="00F24C8A">
            <w:pPr>
              <w:jc w:val="right"/>
              <w:rPr>
                <w:rFonts w:ascii="Arial" w:hAnsi="Arial" w:cs="Arial"/>
                <w:b/>
                <w:sz w:val="22"/>
                <w:szCs w:val="22"/>
              </w:rPr>
            </w:pPr>
            <w:r w:rsidRPr="00A845B7">
              <w:rPr>
                <w:rFonts w:ascii="Arial" w:hAnsi="Arial" w:cs="Arial"/>
                <w:b/>
                <w:sz w:val="22"/>
                <w:szCs w:val="22"/>
              </w:rPr>
              <w:t>787</w:t>
            </w:r>
          </w:p>
        </w:tc>
        <w:tc>
          <w:tcPr>
            <w:tcW w:w="626" w:type="pct"/>
            <w:tcBorders>
              <w:top w:val="single" w:sz="4" w:space="0" w:color="auto"/>
            </w:tcBorders>
          </w:tcPr>
          <w:p w:rsidR="00997637" w:rsidRPr="00A845B7" w:rsidRDefault="00997637" w:rsidP="00F24C8A">
            <w:pPr>
              <w:jc w:val="right"/>
              <w:rPr>
                <w:rFonts w:ascii="Arial" w:hAnsi="Arial" w:cs="Arial"/>
                <w:sz w:val="22"/>
                <w:szCs w:val="22"/>
              </w:rPr>
            </w:pPr>
            <w:r w:rsidRPr="00A845B7">
              <w:rPr>
                <w:rFonts w:ascii="Arial" w:hAnsi="Arial" w:cs="Arial"/>
                <w:sz w:val="22"/>
                <w:szCs w:val="22"/>
              </w:rPr>
              <w:t>686</w:t>
            </w:r>
          </w:p>
        </w:tc>
        <w:tc>
          <w:tcPr>
            <w:tcW w:w="773" w:type="pct"/>
            <w:tcBorders>
              <w:top w:val="single" w:sz="4" w:space="0" w:color="auto"/>
            </w:tcBorders>
            <w:vAlign w:val="bottom"/>
          </w:tcPr>
          <w:p w:rsidR="00997637" w:rsidRPr="00A845B7" w:rsidRDefault="00997637" w:rsidP="00F24C8A">
            <w:pPr>
              <w:jc w:val="right"/>
              <w:rPr>
                <w:rFonts w:ascii="Arial" w:hAnsi="Arial" w:cs="Arial"/>
                <w:sz w:val="22"/>
                <w:szCs w:val="22"/>
              </w:rPr>
            </w:pPr>
            <w:r w:rsidRPr="00A845B7">
              <w:rPr>
                <w:rFonts w:ascii="Arial" w:hAnsi="Arial" w:cs="Arial"/>
                <w:sz w:val="22"/>
                <w:szCs w:val="22"/>
              </w:rPr>
              <w:t>+14.7%</w:t>
            </w:r>
          </w:p>
        </w:tc>
      </w:tr>
      <w:tr w:rsidR="00997637" w:rsidRPr="00A845B7" w:rsidTr="006F78D1">
        <w:tc>
          <w:tcPr>
            <w:tcW w:w="2966" w:type="pct"/>
          </w:tcPr>
          <w:p w:rsidR="00997637" w:rsidRPr="00A845B7" w:rsidRDefault="00997637" w:rsidP="00F24C8A">
            <w:pPr>
              <w:jc w:val="left"/>
              <w:rPr>
                <w:rFonts w:ascii="Arial" w:hAnsi="Arial" w:cs="Arial"/>
                <w:sz w:val="22"/>
                <w:szCs w:val="22"/>
              </w:rPr>
            </w:pPr>
            <w:r w:rsidRPr="00A845B7">
              <w:rPr>
                <w:rFonts w:ascii="Arial" w:hAnsi="Arial" w:cs="Arial"/>
                <w:sz w:val="22"/>
                <w:szCs w:val="22"/>
              </w:rPr>
              <w:t>Transformation P&amp;L costs</w:t>
            </w:r>
          </w:p>
        </w:tc>
        <w:tc>
          <w:tcPr>
            <w:tcW w:w="635" w:type="pct"/>
          </w:tcPr>
          <w:p w:rsidR="00997637" w:rsidRPr="00A845B7" w:rsidRDefault="00997637" w:rsidP="00F24C8A">
            <w:pPr>
              <w:jc w:val="right"/>
              <w:rPr>
                <w:rFonts w:ascii="Arial" w:hAnsi="Arial" w:cs="Arial"/>
                <w:b/>
                <w:sz w:val="22"/>
                <w:szCs w:val="22"/>
              </w:rPr>
            </w:pPr>
            <w:r w:rsidRPr="00A845B7">
              <w:rPr>
                <w:rFonts w:ascii="Arial" w:hAnsi="Arial" w:cs="Arial"/>
                <w:b/>
                <w:sz w:val="22"/>
                <w:szCs w:val="22"/>
              </w:rPr>
              <w:t>(44)</w:t>
            </w:r>
          </w:p>
        </w:tc>
        <w:tc>
          <w:tcPr>
            <w:tcW w:w="626" w:type="pct"/>
          </w:tcPr>
          <w:p w:rsidR="00997637" w:rsidRPr="00A845B7" w:rsidRDefault="00997637" w:rsidP="00F24C8A">
            <w:pPr>
              <w:jc w:val="right"/>
              <w:rPr>
                <w:rFonts w:ascii="Arial" w:hAnsi="Arial" w:cs="Arial"/>
                <w:sz w:val="22"/>
                <w:szCs w:val="22"/>
              </w:rPr>
            </w:pPr>
            <w:r w:rsidRPr="00A845B7">
              <w:rPr>
                <w:rFonts w:ascii="Arial" w:hAnsi="Arial" w:cs="Arial"/>
                <w:sz w:val="22"/>
                <w:szCs w:val="22"/>
              </w:rPr>
              <w:t>-</w:t>
            </w:r>
          </w:p>
        </w:tc>
        <w:tc>
          <w:tcPr>
            <w:tcW w:w="773" w:type="pct"/>
            <w:vAlign w:val="bottom"/>
          </w:tcPr>
          <w:p w:rsidR="00997637" w:rsidRPr="00A845B7" w:rsidRDefault="00997637" w:rsidP="00F24C8A">
            <w:pPr>
              <w:jc w:val="right"/>
              <w:rPr>
                <w:rFonts w:ascii="Arial" w:hAnsi="Arial" w:cs="Arial"/>
                <w:sz w:val="22"/>
                <w:szCs w:val="22"/>
              </w:rPr>
            </w:pPr>
          </w:p>
        </w:tc>
      </w:tr>
      <w:tr w:rsidR="00997637" w:rsidRPr="00A845B7" w:rsidTr="006F78D1">
        <w:tc>
          <w:tcPr>
            <w:tcW w:w="2966" w:type="pct"/>
            <w:tcBorders>
              <w:top w:val="single" w:sz="4" w:space="0" w:color="auto"/>
            </w:tcBorders>
          </w:tcPr>
          <w:p w:rsidR="00997637" w:rsidRPr="00A845B7" w:rsidRDefault="00997637" w:rsidP="00F24C8A">
            <w:pPr>
              <w:jc w:val="left"/>
              <w:rPr>
                <w:rFonts w:ascii="Arial" w:hAnsi="Arial" w:cs="Arial"/>
                <w:b/>
                <w:sz w:val="22"/>
                <w:szCs w:val="22"/>
              </w:rPr>
            </w:pPr>
            <w:r w:rsidRPr="00A845B7">
              <w:rPr>
                <w:rFonts w:ascii="Arial" w:hAnsi="Arial" w:cs="Arial"/>
                <w:b/>
                <w:sz w:val="22"/>
                <w:szCs w:val="22"/>
              </w:rPr>
              <w:t>Adjusted pre-tax profit</w:t>
            </w:r>
          </w:p>
        </w:tc>
        <w:tc>
          <w:tcPr>
            <w:tcW w:w="635" w:type="pct"/>
            <w:tcBorders>
              <w:top w:val="single" w:sz="4" w:space="0" w:color="auto"/>
            </w:tcBorders>
          </w:tcPr>
          <w:p w:rsidR="00997637" w:rsidRPr="00A845B7" w:rsidRDefault="00997637" w:rsidP="00F24C8A">
            <w:pPr>
              <w:jc w:val="right"/>
              <w:rPr>
                <w:rFonts w:ascii="Arial" w:hAnsi="Arial" w:cs="Arial"/>
                <w:b/>
                <w:sz w:val="22"/>
                <w:szCs w:val="22"/>
              </w:rPr>
            </w:pPr>
            <w:r w:rsidRPr="00A845B7">
              <w:rPr>
                <w:rFonts w:ascii="Arial" w:hAnsi="Arial" w:cs="Arial"/>
                <w:b/>
                <w:sz w:val="22"/>
                <w:szCs w:val="22"/>
              </w:rPr>
              <w:t>743</w:t>
            </w:r>
          </w:p>
        </w:tc>
        <w:tc>
          <w:tcPr>
            <w:tcW w:w="626" w:type="pct"/>
            <w:tcBorders>
              <w:top w:val="single" w:sz="4" w:space="0" w:color="auto"/>
            </w:tcBorders>
          </w:tcPr>
          <w:p w:rsidR="00997637" w:rsidRPr="00A845B7" w:rsidRDefault="00997637" w:rsidP="00F24C8A">
            <w:pPr>
              <w:jc w:val="right"/>
              <w:rPr>
                <w:rFonts w:ascii="Arial" w:hAnsi="Arial" w:cs="Arial"/>
                <w:sz w:val="22"/>
                <w:szCs w:val="22"/>
              </w:rPr>
            </w:pPr>
            <w:r w:rsidRPr="00A845B7">
              <w:rPr>
                <w:rFonts w:ascii="Arial" w:hAnsi="Arial" w:cs="Arial"/>
                <w:sz w:val="22"/>
                <w:szCs w:val="22"/>
              </w:rPr>
              <w:t>686</w:t>
            </w:r>
          </w:p>
        </w:tc>
        <w:tc>
          <w:tcPr>
            <w:tcW w:w="773" w:type="pct"/>
            <w:tcBorders>
              <w:top w:val="single" w:sz="4" w:space="0" w:color="auto"/>
            </w:tcBorders>
            <w:vAlign w:val="bottom"/>
          </w:tcPr>
          <w:p w:rsidR="00997637" w:rsidRPr="00A845B7" w:rsidRDefault="00997637" w:rsidP="00F24C8A">
            <w:pPr>
              <w:jc w:val="right"/>
              <w:rPr>
                <w:rFonts w:ascii="Arial" w:hAnsi="Arial" w:cs="Arial"/>
                <w:sz w:val="22"/>
                <w:szCs w:val="22"/>
              </w:rPr>
            </w:pPr>
            <w:r w:rsidRPr="00A845B7">
              <w:rPr>
                <w:rFonts w:ascii="Arial" w:hAnsi="Arial" w:cs="Arial"/>
                <w:sz w:val="22"/>
                <w:szCs w:val="22"/>
              </w:rPr>
              <w:t>+8.3%</w:t>
            </w:r>
          </w:p>
        </w:tc>
      </w:tr>
      <w:tr w:rsidR="00997637" w:rsidRPr="00A845B7" w:rsidTr="006F78D1">
        <w:tc>
          <w:tcPr>
            <w:tcW w:w="2966" w:type="pct"/>
          </w:tcPr>
          <w:p w:rsidR="00997637" w:rsidRPr="00A845B7" w:rsidRDefault="00997637" w:rsidP="00F24C8A">
            <w:pPr>
              <w:jc w:val="left"/>
              <w:rPr>
                <w:rFonts w:ascii="Arial" w:hAnsi="Arial" w:cs="Arial"/>
                <w:sz w:val="22"/>
                <w:szCs w:val="22"/>
              </w:rPr>
            </w:pPr>
            <w:r w:rsidRPr="00A845B7">
              <w:rPr>
                <w:rFonts w:ascii="Arial" w:hAnsi="Arial" w:cs="Arial"/>
                <w:sz w:val="22"/>
                <w:szCs w:val="22"/>
              </w:rPr>
              <w:t>B&amp;Q China operating loss</w:t>
            </w:r>
          </w:p>
        </w:tc>
        <w:tc>
          <w:tcPr>
            <w:tcW w:w="635" w:type="pct"/>
          </w:tcPr>
          <w:p w:rsidR="00997637" w:rsidRPr="00A845B7" w:rsidDel="000E6907" w:rsidRDefault="00997637" w:rsidP="00F24C8A">
            <w:pPr>
              <w:jc w:val="right"/>
              <w:rPr>
                <w:rFonts w:ascii="Arial" w:hAnsi="Arial" w:cs="Arial"/>
                <w:b/>
                <w:sz w:val="22"/>
                <w:szCs w:val="22"/>
              </w:rPr>
            </w:pPr>
            <w:r w:rsidRPr="00A845B7">
              <w:rPr>
                <w:rFonts w:ascii="Arial" w:hAnsi="Arial" w:cs="Arial"/>
                <w:sz w:val="22"/>
                <w:szCs w:val="22"/>
              </w:rPr>
              <w:t>-</w:t>
            </w:r>
          </w:p>
        </w:tc>
        <w:tc>
          <w:tcPr>
            <w:tcW w:w="626" w:type="pct"/>
          </w:tcPr>
          <w:p w:rsidR="00997637" w:rsidRPr="00A845B7" w:rsidRDefault="00997637" w:rsidP="00F24C8A">
            <w:pPr>
              <w:jc w:val="right"/>
              <w:rPr>
                <w:rFonts w:ascii="Arial" w:hAnsi="Arial" w:cs="Arial"/>
                <w:sz w:val="22"/>
                <w:szCs w:val="22"/>
              </w:rPr>
            </w:pPr>
            <w:r w:rsidRPr="00A845B7">
              <w:rPr>
                <w:rFonts w:ascii="Arial" w:hAnsi="Arial" w:cs="Arial"/>
                <w:sz w:val="22"/>
                <w:szCs w:val="22"/>
              </w:rPr>
              <w:t>(4)</w:t>
            </w:r>
            <w:r w:rsidRPr="00A845B7">
              <w:rPr>
                <w:rFonts w:ascii="Arial" w:hAnsi="Arial" w:cs="Arial"/>
                <w:sz w:val="22"/>
                <w:szCs w:val="22"/>
                <w:vertAlign w:val="superscript"/>
              </w:rPr>
              <w:t>(1)</w:t>
            </w:r>
          </w:p>
        </w:tc>
        <w:tc>
          <w:tcPr>
            <w:tcW w:w="773" w:type="pct"/>
            <w:vAlign w:val="bottom"/>
          </w:tcPr>
          <w:p w:rsidR="00997637" w:rsidRPr="00A845B7" w:rsidRDefault="00997637" w:rsidP="00F24C8A">
            <w:pPr>
              <w:jc w:val="right"/>
              <w:rPr>
                <w:rFonts w:ascii="Arial" w:hAnsi="Arial" w:cs="Arial"/>
                <w:sz w:val="22"/>
                <w:szCs w:val="22"/>
                <w:highlight w:val="yellow"/>
              </w:rPr>
            </w:pPr>
          </w:p>
        </w:tc>
      </w:tr>
      <w:tr w:rsidR="00997637" w:rsidRPr="00A845B7" w:rsidTr="006F78D1">
        <w:tc>
          <w:tcPr>
            <w:tcW w:w="2966" w:type="pct"/>
            <w:tcBorders>
              <w:bottom w:val="single" w:sz="4" w:space="0" w:color="auto"/>
            </w:tcBorders>
          </w:tcPr>
          <w:p w:rsidR="00997637" w:rsidRPr="00A845B7" w:rsidRDefault="00997637" w:rsidP="00F24C8A">
            <w:pPr>
              <w:jc w:val="left"/>
              <w:rPr>
                <w:rFonts w:ascii="Arial" w:hAnsi="Arial" w:cs="Arial"/>
                <w:sz w:val="22"/>
                <w:szCs w:val="22"/>
              </w:rPr>
            </w:pPr>
            <w:r w:rsidRPr="00A845B7">
              <w:rPr>
                <w:rFonts w:ascii="Arial" w:hAnsi="Arial" w:cs="Arial"/>
                <w:sz w:val="22"/>
                <w:szCs w:val="22"/>
              </w:rPr>
              <w:t>FFVR</w:t>
            </w:r>
          </w:p>
        </w:tc>
        <w:tc>
          <w:tcPr>
            <w:tcW w:w="635" w:type="pct"/>
            <w:tcBorders>
              <w:bottom w:val="single" w:sz="4" w:space="0" w:color="auto"/>
            </w:tcBorders>
          </w:tcPr>
          <w:p w:rsidR="00997637" w:rsidRPr="00A845B7" w:rsidRDefault="002D666E" w:rsidP="00F24C8A">
            <w:pPr>
              <w:jc w:val="right"/>
              <w:rPr>
                <w:rFonts w:ascii="Arial" w:hAnsi="Arial" w:cs="Arial"/>
                <w:b/>
                <w:sz w:val="22"/>
                <w:szCs w:val="22"/>
              </w:rPr>
            </w:pPr>
            <w:r>
              <w:rPr>
                <w:rFonts w:ascii="Arial" w:hAnsi="Arial" w:cs="Arial"/>
                <w:b/>
                <w:sz w:val="22"/>
                <w:szCs w:val="22"/>
              </w:rPr>
              <w:t>(1</w:t>
            </w:r>
            <w:r w:rsidR="00997637" w:rsidRPr="00A845B7">
              <w:rPr>
                <w:rFonts w:ascii="Arial" w:hAnsi="Arial" w:cs="Arial"/>
                <w:b/>
                <w:sz w:val="22"/>
                <w:szCs w:val="22"/>
              </w:rPr>
              <w:t>)</w:t>
            </w:r>
          </w:p>
        </w:tc>
        <w:tc>
          <w:tcPr>
            <w:tcW w:w="626" w:type="pct"/>
            <w:tcBorders>
              <w:bottom w:val="single" w:sz="4" w:space="0" w:color="auto"/>
            </w:tcBorders>
          </w:tcPr>
          <w:p w:rsidR="00997637" w:rsidRPr="00A845B7" w:rsidRDefault="00997637" w:rsidP="00F24C8A">
            <w:pPr>
              <w:jc w:val="right"/>
              <w:rPr>
                <w:rFonts w:ascii="Arial" w:hAnsi="Arial" w:cs="Arial"/>
                <w:sz w:val="22"/>
                <w:szCs w:val="22"/>
              </w:rPr>
            </w:pPr>
            <w:r w:rsidRPr="00A845B7">
              <w:rPr>
                <w:rFonts w:ascii="Arial" w:hAnsi="Arial" w:cs="Arial"/>
                <w:sz w:val="22"/>
                <w:szCs w:val="22"/>
              </w:rPr>
              <w:t>(4)</w:t>
            </w:r>
          </w:p>
        </w:tc>
        <w:tc>
          <w:tcPr>
            <w:tcW w:w="773" w:type="pct"/>
            <w:tcBorders>
              <w:bottom w:val="single" w:sz="4" w:space="0" w:color="auto"/>
            </w:tcBorders>
            <w:vAlign w:val="bottom"/>
          </w:tcPr>
          <w:p w:rsidR="00997637" w:rsidRPr="00A845B7" w:rsidRDefault="00997637" w:rsidP="00F24C8A">
            <w:pPr>
              <w:jc w:val="right"/>
              <w:rPr>
                <w:rFonts w:ascii="Arial" w:hAnsi="Arial" w:cs="Arial"/>
                <w:sz w:val="22"/>
                <w:szCs w:val="22"/>
                <w:highlight w:val="yellow"/>
              </w:rPr>
            </w:pPr>
          </w:p>
        </w:tc>
      </w:tr>
      <w:tr w:rsidR="00997637" w:rsidRPr="00A845B7" w:rsidTr="006F78D1">
        <w:tc>
          <w:tcPr>
            <w:tcW w:w="2966" w:type="pct"/>
            <w:tcBorders>
              <w:top w:val="single" w:sz="4" w:space="0" w:color="auto"/>
            </w:tcBorders>
          </w:tcPr>
          <w:p w:rsidR="00997637" w:rsidRPr="00A845B7" w:rsidRDefault="00997637" w:rsidP="00F24C8A">
            <w:pPr>
              <w:jc w:val="left"/>
              <w:rPr>
                <w:rFonts w:ascii="Arial" w:hAnsi="Arial" w:cs="Arial"/>
                <w:sz w:val="22"/>
                <w:szCs w:val="22"/>
              </w:rPr>
            </w:pPr>
            <w:r w:rsidRPr="00A845B7">
              <w:rPr>
                <w:rFonts w:ascii="Arial" w:hAnsi="Arial" w:cs="Arial"/>
                <w:sz w:val="22"/>
                <w:szCs w:val="22"/>
              </w:rPr>
              <w:t>Profit before exceptional items and tax</w:t>
            </w:r>
          </w:p>
        </w:tc>
        <w:tc>
          <w:tcPr>
            <w:tcW w:w="635" w:type="pct"/>
            <w:tcBorders>
              <w:top w:val="single" w:sz="4" w:space="0" w:color="auto"/>
            </w:tcBorders>
          </w:tcPr>
          <w:p w:rsidR="00997637" w:rsidRPr="00A845B7" w:rsidRDefault="002D666E" w:rsidP="00F24C8A">
            <w:pPr>
              <w:jc w:val="right"/>
              <w:rPr>
                <w:rFonts w:ascii="Arial" w:hAnsi="Arial" w:cs="Arial"/>
                <w:b/>
                <w:sz w:val="22"/>
                <w:szCs w:val="22"/>
              </w:rPr>
            </w:pPr>
            <w:r>
              <w:rPr>
                <w:rFonts w:ascii="Arial" w:hAnsi="Arial" w:cs="Arial"/>
                <w:b/>
                <w:sz w:val="22"/>
                <w:szCs w:val="22"/>
              </w:rPr>
              <w:t>742</w:t>
            </w:r>
          </w:p>
        </w:tc>
        <w:tc>
          <w:tcPr>
            <w:tcW w:w="626" w:type="pct"/>
            <w:tcBorders>
              <w:top w:val="single" w:sz="4" w:space="0" w:color="auto"/>
            </w:tcBorders>
          </w:tcPr>
          <w:p w:rsidR="00997637" w:rsidRPr="00A845B7" w:rsidRDefault="00997637" w:rsidP="00F24C8A">
            <w:pPr>
              <w:jc w:val="right"/>
              <w:rPr>
                <w:rFonts w:ascii="Arial" w:hAnsi="Arial" w:cs="Arial"/>
                <w:sz w:val="22"/>
                <w:szCs w:val="22"/>
              </w:rPr>
            </w:pPr>
            <w:r w:rsidRPr="00A845B7">
              <w:rPr>
                <w:rFonts w:ascii="Arial" w:hAnsi="Arial" w:cs="Arial"/>
                <w:sz w:val="22"/>
                <w:szCs w:val="22"/>
              </w:rPr>
              <w:t>678</w:t>
            </w:r>
          </w:p>
        </w:tc>
        <w:tc>
          <w:tcPr>
            <w:tcW w:w="773" w:type="pct"/>
            <w:tcBorders>
              <w:top w:val="single" w:sz="4" w:space="0" w:color="auto"/>
            </w:tcBorders>
            <w:vAlign w:val="bottom"/>
          </w:tcPr>
          <w:p w:rsidR="00997637" w:rsidRPr="00A845B7" w:rsidRDefault="00997637" w:rsidP="00F24C8A">
            <w:pPr>
              <w:jc w:val="right"/>
              <w:rPr>
                <w:rFonts w:ascii="Arial" w:hAnsi="Arial" w:cs="Arial"/>
                <w:sz w:val="22"/>
                <w:szCs w:val="22"/>
              </w:rPr>
            </w:pPr>
            <w:r w:rsidRPr="00A845B7">
              <w:rPr>
                <w:rFonts w:ascii="Arial" w:hAnsi="Arial" w:cs="Arial"/>
                <w:sz w:val="22"/>
                <w:szCs w:val="22"/>
              </w:rPr>
              <w:t>+9.</w:t>
            </w:r>
            <w:r w:rsidR="002D666E">
              <w:rPr>
                <w:rFonts w:ascii="Arial" w:hAnsi="Arial" w:cs="Arial"/>
                <w:sz w:val="22"/>
                <w:szCs w:val="22"/>
              </w:rPr>
              <w:t>4</w:t>
            </w:r>
            <w:r w:rsidRPr="00A845B7">
              <w:rPr>
                <w:rFonts w:ascii="Arial" w:hAnsi="Arial" w:cs="Arial"/>
                <w:sz w:val="22"/>
                <w:szCs w:val="22"/>
              </w:rPr>
              <w:t>%</w:t>
            </w:r>
          </w:p>
        </w:tc>
      </w:tr>
      <w:tr w:rsidR="00997637" w:rsidRPr="00A845B7" w:rsidTr="006F78D1">
        <w:tc>
          <w:tcPr>
            <w:tcW w:w="2966" w:type="pct"/>
            <w:tcBorders>
              <w:bottom w:val="single" w:sz="4" w:space="0" w:color="auto"/>
            </w:tcBorders>
          </w:tcPr>
          <w:p w:rsidR="00997637" w:rsidRPr="00A845B7" w:rsidRDefault="00997637" w:rsidP="00F24C8A">
            <w:pPr>
              <w:jc w:val="left"/>
              <w:rPr>
                <w:rFonts w:ascii="Arial" w:hAnsi="Arial" w:cs="Arial"/>
                <w:sz w:val="22"/>
                <w:szCs w:val="22"/>
              </w:rPr>
            </w:pPr>
            <w:r w:rsidRPr="00A845B7">
              <w:rPr>
                <w:rFonts w:ascii="Arial" w:hAnsi="Arial" w:cs="Arial"/>
                <w:sz w:val="22"/>
                <w:szCs w:val="22"/>
              </w:rPr>
              <w:t>Exceptional items before tax</w:t>
            </w:r>
          </w:p>
        </w:tc>
        <w:tc>
          <w:tcPr>
            <w:tcW w:w="635" w:type="pct"/>
            <w:tcBorders>
              <w:bottom w:val="single" w:sz="4" w:space="0" w:color="auto"/>
            </w:tcBorders>
          </w:tcPr>
          <w:p w:rsidR="00997637" w:rsidRPr="00A845B7" w:rsidRDefault="002D666E" w:rsidP="00F24C8A">
            <w:pPr>
              <w:jc w:val="right"/>
              <w:rPr>
                <w:rFonts w:ascii="Arial" w:hAnsi="Arial" w:cs="Arial"/>
                <w:b/>
                <w:sz w:val="22"/>
                <w:szCs w:val="22"/>
              </w:rPr>
            </w:pPr>
            <w:r>
              <w:rPr>
                <w:rFonts w:ascii="Arial" w:hAnsi="Arial" w:cs="Arial"/>
                <w:b/>
                <w:sz w:val="22"/>
                <w:szCs w:val="22"/>
              </w:rPr>
              <w:t>17</w:t>
            </w:r>
          </w:p>
        </w:tc>
        <w:tc>
          <w:tcPr>
            <w:tcW w:w="626" w:type="pct"/>
            <w:tcBorders>
              <w:bottom w:val="single" w:sz="4" w:space="0" w:color="auto"/>
            </w:tcBorders>
          </w:tcPr>
          <w:p w:rsidR="00997637" w:rsidRPr="00A845B7" w:rsidRDefault="00997637" w:rsidP="00F24C8A">
            <w:pPr>
              <w:jc w:val="right"/>
              <w:rPr>
                <w:rFonts w:ascii="Arial" w:hAnsi="Arial" w:cs="Arial"/>
                <w:sz w:val="22"/>
                <w:szCs w:val="22"/>
              </w:rPr>
            </w:pPr>
            <w:r w:rsidRPr="00A845B7">
              <w:rPr>
                <w:rFonts w:ascii="Arial" w:hAnsi="Arial" w:cs="Arial"/>
                <w:sz w:val="22"/>
                <w:szCs w:val="22"/>
              </w:rPr>
              <w:t>(166)</w:t>
            </w:r>
          </w:p>
        </w:tc>
        <w:tc>
          <w:tcPr>
            <w:tcW w:w="773" w:type="pct"/>
            <w:tcBorders>
              <w:bottom w:val="single" w:sz="4" w:space="0" w:color="auto"/>
            </w:tcBorders>
            <w:vAlign w:val="bottom"/>
          </w:tcPr>
          <w:p w:rsidR="00997637" w:rsidRPr="00A845B7" w:rsidRDefault="00997637" w:rsidP="00F24C8A">
            <w:pPr>
              <w:jc w:val="right"/>
              <w:rPr>
                <w:rFonts w:ascii="Arial" w:hAnsi="Arial" w:cs="Arial"/>
                <w:sz w:val="22"/>
                <w:szCs w:val="22"/>
              </w:rPr>
            </w:pPr>
          </w:p>
        </w:tc>
      </w:tr>
      <w:tr w:rsidR="00997637" w:rsidRPr="00A845B7" w:rsidTr="006F78D1">
        <w:tc>
          <w:tcPr>
            <w:tcW w:w="2966" w:type="pct"/>
            <w:tcBorders>
              <w:top w:val="single" w:sz="4" w:space="0" w:color="auto"/>
              <w:bottom w:val="single" w:sz="4" w:space="0" w:color="auto"/>
            </w:tcBorders>
          </w:tcPr>
          <w:p w:rsidR="00997637" w:rsidRPr="00A845B7" w:rsidRDefault="00997637" w:rsidP="00F24C8A">
            <w:pPr>
              <w:jc w:val="left"/>
              <w:rPr>
                <w:rFonts w:ascii="Arial" w:hAnsi="Arial" w:cs="Arial"/>
                <w:b/>
                <w:sz w:val="22"/>
                <w:szCs w:val="22"/>
              </w:rPr>
            </w:pPr>
            <w:r w:rsidRPr="00A845B7">
              <w:rPr>
                <w:rFonts w:ascii="Arial" w:hAnsi="Arial" w:cs="Arial"/>
                <w:b/>
                <w:sz w:val="22"/>
                <w:szCs w:val="22"/>
              </w:rPr>
              <w:t>Statutory pre-tax profit</w:t>
            </w:r>
          </w:p>
        </w:tc>
        <w:tc>
          <w:tcPr>
            <w:tcW w:w="635" w:type="pct"/>
            <w:tcBorders>
              <w:top w:val="single" w:sz="4" w:space="0" w:color="auto"/>
              <w:bottom w:val="single" w:sz="4" w:space="0" w:color="auto"/>
            </w:tcBorders>
          </w:tcPr>
          <w:p w:rsidR="00997637" w:rsidRPr="00A845B7" w:rsidRDefault="002D666E" w:rsidP="00F24C8A">
            <w:pPr>
              <w:jc w:val="right"/>
              <w:rPr>
                <w:rFonts w:ascii="Arial" w:hAnsi="Arial" w:cs="Arial"/>
                <w:b/>
                <w:sz w:val="22"/>
                <w:szCs w:val="22"/>
              </w:rPr>
            </w:pPr>
            <w:r>
              <w:rPr>
                <w:rFonts w:ascii="Arial" w:hAnsi="Arial" w:cs="Arial"/>
                <w:b/>
                <w:sz w:val="22"/>
                <w:szCs w:val="22"/>
              </w:rPr>
              <w:t>759</w:t>
            </w:r>
          </w:p>
        </w:tc>
        <w:tc>
          <w:tcPr>
            <w:tcW w:w="626" w:type="pct"/>
            <w:tcBorders>
              <w:top w:val="single" w:sz="4" w:space="0" w:color="auto"/>
              <w:bottom w:val="single" w:sz="4" w:space="0" w:color="auto"/>
            </w:tcBorders>
          </w:tcPr>
          <w:p w:rsidR="00997637" w:rsidRPr="00A845B7" w:rsidRDefault="00997637" w:rsidP="00F24C8A">
            <w:pPr>
              <w:jc w:val="right"/>
              <w:rPr>
                <w:rFonts w:ascii="Arial" w:hAnsi="Arial" w:cs="Arial"/>
                <w:sz w:val="22"/>
                <w:szCs w:val="22"/>
              </w:rPr>
            </w:pPr>
            <w:r w:rsidRPr="00A845B7">
              <w:rPr>
                <w:rFonts w:ascii="Arial" w:hAnsi="Arial" w:cs="Arial"/>
                <w:sz w:val="22"/>
                <w:szCs w:val="22"/>
              </w:rPr>
              <w:t>512</w:t>
            </w:r>
          </w:p>
        </w:tc>
        <w:tc>
          <w:tcPr>
            <w:tcW w:w="773" w:type="pct"/>
            <w:tcBorders>
              <w:top w:val="single" w:sz="4" w:space="0" w:color="auto"/>
              <w:bottom w:val="single" w:sz="4" w:space="0" w:color="auto"/>
            </w:tcBorders>
            <w:vAlign w:val="bottom"/>
          </w:tcPr>
          <w:p w:rsidR="00997637" w:rsidRPr="00A845B7" w:rsidRDefault="00997637" w:rsidP="00F24C8A">
            <w:pPr>
              <w:jc w:val="right"/>
              <w:rPr>
                <w:rFonts w:ascii="Arial" w:hAnsi="Arial" w:cs="Arial"/>
                <w:sz w:val="22"/>
                <w:szCs w:val="22"/>
              </w:rPr>
            </w:pPr>
            <w:r w:rsidRPr="00A845B7">
              <w:rPr>
                <w:rFonts w:ascii="Arial" w:hAnsi="Arial" w:cs="Arial"/>
                <w:sz w:val="22"/>
                <w:szCs w:val="22"/>
              </w:rPr>
              <w:t>+4</w:t>
            </w:r>
            <w:r w:rsidR="002D666E">
              <w:rPr>
                <w:rFonts w:ascii="Arial" w:hAnsi="Arial" w:cs="Arial"/>
                <w:sz w:val="22"/>
                <w:szCs w:val="22"/>
              </w:rPr>
              <w:t>8.2</w:t>
            </w:r>
            <w:r w:rsidRPr="00A845B7">
              <w:rPr>
                <w:rFonts w:ascii="Arial" w:hAnsi="Arial" w:cs="Arial"/>
                <w:sz w:val="22"/>
                <w:szCs w:val="22"/>
              </w:rPr>
              <w:t>%</w:t>
            </w:r>
          </w:p>
        </w:tc>
      </w:tr>
    </w:tbl>
    <w:p w:rsidR="00997637" w:rsidRPr="00A03549" w:rsidRDefault="00997637" w:rsidP="00997637">
      <w:pPr>
        <w:rPr>
          <w:rFonts w:ascii="Arial" w:hAnsi="Arial" w:cs="Arial"/>
          <w:b/>
          <w:sz w:val="24"/>
          <w:szCs w:val="24"/>
        </w:rPr>
      </w:pPr>
      <w:r w:rsidRPr="006F78D1">
        <w:rPr>
          <w:rFonts w:ascii="Arial" w:hAnsi="Arial" w:cs="Arial"/>
          <w:vertAlign w:val="superscript"/>
        </w:rPr>
        <w:t>(1)</w:t>
      </w:r>
      <w:r w:rsidRPr="00A03549">
        <w:rPr>
          <w:rFonts w:ascii="Arial" w:hAnsi="Arial" w:cs="Arial"/>
          <w:sz w:val="24"/>
          <w:szCs w:val="24"/>
        </w:rPr>
        <w:t xml:space="preserve"> </w:t>
      </w:r>
      <w:r w:rsidRPr="00A03549">
        <w:rPr>
          <w:rFonts w:ascii="Arial" w:hAnsi="Arial" w:cs="Arial"/>
          <w:sz w:val="18"/>
          <w:szCs w:val="24"/>
        </w:rPr>
        <w:t>Up to the date of disposal (30 April 2015)</w:t>
      </w:r>
    </w:p>
    <w:p w:rsidR="00997637" w:rsidRDefault="00997637" w:rsidP="00997637">
      <w:pPr>
        <w:rPr>
          <w:rFonts w:ascii="Arial" w:hAnsi="Arial" w:cs="Arial"/>
          <w:b/>
          <w:sz w:val="24"/>
          <w:szCs w:val="24"/>
          <w:highlight w:val="yellow"/>
        </w:rPr>
      </w:pPr>
    </w:p>
    <w:p w:rsidR="00997637" w:rsidRPr="00A845B7" w:rsidRDefault="00997637" w:rsidP="00997637">
      <w:pPr>
        <w:jc w:val="left"/>
        <w:rPr>
          <w:rFonts w:ascii="Arial" w:hAnsi="Arial" w:cs="Arial"/>
        </w:rPr>
      </w:pPr>
      <w:r w:rsidRPr="00686C6E">
        <w:rPr>
          <w:rFonts w:ascii="Arial" w:hAnsi="Arial" w:cs="Arial"/>
        </w:rPr>
        <w:t xml:space="preserve">Transformation P&amp;L costs of £44 million principally relate to the unified and unique offer range </w:t>
      </w:r>
      <w:r w:rsidRPr="00A845B7">
        <w:rPr>
          <w:rFonts w:ascii="Arial" w:hAnsi="Arial" w:cs="Arial"/>
        </w:rPr>
        <w:t>implementation and the digital strategic pillar.</w:t>
      </w:r>
    </w:p>
    <w:p w:rsidR="00997637" w:rsidRPr="00A845B7" w:rsidRDefault="00997637" w:rsidP="00997637">
      <w:pPr>
        <w:rPr>
          <w:rFonts w:ascii="Arial" w:hAnsi="Arial" w:cs="Arial"/>
          <w:highlight w:val="yellow"/>
        </w:rPr>
      </w:pPr>
    </w:p>
    <w:p w:rsidR="00997637" w:rsidRPr="00A845B7" w:rsidRDefault="00997637" w:rsidP="00997637">
      <w:pPr>
        <w:jc w:val="left"/>
        <w:rPr>
          <w:rFonts w:ascii="Arial" w:hAnsi="Arial" w:cs="Arial"/>
        </w:rPr>
      </w:pPr>
      <w:r w:rsidRPr="00A845B7">
        <w:rPr>
          <w:rFonts w:ascii="Arial" w:hAnsi="Arial" w:cs="Arial"/>
          <w:b/>
        </w:rPr>
        <w:t>Exceptional items</w:t>
      </w:r>
      <w:r w:rsidRPr="00A845B7">
        <w:rPr>
          <w:rFonts w:ascii="Arial" w:hAnsi="Arial" w:cs="Arial"/>
        </w:rPr>
        <w:t xml:space="preserve"> (post tax) were a gain of £</w:t>
      </w:r>
      <w:r w:rsidR="00052C90">
        <w:rPr>
          <w:rFonts w:ascii="Arial" w:hAnsi="Arial" w:cs="Arial"/>
        </w:rPr>
        <w:t>11</w:t>
      </w:r>
      <w:r w:rsidRPr="00A845B7">
        <w:rPr>
          <w:rFonts w:ascii="Arial" w:hAnsi="Arial" w:cs="Arial"/>
        </w:rPr>
        <w:t xml:space="preserve"> million (2015/16: £99 million charge) as detailed below:</w:t>
      </w:r>
    </w:p>
    <w:tbl>
      <w:tblPr>
        <w:tblW w:w="5001" w:type="pct"/>
        <w:tblLook w:val="04A0" w:firstRow="1" w:lastRow="0" w:firstColumn="1" w:lastColumn="0" w:noHBand="0" w:noVBand="1"/>
      </w:tblPr>
      <w:tblGrid>
        <w:gridCol w:w="5962"/>
        <w:gridCol w:w="1882"/>
        <w:gridCol w:w="1799"/>
      </w:tblGrid>
      <w:tr w:rsidR="00997637" w:rsidRPr="00A845B7" w:rsidTr="00F24C8A">
        <w:trPr>
          <w:trHeight w:val="525"/>
        </w:trPr>
        <w:tc>
          <w:tcPr>
            <w:tcW w:w="3091" w:type="pct"/>
            <w:tcBorders>
              <w:top w:val="nil"/>
              <w:left w:val="nil"/>
              <w:bottom w:val="single" w:sz="4" w:space="0" w:color="auto"/>
              <w:right w:val="nil"/>
            </w:tcBorders>
            <w:vAlign w:val="bottom"/>
          </w:tcPr>
          <w:p w:rsidR="00997637" w:rsidRPr="00A845B7" w:rsidRDefault="00997637" w:rsidP="00F24C8A">
            <w:pPr>
              <w:jc w:val="left"/>
              <w:rPr>
                <w:rFonts w:ascii="Arial" w:hAnsi="Arial" w:cs="Arial"/>
                <w:bCs/>
              </w:rPr>
            </w:pPr>
          </w:p>
        </w:tc>
        <w:tc>
          <w:tcPr>
            <w:tcW w:w="976" w:type="pct"/>
            <w:tcBorders>
              <w:top w:val="nil"/>
              <w:left w:val="nil"/>
              <w:bottom w:val="single" w:sz="4" w:space="0" w:color="auto"/>
              <w:right w:val="nil"/>
            </w:tcBorders>
            <w:vAlign w:val="bottom"/>
            <w:hideMark/>
          </w:tcPr>
          <w:p w:rsidR="00997637" w:rsidRPr="00A845B7" w:rsidRDefault="00997637" w:rsidP="00F24C8A">
            <w:pPr>
              <w:jc w:val="right"/>
              <w:rPr>
                <w:rFonts w:ascii="Arial" w:hAnsi="Arial" w:cs="Arial"/>
                <w:b/>
                <w:bCs/>
              </w:rPr>
            </w:pPr>
            <w:r w:rsidRPr="00A845B7">
              <w:rPr>
                <w:rFonts w:ascii="Arial" w:hAnsi="Arial" w:cs="Arial"/>
                <w:b/>
                <w:bCs/>
              </w:rPr>
              <w:t>2016/17</w:t>
            </w:r>
          </w:p>
          <w:p w:rsidR="00997637" w:rsidRPr="00A845B7" w:rsidRDefault="00997637" w:rsidP="00F24C8A">
            <w:pPr>
              <w:jc w:val="right"/>
              <w:rPr>
                <w:rFonts w:ascii="Arial" w:hAnsi="Arial" w:cs="Arial"/>
                <w:b/>
                <w:bCs/>
              </w:rPr>
            </w:pPr>
            <w:r w:rsidRPr="00A845B7">
              <w:rPr>
                <w:rFonts w:ascii="Arial" w:hAnsi="Arial" w:cs="Arial"/>
                <w:b/>
                <w:bCs/>
              </w:rPr>
              <w:t>£m</w:t>
            </w:r>
          </w:p>
          <w:p w:rsidR="00997637" w:rsidRPr="00A845B7" w:rsidRDefault="00997637" w:rsidP="00F24C8A">
            <w:pPr>
              <w:jc w:val="right"/>
              <w:rPr>
                <w:rFonts w:ascii="Arial" w:hAnsi="Arial" w:cs="Arial"/>
                <w:b/>
                <w:bCs/>
              </w:rPr>
            </w:pPr>
            <w:r w:rsidRPr="00A845B7">
              <w:rPr>
                <w:rFonts w:ascii="Arial" w:hAnsi="Arial" w:cs="Arial"/>
                <w:b/>
                <w:bCs/>
              </w:rPr>
              <w:t>Gain/(charge)</w:t>
            </w:r>
          </w:p>
        </w:tc>
        <w:tc>
          <w:tcPr>
            <w:tcW w:w="933" w:type="pct"/>
            <w:tcBorders>
              <w:top w:val="nil"/>
              <w:left w:val="nil"/>
              <w:bottom w:val="single" w:sz="4" w:space="0" w:color="auto"/>
              <w:right w:val="nil"/>
            </w:tcBorders>
            <w:vAlign w:val="bottom"/>
            <w:hideMark/>
          </w:tcPr>
          <w:p w:rsidR="00997637" w:rsidRPr="00A845B7" w:rsidRDefault="00997637" w:rsidP="00F24C8A">
            <w:pPr>
              <w:jc w:val="right"/>
              <w:rPr>
                <w:rFonts w:ascii="Arial" w:hAnsi="Arial" w:cs="Arial"/>
                <w:bCs/>
              </w:rPr>
            </w:pPr>
            <w:r w:rsidRPr="00A845B7">
              <w:rPr>
                <w:rFonts w:ascii="Arial" w:hAnsi="Arial" w:cs="Arial"/>
                <w:bCs/>
              </w:rPr>
              <w:t>2015/16</w:t>
            </w:r>
          </w:p>
          <w:p w:rsidR="00997637" w:rsidRPr="00A845B7" w:rsidRDefault="00997637" w:rsidP="00F24C8A">
            <w:pPr>
              <w:jc w:val="right"/>
              <w:rPr>
                <w:rFonts w:ascii="Arial" w:hAnsi="Arial" w:cs="Arial"/>
                <w:bCs/>
              </w:rPr>
            </w:pPr>
            <w:r w:rsidRPr="00A845B7">
              <w:rPr>
                <w:rFonts w:ascii="Arial" w:hAnsi="Arial" w:cs="Arial"/>
                <w:bCs/>
              </w:rPr>
              <w:t>£m</w:t>
            </w:r>
          </w:p>
          <w:p w:rsidR="00997637" w:rsidRPr="00A845B7" w:rsidRDefault="00997637" w:rsidP="00F24C8A">
            <w:pPr>
              <w:jc w:val="right"/>
              <w:rPr>
                <w:rFonts w:ascii="Arial" w:hAnsi="Arial" w:cs="Arial"/>
                <w:bCs/>
              </w:rPr>
            </w:pPr>
            <w:r w:rsidRPr="00A845B7">
              <w:rPr>
                <w:rFonts w:ascii="Arial" w:hAnsi="Arial" w:cs="Arial"/>
                <w:bCs/>
              </w:rPr>
              <w:t>Gain/(charge)</w:t>
            </w:r>
          </w:p>
        </w:tc>
      </w:tr>
      <w:tr w:rsidR="00997637" w:rsidRPr="00A845B7" w:rsidTr="00F24C8A">
        <w:trPr>
          <w:trHeight w:val="254"/>
        </w:trPr>
        <w:tc>
          <w:tcPr>
            <w:tcW w:w="3091" w:type="pct"/>
            <w:vAlign w:val="bottom"/>
          </w:tcPr>
          <w:p w:rsidR="00997637" w:rsidRPr="00A845B7" w:rsidRDefault="00997637" w:rsidP="00F24C8A">
            <w:pPr>
              <w:rPr>
                <w:rFonts w:ascii="Arial" w:hAnsi="Arial" w:cs="Arial"/>
              </w:rPr>
            </w:pPr>
            <w:r w:rsidRPr="00A845B7">
              <w:rPr>
                <w:rFonts w:ascii="Arial" w:hAnsi="Arial" w:cs="Arial"/>
                <w:color w:val="000000"/>
              </w:rPr>
              <w:t>Transformation exceptional costs</w:t>
            </w:r>
          </w:p>
        </w:tc>
        <w:tc>
          <w:tcPr>
            <w:tcW w:w="976" w:type="pct"/>
            <w:vAlign w:val="bottom"/>
          </w:tcPr>
          <w:p w:rsidR="00997637" w:rsidRPr="00A845B7" w:rsidRDefault="00997637" w:rsidP="00F24C8A">
            <w:pPr>
              <w:jc w:val="right"/>
              <w:rPr>
                <w:rFonts w:ascii="Arial" w:hAnsi="Arial" w:cs="Arial"/>
                <w:b/>
              </w:rPr>
            </w:pPr>
            <w:r w:rsidRPr="00A845B7">
              <w:rPr>
                <w:rFonts w:ascii="Arial" w:hAnsi="Arial" w:cs="Arial"/>
                <w:b/>
              </w:rPr>
              <w:t>(</w:t>
            </w:r>
            <w:r w:rsidR="002D666E">
              <w:rPr>
                <w:rFonts w:ascii="Arial" w:hAnsi="Arial" w:cs="Arial"/>
                <w:b/>
              </w:rPr>
              <w:t>5</w:t>
            </w:r>
            <w:r w:rsidRPr="00A845B7">
              <w:rPr>
                <w:rFonts w:ascii="Arial" w:hAnsi="Arial" w:cs="Arial"/>
                <w:b/>
              </w:rPr>
              <w:t>)</w:t>
            </w:r>
          </w:p>
        </w:tc>
        <w:tc>
          <w:tcPr>
            <w:tcW w:w="933" w:type="pct"/>
            <w:vAlign w:val="bottom"/>
          </w:tcPr>
          <w:p w:rsidR="00997637" w:rsidRPr="00A845B7" w:rsidRDefault="00997637" w:rsidP="00F24C8A">
            <w:pPr>
              <w:jc w:val="right"/>
              <w:rPr>
                <w:rFonts w:ascii="Arial" w:hAnsi="Arial" w:cs="Arial"/>
              </w:rPr>
            </w:pPr>
            <w:r w:rsidRPr="00A845B7">
              <w:rPr>
                <w:rFonts w:ascii="Arial" w:hAnsi="Arial" w:cs="Arial"/>
              </w:rPr>
              <w:t>-</w:t>
            </w:r>
          </w:p>
        </w:tc>
      </w:tr>
      <w:tr w:rsidR="00997637" w:rsidRPr="00A845B7" w:rsidTr="00F24C8A">
        <w:trPr>
          <w:trHeight w:val="254"/>
        </w:trPr>
        <w:tc>
          <w:tcPr>
            <w:tcW w:w="3091" w:type="pct"/>
            <w:vAlign w:val="bottom"/>
            <w:hideMark/>
          </w:tcPr>
          <w:p w:rsidR="00997637" w:rsidRPr="00A845B7" w:rsidRDefault="00997637" w:rsidP="00F24C8A">
            <w:pPr>
              <w:rPr>
                <w:rFonts w:ascii="Arial" w:hAnsi="Arial" w:cs="Arial"/>
              </w:rPr>
            </w:pPr>
            <w:r w:rsidRPr="00A845B7">
              <w:rPr>
                <w:rFonts w:ascii="Arial" w:hAnsi="Arial" w:cs="Arial"/>
              </w:rPr>
              <w:t>UK &amp; Ireland and Europe restructuring</w:t>
            </w:r>
          </w:p>
        </w:tc>
        <w:tc>
          <w:tcPr>
            <w:tcW w:w="976" w:type="pct"/>
            <w:vAlign w:val="bottom"/>
            <w:hideMark/>
          </w:tcPr>
          <w:p w:rsidR="00997637" w:rsidRPr="00A845B7" w:rsidRDefault="00997637" w:rsidP="00F24C8A">
            <w:pPr>
              <w:jc w:val="right"/>
              <w:rPr>
                <w:rFonts w:ascii="Arial" w:hAnsi="Arial" w:cs="Arial"/>
                <w:b/>
              </w:rPr>
            </w:pPr>
            <w:r w:rsidRPr="00A845B7">
              <w:rPr>
                <w:rFonts w:ascii="Arial" w:hAnsi="Arial" w:cs="Arial"/>
                <w:b/>
              </w:rPr>
              <w:t>1</w:t>
            </w:r>
            <w:r w:rsidR="00052C90">
              <w:rPr>
                <w:rFonts w:ascii="Arial" w:hAnsi="Arial" w:cs="Arial"/>
                <w:b/>
              </w:rPr>
              <w:t>5</w:t>
            </w:r>
          </w:p>
        </w:tc>
        <w:tc>
          <w:tcPr>
            <w:tcW w:w="933" w:type="pct"/>
            <w:vAlign w:val="bottom"/>
            <w:hideMark/>
          </w:tcPr>
          <w:p w:rsidR="00997637" w:rsidRPr="00A845B7" w:rsidRDefault="00997637" w:rsidP="00F24C8A">
            <w:pPr>
              <w:jc w:val="right"/>
              <w:rPr>
                <w:rFonts w:ascii="Arial" w:hAnsi="Arial" w:cs="Arial"/>
              </w:rPr>
            </w:pPr>
            <w:r w:rsidRPr="00A845B7">
              <w:rPr>
                <w:rFonts w:ascii="Arial" w:hAnsi="Arial" w:cs="Arial"/>
              </w:rPr>
              <w:t>(305)</w:t>
            </w:r>
          </w:p>
        </w:tc>
      </w:tr>
      <w:tr w:rsidR="00997637" w:rsidRPr="00A845B7" w:rsidTr="00F24C8A">
        <w:trPr>
          <w:trHeight w:val="254"/>
        </w:trPr>
        <w:tc>
          <w:tcPr>
            <w:tcW w:w="3091" w:type="pct"/>
            <w:vAlign w:val="bottom"/>
          </w:tcPr>
          <w:p w:rsidR="00997637" w:rsidRPr="00A845B7" w:rsidRDefault="00997637" w:rsidP="00F24C8A">
            <w:pPr>
              <w:rPr>
                <w:rFonts w:ascii="Arial" w:hAnsi="Arial" w:cs="Arial"/>
              </w:rPr>
            </w:pPr>
            <w:r w:rsidRPr="00A845B7">
              <w:rPr>
                <w:rFonts w:ascii="Arial" w:hAnsi="Arial" w:cs="Arial"/>
              </w:rPr>
              <w:t>Profit on disposal of B&amp;Q China</w:t>
            </w:r>
          </w:p>
        </w:tc>
        <w:tc>
          <w:tcPr>
            <w:tcW w:w="976" w:type="pct"/>
            <w:vAlign w:val="bottom"/>
          </w:tcPr>
          <w:p w:rsidR="00997637" w:rsidRPr="00A845B7" w:rsidDel="00E2659B" w:rsidRDefault="00997637" w:rsidP="00F24C8A">
            <w:pPr>
              <w:jc w:val="right"/>
              <w:rPr>
                <w:rFonts w:ascii="Arial" w:hAnsi="Arial" w:cs="Arial"/>
                <w:b/>
              </w:rPr>
            </w:pPr>
            <w:r w:rsidRPr="00A845B7">
              <w:rPr>
                <w:rFonts w:ascii="Arial" w:hAnsi="Arial" w:cs="Arial"/>
                <w:b/>
              </w:rPr>
              <w:t>3</w:t>
            </w:r>
          </w:p>
        </w:tc>
        <w:tc>
          <w:tcPr>
            <w:tcW w:w="933" w:type="pct"/>
            <w:vAlign w:val="bottom"/>
          </w:tcPr>
          <w:p w:rsidR="00997637" w:rsidRPr="00A845B7" w:rsidDel="00E2659B" w:rsidRDefault="00997637" w:rsidP="00F24C8A">
            <w:pPr>
              <w:jc w:val="right"/>
              <w:rPr>
                <w:rFonts w:ascii="Arial" w:hAnsi="Arial" w:cs="Arial"/>
              </w:rPr>
            </w:pPr>
            <w:r w:rsidRPr="00A845B7">
              <w:rPr>
                <w:rFonts w:ascii="Arial" w:hAnsi="Arial" w:cs="Arial"/>
              </w:rPr>
              <w:t>143</w:t>
            </w:r>
          </w:p>
        </w:tc>
      </w:tr>
      <w:tr w:rsidR="00997637" w:rsidRPr="00A845B7" w:rsidTr="00F24C8A">
        <w:trPr>
          <w:trHeight w:val="254"/>
        </w:trPr>
        <w:tc>
          <w:tcPr>
            <w:tcW w:w="3091" w:type="pct"/>
            <w:vAlign w:val="bottom"/>
          </w:tcPr>
          <w:p w:rsidR="00997637" w:rsidRPr="00A845B7" w:rsidRDefault="00CD6897" w:rsidP="00F24C8A">
            <w:pPr>
              <w:rPr>
                <w:rFonts w:ascii="Arial" w:hAnsi="Arial" w:cs="Arial"/>
              </w:rPr>
            </w:pPr>
            <w:r>
              <w:rPr>
                <w:rFonts w:ascii="Arial" w:hAnsi="Arial" w:cs="Arial"/>
              </w:rPr>
              <w:t>I</w:t>
            </w:r>
            <w:r w:rsidR="00997637" w:rsidRPr="00A845B7">
              <w:rPr>
                <w:rFonts w:ascii="Arial" w:hAnsi="Arial" w:cs="Arial"/>
              </w:rPr>
              <w:t>mpairment of Brico Dépôt Romania</w:t>
            </w:r>
          </w:p>
        </w:tc>
        <w:tc>
          <w:tcPr>
            <w:tcW w:w="976" w:type="pct"/>
            <w:vAlign w:val="bottom"/>
          </w:tcPr>
          <w:p w:rsidR="00997637" w:rsidRPr="00A845B7" w:rsidRDefault="00997637" w:rsidP="00F24C8A">
            <w:pPr>
              <w:jc w:val="right"/>
              <w:rPr>
                <w:rFonts w:ascii="Arial" w:hAnsi="Arial" w:cs="Arial"/>
                <w:b/>
              </w:rPr>
            </w:pPr>
            <w:r w:rsidRPr="00A845B7">
              <w:rPr>
                <w:rFonts w:ascii="Arial" w:hAnsi="Arial" w:cs="Arial"/>
                <w:b/>
              </w:rPr>
              <w:t>-</w:t>
            </w:r>
          </w:p>
        </w:tc>
        <w:tc>
          <w:tcPr>
            <w:tcW w:w="933" w:type="pct"/>
            <w:vAlign w:val="bottom"/>
          </w:tcPr>
          <w:p w:rsidR="00997637" w:rsidRPr="00A845B7" w:rsidDel="00274B89" w:rsidRDefault="00997637" w:rsidP="00F24C8A">
            <w:pPr>
              <w:jc w:val="right"/>
              <w:rPr>
                <w:rFonts w:ascii="Arial" w:hAnsi="Arial" w:cs="Arial"/>
              </w:rPr>
            </w:pPr>
            <w:r w:rsidRPr="00A845B7">
              <w:rPr>
                <w:rFonts w:ascii="Arial" w:hAnsi="Arial" w:cs="Arial"/>
              </w:rPr>
              <w:t>(18)</w:t>
            </w:r>
          </w:p>
        </w:tc>
      </w:tr>
      <w:tr w:rsidR="00997637" w:rsidRPr="00A845B7" w:rsidTr="00F24C8A">
        <w:trPr>
          <w:trHeight w:val="254"/>
        </w:trPr>
        <w:tc>
          <w:tcPr>
            <w:tcW w:w="3091" w:type="pct"/>
            <w:vAlign w:val="bottom"/>
          </w:tcPr>
          <w:p w:rsidR="00997637" w:rsidRPr="00A845B7" w:rsidRDefault="00997637" w:rsidP="00F24C8A">
            <w:pPr>
              <w:rPr>
                <w:rFonts w:ascii="Arial" w:hAnsi="Arial" w:cs="Arial"/>
              </w:rPr>
            </w:pPr>
            <w:r w:rsidRPr="00A845B7">
              <w:rPr>
                <w:rFonts w:ascii="Arial" w:hAnsi="Arial" w:cs="Arial"/>
              </w:rPr>
              <w:t>Property and other disposals</w:t>
            </w:r>
            <w:r w:rsidR="00E87867">
              <w:rPr>
                <w:rFonts w:ascii="Arial" w:hAnsi="Arial" w:cs="Arial"/>
                <w:vertAlign w:val="superscript"/>
              </w:rPr>
              <w:t xml:space="preserve"> </w:t>
            </w:r>
            <w:r w:rsidRPr="00A845B7">
              <w:rPr>
                <w:rFonts w:ascii="Arial" w:hAnsi="Arial" w:cs="Arial"/>
                <w:vertAlign w:val="superscript"/>
              </w:rPr>
              <w:t>(1)</w:t>
            </w:r>
          </w:p>
        </w:tc>
        <w:tc>
          <w:tcPr>
            <w:tcW w:w="976" w:type="pct"/>
            <w:vAlign w:val="bottom"/>
          </w:tcPr>
          <w:p w:rsidR="00997637" w:rsidRPr="00A845B7" w:rsidRDefault="00052C90" w:rsidP="00F24C8A">
            <w:pPr>
              <w:jc w:val="right"/>
              <w:rPr>
                <w:rFonts w:ascii="Arial" w:hAnsi="Arial" w:cs="Arial"/>
                <w:b/>
              </w:rPr>
            </w:pPr>
            <w:r>
              <w:rPr>
                <w:rFonts w:ascii="Arial" w:hAnsi="Arial" w:cs="Arial"/>
                <w:b/>
              </w:rPr>
              <w:t>4</w:t>
            </w:r>
          </w:p>
        </w:tc>
        <w:tc>
          <w:tcPr>
            <w:tcW w:w="933" w:type="pct"/>
            <w:vAlign w:val="bottom"/>
          </w:tcPr>
          <w:p w:rsidR="00997637" w:rsidRPr="00A845B7" w:rsidRDefault="00997637" w:rsidP="00F24C8A">
            <w:pPr>
              <w:jc w:val="right"/>
              <w:rPr>
                <w:rFonts w:ascii="Arial" w:hAnsi="Arial" w:cs="Arial"/>
              </w:rPr>
            </w:pPr>
            <w:r w:rsidRPr="00A845B7">
              <w:rPr>
                <w:rFonts w:ascii="Arial" w:hAnsi="Arial" w:cs="Arial"/>
              </w:rPr>
              <w:t>14</w:t>
            </w:r>
          </w:p>
        </w:tc>
      </w:tr>
      <w:tr w:rsidR="00997637" w:rsidRPr="00A845B7" w:rsidTr="00F24C8A">
        <w:trPr>
          <w:trHeight w:val="254"/>
        </w:trPr>
        <w:tc>
          <w:tcPr>
            <w:tcW w:w="3091" w:type="pct"/>
            <w:tcBorders>
              <w:top w:val="single" w:sz="4" w:space="0" w:color="auto"/>
              <w:left w:val="nil"/>
              <w:bottom w:val="nil"/>
              <w:right w:val="nil"/>
            </w:tcBorders>
            <w:vAlign w:val="bottom"/>
            <w:hideMark/>
          </w:tcPr>
          <w:p w:rsidR="00997637" w:rsidRPr="00A845B7" w:rsidRDefault="00997637" w:rsidP="00F24C8A">
            <w:pPr>
              <w:rPr>
                <w:rFonts w:ascii="Arial" w:hAnsi="Arial" w:cs="Arial"/>
              </w:rPr>
            </w:pPr>
            <w:r w:rsidRPr="00A845B7">
              <w:rPr>
                <w:rFonts w:ascii="Arial" w:hAnsi="Arial" w:cs="Arial"/>
                <w:b/>
              </w:rPr>
              <w:t>Exceptional items before tax</w:t>
            </w:r>
          </w:p>
        </w:tc>
        <w:tc>
          <w:tcPr>
            <w:tcW w:w="976" w:type="pct"/>
            <w:tcBorders>
              <w:top w:val="single" w:sz="4" w:space="0" w:color="auto"/>
              <w:left w:val="nil"/>
              <w:bottom w:val="nil"/>
              <w:right w:val="nil"/>
            </w:tcBorders>
            <w:vAlign w:val="bottom"/>
            <w:hideMark/>
          </w:tcPr>
          <w:p w:rsidR="00997637" w:rsidRPr="00A845B7" w:rsidRDefault="00997637" w:rsidP="00F24C8A">
            <w:pPr>
              <w:jc w:val="right"/>
              <w:rPr>
                <w:rFonts w:ascii="Arial" w:hAnsi="Arial" w:cs="Arial"/>
                <w:b/>
              </w:rPr>
            </w:pPr>
            <w:r w:rsidRPr="00A845B7">
              <w:rPr>
                <w:rFonts w:ascii="Arial" w:hAnsi="Arial" w:cs="Arial"/>
                <w:b/>
              </w:rPr>
              <w:t>1</w:t>
            </w:r>
            <w:r w:rsidR="002D666E">
              <w:rPr>
                <w:rFonts w:ascii="Arial" w:hAnsi="Arial" w:cs="Arial"/>
                <w:b/>
              </w:rPr>
              <w:t>7</w:t>
            </w:r>
          </w:p>
        </w:tc>
        <w:tc>
          <w:tcPr>
            <w:tcW w:w="933" w:type="pct"/>
            <w:tcBorders>
              <w:top w:val="single" w:sz="4" w:space="0" w:color="auto"/>
              <w:left w:val="nil"/>
              <w:bottom w:val="nil"/>
              <w:right w:val="nil"/>
            </w:tcBorders>
            <w:vAlign w:val="bottom"/>
            <w:hideMark/>
          </w:tcPr>
          <w:p w:rsidR="00997637" w:rsidRPr="00A845B7" w:rsidRDefault="00997637" w:rsidP="00F24C8A">
            <w:pPr>
              <w:jc w:val="right"/>
              <w:rPr>
                <w:rFonts w:ascii="Arial" w:hAnsi="Arial" w:cs="Arial"/>
              </w:rPr>
            </w:pPr>
            <w:r w:rsidRPr="00A845B7">
              <w:rPr>
                <w:rFonts w:ascii="Arial" w:hAnsi="Arial" w:cs="Arial"/>
              </w:rPr>
              <w:t>(166)</w:t>
            </w:r>
          </w:p>
        </w:tc>
      </w:tr>
      <w:tr w:rsidR="00997637" w:rsidRPr="00A845B7" w:rsidTr="00F24C8A">
        <w:trPr>
          <w:trHeight w:val="308"/>
        </w:trPr>
        <w:tc>
          <w:tcPr>
            <w:tcW w:w="3091" w:type="pct"/>
            <w:vAlign w:val="bottom"/>
            <w:hideMark/>
          </w:tcPr>
          <w:p w:rsidR="00997637" w:rsidRPr="00A845B7" w:rsidRDefault="00997637" w:rsidP="00F24C8A">
            <w:pPr>
              <w:jc w:val="left"/>
              <w:rPr>
                <w:rFonts w:ascii="Arial" w:hAnsi="Arial" w:cs="Arial"/>
                <w:b/>
              </w:rPr>
            </w:pPr>
            <w:r w:rsidRPr="00A845B7">
              <w:rPr>
                <w:rFonts w:ascii="Arial" w:hAnsi="Arial" w:cs="Arial"/>
              </w:rPr>
              <w:t xml:space="preserve">Exceptional tax items </w:t>
            </w:r>
          </w:p>
        </w:tc>
        <w:tc>
          <w:tcPr>
            <w:tcW w:w="976" w:type="pct"/>
            <w:vAlign w:val="bottom"/>
            <w:hideMark/>
          </w:tcPr>
          <w:p w:rsidR="00997637" w:rsidRPr="00A845B7" w:rsidRDefault="00997637" w:rsidP="00F24C8A">
            <w:pPr>
              <w:jc w:val="right"/>
              <w:rPr>
                <w:rFonts w:ascii="Arial" w:hAnsi="Arial" w:cs="Arial"/>
                <w:b/>
              </w:rPr>
            </w:pPr>
            <w:r w:rsidRPr="00A845B7">
              <w:rPr>
                <w:rFonts w:ascii="Arial" w:hAnsi="Arial" w:cs="Arial"/>
                <w:b/>
              </w:rPr>
              <w:t>(</w:t>
            </w:r>
            <w:r w:rsidR="002D666E">
              <w:rPr>
                <w:rFonts w:ascii="Arial" w:hAnsi="Arial" w:cs="Arial"/>
                <w:b/>
              </w:rPr>
              <w:t>6</w:t>
            </w:r>
            <w:r w:rsidRPr="00A845B7">
              <w:rPr>
                <w:rFonts w:ascii="Arial" w:hAnsi="Arial" w:cs="Arial"/>
                <w:b/>
              </w:rPr>
              <w:t>)</w:t>
            </w:r>
          </w:p>
        </w:tc>
        <w:tc>
          <w:tcPr>
            <w:tcW w:w="933" w:type="pct"/>
            <w:vAlign w:val="bottom"/>
            <w:hideMark/>
          </w:tcPr>
          <w:p w:rsidR="00997637" w:rsidRPr="00A845B7" w:rsidRDefault="00997637" w:rsidP="00F24C8A">
            <w:pPr>
              <w:jc w:val="right"/>
              <w:rPr>
                <w:rFonts w:ascii="Arial" w:hAnsi="Arial" w:cs="Arial"/>
              </w:rPr>
            </w:pPr>
            <w:r w:rsidRPr="00A845B7">
              <w:rPr>
                <w:rFonts w:ascii="Arial" w:hAnsi="Arial" w:cs="Arial"/>
              </w:rPr>
              <w:t>67</w:t>
            </w:r>
          </w:p>
        </w:tc>
      </w:tr>
      <w:tr w:rsidR="00997637" w:rsidRPr="00A845B7" w:rsidTr="00F24C8A">
        <w:trPr>
          <w:trHeight w:val="308"/>
        </w:trPr>
        <w:tc>
          <w:tcPr>
            <w:tcW w:w="3091" w:type="pct"/>
            <w:tcBorders>
              <w:top w:val="single" w:sz="4" w:space="0" w:color="auto"/>
              <w:left w:val="nil"/>
              <w:bottom w:val="single" w:sz="4" w:space="0" w:color="auto"/>
              <w:right w:val="nil"/>
            </w:tcBorders>
            <w:vAlign w:val="bottom"/>
            <w:hideMark/>
          </w:tcPr>
          <w:p w:rsidR="00997637" w:rsidRPr="00A845B7" w:rsidRDefault="00997637" w:rsidP="00F24C8A">
            <w:pPr>
              <w:jc w:val="left"/>
              <w:rPr>
                <w:rFonts w:ascii="Arial" w:hAnsi="Arial" w:cs="Arial"/>
              </w:rPr>
            </w:pPr>
            <w:r w:rsidRPr="00A845B7">
              <w:rPr>
                <w:rFonts w:ascii="Arial" w:hAnsi="Arial" w:cs="Arial"/>
                <w:b/>
              </w:rPr>
              <w:t>Net exceptional items</w:t>
            </w:r>
          </w:p>
        </w:tc>
        <w:tc>
          <w:tcPr>
            <w:tcW w:w="976" w:type="pct"/>
            <w:tcBorders>
              <w:top w:val="single" w:sz="4" w:space="0" w:color="auto"/>
              <w:left w:val="nil"/>
              <w:bottom w:val="single" w:sz="4" w:space="0" w:color="auto"/>
              <w:right w:val="nil"/>
            </w:tcBorders>
            <w:vAlign w:val="bottom"/>
            <w:hideMark/>
          </w:tcPr>
          <w:p w:rsidR="00997637" w:rsidRPr="00A845B7" w:rsidRDefault="002D666E" w:rsidP="00F24C8A">
            <w:pPr>
              <w:jc w:val="right"/>
              <w:rPr>
                <w:rFonts w:ascii="Arial" w:hAnsi="Arial" w:cs="Arial"/>
                <w:b/>
              </w:rPr>
            </w:pPr>
            <w:r>
              <w:rPr>
                <w:rFonts w:ascii="Arial" w:hAnsi="Arial" w:cs="Arial"/>
                <w:b/>
              </w:rPr>
              <w:t>11</w:t>
            </w:r>
          </w:p>
        </w:tc>
        <w:tc>
          <w:tcPr>
            <w:tcW w:w="933" w:type="pct"/>
            <w:tcBorders>
              <w:top w:val="single" w:sz="4" w:space="0" w:color="auto"/>
              <w:left w:val="nil"/>
              <w:bottom w:val="single" w:sz="4" w:space="0" w:color="auto"/>
              <w:right w:val="nil"/>
            </w:tcBorders>
            <w:vAlign w:val="bottom"/>
            <w:hideMark/>
          </w:tcPr>
          <w:p w:rsidR="00997637" w:rsidRPr="00A845B7" w:rsidRDefault="00997637" w:rsidP="00F24C8A">
            <w:pPr>
              <w:jc w:val="right"/>
              <w:rPr>
                <w:rFonts w:ascii="Arial" w:hAnsi="Arial" w:cs="Arial"/>
              </w:rPr>
            </w:pPr>
            <w:r w:rsidRPr="00A845B7">
              <w:rPr>
                <w:rFonts w:ascii="Arial" w:hAnsi="Arial" w:cs="Arial"/>
              </w:rPr>
              <w:t>(99)</w:t>
            </w:r>
          </w:p>
        </w:tc>
      </w:tr>
    </w:tbl>
    <w:p w:rsidR="00997637" w:rsidRDefault="00997637" w:rsidP="00997637">
      <w:pPr>
        <w:jc w:val="left"/>
        <w:rPr>
          <w:rFonts w:ascii="Arial" w:hAnsi="Arial" w:cs="Arial"/>
          <w:sz w:val="24"/>
          <w:szCs w:val="24"/>
        </w:rPr>
      </w:pPr>
      <w:r w:rsidRPr="00A03549">
        <w:rPr>
          <w:rFonts w:ascii="Arial" w:hAnsi="Arial" w:cs="Arial"/>
          <w:b/>
          <w:sz w:val="24"/>
          <w:szCs w:val="24"/>
        </w:rPr>
        <w:t xml:space="preserve"> </w:t>
      </w:r>
      <w:r w:rsidRPr="006F78D1">
        <w:rPr>
          <w:rFonts w:ascii="Arial" w:hAnsi="Arial" w:cs="Arial"/>
          <w:vertAlign w:val="superscript"/>
        </w:rPr>
        <w:t>(1)</w:t>
      </w:r>
      <w:r w:rsidRPr="00A03549">
        <w:rPr>
          <w:rFonts w:ascii="Arial" w:hAnsi="Arial" w:cs="Arial"/>
          <w:sz w:val="24"/>
          <w:szCs w:val="24"/>
        </w:rPr>
        <w:t xml:space="preserve"> </w:t>
      </w:r>
      <w:r w:rsidRPr="00A03549">
        <w:rPr>
          <w:rFonts w:ascii="Arial" w:hAnsi="Arial" w:cs="Arial"/>
          <w:sz w:val="18"/>
          <w:szCs w:val="24"/>
        </w:rPr>
        <w:t>Disposal of properties includes the disposal of a property company</w:t>
      </w:r>
      <w:r>
        <w:rPr>
          <w:rFonts w:ascii="Arial" w:hAnsi="Arial" w:cs="Arial"/>
          <w:sz w:val="18"/>
          <w:szCs w:val="24"/>
        </w:rPr>
        <w:t xml:space="preserve"> in the prior year</w:t>
      </w:r>
      <w:r w:rsidRPr="00A03549">
        <w:rPr>
          <w:rFonts w:ascii="Arial" w:hAnsi="Arial" w:cs="Arial"/>
          <w:sz w:val="18"/>
          <w:szCs w:val="24"/>
        </w:rPr>
        <w:t xml:space="preserve"> which held 3 non-operational properties</w:t>
      </w:r>
    </w:p>
    <w:p w:rsidR="00997637" w:rsidRDefault="00997637" w:rsidP="00997637">
      <w:pPr>
        <w:spacing w:after="200"/>
        <w:contextualSpacing/>
        <w:jc w:val="left"/>
        <w:rPr>
          <w:rFonts w:ascii="Arial" w:hAnsi="Arial" w:cs="Arial"/>
          <w:sz w:val="24"/>
          <w:szCs w:val="24"/>
        </w:rPr>
      </w:pPr>
    </w:p>
    <w:p w:rsidR="00997637" w:rsidRPr="00686C6E" w:rsidRDefault="00997637" w:rsidP="00997637">
      <w:pPr>
        <w:spacing w:after="200"/>
        <w:contextualSpacing/>
        <w:jc w:val="left"/>
        <w:rPr>
          <w:rFonts w:ascii="Arial" w:hAnsi="Arial" w:cs="Arial"/>
        </w:rPr>
      </w:pPr>
      <w:r w:rsidRPr="00686C6E">
        <w:rPr>
          <w:rFonts w:ascii="Arial" w:hAnsi="Arial" w:cs="Arial"/>
        </w:rPr>
        <w:t>Transformation exceptional costs of £</w:t>
      </w:r>
      <w:r w:rsidR="00D71B22">
        <w:rPr>
          <w:rFonts w:ascii="Arial" w:hAnsi="Arial" w:cs="Arial"/>
        </w:rPr>
        <w:t>5</w:t>
      </w:r>
      <w:r w:rsidR="00D71B22" w:rsidRPr="00686C6E">
        <w:rPr>
          <w:rFonts w:ascii="Arial" w:hAnsi="Arial" w:cs="Arial"/>
        </w:rPr>
        <w:t xml:space="preserve"> </w:t>
      </w:r>
      <w:r w:rsidRPr="00686C6E">
        <w:rPr>
          <w:rFonts w:ascii="Arial" w:hAnsi="Arial" w:cs="Arial"/>
        </w:rPr>
        <w:t xml:space="preserve">million principally relate </w:t>
      </w:r>
      <w:r w:rsidRPr="00E00BDF">
        <w:rPr>
          <w:rFonts w:ascii="Arial" w:hAnsi="Arial" w:cs="Arial"/>
        </w:rPr>
        <w:t xml:space="preserve">to </w:t>
      </w:r>
      <w:r w:rsidR="00E00BDF" w:rsidRPr="00E00BDF">
        <w:rPr>
          <w:rFonts w:ascii="Arial" w:hAnsi="Arial" w:cs="Arial"/>
        </w:rPr>
        <w:t xml:space="preserve">the setup of the </w:t>
      </w:r>
      <w:r w:rsidR="00E00BDF">
        <w:rPr>
          <w:rFonts w:ascii="Arial" w:hAnsi="Arial" w:cs="Arial"/>
        </w:rPr>
        <w:t xml:space="preserve">new </w:t>
      </w:r>
      <w:r w:rsidR="00E00BDF" w:rsidRPr="00E00BDF">
        <w:rPr>
          <w:rFonts w:ascii="Arial" w:hAnsi="Arial" w:cs="Arial"/>
        </w:rPr>
        <w:t>Offer and Supply Chain organisation</w:t>
      </w:r>
      <w:r w:rsidRPr="00E00BDF">
        <w:rPr>
          <w:rFonts w:ascii="Arial" w:hAnsi="Arial" w:cs="Arial"/>
        </w:rPr>
        <w:t>.</w:t>
      </w:r>
    </w:p>
    <w:p w:rsidR="00997637" w:rsidRDefault="00997637" w:rsidP="00997637">
      <w:pPr>
        <w:spacing w:after="200"/>
        <w:contextualSpacing/>
        <w:jc w:val="left"/>
        <w:rPr>
          <w:rFonts w:ascii="Arial" w:hAnsi="Arial" w:cs="Arial"/>
          <w:sz w:val="24"/>
          <w:szCs w:val="24"/>
        </w:rPr>
      </w:pPr>
    </w:p>
    <w:p w:rsidR="00B019FB" w:rsidRDefault="00997637" w:rsidP="00997637">
      <w:pPr>
        <w:spacing w:after="200"/>
        <w:contextualSpacing/>
        <w:jc w:val="left"/>
        <w:rPr>
          <w:rFonts w:ascii="Arial" w:hAnsi="Arial" w:cs="Arial"/>
        </w:rPr>
      </w:pPr>
      <w:r w:rsidRPr="00B019FB">
        <w:rPr>
          <w:rFonts w:ascii="Arial" w:hAnsi="Arial" w:cs="Arial"/>
          <w:b/>
        </w:rPr>
        <w:t>UK &amp; Ireland and Europe restructuring</w:t>
      </w:r>
      <w:r w:rsidRPr="00686C6E">
        <w:rPr>
          <w:rFonts w:ascii="Arial" w:hAnsi="Arial" w:cs="Arial"/>
        </w:rPr>
        <w:t xml:space="preserve"> </w:t>
      </w:r>
    </w:p>
    <w:p w:rsidR="00997637" w:rsidRPr="00686C6E" w:rsidRDefault="00997637" w:rsidP="00997637">
      <w:pPr>
        <w:spacing w:after="200"/>
        <w:contextualSpacing/>
        <w:jc w:val="left"/>
        <w:rPr>
          <w:rFonts w:ascii="Arial" w:hAnsi="Arial" w:cs="Arial"/>
          <w:sz w:val="24"/>
          <w:szCs w:val="24"/>
        </w:rPr>
      </w:pPr>
      <w:r w:rsidRPr="00686C6E">
        <w:rPr>
          <w:rFonts w:ascii="Arial" w:hAnsi="Arial" w:cs="Arial"/>
        </w:rPr>
        <w:t>B&amp;Q completed the closure of 65 stores (c.</w:t>
      </w:r>
      <w:r w:rsidR="00B019FB">
        <w:rPr>
          <w:rFonts w:ascii="Arial" w:hAnsi="Arial" w:cs="Arial"/>
        </w:rPr>
        <w:t>1</w:t>
      </w:r>
      <w:r w:rsidRPr="00686C6E">
        <w:rPr>
          <w:rFonts w:ascii="Arial" w:hAnsi="Arial" w:cs="Arial"/>
        </w:rPr>
        <w:t xml:space="preserve">5% of space) in the two years ending 31 January 2017 (35 closures in FY 2016/17; 30 closures in FY 2015/16). In Q1 B&amp;Q </w:t>
      </w:r>
      <w:r w:rsidR="00500371">
        <w:rPr>
          <w:rFonts w:ascii="Arial" w:hAnsi="Arial" w:cs="Arial"/>
        </w:rPr>
        <w:t>entered into a lease liability transaction with a third party to dispose of the remaining leases.</w:t>
      </w:r>
      <w:r w:rsidRPr="00686C6E">
        <w:rPr>
          <w:rFonts w:ascii="Arial" w:hAnsi="Arial" w:cs="Arial"/>
        </w:rPr>
        <w:t xml:space="preserve"> As previously announced, there will also be a small number of closures of loss making stores across Europe. In </w:t>
      </w:r>
      <w:r w:rsidR="00A6378D">
        <w:rPr>
          <w:rFonts w:ascii="Arial" w:hAnsi="Arial" w:cs="Arial"/>
        </w:rPr>
        <w:t xml:space="preserve">FY </w:t>
      </w:r>
      <w:r w:rsidRPr="00686C6E">
        <w:rPr>
          <w:rFonts w:ascii="Arial" w:hAnsi="Arial" w:cs="Arial"/>
        </w:rPr>
        <w:t>2016/17 two stores were closed, one in Russia and one in Spain</w:t>
      </w:r>
      <w:r w:rsidR="00A6378D">
        <w:rPr>
          <w:rFonts w:ascii="Arial" w:hAnsi="Arial" w:cs="Arial"/>
        </w:rPr>
        <w:t>, with an update on further closures to be made in due course.</w:t>
      </w:r>
      <w:r w:rsidR="00A6378D" w:rsidRPr="00686C6E">
        <w:rPr>
          <w:rFonts w:ascii="Arial" w:hAnsi="Arial" w:cs="Arial"/>
        </w:rPr>
        <w:t xml:space="preserve"> </w:t>
      </w:r>
      <w:r w:rsidRPr="00686C6E">
        <w:rPr>
          <w:rFonts w:ascii="Arial" w:hAnsi="Arial" w:cs="Arial"/>
        </w:rPr>
        <w:t xml:space="preserve">The total store rationalisation programme was </w:t>
      </w:r>
      <w:r w:rsidR="00A6378D">
        <w:rPr>
          <w:rFonts w:ascii="Arial" w:hAnsi="Arial" w:cs="Arial"/>
        </w:rPr>
        <w:t xml:space="preserve">originally </w:t>
      </w:r>
      <w:r w:rsidRPr="00686C6E">
        <w:rPr>
          <w:rFonts w:ascii="Arial" w:hAnsi="Arial" w:cs="Arial"/>
        </w:rPr>
        <w:t xml:space="preserve">expected to give rise to an exceptional charge of around £350 million, relating principally to onerous </w:t>
      </w:r>
      <w:r w:rsidRPr="00B019FB">
        <w:rPr>
          <w:rFonts w:ascii="Arial" w:hAnsi="Arial" w:cs="Arial"/>
        </w:rPr>
        <w:t>lease provisions. An exceptional charge of £305 million was reported in FY 2015/16. An overall exceptional gain of £1</w:t>
      </w:r>
      <w:r w:rsidR="00052C90">
        <w:rPr>
          <w:rFonts w:ascii="Arial" w:hAnsi="Arial" w:cs="Arial"/>
        </w:rPr>
        <w:t>5</w:t>
      </w:r>
      <w:r w:rsidRPr="00B019FB">
        <w:rPr>
          <w:rFonts w:ascii="Arial" w:hAnsi="Arial" w:cs="Arial"/>
        </w:rPr>
        <w:t xml:space="preserve"> million was reported in FY 2016/17 reflecting lower </w:t>
      </w:r>
      <w:r w:rsidR="00FA08D9">
        <w:rPr>
          <w:rFonts w:ascii="Arial" w:hAnsi="Arial" w:cs="Arial"/>
        </w:rPr>
        <w:t xml:space="preserve">than expected </w:t>
      </w:r>
      <w:r w:rsidRPr="00B019FB">
        <w:rPr>
          <w:rFonts w:ascii="Arial" w:hAnsi="Arial" w:cs="Arial"/>
        </w:rPr>
        <w:t>B&amp;Q store exit costs resulting from</w:t>
      </w:r>
      <w:r w:rsidR="004B3EA9">
        <w:rPr>
          <w:rFonts w:ascii="Arial" w:hAnsi="Arial" w:cs="Arial"/>
        </w:rPr>
        <w:t xml:space="preserve"> the</w:t>
      </w:r>
      <w:r w:rsidRPr="00B019FB">
        <w:rPr>
          <w:rFonts w:ascii="Arial" w:hAnsi="Arial" w:cs="Arial"/>
        </w:rPr>
        <w:t xml:space="preserve"> lease</w:t>
      </w:r>
      <w:r w:rsidRPr="00686C6E">
        <w:rPr>
          <w:rFonts w:ascii="Arial" w:hAnsi="Arial" w:cs="Arial"/>
        </w:rPr>
        <w:t xml:space="preserve"> liability transaction</w:t>
      </w:r>
      <w:r w:rsidR="0094503D">
        <w:rPr>
          <w:rFonts w:ascii="Arial" w:hAnsi="Arial" w:cs="Arial"/>
        </w:rPr>
        <w:t>,</w:t>
      </w:r>
      <w:r w:rsidRPr="00686C6E">
        <w:rPr>
          <w:rFonts w:ascii="Arial" w:hAnsi="Arial" w:cs="Arial"/>
        </w:rPr>
        <w:t xml:space="preserve"> and the decision to keep one B&amp;Q store open that was originally planned for closure, partly offset by the forced closure of one other store.</w:t>
      </w:r>
      <w:r w:rsidRPr="00F859B0">
        <w:rPr>
          <w:rFonts w:ascii="Arial" w:hAnsi="Arial" w:cs="Arial"/>
          <w:sz w:val="24"/>
          <w:szCs w:val="24"/>
        </w:rPr>
        <w:t xml:space="preserve"> </w:t>
      </w:r>
    </w:p>
    <w:p w:rsidR="00997637" w:rsidRPr="001505B3" w:rsidRDefault="00997637" w:rsidP="00997637">
      <w:pPr>
        <w:spacing w:after="200"/>
        <w:contextualSpacing/>
        <w:jc w:val="left"/>
        <w:rPr>
          <w:rFonts w:ascii="Arial" w:hAnsi="Arial" w:cs="Arial"/>
          <w:sz w:val="24"/>
          <w:szCs w:val="24"/>
          <w:highlight w:val="yellow"/>
        </w:rPr>
      </w:pPr>
    </w:p>
    <w:p w:rsidR="00997637" w:rsidRDefault="00997637" w:rsidP="00997637">
      <w:pPr>
        <w:spacing w:after="200"/>
        <w:contextualSpacing/>
        <w:jc w:val="left"/>
        <w:rPr>
          <w:rFonts w:ascii="Arial" w:hAnsi="Arial" w:cs="Arial"/>
        </w:rPr>
      </w:pPr>
      <w:r w:rsidRPr="00A845B7">
        <w:rPr>
          <w:rFonts w:ascii="Arial" w:hAnsi="Arial" w:cs="Arial"/>
        </w:rPr>
        <w:t xml:space="preserve">The disposal of the remaining 30% stake in B&amp;Q China for a net consideration of £63 million resulted in a gain of £3 million. </w:t>
      </w:r>
    </w:p>
    <w:p w:rsidR="00997637" w:rsidRPr="00A845B7" w:rsidRDefault="00997637" w:rsidP="00997637">
      <w:pPr>
        <w:jc w:val="left"/>
        <w:rPr>
          <w:rFonts w:ascii="Arial" w:hAnsi="Arial" w:cs="Arial"/>
          <w:highlight w:val="yellow"/>
        </w:rPr>
      </w:pPr>
      <w:r w:rsidRPr="00A845B7">
        <w:rPr>
          <w:rFonts w:ascii="Arial" w:hAnsi="Arial" w:cs="Arial"/>
          <w:b/>
        </w:rPr>
        <w:lastRenderedPageBreak/>
        <w:t>Underlying basic earnings</w:t>
      </w:r>
      <w:r w:rsidRPr="00A845B7">
        <w:rPr>
          <w:rFonts w:ascii="Arial" w:hAnsi="Arial" w:cs="Arial"/>
        </w:rPr>
        <w:t xml:space="preserve"> </w:t>
      </w:r>
      <w:r w:rsidRPr="00A845B7">
        <w:rPr>
          <w:rFonts w:ascii="Arial" w:hAnsi="Arial" w:cs="Arial"/>
          <w:b/>
        </w:rPr>
        <w:t xml:space="preserve">per share </w:t>
      </w:r>
      <w:r w:rsidRPr="00A845B7">
        <w:rPr>
          <w:rFonts w:ascii="Arial" w:hAnsi="Arial" w:cs="Arial"/>
        </w:rPr>
        <w:t>grew by 17.</w:t>
      </w:r>
      <w:r w:rsidR="00052C90">
        <w:rPr>
          <w:rFonts w:ascii="Arial" w:hAnsi="Arial" w:cs="Arial"/>
        </w:rPr>
        <w:t>7</w:t>
      </w:r>
      <w:r w:rsidRPr="00A845B7">
        <w:rPr>
          <w:rFonts w:ascii="Arial" w:hAnsi="Arial" w:cs="Arial"/>
        </w:rPr>
        <w:t>% to 25.</w:t>
      </w:r>
      <w:r w:rsidR="00052C90">
        <w:rPr>
          <w:rFonts w:ascii="Arial" w:hAnsi="Arial" w:cs="Arial"/>
        </w:rPr>
        <w:t>9</w:t>
      </w:r>
      <w:r w:rsidRPr="00A845B7">
        <w:rPr>
          <w:rFonts w:ascii="Arial" w:hAnsi="Arial" w:cs="Arial"/>
        </w:rPr>
        <w:t>p, which excludes the impact of transformation costs, exceptional items, FFVR and the effect of prior year tax items.</w:t>
      </w:r>
      <w:r w:rsidRPr="00A845B7">
        <w:rPr>
          <w:rFonts w:ascii="Arial" w:hAnsi="Arial" w:cs="Arial"/>
          <w:b/>
        </w:rPr>
        <w:t xml:space="preserve"> Adjusted basic earnings per share</w:t>
      </w:r>
      <w:r w:rsidRPr="00A845B7">
        <w:rPr>
          <w:rFonts w:ascii="Arial" w:hAnsi="Arial" w:cs="Arial"/>
        </w:rPr>
        <w:t xml:space="preserve"> grew by 10.9% to 24.4p, which excludes the impact of exceptional items, FFVR and prior year tax items. </w:t>
      </w:r>
      <w:r w:rsidRPr="00A845B7">
        <w:rPr>
          <w:rFonts w:ascii="Arial" w:hAnsi="Arial" w:cs="Arial"/>
          <w:b/>
        </w:rPr>
        <w:t>Basic earnings per share</w:t>
      </w:r>
      <w:r w:rsidR="009510E9" w:rsidRPr="00A845B7">
        <w:rPr>
          <w:rFonts w:ascii="Arial" w:hAnsi="Arial" w:cs="Arial"/>
        </w:rPr>
        <w:t xml:space="preserve"> increased by </w:t>
      </w:r>
      <w:r w:rsidR="006859EA">
        <w:rPr>
          <w:rFonts w:ascii="Arial" w:hAnsi="Arial" w:cs="Arial"/>
        </w:rPr>
        <w:t>52</w:t>
      </w:r>
      <w:r w:rsidR="009510E9" w:rsidRPr="00A845B7">
        <w:rPr>
          <w:rFonts w:ascii="Arial" w:hAnsi="Arial" w:cs="Arial"/>
        </w:rPr>
        <w:t>.</w:t>
      </w:r>
      <w:r w:rsidR="006859EA">
        <w:rPr>
          <w:rFonts w:ascii="Arial" w:hAnsi="Arial" w:cs="Arial"/>
        </w:rPr>
        <w:t>2</w:t>
      </w:r>
      <w:r w:rsidRPr="00A845B7">
        <w:rPr>
          <w:rFonts w:ascii="Arial" w:hAnsi="Arial" w:cs="Arial"/>
        </w:rPr>
        <w:t>% to 2</w:t>
      </w:r>
      <w:r w:rsidR="006859EA">
        <w:rPr>
          <w:rFonts w:ascii="Arial" w:hAnsi="Arial" w:cs="Arial"/>
        </w:rPr>
        <w:t>7</w:t>
      </w:r>
      <w:r w:rsidRPr="00A845B7">
        <w:rPr>
          <w:rFonts w:ascii="Arial" w:hAnsi="Arial" w:cs="Arial"/>
        </w:rPr>
        <w:t>.</w:t>
      </w:r>
      <w:r w:rsidR="006859EA">
        <w:rPr>
          <w:rFonts w:ascii="Arial" w:hAnsi="Arial" w:cs="Arial"/>
        </w:rPr>
        <w:t>1</w:t>
      </w:r>
      <w:r w:rsidRPr="00A845B7">
        <w:rPr>
          <w:rFonts w:ascii="Arial" w:hAnsi="Arial" w:cs="Arial"/>
        </w:rPr>
        <w:t>p as set out below:</w:t>
      </w:r>
    </w:p>
    <w:tbl>
      <w:tblPr>
        <w:tblW w:w="5000" w:type="pct"/>
        <w:tblLook w:val="01E0" w:firstRow="1" w:lastRow="1" w:firstColumn="1" w:lastColumn="1" w:noHBand="0" w:noVBand="0"/>
      </w:tblPr>
      <w:tblGrid>
        <w:gridCol w:w="4420"/>
        <w:gridCol w:w="1362"/>
        <w:gridCol w:w="1361"/>
        <w:gridCol w:w="1249"/>
        <w:gridCol w:w="1249"/>
      </w:tblGrid>
      <w:tr w:rsidR="00997637" w:rsidRPr="00A845B7" w:rsidTr="00F24C8A">
        <w:tc>
          <w:tcPr>
            <w:tcW w:w="2292" w:type="pct"/>
            <w:tcBorders>
              <w:top w:val="nil"/>
              <w:left w:val="nil"/>
              <w:bottom w:val="single" w:sz="4" w:space="0" w:color="auto"/>
              <w:right w:val="nil"/>
            </w:tcBorders>
          </w:tcPr>
          <w:p w:rsidR="00997637" w:rsidRPr="00A845B7" w:rsidRDefault="00997637" w:rsidP="00F24C8A">
            <w:pPr>
              <w:rPr>
                <w:rFonts w:ascii="Arial" w:hAnsi="Arial" w:cs="Arial"/>
              </w:rPr>
            </w:pPr>
          </w:p>
        </w:tc>
        <w:tc>
          <w:tcPr>
            <w:tcW w:w="706" w:type="pct"/>
            <w:tcBorders>
              <w:top w:val="nil"/>
              <w:left w:val="nil"/>
              <w:bottom w:val="single" w:sz="4" w:space="0" w:color="auto"/>
              <w:right w:val="nil"/>
            </w:tcBorders>
          </w:tcPr>
          <w:p w:rsidR="00997637" w:rsidRPr="00A845B7" w:rsidRDefault="00997637" w:rsidP="00F24C8A">
            <w:pPr>
              <w:jc w:val="right"/>
              <w:rPr>
                <w:rFonts w:ascii="Arial" w:hAnsi="Arial" w:cs="Arial"/>
                <w:b/>
              </w:rPr>
            </w:pPr>
          </w:p>
          <w:p w:rsidR="00997637" w:rsidRPr="00A845B7" w:rsidRDefault="00997637" w:rsidP="00F24C8A">
            <w:pPr>
              <w:jc w:val="right"/>
              <w:rPr>
                <w:rFonts w:ascii="Arial" w:hAnsi="Arial" w:cs="Arial"/>
                <w:b/>
              </w:rPr>
            </w:pPr>
            <w:r w:rsidRPr="00A845B7">
              <w:rPr>
                <w:rFonts w:ascii="Arial" w:hAnsi="Arial" w:cs="Arial"/>
                <w:b/>
              </w:rPr>
              <w:t>Earnings</w:t>
            </w:r>
          </w:p>
          <w:p w:rsidR="00997637" w:rsidRPr="00A845B7" w:rsidRDefault="00997637" w:rsidP="00F24C8A">
            <w:pPr>
              <w:jc w:val="right"/>
              <w:rPr>
                <w:rFonts w:ascii="Arial" w:hAnsi="Arial" w:cs="Arial"/>
                <w:b/>
              </w:rPr>
            </w:pPr>
            <w:r w:rsidRPr="00A845B7">
              <w:rPr>
                <w:rFonts w:ascii="Arial" w:hAnsi="Arial" w:cs="Arial"/>
                <w:b/>
              </w:rPr>
              <w:t>£m</w:t>
            </w:r>
          </w:p>
        </w:tc>
        <w:tc>
          <w:tcPr>
            <w:tcW w:w="706" w:type="pct"/>
            <w:tcBorders>
              <w:top w:val="nil"/>
              <w:left w:val="nil"/>
              <w:bottom w:val="single" w:sz="4" w:space="0" w:color="auto"/>
              <w:right w:val="nil"/>
            </w:tcBorders>
            <w:hideMark/>
          </w:tcPr>
          <w:p w:rsidR="00997637" w:rsidRPr="00A845B7" w:rsidRDefault="00997637" w:rsidP="00F24C8A">
            <w:pPr>
              <w:jc w:val="right"/>
              <w:rPr>
                <w:rFonts w:ascii="Arial" w:hAnsi="Arial" w:cs="Arial"/>
                <w:b/>
              </w:rPr>
            </w:pPr>
            <w:r w:rsidRPr="00A845B7">
              <w:rPr>
                <w:rFonts w:ascii="Arial" w:hAnsi="Arial" w:cs="Arial"/>
                <w:b/>
              </w:rPr>
              <w:t>2016/17</w:t>
            </w:r>
          </w:p>
          <w:p w:rsidR="00997637" w:rsidRPr="00A845B7" w:rsidRDefault="00997637" w:rsidP="00F24C8A">
            <w:pPr>
              <w:jc w:val="right"/>
              <w:rPr>
                <w:rFonts w:ascii="Arial" w:hAnsi="Arial" w:cs="Arial"/>
                <w:b/>
              </w:rPr>
            </w:pPr>
            <w:r w:rsidRPr="00A845B7">
              <w:rPr>
                <w:rFonts w:ascii="Arial" w:hAnsi="Arial" w:cs="Arial"/>
                <w:b/>
              </w:rPr>
              <w:t>EPS</w:t>
            </w:r>
          </w:p>
          <w:p w:rsidR="00997637" w:rsidRPr="00A845B7" w:rsidRDefault="00997637" w:rsidP="00F24C8A">
            <w:pPr>
              <w:jc w:val="right"/>
              <w:rPr>
                <w:rFonts w:ascii="Arial" w:hAnsi="Arial" w:cs="Arial"/>
                <w:b/>
              </w:rPr>
            </w:pPr>
            <w:r w:rsidRPr="00A845B7">
              <w:rPr>
                <w:rFonts w:ascii="Arial" w:hAnsi="Arial" w:cs="Arial"/>
                <w:b/>
              </w:rPr>
              <w:t>pence</w:t>
            </w:r>
          </w:p>
        </w:tc>
        <w:tc>
          <w:tcPr>
            <w:tcW w:w="648" w:type="pct"/>
            <w:tcBorders>
              <w:top w:val="nil"/>
              <w:left w:val="nil"/>
              <w:bottom w:val="single" w:sz="4" w:space="0" w:color="auto"/>
              <w:right w:val="nil"/>
            </w:tcBorders>
          </w:tcPr>
          <w:p w:rsidR="00997637" w:rsidRPr="00A845B7" w:rsidRDefault="00997637" w:rsidP="00F24C8A">
            <w:pPr>
              <w:jc w:val="right"/>
              <w:rPr>
                <w:rFonts w:ascii="Arial" w:hAnsi="Arial" w:cs="Arial"/>
              </w:rPr>
            </w:pPr>
          </w:p>
          <w:p w:rsidR="00997637" w:rsidRPr="00A845B7" w:rsidRDefault="00997637" w:rsidP="00F24C8A">
            <w:pPr>
              <w:jc w:val="right"/>
              <w:rPr>
                <w:rFonts w:ascii="Arial" w:hAnsi="Arial" w:cs="Arial"/>
              </w:rPr>
            </w:pPr>
            <w:r w:rsidRPr="00A845B7">
              <w:rPr>
                <w:rFonts w:ascii="Arial" w:hAnsi="Arial" w:cs="Arial"/>
              </w:rPr>
              <w:t>Earnings</w:t>
            </w:r>
          </w:p>
          <w:p w:rsidR="00997637" w:rsidRPr="00A845B7" w:rsidRDefault="00997637" w:rsidP="00F24C8A">
            <w:pPr>
              <w:jc w:val="right"/>
              <w:rPr>
                <w:rFonts w:ascii="Arial" w:hAnsi="Arial" w:cs="Arial"/>
              </w:rPr>
            </w:pPr>
            <w:r w:rsidRPr="00A845B7">
              <w:rPr>
                <w:rFonts w:ascii="Arial" w:hAnsi="Arial" w:cs="Arial"/>
              </w:rPr>
              <w:t>£m</w:t>
            </w:r>
          </w:p>
        </w:tc>
        <w:tc>
          <w:tcPr>
            <w:tcW w:w="648" w:type="pct"/>
            <w:tcBorders>
              <w:top w:val="nil"/>
              <w:left w:val="nil"/>
              <w:bottom w:val="single" w:sz="4" w:space="0" w:color="auto"/>
              <w:right w:val="nil"/>
            </w:tcBorders>
            <w:hideMark/>
          </w:tcPr>
          <w:p w:rsidR="00997637" w:rsidRPr="00A845B7" w:rsidRDefault="00997637" w:rsidP="00F24C8A">
            <w:pPr>
              <w:jc w:val="right"/>
              <w:rPr>
                <w:rFonts w:ascii="Arial" w:hAnsi="Arial" w:cs="Arial"/>
              </w:rPr>
            </w:pPr>
            <w:r w:rsidRPr="00A845B7">
              <w:rPr>
                <w:rFonts w:ascii="Arial" w:hAnsi="Arial" w:cs="Arial"/>
              </w:rPr>
              <w:t>2015/16</w:t>
            </w:r>
          </w:p>
          <w:p w:rsidR="00997637" w:rsidRPr="00A845B7" w:rsidRDefault="00997637" w:rsidP="00F24C8A">
            <w:pPr>
              <w:jc w:val="right"/>
              <w:rPr>
                <w:rFonts w:ascii="Arial" w:hAnsi="Arial" w:cs="Arial"/>
              </w:rPr>
            </w:pPr>
            <w:r w:rsidRPr="00A845B7">
              <w:rPr>
                <w:rFonts w:ascii="Arial" w:hAnsi="Arial" w:cs="Arial"/>
              </w:rPr>
              <w:t>EPS</w:t>
            </w:r>
          </w:p>
          <w:p w:rsidR="00997637" w:rsidRPr="00A845B7" w:rsidRDefault="00997637" w:rsidP="00F24C8A">
            <w:pPr>
              <w:jc w:val="right"/>
              <w:rPr>
                <w:rFonts w:ascii="Arial" w:hAnsi="Arial" w:cs="Arial"/>
              </w:rPr>
            </w:pPr>
            <w:r w:rsidRPr="00A845B7">
              <w:rPr>
                <w:rFonts w:ascii="Arial" w:hAnsi="Arial" w:cs="Arial"/>
              </w:rPr>
              <w:t>pence</w:t>
            </w:r>
          </w:p>
        </w:tc>
      </w:tr>
      <w:tr w:rsidR="00997637" w:rsidRPr="00A845B7" w:rsidTr="00F24C8A">
        <w:tc>
          <w:tcPr>
            <w:tcW w:w="2292" w:type="pct"/>
            <w:tcBorders>
              <w:top w:val="single" w:sz="4" w:space="0" w:color="auto"/>
              <w:left w:val="nil"/>
              <w:right w:val="nil"/>
            </w:tcBorders>
          </w:tcPr>
          <w:p w:rsidR="00997637" w:rsidRPr="00A845B7" w:rsidRDefault="00997637" w:rsidP="00F24C8A">
            <w:pPr>
              <w:rPr>
                <w:rFonts w:ascii="Arial" w:hAnsi="Arial" w:cs="Arial"/>
                <w:b/>
              </w:rPr>
            </w:pPr>
            <w:r w:rsidRPr="00A845B7">
              <w:rPr>
                <w:rFonts w:ascii="Arial" w:hAnsi="Arial" w:cs="Arial"/>
                <w:b/>
              </w:rPr>
              <w:t>Underlying basic earnings per share</w:t>
            </w:r>
          </w:p>
        </w:tc>
        <w:tc>
          <w:tcPr>
            <w:tcW w:w="706" w:type="pct"/>
            <w:tcBorders>
              <w:top w:val="single" w:sz="4" w:space="0" w:color="auto"/>
              <w:left w:val="nil"/>
              <w:right w:val="nil"/>
            </w:tcBorders>
            <w:vAlign w:val="center"/>
          </w:tcPr>
          <w:p w:rsidR="00997637" w:rsidRPr="00A845B7" w:rsidRDefault="00997637" w:rsidP="00F24C8A">
            <w:pPr>
              <w:jc w:val="right"/>
              <w:rPr>
                <w:rFonts w:ascii="Arial" w:hAnsi="Arial" w:cs="Arial"/>
                <w:b/>
              </w:rPr>
            </w:pPr>
            <w:r w:rsidRPr="00A845B7">
              <w:rPr>
                <w:rFonts w:ascii="Arial" w:hAnsi="Arial" w:cs="Arial"/>
                <w:b/>
                <w:bCs/>
                <w:color w:val="000000"/>
              </w:rPr>
              <w:t>58</w:t>
            </w:r>
            <w:r w:rsidR="00052C90">
              <w:rPr>
                <w:rFonts w:ascii="Arial" w:hAnsi="Arial" w:cs="Arial"/>
                <w:b/>
                <w:bCs/>
                <w:color w:val="000000"/>
              </w:rPr>
              <w:t>4</w:t>
            </w:r>
          </w:p>
        </w:tc>
        <w:tc>
          <w:tcPr>
            <w:tcW w:w="706" w:type="pct"/>
            <w:tcBorders>
              <w:top w:val="single" w:sz="4" w:space="0" w:color="auto"/>
              <w:left w:val="nil"/>
              <w:right w:val="nil"/>
            </w:tcBorders>
            <w:vAlign w:val="center"/>
          </w:tcPr>
          <w:p w:rsidR="00997637" w:rsidRPr="00A845B7" w:rsidRDefault="00997637" w:rsidP="00F24C8A">
            <w:pPr>
              <w:jc w:val="right"/>
              <w:rPr>
                <w:rFonts w:ascii="Arial" w:hAnsi="Arial" w:cs="Arial"/>
                <w:b/>
              </w:rPr>
            </w:pPr>
            <w:r w:rsidRPr="00A845B7">
              <w:rPr>
                <w:rFonts w:ascii="Arial" w:hAnsi="Arial" w:cs="Arial"/>
                <w:b/>
                <w:bCs/>
                <w:color w:val="000000"/>
              </w:rPr>
              <w:t>25.</w:t>
            </w:r>
            <w:r w:rsidR="00052C90">
              <w:rPr>
                <w:rFonts w:ascii="Arial" w:hAnsi="Arial" w:cs="Arial"/>
                <w:b/>
                <w:bCs/>
                <w:color w:val="000000"/>
              </w:rPr>
              <w:t>9</w:t>
            </w:r>
          </w:p>
        </w:tc>
        <w:tc>
          <w:tcPr>
            <w:tcW w:w="648" w:type="pct"/>
            <w:tcBorders>
              <w:top w:val="single" w:sz="4" w:space="0" w:color="auto"/>
              <w:left w:val="nil"/>
              <w:right w:val="nil"/>
            </w:tcBorders>
          </w:tcPr>
          <w:p w:rsidR="00997637" w:rsidRPr="00A845B7" w:rsidRDefault="00997637" w:rsidP="00F24C8A">
            <w:pPr>
              <w:jc w:val="right"/>
              <w:rPr>
                <w:rFonts w:ascii="Arial" w:hAnsi="Arial" w:cs="Arial"/>
              </w:rPr>
            </w:pPr>
            <w:r w:rsidRPr="00A845B7">
              <w:rPr>
                <w:rFonts w:ascii="Arial" w:hAnsi="Arial" w:cs="Arial"/>
              </w:rPr>
              <w:t>509</w:t>
            </w:r>
          </w:p>
        </w:tc>
        <w:tc>
          <w:tcPr>
            <w:tcW w:w="648" w:type="pct"/>
            <w:tcBorders>
              <w:top w:val="single" w:sz="4" w:space="0" w:color="auto"/>
              <w:left w:val="nil"/>
              <w:right w:val="nil"/>
            </w:tcBorders>
          </w:tcPr>
          <w:p w:rsidR="00997637" w:rsidRPr="00A845B7" w:rsidRDefault="00997637" w:rsidP="00F24C8A">
            <w:pPr>
              <w:jc w:val="right"/>
              <w:rPr>
                <w:rFonts w:ascii="Arial" w:hAnsi="Arial" w:cs="Arial"/>
              </w:rPr>
            </w:pPr>
            <w:r w:rsidRPr="00A845B7">
              <w:rPr>
                <w:rFonts w:ascii="Arial" w:hAnsi="Arial" w:cs="Arial"/>
              </w:rPr>
              <w:t>22.0</w:t>
            </w:r>
          </w:p>
        </w:tc>
      </w:tr>
      <w:tr w:rsidR="00997637" w:rsidRPr="00A845B7" w:rsidTr="00F24C8A">
        <w:tc>
          <w:tcPr>
            <w:tcW w:w="2292" w:type="pct"/>
            <w:tcBorders>
              <w:left w:val="nil"/>
              <w:bottom w:val="single" w:sz="4" w:space="0" w:color="auto"/>
              <w:right w:val="nil"/>
            </w:tcBorders>
          </w:tcPr>
          <w:p w:rsidR="00997637" w:rsidRPr="00A845B7" w:rsidRDefault="00997637" w:rsidP="00F24C8A">
            <w:pPr>
              <w:rPr>
                <w:rFonts w:ascii="Arial" w:hAnsi="Arial" w:cs="Arial"/>
              </w:rPr>
            </w:pPr>
            <w:r w:rsidRPr="00A845B7">
              <w:rPr>
                <w:rFonts w:ascii="Arial" w:hAnsi="Arial" w:cs="Arial"/>
              </w:rPr>
              <w:t>Transformation P&amp;L costs (net of tax)</w:t>
            </w:r>
          </w:p>
        </w:tc>
        <w:tc>
          <w:tcPr>
            <w:tcW w:w="706" w:type="pct"/>
            <w:tcBorders>
              <w:left w:val="nil"/>
              <w:bottom w:val="single" w:sz="4" w:space="0" w:color="auto"/>
              <w:right w:val="nil"/>
            </w:tcBorders>
            <w:vAlign w:val="center"/>
          </w:tcPr>
          <w:p w:rsidR="00997637" w:rsidRPr="00A845B7" w:rsidRDefault="00997637" w:rsidP="00F24C8A">
            <w:pPr>
              <w:jc w:val="right"/>
              <w:rPr>
                <w:rFonts w:ascii="Arial" w:hAnsi="Arial" w:cs="Arial"/>
                <w:b/>
              </w:rPr>
            </w:pPr>
            <w:r w:rsidRPr="00A845B7">
              <w:rPr>
                <w:rFonts w:ascii="Arial" w:hAnsi="Arial" w:cs="Arial"/>
                <w:b/>
                <w:color w:val="000000"/>
              </w:rPr>
              <w:t>(33)</w:t>
            </w:r>
          </w:p>
        </w:tc>
        <w:tc>
          <w:tcPr>
            <w:tcW w:w="706" w:type="pct"/>
            <w:tcBorders>
              <w:left w:val="nil"/>
              <w:bottom w:val="single" w:sz="4" w:space="0" w:color="auto"/>
              <w:right w:val="nil"/>
            </w:tcBorders>
            <w:vAlign w:val="center"/>
          </w:tcPr>
          <w:p w:rsidR="00997637" w:rsidRPr="00A845B7" w:rsidRDefault="00997637" w:rsidP="00F24C8A">
            <w:pPr>
              <w:jc w:val="right"/>
              <w:rPr>
                <w:rFonts w:ascii="Arial" w:hAnsi="Arial" w:cs="Arial"/>
                <w:b/>
              </w:rPr>
            </w:pPr>
            <w:r w:rsidRPr="00A845B7">
              <w:rPr>
                <w:rFonts w:ascii="Arial" w:hAnsi="Arial" w:cs="Arial"/>
                <w:b/>
                <w:bCs/>
                <w:color w:val="000000"/>
              </w:rPr>
              <w:t>(1.</w:t>
            </w:r>
            <w:r w:rsidR="00052C90">
              <w:rPr>
                <w:rFonts w:ascii="Arial" w:hAnsi="Arial" w:cs="Arial"/>
                <w:b/>
                <w:bCs/>
                <w:color w:val="000000"/>
              </w:rPr>
              <w:t>5</w:t>
            </w:r>
            <w:r w:rsidRPr="00A845B7">
              <w:rPr>
                <w:rFonts w:ascii="Arial" w:hAnsi="Arial" w:cs="Arial"/>
                <w:b/>
                <w:bCs/>
                <w:color w:val="000000"/>
              </w:rPr>
              <w:t>)</w:t>
            </w:r>
          </w:p>
        </w:tc>
        <w:tc>
          <w:tcPr>
            <w:tcW w:w="648" w:type="pct"/>
            <w:tcBorders>
              <w:left w:val="nil"/>
              <w:bottom w:val="single" w:sz="4" w:space="0" w:color="auto"/>
              <w:right w:val="nil"/>
            </w:tcBorders>
          </w:tcPr>
          <w:p w:rsidR="00997637" w:rsidRPr="00A845B7" w:rsidRDefault="00997637" w:rsidP="00F24C8A">
            <w:pPr>
              <w:jc w:val="right"/>
              <w:rPr>
                <w:rFonts w:ascii="Arial" w:hAnsi="Arial" w:cs="Arial"/>
              </w:rPr>
            </w:pPr>
            <w:r w:rsidRPr="00A845B7">
              <w:rPr>
                <w:rFonts w:ascii="Arial" w:hAnsi="Arial" w:cs="Arial"/>
              </w:rPr>
              <w:t>-</w:t>
            </w:r>
          </w:p>
        </w:tc>
        <w:tc>
          <w:tcPr>
            <w:tcW w:w="648" w:type="pct"/>
            <w:tcBorders>
              <w:left w:val="nil"/>
              <w:bottom w:val="single" w:sz="4" w:space="0" w:color="auto"/>
              <w:right w:val="nil"/>
            </w:tcBorders>
          </w:tcPr>
          <w:p w:rsidR="00997637" w:rsidRPr="00A845B7" w:rsidRDefault="00997637" w:rsidP="00F24C8A">
            <w:pPr>
              <w:jc w:val="right"/>
              <w:rPr>
                <w:rFonts w:ascii="Arial" w:hAnsi="Arial" w:cs="Arial"/>
              </w:rPr>
            </w:pPr>
            <w:r w:rsidRPr="00A845B7">
              <w:rPr>
                <w:rFonts w:ascii="Arial" w:hAnsi="Arial" w:cs="Arial"/>
              </w:rPr>
              <w:t>-</w:t>
            </w:r>
          </w:p>
        </w:tc>
      </w:tr>
      <w:tr w:rsidR="00997637" w:rsidRPr="00A845B7" w:rsidTr="00F24C8A">
        <w:tc>
          <w:tcPr>
            <w:tcW w:w="2292" w:type="pct"/>
            <w:tcBorders>
              <w:top w:val="single" w:sz="4" w:space="0" w:color="auto"/>
              <w:left w:val="nil"/>
              <w:bottom w:val="nil"/>
              <w:right w:val="nil"/>
            </w:tcBorders>
            <w:hideMark/>
          </w:tcPr>
          <w:p w:rsidR="00997637" w:rsidRPr="00A845B7" w:rsidRDefault="00997637" w:rsidP="00F24C8A">
            <w:pPr>
              <w:rPr>
                <w:rFonts w:ascii="Arial" w:hAnsi="Arial" w:cs="Arial"/>
              </w:rPr>
            </w:pPr>
            <w:r w:rsidRPr="00A845B7">
              <w:rPr>
                <w:rFonts w:ascii="Arial" w:hAnsi="Arial" w:cs="Arial"/>
                <w:b/>
              </w:rPr>
              <w:t>Adjusted basic earnings per share</w:t>
            </w:r>
          </w:p>
        </w:tc>
        <w:tc>
          <w:tcPr>
            <w:tcW w:w="706" w:type="pct"/>
            <w:tcBorders>
              <w:top w:val="single" w:sz="4" w:space="0" w:color="auto"/>
              <w:left w:val="nil"/>
              <w:bottom w:val="nil"/>
              <w:right w:val="nil"/>
            </w:tcBorders>
          </w:tcPr>
          <w:p w:rsidR="00997637" w:rsidRPr="00A845B7" w:rsidRDefault="00997637" w:rsidP="00F24C8A">
            <w:pPr>
              <w:jc w:val="right"/>
              <w:rPr>
                <w:rFonts w:ascii="Arial" w:hAnsi="Arial" w:cs="Arial"/>
                <w:b/>
              </w:rPr>
            </w:pPr>
            <w:r w:rsidRPr="00A845B7">
              <w:rPr>
                <w:rFonts w:ascii="Arial" w:hAnsi="Arial" w:cs="Arial"/>
                <w:b/>
              </w:rPr>
              <w:t>55</w:t>
            </w:r>
            <w:r w:rsidR="00052C90">
              <w:rPr>
                <w:rFonts w:ascii="Arial" w:hAnsi="Arial" w:cs="Arial"/>
                <w:b/>
              </w:rPr>
              <w:t>1</w:t>
            </w:r>
          </w:p>
        </w:tc>
        <w:tc>
          <w:tcPr>
            <w:tcW w:w="706" w:type="pct"/>
            <w:tcBorders>
              <w:top w:val="single" w:sz="4" w:space="0" w:color="auto"/>
              <w:left w:val="nil"/>
              <w:bottom w:val="nil"/>
              <w:right w:val="nil"/>
            </w:tcBorders>
          </w:tcPr>
          <w:p w:rsidR="00997637" w:rsidRPr="00A845B7" w:rsidRDefault="00997637" w:rsidP="00F24C8A">
            <w:pPr>
              <w:jc w:val="right"/>
              <w:rPr>
                <w:rFonts w:ascii="Arial" w:hAnsi="Arial" w:cs="Arial"/>
                <w:b/>
              </w:rPr>
            </w:pPr>
            <w:r w:rsidRPr="00A845B7">
              <w:rPr>
                <w:rFonts w:ascii="Arial" w:hAnsi="Arial" w:cs="Arial"/>
                <w:b/>
              </w:rPr>
              <w:t>24.4</w:t>
            </w:r>
          </w:p>
        </w:tc>
        <w:tc>
          <w:tcPr>
            <w:tcW w:w="648" w:type="pct"/>
            <w:tcBorders>
              <w:top w:val="single" w:sz="4" w:space="0" w:color="auto"/>
              <w:left w:val="nil"/>
              <w:bottom w:val="nil"/>
              <w:right w:val="nil"/>
            </w:tcBorders>
          </w:tcPr>
          <w:p w:rsidR="00997637" w:rsidRPr="00A845B7" w:rsidRDefault="00997637" w:rsidP="00F24C8A">
            <w:pPr>
              <w:jc w:val="right"/>
              <w:rPr>
                <w:rFonts w:ascii="Arial" w:hAnsi="Arial" w:cs="Arial"/>
              </w:rPr>
            </w:pPr>
            <w:r w:rsidRPr="00A845B7">
              <w:rPr>
                <w:rFonts w:ascii="Arial" w:hAnsi="Arial" w:cs="Arial"/>
              </w:rPr>
              <w:t>509</w:t>
            </w:r>
          </w:p>
        </w:tc>
        <w:tc>
          <w:tcPr>
            <w:tcW w:w="648" w:type="pct"/>
            <w:tcBorders>
              <w:top w:val="single" w:sz="4" w:space="0" w:color="auto"/>
              <w:left w:val="nil"/>
              <w:bottom w:val="nil"/>
              <w:right w:val="nil"/>
            </w:tcBorders>
          </w:tcPr>
          <w:p w:rsidR="00997637" w:rsidRPr="00A845B7" w:rsidRDefault="00997637" w:rsidP="00F24C8A">
            <w:pPr>
              <w:jc w:val="right"/>
              <w:rPr>
                <w:rFonts w:ascii="Arial" w:hAnsi="Arial" w:cs="Arial"/>
              </w:rPr>
            </w:pPr>
            <w:r w:rsidRPr="00A845B7">
              <w:rPr>
                <w:rFonts w:ascii="Arial" w:hAnsi="Arial" w:cs="Arial"/>
              </w:rPr>
              <w:t>22.0</w:t>
            </w:r>
          </w:p>
        </w:tc>
      </w:tr>
      <w:tr w:rsidR="00997637" w:rsidRPr="00A845B7" w:rsidTr="00F24C8A">
        <w:tc>
          <w:tcPr>
            <w:tcW w:w="2292" w:type="pct"/>
          </w:tcPr>
          <w:p w:rsidR="00997637" w:rsidRPr="00A845B7" w:rsidRDefault="00997637" w:rsidP="00F24C8A">
            <w:pPr>
              <w:rPr>
                <w:rFonts w:ascii="Arial" w:hAnsi="Arial" w:cs="Arial"/>
              </w:rPr>
            </w:pPr>
            <w:r w:rsidRPr="00A845B7">
              <w:rPr>
                <w:rFonts w:ascii="Arial" w:hAnsi="Arial" w:cs="Arial"/>
              </w:rPr>
              <w:t>B&amp;Q China operating loss</w:t>
            </w:r>
          </w:p>
        </w:tc>
        <w:tc>
          <w:tcPr>
            <w:tcW w:w="706" w:type="pct"/>
          </w:tcPr>
          <w:p w:rsidR="00997637" w:rsidRPr="00A845B7" w:rsidRDefault="00997637" w:rsidP="00F24C8A">
            <w:pPr>
              <w:jc w:val="right"/>
              <w:rPr>
                <w:rFonts w:ascii="Arial" w:hAnsi="Arial" w:cs="Arial"/>
                <w:b/>
              </w:rPr>
            </w:pPr>
            <w:r w:rsidRPr="00A845B7">
              <w:rPr>
                <w:rFonts w:ascii="Arial" w:hAnsi="Arial" w:cs="Arial"/>
                <w:b/>
              </w:rPr>
              <w:t>-</w:t>
            </w:r>
          </w:p>
        </w:tc>
        <w:tc>
          <w:tcPr>
            <w:tcW w:w="706" w:type="pct"/>
          </w:tcPr>
          <w:p w:rsidR="00997637" w:rsidRPr="00A845B7" w:rsidRDefault="00997637" w:rsidP="00F24C8A">
            <w:pPr>
              <w:jc w:val="right"/>
              <w:rPr>
                <w:rFonts w:ascii="Arial" w:hAnsi="Arial" w:cs="Arial"/>
                <w:b/>
              </w:rPr>
            </w:pPr>
            <w:r w:rsidRPr="00A845B7">
              <w:rPr>
                <w:rFonts w:ascii="Arial" w:hAnsi="Arial" w:cs="Arial"/>
                <w:b/>
              </w:rPr>
              <w:t>-</w:t>
            </w:r>
          </w:p>
        </w:tc>
        <w:tc>
          <w:tcPr>
            <w:tcW w:w="648" w:type="pct"/>
          </w:tcPr>
          <w:p w:rsidR="00997637" w:rsidRPr="00A845B7" w:rsidRDefault="00997637" w:rsidP="00F24C8A">
            <w:pPr>
              <w:jc w:val="right"/>
              <w:rPr>
                <w:rFonts w:ascii="Arial" w:hAnsi="Arial" w:cs="Arial"/>
              </w:rPr>
            </w:pPr>
            <w:r w:rsidRPr="00A845B7">
              <w:rPr>
                <w:rFonts w:ascii="Arial" w:hAnsi="Arial" w:cs="Arial"/>
              </w:rPr>
              <w:t>(4)</w:t>
            </w:r>
          </w:p>
        </w:tc>
        <w:tc>
          <w:tcPr>
            <w:tcW w:w="648" w:type="pct"/>
          </w:tcPr>
          <w:p w:rsidR="00997637" w:rsidRPr="00A845B7" w:rsidRDefault="00997637" w:rsidP="00F24C8A">
            <w:pPr>
              <w:jc w:val="right"/>
              <w:rPr>
                <w:rFonts w:ascii="Arial" w:hAnsi="Arial" w:cs="Arial"/>
              </w:rPr>
            </w:pPr>
            <w:r w:rsidRPr="00A845B7">
              <w:rPr>
                <w:rFonts w:ascii="Arial" w:hAnsi="Arial" w:cs="Arial"/>
              </w:rPr>
              <w:t>(0.2)</w:t>
            </w:r>
          </w:p>
        </w:tc>
      </w:tr>
      <w:tr w:rsidR="00997637" w:rsidRPr="00A845B7" w:rsidTr="00F24C8A">
        <w:tc>
          <w:tcPr>
            <w:tcW w:w="2292" w:type="pct"/>
            <w:hideMark/>
          </w:tcPr>
          <w:p w:rsidR="00997637" w:rsidRPr="00A845B7" w:rsidRDefault="00997637" w:rsidP="00F24C8A">
            <w:pPr>
              <w:rPr>
                <w:rFonts w:ascii="Arial" w:hAnsi="Arial" w:cs="Arial"/>
              </w:rPr>
            </w:pPr>
            <w:r w:rsidRPr="00A845B7">
              <w:rPr>
                <w:rFonts w:ascii="Arial" w:hAnsi="Arial" w:cs="Arial"/>
              </w:rPr>
              <w:t>Net exceptional items</w:t>
            </w:r>
          </w:p>
        </w:tc>
        <w:tc>
          <w:tcPr>
            <w:tcW w:w="706" w:type="pct"/>
            <w:shd w:val="clear" w:color="auto" w:fill="auto"/>
          </w:tcPr>
          <w:p w:rsidR="00997637" w:rsidRPr="00A845B7" w:rsidRDefault="00C64809" w:rsidP="00F24C8A">
            <w:pPr>
              <w:jc w:val="right"/>
              <w:rPr>
                <w:rFonts w:ascii="Arial" w:hAnsi="Arial" w:cs="Arial"/>
                <w:b/>
              </w:rPr>
            </w:pPr>
            <w:r>
              <w:rPr>
                <w:rFonts w:ascii="Arial" w:hAnsi="Arial" w:cs="Arial"/>
                <w:b/>
              </w:rPr>
              <w:t>11</w:t>
            </w:r>
          </w:p>
        </w:tc>
        <w:tc>
          <w:tcPr>
            <w:tcW w:w="706" w:type="pct"/>
            <w:shd w:val="clear" w:color="auto" w:fill="auto"/>
          </w:tcPr>
          <w:p w:rsidR="00997637" w:rsidRPr="00A845B7" w:rsidRDefault="00997637" w:rsidP="00F24C8A">
            <w:pPr>
              <w:jc w:val="right"/>
              <w:rPr>
                <w:rFonts w:ascii="Arial" w:hAnsi="Arial" w:cs="Arial"/>
                <w:b/>
              </w:rPr>
            </w:pPr>
            <w:r w:rsidRPr="00A845B7">
              <w:rPr>
                <w:rFonts w:ascii="Arial" w:hAnsi="Arial" w:cs="Arial"/>
                <w:b/>
              </w:rPr>
              <w:t>0.</w:t>
            </w:r>
            <w:r w:rsidR="00052C90">
              <w:rPr>
                <w:rFonts w:ascii="Arial" w:hAnsi="Arial" w:cs="Arial"/>
                <w:b/>
              </w:rPr>
              <w:t>6</w:t>
            </w:r>
          </w:p>
        </w:tc>
        <w:tc>
          <w:tcPr>
            <w:tcW w:w="648" w:type="pct"/>
            <w:shd w:val="clear" w:color="auto" w:fill="auto"/>
          </w:tcPr>
          <w:p w:rsidR="00997637" w:rsidRPr="00A845B7" w:rsidRDefault="00997637" w:rsidP="00F24C8A">
            <w:pPr>
              <w:jc w:val="right"/>
              <w:rPr>
                <w:rFonts w:ascii="Arial" w:hAnsi="Arial" w:cs="Arial"/>
              </w:rPr>
            </w:pPr>
            <w:r w:rsidRPr="00A845B7">
              <w:rPr>
                <w:rFonts w:ascii="Arial" w:hAnsi="Arial" w:cs="Arial"/>
              </w:rPr>
              <w:t>(99)</w:t>
            </w:r>
          </w:p>
        </w:tc>
        <w:tc>
          <w:tcPr>
            <w:tcW w:w="648" w:type="pct"/>
            <w:shd w:val="clear" w:color="auto" w:fill="auto"/>
          </w:tcPr>
          <w:p w:rsidR="00997637" w:rsidRPr="00A845B7" w:rsidRDefault="00997637" w:rsidP="00F24C8A">
            <w:pPr>
              <w:jc w:val="right"/>
              <w:rPr>
                <w:rFonts w:ascii="Arial" w:hAnsi="Arial" w:cs="Arial"/>
              </w:rPr>
            </w:pPr>
            <w:r w:rsidRPr="00A845B7">
              <w:rPr>
                <w:rFonts w:ascii="Arial" w:hAnsi="Arial" w:cs="Arial"/>
              </w:rPr>
              <w:t>(4.3)</w:t>
            </w:r>
          </w:p>
        </w:tc>
      </w:tr>
      <w:tr w:rsidR="00997637" w:rsidRPr="00A845B7" w:rsidTr="00F24C8A">
        <w:tc>
          <w:tcPr>
            <w:tcW w:w="2292" w:type="pct"/>
            <w:vAlign w:val="bottom"/>
            <w:hideMark/>
          </w:tcPr>
          <w:p w:rsidR="00997637" w:rsidRPr="00A845B7" w:rsidRDefault="00997637" w:rsidP="00F24C8A">
            <w:pPr>
              <w:jc w:val="left"/>
              <w:rPr>
                <w:rFonts w:ascii="Arial" w:hAnsi="Arial" w:cs="Arial"/>
              </w:rPr>
            </w:pPr>
            <w:r w:rsidRPr="00A845B7">
              <w:rPr>
                <w:rFonts w:ascii="Arial" w:hAnsi="Arial" w:cs="Arial"/>
              </w:rPr>
              <w:t>Prior year tax items</w:t>
            </w:r>
          </w:p>
        </w:tc>
        <w:tc>
          <w:tcPr>
            <w:tcW w:w="706" w:type="pct"/>
          </w:tcPr>
          <w:p w:rsidR="00997637" w:rsidRPr="00A845B7" w:rsidRDefault="00C64809" w:rsidP="00F24C8A">
            <w:pPr>
              <w:jc w:val="right"/>
              <w:rPr>
                <w:rFonts w:ascii="Arial" w:hAnsi="Arial" w:cs="Arial"/>
                <w:b/>
              </w:rPr>
            </w:pPr>
            <w:r>
              <w:rPr>
                <w:rFonts w:ascii="Arial" w:hAnsi="Arial" w:cs="Arial"/>
                <w:b/>
              </w:rPr>
              <w:t>49</w:t>
            </w:r>
          </w:p>
        </w:tc>
        <w:tc>
          <w:tcPr>
            <w:tcW w:w="706" w:type="pct"/>
            <w:vAlign w:val="bottom"/>
          </w:tcPr>
          <w:p w:rsidR="00997637" w:rsidRPr="00A845B7" w:rsidRDefault="00052C90" w:rsidP="00F24C8A">
            <w:pPr>
              <w:jc w:val="right"/>
              <w:rPr>
                <w:rFonts w:ascii="Arial" w:hAnsi="Arial" w:cs="Arial"/>
                <w:b/>
              </w:rPr>
            </w:pPr>
            <w:r>
              <w:rPr>
                <w:rFonts w:ascii="Arial" w:hAnsi="Arial" w:cs="Arial"/>
                <w:b/>
              </w:rPr>
              <w:t>2</w:t>
            </w:r>
            <w:r w:rsidR="00997637" w:rsidRPr="00A845B7">
              <w:rPr>
                <w:rFonts w:ascii="Arial" w:hAnsi="Arial" w:cs="Arial"/>
                <w:b/>
              </w:rPr>
              <w:t>.</w:t>
            </w:r>
            <w:r>
              <w:rPr>
                <w:rFonts w:ascii="Arial" w:hAnsi="Arial" w:cs="Arial"/>
                <w:b/>
              </w:rPr>
              <w:t>2</w:t>
            </w:r>
          </w:p>
        </w:tc>
        <w:tc>
          <w:tcPr>
            <w:tcW w:w="648" w:type="pct"/>
          </w:tcPr>
          <w:p w:rsidR="00997637" w:rsidRPr="00A845B7" w:rsidRDefault="00997637" w:rsidP="00F24C8A">
            <w:pPr>
              <w:jc w:val="right"/>
              <w:rPr>
                <w:rFonts w:ascii="Arial" w:hAnsi="Arial" w:cs="Arial"/>
              </w:rPr>
            </w:pPr>
            <w:r w:rsidRPr="00A845B7">
              <w:rPr>
                <w:rFonts w:ascii="Arial" w:hAnsi="Arial" w:cs="Arial"/>
              </w:rPr>
              <w:t>9</w:t>
            </w:r>
          </w:p>
        </w:tc>
        <w:tc>
          <w:tcPr>
            <w:tcW w:w="648" w:type="pct"/>
            <w:vAlign w:val="bottom"/>
          </w:tcPr>
          <w:p w:rsidR="00997637" w:rsidRPr="00A845B7" w:rsidRDefault="00997637" w:rsidP="00F24C8A">
            <w:pPr>
              <w:jc w:val="right"/>
              <w:rPr>
                <w:rFonts w:ascii="Arial" w:hAnsi="Arial" w:cs="Arial"/>
              </w:rPr>
            </w:pPr>
            <w:r w:rsidRPr="00A845B7">
              <w:rPr>
                <w:rFonts w:ascii="Arial" w:hAnsi="Arial" w:cs="Arial"/>
              </w:rPr>
              <w:t>0.4</w:t>
            </w:r>
          </w:p>
        </w:tc>
      </w:tr>
      <w:tr w:rsidR="00997637" w:rsidRPr="00A845B7" w:rsidTr="00F24C8A">
        <w:tc>
          <w:tcPr>
            <w:tcW w:w="2292" w:type="pct"/>
            <w:vAlign w:val="bottom"/>
            <w:hideMark/>
          </w:tcPr>
          <w:p w:rsidR="00997637" w:rsidRPr="00A845B7" w:rsidRDefault="00997637" w:rsidP="00F24C8A">
            <w:pPr>
              <w:jc w:val="left"/>
              <w:rPr>
                <w:rFonts w:ascii="Arial" w:hAnsi="Arial" w:cs="Arial"/>
              </w:rPr>
            </w:pPr>
            <w:r w:rsidRPr="00A845B7">
              <w:rPr>
                <w:rFonts w:ascii="Arial" w:hAnsi="Arial" w:cs="Arial"/>
              </w:rPr>
              <w:t>FFVR (net of tax)</w:t>
            </w:r>
          </w:p>
        </w:tc>
        <w:tc>
          <w:tcPr>
            <w:tcW w:w="706" w:type="pct"/>
          </w:tcPr>
          <w:p w:rsidR="00997637" w:rsidRPr="00A845B7" w:rsidRDefault="00997637" w:rsidP="00F24C8A">
            <w:pPr>
              <w:jc w:val="right"/>
              <w:rPr>
                <w:rFonts w:ascii="Arial" w:hAnsi="Arial" w:cs="Arial"/>
                <w:b/>
              </w:rPr>
            </w:pPr>
            <w:r w:rsidRPr="00A845B7">
              <w:rPr>
                <w:rFonts w:ascii="Arial" w:hAnsi="Arial" w:cs="Arial"/>
                <w:b/>
              </w:rPr>
              <w:t>(1)</w:t>
            </w:r>
          </w:p>
        </w:tc>
        <w:tc>
          <w:tcPr>
            <w:tcW w:w="706" w:type="pct"/>
            <w:vAlign w:val="bottom"/>
          </w:tcPr>
          <w:p w:rsidR="00997637" w:rsidRPr="00A845B7" w:rsidRDefault="00997637" w:rsidP="00F24C8A">
            <w:pPr>
              <w:jc w:val="right"/>
              <w:rPr>
                <w:rFonts w:ascii="Arial" w:hAnsi="Arial" w:cs="Arial"/>
                <w:b/>
              </w:rPr>
            </w:pPr>
            <w:r w:rsidRPr="00A845B7">
              <w:rPr>
                <w:rFonts w:ascii="Arial" w:hAnsi="Arial" w:cs="Arial"/>
                <w:b/>
              </w:rPr>
              <w:t>(0.1)</w:t>
            </w:r>
          </w:p>
        </w:tc>
        <w:tc>
          <w:tcPr>
            <w:tcW w:w="648" w:type="pct"/>
          </w:tcPr>
          <w:p w:rsidR="00997637" w:rsidRPr="00A845B7" w:rsidRDefault="00997637" w:rsidP="00F24C8A">
            <w:pPr>
              <w:jc w:val="right"/>
              <w:rPr>
                <w:rFonts w:ascii="Arial" w:hAnsi="Arial" w:cs="Arial"/>
              </w:rPr>
            </w:pPr>
            <w:r w:rsidRPr="00A845B7">
              <w:rPr>
                <w:rFonts w:ascii="Arial" w:hAnsi="Arial" w:cs="Arial"/>
              </w:rPr>
              <w:t>(3)</w:t>
            </w:r>
          </w:p>
        </w:tc>
        <w:tc>
          <w:tcPr>
            <w:tcW w:w="648" w:type="pct"/>
            <w:vAlign w:val="bottom"/>
          </w:tcPr>
          <w:p w:rsidR="00997637" w:rsidRPr="00A845B7" w:rsidRDefault="00997637" w:rsidP="00F24C8A">
            <w:pPr>
              <w:jc w:val="right"/>
              <w:rPr>
                <w:rFonts w:ascii="Arial" w:hAnsi="Arial" w:cs="Arial"/>
              </w:rPr>
            </w:pPr>
            <w:r w:rsidRPr="00A845B7">
              <w:rPr>
                <w:rFonts w:ascii="Arial" w:hAnsi="Arial" w:cs="Arial"/>
              </w:rPr>
              <w:t>(0.1)</w:t>
            </w:r>
          </w:p>
        </w:tc>
      </w:tr>
      <w:tr w:rsidR="00997637" w:rsidRPr="00A845B7" w:rsidTr="00F24C8A">
        <w:trPr>
          <w:trHeight w:val="70"/>
        </w:trPr>
        <w:tc>
          <w:tcPr>
            <w:tcW w:w="2292" w:type="pct"/>
            <w:tcBorders>
              <w:top w:val="single" w:sz="4" w:space="0" w:color="auto"/>
              <w:left w:val="nil"/>
              <w:bottom w:val="single" w:sz="4" w:space="0" w:color="auto"/>
              <w:right w:val="nil"/>
            </w:tcBorders>
            <w:hideMark/>
          </w:tcPr>
          <w:p w:rsidR="00997637" w:rsidRPr="00A845B7" w:rsidRDefault="00997637" w:rsidP="00F24C8A">
            <w:pPr>
              <w:rPr>
                <w:rFonts w:ascii="Arial" w:hAnsi="Arial" w:cs="Arial"/>
                <w:b/>
              </w:rPr>
            </w:pPr>
            <w:r w:rsidRPr="00A845B7">
              <w:rPr>
                <w:rFonts w:ascii="Arial" w:hAnsi="Arial" w:cs="Arial"/>
                <w:b/>
              </w:rPr>
              <w:t>Basic earnings per share</w:t>
            </w:r>
          </w:p>
        </w:tc>
        <w:tc>
          <w:tcPr>
            <w:tcW w:w="706" w:type="pct"/>
            <w:tcBorders>
              <w:top w:val="single" w:sz="4" w:space="0" w:color="auto"/>
              <w:left w:val="nil"/>
              <w:bottom w:val="single" w:sz="4" w:space="0" w:color="auto"/>
              <w:right w:val="nil"/>
            </w:tcBorders>
          </w:tcPr>
          <w:p w:rsidR="00997637" w:rsidRPr="00A845B7" w:rsidRDefault="00C64809" w:rsidP="00F24C8A">
            <w:pPr>
              <w:jc w:val="right"/>
              <w:rPr>
                <w:rFonts w:ascii="Arial" w:hAnsi="Arial" w:cs="Arial"/>
                <w:b/>
              </w:rPr>
            </w:pPr>
            <w:r>
              <w:rPr>
                <w:rFonts w:ascii="Arial" w:hAnsi="Arial" w:cs="Arial"/>
                <w:b/>
              </w:rPr>
              <w:t>61</w:t>
            </w:r>
            <w:r w:rsidR="00052C90">
              <w:rPr>
                <w:rFonts w:ascii="Arial" w:hAnsi="Arial" w:cs="Arial"/>
                <w:b/>
              </w:rPr>
              <w:t>0</w:t>
            </w:r>
          </w:p>
        </w:tc>
        <w:tc>
          <w:tcPr>
            <w:tcW w:w="706" w:type="pct"/>
            <w:tcBorders>
              <w:top w:val="single" w:sz="4" w:space="0" w:color="auto"/>
              <w:left w:val="nil"/>
              <w:bottom w:val="single" w:sz="4" w:space="0" w:color="auto"/>
              <w:right w:val="nil"/>
            </w:tcBorders>
          </w:tcPr>
          <w:p w:rsidR="00997637" w:rsidRPr="00A845B7" w:rsidRDefault="00997637" w:rsidP="00F24C8A">
            <w:pPr>
              <w:jc w:val="right"/>
              <w:rPr>
                <w:rFonts w:ascii="Arial" w:hAnsi="Arial" w:cs="Arial"/>
                <w:b/>
              </w:rPr>
            </w:pPr>
            <w:r w:rsidRPr="00A845B7">
              <w:rPr>
                <w:rFonts w:ascii="Arial" w:hAnsi="Arial" w:cs="Arial"/>
                <w:b/>
              </w:rPr>
              <w:t>2</w:t>
            </w:r>
            <w:r w:rsidR="00052C90">
              <w:rPr>
                <w:rFonts w:ascii="Arial" w:hAnsi="Arial" w:cs="Arial"/>
                <w:b/>
              </w:rPr>
              <w:t>7</w:t>
            </w:r>
            <w:r w:rsidRPr="00A845B7">
              <w:rPr>
                <w:rFonts w:ascii="Arial" w:hAnsi="Arial" w:cs="Arial"/>
                <w:b/>
              </w:rPr>
              <w:t>.</w:t>
            </w:r>
            <w:r w:rsidR="00052C90">
              <w:rPr>
                <w:rFonts w:ascii="Arial" w:hAnsi="Arial" w:cs="Arial"/>
                <w:b/>
              </w:rPr>
              <w:t>1</w:t>
            </w:r>
          </w:p>
        </w:tc>
        <w:tc>
          <w:tcPr>
            <w:tcW w:w="648" w:type="pct"/>
            <w:tcBorders>
              <w:top w:val="single" w:sz="4" w:space="0" w:color="auto"/>
              <w:left w:val="nil"/>
              <w:bottom w:val="single" w:sz="4" w:space="0" w:color="auto"/>
              <w:right w:val="nil"/>
            </w:tcBorders>
          </w:tcPr>
          <w:p w:rsidR="00997637" w:rsidRPr="00A845B7" w:rsidRDefault="00997637" w:rsidP="00F24C8A">
            <w:pPr>
              <w:jc w:val="right"/>
              <w:rPr>
                <w:rFonts w:ascii="Arial" w:hAnsi="Arial" w:cs="Arial"/>
              </w:rPr>
            </w:pPr>
            <w:r w:rsidRPr="00A845B7">
              <w:rPr>
                <w:rFonts w:ascii="Arial" w:hAnsi="Arial" w:cs="Arial"/>
              </w:rPr>
              <w:t>412</w:t>
            </w:r>
          </w:p>
        </w:tc>
        <w:tc>
          <w:tcPr>
            <w:tcW w:w="648" w:type="pct"/>
            <w:tcBorders>
              <w:top w:val="single" w:sz="4" w:space="0" w:color="auto"/>
              <w:left w:val="nil"/>
              <w:bottom w:val="single" w:sz="4" w:space="0" w:color="auto"/>
              <w:right w:val="nil"/>
            </w:tcBorders>
          </w:tcPr>
          <w:p w:rsidR="00997637" w:rsidRPr="00A845B7" w:rsidRDefault="00997637" w:rsidP="00F24C8A">
            <w:pPr>
              <w:jc w:val="right"/>
              <w:rPr>
                <w:rFonts w:ascii="Arial" w:hAnsi="Arial" w:cs="Arial"/>
              </w:rPr>
            </w:pPr>
            <w:r w:rsidRPr="00A845B7">
              <w:rPr>
                <w:rFonts w:ascii="Arial" w:hAnsi="Arial" w:cs="Arial"/>
              </w:rPr>
              <w:t>17.8</w:t>
            </w:r>
          </w:p>
        </w:tc>
      </w:tr>
    </w:tbl>
    <w:p w:rsidR="00997637" w:rsidRPr="00A845B7" w:rsidRDefault="00997637" w:rsidP="00997637">
      <w:pPr>
        <w:jc w:val="left"/>
        <w:rPr>
          <w:rFonts w:ascii="Arial" w:hAnsi="Arial" w:cs="Arial"/>
          <w:b/>
          <w:bCs/>
          <w:highlight w:val="yellow"/>
        </w:rPr>
      </w:pPr>
    </w:p>
    <w:p w:rsidR="00997637" w:rsidRPr="00A845B7" w:rsidRDefault="00997637" w:rsidP="00997637">
      <w:pPr>
        <w:jc w:val="left"/>
        <w:rPr>
          <w:rFonts w:ascii="Arial" w:hAnsi="Arial" w:cs="Arial"/>
          <w:b/>
          <w:bCs/>
        </w:rPr>
      </w:pPr>
      <w:r w:rsidRPr="00A845B7">
        <w:rPr>
          <w:rFonts w:ascii="Arial" w:hAnsi="Arial" w:cs="Arial"/>
          <w:b/>
          <w:bCs/>
        </w:rPr>
        <w:t xml:space="preserve">Dividends and capital returns </w:t>
      </w:r>
    </w:p>
    <w:p w:rsidR="00997637" w:rsidRPr="005563A5" w:rsidRDefault="00997637" w:rsidP="00997637">
      <w:pPr>
        <w:jc w:val="left"/>
        <w:rPr>
          <w:rFonts w:ascii="Arial" w:hAnsi="Arial" w:cs="Arial"/>
          <w:b/>
          <w:bCs/>
          <w:sz w:val="24"/>
          <w:szCs w:val="24"/>
        </w:rPr>
      </w:pPr>
    </w:p>
    <w:p w:rsidR="00997637" w:rsidRPr="00686C6E" w:rsidRDefault="00997637" w:rsidP="00997637">
      <w:pPr>
        <w:jc w:val="left"/>
        <w:rPr>
          <w:rFonts w:ascii="Arial" w:hAnsi="Arial" w:cs="Arial"/>
        </w:rPr>
      </w:pPr>
      <w:r w:rsidRPr="00686C6E">
        <w:rPr>
          <w:rFonts w:ascii="Arial" w:hAnsi="Arial" w:cs="Arial"/>
        </w:rPr>
        <w:t xml:space="preserve">The Board has </w:t>
      </w:r>
      <w:r w:rsidRPr="003925E2">
        <w:rPr>
          <w:rFonts w:ascii="Arial" w:hAnsi="Arial" w:cs="Arial"/>
        </w:rPr>
        <w:t xml:space="preserve">proposed a final dividend of </w:t>
      </w:r>
      <w:r w:rsidR="00A5402C" w:rsidRPr="00862FEB">
        <w:rPr>
          <w:rFonts w:ascii="Arial" w:hAnsi="Arial" w:cs="Arial"/>
        </w:rPr>
        <w:t>7</w:t>
      </w:r>
      <w:r w:rsidR="00EB1BCF" w:rsidRPr="00862FEB">
        <w:rPr>
          <w:rFonts w:ascii="Arial" w:hAnsi="Arial" w:cs="Arial"/>
        </w:rPr>
        <w:t>.15</w:t>
      </w:r>
      <w:r w:rsidRPr="00862FEB">
        <w:rPr>
          <w:rFonts w:ascii="Arial" w:hAnsi="Arial" w:cs="Arial"/>
        </w:rPr>
        <w:t xml:space="preserve">p </w:t>
      </w:r>
      <w:r w:rsidRPr="003925E2">
        <w:rPr>
          <w:rFonts w:ascii="Arial" w:hAnsi="Arial" w:cs="Arial"/>
        </w:rPr>
        <w:t xml:space="preserve">which results in a full year dividend of </w:t>
      </w:r>
      <w:r w:rsidR="00A5402C" w:rsidRPr="00862FEB">
        <w:rPr>
          <w:rFonts w:ascii="Arial" w:hAnsi="Arial" w:cs="Arial"/>
        </w:rPr>
        <w:t>10.4</w:t>
      </w:r>
      <w:r w:rsidRPr="00862FEB">
        <w:rPr>
          <w:rFonts w:ascii="Arial" w:hAnsi="Arial" w:cs="Arial"/>
        </w:rPr>
        <w:t xml:space="preserve">p, </w:t>
      </w:r>
      <w:r w:rsidRPr="003925E2">
        <w:rPr>
          <w:rFonts w:ascii="Arial" w:hAnsi="Arial" w:cs="Arial"/>
        </w:rPr>
        <w:t xml:space="preserve">an increase of </w:t>
      </w:r>
      <w:r w:rsidR="00A5402C" w:rsidRPr="00862FEB">
        <w:rPr>
          <w:rFonts w:ascii="Arial" w:hAnsi="Arial" w:cs="Arial"/>
        </w:rPr>
        <w:t>3.0</w:t>
      </w:r>
      <w:r w:rsidRPr="00862FEB">
        <w:rPr>
          <w:rFonts w:ascii="Arial" w:hAnsi="Arial" w:cs="Arial"/>
        </w:rPr>
        <w:t xml:space="preserve">% (2015/16: 10.1p). </w:t>
      </w:r>
      <w:r w:rsidRPr="003925E2">
        <w:rPr>
          <w:rFonts w:ascii="Arial" w:hAnsi="Arial" w:cs="Arial"/>
        </w:rPr>
        <w:t xml:space="preserve">The full year dividend is covered </w:t>
      </w:r>
      <w:r w:rsidR="00A5402C" w:rsidRPr="00862FEB">
        <w:rPr>
          <w:rFonts w:ascii="Arial" w:hAnsi="Arial" w:cs="Arial"/>
        </w:rPr>
        <w:t>2.3</w:t>
      </w:r>
      <w:r w:rsidRPr="00862FEB">
        <w:rPr>
          <w:rFonts w:ascii="Arial" w:hAnsi="Arial" w:cs="Arial"/>
        </w:rPr>
        <w:t xml:space="preserve"> times </w:t>
      </w:r>
      <w:r w:rsidRPr="003925E2">
        <w:rPr>
          <w:rFonts w:ascii="Arial" w:hAnsi="Arial" w:cs="Arial"/>
        </w:rPr>
        <w:t>by adjusted earnings (2015/16: 2.2 times).</w:t>
      </w:r>
      <w:r w:rsidRPr="00686C6E">
        <w:rPr>
          <w:rFonts w:ascii="Arial" w:hAnsi="Arial" w:cs="Arial"/>
        </w:rPr>
        <w:t xml:space="preserve"> We continue to be comfortable with medium term dividend cover in the range of 2.0 to 2.5 times based on adjusted basic earnings per share, a level the Board believes is consistent with the capital needs of the business.</w:t>
      </w:r>
    </w:p>
    <w:p w:rsidR="00997637" w:rsidRPr="00686C6E" w:rsidRDefault="00997637" w:rsidP="00997637">
      <w:pPr>
        <w:jc w:val="left"/>
        <w:rPr>
          <w:rFonts w:ascii="Arial" w:hAnsi="Arial" w:cs="Arial"/>
          <w:highlight w:val="yellow"/>
        </w:rPr>
      </w:pPr>
    </w:p>
    <w:p w:rsidR="00997637" w:rsidRPr="00686C6E" w:rsidRDefault="00997637" w:rsidP="00997637">
      <w:pPr>
        <w:jc w:val="left"/>
        <w:rPr>
          <w:rFonts w:ascii="Arial" w:hAnsi="Arial" w:cs="Arial"/>
        </w:rPr>
      </w:pPr>
      <w:r w:rsidRPr="00686C6E">
        <w:rPr>
          <w:rFonts w:ascii="Arial" w:hAnsi="Arial" w:cs="Arial"/>
        </w:rPr>
        <w:t>The final dividend will be paid on 19 June 2017 to shareholders on the register at close of business on 5 May 2017. A dividend reinvestment plan (DRIP) is available to shareholders who would prefer to invest their dividends in the shares of the Company. The shares will go ex-dividend on 4 May 2017. For those shareholders electing to receive the DRIP the last date for receipt of election is 26 May 2017.</w:t>
      </w:r>
    </w:p>
    <w:p w:rsidR="00997637" w:rsidRPr="00686C6E" w:rsidRDefault="00997637" w:rsidP="00997637">
      <w:pPr>
        <w:jc w:val="left"/>
        <w:rPr>
          <w:rFonts w:ascii="Arial" w:hAnsi="Arial" w:cs="Arial"/>
          <w:highlight w:val="yellow"/>
        </w:rPr>
      </w:pPr>
    </w:p>
    <w:p w:rsidR="00997637" w:rsidRPr="00A845B7" w:rsidRDefault="00997637" w:rsidP="00997637">
      <w:pPr>
        <w:jc w:val="left"/>
        <w:rPr>
          <w:rFonts w:ascii="Arial" w:hAnsi="Arial" w:cs="Arial"/>
        </w:rPr>
      </w:pPr>
      <w:r w:rsidRPr="00686C6E">
        <w:rPr>
          <w:rFonts w:ascii="Arial" w:hAnsi="Arial" w:cs="Arial"/>
        </w:rPr>
        <w:t xml:space="preserve">On 25 January 2016 Kingfisher announced its intention to return around a further £600 million of surplus capital to shareholders during 2016/17 and the following two years. This is expected to be via share buyback. During 2016/17 £200 million (58 million shares) was returned to shareholders </w:t>
      </w:r>
      <w:r w:rsidRPr="00A845B7">
        <w:rPr>
          <w:rFonts w:ascii="Arial" w:hAnsi="Arial" w:cs="Arial"/>
        </w:rPr>
        <w:t>via share buyback.</w:t>
      </w:r>
    </w:p>
    <w:p w:rsidR="00997637" w:rsidRPr="00A845B7" w:rsidRDefault="00997637" w:rsidP="00997637">
      <w:pPr>
        <w:ind w:right="-368"/>
        <w:jc w:val="left"/>
        <w:rPr>
          <w:rFonts w:ascii="Arial" w:hAnsi="Arial" w:cs="Arial"/>
          <w:b/>
        </w:rPr>
      </w:pPr>
    </w:p>
    <w:p w:rsidR="00997637" w:rsidRPr="00A845B7" w:rsidRDefault="00997637" w:rsidP="00997637">
      <w:pPr>
        <w:ind w:right="-368"/>
        <w:jc w:val="left"/>
        <w:rPr>
          <w:rFonts w:ascii="Arial" w:hAnsi="Arial" w:cs="Arial"/>
          <w:b/>
        </w:rPr>
      </w:pPr>
      <w:r w:rsidRPr="00A845B7">
        <w:rPr>
          <w:rFonts w:ascii="Arial" w:hAnsi="Arial" w:cs="Arial"/>
          <w:b/>
        </w:rPr>
        <w:t>Taxation</w:t>
      </w:r>
    </w:p>
    <w:p w:rsidR="00D5261F" w:rsidRPr="00A845B7" w:rsidRDefault="00D5261F" w:rsidP="00997637">
      <w:pPr>
        <w:ind w:right="-368"/>
        <w:jc w:val="left"/>
        <w:rPr>
          <w:rFonts w:ascii="Arial" w:hAnsi="Arial" w:cs="Arial"/>
          <w:b/>
        </w:rPr>
      </w:pPr>
    </w:p>
    <w:p w:rsidR="00E12784" w:rsidRDefault="00E12784" w:rsidP="00E12784">
      <w:pPr>
        <w:ind w:right="-368"/>
        <w:jc w:val="left"/>
        <w:rPr>
          <w:rFonts w:ascii="Arial" w:hAnsi="Arial" w:cs="Arial"/>
          <w:szCs w:val="24"/>
        </w:rPr>
      </w:pPr>
      <w:r w:rsidRPr="00E12784">
        <w:rPr>
          <w:rFonts w:ascii="Arial" w:hAnsi="Arial" w:cs="Arial"/>
          <w:szCs w:val="24"/>
        </w:rPr>
        <w:t>Kingfisher’s effective tax rate is sensitive to the blend of tax rates and profits in the Group’s various jurisdictions. It is higher than the UK statutory rate because of the amount of Group profit that is earned in higher tax territories. The effective tax</w:t>
      </w:r>
      <w:r w:rsidR="004B3EA9">
        <w:rPr>
          <w:rFonts w:ascii="Arial" w:hAnsi="Arial" w:cs="Arial"/>
          <w:szCs w:val="24"/>
        </w:rPr>
        <w:t xml:space="preserve"> rate</w:t>
      </w:r>
      <w:r w:rsidRPr="00E12784">
        <w:rPr>
          <w:rFonts w:ascii="Arial" w:hAnsi="Arial" w:cs="Arial"/>
          <w:szCs w:val="24"/>
        </w:rPr>
        <w:t>, calculated on profit before exceptional items, prior year tax adjustments and the impact of rate changes</w:t>
      </w:r>
      <w:r w:rsidR="00D01E60">
        <w:rPr>
          <w:rFonts w:ascii="Arial" w:hAnsi="Arial" w:cs="Arial"/>
          <w:szCs w:val="24"/>
        </w:rPr>
        <w:t xml:space="preserve"> on deferred tax</w:t>
      </w:r>
      <w:r w:rsidRPr="00E12784">
        <w:rPr>
          <w:rFonts w:ascii="Arial" w:hAnsi="Arial" w:cs="Arial"/>
          <w:szCs w:val="24"/>
        </w:rPr>
        <w:t xml:space="preserve">, was 26% (2015/16: 26%). The effective rate of tax is in line with the prior year, a result of tax rate reductions in the year having been broadly offset by changes to profit mix in reported currencies. </w:t>
      </w:r>
    </w:p>
    <w:p w:rsidR="00D22B7C" w:rsidRPr="00E12784" w:rsidRDefault="00D22B7C" w:rsidP="00E12784">
      <w:pPr>
        <w:ind w:right="-368"/>
        <w:jc w:val="left"/>
        <w:rPr>
          <w:rFonts w:ascii="Arial" w:hAnsi="Arial" w:cs="Arial"/>
          <w:szCs w:val="24"/>
        </w:rPr>
      </w:pPr>
    </w:p>
    <w:p w:rsidR="00B019FB" w:rsidRDefault="00E12784" w:rsidP="00D5261F">
      <w:pPr>
        <w:ind w:right="-368"/>
        <w:jc w:val="left"/>
        <w:rPr>
          <w:rFonts w:ascii="Arial" w:hAnsi="Arial" w:cs="Arial"/>
          <w:szCs w:val="24"/>
        </w:rPr>
      </w:pPr>
      <w:r w:rsidRPr="00E12784">
        <w:rPr>
          <w:rFonts w:ascii="Arial" w:hAnsi="Arial" w:cs="Arial"/>
          <w:szCs w:val="24"/>
        </w:rPr>
        <w:t xml:space="preserve">The overall rate of tax includes the impact of exceptional items and prior year adjustments. The effect of such items reduced the rate from 26% to 20%. This predominately reflects enacted rate reductions in both the UK and France, due to have </w:t>
      </w:r>
      <w:r w:rsidR="004B3EA9">
        <w:rPr>
          <w:rFonts w:ascii="Arial" w:hAnsi="Arial" w:cs="Arial"/>
          <w:szCs w:val="24"/>
        </w:rPr>
        <w:t xml:space="preserve">full </w:t>
      </w:r>
      <w:r w:rsidRPr="00E12784">
        <w:rPr>
          <w:rFonts w:ascii="Arial" w:hAnsi="Arial" w:cs="Arial"/>
          <w:szCs w:val="24"/>
        </w:rPr>
        <w:t>effect in 2020/21, which have resulted in deferred tax credits in the year, as well as the release of prior year provisions which have either been agreed with tax authorities, reassessed, or time expired.</w:t>
      </w:r>
    </w:p>
    <w:p w:rsidR="00A93D96" w:rsidRDefault="00A93D96">
      <w:pPr>
        <w:jc w:val="left"/>
        <w:rPr>
          <w:rFonts w:ascii="Arial" w:hAnsi="Arial" w:cs="Arial"/>
          <w:szCs w:val="24"/>
        </w:rPr>
      </w:pPr>
      <w:r>
        <w:rPr>
          <w:rFonts w:ascii="Arial" w:hAnsi="Arial" w:cs="Arial"/>
          <w:szCs w:val="24"/>
        </w:rPr>
        <w:br w:type="page"/>
      </w:r>
    </w:p>
    <w:tbl>
      <w:tblPr>
        <w:tblW w:w="5000" w:type="pct"/>
        <w:tblCellMar>
          <w:left w:w="0" w:type="dxa"/>
          <w:right w:w="0" w:type="dxa"/>
        </w:tblCellMar>
        <w:tblLook w:val="04A0" w:firstRow="1" w:lastRow="0" w:firstColumn="1" w:lastColumn="0" w:noHBand="0" w:noVBand="1"/>
      </w:tblPr>
      <w:tblGrid>
        <w:gridCol w:w="4665"/>
        <w:gridCol w:w="992"/>
        <w:gridCol w:w="1422"/>
        <w:gridCol w:w="1281"/>
        <w:gridCol w:w="1281"/>
      </w:tblGrid>
      <w:tr w:rsidR="00997637" w:rsidRPr="00D22B7C" w:rsidTr="006F78D1">
        <w:trPr>
          <w:trHeight w:val="595"/>
        </w:trPr>
        <w:tc>
          <w:tcPr>
            <w:tcW w:w="4395" w:type="dxa"/>
            <w:tcBorders>
              <w:top w:val="nil"/>
              <w:left w:val="nil"/>
              <w:bottom w:val="single" w:sz="8" w:space="0" w:color="auto"/>
              <w:right w:val="nil"/>
            </w:tcBorders>
            <w:tcMar>
              <w:top w:w="0" w:type="dxa"/>
              <w:left w:w="108" w:type="dxa"/>
              <w:bottom w:w="0" w:type="dxa"/>
              <w:right w:w="108" w:type="dxa"/>
            </w:tcMar>
            <w:hideMark/>
          </w:tcPr>
          <w:p w:rsidR="00997637" w:rsidRPr="00D22B7C" w:rsidRDefault="00997637" w:rsidP="00F24C8A">
            <w:pPr>
              <w:rPr>
                <w:rFonts w:ascii="Arial" w:hAnsi="Arial" w:cs="Arial"/>
                <w:b/>
                <w:bCs/>
              </w:rPr>
            </w:pPr>
            <w:r w:rsidRPr="00D22B7C">
              <w:rPr>
                <w:rFonts w:ascii="Arial" w:hAnsi="Arial" w:cs="Arial"/>
                <w:b/>
                <w:bCs/>
              </w:rPr>
              <w:lastRenderedPageBreak/>
              <w:t>Effective tax rate calculation</w:t>
            </w:r>
          </w:p>
        </w:tc>
        <w:tc>
          <w:tcPr>
            <w:tcW w:w="935" w:type="dxa"/>
            <w:tcBorders>
              <w:top w:val="nil"/>
              <w:left w:val="nil"/>
              <w:bottom w:val="single" w:sz="8" w:space="0" w:color="auto"/>
              <w:right w:val="nil"/>
            </w:tcBorders>
            <w:tcMar>
              <w:top w:w="0" w:type="dxa"/>
              <w:left w:w="108" w:type="dxa"/>
              <w:bottom w:w="0" w:type="dxa"/>
              <w:right w:w="108" w:type="dxa"/>
            </w:tcMar>
            <w:hideMark/>
          </w:tcPr>
          <w:p w:rsidR="00997637" w:rsidRPr="00D22B7C" w:rsidRDefault="00997637" w:rsidP="00F24C8A">
            <w:pPr>
              <w:jc w:val="right"/>
              <w:rPr>
                <w:rFonts w:ascii="Arial" w:hAnsi="Arial" w:cs="Arial"/>
                <w:b/>
                <w:bCs/>
              </w:rPr>
            </w:pPr>
            <w:r w:rsidRPr="00D22B7C">
              <w:rPr>
                <w:rFonts w:ascii="Arial" w:hAnsi="Arial" w:cs="Arial"/>
                <w:b/>
                <w:bCs/>
              </w:rPr>
              <w:t>Profit</w:t>
            </w:r>
          </w:p>
          <w:p w:rsidR="00997637" w:rsidRPr="00D22B7C" w:rsidRDefault="00997637" w:rsidP="00F24C8A">
            <w:pPr>
              <w:jc w:val="right"/>
              <w:rPr>
                <w:rFonts w:ascii="Arial" w:hAnsi="Arial" w:cs="Arial"/>
                <w:b/>
                <w:bCs/>
              </w:rPr>
            </w:pPr>
            <w:r w:rsidRPr="00D22B7C">
              <w:rPr>
                <w:rFonts w:ascii="Arial" w:hAnsi="Arial" w:cs="Arial"/>
                <w:b/>
                <w:bCs/>
              </w:rPr>
              <w:t>£m</w:t>
            </w:r>
          </w:p>
        </w:tc>
        <w:tc>
          <w:tcPr>
            <w:tcW w:w="1340" w:type="dxa"/>
            <w:tcBorders>
              <w:top w:val="nil"/>
              <w:left w:val="nil"/>
              <w:bottom w:val="single" w:sz="8" w:space="0" w:color="auto"/>
              <w:right w:val="nil"/>
            </w:tcBorders>
            <w:tcMar>
              <w:top w:w="0" w:type="dxa"/>
              <w:left w:w="108" w:type="dxa"/>
              <w:bottom w:w="0" w:type="dxa"/>
              <w:right w:w="108" w:type="dxa"/>
            </w:tcMar>
            <w:hideMark/>
          </w:tcPr>
          <w:p w:rsidR="00997637" w:rsidRPr="00D22B7C" w:rsidRDefault="00997637" w:rsidP="00F24C8A">
            <w:pPr>
              <w:jc w:val="right"/>
              <w:rPr>
                <w:rFonts w:ascii="Arial" w:hAnsi="Arial" w:cs="Arial"/>
                <w:b/>
                <w:bCs/>
              </w:rPr>
            </w:pPr>
            <w:r w:rsidRPr="00D22B7C">
              <w:rPr>
                <w:rFonts w:ascii="Arial" w:hAnsi="Arial" w:cs="Arial"/>
                <w:b/>
                <w:bCs/>
              </w:rPr>
              <w:t xml:space="preserve">Tax </w:t>
            </w:r>
          </w:p>
          <w:p w:rsidR="00997637" w:rsidRPr="00D22B7C" w:rsidRDefault="00997637" w:rsidP="00F24C8A">
            <w:pPr>
              <w:jc w:val="right"/>
              <w:rPr>
                <w:rFonts w:ascii="Arial" w:hAnsi="Arial" w:cs="Arial"/>
                <w:b/>
                <w:bCs/>
              </w:rPr>
            </w:pPr>
            <w:r w:rsidRPr="00D22B7C">
              <w:rPr>
                <w:rFonts w:ascii="Arial" w:hAnsi="Arial" w:cs="Arial"/>
                <w:b/>
                <w:bCs/>
              </w:rPr>
              <w:t>£m</w:t>
            </w:r>
          </w:p>
        </w:tc>
        <w:tc>
          <w:tcPr>
            <w:tcW w:w="1207" w:type="dxa"/>
            <w:tcBorders>
              <w:top w:val="nil"/>
              <w:left w:val="nil"/>
              <w:bottom w:val="single" w:sz="8" w:space="0" w:color="auto"/>
              <w:right w:val="nil"/>
            </w:tcBorders>
            <w:tcMar>
              <w:top w:w="0" w:type="dxa"/>
              <w:left w:w="108" w:type="dxa"/>
              <w:bottom w:w="0" w:type="dxa"/>
              <w:right w:w="108" w:type="dxa"/>
            </w:tcMar>
            <w:hideMark/>
          </w:tcPr>
          <w:p w:rsidR="00997637" w:rsidRPr="00D22B7C" w:rsidRDefault="00997637" w:rsidP="00F24C8A">
            <w:pPr>
              <w:jc w:val="right"/>
              <w:rPr>
                <w:rFonts w:ascii="Arial" w:hAnsi="Arial" w:cs="Arial"/>
                <w:b/>
                <w:bCs/>
              </w:rPr>
            </w:pPr>
            <w:r w:rsidRPr="00D22B7C">
              <w:rPr>
                <w:rFonts w:ascii="Arial" w:hAnsi="Arial" w:cs="Arial"/>
                <w:b/>
                <w:bCs/>
              </w:rPr>
              <w:t>2016/17</w:t>
            </w:r>
          </w:p>
          <w:p w:rsidR="00997637" w:rsidRPr="00D22B7C" w:rsidRDefault="00997637" w:rsidP="00F24C8A">
            <w:pPr>
              <w:jc w:val="right"/>
              <w:rPr>
                <w:rFonts w:ascii="Arial" w:hAnsi="Arial" w:cs="Arial"/>
                <w:b/>
                <w:bCs/>
              </w:rPr>
            </w:pPr>
            <w:r w:rsidRPr="00D22B7C">
              <w:rPr>
                <w:rFonts w:ascii="Arial" w:hAnsi="Arial" w:cs="Arial"/>
                <w:b/>
                <w:bCs/>
              </w:rPr>
              <w:t>%</w:t>
            </w:r>
          </w:p>
        </w:tc>
        <w:tc>
          <w:tcPr>
            <w:tcW w:w="1207" w:type="dxa"/>
            <w:tcBorders>
              <w:top w:val="nil"/>
              <w:left w:val="nil"/>
              <w:bottom w:val="single" w:sz="8" w:space="0" w:color="auto"/>
              <w:right w:val="nil"/>
            </w:tcBorders>
            <w:tcMar>
              <w:top w:w="0" w:type="dxa"/>
              <w:left w:w="108" w:type="dxa"/>
              <w:bottom w:w="0" w:type="dxa"/>
              <w:right w:w="108" w:type="dxa"/>
            </w:tcMar>
            <w:hideMark/>
          </w:tcPr>
          <w:p w:rsidR="00997637" w:rsidRPr="00D22B7C" w:rsidRDefault="00997637" w:rsidP="00F24C8A">
            <w:pPr>
              <w:jc w:val="right"/>
              <w:rPr>
                <w:rFonts w:ascii="Arial" w:hAnsi="Arial" w:cs="Arial"/>
              </w:rPr>
            </w:pPr>
            <w:r w:rsidRPr="00D22B7C">
              <w:rPr>
                <w:rFonts w:ascii="Arial" w:hAnsi="Arial" w:cs="Arial"/>
              </w:rPr>
              <w:t>2015/16</w:t>
            </w:r>
          </w:p>
          <w:p w:rsidR="00997637" w:rsidRPr="00D22B7C" w:rsidRDefault="00997637" w:rsidP="00F24C8A">
            <w:pPr>
              <w:jc w:val="right"/>
              <w:rPr>
                <w:rFonts w:ascii="Arial" w:hAnsi="Arial" w:cs="Arial"/>
              </w:rPr>
            </w:pPr>
            <w:r w:rsidRPr="00D22B7C">
              <w:rPr>
                <w:rFonts w:ascii="Arial" w:hAnsi="Arial" w:cs="Arial"/>
              </w:rPr>
              <w:t>%</w:t>
            </w:r>
          </w:p>
        </w:tc>
      </w:tr>
      <w:tr w:rsidR="00997637" w:rsidRPr="00D22B7C" w:rsidTr="006F78D1">
        <w:trPr>
          <w:trHeight w:val="176"/>
        </w:trPr>
        <w:tc>
          <w:tcPr>
            <w:tcW w:w="4395" w:type="dxa"/>
            <w:tcMar>
              <w:top w:w="0" w:type="dxa"/>
              <w:left w:w="108" w:type="dxa"/>
              <w:bottom w:w="0" w:type="dxa"/>
              <w:right w:w="108" w:type="dxa"/>
            </w:tcMar>
            <w:hideMark/>
          </w:tcPr>
          <w:p w:rsidR="00997637" w:rsidRPr="00C36E6F" w:rsidRDefault="00997637" w:rsidP="00F24C8A">
            <w:pPr>
              <w:rPr>
                <w:rFonts w:ascii="Arial" w:hAnsi="Arial" w:cs="Arial"/>
              </w:rPr>
            </w:pPr>
            <w:r w:rsidRPr="00C36E6F">
              <w:rPr>
                <w:rFonts w:ascii="Arial" w:hAnsi="Arial" w:cs="Arial"/>
              </w:rPr>
              <w:t>Profit before tax and exceptional items</w:t>
            </w:r>
          </w:p>
        </w:tc>
        <w:tc>
          <w:tcPr>
            <w:tcW w:w="935" w:type="dxa"/>
            <w:tcMar>
              <w:top w:w="0" w:type="dxa"/>
              <w:left w:w="108" w:type="dxa"/>
              <w:bottom w:w="0" w:type="dxa"/>
              <w:right w:w="108" w:type="dxa"/>
            </w:tcMar>
            <w:hideMark/>
          </w:tcPr>
          <w:p w:rsidR="00997637" w:rsidRPr="00C36E6F" w:rsidRDefault="00D22B7C" w:rsidP="00F24C8A">
            <w:pPr>
              <w:jc w:val="right"/>
              <w:rPr>
                <w:rFonts w:ascii="Arial" w:hAnsi="Arial" w:cs="Arial"/>
              </w:rPr>
            </w:pPr>
            <w:r w:rsidRPr="00C36E6F">
              <w:rPr>
                <w:rFonts w:ascii="Arial" w:hAnsi="Arial" w:cs="Arial"/>
              </w:rPr>
              <w:t>74</w:t>
            </w:r>
            <w:r w:rsidR="00743D22">
              <w:rPr>
                <w:rFonts w:ascii="Arial" w:hAnsi="Arial" w:cs="Arial"/>
              </w:rPr>
              <w:t>2</w:t>
            </w:r>
          </w:p>
        </w:tc>
        <w:tc>
          <w:tcPr>
            <w:tcW w:w="1340" w:type="dxa"/>
            <w:tcMar>
              <w:top w:w="0" w:type="dxa"/>
              <w:left w:w="108" w:type="dxa"/>
              <w:bottom w:w="0" w:type="dxa"/>
              <w:right w:w="108" w:type="dxa"/>
            </w:tcMar>
            <w:hideMark/>
          </w:tcPr>
          <w:p w:rsidR="00997637" w:rsidRPr="00C36E6F" w:rsidRDefault="00997637" w:rsidP="00F24C8A">
            <w:pPr>
              <w:jc w:val="right"/>
              <w:rPr>
                <w:rFonts w:ascii="Arial" w:hAnsi="Arial" w:cs="Arial"/>
              </w:rPr>
            </w:pPr>
            <w:r w:rsidRPr="00C36E6F">
              <w:rPr>
                <w:rFonts w:ascii="Arial" w:hAnsi="Arial" w:cs="Arial"/>
              </w:rPr>
              <w:t>(</w:t>
            </w:r>
            <w:r w:rsidR="00D22B7C" w:rsidRPr="00C36E6F">
              <w:rPr>
                <w:rFonts w:ascii="Arial" w:hAnsi="Arial" w:cs="Arial"/>
              </w:rPr>
              <w:t>19</w:t>
            </w:r>
            <w:r w:rsidR="004B3EA9">
              <w:rPr>
                <w:rFonts w:ascii="Arial" w:hAnsi="Arial" w:cs="Arial"/>
              </w:rPr>
              <w:t>2</w:t>
            </w:r>
            <w:r w:rsidRPr="00C36E6F">
              <w:rPr>
                <w:rFonts w:ascii="Arial" w:hAnsi="Arial" w:cs="Arial"/>
              </w:rPr>
              <w:t>)</w:t>
            </w:r>
          </w:p>
        </w:tc>
        <w:tc>
          <w:tcPr>
            <w:tcW w:w="1207" w:type="dxa"/>
            <w:tcMar>
              <w:top w:w="0" w:type="dxa"/>
              <w:left w:w="108" w:type="dxa"/>
              <w:bottom w:w="0" w:type="dxa"/>
              <w:right w:w="108" w:type="dxa"/>
            </w:tcMar>
            <w:hideMark/>
          </w:tcPr>
          <w:p w:rsidR="00997637" w:rsidRPr="00C36E6F" w:rsidRDefault="00D22B7C" w:rsidP="00F24C8A">
            <w:pPr>
              <w:jc w:val="right"/>
              <w:rPr>
                <w:rFonts w:ascii="Arial" w:hAnsi="Arial" w:cs="Arial"/>
              </w:rPr>
            </w:pPr>
            <w:r w:rsidRPr="00C36E6F">
              <w:rPr>
                <w:rFonts w:ascii="Arial" w:hAnsi="Arial" w:cs="Arial"/>
              </w:rPr>
              <w:t>26</w:t>
            </w:r>
            <w:r w:rsidR="00997637" w:rsidRPr="00C36E6F">
              <w:rPr>
                <w:rFonts w:ascii="Arial" w:hAnsi="Arial" w:cs="Arial"/>
              </w:rPr>
              <w:t>%</w:t>
            </w:r>
          </w:p>
        </w:tc>
        <w:tc>
          <w:tcPr>
            <w:tcW w:w="1207" w:type="dxa"/>
            <w:tcMar>
              <w:top w:w="0" w:type="dxa"/>
              <w:left w:w="108" w:type="dxa"/>
              <w:bottom w:w="0" w:type="dxa"/>
              <w:right w:w="108" w:type="dxa"/>
            </w:tcMar>
            <w:hideMark/>
          </w:tcPr>
          <w:p w:rsidR="00997637" w:rsidRPr="00D22B7C" w:rsidRDefault="00997637" w:rsidP="00F24C8A">
            <w:pPr>
              <w:jc w:val="right"/>
              <w:rPr>
                <w:rFonts w:ascii="Arial" w:hAnsi="Arial" w:cs="Arial"/>
              </w:rPr>
            </w:pPr>
            <w:r w:rsidRPr="00D22B7C">
              <w:rPr>
                <w:rFonts w:ascii="Arial" w:hAnsi="Arial" w:cs="Arial"/>
              </w:rPr>
              <w:t>26%</w:t>
            </w:r>
          </w:p>
        </w:tc>
      </w:tr>
      <w:tr w:rsidR="00997637" w:rsidRPr="00D22B7C" w:rsidTr="006F78D1">
        <w:trPr>
          <w:trHeight w:val="185"/>
        </w:trPr>
        <w:tc>
          <w:tcPr>
            <w:tcW w:w="4395" w:type="dxa"/>
            <w:tcMar>
              <w:top w:w="0" w:type="dxa"/>
              <w:left w:w="108" w:type="dxa"/>
              <w:bottom w:w="0" w:type="dxa"/>
              <w:right w:w="108" w:type="dxa"/>
            </w:tcMar>
            <w:hideMark/>
          </w:tcPr>
          <w:p w:rsidR="00997637" w:rsidRPr="00C36E6F" w:rsidRDefault="00997637" w:rsidP="00F24C8A">
            <w:pPr>
              <w:rPr>
                <w:rFonts w:ascii="Arial" w:hAnsi="Arial" w:cs="Arial"/>
              </w:rPr>
            </w:pPr>
            <w:r w:rsidRPr="00C36E6F">
              <w:rPr>
                <w:rFonts w:ascii="Arial" w:hAnsi="Arial" w:cs="Arial"/>
              </w:rPr>
              <w:t>Exceptional items</w:t>
            </w:r>
          </w:p>
        </w:tc>
        <w:tc>
          <w:tcPr>
            <w:tcW w:w="935" w:type="dxa"/>
            <w:tcMar>
              <w:top w:w="0" w:type="dxa"/>
              <w:left w:w="108" w:type="dxa"/>
              <w:bottom w:w="0" w:type="dxa"/>
              <w:right w:w="108" w:type="dxa"/>
            </w:tcMar>
            <w:hideMark/>
          </w:tcPr>
          <w:p w:rsidR="00997637" w:rsidRPr="00C36E6F" w:rsidRDefault="00D22B7C" w:rsidP="00F24C8A">
            <w:pPr>
              <w:jc w:val="right"/>
              <w:rPr>
                <w:rFonts w:ascii="Arial" w:hAnsi="Arial" w:cs="Arial"/>
              </w:rPr>
            </w:pPr>
            <w:r w:rsidRPr="00C36E6F">
              <w:rPr>
                <w:rFonts w:ascii="Arial" w:hAnsi="Arial" w:cs="Arial"/>
              </w:rPr>
              <w:t>1</w:t>
            </w:r>
            <w:r w:rsidR="004D1733">
              <w:rPr>
                <w:rFonts w:ascii="Arial" w:hAnsi="Arial" w:cs="Arial"/>
              </w:rPr>
              <w:t>7</w:t>
            </w:r>
          </w:p>
        </w:tc>
        <w:tc>
          <w:tcPr>
            <w:tcW w:w="1340" w:type="dxa"/>
            <w:tcMar>
              <w:top w:w="0" w:type="dxa"/>
              <w:left w:w="108" w:type="dxa"/>
              <w:bottom w:w="0" w:type="dxa"/>
              <w:right w:w="108" w:type="dxa"/>
            </w:tcMar>
            <w:hideMark/>
          </w:tcPr>
          <w:p w:rsidR="00997637" w:rsidRPr="00C36E6F" w:rsidRDefault="00997637" w:rsidP="00F24C8A">
            <w:pPr>
              <w:jc w:val="right"/>
              <w:rPr>
                <w:rFonts w:ascii="Arial" w:hAnsi="Arial" w:cs="Arial"/>
              </w:rPr>
            </w:pPr>
            <w:r w:rsidRPr="00C36E6F">
              <w:rPr>
                <w:rFonts w:ascii="Arial" w:hAnsi="Arial" w:cs="Arial"/>
              </w:rPr>
              <w:t>(</w:t>
            </w:r>
            <w:r w:rsidR="004D1733">
              <w:rPr>
                <w:rFonts w:ascii="Arial" w:hAnsi="Arial" w:cs="Arial"/>
              </w:rPr>
              <w:t>6</w:t>
            </w:r>
            <w:r w:rsidRPr="00C36E6F">
              <w:rPr>
                <w:rFonts w:ascii="Arial" w:hAnsi="Arial" w:cs="Arial"/>
              </w:rPr>
              <w:t>)</w:t>
            </w:r>
          </w:p>
        </w:tc>
        <w:tc>
          <w:tcPr>
            <w:tcW w:w="1207" w:type="dxa"/>
            <w:tcMar>
              <w:top w:w="0" w:type="dxa"/>
              <w:left w:w="108" w:type="dxa"/>
              <w:bottom w:w="0" w:type="dxa"/>
              <w:right w:w="108" w:type="dxa"/>
            </w:tcMar>
          </w:tcPr>
          <w:p w:rsidR="00997637" w:rsidRPr="00C36E6F" w:rsidRDefault="00997637" w:rsidP="00F24C8A">
            <w:pPr>
              <w:jc w:val="right"/>
              <w:rPr>
                <w:rFonts w:ascii="Arial" w:hAnsi="Arial" w:cs="Arial"/>
                <w:b/>
                <w:bCs/>
              </w:rPr>
            </w:pPr>
          </w:p>
        </w:tc>
        <w:tc>
          <w:tcPr>
            <w:tcW w:w="1207" w:type="dxa"/>
            <w:tcMar>
              <w:top w:w="0" w:type="dxa"/>
              <w:left w:w="108" w:type="dxa"/>
              <w:bottom w:w="0" w:type="dxa"/>
              <w:right w:w="108" w:type="dxa"/>
            </w:tcMar>
          </w:tcPr>
          <w:p w:rsidR="00997637" w:rsidRPr="00D22B7C" w:rsidRDefault="00997637" w:rsidP="00F24C8A">
            <w:pPr>
              <w:jc w:val="right"/>
              <w:rPr>
                <w:rFonts w:ascii="Arial" w:hAnsi="Arial" w:cs="Arial"/>
              </w:rPr>
            </w:pPr>
          </w:p>
        </w:tc>
      </w:tr>
      <w:tr w:rsidR="00997637" w:rsidRPr="00D22B7C" w:rsidTr="006F78D1">
        <w:trPr>
          <w:trHeight w:val="311"/>
        </w:trPr>
        <w:tc>
          <w:tcPr>
            <w:tcW w:w="4395" w:type="dxa"/>
            <w:tcBorders>
              <w:top w:val="nil"/>
              <w:left w:val="nil"/>
              <w:bottom w:val="single" w:sz="8" w:space="0" w:color="auto"/>
              <w:right w:val="nil"/>
            </w:tcBorders>
            <w:tcMar>
              <w:top w:w="0" w:type="dxa"/>
              <w:left w:w="108" w:type="dxa"/>
              <w:bottom w:w="0" w:type="dxa"/>
              <w:right w:w="108" w:type="dxa"/>
            </w:tcMar>
            <w:hideMark/>
          </w:tcPr>
          <w:p w:rsidR="00997637" w:rsidRPr="00C36E6F" w:rsidRDefault="00997637" w:rsidP="00F24C8A">
            <w:pPr>
              <w:rPr>
                <w:rFonts w:ascii="Arial" w:hAnsi="Arial" w:cs="Arial"/>
              </w:rPr>
            </w:pPr>
            <w:r w:rsidRPr="00C36E6F">
              <w:rPr>
                <w:rFonts w:ascii="Arial" w:hAnsi="Arial" w:cs="Arial"/>
              </w:rPr>
              <w:t>Prior year items</w:t>
            </w:r>
          </w:p>
        </w:tc>
        <w:tc>
          <w:tcPr>
            <w:tcW w:w="935" w:type="dxa"/>
            <w:tcBorders>
              <w:top w:val="nil"/>
              <w:left w:val="nil"/>
              <w:bottom w:val="single" w:sz="8" w:space="0" w:color="auto"/>
              <w:right w:val="nil"/>
            </w:tcBorders>
            <w:tcMar>
              <w:top w:w="0" w:type="dxa"/>
              <w:left w:w="108" w:type="dxa"/>
              <w:bottom w:w="0" w:type="dxa"/>
              <w:right w:w="108" w:type="dxa"/>
            </w:tcMar>
          </w:tcPr>
          <w:p w:rsidR="00997637" w:rsidRPr="00C36E6F" w:rsidRDefault="00997637" w:rsidP="00F24C8A">
            <w:pPr>
              <w:jc w:val="right"/>
              <w:rPr>
                <w:rFonts w:ascii="Arial" w:hAnsi="Arial" w:cs="Arial"/>
                <w:b/>
                <w:bCs/>
              </w:rPr>
            </w:pPr>
          </w:p>
        </w:tc>
        <w:tc>
          <w:tcPr>
            <w:tcW w:w="1340" w:type="dxa"/>
            <w:tcBorders>
              <w:top w:val="nil"/>
              <w:left w:val="nil"/>
              <w:bottom w:val="single" w:sz="8" w:space="0" w:color="auto"/>
              <w:right w:val="nil"/>
            </w:tcBorders>
            <w:tcMar>
              <w:top w:w="0" w:type="dxa"/>
              <w:left w:w="108" w:type="dxa"/>
              <w:bottom w:w="0" w:type="dxa"/>
              <w:right w:w="108" w:type="dxa"/>
            </w:tcMar>
            <w:hideMark/>
          </w:tcPr>
          <w:p w:rsidR="00997637" w:rsidRPr="00C36E6F" w:rsidRDefault="004B3EA9" w:rsidP="00F24C8A">
            <w:pPr>
              <w:jc w:val="right"/>
              <w:rPr>
                <w:rFonts w:ascii="Arial" w:hAnsi="Arial" w:cs="Arial"/>
              </w:rPr>
            </w:pPr>
            <w:r>
              <w:rPr>
                <w:rFonts w:ascii="Arial" w:hAnsi="Arial" w:cs="Arial"/>
              </w:rPr>
              <w:t>49</w:t>
            </w:r>
          </w:p>
        </w:tc>
        <w:tc>
          <w:tcPr>
            <w:tcW w:w="1207" w:type="dxa"/>
            <w:tcBorders>
              <w:top w:val="nil"/>
              <w:left w:val="nil"/>
              <w:bottom w:val="single" w:sz="8" w:space="0" w:color="auto"/>
              <w:right w:val="nil"/>
            </w:tcBorders>
            <w:tcMar>
              <w:top w:w="0" w:type="dxa"/>
              <w:left w:w="108" w:type="dxa"/>
              <w:bottom w:w="0" w:type="dxa"/>
              <w:right w:w="108" w:type="dxa"/>
            </w:tcMar>
          </w:tcPr>
          <w:p w:rsidR="00997637" w:rsidRPr="00C36E6F" w:rsidRDefault="00997637" w:rsidP="00F24C8A">
            <w:pPr>
              <w:jc w:val="right"/>
              <w:rPr>
                <w:rFonts w:ascii="Arial" w:hAnsi="Arial" w:cs="Arial"/>
                <w:b/>
                <w:bCs/>
              </w:rPr>
            </w:pPr>
          </w:p>
        </w:tc>
        <w:tc>
          <w:tcPr>
            <w:tcW w:w="1207" w:type="dxa"/>
            <w:tcBorders>
              <w:top w:val="nil"/>
              <w:left w:val="nil"/>
              <w:bottom w:val="single" w:sz="8" w:space="0" w:color="auto"/>
              <w:right w:val="nil"/>
            </w:tcBorders>
            <w:tcMar>
              <w:top w:w="0" w:type="dxa"/>
              <w:left w:w="108" w:type="dxa"/>
              <w:bottom w:w="0" w:type="dxa"/>
              <w:right w:w="108" w:type="dxa"/>
            </w:tcMar>
          </w:tcPr>
          <w:p w:rsidR="00997637" w:rsidRPr="00D22B7C" w:rsidRDefault="00997637" w:rsidP="00F24C8A">
            <w:pPr>
              <w:jc w:val="right"/>
              <w:rPr>
                <w:rFonts w:ascii="Arial" w:hAnsi="Arial" w:cs="Arial"/>
              </w:rPr>
            </w:pPr>
          </w:p>
        </w:tc>
      </w:tr>
      <w:tr w:rsidR="00997637" w:rsidRPr="00A845B7" w:rsidTr="006F78D1">
        <w:trPr>
          <w:trHeight w:val="329"/>
        </w:trPr>
        <w:tc>
          <w:tcPr>
            <w:tcW w:w="4395" w:type="dxa"/>
            <w:tcBorders>
              <w:top w:val="nil"/>
              <w:left w:val="nil"/>
              <w:bottom w:val="single" w:sz="8" w:space="0" w:color="auto"/>
              <w:right w:val="nil"/>
            </w:tcBorders>
            <w:tcMar>
              <w:top w:w="0" w:type="dxa"/>
              <w:left w:w="108" w:type="dxa"/>
              <w:bottom w:w="0" w:type="dxa"/>
              <w:right w:w="108" w:type="dxa"/>
            </w:tcMar>
            <w:hideMark/>
          </w:tcPr>
          <w:p w:rsidR="00997637" w:rsidRPr="00C36E6F" w:rsidRDefault="00997637" w:rsidP="00F24C8A">
            <w:pPr>
              <w:rPr>
                <w:rFonts w:ascii="Arial" w:hAnsi="Arial" w:cs="Arial"/>
                <w:b/>
                <w:bCs/>
              </w:rPr>
            </w:pPr>
            <w:r w:rsidRPr="00C36E6F">
              <w:rPr>
                <w:rFonts w:ascii="Arial" w:hAnsi="Arial" w:cs="Arial"/>
                <w:b/>
                <w:bCs/>
              </w:rPr>
              <w:t>Total – overall</w:t>
            </w:r>
          </w:p>
        </w:tc>
        <w:tc>
          <w:tcPr>
            <w:tcW w:w="935" w:type="dxa"/>
            <w:tcBorders>
              <w:top w:val="nil"/>
              <w:left w:val="nil"/>
              <w:bottom w:val="single" w:sz="8" w:space="0" w:color="auto"/>
              <w:right w:val="nil"/>
            </w:tcBorders>
            <w:tcMar>
              <w:top w:w="0" w:type="dxa"/>
              <w:left w:w="108" w:type="dxa"/>
              <w:bottom w:w="0" w:type="dxa"/>
              <w:right w:w="108" w:type="dxa"/>
            </w:tcMar>
            <w:hideMark/>
          </w:tcPr>
          <w:p w:rsidR="00997637" w:rsidRPr="00C36E6F" w:rsidRDefault="00D22B7C" w:rsidP="00F24C8A">
            <w:pPr>
              <w:jc w:val="right"/>
              <w:rPr>
                <w:rFonts w:ascii="Arial" w:hAnsi="Arial" w:cs="Arial"/>
                <w:b/>
                <w:bCs/>
              </w:rPr>
            </w:pPr>
            <w:r w:rsidRPr="00C36E6F">
              <w:rPr>
                <w:rFonts w:ascii="Arial" w:hAnsi="Arial" w:cs="Arial"/>
                <w:b/>
                <w:bCs/>
              </w:rPr>
              <w:t>759</w:t>
            </w:r>
          </w:p>
        </w:tc>
        <w:tc>
          <w:tcPr>
            <w:tcW w:w="1340" w:type="dxa"/>
            <w:tcBorders>
              <w:top w:val="nil"/>
              <w:left w:val="nil"/>
              <w:bottom w:val="single" w:sz="8" w:space="0" w:color="auto"/>
              <w:right w:val="nil"/>
            </w:tcBorders>
            <w:tcMar>
              <w:top w:w="0" w:type="dxa"/>
              <w:left w:w="108" w:type="dxa"/>
              <w:bottom w:w="0" w:type="dxa"/>
              <w:right w:w="108" w:type="dxa"/>
            </w:tcMar>
            <w:hideMark/>
          </w:tcPr>
          <w:p w:rsidR="00997637" w:rsidRPr="00C36E6F" w:rsidRDefault="00997637" w:rsidP="00F24C8A">
            <w:pPr>
              <w:jc w:val="right"/>
              <w:rPr>
                <w:rFonts w:ascii="Arial" w:hAnsi="Arial" w:cs="Arial"/>
                <w:b/>
                <w:bCs/>
              </w:rPr>
            </w:pPr>
            <w:r w:rsidRPr="00C36E6F">
              <w:rPr>
                <w:rFonts w:ascii="Arial" w:hAnsi="Arial" w:cs="Arial"/>
                <w:b/>
                <w:bCs/>
              </w:rPr>
              <w:t>(</w:t>
            </w:r>
            <w:r w:rsidR="00D22B7C" w:rsidRPr="00C36E6F">
              <w:rPr>
                <w:rFonts w:ascii="Arial" w:hAnsi="Arial" w:cs="Arial"/>
                <w:b/>
                <w:bCs/>
              </w:rPr>
              <w:t>149</w:t>
            </w:r>
            <w:r w:rsidRPr="00C36E6F">
              <w:rPr>
                <w:rFonts w:ascii="Arial" w:hAnsi="Arial" w:cs="Arial"/>
                <w:b/>
                <w:bCs/>
              </w:rPr>
              <w:t>)</w:t>
            </w:r>
          </w:p>
        </w:tc>
        <w:tc>
          <w:tcPr>
            <w:tcW w:w="1207" w:type="dxa"/>
            <w:tcBorders>
              <w:top w:val="nil"/>
              <w:left w:val="nil"/>
              <w:bottom w:val="single" w:sz="8" w:space="0" w:color="auto"/>
              <w:right w:val="nil"/>
            </w:tcBorders>
            <w:tcMar>
              <w:top w:w="0" w:type="dxa"/>
              <w:left w:w="108" w:type="dxa"/>
              <w:bottom w:w="0" w:type="dxa"/>
              <w:right w:w="108" w:type="dxa"/>
            </w:tcMar>
            <w:hideMark/>
          </w:tcPr>
          <w:p w:rsidR="00997637" w:rsidRPr="00C36E6F" w:rsidRDefault="00D22B7C" w:rsidP="00F24C8A">
            <w:pPr>
              <w:jc w:val="right"/>
              <w:rPr>
                <w:rFonts w:ascii="Arial" w:hAnsi="Arial" w:cs="Arial"/>
                <w:b/>
                <w:bCs/>
              </w:rPr>
            </w:pPr>
            <w:r w:rsidRPr="00C36E6F">
              <w:rPr>
                <w:rFonts w:ascii="Arial" w:hAnsi="Arial" w:cs="Arial"/>
                <w:b/>
                <w:bCs/>
              </w:rPr>
              <w:t>20</w:t>
            </w:r>
            <w:r w:rsidR="00997637" w:rsidRPr="00C36E6F">
              <w:rPr>
                <w:rFonts w:ascii="Arial" w:hAnsi="Arial" w:cs="Arial"/>
                <w:b/>
                <w:bCs/>
              </w:rPr>
              <w:t>%</w:t>
            </w:r>
          </w:p>
        </w:tc>
        <w:tc>
          <w:tcPr>
            <w:tcW w:w="1207" w:type="dxa"/>
            <w:tcBorders>
              <w:top w:val="nil"/>
              <w:left w:val="nil"/>
              <w:bottom w:val="single" w:sz="8" w:space="0" w:color="auto"/>
              <w:right w:val="nil"/>
            </w:tcBorders>
            <w:tcMar>
              <w:top w:w="0" w:type="dxa"/>
              <w:left w:w="108" w:type="dxa"/>
              <w:bottom w:w="0" w:type="dxa"/>
              <w:right w:w="108" w:type="dxa"/>
            </w:tcMar>
            <w:hideMark/>
          </w:tcPr>
          <w:p w:rsidR="00997637" w:rsidRPr="00A845B7" w:rsidRDefault="00997637" w:rsidP="00F24C8A">
            <w:pPr>
              <w:jc w:val="right"/>
              <w:rPr>
                <w:rFonts w:ascii="Arial" w:hAnsi="Arial" w:cs="Arial"/>
                <w:bCs/>
              </w:rPr>
            </w:pPr>
            <w:r w:rsidRPr="00D22B7C">
              <w:rPr>
                <w:rFonts w:ascii="Arial" w:hAnsi="Arial" w:cs="Arial"/>
                <w:bCs/>
              </w:rPr>
              <w:t>20%</w:t>
            </w:r>
          </w:p>
        </w:tc>
      </w:tr>
    </w:tbl>
    <w:p w:rsidR="00997637" w:rsidRDefault="00997637" w:rsidP="00997637">
      <w:pPr>
        <w:rPr>
          <w:rFonts w:ascii="Arial" w:hAnsi="Arial" w:cs="Arial"/>
          <w:sz w:val="24"/>
          <w:szCs w:val="24"/>
        </w:rPr>
      </w:pPr>
    </w:p>
    <w:p w:rsidR="00D5261F" w:rsidRPr="00D5261F" w:rsidRDefault="00D5261F" w:rsidP="00A845B7">
      <w:pPr>
        <w:spacing w:after="160" w:line="259" w:lineRule="auto"/>
        <w:jc w:val="left"/>
        <w:rPr>
          <w:rFonts w:ascii="Arial" w:hAnsi="Arial" w:cs="Arial"/>
          <w:sz w:val="24"/>
        </w:rPr>
      </w:pPr>
      <w:r w:rsidRPr="00D5261F">
        <w:rPr>
          <w:rFonts w:ascii="Arial" w:hAnsi="Arial" w:cs="Arial"/>
        </w:rPr>
        <w:t>The tax rates for this financial year and the expected rates for next year in our main jurisdictions are as follows: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2700"/>
        <w:gridCol w:w="2702"/>
      </w:tblGrid>
      <w:tr w:rsidR="00D5261F" w:rsidRPr="00A845B7" w:rsidTr="00D5261F">
        <w:trPr>
          <w:trHeight w:val="540"/>
        </w:trPr>
        <w:tc>
          <w:tcPr>
            <w:tcW w:w="3620" w:type="dxa"/>
            <w:tcBorders>
              <w:bottom w:val="single" w:sz="4" w:space="0" w:color="auto"/>
            </w:tcBorders>
            <w:vAlign w:val="bottom"/>
          </w:tcPr>
          <w:p w:rsidR="00D5261F" w:rsidRPr="00A845B7" w:rsidRDefault="00D5261F" w:rsidP="00D5261F">
            <w:pPr>
              <w:jc w:val="left"/>
              <w:rPr>
                <w:rFonts w:ascii="Arial" w:hAnsi="Arial" w:cs="Arial"/>
                <w:b/>
              </w:rPr>
            </w:pPr>
          </w:p>
        </w:tc>
        <w:tc>
          <w:tcPr>
            <w:tcW w:w="2700" w:type="dxa"/>
            <w:tcBorders>
              <w:bottom w:val="single" w:sz="4" w:space="0" w:color="auto"/>
            </w:tcBorders>
          </w:tcPr>
          <w:p w:rsidR="00D5261F" w:rsidRPr="00A845B7" w:rsidRDefault="00D5261F" w:rsidP="00D5261F">
            <w:pPr>
              <w:jc w:val="right"/>
              <w:rPr>
                <w:rFonts w:ascii="Arial" w:hAnsi="Arial" w:cs="Arial"/>
                <w:b/>
              </w:rPr>
            </w:pPr>
            <w:r w:rsidRPr="00A845B7">
              <w:rPr>
                <w:rFonts w:ascii="Arial" w:hAnsi="Arial" w:cs="Arial"/>
                <w:b/>
              </w:rPr>
              <w:t>Statutory tax rate</w:t>
            </w:r>
          </w:p>
          <w:p w:rsidR="00D5261F" w:rsidRPr="00A845B7" w:rsidRDefault="00D5261F" w:rsidP="00D5261F">
            <w:pPr>
              <w:jc w:val="right"/>
              <w:rPr>
                <w:rFonts w:ascii="Arial" w:hAnsi="Arial" w:cs="Arial"/>
                <w:b/>
              </w:rPr>
            </w:pPr>
            <w:r w:rsidRPr="00A845B7">
              <w:rPr>
                <w:rFonts w:ascii="Arial" w:hAnsi="Arial" w:cs="Arial"/>
                <w:b/>
              </w:rPr>
              <w:t>2017/18</w:t>
            </w:r>
          </w:p>
        </w:tc>
        <w:tc>
          <w:tcPr>
            <w:tcW w:w="2702" w:type="dxa"/>
            <w:tcBorders>
              <w:bottom w:val="single" w:sz="4" w:space="0" w:color="auto"/>
            </w:tcBorders>
          </w:tcPr>
          <w:p w:rsidR="00D5261F" w:rsidRPr="00A845B7" w:rsidRDefault="00D5261F" w:rsidP="00D5261F">
            <w:pPr>
              <w:jc w:val="right"/>
              <w:rPr>
                <w:rFonts w:ascii="Arial" w:hAnsi="Arial" w:cs="Arial"/>
              </w:rPr>
            </w:pPr>
            <w:r w:rsidRPr="00A845B7">
              <w:rPr>
                <w:rFonts w:ascii="Arial" w:hAnsi="Arial" w:cs="Arial"/>
              </w:rPr>
              <w:t>Statutory tax rate</w:t>
            </w:r>
          </w:p>
          <w:p w:rsidR="00D5261F" w:rsidRPr="00A845B7" w:rsidRDefault="00D5261F" w:rsidP="00D5261F">
            <w:pPr>
              <w:jc w:val="right"/>
              <w:rPr>
                <w:rFonts w:ascii="Arial" w:hAnsi="Arial" w:cs="Arial"/>
              </w:rPr>
            </w:pPr>
            <w:r w:rsidRPr="00A845B7">
              <w:rPr>
                <w:rFonts w:ascii="Arial" w:hAnsi="Arial" w:cs="Arial"/>
              </w:rPr>
              <w:t>2016/17</w:t>
            </w:r>
          </w:p>
        </w:tc>
      </w:tr>
      <w:tr w:rsidR="00D5261F" w:rsidRPr="00A845B7" w:rsidTr="00D5261F">
        <w:trPr>
          <w:trHeight w:val="193"/>
        </w:trPr>
        <w:tc>
          <w:tcPr>
            <w:tcW w:w="3620" w:type="dxa"/>
            <w:tcBorders>
              <w:top w:val="single" w:sz="4" w:space="0" w:color="auto"/>
            </w:tcBorders>
          </w:tcPr>
          <w:p w:rsidR="00D5261F" w:rsidRPr="00A845B7" w:rsidRDefault="00D5261F" w:rsidP="00D5261F">
            <w:pPr>
              <w:jc w:val="left"/>
              <w:rPr>
                <w:rFonts w:ascii="Arial" w:hAnsi="Arial" w:cs="Arial"/>
              </w:rPr>
            </w:pPr>
            <w:r w:rsidRPr="00A845B7">
              <w:rPr>
                <w:rFonts w:ascii="Arial" w:hAnsi="Arial" w:cs="Arial"/>
              </w:rPr>
              <w:t>UK</w:t>
            </w:r>
          </w:p>
        </w:tc>
        <w:tc>
          <w:tcPr>
            <w:tcW w:w="2700" w:type="dxa"/>
            <w:tcBorders>
              <w:top w:val="single" w:sz="4" w:space="0" w:color="auto"/>
            </w:tcBorders>
          </w:tcPr>
          <w:p w:rsidR="00D5261F" w:rsidRPr="00A845B7" w:rsidRDefault="00D5261F" w:rsidP="00D5261F">
            <w:pPr>
              <w:jc w:val="right"/>
              <w:rPr>
                <w:rFonts w:ascii="Arial" w:hAnsi="Arial" w:cs="Arial"/>
              </w:rPr>
            </w:pPr>
            <w:r w:rsidRPr="00A845B7">
              <w:rPr>
                <w:rFonts w:ascii="Arial" w:hAnsi="Arial" w:cs="Arial"/>
              </w:rPr>
              <w:t>19%</w:t>
            </w:r>
          </w:p>
        </w:tc>
        <w:tc>
          <w:tcPr>
            <w:tcW w:w="2702" w:type="dxa"/>
            <w:tcBorders>
              <w:top w:val="single" w:sz="4" w:space="0" w:color="auto"/>
            </w:tcBorders>
          </w:tcPr>
          <w:p w:rsidR="00D5261F" w:rsidRPr="00A845B7" w:rsidRDefault="00D5261F" w:rsidP="00D5261F">
            <w:pPr>
              <w:jc w:val="right"/>
              <w:rPr>
                <w:rFonts w:ascii="Arial" w:hAnsi="Arial" w:cs="Arial"/>
              </w:rPr>
            </w:pPr>
            <w:r w:rsidRPr="00A845B7">
              <w:rPr>
                <w:rFonts w:ascii="Arial" w:hAnsi="Arial" w:cs="Arial"/>
              </w:rPr>
              <w:t>20%</w:t>
            </w:r>
          </w:p>
        </w:tc>
      </w:tr>
      <w:tr w:rsidR="00D5261F" w:rsidRPr="00A845B7" w:rsidTr="00D5261F">
        <w:trPr>
          <w:trHeight w:val="270"/>
        </w:trPr>
        <w:tc>
          <w:tcPr>
            <w:tcW w:w="3620" w:type="dxa"/>
          </w:tcPr>
          <w:p w:rsidR="00D5261F" w:rsidRPr="00A845B7" w:rsidRDefault="00D5261F" w:rsidP="00D5261F">
            <w:pPr>
              <w:jc w:val="left"/>
              <w:rPr>
                <w:rFonts w:ascii="Arial" w:hAnsi="Arial" w:cs="Arial"/>
              </w:rPr>
            </w:pPr>
            <w:r w:rsidRPr="00A845B7">
              <w:rPr>
                <w:rFonts w:ascii="Arial" w:hAnsi="Arial" w:cs="Arial"/>
              </w:rPr>
              <w:t>France</w:t>
            </w:r>
          </w:p>
        </w:tc>
        <w:tc>
          <w:tcPr>
            <w:tcW w:w="2700" w:type="dxa"/>
          </w:tcPr>
          <w:p w:rsidR="00D5261F" w:rsidRPr="00A845B7" w:rsidRDefault="00D5261F" w:rsidP="00D5261F">
            <w:pPr>
              <w:jc w:val="right"/>
              <w:rPr>
                <w:rFonts w:ascii="Arial" w:hAnsi="Arial" w:cs="Arial"/>
              </w:rPr>
            </w:pPr>
            <w:r w:rsidRPr="00A845B7">
              <w:rPr>
                <w:rFonts w:ascii="Arial" w:hAnsi="Arial" w:cs="Arial"/>
              </w:rPr>
              <w:t>34%</w:t>
            </w:r>
          </w:p>
        </w:tc>
        <w:tc>
          <w:tcPr>
            <w:tcW w:w="2702" w:type="dxa"/>
          </w:tcPr>
          <w:p w:rsidR="00D5261F" w:rsidRPr="00A845B7" w:rsidRDefault="00D5261F" w:rsidP="00D5261F">
            <w:pPr>
              <w:jc w:val="right"/>
              <w:rPr>
                <w:rFonts w:ascii="Arial" w:hAnsi="Arial" w:cs="Arial"/>
              </w:rPr>
            </w:pPr>
            <w:r w:rsidRPr="00A845B7">
              <w:rPr>
                <w:rFonts w:ascii="Arial" w:hAnsi="Arial" w:cs="Arial"/>
              </w:rPr>
              <w:t>34%</w:t>
            </w:r>
          </w:p>
        </w:tc>
      </w:tr>
      <w:tr w:rsidR="00D5261F" w:rsidRPr="00A845B7" w:rsidTr="00D5261F">
        <w:trPr>
          <w:trHeight w:val="270"/>
        </w:trPr>
        <w:tc>
          <w:tcPr>
            <w:tcW w:w="3620" w:type="dxa"/>
            <w:tcBorders>
              <w:bottom w:val="single" w:sz="4" w:space="0" w:color="auto"/>
            </w:tcBorders>
          </w:tcPr>
          <w:p w:rsidR="00D5261F" w:rsidRPr="00A845B7" w:rsidRDefault="00D5261F" w:rsidP="00D5261F">
            <w:pPr>
              <w:jc w:val="left"/>
              <w:rPr>
                <w:rFonts w:ascii="Arial" w:hAnsi="Arial" w:cs="Arial"/>
              </w:rPr>
            </w:pPr>
            <w:r w:rsidRPr="00A845B7">
              <w:rPr>
                <w:rFonts w:ascii="Arial" w:hAnsi="Arial" w:cs="Arial"/>
              </w:rPr>
              <w:t>Poland</w:t>
            </w:r>
          </w:p>
        </w:tc>
        <w:tc>
          <w:tcPr>
            <w:tcW w:w="2700" w:type="dxa"/>
            <w:tcBorders>
              <w:bottom w:val="single" w:sz="4" w:space="0" w:color="auto"/>
            </w:tcBorders>
          </w:tcPr>
          <w:p w:rsidR="00D5261F" w:rsidRPr="00A845B7" w:rsidRDefault="00D5261F" w:rsidP="00D5261F">
            <w:pPr>
              <w:jc w:val="right"/>
              <w:rPr>
                <w:rFonts w:ascii="Arial" w:hAnsi="Arial" w:cs="Arial"/>
              </w:rPr>
            </w:pPr>
            <w:r w:rsidRPr="00A845B7">
              <w:rPr>
                <w:rFonts w:ascii="Arial" w:hAnsi="Arial" w:cs="Arial"/>
              </w:rPr>
              <w:t>19%</w:t>
            </w:r>
          </w:p>
        </w:tc>
        <w:tc>
          <w:tcPr>
            <w:tcW w:w="2702" w:type="dxa"/>
            <w:tcBorders>
              <w:bottom w:val="single" w:sz="4" w:space="0" w:color="auto"/>
            </w:tcBorders>
          </w:tcPr>
          <w:p w:rsidR="00D5261F" w:rsidRPr="00A845B7" w:rsidRDefault="00D5261F" w:rsidP="00D5261F">
            <w:pPr>
              <w:jc w:val="right"/>
              <w:rPr>
                <w:rFonts w:ascii="Arial" w:hAnsi="Arial" w:cs="Arial"/>
              </w:rPr>
            </w:pPr>
            <w:r w:rsidRPr="00A845B7">
              <w:rPr>
                <w:rFonts w:ascii="Arial" w:hAnsi="Arial" w:cs="Arial"/>
              </w:rPr>
              <w:t>19%</w:t>
            </w:r>
          </w:p>
        </w:tc>
      </w:tr>
    </w:tbl>
    <w:p w:rsidR="00997637" w:rsidRPr="00D5261F" w:rsidRDefault="00997637" w:rsidP="00997637">
      <w:pPr>
        <w:pStyle w:val="ListParagraph"/>
        <w:ind w:left="360"/>
        <w:contextualSpacing/>
        <w:jc w:val="left"/>
        <w:rPr>
          <w:rFonts w:ascii="Arial" w:hAnsi="Arial" w:cs="Arial"/>
          <w:sz w:val="24"/>
          <w:highlight w:val="yellow"/>
        </w:rPr>
      </w:pPr>
    </w:p>
    <w:p w:rsidR="00997637" w:rsidRPr="00A845B7" w:rsidRDefault="00997637" w:rsidP="00997637">
      <w:pPr>
        <w:jc w:val="left"/>
        <w:rPr>
          <w:rFonts w:ascii="Arial" w:hAnsi="Arial" w:cs="Arial"/>
          <w:b/>
        </w:rPr>
      </w:pPr>
      <w:r w:rsidRPr="00A845B7">
        <w:rPr>
          <w:rFonts w:ascii="Arial" w:hAnsi="Arial" w:cs="Arial"/>
          <w:b/>
        </w:rPr>
        <w:t>Sustainability</w:t>
      </w:r>
    </w:p>
    <w:p w:rsidR="00997637" w:rsidRPr="00BC3AEE" w:rsidRDefault="00997637" w:rsidP="00997637">
      <w:pPr>
        <w:jc w:val="left"/>
        <w:rPr>
          <w:rFonts w:ascii="Arial" w:hAnsi="Arial" w:cs="Arial"/>
          <w:sz w:val="24"/>
          <w:szCs w:val="24"/>
        </w:rPr>
      </w:pPr>
    </w:p>
    <w:p w:rsidR="00923067" w:rsidRDefault="0094503D" w:rsidP="00165A9B">
      <w:pPr>
        <w:jc w:val="left"/>
        <w:rPr>
          <w:rFonts w:ascii="Calibri" w:hAnsi="Calibri" w:cs="Times New Roman"/>
        </w:rPr>
      </w:pPr>
      <w:r>
        <w:rPr>
          <w:rFonts w:ascii="Arial" w:hAnsi="Arial" w:cs="Arial"/>
          <w:lang w:val="en-US"/>
        </w:rPr>
        <w:t>W</w:t>
      </w:r>
      <w:r w:rsidR="00923067">
        <w:rPr>
          <w:rFonts w:ascii="Arial" w:hAnsi="Arial" w:cs="Arial"/>
          <w:lang w:val="en-US"/>
        </w:rPr>
        <w:t xml:space="preserve">e are committed to being a truly sustainable company and to help customers create sustainable homes. We want to have a positive impact on our people, customers and the environment, and to improve life in the communities in which we operate. We are integrating </w:t>
      </w:r>
      <w:r w:rsidR="00923067">
        <w:rPr>
          <w:rFonts w:ascii="Arial" w:hAnsi="Arial" w:cs="Arial"/>
        </w:rPr>
        <w:t>sustainability throughout our business and at every stage of the value chain (for example product innovation and design, supply chain and logistics), and this includes integrating sustainability considerations into our capital expenditure processes.</w:t>
      </w:r>
    </w:p>
    <w:p w:rsidR="00997637" w:rsidRDefault="00997637" w:rsidP="00997637">
      <w:pPr>
        <w:tabs>
          <w:tab w:val="right" w:pos="9356"/>
        </w:tabs>
        <w:jc w:val="left"/>
        <w:rPr>
          <w:rFonts w:ascii="Arial" w:hAnsi="Arial" w:cs="Arial"/>
          <w:b/>
          <w:sz w:val="24"/>
          <w:szCs w:val="24"/>
        </w:rPr>
      </w:pPr>
    </w:p>
    <w:p w:rsidR="00997637" w:rsidRPr="00A845B7" w:rsidRDefault="00997637" w:rsidP="00997637">
      <w:pPr>
        <w:tabs>
          <w:tab w:val="right" w:pos="9356"/>
        </w:tabs>
        <w:jc w:val="left"/>
        <w:rPr>
          <w:rFonts w:ascii="Arial" w:hAnsi="Arial" w:cs="Arial"/>
          <w:b/>
        </w:rPr>
      </w:pPr>
      <w:r w:rsidRPr="00A845B7">
        <w:rPr>
          <w:rFonts w:ascii="Arial" w:hAnsi="Arial" w:cs="Arial"/>
          <w:b/>
        </w:rPr>
        <w:t>Lease adjusted return on capital employed (ROCE*)</w:t>
      </w:r>
      <w:r w:rsidRPr="00A845B7">
        <w:rPr>
          <w:rFonts w:ascii="Arial" w:hAnsi="Arial" w:cs="Arial"/>
          <w:b/>
        </w:rPr>
        <w:tab/>
      </w:r>
    </w:p>
    <w:p w:rsidR="00997637" w:rsidRDefault="00997637" w:rsidP="00997637">
      <w:pPr>
        <w:tabs>
          <w:tab w:val="left" w:pos="3823"/>
        </w:tabs>
        <w:jc w:val="left"/>
        <w:rPr>
          <w:rFonts w:ascii="Arial" w:hAnsi="Arial" w:cs="Arial"/>
          <w:b/>
          <w:sz w:val="24"/>
          <w:szCs w:val="24"/>
          <w:highlight w:val="yellow"/>
        </w:rPr>
      </w:pPr>
    </w:p>
    <w:p w:rsidR="00997637" w:rsidRDefault="0071504B" w:rsidP="00997637">
      <w:pPr>
        <w:jc w:val="left"/>
        <w:rPr>
          <w:rFonts w:ascii="Arial" w:hAnsi="Arial" w:cs="Arial"/>
        </w:rPr>
      </w:pPr>
      <w:r w:rsidRPr="0071504B">
        <w:rPr>
          <w:rFonts w:ascii="Arial" w:hAnsi="Arial" w:cs="Arial"/>
        </w:rPr>
        <w:t>Our key returns metric, leased adjusted ROCE grew by 20 basis points from 12.3% to 12.5% this year, reflecting our underlying profit performance and favourable foreign exchange movements offset by transformation costs.</w:t>
      </w:r>
      <w:r>
        <w:rPr>
          <w:rFonts w:ascii="Arial" w:hAnsi="Arial" w:cs="Arial"/>
        </w:rPr>
        <w:t xml:space="preserve"> </w:t>
      </w:r>
      <w:r w:rsidR="00997637" w:rsidRPr="00C36E6F">
        <w:rPr>
          <w:rFonts w:ascii="Arial" w:hAnsi="Arial" w:cs="Arial"/>
        </w:rPr>
        <w:t xml:space="preserve">ROCE by geographic division is analysed below: </w:t>
      </w:r>
    </w:p>
    <w:p w:rsidR="00997637" w:rsidRPr="001505B3" w:rsidRDefault="00997637" w:rsidP="00997637">
      <w:pPr>
        <w:jc w:val="left"/>
        <w:rPr>
          <w:rFonts w:ascii="Arial" w:hAnsi="Arial" w:cs="Arial"/>
          <w:sz w:val="24"/>
          <w:szCs w:val="24"/>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29"/>
        <w:gridCol w:w="891"/>
        <w:gridCol w:w="1330"/>
        <w:gridCol w:w="1489"/>
        <w:gridCol w:w="1334"/>
        <w:gridCol w:w="1184"/>
        <w:gridCol w:w="1184"/>
      </w:tblGrid>
      <w:tr w:rsidR="00C8535E" w:rsidRPr="00A845B7" w:rsidTr="006F78D1">
        <w:trPr>
          <w:trHeight w:val="555"/>
        </w:trPr>
        <w:tc>
          <w:tcPr>
            <w:tcW w:w="1156" w:type="pct"/>
            <w:tcBorders>
              <w:bottom w:val="single" w:sz="4" w:space="0" w:color="auto"/>
            </w:tcBorders>
            <w:vAlign w:val="bottom"/>
          </w:tcPr>
          <w:p w:rsidR="00997637" w:rsidRPr="00C8535E" w:rsidRDefault="00997637" w:rsidP="00F24C8A">
            <w:pPr>
              <w:jc w:val="left"/>
              <w:rPr>
                <w:rFonts w:ascii="Arial" w:hAnsi="Arial" w:cs="Arial"/>
                <w:sz w:val="22"/>
                <w:szCs w:val="22"/>
              </w:rPr>
            </w:pPr>
          </w:p>
          <w:p w:rsidR="00997637" w:rsidRPr="00C8535E" w:rsidRDefault="00997637" w:rsidP="00F24C8A">
            <w:pPr>
              <w:jc w:val="left"/>
              <w:rPr>
                <w:rFonts w:ascii="Arial" w:hAnsi="Arial" w:cs="Arial"/>
                <w:sz w:val="22"/>
                <w:szCs w:val="22"/>
              </w:rPr>
            </w:pPr>
          </w:p>
        </w:tc>
        <w:tc>
          <w:tcPr>
            <w:tcW w:w="462" w:type="pct"/>
            <w:tcBorders>
              <w:bottom w:val="single" w:sz="4" w:space="0" w:color="auto"/>
            </w:tcBorders>
            <w:vAlign w:val="bottom"/>
          </w:tcPr>
          <w:p w:rsidR="00997637" w:rsidRPr="00C8535E" w:rsidRDefault="00997637" w:rsidP="00F24C8A">
            <w:pPr>
              <w:jc w:val="right"/>
              <w:rPr>
                <w:rFonts w:ascii="Arial" w:hAnsi="Arial" w:cs="Arial"/>
                <w:sz w:val="22"/>
                <w:szCs w:val="22"/>
              </w:rPr>
            </w:pPr>
          </w:p>
          <w:p w:rsidR="00997637" w:rsidRPr="00C8535E" w:rsidRDefault="00997637" w:rsidP="00F24C8A">
            <w:pPr>
              <w:jc w:val="right"/>
              <w:rPr>
                <w:rFonts w:ascii="Arial" w:hAnsi="Arial" w:cs="Arial"/>
                <w:sz w:val="22"/>
                <w:szCs w:val="22"/>
              </w:rPr>
            </w:pPr>
            <w:r w:rsidRPr="00C8535E">
              <w:rPr>
                <w:rFonts w:ascii="Arial" w:hAnsi="Arial" w:cs="Arial"/>
                <w:sz w:val="22"/>
                <w:szCs w:val="22"/>
              </w:rPr>
              <w:t>Sales £bn</w:t>
            </w:r>
          </w:p>
        </w:tc>
        <w:tc>
          <w:tcPr>
            <w:tcW w:w="690" w:type="pct"/>
            <w:tcBorders>
              <w:bottom w:val="single" w:sz="4" w:space="0" w:color="auto"/>
            </w:tcBorders>
            <w:vAlign w:val="bottom"/>
          </w:tcPr>
          <w:p w:rsidR="00997637" w:rsidRPr="00C8535E" w:rsidRDefault="00997637" w:rsidP="00F24C8A">
            <w:pPr>
              <w:jc w:val="right"/>
              <w:rPr>
                <w:rFonts w:ascii="Arial" w:hAnsi="Arial" w:cs="Arial"/>
                <w:sz w:val="22"/>
                <w:szCs w:val="22"/>
              </w:rPr>
            </w:pPr>
            <w:r w:rsidRPr="00C8535E">
              <w:rPr>
                <w:rFonts w:ascii="Arial" w:hAnsi="Arial" w:cs="Arial"/>
                <w:sz w:val="22"/>
                <w:szCs w:val="22"/>
              </w:rPr>
              <w:t xml:space="preserve">Proportion of Group sales </w:t>
            </w:r>
          </w:p>
        </w:tc>
        <w:tc>
          <w:tcPr>
            <w:tcW w:w="772" w:type="pct"/>
            <w:tcBorders>
              <w:bottom w:val="single" w:sz="4" w:space="0" w:color="auto"/>
            </w:tcBorders>
            <w:vAlign w:val="bottom"/>
          </w:tcPr>
          <w:p w:rsidR="00997637" w:rsidRPr="00C8535E" w:rsidRDefault="00997637" w:rsidP="00F24C8A">
            <w:pPr>
              <w:ind w:left="-12"/>
              <w:jc w:val="right"/>
              <w:rPr>
                <w:rFonts w:ascii="Arial" w:hAnsi="Arial" w:cs="Arial"/>
                <w:sz w:val="22"/>
                <w:szCs w:val="22"/>
              </w:rPr>
            </w:pPr>
            <w:r w:rsidRPr="00C8535E">
              <w:rPr>
                <w:rFonts w:ascii="Arial" w:hAnsi="Arial" w:cs="Arial"/>
                <w:sz w:val="22"/>
                <w:szCs w:val="22"/>
              </w:rPr>
              <w:t>Capital Employed (CE) £bn</w:t>
            </w:r>
          </w:p>
        </w:tc>
        <w:tc>
          <w:tcPr>
            <w:tcW w:w="692" w:type="pct"/>
            <w:tcBorders>
              <w:bottom w:val="single" w:sz="4" w:space="0" w:color="auto"/>
            </w:tcBorders>
            <w:vAlign w:val="bottom"/>
          </w:tcPr>
          <w:p w:rsidR="00997637" w:rsidRPr="00C8535E" w:rsidRDefault="00997637" w:rsidP="00F24C8A">
            <w:pPr>
              <w:jc w:val="right"/>
              <w:rPr>
                <w:rFonts w:ascii="Arial" w:hAnsi="Arial" w:cs="Arial"/>
                <w:sz w:val="22"/>
                <w:szCs w:val="22"/>
              </w:rPr>
            </w:pPr>
            <w:r w:rsidRPr="00C8535E">
              <w:rPr>
                <w:rFonts w:ascii="Arial" w:hAnsi="Arial" w:cs="Arial"/>
                <w:sz w:val="22"/>
                <w:szCs w:val="22"/>
              </w:rPr>
              <w:t>Proportion of Group CE %</w:t>
            </w:r>
          </w:p>
        </w:tc>
        <w:tc>
          <w:tcPr>
            <w:tcW w:w="614" w:type="pct"/>
            <w:tcBorders>
              <w:bottom w:val="single" w:sz="4" w:space="0" w:color="auto"/>
            </w:tcBorders>
            <w:vAlign w:val="bottom"/>
          </w:tcPr>
          <w:p w:rsidR="00997637" w:rsidRPr="00C8535E" w:rsidRDefault="00997637" w:rsidP="00F24C8A">
            <w:pPr>
              <w:jc w:val="right"/>
              <w:rPr>
                <w:rFonts w:ascii="Arial" w:hAnsi="Arial" w:cs="Arial"/>
                <w:b/>
                <w:sz w:val="22"/>
                <w:szCs w:val="22"/>
              </w:rPr>
            </w:pPr>
          </w:p>
          <w:p w:rsidR="00997637" w:rsidRPr="00C8535E" w:rsidRDefault="00997637" w:rsidP="00F24C8A">
            <w:pPr>
              <w:jc w:val="right"/>
              <w:rPr>
                <w:rFonts w:ascii="Arial" w:hAnsi="Arial" w:cs="Arial"/>
                <w:b/>
                <w:sz w:val="22"/>
                <w:szCs w:val="22"/>
              </w:rPr>
            </w:pPr>
            <w:r w:rsidRPr="00C8535E">
              <w:rPr>
                <w:rFonts w:ascii="Arial" w:hAnsi="Arial" w:cs="Arial"/>
                <w:b/>
                <w:sz w:val="22"/>
                <w:szCs w:val="22"/>
              </w:rPr>
              <w:t>ROCE</w:t>
            </w:r>
          </w:p>
          <w:p w:rsidR="00997637" w:rsidRPr="00C8535E" w:rsidRDefault="00997637" w:rsidP="00F24C8A">
            <w:pPr>
              <w:jc w:val="right"/>
              <w:rPr>
                <w:rFonts w:ascii="Arial" w:hAnsi="Arial" w:cs="Arial"/>
                <w:b/>
                <w:sz w:val="22"/>
                <w:szCs w:val="22"/>
              </w:rPr>
            </w:pPr>
            <w:r w:rsidRPr="00C8535E">
              <w:rPr>
                <w:rFonts w:ascii="Arial" w:hAnsi="Arial" w:cs="Arial"/>
                <w:b/>
                <w:sz w:val="22"/>
                <w:szCs w:val="22"/>
              </w:rPr>
              <w:t>2016/17</w:t>
            </w:r>
          </w:p>
        </w:tc>
        <w:tc>
          <w:tcPr>
            <w:tcW w:w="614" w:type="pct"/>
            <w:tcBorders>
              <w:bottom w:val="single" w:sz="4" w:space="0" w:color="auto"/>
            </w:tcBorders>
            <w:vAlign w:val="bottom"/>
          </w:tcPr>
          <w:p w:rsidR="00997637" w:rsidRPr="00C8535E" w:rsidRDefault="00997637" w:rsidP="00F24C8A">
            <w:pPr>
              <w:jc w:val="right"/>
              <w:rPr>
                <w:rFonts w:ascii="Arial" w:hAnsi="Arial" w:cs="Arial"/>
                <w:sz w:val="22"/>
                <w:szCs w:val="22"/>
              </w:rPr>
            </w:pPr>
          </w:p>
          <w:p w:rsidR="00997637" w:rsidRPr="00C8535E" w:rsidRDefault="00997637" w:rsidP="00F24C8A">
            <w:pPr>
              <w:jc w:val="right"/>
              <w:rPr>
                <w:rFonts w:ascii="Arial" w:hAnsi="Arial" w:cs="Arial"/>
                <w:sz w:val="22"/>
                <w:szCs w:val="22"/>
              </w:rPr>
            </w:pPr>
            <w:r w:rsidRPr="00C8535E">
              <w:rPr>
                <w:rFonts w:ascii="Arial" w:hAnsi="Arial" w:cs="Arial"/>
                <w:sz w:val="22"/>
                <w:szCs w:val="22"/>
              </w:rPr>
              <w:t>ROCE</w:t>
            </w:r>
          </w:p>
          <w:p w:rsidR="00997637" w:rsidRPr="00C8535E" w:rsidRDefault="00997637" w:rsidP="00F24C8A">
            <w:pPr>
              <w:jc w:val="right"/>
              <w:rPr>
                <w:rFonts w:ascii="Arial" w:hAnsi="Arial" w:cs="Arial"/>
                <w:sz w:val="22"/>
                <w:szCs w:val="22"/>
              </w:rPr>
            </w:pPr>
            <w:r w:rsidRPr="00C8535E">
              <w:rPr>
                <w:rFonts w:ascii="Arial" w:hAnsi="Arial" w:cs="Arial"/>
                <w:sz w:val="22"/>
                <w:szCs w:val="22"/>
              </w:rPr>
              <w:t>2015/16</w:t>
            </w:r>
          </w:p>
        </w:tc>
      </w:tr>
      <w:tr w:rsidR="00C8535E" w:rsidRPr="00A845B7" w:rsidTr="006F78D1">
        <w:tc>
          <w:tcPr>
            <w:tcW w:w="1156" w:type="pct"/>
          </w:tcPr>
          <w:p w:rsidR="00997637" w:rsidRPr="00C8535E" w:rsidRDefault="00997637" w:rsidP="00F24C8A">
            <w:pPr>
              <w:jc w:val="left"/>
              <w:rPr>
                <w:rFonts w:ascii="Arial" w:hAnsi="Arial" w:cs="Arial"/>
                <w:sz w:val="22"/>
                <w:szCs w:val="22"/>
              </w:rPr>
            </w:pPr>
            <w:r w:rsidRPr="00C8535E">
              <w:rPr>
                <w:rFonts w:ascii="Arial" w:hAnsi="Arial" w:cs="Arial"/>
                <w:sz w:val="22"/>
                <w:szCs w:val="22"/>
              </w:rPr>
              <w:t>UK &amp; Ireland</w:t>
            </w:r>
          </w:p>
        </w:tc>
        <w:tc>
          <w:tcPr>
            <w:tcW w:w="462" w:type="pct"/>
            <w:shd w:val="clear" w:color="auto" w:fill="auto"/>
          </w:tcPr>
          <w:p w:rsidR="00997637" w:rsidRPr="00C8535E" w:rsidRDefault="00997637" w:rsidP="00F24C8A">
            <w:pPr>
              <w:jc w:val="right"/>
              <w:rPr>
                <w:rFonts w:ascii="Arial" w:hAnsi="Arial" w:cs="Arial"/>
                <w:sz w:val="22"/>
                <w:szCs w:val="22"/>
              </w:rPr>
            </w:pPr>
            <w:r w:rsidRPr="00C8535E">
              <w:rPr>
                <w:rFonts w:ascii="Arial" w:hAnsi="Arial" w:cs="Arial"/>
                <w:sz w:val="22"/>
                <w:szCs w:val="22"/>
              </w:rPr>
              <w:t>5.0</w:t>
            </w:r>
          </w:p>
        </w:tc>
        <w:tc>
          <w:tcPr>
            <w:tcW w:w="690" w:type="pct"/>
            <w:shd w:val="clear" w:color="auto" w:fill="auto"/>
          </w:tcPr>
          <w:p w:rsidR="00997637" w:rsidRPr="00C8535E" w:rsidRDefault="00997637" w:rsidP="00F24C8A">
            <w:pPr>
              <w:jc w:val="right"/>
              <w:rPr>
                <w:rFonts w:ascii="Arial" w:hAnsi="Arial" w:cs="Arial"/>
                <w:sz w:val="22"/>
                <w:szCs w:val="22"/>
              </w:rPr>
            </w:pPr>
            <w:r w:rsidRPr="00C8535E">
              <w:rPr>
                <w:rFonts w:ascii="Arial" w:hAnsi="Arial" w:cs="Arial"/>
                <w:sz w:val="22"/>
                <w:szCs w:val="22"/>
              </w:rPr>
              <w:t>44%</w:t>
            </w:r>
          </w:p>
        </w:tc>
        <w:tc>
          <w:tcPr>
            <w:tcW w:w="772" w:type="pct"/>
            <w:shd w:val="clear" w:color="auto" w:fill="auto"/>
          </w:tcPr>
          <w:p w:rsidR="00997637" w:rsidRPr="00C8535E" w:rsidRDefault="00631BDD" w:rsidP="00F24C8A">
            <w:pPr>
              <w:jc w:val="right"/>
              <w:rPr>
                <w:rFonts w:ascii="Arial" w:hAnsi="Arial" w:cs="Arial"/>
                <w:sz w:val="22"/>
                <w:szCs w:val="22"/>
              </w:rPr>
            </w:pPr>
            <w:r w:rsidRPr="00C8535E">
              <w:rPr>
                <w:rFonts w:ascii="Arial" w:hAnsi="Arial" w:cs="Arial"/>
                <w:sz w:val="22"/>
                <w:szCs w:val="22"/>
              </w:rPr>
              <w:t>3.</w:t>
            </w:r>
            <w:r w:rsidR="00ED67FE">
              <w:rPr>
                <w:rFonts w:ascii="Arial" w:hAnsi="Arial" w:cs="Arial"/>
                <w:sz w:val="22"/>
                <w:szCs w:val="22"/>
              </w:rPr>
              <w:t>8</w:t>
            </w:r>
          </w:p>
        </w:tc>
        <w:tc>
          <w:tcPr>
            <w:tcW w:w="692" w:type="pct"/>
            <w:shd w:val="clear" w:color="auto" w:fill="auto"/>
          </w:tcPr>
          <w:p w:rsidR="00997637" w:rsidRPr="00C8535E" w:rsidRDefault="001D3130" w:rsidP="00F24C8A">
            <w:pPr>
              <w:jc w:val="right"/>
              <w:rPr>
                <w:rFonts w:ascii="Arial" w:hAnsi="Arial" w:cs="Arial"/>
                <w:sz w:val="22"/>
                <w:szCs w:val="22"/>
              </w:rPr>
            </w:pPr>
            <w:r w:rsidRPr="00C8535E">
              <w:rPr>
                <w:rFonts w:ascii="Arial" w:hAnsi="Arial" w:cs="Arial"/>
                <w:sz w:val="22"/>
                <w:szCs w:val="22"/>
              </w:rPr>
              <w:t>5</w:t>
            </w:r>
            <w:r w:rsidR="00ED67FE">
              <w:rPr>
                <w:rFonts w:ascii="Arial" w:hAnsi="Arial" w:cs="Arial"/>
                <w:sz w:val="22"/>
                <w:szCs w:val="22"/>
              </w:rPr>
              <w:t>5</w:t>
            </w:r>
            <w:r w:rsidR="00997637" w:rsidRPr="00C8535E">
              <w:rPr>
                <w:rFonts w:ascii="Arial" w:hAnsi="Arial" w:cs="Arial"/>
                <w:sz w:val="22"/>
                <w:szCs w:val="22"/>
              </w:rPr>
              <w:t>%</w:t>
            </w:r>
          </w:p>
        </w:tc>
        <w:tc>
          <w:tcPr>
            <w:tcW w:w="614" w:type="pct"/>
            <w:shd w:val="clear" w:color="auto" w:fill="auto"/>
          </w:tcPr>
          <w:p w:rsidR="00997637" w:rsidRPr="00C8535E" w:rsidRDefault="00E00BDF" w:rsidP="00F24C8A">
            <w:pPr>
              <w:jc w:val="right"/>
              <w:rPr>
                <w:rFonts w:ascii="Arial" w:hAnsi="Arial" w:cs="Arial"/>
                <w:b/>
                <w:sz w:val="22"/>
                <w:szCs w:val="22"/>
              </w:rPr>
            </w:pPr>
            <w:r w:rsidRPr="00C8535E">
              <w:rPr>
                <w:rFonts w:ascii="Arial" w:hAnsi="Arial" w:cs="Arial"/>
                <w:b/>
                <w:sz w:val="22"/>
                <w:szCs w:val="22"/>
              </w:rPr>
              <w:t>13.3</w:t>
            </w:r>
            <w:r w:rsidR="00997637" w:rsidRPr="00C8535E">
              <w:rPr>
                <w:rFonts w:ascii="Arial" w:hAnsi="Arial" w:cs="Arial"/>
                <w:b/>
                <w:sz w:val="22"/>
                <w:szCs w:val="22"/>
              </w:rPr>
              <w:t>%</w:t>
            </w:r>
          </w:p>
        </w:tc>
        <w:tc>
          <w:tcPr>
            <w:tcW w:w="614" w:type="pct"/>
          </w:tcPr>
          <w:p w:rsidR="00997637" w:rsidRPr="00C8535E" w:rsidRDefault="00997637" w:rsidP="00F24C8A">
            <w:pPr>
              <w:jc w:val="right"/>
              <w:rPr>
                <w:rFonts w:ascii="Arial" w:hAnsi="Arial" w:cs="Arial"/>
                <w:sz w:val="22"/>
                <w:szCs w:val="22"/>
              </w:rPr>
            </w:pPr>
            <w:r w:rsidRPr="00C8535E">
              <w:rPr>
                <w:rFonts w:ascii="Arial" w:hAnsi="Arial" w:cs="Arial"/>
                <w:sz w:val="22"/>
                <w:szCs w:val="22"/>
              </w:rPr>
              <w:t>13.1%</w:t>
            </w:r>
          </w:p>
        </w:tc>
      </w:tr>
      <w:tr w:rsidR="00C8535E" w:rsidRPr="00A845B7" w:rsidTr="006F78D1">
        <w:tc>
          <w:tcPr>
            <w:tcW w:w="1156" w:type="pct"/>
          </w:tcPr>
          <w:p w:rsidR="00E00BDF" w:rsidRPr="00C8535E" w:rsidRDefault="00E00BDF" w:rsidP="00E00BDF">
            <w:pPr>
              <w:jc w:val="left"/>
              <w:rPr>
                <w:rFonts w:ascii="Arial" w:hAnsi="Arial" w:cs="Arial"/>
                <w:sz w:val="22"/>
                <w:szCs w:val="22"/>
              </w:rPr>
            </w:pPr>
            <w:r w:rsidRPr="00C8535E">
              <w:rPr>
                <w:rFonts w:ascii="Arial" w:hAnsi="Arial" w:cs="Arial"/>
                <w:sz w:val="22"/>
                <w:szCs w:val="22"/>
              </w:rPr>
              <w:t xml:space="preserve">France </w:t>
            </w:r>
          </w:p>
        </w:tc>
        <w:tc>
          <w:tcPr>
            <w:tcW w:w="462" w:type="pct"/>
            <w:shd w:val="clear" w:color="auto" w:fill="auto"/>
          </w:tcPr>
          <w:p w:rsidR="00E00BDF" w:rsidRPr="00C8535E" w:rsidRDefault="00E00BDF" w:rsidP="00E00BDF">
            <w:pPr>
              <w:jc w:val="right"/>
              <w:rPr>
                <w:rFonts w:ascii="Arial" w:hAnsi="Arial" w:cs="Arial"/>
                <w:sz w:val="22"/>
                <w:szCs w:val="22"/>
              </w:rPr>
            </w:pPr>
            <w:r w:rsidRPr="00C8535E">
              <w:rPr>
                <w:rFonts w:ascii="Arial" w:hAnsi="Arial" w:cs="Arial"/>
                <w:sz w:val="22"/>
                <w:szCs w:val="22"/>
              </w:rPr>
              <w:t>4.2</w:t>
            </w:r>
          </w:p>
        </w:tc>
        <w:tc>
          <w:tcPr>
            <w:tcW w:w="690" w:type="pct"/>
            <w:shd w:val="clear" w:color="auto" w:fill="auto"/>
          </w:tcPr>
          <w:p w:rsidR="00E00BDF" w:rsidRPr="00C8535E" w:rsidRDefault="00E00BDF" w:rsidP="00E00BDF">
            <w:pPr>
              <w:jc w:val="right"/>
              <w:rPr>
                <w:rFonts w:ascii="Arial" w:hAnsi="Arial" w:cs="Arial"/>
                <w:sz w:val="22"/>
                <w:szCs w:val="22"/>
              </w:rPr>
            </w:pPr>
            <w:r w:rsidRPr="00C8535E">
              <w:rPr>
                <w:rFonts w:ascii="Arial" w:hAnsi="Arial" w:cs="Arial"/>
                <w:sz w:val="22"/>
                <w:szCs w:val="22"/>
              </w:rPr>
              <w:t>38%</w:t>
            </w:r>
          </w:p>
        </w:tc>
        <w:tc>
          <w:tcPr>
            <w:tcW w:w="772" w:type="pct"/>
            <w:shd w:val="clear" w:color="auto" w:fill="auto"/>
          </w:tcPr>
          <w:p w:rsidR="00E00BDF" w:rsidRPr="00C8535E" w:rsidRDefault="00631BDD" w:rsidP="00E00BDF">
            <w:pPr>
              <w:jc w:val="right"/>
              <w:rPr>
                <w:rFonts w:ascii="Arial" w:hAnsi="Arial" w:cs="Arial"/>
                <w:sz w:val="22"/>
                <w:szCs w:val="22"/>
              </w:rPr>
            </w:pPr>
            <w:r w:rsidRPr="00C8535E">
              <w:rPr>
                <w:rFonts w:ascii="Arial" w:hAnsi="Arial" w:cs="Arial"/>
                <w:sz w:val="22"/>
                <w:szCs w:val="22"/>
              </w:rPr>
              <w:t>1.</w:t>
            </w:r>
            <w:r w:rsidR="00ED67FE">
              <w:rPr>
                <w:rFonts w:ascii="Arial" w:hAnsi="Arial" w:cs="Arial"/>
                <w:sz w:val="22"/>
                <w:szCs w:val="22"/>
              </w:rPr>
              <w:t>9</w:t>
            </w:r>
          </w:p>
        </w:tc>
        <w:tc>
          <w:tcPr>
            <w:tcW w:w="692" w:type="pct"/>
            <w:shd w:val="clear" w:color="auto" w:fill="auto"/>
          </w:tcPr>
          <w:p w:rsidR="00E00BDF" w:rsidRPr="00C8535E" w:rsidRDefault="001D3130" w:rsidP="00E00BDF">
            <w:pPr>
              <w:jc w:val="right"/>
              <w:rPr>
                <w:rFonts w:ascii="Arial" w:hAnsi="Arial" w:cs="Arial"/>
                <w:sz w:val="22"/>
                <w:szCs w:val="22"/>
              </w:rPr>
            </w:pPr>
            <w:r w:rsidRPr="00C8535E">
              <w:rPr>
                <w:rFonts w:ascii="Arial" w:hAnsi="Arial" w:cs="Arial"/>
                <w:sz w:val="22"/>
                <w:szCs w:val="22"/>
              </w:rPr>
              <w:t>2</w:t>
            </w:r>
            <w:r w:rsidR="00ED67FE">
              <w:rPr>
                <w:rFonts w:ascii="Arial" w:hAnsi="Arial" w:cs="Arial"/>
                <w:sz w:val="22"/>
                <w:szCs w:val="22"/>
              </w:rPr>
              <w:t>7</w:t>
            </w:r>
            <w:r w:rsidR="00E00BDF" w:rsidRPr="00C8535E">
              <w:rPr>
                <w:rFonts w:ascii="Arial" w:hAnsi="Arial" w:cs="Arial"/>
                <w:sz w:val="22"/>
                <w:szCs w:val="22"/>
              </w:rPr>
              <w:t>%</w:t>
            </w:r>
          </w:p>
        </w:tc>
        <w:tc>
          <w:tcPr>
            <w:tcW w:w="614" w:type="pct"/>
            <w:shd w:val="clear" w:color="auto" w:fill="auto"/>
          </w:tcPr>
          <w:p w:rsidR="00E00BDF" w:rsidRPr="00C8535E" w:rsidDel="00E00BDF" w:rsidRDefault="00E00BDF" w:rsidP="00E00BDF">
            <w:pPr>
              <w:jc w:val="right"/>
              <w:rPr>
                <w:rFonts w:ascii="Arial" w:hAnsi="Arial" w:cs="Arial"/>
                <w:b/>
                <w:sz w:val="22"/>
                <w:szCs w:val="22"/>
              </w:rPr>
            </w:pPr>
            <w:r w:rsidRPr="00C8535E">
              <w:rPr>
                <w:rFonts w:ascii="Arial" w:hAnsi="Arial" w:cs="Arial"/>
                <w:b/>
                <w:sz w:val="22"/>
                <w:szCs w:val="22"/>
              </w:rPr>
              <w:t>14.</w:t>
            </w:r>
            <w:r w:rsidR="00631BDD" w:rsidRPr="00C8535E">
              <w:rPr>
                <w:rFonts w:ascii="Arial" w:hAnsi="Arial" w:cs="Arial"/>
                <w:b/>
                <w:sz w:val="22"/>
                <w:szCs w:val="22"/>
              </w:rPr>
              <w:t>8</w:t>
            </w:r>
            <w:r w:rsidRPr="00C8535E">
              <w:rPr>
                <w:rFonts w:ascii="Arial" w:hAnsi="Arial" w:cs="Arial"/>
                <w:b/>
                <w:sz w:val="22"/>
                <w:szCs w:val="22"/>
              </w:rPr>
              <w:t>%</w:t>
            </w:r>
          </w:p>
        </w:tc>
        <w:tc>
          <w:tcPr>
            <w:tcW w:w="614" w:type="pct"/>
          </w:tcPr>
          <w:p w:rsidR="00E00BDF" w:rsidRPr="00C8535E" w:rsidRDefault="00E00BDF" w:rsidP="00E00BDF">
            <w:pPr>
              <w:jc w:val="right"/>
              <w:rPr>
                <w:rFonts w:ascii="Arial" w:hAnsi="Arial" w:cs="Arial"/>
                <w:sz w:val="22"/>
                <w:szCs w:val="22"/>
              </w:rPr>
            </w:pPr>
            <w:r w:rsidRPr="00C8535E">
              <w:rPr>
                <w:rFonts w:ascii="Arial" w:hAnsi="Arial" w:cs="Arial"/>
                <w:sz w:val="22"/>
                <w:szCs w:val="22"/>
              </w:rPr>
              <w:t>14.1%</w:t>
            </w:r>
          </w:p>
        </w:tc>
      </w:tr>
      <w:tr w:rsidR="00C8535E" w:rsidRPr="00A845B7" w:rsidTr="006F78D1">
        <w:tc>
          <w:tcPr>
            <w:tcW w:w="1156" w:type="pct"/>
          </w:tcPr>
          <w:p w:rsidR="00997637" w:rsidRPr="00C8535E" w:rsidRDefault="00997637" w:rsidP="00F24C8A">
            <w:pPr>
              <w:jc w:val="left"/>
              <w:rPr>
                <w:rFonts w:ascii="Arial" w:hAnsi="Arial" w:cs="Arial"/>
                <w:sz w:val="22"/>
                <w:szCs w:val="22"/>
              </w:rPr>
            </w:pPr>
            <w:r w:rsidRPr="00C8535E">
              <w:rPr>
                <w:rFonts w:ascii="Arial" w:hAnsi="Arial" w:cs="Arial"/>
                <w:sz w:val="22"/>
                <w:szCs w:val="22"/>
              </w:rPr>
              <w:t>Other International</w:t>
            </w:r>
          </w:p>
        </w:tc>
        <w:tc>
          <w:tcPr>
            <w:tcW w:w="462" w:type="pct"/>
            <w:shd w:val="clear" w:color="auto" w:fill="auto"/>
          </w:tcPr>
          <w:p w:rsidR="00997637" w:rsidRPr="00C8535E" w:rsidRDefault="00997637" w:rsidP="00F24C8A">
            <w:pPr>
              <w:jc w:val="right"/>
              <w:rPr>
                <w:rFonts w:ascii="Arial" w:hAnsi="Arial" w:cs="Arial"/>
                <w:sz w:val="22"/>
                <w:szCs w:val="22"/>
              </w:rPr>
            </w:pPr>
            <w:r w:rsidRPr="00C8535E">
              <w:rPr>
                <w:rFonts w:ascii="Arial" w:hAnsi="Arial" w:cs="Arial"/>
                <w:sz w:val="22"/>
                <w:szCs w:val="22"/>
              </w:rPr>
              <w:t>2.0</w:t>
            </w:r>
          </w:p>
        </w:tc>
        <w:tc>
          <w:tcPr>
            <w:tcW w:w="690" w:type="pct"/>
            <w:shd w:val="clear" w:color="auto" w:fill="auto"/>
          </w:tcPr>
          <w:p w:rsidR="00997637" w:rsidRPr="00C8535E" w:rsidRDefault="00997637" w:rsidP="00F24C8A">
            <w:pPr>
              <w:jc w:val="right"/>
              <w:rPr>
                <w:rFonts w:ascii="Arial" w:hAnsi="Arial" w:cs="Arial"/>
                <w:sz w:val="22"/>
                <w:szCs w:val="22"/>
              </w:rPr>
            </w:pPr>
            <w:r w:rsidRPr="00C8535E">
              <w:rPr>
                <w:rFonts w:ascii="Arial" w:hAnsi="Arial" w:cs="Arial"/>
                <w:sz w:val="22"/>
                <w:szCs w:val="22"/>
              </w:rPr>
              <w:t>18%</w:t>
            </w:r>
          </w:p>
        </w:tc>
        <w:tc>
          <w:tcPr>
            <w:tcW w:w="772" w:type="pct"/>
            <w:shd w:val="clear" w:color="auto" w:fill="auto"/>
          </w:tcPr>
          <w:p w:rsidR="00997637" w:rsidRPr="00C8535E" w:rsidRDefault="00631BDD" w:rsidP="00F24C8A">
            <w:pPr>
              <w:jc w:val="right"/>
              <w:rPr>
                <w:rFonts w:ascii="Arial" w:hAnsi="Arial" w:cs="Arial"/>
                <w:sz w:val="22"/>
                <w:szCs w:val="22"/>
              </w:rPr>
            </w:pPr>
            <w:r w:rsidRPr="00C8535E">
              <w:rPr>
                <w:rFonts w:ascii="Arial" w:hAnsi="Arial" w:cs="Arial"/>
                <w:sz w:val="22"/>
                <w:szCs w:val="22"/>
              </w:rPr>
              <w:t>1.</w:t>
            </w:r>
            <w:r w:rsidR="00ED67FE">
              <w:rPr>
                <w:rFonts w:ascii="Arial" w:hAnsi="Arial" w:cs="Arial"/>
                <w:sz w:val="22"/>
                <w:szCs w:val="22"/>
              </w:rPr>
              <w:t>2</w:t>
            </w:r>
          </w:p>
        </w:tc>
        <w:tc>
          <w:tcPr>
            <w:tcW w:w="692" w:type="pct"/>
            <w:shd w:val="clear" w:color="auto" w:fill="auto"/>
          </w:tcPr>
          <w:p w:rsidR="00997637" w:rsidRPr="00C8535E" w:rsidRDefault="00631BDD" w:rsidP="00F24C8A">
            <w:pPr>
              <w:jc w:val="right"/>
              <w:rPr>
                <w:rFonts w:ascii="Arial" w:hAnsi="Arial" w:cs="Arial"/>
                <w:sz w:val="22"/>
                <w:szCs w:val="22"/>
              </w:rPr>
            </w:pPr>
            <w:r w:rsidRPr="00C8535E">
              <w:rPr>
                <w:rFonts w:ascii="Arial" w:hAnsi="Arial" w:cs="Arial"/>
                <w:sz w:val="22"/>
                <w:szCs w:val="22"/>
              </w:rPr>
              <w:t>1</w:t>
            </w:r>
            <w:r w:rsidR="00ED67FE">
              <w:rPr>
                <w:rFonts w:ascii="Arial" w:hAnsi="Arial" w:cs="Arial"/>
                <w:sz w:val="22"/>
                <w:szCs w:val="22"/>
              </w:rPr>
              <w:t>8</w:t>
            </w:r>
            <w:r w:rsidR="00997637" w:rsidRPr="00C8535E">
              <w:rPr>
                <w:rFonts w:ascii="Arial" w:hAnsi="Arial" w:cs="Arial"/>
                <w:sz w:val="22"/>
                <w:szCs w:val="22"/>
              </w:rPr>
              <w:t>%</w:t>
            </w:r>
          </w:p>
        </w:tc>
        <w:tc>
          <w:tcPr>
            <w:tcW w:w="614" w:type="pct"/>
            <w:shd w:val="clear" w:color="auto" w:fill="auto"/>
          </w:tcPr>
          <w:p w:rsidR="00997637" w:rsidRPr="00C8535E" w:rsidRDefault="00E00BDF" w:rsidP="00F24C8A">
            <w:pPr>
              <w:jc w:val="right"/>
              <w:rPr>
                <w:rFonts w:ascii="Arial" w:hAnsi="Arial" w:cs="Arial"/>
                <w:b/>
                <w:sz w:val="22"/>
                <w:szCs w:val="22"/>
              </w:rPr>
            </w:pPr>
            <w:r w:rsidRPr="00C8535E">
              <w:rPr>
                <w:rFonts w:ascii="Arial" w:hAnsi="Arial" w:cs="Arial"/>
                <w:b/>
                <w:sz w:val="22"/>
                <w:szCs w:val="22"/>
              </w:rPr>
              <w:t>11</w:t>
            </w:r>
            <w:r w:rsidR="00997637" w:rsidRPr="00C8535E">
              <w:rPr>
                <w:rFonts w:ascii="Arial" w:hAnsi="Arial" w:cs="Arial"/>
                <w:b/>
                <w:sz w:val="22"/>
                <w:szCs w:val="22"/>
              </w:rPr>
              <w:t>.</w:t>
            </w:r>
            <w:r w:rsidRPr="00C8535E">
              <w:rPr>
                <w:rFonts w:ascii="Arial" w:hAnsi="Arial" w:cs="Arial"/>
                <w:b/>
                <w:sz w:val="22"/>
                <w:szCs w:val="22"/>
              </w:rPr>
              <w:t>1</w:t>
            </w:r>
            <w:r w:rsidR="00997637" w:rsidRPr="00C8535E">
              <w:rPr>
                <w:rFonts w:ascii="Arial" w:hAnsi="Arial" w:cs="Arial"/>
                <w:b/>
                <w:sz w:val="22"/>
                <w:szCs w:val="22"/>
              </w:rPr>
              <w:t>%</w:t>
            </w:r>
          </w:p>
        </w:tc>
        <w:tc>
          <w:tcPr>
            <w:tcW w:w="614" w:type="pct"/>
          </w:tcPr>
          <w:p w:rsidR="00997637" w:rsidRPr="00C8535E" w:rsidRDefault="00997637" w:rsidP="00F24C8A">
            <w:pPr>
              <w:jc w:val="right"/>
              <w:rPr>
                <w:rFonts w:ascii="Arial" w:hAnsi="Arial" w:cs="Arial"/>
                <w:sz w:val="22"/>
                <w:szCs w:val="22"/>
              </w:rPr>
            </w:pPr>
            <w:r w:rsidRPr="00C8535E">
              <w:rPr>
                <w:rFonts w:ascii="Arial" w:hAnsi="Arial" w:cs="Arial"/>
                <w:sz w:val="22"/>
                <w:szCs w:val="22"/>
              </w:rPr>
              <w:t>10.2%</w:t>
            </w:r>
          </w:p>
        </w:tc>
      </w:tr>
      <w:tr w:rsidR="00C8535E" w:rsidRPr="00A845B7" w:rsidTr="006F78D1">
        <w:tc>
          <w:tcPr>
            <w:tcW w:w="1156" w:type="pct"/>
            <w:tcBorders>
              <w:top w:val="single" w:sz="4" w:space="0" w:color="auto"/>
              <w:bottom w:val="single" w:sz="4" w:space="0" w:color="auto"/>
            </w:tcBorders>
          </w:tcPr>
          <w:p w:rsidR="00997637" w:rsidRPr="00C8535E" w:rsidRDefault="00997637" w:rsidP="00F24C8A">
            <w:pPr>
              <w:jc w:val="left"/>
              <w:rPr>
                <w:rFonts w:ascii="Arial" w:hAnsi="Arial" w:cs="Arial"/>
                <w:sz w:val="22"/>
                <w:szCs w:val="22"/>
              </w:rPr>
            </w:pPr>
            <w:r w:rsidRPr="00C8535E">
              <w:rPr>
                <w:rFonts w:ascii="Arial" w:hAnsi="Arial" w:cs="Arial"/>
                <w:b/>
                <w:sz w:val="22"/>
                <w:szCs w:val="22"/>
              </w:rPr>
              <w:t>Total</w:t>
            </w:r>
          </w:p>
        </w:tc>
        <w:tc>
          <w:tcPr>
            <w:tcW w:w="462" w:type="pct"/>
            <w:tcBorders>
              <w:top w:val="single" w:sz="4" w:space="0" w:color="auto"/>
              <w:bottom w:val="single" w:sz="4" w:space="0" w:color="auto"/>
            </w:tcBorders>
            <w:shd w:val="clear" w:color="auto" w:fill="auto"/>
          </w:tcPr>
          <w:p w:rsidR="00997637" w:rsidRPr="00C8535E" w:rsidRDefault="00997637" w:rsidP="00F24C8A">
            <w:pPr>
              <w:jc w:val="right"/>
              <w:rPr>
                <w:rFonts w:ascii="Arial" w:hAnsi="Arial" w:cs="Arial"/>
                <w:b/>
                <w:sz w:val="22"/>
                <w:szCs w:val="22"/>
              </w:rPr>
            </w:pPr>
            <w:r w:rsidRPr="00C8535E">
              <w:rPr>
                <w:rFonts w:ascii="Arial" w:hAnsi="Arial" w:cs="Arial"/>
                <w:b/>
                <w:sz w:val="22"/>
                <w:szCs w:val="22"/>
              </w:rPr>
              <w:t>11.2</w:t>
            </w:r>
          </w:p>
        </w:tc>
        <w:tc>
          <w:tcPr>
            <w:tcW w:w="690" w:type="pct"/>
            <w:tcBorders>
              <w:top w:val="single" w:sz="4" w:space="0" w:color="auto"/>
              <w:bottom w:val="single" w:sz="4" w:space="0" w:color="auto"/>
            </w:tcBorders>
            <w:shd w:val="clear" w:color="auto" w:fill="auto"/>
          </w:tcPr>
          <w:p w:rsidR="00997637" w:rsidRPr="00C8535E" w:rsidRDefault="00997637" w:rsidP="00F24C8A">
            <w:pPr>
              <w:jc w:val="right"/>
              <w:rPr>
                <w:rFonts w:ascii="Arial" w:hAnsi="Arial" w:cs="Arial"/>
                <w:b/>
                <w:sz w:val="22"/>
                <w:szCs w:val="22"/>
                <w:highlight w:val="yellow"/>
              </w:rPr>
            </w:pPr>
          </w:p>
        </w:tc>
        <w:tc>
          <w:tcPr>
            <w:tcW w:w="772" w:type="pct"/>
            <w:tcBorders>
              <w:top w:val="single" w:sz="4" w:space="0" w:color="auto"/>
              <w:bottom w:val="single" w:sz="4" w:space="0" w:color="auto"/>
            </w:tcBorders>
            <w:shd w:val="clear" w:color="auto" w:fill="auto"/>
          </w:tcPr>
          <w:p w:rsidR="00997637" w:rsidRPr="00C8535E" w:rsidRDefault="00631BDD" w:rsidP="00F24C8A">
            <w:pPr>
              <w:jc w:val="right"/>
              <w:rPr>
                <w:rFonts w:ascii="Arial" w:hAnsi="Arial" w:cs="Arial"/>
                <w:b/>
                <w:sz w:val="22"/>
                <w:szCs w:val="22"/>
              </w:rPr>
            </w:pPr>
            <w:r w:rsidRPr="00C8535E">
              <w:rPr>
                <w:rFonts w:ascii="Arial" w:hAnsi="Arial" w:cs="Arial"/>
                <w:b/>
                <w:sz w:val="22"/>
                <w:szCs w:val="22"/>
              </w:rPr>
              <w:t>6.</w:t>
            </w:r>
            <w:r w:rsidR="00ED67FE">
              <w:rPr>
                <w:rFonts w:ascii="Arial" w:hAnsi="Arial" w:cs="Arial"/>
                <w:b/>
                <w:sz w:val="22"/>
                <w:szCs w:val="22"/>
              </w:rPr>
              <w:t>9</w:t>
            </w:r>
          </w:p>
        </w:tc>
        <w:tc>
          <w:tcPr>
            <w:tcW w:w="692" w:type="pct"/>
            <w:tcBorders>
              <w:top w:val="single" w:sz="4" w:space="0" w:color="auto"/>
              <w:bottom w:val="single" w:sz="4" w:space="0" w:color="auto"/>
            </w:tcBorders>
            <w:shd w:val="clear" w:color="auto" w:fill="auto"/>
          </w:tcPr>
          <w:p w:rsidR="00997637" w:rsidRPr="00C8535E" w:rsidRDefault="00997637" w:rsidP="00F24C8A">
            <w:pPr>
              <w:jc w:val="right"/>
              <w:rPr>
                <w:rFonts w:ascii="Arial" w:hAnsi="Arial" w:cs="Arial"/>
                <w:b/>
                <w:sz w:val="22"/>
                <w:szCs w:val="22"/>
                <w:highlight w:val="yellow"/>
              </w:rPr>
            </w:pPr>
          </w:p>
        </w:tc>
        <w:tc>
          <w:tcPr>
            <w:tcW w:w="614" w:type="pct"/>
            <w:tcBorders>
              <w:top w:val="single" w:sz="4" w:space="0" w:color="auto"/>
              <w:bottom w:val="single" w:sz="4" w:space="0" w:color="auto"/>
            </w:tcBorders>
            <w:shd w:val="clear" w:color="auto" w:fill="auto"/>
          </w:tcPr>
          <w:p w:rsidR="00997637" w:rsidRPr="00C8535E" w:rsidRDefault="00E00BDF" w:rsidP="00F24C8A">
            <w:pPr>
              <w:jc w:val="right"/>
              <w:rPr>
                <w:rFonts w:ascii="Arial" w:hAnsi="Arial" w:cs="Arial"/>
                <w:b/>
                <w:sz w:val="22"/>
                <w:szCs w:val="22"/>
              </w:rPr>
            </w:pPr>
            <w:r w:rsidRPr="00C8535E">
              <w:rPr>
                <w:rFonts w:ascii="Arial" w:hAnsi="Arial" w:cs="Arial"/>
                <w:b/>
                <w:sz w:val="22"/>
                <w:szCs w:val="22"/>
              </w:rPr>
              <w:t>12</w:t>
            </w:r>
            <w:r w:rsidR="00997637" w:rsidRPr="00C8535E">
              <w:rPr>
                <w:rFonts w:ascii="Arial" w:hAnsi="Arial" w:cs="Arial"/>
                <w:b/>
                <w:sz w:val="22"/>
                <w:szCs w:val="22"/>
              </w:rPr>
              <w:t>.</w:t>
            </w:r>
            <w:r w:rsidRPr="00C8535E">
              <w:rPr>
                <w:rFonts w:ascii="Arial" w:hAnsi="Arial" w:cs="Arial"/>
                <w:b/>
                <w:sz w:val="22"/>
                <w:szCs w:val="22"/>
              </w:rPr>
              <w:t>5</w:t>
            </w:r>
            <w:r w:rsidR="00997637" w:rsidRPr="00C8535E">
              <w:rPr>
                <w:rFonts w:ascii="Arial" w:hAnsi="Arial" w:cs="Arial"/>
                <w:b/>
                <w:sz w:val="22"/>
                <w:szCs w:val="22"/>
              </w:rPr>
              <w:t>%</w:t>
            </w:r>
          </w:p>
        </w:tc>
        <w:tc>
          <w:tcPr>
            <w:tcW w:w="614" w:type="pct"/>
            <w:tcBorders>
              <w:top w:val="single" w:sz="4" w:space="0" w:color="auto"/>
              <w:bottom w:val="single" w:sz="4" w:space="0" w:color="auto"/>
            </w:tcBorders>
          </w:tcPr>
          <w:p w:rsidR="00997637" w:rsidRPr="00C8535E" w:rsidRDefault="00997637" w:rsidP="00F24C8A">
            <w:pPr>
              <w:jc w:val="right"/>
              <w:rPr>
                <w:rFonts w:ascii="Arial" w:hAnsi="Arial" w:cs="Arial"/>
                <w:sz w:val="22"/>
                <w:szCs w:val="22"/>
              </w:rPr>
            </w:pPr>
            <w:r w:rsidRPr="00C8535E">
              <w:rPr>
                <w:rFonts w:ascii="Arial" w:hAnsi="Arial" w:cs="Arial"/>
                <w:sz w:val="22"/>
                <w:szCs w:val="22"/>
              </w:rPr>
              <w:t>12.3%</w:t>
            </w:r>
          </w:p>
        </w:tc>
      </w:tr>
    </w:tbl>
    <w:p w:rsidR="00A93D96" w:rsidRDefault="00A93D96">
      <w:pPr>
        <w:jc w:val="left"/>
        <w:rPr>
          <w:rFonts w:ascii="Arial" w:hAnsi="Arial" w:cs="Arial"/>
          <w:b/>
        </w:rPr>
      </w:pPr>
      <w:r>
        <w:rPr>
          <w:rFonts w:ascii="Arial" w:hAnsi="Arial" w:cs="Arial"/>
          <w:b/>
        </w:rPr>
        <w:br w:type="page"/>
      </w:r>
    </w:p>
    <w:p w:rsidR="00997637" w:rsidRPr="00A845B7" w:rsidRDefault="00997637" w:rsidP="00997637">
      <w:pPr>
        <w:jc w:val="left"/>
        <w:rPr>
          <w:rFonts w:ascii="Arial" w:hAnsi="Arial" w:cs="Arial"/>
          <w:b/>
        </w:rPr>
      </w:pPr>
      <w:r w:rsidRPr="00A845B7">
        <w:rPr>
          <w:rFonts w:ascii="Arial" w:hAnsi="Arial" w:cs="Arial"/>
          <w:b/>
        </w:rPr>
        <w:lastRenderedPageBreak/>
        <w:t xml:space="preserve">Free cash flow* </w:t>
      </w:r>
    </w:p>
    <w:p w:rsidR="00997637" w:rsidRPr="00A845B7" w:rsidRDefault="00997637" w:rsidP="00997637">
      <w:pPr>
        <w:jc w:val="left"/>
        <w:rPr>
          <w:rFonts w:ascii="Arial" w:hAnsi="Arial" w:cs="Arial"/>
          <w:b/>
        </w:rPr>
      </w:pPr>
    </w:p>
    <w:p w:rsidR="00997637" w:rsidRPr="00A845B7" w:rsidRDefault="00997637" w:rsidP="00997637">
      <w:pPr>
        <w:jc w:val="left"/>
        <w:rPr>
          <w:rFonts w:ascii="Arial" w:hAnsi="Arial" w:cs="Arial"/>
        </w:rPr>
      </w:pPr>
      <w:r w:rsidRPr="00A845B7">
        <w:rPr>
          <w:rFonts w:ascii="Arial" w:hAnsi="Arial" w:cs="Arial"/>
        </w:rPr>
        <w:t>A reconciliation of free cash flow is set out below:</w:t>
      </w:r>
    </w:p>
    <w:tbl>
      <w:tblPr>
        <w:tblW w:w="5000" w:type="pct"/>
        <w:tblInd w:w="98" w:type="dxa"/>
        <w:tblLayout w:type="fixed"/>
        <w:tblLook w:val="0000" w:firstRow="0" w:lastRow="0" w:firstColumn="0" w:lastColumn="0" w:noHBand="0" w:noVBand="0"/>
      </w:tblPr>
      <w:tblGrid>
        <w:gridCol w:w="6623"/>
        <w:gridCol w:w="321"/>
        <w:gridCol w:w="1259"/>
        <w:gridCol w:w="1438"/>
      </w:tblGrid>
      <w:tr w:rsidR="00997637" w:rsidRPr="00A845B7" w:rsidTr="006F78D1">
        <w:trPr>
          <w:trHeight w:val="555"/>
        </w:trPr>
        <w:tc>
          <w:tcPr>
            <w:tcW w:w="6531" w:type="dxa"/>
            <w:shd w:val="clear" w:color="auto" w:fill="auto"/>
            <w:vAlign w:val="bottom"/>
          </w:tcPr>
          <w:p w:rsidR="00997637" w:rsidRPr="00A845B7" w:rsidRDefault="00997637" w:rsidP="00F24C8A">
            <w:pPr>
              <w:jc w:val="left"/>
              <w:rPr>
                <w:rFonts w:ascii="Arial" w:hAnsi="Arial" w:cs="Arial"/>
                <w:bCs/>
              </w:rPr>
            </w:pPr>
          </w:p>
        </w:tc>
        <w:tc>
          <w:tcPr>
            <w:tcW w:w="1559" w:type="dxa"/>
            <w:gridSpan w:val="2"/>
          </w:tcPr>
          <w:p w:rsidR="00997637" w:rsidRPr="00A845B7" w:rsidRDefault="00997637" w:rsidP="00F24C8A">
            <w:pPr>
              <w:jc w:val="right"/>
              <w:rPr>
                <w:rFonts w:ascii="Arial" w:hAnsi="Arial" w:cs="Arial"/>
                <w:b/>
                <w:bCs/>
              </w:rPr>
            </w:pPr>
            <w:r w:rsidRPr="00A845B7">
              <w:rPr>
                <w:rFonts w:ascii="Arial" w:hAnsi="Arial" w:cs="Arial"/>
                <w:b/>
                <w:bCs/>
              </w:rPr>
              <w:t>2016/17</w:t>
            </w:r>
          </w:p>
          <w:p w:rsidR="00997637" w:rsidRPr="00A845B7" w:rsidRDefault="00997637" w:rsidP="00F24C8A">
            <w:pPr>
              <w:jc w:val="right"/>
              <w:rPr>
                <w:rFonts w:ascii="Arial" w:hAnsi="Arial" w:cs="Arial"/>
                <w:b/>
                <w:bCs/>
              </w:rPr>
            </w:pPr>
            <w:r w:rsidRPr="00A845B7">
              <w:rPr>
                <w:rFonts w:ascii="Arial" w:hAnsi="Arial" w:cs="Arial"/>
                <w:b/>
                <w:bCs/>
              </w:rPr>
              <w:t>£m</w:t>
            </w:r>
          </w:p>
        </w:tc>
        <w:tc>
          <w:tcPr>
            <w:tcW w:w="1418" w:type="dxa"/>
          </w:tcPr>
          <w:p w:rsidR="00997637" w:rsidRPr="00A845B7" w:rsidRDefault="00997637" w:rsidP="00F24C8A">
            <w:pPr>
              <w:jc w:val="right"/>
              <w:rPr>
                <w:rFonts w:ascii="Arial" w:hAnsi="Arial" w:cs="Arial"/>
                <w:bCs/>
              </w:rPr>
            </w:pPr>
            <w:r w:rsidRPr="00A845B7">
              <w:rPr>
                <w:rFonts w:ascii="Arial" w:hAnsi="Arial" w:cs="Arial"/>
                <w:bCs/>
              </w:rPr>
              <w:t>2015/16</w:t>
            </w:r>
          </w:p>
          <w:p w:rsidR="00997637" w:rsidRPr="00A845B7" w:rsidRDefault="00997637" w:rsidP="00F24C8A">
            <w:pPr>
              <w:jc w:val="right"/>
              <w:rPr>
                <w:rFonts w:ascii="Arial" w:hAnsi="Arial" w:cs="Arial"/>
                <w:bCs/>
              </w:rPr>
            </w:pPr>
            <w:r w:rsidRPr="00A845B7">
              <w:rPr>
                <w:rFonts w:ascii="Arial" w:hAnsi="Arial" w:cs="Arial"/>
                <w:bCs/>
              </w:rPr>
              <w:t xml:space="preserve">£m </w:t>
            </w:r>
          </w:p>
        </w:tc>
      </w:tr>
      <w:tr w:rsidR="00997637" w:rsidRPr="00A845B7" w:rsidTr="006F78D1">
        <w:trPr>
          <w:trHeight w:val="255"/>
        </w:trPr>
        <w:tc>
          <w:tcPr>
            <w:tcW w:w="6848" w:type="dxa"/>
            <w:gridSpan w:val="2"/>
            <w:tcBorders>
              <w:top w:val="single" w:sz="4" w:space="0" w:color="auto"/>
            </w:tcBorders>
            <w:shd w:val="clear" w:color="auto" w:fill="auto"/>
            <w:vAlign w:val="bottom"/>
          </w:tcPr>
          <w:p w:rsidR="00997637" w:rsidRPr="00A845B7" w:rsidRDefault="00997637" w:rsidP="00F24C8A">
            <w:pPr>
              <w:rPr>
                <w:rFonts w:ascii="Arial" w:hAnsi="Arial" w:cs="Arial"/>
                <w:b/>
              </w:rPr>
            </w:pPr>
            <w:r w:rsidRPr="00A845B7">
              <w:rPr>
                <w:rFonts w:ascii="Arial" w:hAnsi="Arial" w:cs="Arial"/>
                <w:b/>
              </w:rPr>
              <w:t xml:space="preserve">Operating profit </w:t>
            </w:r>
          </w:p>
        </w:tc>
        <w:tc>
          <w:tcPr>
            <w:tcW w:w="1242" w:type="dxa"/>
            <w:tcBorders>
              <w:top w:val="single" w:sz="4" w:space="0" w:color="auto"/>
            </w:tcBorders>
            <w:vAlign w:val="bottom"/>
          </w:tcPr>
          <w:p w:rsidR="00997637" w:rsidRPr="00A845B7" w:rsidRDefault="00997637" w:rsidP="00F24C8A">
            <w:pPr>
              <w:jc w:val="right"/>
              <w:rPr>
                <w:rFonts w:ascii="Arial" w:hAnsi="Arial" w:cs="Arial"/>
                <w:b/>
              </w:rPr>
            </w:pPr>
            <w:r w:rsidRPr="00A845B7">
              <w:rPr>
                <w:rFonts w:ascii="Arial" w:hAnsi="Arial" w:cs="Arial"/>
                <w:b/>
              </w:rPr>
              <w:t>7</w:t>
            </w:r>
            <w:r w:rsidR="0012154B">
              <w:rPr>
                <w:rFonts w:ascii="Arial" w:hAnsi="Arial" w:cs="Arial"/>
                <w:b/>
              </w:rPr>
              <w:t>73</w:t>
            </w:r>
          </w:p>
        </w:tc>
        <w:tc>
          <w:tcPr>
            <w:tcW w:w="1418" w:type="dxa"/>
            <w:tcBorders>
              <w:top w:val="single" w:sz="4" w:space="0" w:color="auto"/>
            </w:tcBorders>
            <w:vAlign w:val="bottom"/>
          </w:tcPr>
          <w:p w:rsidR="00997637" w:rsidRPr="00A845B7" w:rsidRDefault="0012154B" w:rsidP="00F24C8A">
            <w:pPr>
              <w:jc w:val="right"/>
              <w:rPr>
                <w:rFonts w:ascii="Arial" w:hAnsi="Arial" w:cs="Arial"/>
              </w:rPr>
            </w:pPr>
            <w:r>
              <w:rPr>
                <w:rFonts w:ascii="Arial" w:hAnsi="Arial" w:cs="Arial"/>
              </w:rPr>
              <w:t>526</w:t>
            </w:r>
          </w:p>
        </w:tc>
      </w:tr>
      <w:tr w:rsidR="00997637" w:rsidRPr="00A845B7" w:rsidTr="006F78D1">
        <w:trPr>
          <w:trHeight w:val="270"/>
        </w:trPr>
        <w:tc>
          <w:tcPr>
            <w:tcW w:w="6848" w:type="dxa"/>
            <w:gridSpan w:val="2"/>
            <w:shd w:val="clear" w:color="auto" w:fill="auto"/>
            <w:vAlign w:val="bottom"/>
          </w:tcPr>
          <w:p w:rsidR="00997637" w:rsidRPr="00A845B7" w:rsidRDefault="0012154B" w:rsidP="00F24C8A">
            <w:pPr>
              <w:rPr>
                <w:rFonts w:ascii="Arial" w:hAnsi="Arial" w:cs="Arial"/>
              </w:rPr>
            </w:pPr>
            <w:r>
              <w:rPr>
                <w:rFonts w:ascii="Arial" w:hAnsi="Arial" w:cs="Arial"/>
              </w:rPr>
              <w:t>Exceptional items</w:t>
            </w:r>
          </w:p>
        </w:tc>
        <w:tc>
          <w:tcPr>
            <w:tcW w:w="1242" w:type="dxa"/>
            <w:vAlign w:val="bottom"/>
          </w:tcPr>
          <w:p w:rsidR="00997637" w:rsidRPr="00E47A93" w:rsidRDefault="0012154B" w:rsidP="00F24C8A">
            <w:pPr>
              <w:jc w:val="right"/>
              <w:rPr>
                <w:rFonts w:ascii="Arial" w:hAnsi="Arial" w:cs="Arial"/>
                <w:b/>
              </w:rPr>
            </w:pPr>
            <w:r w:rsidRPr="00E47A93">
              <w:rPr>
                <w:rFonts w:ascii="Arial" w:hAnsi="Arial" w:cs="Arial"/>
                <w:b/>
              </w:rPr>
              <w:t>(23)</w:t>
            </w:r>
          </w:p>
        </w:tc>
        <w:tc>
          <w:tcPr>
            <w:tcW w:w="1418" w:type="dxa"/>
            <w:vAlign w:val="bottom"/>
          </w:tcPr>
          <w:p w:rsidR="00997637" w:rsidRPr="00A845B7" w:rsidRDefault="0012154B" w:rsidP="00F24C8A">
            <w:pPr>
              <w:jc w:val="right"/>
              <w:rPr>
                <w:rFonts w:ascii="Arial" w:hAnsi="Arial" w:cs="Arial"/>
              </w:rPr>
            </w:pPr>
            <w:r>
              <w:rPr>
                <w:rFonts w:ascii="Arial" w:hAnsi="Arial" w:cs="Arial"/>
              </w:rPr>
              <w:t>166</w:t>
            </w:r>
          </w:p>
        </w:tc>
      </w:tr>
      <w:tr w:rsidR="0012154B" w:rsidRPr="00A845B7" w:rsidTr="006F78D1">
        <w:trPr>
          <w:trHeight w:val="247"/>
        </w:trPr>
        <w:tc>
          <w:tcPr>
            <w:tcW w:w="6848" w:type="dxa"/>
            <w:gridSpan w:val="2"/>
            <w:tcBorders>
              <w:top w:val="single" w:sz="4" w:space="0" w:color="auto"/>
            </w:tcBorders>
            <w:shd w:val="clear" w:color="auto" w:fill="auto"/>
            <w:vAlign w:val="bottom"/>
          </w:tcPr>
          <w:p w:rsidR="0012154B" w:rsidRPr="00A845B7" w:rsidRDefault="0012154B" w:rsidP="0012154B">
            <w:pPr>
              <w:rPr>
                <w:rFonts w:ascii="Arial" w:hAnsi="Arial" w:cs="Arial"/>
              </w:rPr>
            </w:pPr>
            <w:r>
              <w:rPr>
                <w:rFonts w:ascii="Arial" w:hAnsi="Arial" w:cs="Arial"/>
                <w:b/>
              </w:rPr>
              <w:t>Operating profit (before exceptional items)</w:t>
            </w:r>
          </w:p>
        </w:tc>
        <w:tc>
          <w:tcPr>
            <w:tcW w:w="1242" w:type="dxa"/>
            <w:tcBorders>
              <w:top w:val="single" w:sz="4" w:space="0" w:color="auto"/>
            </w:tcBorders>
            <w:vAlign w:val="bottom"/>
          </w:tcPr>
          <w:p w:rsidR="0012154B" w:rsidRPr="0012154B" w:rsidRDefault="0012154B" w:rsidP="0012154B">
            <w:pPr>
              <w:jc w:val="right"/>
              <w:rPr>
                <w:rFonts w:ascii="Arial" w:hAnsi="Arial" w:cs="Arial"/>
                <w:b/>
              </w:rPr>
            </w:pPr>
            <w:r>
              <w:rPr>
                <w:rFonts w:ascii="Arial" w:hAnsi="Arial" w:cs="Arial"/>
                <w:b/>
              </w:rPr>
              <w:t>750</w:t>
            </w:r>
          </w:p>
        </w:tc>
        <w:tc>
          <w:tcPr>
            <w:tcW w:w="1418" w:type="dxa"/>
            <w:tcBorders>
              <w:top w:val="single" w:sz="4" w:space="0" w:color="auto"/>
            </w:tcBorders>
            <w:vAlign w:val="bottom"/>
          </w:tcPr>
          <w:p w:rsidR="0012154B" w:rsidRPr="00A845B7" w:rsidRDefault="0012154B" w:rsidP="0012154B">
            <w:pPr>
              <w:jc w:val="right"/>
              <w:rPr>
                <w:rFonts w:ascii="Arial" w:hAnsi="Arial" w:cs="Arial"/>
              </w:rPr>
            </w:pPr>
            <w:r>
              <w:rPr>
                <w:rFonts w:ascii="Arial" w:hAnsi="Arial" w:cs="Arial"/>
              </w:rPr>
              <w:t>692</w:t>
            </w:r>
          </w:p>
        </w:tc>
      </w:tr>
      <w:tr w:rsidR="0012154B" w:rsidRPr="00A845B7" w:rsidTr="006F78D1">
        <w:trPr>
          <w:trHeight w:val="247"/>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Other non-cash items</w:t>
            </w:r>
            <w:r>
              <w:rPr>
                <w:rFonts w:ascii="Arial" w:hAnsi="Arial" w:cs="Arial"/>
                <w:vertAlign w:val="superscript"/>
              </w:rPr>
              <w:t xml:space="preserve"> </w:t>
            </w:r>
            <w:r w:rsidRPr="00A845B7">
              <w:rPr>
                <w:rFonts w:ascii="Arial" w:hAnsi="Arial" w:cs="Arial"/>
                <w:vertAlign w:val="superscript"/>
              </w:rPr>
              <w:t>(1)</w:t>
            </w:r>
          </w:p>
        </w:tc>
        <w:tc>
          <w:tcPr>
            <w:tcW w:w="1242" w:type="dxa"/>
            <w:vAlign w:val="bottom"/>
          </w:tcPr>
          <w:p w:rsidR="0012154B" w:rsidRPr="00A845B7" w:rsidRDefault="0012154B" w:rsidP="0012154B">
            <w:pPr>
              <w:jc w:val="right"/>
              <w:rPr>
                <w:rFonts w:ascii="Arial" w:hAnsi="Arial" w:cs="Arial"/>
                <w:b/>
              </w:rPr>
            </w:pPr>
            <w:r w:rsidRPr="00A845B7">
              <w:rPr>
                <w:rFonts w:ascii="Arial" w:hAnsi="Arial" w:cs="Arial"/>
                <w:b/>
              </w:rPr>
              <w:t>2</w:t>
            </w:r>
            <w:r>
              <w:rPr>
                <w:rFonts w:ascii="Arial" w:hAnsi="Arial" w:cs="Arial"/>
                <w:b/>
              </w:rPr>
              <w:t>95</w:t>
            </w:r>
          </w:p>
        </w:tc>
        <w:tc>
          <w:tcPr>
            <w:tcW w:w="1418" w:type="dxa"/>
            <w:vAlign w:val="bottom"/>
          </w:tcPr>
          <w:p w:rsidR="0012154B" w:rsidRPr="00A845B7" w:rsidRDefault="0012154B" w:rsidP="0012154B">
            <w:pPr>
              <w:jc w:val="right"/>
              <w:rPr>
                <w:rFonts w:ascii="Arial" w:hAnsi="Arial" w:cs="Arial"/>
              </w:rPr>
            </w:pPr>
            <w:r w:rsidRPr="00A845B7">
              <w:rPr>
                <w:rFonts w:ascii="Arial" w:hAnsi="Arial" w:cs="Arial"/>
              </w:rPr>
              <w:t>265</w:t>
            </w:r>
          </w:p>
        </w:tc>
      </w:tr>
      <w:tr w:rsidR="0012154B" w:rsidRPr="00A845B7" w:rsidTr="006F78D1">
        <w:trPr>
          <w:trHeight w:val="247"/>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Change in working capital</w:t>
            </w:r>
          </w:p>
        </w:tc>
        <w:tc>
          <w:tcPr>
            <w:tcW w:w="1242" w:type="dxa"/>
            <w:vAlign w:val="bottom"/>
          </w:tcPr>
          <w:p w:rsidR="0012154B" w:rsidRPr="00A845B7" w:rsidRDefault="001A767F" w:rsidP="0012154B">
            <w:pPr>
              <w:jc w:val="right"/>
              <w:rPr>
                <w:rFonts w:ascii="Arial" w:hAnsi="Arial" w:cs="Arial"/>
                <w:b/>
              </w:rPr>
            </w:pPr>
            <w:r>
              <w:rPr>
                <w:rFonts w:ascii="Arial" w:hAnsi="Arial" w:cs="Arial"/>
                <w:b/>
              </w:rPr>
              <w:t>17</w:t>
            </w:r>
          </w:p>
        </w:tc>
        <w:tc>
          <w:tcPr>
            <w:tcW w:w="1418" w:type="dxa"/>
            <w:vAlign w:val="bottom"/>
          </w:tcPr>
          <w:p w:rsidR="0012154B" w:rsidRPr="00A845B7" w:rsidRDefault="0012154B" w:rsidP="0012154B">
            <w:pPr>
              <w:jc w:val="right"/>
              <w:rPr>
                <w:rFonts w:ascii="Arial" w:hAnsi="Arial" w:cs="Arial"/>
              </w:rPr>
            </w:pPr>
            <w:r w:rsidRPr="00A845B7">
              <w:rPr>
                <w:rFonts w:ascii="Arial" w:hAnsi="Arial" w:cs="Arial"/>
              </w:rPr>
              <w:t>31</w:t>
            </w:r>
          </w:p>
        </w:tc>
      </w:tr>
      <w:tr w:rsidR="0012154B" w:rsidRPr="00A845B7" w:rsidTr="006F78D1">
        <w:trPr>
          <w:trHeight w:val="255"/>
        </w:trPr>
        <w:tc>
          <w:tcPr>
            <w:tcW w:w="6848" w:type="dxa"/>
            <w:gridSpan w:val="2"/>
            <w:tcBorders>
              <w:bottom w:val="single" w:sz="4" w:space="0" w:color="auto"/>
            </w:tcBorders>
            <w:shd w:val="clear" w:color="auto" w:fill="auto"/>
            <w:vAlign w:val="bottom"/>
          </w:tcPr>
          <w:p w:rsidR="0012154B" w:rsidRPr="00A845B7" w:rsidRDefault="0012154B" w:rsidP="0012154B">
            <w:pPr>
              <w:rPr>
                <w:rFonts w:ascii="Arial" w:hAnsi="Arial" w:cs="Arial"/>
              </w:rPr>
            </w:pPr>
            <w:r w:rsidRPr="00A845B7">
              <w:rPr>
                <w:rFonts w:ascii="Arial" w:hAnsi="Arial" w:cs="Arial"/>
              </w:rPr>
              <w:t>Pensions and provisions</w:t>
            </w:r>
          </w:p>
        </w:tc>
        <w:tc>
          <w:tcPr>
            <w:tcW w:w="1242" w:type="dxa"/>
            <w:tcBorders>
              <w:bottom w:val="single" w:sz="4" w:space="0" w:color="auto"/>
            </w:tcBorders>
            <w:vAlign w:val="bottom"/>
          </w:tcPr>
          <w:p w:rsidR="0012154B" w:rsidRPr="00A845B7" w:rsidRDefault="0012154B" w:rsidP="0012154B">
            <w:pPr>
              <w:jc w:val="right"/>
              <w:rPr>
                <w:rFonts w:ascii="Arial" w:hAnsi="Arial" w:cs="Arial"/>
                <w:b/>
              </w:rPr>
            </w:pPr>
            <w:r w:rsidRPr="00A845B7">
              <w:rPr>
                <w:rFonts w:ascii="Arial" w:hAnsi="Arial" w:cs="Arial"/>
                <w:b/>
              </w:rPr>
              <w:t>(</w:t>
            </w:r>
            <w:r w:rsidR="001A767F">
              <w:rPr>
                <w:rFonts w:ascii="Arial" w:hAnsi="Arial" w:cs="Arial"/>
                <w:b/>
              </w:rPr>
              <w:t>46</w:t>
            </w:r>
            <w:r w:rsidRPr="00A845B7">
              <w:rPr>
                <w:rFonts w:ascii="Arial" w:hAnsi="Arial" w:cs="Arial"/>
                <w:b/>
              </w:rPr>
              <w:t>)</w:t>
            </w:r>
          </w:p>
        </w:tc>
        <w:tc>
          <w:tcPr>
            <w:tcW w:w="1418" w:type="dxa"/>
            <w:tcBorders>
              <w:bottom w:val="single" w:sz="4" w:space="0" w:color="auto"/>
            </w:tcBorders>
            <w:vAlign w:val="bottom"/>
          </w:tcPr>
          <w:p w:rsidR="0012154B" w:rsidRPr="00A845B7" w:rsidRDefault="0012154B" w:rsidP="0012154B">
            <w:pPr>
              <w:jc w:val="right"/>
              <w:rPr>
                <w:rFonts w:ascii="Arial" w:hAnsi="Arial" w:cs="Arial"/>
              </w:rPr>
            </w:pPr>
            <w:r w:rsidRPr="00A845B7">
              <w:rPr>
                <w:rFonts w:ascii="Arial" w:hAnsi="Arial" w:cs="Arial"/>
              </w:rPr>
              <w:t>(42)</w:t>
            </w:r>
          </w:p>
        </w:tc>
      </w:tr>
      <w:tr w:rsidR="0012154B" w:rsidRPr="00A845B7" w:rsidTr="006F78D1">
        <w:trPr>
          <w:trHeight w:val="255"/>
        </w:trPr>
        <w:tc>
          <w:tcPr>
            <w:tcW w:w="6848" w:type="dxa"/>
            <w:gridSpan w:val="2"/>
            <w:tcBorders>
              <w:top w:val="single" w:sz="4" w:space="0" w:color="auto"/>
            </w:tcBorders>
            <w:shd w:val="clear" w:color="auto" w:fill="auto"/>
            <w:vAlign w:val="bottom"/>
          </w:tcPr>
          <w:p w:rsidR="0012154B" w:rsidRPr="00A845B7" w:rsidRDefault="0012154B" w:rsidP="0012154B">
            <w:pPr>
              <w:rPr>
                <w:rFonts w:ascii="Arial" w:hAnsi="Arial" w:cs="Arial"/>
              </w:rPr>
            </w:pPr>
            <w:r w:rsidRPr="00A845B7">
              <w:rPr>
                <w:rFonts w:ascii="Arial" w:hAnsi="Arial" w:cs="Arial"/>
              </w:rPr>
              <w:t>Operating cash flow</w:t>
            </w:r>
          </w:p>
        </w:tc>
        <w:tc>
          <w:tcPr>
            <w:tcW w:w="1242" w:type="dxa"/>
            <w:tcBorders>
              <w:top w:val="single" w:sz="4" w:space="0" w:color="auto"/>
            </w:tcBorders>
            <w:vAlign w:val="bottom"/>
          </w:tcPr>
          <w:p w:rsidR="0012154B" w:rsidRPr="00A845B7" w:rsidRDefault="0012154B" w:rsidP="0012154B">
            <w:pPr>
              <w:jc w:val="right"/>
              <w:rPr>
                <w:rFonts w:ascii="Arial" w:hAnsi="Arial" w:cs="Arial"/>
                <w:b/>
              </w:rPr>
            </w:pPr>
            <w:r w:rsidRPr="00A845B7">
              <w:rPr>
                <w:rFonts w:ascii="Arial" w:hAnsi="Arial" w:cs="Arial"/>
                <w:b/>
              </w:rPr>
              <w:t>1,01</w:t>
            </w:r>
            <w:r>
              <w:rPr>
                <w:rFonts w:ascii="Arial" w:hAnsi="Arial" w:cs="Arial"/>
                <w:b/>
              </w:rPr>
              <w:t>6</w:t>
            </w:r>
          </w:p>
        </w:tc>
        <w:tc>
          <w:tcPr>
            <w:tcW w:w="1418" w:type="dxa"/>
            <w:tcBorders>
              <w:top w:val="single" w:sz="4" w:space="0" w:color="auto"/>
            </w:tcBorders>
            <w:vAlign w:val="bottom"/>
          </w:tcPr>
          <w:p w:rsidR="0012154B" w:rsidRPr="00A845B7" w:rsidRDefault="0012154B" w:rsidP="0012154B">
            <w:pPr>
              <w:jc w:val="right"/>
              <w:rPr>
                <w:rFonts w:ascii="Arial" w:hAnsi="Arial" w:cs="Arial"/>
              </w:rPr>
            </w:pPr>
            <w:r w:rsidRPr="00A845B7">
              <w:rPr>
                <w:rFonts w:ascii="Arial" w:hAnsi="Arial" w:cs="Arial"/>
              </w:rPr>
              <w:t>946</w:t>
            </w:r>
          </w:p>
        </w:tc>
      </w:tr>
      <w:tr w:rsidR="0012154B" w:rsidRPr="00A845B7" w:rsidTr="006F78D1">
        <w:trPr>
          <w:trHeight w:val="311"/>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Net interest paid</w:t>
            </w:r>
          </w:p>
        </w:tc>
        <w:tc>
          <w:tcPr>
            <w:tcW w:w="1242" w:type="dxa"/>
            <w:vAlign w:val="bottom"/>
          </w:tcPr>
          <w:p w:rsidR="0012154B" w:rsidRPr="00A845B7" w:rsidRDefault="0012154B" w:rsidP="0012154B">
            <w:pPr>
              <w:jc w:val="right"/>
              <w:rPr>
                <w:rFonts w:ascii="Arial" w:hAnsi="Arial" w:cs="Arial"/>
                <w:b/>
              </w:rPr>
            </w:pPr>
            <w:r w:rsidRPr="00A845B7">
              <w:rPr>
                <w:rFonts w:ascii="Arial" w:hAnsi="Arial" w:cs="Arial"/>
                <w:b/>
              </w:rPr>
              <w:t>(</w:t>
            </w:r>
            <w:r>
              <w:rPr>
                <w:rFonts w:ascii="Arial" w:hAnsi="Arial" w:cs="Arial"/>
                <w:b/>
              </w:rPr>
              <w:t>7</w:t>
            </w:r>
            <w:r w:rsidRPr="00A845B7">
              <w:rPr>
                <w:rFonts w:ascii="Arial" w:hAnsi="Arial" w:cs="Arial"/>
                <w:b/>
              </w:rPr>
              <w:t>)</w:t>
            </w:r>
          </w:p>
        </w:tc>
        <w:tc>
          <w:tcPr>
            <w:tcW w:w="1418" w:type="dxa"/>
            <w:vAlign w:val="bottom"/>
          </w:tcPr>
          <w:p w:rsidR="0012154B" w:rsidRPr="00A845B7" w:rsidRDefault="0012154B" w:rsidP="0012154B">
            <w:pPr>
              <w:jc w:val="right"/>
              <w:rPr>
                <w:rFonts w:ascii="Arial" w:hAnsi="Arial" w:cs="Arial"/>
              </w:rPr>
            </w:pPr>
            <w:r w:rsidRPr="00A845B7">
              <w:rPr>
                <w:rFonts w:ascii="Arial" w:hAnsi="Arial" w:cs="Arial"/>
              </w:rPr>
              <w:t>(12)</w:t>
            </w:r>
          </w:p>
        </w:tc>
      </w:tr>
      <w:tr w:rsidR="0012154B" w:rsidRPr="00A845B7" w:rsidTr="006F78D1">
        <w:trPr>
          <w:trHeight w:val="270"/>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Tax paid</w:t>
            </w:r>
          </w:p>
        </w:tc>
        <w:tc>
          <w:tcPr>
            <w:tcW w:w="1242" w:type="dxa"/>
            <w:vAlign w:val="bottom"/>
          </w:tcPr>
          <w:p w:rsidR="0012154B" w:rsidRPr="00A845B7" w:rsidRDefault="0012154B" w:rsidP="0012154B">
            <w:pPr>
              <w:jc w:val="right"/>
              <w:rPr>
                <w:rFonts w:ascii="Arial" w:hAnsi="Arial" w:cs="Arial"/>
                <w:b/>
              </w:rPr>
            </w:pPr>
            <w:r w:rsidRPr="00A845B7">
              <w:rPr>
                <w:rFonts w:ascii="Arial" w:hAnsi="Arial" w:cs="Arial"/>
                <w:b/>
              </w:rPr>
              <w:t>(144)</w:t>
            </w:r>
          </w:p>
        </w:tc>
        <w:tc>
          <w:tcPr>
            <w:tcW w:w="1418" w:type="dxa"/>
            <w:vAlign w:val="bottom"/>
          </w:tcPr>
          <w:p w:rsidR="0012154B" w:rsidRPr="00A845B7" w:rsidRDefault="0012154B" w:rsidP="0012154B">
            <w:pPr>
              <w:jc w:val="right"/>
              <w:rPr>
                <w:rFonts w:ascii="Arial" w:hAnsi="Arial" w:cs="Arial"/>
              </w:rPr>
            </w:pPr>
            <w:r w:rsidRPr="00A845B7">
              <w:rPr>
                <w:rFonts w:ascii="Arial" w:hAnsi="Arial" w:cs="Arial"/>
              </w:rPr>
              <w:t>(118)</w:t>
            </w:r>
          </w:p>
        </w:tc>
      </w:tr>
      <w:tr w:rsidR="0012154B" w:rsidRPr="00A845B7" w:rsidTr="006F78D1">
        <w:trPr>
          <w:trHeight w:val="270"/>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 xml:space="preserve">Gross capital expenditure </w:t>
            </w:r>
          </w:p>
        </w:tc>
        <w:tc>
          <w:tcPr>
            <w:tcW w:w="1242" w:type="dxa"/>
            <w:vAlign w:val="bottom"/>
          </w:tcPr>
          <w:p w:rsidR="0012154B" w:rsidRPr="00A845B7" w:rsidRDefault="0012154B" w:rsidP="0012154B">
            <w:pPr>
              <w:jc w:val="right"/>
              <w:rPr>
                <w:rFonts w:ascii="Arial" w:hAnsi="Arial" w:cs="Arial"/>
                <w:b/>
              </w:rPr>
            </w:pPr>
            <w:r w:rsidRPr="00A845B7">
              <w:rPr>
                <w:rFonts w:ascii="Arial" w:hAnsi="Arial" w:cs="Arial"/>
                <w:b/>
              </w:rPr>
              <w:t>(406)</w:t>
            </w:r>
          </w:p>
        </w:tc>
        <w:tc>
          <w:tcPr>
            <w:tcW w:w="1418" w:type="dxa"/>
            <w:vAlign w:val="bottom"/>
          </w:tcPr>
          <w:p w:rsidR="0012154B" w:rsidRPr="00A845B7" w:rsidRDefault="0012154B" w:rsidP="0012154B">
            <w:pPr>
              <w:jc w:val="right"/>
              <w:rPr>
                <w:rFonts w:ascii="Arial" w:hAnsi="Arial" w:cs="Arial"/>
              </w:rPr>
            </w:pPr>
            <w:r w:rsidRPr="00A845B7">
              <w:rPr>
                <w:rFonts w:ascii="Arial" w:hAnsi="Arial" w:cs="Arial"/>
              </w:rPr>
              <w:t>(333)</w:t>
            </w:r>
          </w:p>
        </w:tc>
      </w:tr>
      <w:tr w:rsidR="0012154B" w:rsidRPr="00A845B7" w:rsidTr="006F78D1">
        <w:trPr>
          <w:trHeight w:val="270"/>
        </w:trPr>
        <w:tc>
          <w:tcPr>
            <w:tcW w:w="6848" w:type="dxa"/>
            <w:gridSpan w:val="2"/>
            <w:tcBorders>
              <w:top w:val="single" w:sz="4" w:space="0" w:color="auto"/>
            </w:tcBorders>
            <w:shd w:val="clear" w:color="auto" w:fill="auto"/>
            <w:vAlign w:val="bottom"/>
          </w:tcPr>
          <w:p w:rsidR="0012154B" w:rsidRPr="00A845B7" w:rsidRDefault="0012154B" w:rsidP="0012154B">
            <w:pPr>
              <w:rPr>
                <w:rFonts w:ascii="Arial" w:hAnsi="Arial" w:cs="Arial"/>
                <w:b/>
              </w:rPr>
            </w:pPr>
            <w:r w:rsidRPr="00A845B7">
              <w:rPr>
                <w:rFonts w:ascii="Arial" w:hAnsi="Arial" w:cs="Arial"/>
                <w:b/>
              </w:rPr>
              <w:t>Free cash flow</w:t>
            </w:r>
          </w:p>
        </w:tc>
        <w:tc>
          <w:tcPr>
            <w:tcW w:w="1242" w:type="dxa"/>
            <w:tcBorders>
              <w:top w:val="single" w:sz="4" w:space="0" w:color="auto"/>
            </w:tcBorders>
            <w:vAlign w:val="bottom"/>
          </w:tcPr>
          <w:p w:rsidR="0012154B" w:rsidRPr="00A845B7" w:rsidRDefault="0012154B" w:rsidP="0012154B">
            <w:pPr>
              <w:jc w:val="right"/>
              <w:rPr>
                <w:rFonts w:ascii="Arial" w:hAnsi="Arial" w:cs="Arial"/>
                <w:b/>
              </w:rPr>
            </w:pPr>
            <w:r w:rsidRPr="00A845B7">
              <w:rPr>
                <w:rFonts w:ascii="Arial" w:hAnsi="Arial" w:cs="Arial"/>
                <w:b/>
              </w:rPr>
              <w:t>45</w:t>
            </w:r>
            <w:r>
              <w:rPr>
                <w:rFonts w:ascii="Arial" w:hAnsi="Arial" w:cs="Arial"/>
                <w:b/>
              </w:rPr>
              <w:t>9</w:t>
            </w:r>
          </w:p>
        </w:tc>
        <w:tc>
          <w:tcPr>
            <w:tcW w:w="1418" w:type="dxa"/>
            <w:tcBorders>
              <w:top w:val="single" w:sz="4" w:space="0" w:color="auto"/>
            </w:tcBorders>
            <w:vAlign w:val="bottom"/>
          </w:tcPr>
          <w:p w:rsidR="0012154B" w:rsidRPr="00A845B7" w:rsidRDefault="0012154B" w:rsidP="0012154B">
            <w:pPr>
              <w:jc w:val="right"/>
              <w:rPr>
                <w:rFonts w:ascii="Arial" w:hAnsi="Arial" w:cs="Arial"/>
              </w:rPr>
            </w:pPr>
            <w:r w:rsidRPr="00A845B7">
              <w:rPr>
                <w:rFonts w:ascii="Arial" w:hAnsi="Arial" w:cs="Arial"/>
              </w:rPr>
              <w:t>483</w:t>
            </w:r>
          </w:p>
        </w:tc>
      </w:tr>
      <w:tr w:rsidR="0012154B" w:rsidRPr="00A845B7" w:rsidTr="006F78D1">
        <w:trPr>
          <w:trHeight w:val="270"/>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Ordinary dividends paid</w:t>
            </w:r>
          </w:p>
        </w:tc>
        <w:tc>
          <w:tcPr>
            <w:tcW w:w="1242" w:type="dxa"/>
            <w:vAlign w:val="bottom"/>
          </w:tcPr>
          <w:p w:rsidR="0012154B" w:rsidRPr="00A845B7" w:rsidRDefault="0012154B" w:rsidP="0012154B">
            <w:pPr>
              <w:jc w:val="right"/>
              <w:rPr>
                <w:rFonts w:ascii="Arial" w:hAnsi="Arial" w:cs="Arial"/>
                <w:b/>
              </w:rPr>
            </w:pPr>
            <w:r w:rsidRPr="00A845B7">
              <w:rPr>
                <w:rFonts w:ascii="Arial" w:hAnsi="Arial" w:cs="Arial"/>
                <w:b/>
              </w:rPr>
              <w:t>(230)</w:t>
            </w:r>
          </w:p>
        </w:tc>
        <w:tc>
          <w:tcPr>
            <w:tcW w:w="1418" w:type="dxa"/>
          </w:tcPr>
          <w:p w:rsidR="0012154B" w:rsidRPr="00A845B7" w:rsidRDefault="0012154B" w:rsidP="0012154B">
            <w:pPr>
              <w:jc w:val="right"/>
              <w:rPr>
                <w:rFonts w:ascii="Arial" w:hAnsi="Arial" w:cs="Arial"/>
              </w:rPr>
            </w:pPr>
            <w:r w:rsidRPr="00A845B7">
              <w:rPr>
                <w:rFonts w:ascii="Arial" w:hAnsi="Arial" w:cs="Arial"/>
              </w:rPr>
              <w:t>(232)</w:t>
            </w:r>
          </w:p>
        </w:tc>
      </w:tr>
      <w:tr w:rsidR="0012154B" w:rsidRPr="00A845B7" w:rsidTr="006F78D1">
        <w:trPr>
          <w:trHeight w:val="270"/>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Share buyback</w:t>
            </w:r>
          </w:p>
        </w:tc>
        <w:tc>
          <w:tcPr>
            <w:tcW w:w="1242" w:type="dxa"/>
            <w:vAlign w:val="bottom"/>
          </w:tcPr>
          <w:p w:rsidR="0012154B" w:rsidRPr="00A845B7" w:rsidRDefault="0012154B" w:rsidP="0012154B">
            <w:pPr>
              <w:jc w:val="right"/>
              <w:rPr>
                <w:rFonts w:ascii="Arial" w:hAnsi="Arial" w:cs="Arial"/>
                <w:b/>
              </w:rPr>
            </w:pPr>
            <w:r w:rsidRPr="00A845B7">
              <w:rPr>
                <w:rFonts w:ascii="Arial" w:hAnsi="Arial" w:cs="Arial"/>
                <w:b/>
              </w:rPr>
              <w:t>(200)</w:t>
            </w:r>
          </w:p>
        </w:tc>
        <w:tc>
          <w:tcPr>
            <w:tcW w:w="1418" w:type="dxa"/>
          </w:tcPr>
          <w:p w:rsidR="0012154B" w:rsidRPr="00A845B7" w:rsidRDefault="0012154B" w:rsidP="0012154B">
            <w:pPr>
              <w:jc w:val="right"/>
              <w:rPr>
                <w:rFonts w:ascii="Arial" w:hAnsi="Arial" w:cs="Arial"/>
              </w:rPr>
            </w:pPr>
            <w:r w:rsidRPr="00A845B7">
              <w:rPr>
                <w:rFonts w:ascii="Arial" w:hAnsi="Arial" w:cs="Arial"/>
              </w:rPr>
              <w:t>(200)</w:t>
            </w:r>
          </w:p>
        </w:tc>
      </w:tr>
      <w:tr w:rsidR="0012154B" w:rsidRPr="00A845B7" w:rsidTr="006F78D1">
        <w:trPr>
          <w:trHeight w:val="270"/>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Share purchase for employee incentive schemes</w:t>
            </w:r>
          </w:p>
        </w:tc>
        <w:tc>
          <w:tcPr>
            <w:tcW w:w="1242" w:type="dxa"/>
            <w:vAlign w:val="bottom"/>
          </w:tcPr>
          <w:p w:rsidR="0012154B" w:rsidRPr="00A845B7" w:rsidRDefault="0012154B" w:rsidP="0012154B">
            <w:pPr>
              <w:jc w:val="right"/>
              <w:rPr>
                <w:rFonts w:ascii="Arial" w:hAnsi="Arial" w:cs="Arial"/>
                <w:b/>
              </w:rPr>
            </w:pPr>
            <w:r w:rsidRPr="00A845B7">
              <w:rPr>
                <w:rFonts w:ascii="Arial" w:hAnsi="Arial" w:cs="Arial"/>
                <w:b/>
              </w:rPr>
              <w:t>(6)</w:t>
            </w:r>
          </w:p>
        </w:tc>
        <w:tc>
          <w:tcPr>
            <w:tcW w:w="1418" w:type="dxa"/>
          </w:tcPr>
          <w:p w:rsidR="0012154B" w:rsidRPr="00A845B7" w:rsidRDefault="0012154B" w:rsidP="0012154B">
            <w:pPr>
              <w:jc w:val="right"/>
              <w:rPr>
                <w:rFonts w:ascii="Arial" w:hAnsi="Arial" w:cs="Arial"/>
              </w:rPr>
            </w:pPr>
            <w:r w:rsidRPr="00A845B7">
              <w:rPr>
                <w:rFonts w:ascii="Arial" w:hAnsi="Arial" w:cs="Arial"/>
              </w:rPr>
              <w:t>(16)</w:t>
            </w:r>
          </w:p>
        </w:tc>
      </w:tr>
      <w:tr w:rsidR="0012154B" w:rsidRPr="00A845B7" w:rsidTr="006F78D1">
        <w:trPr>
          <w:trHeight w:val="270"/>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Disposal of B&amp;Q China (net of disposal costs)</w:t>
            </w:r>
          </w:p>
        </w:tc>
        <w:tc>
          <w:tcPr>
            <w:tcW w:w="1242" w:type="dxa"/>
            <w:vAlign w:val="bottom"/>
          </w:tcPr>
          <w:p w:rsidR="0012154B" w:rsidRPr="00A845B7" w:rsidRDefault="0012154B" w:rsidP="0012154B">
            <w:pPr>
              <w:jc w:val="right"/>
              <w:rPr>
                <w:rFonts w:ascii="Arial" w:hAnsi="Arial" w:cs="Arial"/>
                <w:b/>
              </w:rPr>
            </w:pPr>
            <w:r w:rsidRPr="00A845B7">
              <w:rPr>
                <w:rFonts w:ascii="Arial" w:hAnsi="Arial" w:cs="Arial"/>
                <w:b/>
              </w:rPr>
              <w:t>63</w:t>
            </w:r>
          </w:p>
        </w:tc>
        <w:tc>
          <w:tcPr>
            <w:tcW w:w="1418" w:type="dxa"/>
          </w:tcPr>
          <w:p w:rsidR="0012154B" w:rsidRPr="00A845B7" w:rsidRDefault="0012154B" w:rsidP="0012154B">
            <w:pPr>
              <w:jc w:val="right"/>
              <w:rPr>
                <w:rFonts w:ascii="Arial" w:hAnsi="Arial" w:cs="Arial"/>
              </w:rPr>
            </w:pPr>
            <w:r w:rsidRPr="00A845B7">
              <w:rPr>
                <w:rFonts w:ascii="Arial" w:hAnsi="Arial" w:cs="Arial"/>
              </w:rPr>
              <w:t>134</w:t>
            </w:r>
          </w:p>
        </w:tc>
      </w:tr>
      <w:tr w:rsidR="0012154B" w:rsidRPr="00A845B7" w:rsidTr="006F78D1">
        <w:trPr>
          <w:trHeight w:val="270"/>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Disposal of assets</w:t>
            </w:r>
            <w:r>
              <w:rPr>
                <w:rFonts w:ascii="Arial" w:hAnsi="Arial" w:cs="Arial"/>
                <w:vertAlign w:val="superscript"/>
              </w:rPr>
              <w:t xml:space="preserve"> </w:t>
            </w:r>
            <w:r w:rsidRPr="00A845B7">
              <w:rPr>
                <w:rFonts w:ascii="Arial" w:hAnsi="Arial" w:cs="Arial"/>
                <w:vertAlign w:val="superscript"/>
              </w:rPr>
              <w:t xml:space="preserve">(2) </w:t>
            </w:r>
            <w:r w:rsidRPr="00A845B7">
              <w:rPr>
                <w:rFonts w:ascii="Arial" w:hAnsi="Arial" w:cs="Arial"/>
              </w:rPr>
              <w:t>and other</w:t>
            </w:r>
            <w:r>
              <w:rPr>
                <w:rFonts w:ascii="Arial" w:hAnsi="Arial" w:cs="Arial"/>
                <w:vertAlign w:val="superscript"/>
              </w:rPr>
              <w:t xml:space="preserve"> </w:t>
            </w:r>
            <w:r w:rsidRPr="00A845B7">
              <w:rPr>
                <w:rFonts w:ascii="Arial" w:hAnsi="Arial" w:cs="Arial"/>
                <w:vertAlign w:val="superscript"/>
              </w:rPr>
              <w:t>(3)</w:t>
            </w:r>
          </w:p>
        </w:tc>
        <w:tc>
          <w:tcPr>
            <w:tcW w:w="1242" w:type="dxa"/>
            <w:vAlign w:val="bottom"/>
          </w:tcPr>
          <w:p w:rsidR="0012154B" w:rsidRPr="00A845B7" w:rsidRDefault="0012154B" w:rsidP="0012154B">
            <w:pPr>
              <w:jc w:val="right"/>
              <w:rPr>
                <w:rFonts w:ascii="Arial" w:hAnsi="Arial" w:cs="Arial"/>
                <w:b/>
              </w:rPr>
            </w:pPr>
            <w:r w:rsidRPr="00A845B7">
              <w:rPr>
                <w:rFonts w:ascii="Arial" w:hAnsi="Arial" w:cs="Arial"/>
                <w:b/>
              </w:rPr>
              <w:t>(6</w:t>
            </w:r>
            <w:r>
              <w:rPr>
                <w:rFonts w:ascii="Arial" w:hAnsi="Arial" w:cs="Arial"/>
                <w:b/>
              </w:rPr>
              <w:t>7</w:t>
            </w:r>
            <w:r w:rsidRPr="00A845B7">
              <w:rPr>
                <w:rFonts w:ascii="Arial" w:hAnsi="Arial" w:cs="Arial"/>
                <w:b/>
              </w:rPr>
              <w:t>)</w:t>
            </w:r>
          </w:p>
        </w:tc>
        <w:tc>
          <w:tcPr>
            <w:tcW w:w="1418" w:type="dxa"/>
          </w:tcPr>
          <w:p w:rsidR="0012154B" w:rsidRPr="00A845B7" w:rsidRDefault="0012154B" w:rsidP="0012154B">
            <w:pPr>
              <w:jc w:val="right"/>
              <w:rPr>
                <w:rFonts w:ascii="Arial" w:hAnsi="Arial" w:cs="Arial"/>
              </w:rPr>
            </w:pPr>
            <w:r w:rsidRPr="00A845B7">
              <w:rPr>
                <w:rFonts w:ascii="Arial" w:hAnsi="Arial" w:cs="Arial"/>
              </w:rPr>
              <w:t>3</w:t>
            </w:r>
            <w:r w:rsidR="001A5F2E">
              <w:rPr>
                <w:rFonts w:ascii="Arial" w:hAnsi="Arial" w:cs="Arial"/>
              </w:rPr>
              <w:t>8</w:t>
            </w:r>
          </w:p>
        </w:tc>
      </w:tr>
      <w:tr w:rsidR="0012154B" w:rsidRPr="00A845B7" w:rsidTr="006F78D1">
        <w:trPr>
          <w:trHeight w:val="270"/>
        </w:trPr>
        <w:tc>
          <w:tcPr>
            <w:tcW w:w="6848" w:type="dxa"/>
            <w:gridSpan w:val="2"/>
            <w:tcBorders>
              <w:top w:val="single" w:sz="4" w:space="0" w:color="auto"/>
            </w:tcBorders>
            <w:shd w:val="clear" w:color="auto" w:fill="auto"/>
            <w:vAlign w:val="bottom"/>
          </w:tcPr>
          <w:p w:rsidR="0012154B" w:rsidRPr="00A845B7" w:rsidRDefault="0012154B" w:rsidP="0012154B">
            <w:pPr>
              <w:rPr>
                <w:rFonts w:ascii="Arial" w:hAnsi="Arial" w:cs="Arial"/>
                <w:b/>
              </w:rPr>
            </w:pPr>
            <w:r w:rsidRPr="00A845B7">
              <w:rPr>
                <w:rFonts w:ascii="Arial" w:hAnsi="Arial" w:cs="Arial"/>
                <w:b/>
              </w:rPr>
              <w:t>Net cash flow</w:t>
            </w:r>
          </w:p>
        </w:tc>
        <w:tc>
          <w:tcPr>
            <w:tcW w:w="1242" w:type="dxa"/>
            <w:tcBorders>
              <w:top w:val="single" w:sz="4" w:space="0" w:color="auto"/>
            </w:tcBorders>
          </w:tcPr>
          <w:p w:rsidR="0012154B" w:rsidRPr="00A845B7" w:rsidRDefault="0012154B" w:rsidP="0012154B">
            <w:pPr>
              <w:jc w:val="right"/>
              <w:rPr>
                <w:rFonts w:ascii="Arial" w:hAnsi="Arial" w:cs="Arial"/>
                <w:b/>
              </w:rPr>
            </w:pPr>
            <w:r w:rsidRPr="00A845B7">
              <w:rPr>
                <w:rFonts w:ascii="Arial" w:hAnsi="Arial" w:cs="Arial"/>
                <w:b/>
              </w:rPr>
              <w:t>19</w:t>
            </w:r>
          </w:p>
        </w:tc>
        <w:tc>
          <w:tcPr>
            <w:tcW w:w="1418" w:type="dxa"/>
            <w:tcBorders>
              <w:top w:val="single" w:sz="4" w:space="0" w:color="auto"/>
            </w:tcBorders>
          </w:tcPr>
          <w:p w:rsidR="0012154B" w:rsidRPr="00A845B7" w:rsidRDefault="0012154B" w:rsidP="0012154B">
            <w:pPr>
              <w:jc w:val="right"/>
              <w:rPr>
                <w:rFonts w:ascii="Arial" w:hAnsi="Arial" w:cs="Arial"/>
              </w:rPr>
            </w:pPr>
            <w:r w:rsidRPr="00A845B7">
              <w:rPr>
                <w:rFonts w:ascii="Arial" w:hAnsi="Arial" w:cs="Arial"/>
              </w:rPr>
              <w:t>207</w:t>
            </w:r>
          </w:p>
        </w:tc>
      </w:tr>
      <w:tr w:rsidR="0012154B" w:rsidRPr="00A845B7" w:rsidTr="006F78D1">
        <w:trPr>
          <w:trHeight w:val="270"/>
        </w:trPr>
        <w:tc>
          <w:tcPr>
            <w:tcW w:w="6848" w:type="dxa"/>
            <w:gridSpan w:val="2"/>
            <w:shd w:val="clear" w:color="auto" w:fill="auto"/>
            <w:vAlign w:val="bottom"/>
          </w:tcPr>
          <w:p w:rsidR="0012154B" w:rsidRPr="00A845B7" w:rsidRDefault="0012154B" w:rsidP="0012154B">
            <w:pPr>
              <w:rPr>
                <w:rFonts w:ascii="Arial" w:hAnsi="Arial" w:cs="Arial"/>
              </w:rPr>
            </w:pPr>
            <w:r w:rsidRPr="00A845B7">
              <w:rPr>
                <w:rFonts w:ascii="Arial" w:hAnsi="Arial" w:cs="Arial"/>
              </w:rPr>
              <w:t>Opening net cash</w:t>
            </w:r>
          </w:p>
        </w:tc>
        <w:tc>
          <w:tcPr>
            <w:tcW w:w="1242" w:type="dxa"/>
            <w:vAlign w:val="bottom"/>
          </w:tcPr>
          <w:p w:rsidR="0012154B" w:rsidRPr="00A845B7" w:rsidRDefault="0012154B" w:rsidP="0012154B">
            <w:pPr>
              <w:jc w:val="right"/>
              <w:rPr>
                <w:rFonts w:ascii="Arial" w:hAnsi="Arial" w:cs="Arial"/>
                <w:b/>
              </w:rPr>
            </w:pPr>
            <w:r w:rsidRPr="00A845B7">
              <w:rPr>
                <w:rFonts w:ascii="Arial" w:hAnsi="Arial" w:cs="Arial"/>
                <w:b/>
              </w:rPr>
              <w:t>546</w:t>
            </w:r>
          </w:p>
        </w:tc>
        <w:tc>
          <w:tcPr>
            <w:tcW w:w="1418" w:type="dxa"/>
          </w:tcPr>
          <w:p w:rsidR="0012154B" w:rsidRPr="00A845B7" w:rsidRDefault="0012154B" w:rsidP="0012154B">
            <w:pPr>
              <w:jc w:val="right"/>
              <w:rPr>
                <w:rFonts w:ascii="Arial" w:hAnsi="Arial" w:cs="Arial"/>
              </w:rPr>
            </w:pPr>
            <w:r w:rsidRPr="00A845B7">
              <w:rPr>
                <w:rFonts w:ascii="Arial" w:hAnsi="Arial" w:cs="Arial"/>
              </w:rPr>
              <w:t>329</w:t>
            </w:r>
          </w:p>
        </w:tc>
      </w:tr>
      <w:tr w:rsidR="0012154B" w:rsidRPr="00A845B7" w:rsidTr="006F78D1">
        <w:trPr>
          <w:trHeight w:val="270"/>
        </w:trPr>
        <w:tc>
          <w:tcPr>
            <w:tcW w:w="6848" w:type="dxa"/>
            <w:gridSpan w:val="2"/>
            <w:tcBorders>
              <w:bottom w:val="single" w:sz="4" w:space="0" w:color="auto"/>
            </w:tcBorders>
            <w:shd w:val="clear" w:color="auto" w:fill="auto"/>
            <w:vAlign w:val="bottom"/>
          </w:tcPr>
          <w:p w:rsidR="0012154B" w:rsidRPr="00A845B7" w:rsidRDefault="0012154B" w:rsidP="0012154B">
            <w:pPr>
              <w:rPr>
                <w:rFonts w:ascii="Arial" w:hAnsi="Arial" w:cs="Arial"/>
              </w:rPr>
            </w:pPr>
            <w:r w:rsidRPr="00A845B7">
              <w:rPr>
                <w:rFonts w:ascii="Arial" w:hAnsi="Arial" w:cs="Arial"/>
              </w:rPr>
              <w:t>Other movement including foreign exchange</w:t>
            </w:r>
          </w:p>
        </w:tc>
        <w:tc>
          <w:tcPr>
            <w:tcW w:w="1242" w:type="dxa"/>
            <w:tcBorders>
              <w:bottom w:val="single" w:sz="4" w:space="0" w:color="auto"/>
            </w:tcBorders>
            <w:vAlign w:val="bottom"/>
          </w:tcPr>
          <w:p w:rsidR="0012154B" w:rsidRPr="00A845B7" w:rsidRDefault="0012154B" w:rsidP="0012154B">
            <w:pPr>
              <w:jc w:val="right"/>
              <w:rPr>
                <w:rFonts w:ascii="Arial" w:hAnsi="Arial" w:cs="Arial"/>
                <w:b/>
              </w:rPr>
            </w:pPr>
            <w:r w:rsidRPr="00A845B7">
              <w:rPr>
                <w:rFonts w:ascii="Arial" w:hAnsi="Arial" w:cs="Arial"/>
                <w:b/>
              </w:rPr>
              <w:t>76</w:t>
            </w:r>
          </w:p>
        </w:tc>
        <w:tc>
          <w:tcPr>
            <w:tcW w:w="1418" w:type="dxa"/>
            <w:tcBorders>
              <w:bottom w:val="single" w:sz="4" w:space="0" w:color="auto"/>
            </w:tcBorders>
          </w:tcPr>
          <w:p w:rsidR="0012154B" w:rsidRPr="00A845B7" w:rsidRDefault="0012154B" w:rsidP="0012154B">
            <w:pPr>
              <w:jc w:val="right"/>
              <w:rPr>
                <w:rFonts w:ascii="Arial" w:hAnsi="Arial" w:cs="Arial"/>
              </w:rPr>
            </w:pPr>
            <w:r w:rsidRPr="00A845B7">
              <w:rPr>
                <w:rFonts w:ascii="Arial" w:hAnsi="Arial" w:cs="Arial"/>
              </w:rPr>
              <w:t>10</w:t>
            </w:r>
          </w:p>
        </w:tc>
      </w:tr>
      <w:tr w:rsidR="0012154B" w:rsidRPr="00A845B7" w:rsidTr="006F78D1">
        <w:trPr>
          <w:trHeight w:val="270"/>
        </w:trPr>
        <w:tc>
          <w:tcPr>
            <w:tcW w:w="6848" w:type="dxa"/>
            <w:gridSpan w:val="2"/>
            <w:tcBorders>
              <w:top w:val="single" w:sz="4" w:space="0" w:color="auto"/>
              <w:bottom w:val="single" w:sz="4" w:space="0" w:color="auto"/>
            </w:tcBorders>
            <w:shd w:val="clear" w:color="auto" w:fill="auto"/>
            <w:vAlign w:val="bottom"/>
          </w:tcPr>
          <w:p w:rsidR="0012154B" w:rsidRPr="00A845B7" w:rsidRDefault="0012154B" w:rsidP="0012154B">
            <w:pPr>
              <w:rPr>
                <w:rFonts w:ascii="Arial" w:hAnsi="Arial" w:cs="Arial"/>
                <w:b/>
              </w:rPr>
            </w:pPr>
            <w:r w:rsidRPr="00A845B7">
              <w:rPr>
                <w:rFonts w:ascii="Arial" w:hAnsi="Arial" w:cs="Arial"/>
                <w:b/>
              </w:rPr>
              <w:t>Closing net cash</w:t>
            </w:r>
          </w:p>
        </w:tc>
        <w:tc>
          <w:tcPr>
            <w:tcW w:w="1242" w:type="dxa"/>
            <w:tcBorders>
              <w:top w:val="single" w:sz="4" w:space="0" w:color="auto"/>
              <w:bottom w:val="single" w:sz="4" w:space="0" w:color="auto"/>
            </w:tcBorders>
            <w:vAlign w:val="bottom"/>
          </w:tcPr>
          <w:p w:rsidR="0012154B" w:rsidRPr="00A845B7" w:rsidRDefault="0012154B" w:rsidP="0012154B">
            <w:pPr>
              <w:jc w:val="right"/>
              <w:rPr>
                <w:rFonts w:ascii="Arial" w:hAnsi="Arial" w:cs="Arial"/>
                <w:b/>
              </w:rPr>
            </w:pPr>
            <w:r w:rsidRPr="00A845B7">
              <w:rPr>
                <w:rFonts w:ascii="Arial" w:hAnsi="Arial" w:cs="Arial"/>
                <w:b/>
              </w:rPr>
              <w:t>641</w:t>
            </w:r>
          </w:p>
        </w:tc>
        <w:tc>
          <w:tcPr>
            <w:tcW w:w="1418" w:type="dxa"/>
            <w:tcBorders>
              <w:top w:val="single" w:sz="4" w:space="0" w:color="auto"/>
              <w:bottom w:val="single" w:sz="4" w:space="0" w:color="auto"/>
            </w:tcBorders>
          </w:tcPr>
          <w:p w:rsidR="0012154B" w:rsidRPr="00A845B7" w:rsidRDefault="0012154B" w:rsidP="0012154B">
            <w:pPr>
              <w:jc w:val="right"/>
              <w:rPr>
                <w:rFonts w:ascii="Arial" w:hAnsi="Arial" w:cs="Arial"/>
              </w:rPr>
            </w:pPr>
            <w:r w:rsidRPr="00A845B7">
              <w:rPr>
                <w:rFonts w:ascii="Arial" w:hAnsi="Arial" w:cs="Arial"/>
              </w:rPr>
              <w:t>546</w:t>
            </w:r>
          </w:p>
        </w:tc>
      </w:tr>
    </w:tbl>
    <w:p w:rsidR="00997637" w:rsidRPr="00A845B7" w:rsidRDefault="00997637" w:rsidP="00997637">
      <w:pPr>
        <w:jc w:val="left"/>
        <w:rPr>
          <w:rFonts w:ascii="Arial" w:hAnsi="Arial" w:cs="Arial"/>
          <w:highlight w:val="yellow"/>
          <w:vertAlign w:val="superscript"/>
        </w:rPr>
      </w:pPr>
    </w:p>
    <w:p w:rsidR="00997637" w:rsidRPr="00925EFB" w:rsidRDefault="00997637" w:rsidP="00997637">
      <w:pPr>
        <w:jc w:val="left"/>
        <w:rPr>
          <w:rFonts w:ascii="Arial" w:hAnsi="Arial" w:cs="Arial"/>
          <w:sz w:val="18"/>
          <w:szCs w:val="18"/>
        </w:rPr>
      </w:pPr>
      <w:r w:rsidRPr="006F78D1">
        <w:rPr>
          <w:rFonts w:ascii="Arial" w:hAnsi="Arial" w:cs="Arial"/>
          <w:vertAlign w:val="superscript"/>
        </w:rPr>
        <w:t>(1)</w:t>
      </w:r>
      <w:r w:rsidRPr="00925EFB">
        <w:rPr>
          <w:rFonts w:ascii="Arial" w:hAnsi="Arial" w:cs="Arial"/>
          <w:sz w:val="18"/>
          <w:szCs w:val="18"/>
        </w:rPr>
        <w:t xml:space="preserve"> Other non-cash items include depreciation and amortisation, share-based compensation charge, share of post-tax results of JVs and associates, pension operating cost and profit/loss on non-property disposals</w:t>
      </w:r>
    </w:p>
    <w:p w:rsidR="00997637" w:rsidRPr="00925EFB" w:rsidRDefault="00997637" w:rsidP="00997637">
      <w:pPr>
        <w:jc w:val="left"/>
        <w:rPr>
          <w:rFonts w:ascii="Arial" w:hAnsi="Arial" w:cs="Arial"/>
          <w:sz w:val="24"/>
          <w:szCs w:val="24"/>
        </w:rPr>
      </w:pPr>
      <w:r w:rsidRPr="006F78D1">
        <w:rPr>
          <w:rFonts w:ascii="Arial" w:hAnsi="Arial" w:cs="Arial"/>
          <w:vertAlign w:val="superscript"/>
        </w:rPr>
        <w:t>(2)</w:t>
      </w:r>
      <w:r w:rsidRPr="003574DC">
        <w:rPr>
          <w:rFonts w:ascii="Arial" w:hAnsi="Arial" w:cs="Arial"/>
          <w:sz w:val="24"/>
          <w:szCs w:val="24"/>
        </w:rPr>
        <w:t xml:space="preserve"> </w:t>
      </w:r>
      <w:r w:rsidRPr="003574DC">
        <w:rPr>
          <w:rFonts w:ascii="Arial" w:hAnsi="Arial" w:cs="Arial"/>
          <w:sz w:val="18"/>
          <w:szCs w:val="24"/>
        </w:rPr>
        <w:t>Disposal of assets includes the disposal of an overseas property company in FY 2015/16</w:t>
      </w:r>
      <w:r w:rsidRPr="00925EFB">
        <w:rPr>
          <w:rFonts w:ascii="Arial" w:hAnsi="Arial" w:cs="Arial"/>
          <w:sz w:val="18"/>
          <w:szCs w:val="24"/>
        </w:rPr>
        <w:t xml:space="preserve">  </w:t>
      </w:r>
    </w:p>
    <w:p w:rsidR="00997637" w:rsidRPr="00925EFB" w:rsidRDefault="00997637" w:rsidP="00997637">
      <w:pPr>
        <w:ind w:right="-368"/>
        <w:rPr>
          <w:rFonts w:ascii="Arial" w:hAnsi="Arial" w:cs="Arial"/>
          <w:b/>
          <w:sz w:val="24"/>
          <w:szCs w:val="24"/>
        </w:rPr>
      </w:pPr>
      <w:r w:rsidRPr="006F78D1">
        <w:rPr>
          <w:rFonts w:ascii="Arial" w:hAnsi="Arial" w:cs="Arial"/>
          <w:vertAlign w:val="superscript"/>
        </w:rPr>
        <w:t>(3)</w:t>
      </w:r>
      <w:r w:rsidRPr="00925EFB">
        <w:rPr>
          <w:rFonts w:ascii="Arial" w:hAnsi="Arial" w:cs="Arial"/>
          <w:sz w:val="18"/>
          <w:szCs w:val="18"/>
        </w:rPr>
        <w:t xml:space="preserve"> </w:t>
      </w:r>
      <w:r w:rsidRPr="003574DC">
        <w:rPr>
          <w:rFonts w:ascii="Arial" w:hAnsi="Arial" w:cs="Arial"/>
          <w:sz w:val="18"/>
          <w:szCs w:val="18"/>
        </w:rPr>
        <w:t>Includes exceptional</w:t>
      </w:r>
      <w:r w:rsidR="00F14597">
        <w:rPr>
          <w:rFonts w:ascii="Arial" w:hAnsi="Arial" w:cs="Arial"/>
          <w:sz w:val="18"/>
          <w:szCs w:val="18"/>
        </w:rPr>
        <w:t xml:space="preserve"> cash flow</w:t>
      </w:r>
      <w:r w:rsidRPr="003574DC">
        <w:rPr>
          <w:rFonts w:ascii="Arial" w:hAnsi="Arial" w:cs="Arial"/>
          <w:sz w:val="18"/>
          <w:szCs w:val="18"/>
        </w:rPr>
        <w:t xml:space="preserve"> items (excluding property disposals), principally </w:t>
      </w:r>
      <w:r>
        <w:rPr>
          <w:rFonts w:ascii="Arial" w:hAnsi="Arial" w:cs="Arial"/>
          <w:sz w:val="18"/>
          <w:szCs w:val="18"/>
        </w:rPr>
        <w:t xml:space="preserve">relating to </w:t>
      </w:r>
      <w:r w:rsidRPr="003574DC">
        <w:rPr>
          <w:rFonts w:ascii="Arial" w:hAnsi="Arial" w:cs="Arial"/>
          <w:sz w:val="18"/>
          <w:szCs w:val="18"/>
        </w:rPr>
        <w:t>B&amp;Q closures, dividends received from JVs and associates and issue of shares</w:t>
      </w:r>
      <w:r w:rsidRPr="003574DC" w:rsidDel="003574DC">
        <w:rPr>
          <w:rFonts w:ascii="Arial" w:hAnsi="Arial" w:cs="Arial"/>
          <w:sz w:val="18"/>
          <w:szCs w:val="18"/>
        </w:rPr>
        <w:t xml:space="preserve"> </w:t>
      </w:r>
    </w:p>
    <w:p w:rsidR="00997637" w:rsidRPr="00A03549" w:rsidRDefault="00997637" w:rsidP="00997637">
      <w:pPr>
        <w:ind w:right="-368"/>
        <w:rPr>
          <w:rFonts w:ascii="Arial" w:hAnsi="Arial" w:cs="Arial"/>
          <w:b/>
          <w:sz w:val="24"/>
          <w:szCs w:val="24"/>
          <w:highlight w:val="yellow"/>
        </w:rPr>
      </w:pPr>
    </w:p>
    <w:p w:rsidR="00997637" w:rsidRPr="00686C6E" w:rsidRDefault="00997637" w:rsidP="00997637">
      <w:pPr>
        <w:jc w:val="left"/>
        <w:rPr>
          <w:rFonts w:ascii="Arial" w:hAnsi="Arial" w:cs="Arial"/>
          <w:highlight w:val="yellow"/>
        </w:rPr>
      </w:pPr>
      <w:r w:rsidRPr="00686C6E">
        <w:rPr>
          <w:rFonts w:ascii="Arial" w:hAnsi="Arial" w:cs="Arial"/>
        </w:rPr>
        <w:t>Net cash at the end of the period was £641 million (2015/16: £546</w:t>
      </w:r>
      <w:r w:rsidRPr="00686C6E" w:rsidDel="00F44930">
        <w:rPr>
          <w:rFonts w:ascii="Arial" w:hAnsi="Arial" w:cs="Arial"/>
        </w:rPr>
        <w:t xml:space="preserve"> </w:t>
      </w:r>
      <w:r w:rsidR="00B019FB">
        <w:rPr>
          <w:rFonts w:ascii="Arial" w:hAnsi="Arial" w:cs="Arial"/>
        </w:rPr>
        <w:t>million</w:t>
      </w:r>
      <w:r w:rsidRPr="00686C6E">
        <w:rPr>
          <w:rFonts w:ascii="Arial" w:hAnsi="Arial" w:cs="Arial"/>
        </w:rPr>
        <w:t xml:space="preserve">). </w:t>
      </w:r>
    </w:p>
    <w:p w:rsidR="00997637" w:rsidRPr="00686C6E" w:rsidRDefault="00997637" w:rsidP="00997637">
      <w:pPr>
        <w:jc w:val="left"/>
        <w:rPr>
          <w:rFonts w:ascii="Arial" w:hAnsi="Arial" w:cs="Arial"/>
          <w:highlight w:val="yellow"/>
        </w:rPr>
      </w:pPr>
    </w:p>
    <w:p w:rsidR="00997637" w:rsidRPr="00686C6E" w:rsidRDefault="00997637" w:rsidP="00997637">
      <w:pPr>
        <w:jc w:val="left"/>
        <w:rPr>
          <w:rFonts w:ascii="Arial" w:hAnsi="Arial" w:cs="Arial"/>
          <w:bCs/>
        </w:rPr>
      </w:pPr>
      <w:r w:rsidRPr="00686C6E">
        <w:rPr>
          <w:rFonts w:ascii="Arial" w:hAnsi="Arial" w:cs="Arial"/>
        </w:rPr>
        <w:t>Free cash flow of £45</w:t>
      </w:r>
      <w:r w:rsidR="00925AF3">
        <w:rPr>
          <w:rFonts w:ascii="Arial" w:hAnsi="Arial" w:cs="Arial"/>
        </w:rPr>
        <w:t>9</w:t>
      </w:r>
      <w:r w:rsidRPr="00686C6E" w:rsidDel="00F44930">
        <w:rPr>
          <w:rFonts w:ascii="Arial" w:hAnsi="Arial" w:cs="Arial"/>
        </w:rPr>
        <w:t xml:space="preserve"> </w:t>
      </w:r>
      <w:r w:rsidRPr="00686C6E">
        <w:rPr>
          <w:rFonts w:ascii="Arial" w:hAnsi="Arial" w:cs="Arial"/>
        </w:rPr>
        <w:t>million was generated in the year, a decrease of £2</w:t>
      </w:r>
      <w:r w:rsidR="00925AF3">
        <w:rPr>
          <w:rFonts w:ascii="Arial" w:hAnsi="Arial" w:cs="Arial"/>
        </w:rPr>
        <w:t>4</w:t>
      </w:r>
      <w:r w:rsidRPr="00686C6E" w:rsidDel="00F44930">
        <w:rPr>
          <w:rFonts w:ascii="Arial" w:hAnsi="Arial" w:cs="Arial"/>
        </w:rPr>
        <w:t xml:space="preserve"> </w:t>
      </w:r>
      <w:r w:rsidRPr="00686C6E">
        <w:rPr>
          <w:rFonts w:ascii="Arial" w:hAnsi="Arial" w:cs="Arial"/>
        </w:rPr>
        <w:t>million against th</w:t>
      </w:r>
      <w:r w:rsidR="00902805">
        <w:rPr>
          <w:rFonts w:ascii="Arial" w:hAnsi="Arial" w:cs="Arial"/>
        </w:rPr>
        <w:t>e prior period, reflecting</w:t>
      </w:r>
      <w:r w:rsidRPr="00686C6E">
        <w:rPr>
          <w:rFonts w:ascii="Arial" w:hAnsi="Arial" w:cs="Arial"/>
        </w:rPr>
        <w:t xml:space="preserve"> an increase in capital expenditure. </w:t>
      </w:r>
    </w:p>
    <w:p w:rsidR="00997637" w:rsidRPr="00686C6E" w:rsidRDefault="00997637" w:rsidP="00997637">
      <w:pPr>
        <w:jc w:val="left"/>
        <w:rPr>
          <w:rFonts w:ascii="Arial" w:hAnsi="Arial" w:cs="Arial"/>
        </w:rPr>
      </w:pPr>
    </w:p>
    <w:p w:rsidR="00997637" w:rsidRPr="00686C6E" w:rsidRDefault="00997637" w:rsidP="00997637">
      <w:pPr>
        <w:jc w:val="left"/>
        <w:rPr>
          <w:rFonts w:ascii="Arial" w:hAnsi="Arial" w:cs="Arial"/>
        </w:rPr>
      </w:pPr>
      <w:r w:rsidRPr="00686C6E">
        <w:rPr>
          <w:rFonts w:ascii="Arial" w:hAnsi="Arial" w:cs="Arial"/>
        </w:rPr>
        <w:t xml:space="preserve">Gross capital expenditure for the year was £406 million (2015/16: £333 million). Of this around </w:t>
      </w:r>
      <w:r w:rsidR="000068BF">
        <w:rPr>
          <w:rFonts w:ascii="Arial" w:hAnsi="Arial" w:cs="Arial"/>
        </w:rPr>
        <w:t>44</w:t>
      </w:r>
      <w:r w:rsidRPr="00686C6E">
        <w:rPr>
          <w:rFonts w:ascii="Arial" w:hAnsi="Arial" w:cs="Arial"/>
        </w:rPr>
        <w:t xml:space="preserve">% was invested on refreshing and maintaining existing stores, </w:t>
      </w:r>
      <w:r w:rsidR="005B5F03">
        <w:rPr>
          <w:rFonts w:ascii="Arial" w:hAnsi="Arial" w:cs="Arial"/>
        </w:rPr>
        <w:t>14</w:t>
      </w:r>
      <w:r w:rsidRPr="00686C6E">
        <w:rPr>
          <w:rFonts w:ascii="Arial" w:hAnsi="Arial" w:cs="Arial"/>
        </w:rPr>
        <w:t>% on new stores, 2</w:t>
      </w:r>
      <w:r w:rsidR="006E79C6">
        <w:rPr>
          <w:rFonts w:ascii="Arial" w:hAnsi="Arial" w:cs="Arial"/>
        </w:rPr>
        <w:t>4</w:t>
      </w:r>
      <w:r w:rsidRPr="00686C6E">
        <w:rPr>
          <w:rFonts w:ascii="Arial" w:hAnsi="Arial" w:cs="Arial"/>
        </w:rPr>
        <w:t>% on IT</w:t>
      </w:r>
      <w:r w:rsidR="00723C30">
        <w:rPr>
          <w:rFonts w:ascii="Arial" w:hAnsi="Arial" w:cs="Arial"/>
        </w:rPr>
        <w:t xml:space="preserve">, </w:t>
      </w:r>
      <w:r w:rsidRPr="00686C6E">
        <w:rPr>
          <w:rFonts w:ascii="Arial" w:hAnsi="Arial" w:cs="Arial"/>
        </w:rPr>
        <w:t>7% on the transformation</w:t>
      </w:r>
      <w:r w:rsidR="00723C30">
        <w:rPr>
          <w:rFonts w:ascii="Arial" w:hAnsi="Arial" w:cs="Arial"/>
        </w:rPr>
        <w:t xml:space="preserve"> and </w:t>
      </w:r>
      <w:r w:rsidR="005B5F03">
        <w:rPr>
          <w:rFonts w:ascii="Arial" w:hAnsi="Arial" w:cs="Arial"/>
        </w:rPr>
        <w:t>11</w:t>
      </w:r>
      <w:r w:rsidR="00723C30">
        <w:rPr>
          <w:rFonts w:ascii="Arial" w:hAnsi="Arial" w:cs="Arial"/>
        </w:rPr>
        <w:t xml:space="preserve">% on other </w:t>
      </w:r>
      <w:r w:rsidR="006F7FAE">
        <w:rPr>
          <w:rFonts w:ascii="Arial" w:hAnsi="Arial" w:cs="Arial"/>
        </w:rPr>
        <w:t>which includes</w:t>
      </w:r>
      <w:r w:rsidR="00723C30">
        <w:rPr>
          <w:rFonts w:ascii="Arial" w:hAnsi="Arial" w:cs="Arial"/>
        </w:rPr>
        <w:t xml:space="preserve"> supply chain</w:t>
      </w:r>
      <w:r w:rsidRPr="00686C6E">
        <w:rPr>
          <w:rFonts w:ascii="Arial" w:hAnsi="Arial" w:cs="Arial"/>
        </w:rPr>
        <w:t xml:space="preserve">. </w:t>
      </w:r>
    </w:p>
    <w:p w:rsidR="00997637" w:rsidRPr="00686C6E" w:rsidRDefault="00997637" w:rsidP="00997637">
      <w:pPr>
        <w:jc w:val="left"/>
        <w:rPr>
          <w:rFonts w:ascii="Arial" w:hAnsi="Arial" w:cs="Arial"/>
          <w:highlight w:val="yellow"/>
        </w:rPr>
      </w:pPr>
    </w:p>
    <w:p w:rsidR="00997637" w:rsidRDefault="00997637" w:rsidP="00997637">
      <w:pPr>
        <w:jc w:val="left"/>
        <w:rPr>
          <w:rFonts w:ascii="Arial" w:hAnsi="Arial" w:cs="Arial"/>
          <w:b/>
          <w:sz w:val="24"/>
          <w:szCs w:val="24"/>
        </w:rPr>
      </w:pPr>
      <w:r w:rsidRPr="00686C6E">
        <w:rPr>
          <w:rFonts w:ascii="Arial" w:hAnsi="Arial" w:cs="Arial"/>
        </w:rPr>
        <w:t xml:space="preserve">Of free cash flow, £430 million was returned to shareholders in the form of the ordinary dividend and share buybacks. </w:t>
      </w:r>
    </w:p>
    <w:p w:rsidR="00997637" w:rsidRDefault="00997637" w:rsidP="00997637">
      <w:pPr>
        <w:ind w:firstLine="720"/>
        <w:jc w:val="left"/>
        <w:rPr>
          <w:rFonts w:ascii="Arial" w:hAnsi="Arial" w:cs="Arial"/>
          <w:b/>
          <w:sz w:val="24"/>
          <w:szCs w:val="24"/>
        </w:rPr>
      </w:pPr>
    </w:p>
    <w:p w:rsidR="00997637" w:rsidRPr="00A845B7" w:rsidRDefault="00997637" w:rsidP="00997637">
      <w:pPr>
        <w:jc w:val="left"/>
        <w:rPr>
          <w:rFonts w:ascii="Arial" w:hAnsi="Arial" w:cs="Arial"/>
          <w:b/>
        </w:rPr>
      </w:pPr>
      <w:r w:rsidRPr="00A845B7">
        <w:rPr>
          <w:rFonts w:ascii="Arial" w:hAnsi="Arial" w:cs="Arial"/>
          <w:b/>
        </w:rPr>
        <w:t>Management of balance sheet and liquidity risk and financing</w:t>
      </w:r>
    </w:p>
    <w:p w:rsidR="00997637" w:rsidRPr="00A03549" w:rsidRDefault="00997637" w:rsidP="00997637">
      <w:pPr>
        <w:jc w:val="left"/>
        <w:rPr>
          <w:rFonts w:ascii="Arial" w:hAnsi="Arial" w:cs="Arial"/>
          <w:b/>
          <w:sz w:val="24"/>
        </w:rPr>
      </w:pPr>
    </w:p>
    <w:p w:rsidR="00997637" w:rsidRPr="00686C6E" w:rsidRDefault="00997637" w:rsidP="00997637">
      <w:pPr>
        <w:jc w:val="left"/>
        <w:rPr>
          <w:rFonts w:ascii="Arial" w:hAnsi="Arial" w:cs="Arial"/>
        </w:rPr>
      </w:pPr>
      <w:r w:rsidRPr="00686C6E">
        <w:rPr>
          <w:rFonts w:ascii="Arial" w:hAnsi="Arial" w:cs="Arial"/>
        </w:rPr>
        <w:t>The Group finished the year with £641</w:t>
      </w:r>
      <w:r w:rsidR="001A5F2E">
        <w:rPr>
          <w:rFonts w:ascii="Arial" w:hAnsi="Arial" w:cs="Arial"/>
        </w:rPr>
        <w:t xml:space="preserve"> </w:t>
      </w:r>
      <w:r w:rsidRPr="00686C6E">
        <w:rPr>
          <w:rFonts w:ascii="Arial" w:hAnsi="Arial" w:cs="Arial"/>
        </w:rPr>
        <w:t>million of net cash on the balance sheet. However</w:t>
      </w:r>
      <w:r>
        <w:rPr>
          <w:rFonts w:ascii="Arial" w:hAnsi="Arial" w:cs="Arial"/>
        </w:rPr>
        <w:t xml:space="preserve">, </w:t>
      </w:r>
      <w:r w:rsidRPr="00686C6E">
        <w:rPr>
          <w:rFonts w:ascii="Arial" w:hAnsi="Arial" w:cs="Arial"/>
        </w:rPr>
        <w:t>the Group’s overall leverage is more significant when including capitalised lease debt that in accordanc</w:t>
      </w:r>
      <w:r w:rsidR="00B019FB">
        <w:rPr>
          <w:rFonts w:ascii="Arial" w:hAnsi="Arial" w:cs="Arial"/>
        </w:rPr>
        <w:t>e with accounting standards do</w:t>
      </w:r>
      <w:r w:rsidR="004754EE">
        <w:rPr>
          <w:rFonts w:ascii="Arial" w:hAnsi="Arial" w:cs="Arial"/>
        </w:rPr>
        <w:t>es</w:t>
      </w:r>
      <w:r w:rsidRPr="00686C6E">
        <w:rPr>
          <w:rFonts w:ascii="Arial" w:hAnsi="Arial" w:cs="Arial"/>
        </w:rPr>
        <w:t xml:space="preserve"> not appear on the balance sheet. The ratio of the Group’s lease adjusted net debt (capitalising leases at 8 times annual rent) to EBITDAR* is 1.8 times as at 31 January 2017</w:t>
      </w:r>
      <w:r w:rsidR="00FA08D9">
        <w:rPr>
          <w:rFonts w:ascii="Arial" w:hAnsi="Arial" w:cs="Arial"/>
        </w:rPr>
        <w:t xml:space="preserve"> (2.0x at January 2016)</w:t>
      </w:r>
      <w:r w:rsidRPr="00686C6E">
        <w:rPr>
          <w:rFonts w:ascii="Arial" w:hAnsi="Arial" w:cs="Arial"/>
        </w:rPr>
        <w:t>. At this level the Group has financial flexibility whilst retaining an efficient cost of capital.</w:t>
      </w:r>
    </w:p>
    <w:p w:rsidR="00226435" w:rsidRDefault="00226435">
      <w:pPr>
        <w:jc w:val="left"/>
        <w:rPr>
          <w:rFonts w:ascii="Arial" w:hAnsi="Arial" w:cs="Arial"/>
          <w:sz w:val="24"/>
          <w:szCs w:val="24"/>
        </w:rPr>
      </w:pPr>
      <w:r>
        <w:rPr>
          <w:rFonts w:ascii="Arial" w:hAnsi="Arial" w:cs="Arial"/>
          <w:sz w:val="24"/>
          <w:szCs w:val="24"/>
        </w:rPr>
        <w:br w:type="page"/>
      </w:r>
    </w:p>
    <w:p w:rsidR="00997637" w:rsidRPr="00686C6E" w:rsidRDefault="00997637" w:rsidP="00997637">
      <w:pPr>
        <w:jc w:val="left"/>
        <w:rPr>
          <w:rFonts w:ascii="Arial" w:hAnsi="Arial" w:cs="Arial"/>
        </w:rPr>
      </w:pPr>
      <w:r w:rsidRPr="00686C6E">
        <w:rPr>
          <w:rFonts w:ascii="Arial" w:hAnsi="Arial" w:cs="Arial"/>
        </w:rPr>
        <w:lastRenderedPageBreak/>
        <w:t>A reconciliation of lease adjusted net debt to EBITDAR is set out below:</w:t>
      </w:r>
    </w:p>
    <w:p w:rsidR="00997637" w:rsidRPr="00A03549" w:rsidRDefault="00997637" w:rsidP="00997637">
      <w:pPr>
        <w:jc w:val="left"/>
        <w:rPr>
          <w:rFonts w:ascii="Arial" w:hAnsi="Arial" w:cs="Arial"/>
          <w:sz w:val="24"/>
          <w:szCs w:val="24"/>
          <w:highlight w:val="lightGray"/>
        </w:rPr>
      </w:pPr>
    </w:p>
    <w:tbl>
      <w:tblPr>
        <w:tblW w:w="5000" w:type="pct"/>
        <w:tblInd w:w="98" w:type="dxa"/>
        <w:tblLayout w:type="fixed"/>
        <w:tblLook w:val="04A0" w:firstRow="1" w:lastRow="0" w:firstColumn="1" w:lastColumn="0" w:noHBand="0" w:noVBand="1"/>
      </w:tblPr>
      <w:tblGrid>
        <w:gridCol w:w="5154"/>
        <w:gridCol w:w="2785"/>
        <w:gridCol w:w="1702"/>
      </w:tblGrid>
      <w:tr w:rsidR="00997637" w:rsidRPr="00A845B7" w:rsidTr="006F78D1">
        <w:trPr>
          <w:trHeight w:val="555"/>
        </w:trPr>
        <w:tc>
          <w:tcPr>
            <w:tcW w:w="4722" w:type="dxa"/>
            <w:vAlign w:val="bottom"/>
          </w:tcPr>
          <w:p w:rsidR="00997637" w:rsidRPr="00A845B7" w:rsidRDefault="00997637" w:rsidP="00F24C8A">
            <w:pPr>
              <w:jc w:val="left"/>
              <w:rPr>
                <w:rFonts w:ascii="Arial" w:hAnsi="Arial" w:cs="Arial"/>
                <w:bCs/>
              </w:rPr>
            </w:pPr>
          </w:p>
        </w:tc>
        <w:tc>
          <w:tcPr>
            <w:tcW w:w="2551" w:type="dxa"/>
            <w:vAlign w:val="bottom"/>
            <w:hideMark/>
          </w:tcPr>
          <w:p w:rsidR="00997637" w:rsidRPr="00A845B7" w:rsidRDefault="00997637" w:rsidP="00F24C8A">
            <w:pPr>
              <w:jc w:val="right"/>
              <w:rPr>
                <w:rFonts w:ascii="Arial" w:hAnsi="Arial" w:cs="Arial"/>
                <w:b/>
                <w:bCs/>
              </w:rPr>
            </w:pPr>
            <w:r w:rsidRPr="00A845B7">
              <w:rPr>
                <w:rFonts w:ascii="Arial" w:hAnsi="Arial" w:cs="Arial"/>
                <w:b/>
                <w:bCs/>
              </w:rPr>
              <w:t>2016/17</w:t>
            </w:r>
          </w:p>
          <w:p w:rsidR="00997637" w:rsidRPr="00A845B7" w:rsidRDefault="00997637" w:rsidP="00F24C8A">
            <w:pPr>
              <w:jc w:val="right"/>
              <w:rPr>
                <w:rFonts w:ascii="Arial" w:hAnsi="Arial" w:cs="Arial"/>
                <w:b/>
                <w:bCs/>
              </w:rPr>
            </w:pPr>
            <w:r w:rsidRPr="00A845B7">
              <w:rPr>
                <w:rFonts w:ascii="Arial" w:hAnsi="Arial" w:cs="Arial"/>
                <w:b/>
                <w:bCs/>
              </w:rPr>
              <w:t>£m</w:t>
            </w:r>
          </w:p>
        </w:tc>
        <w:tc>
          <w:tcPr>
            <w:tcW w:w="1559" w:type="dxa"/>
            <w:vAlign w:val="bottom"/>
            <w:hideMark/>
          </w:tcPr>
          <w:p w:rsidR="00997637" w:rsidRPr="00A845B7" w:rsidRDefault="00997637" w:rsidP="00F24C8A">
            <w:pPr>
              <w:jc w:val="right"/>
              <w:rPr>
                <w:rFonts w:ascii="Arial" w:hAnsi="Arial" w:cs="Arial"/>
                <w:bCs/>
                <w:vertAlign w:val="superscript"/>
              </w:rPr>
            </w:pPr>
            <w:r w:rsidRPr="00A845B7">
              <w:rPr>
                <w:rFonts w:ascii="Arial" w:hAnsi="Arial" w:cs="Arial"/>
                <w:bCs/>
              </w:rPr>
              <w:t>2015/16</w:t>
            </w:r>
            <w:r w:rsidR="00E87867">
              <w:rPr>
                <w:rFonts w:ascii="Arial" w:hAnsi="Arial" w:cs="Arial"/>
                <w:bCs/>
                <w:vertAlign w:val="superscript"/>
              </w:rPr>
              <w:t xml:space="preserve"> </w:t>
            </w:r>
            <w:r w:rsidRPr="00A845B7">
              <w:rPr>
                <w:rFonts w:ascii="Arial" w:hAnsi="Arial" w:cs="Arial"/>
                <w:bCs/>
                <w:vertAlign w:val="superscript"/>
              </w:rPr>
              <w:t>(1)</w:t>
            </w:r>
          </w:p>
          <w:p w:rsidR="00997637" w:rsidRPr="00A845B7" w:rsidRDefault="00997637" w:rsidP="00F24C8A">
            <w:pPr>
              <w:jc w:val="right"/>
              <w:rPr>
                <w:rFonts w:ascii="Arial" w:hAnsi="Arial" w:cs="Arial"/>
                <w:bCs/>
              </w:rPr>
            </w:pPr>
            <w:r w:rsidRPr="00A845B7">
              <w:rPr>
                <w:rFonts w:ascii="Arial" w:hAnsi="Arial" w:cs="Arial"/>
                <w:bCs/>
              </w:rPr>
              <w:t>£m</w:t>
            </w:r>
          </w:p>
        </w:tc>
      </w:tr>
      <w:tr w:rsidR="00997637" w:rsidRPr="00A845B7" w:rsidTr="006F78D1">
        <w:trPr>
          <w:trHeight w:val="255"/>
        </w:trPr>
        <w:tc>
          <w:tcPr>
            <w:tcW w:w="4722" w:type="dxa"/>
            <w:tcBorders>
              <w:top w:val="single" w:sz="4" w:space="0" w:color="auto"/>
              <w:left w:val="nil"/>
              <w:bottom w:val="nil"/>
              <w:right w:val="nil"/>
            </w:tcBorders>
            <w:shd w:val="clear" w:color="auto" w:fill="auto"/>
            <w:vAlign w:val="bottom"/>
            <w:hideMark/>
          </w:tcPr>
          <w:p w:rsidR="00997637" w:rsidRPr="00A845B7" w:rsidRDefault="00997637" w:rsidP="00F24C8A">
            <w:pPr>
              <w:rPr>
                <w:rFonts w:ascii="Arial" w:hAnsi="Arial" w:cs="Arial"/>
              </w:rPr>
            </w:pPr>
            <w:r w:rsidRPr="00A845B7">
              <w:rPr>
                <w:rFonts w:ascii="Arial" w:hAnsi="Arial" w:cs="Arial"/>
              </w:rPr>
              <w:t>EBITDA*</w:t>
            </w:r>
          </w:p>
        </w:tc>
        <w:tc>
          <w:tcPr>
            <w:tcW w:w="2551" w:type="dxa"/>
            <w:tcBorders>
              <w:top w:val="single" w:sz="4" w:space="0" w:color="auto"/>
              <w:left w:val="nil"/>
              <w:bottom w:val="nil"/>
              <w:right w:val="nil"/>
            </w:tcBorders>
            <w:vAlign w:val="bottom"/>
          </w:tcPr>
          <w:p w:rsidR="00997637" w:rsidRPr="00A845B7" w:rsidRDefault="00997637" w:rsidP="00F24C8A">
            <w:pPr>
              <w:jc w:val="right"/>
              <w:rPr>
                <w:rFonts w:ascii="Arial" w:hAnsi="Arial" w:cs="Arial"/>
                <w:b/>
              </w:rPr>
            </w:pPr>
            <w:r w:rsidRPr="00A845B7">
              <w:rPr>
                <w:rFonts w:ascii="Arial" w:hAnsi="Arial" w:cs="Arial"/>
                <w:b/>
              </w:rPr>
              <w:t>1,00</w:t>
            </w:r>
            <w:r w:rsidR="00925AF3">
              <w:rPr>
                <w:rFonts w:ascii="Arial" w:hAnsi="Arial" w:cs="Arial"/>
                <w:b/>
              </w:rPr>
              <w:t>8</w:t>
            </w:r>
          </w:p>
        </w:tc>
        <w:tc>
          <w:tcPr>
            <w:tcW w:w="1559" w:type="dxa"/>
            <w:tcBorders>
              <w:top w:val="single" w:sz="4" w:space="0" w:color="auto"/>
              <w:left w:val="nil"/>
              <w:bottom w:val="nil"/>
              <w:right w:val="nil"/>
            </w:tcBorders>
            <w:vAlign w:val="bottom"/>
          </w:tcPr>
          <w:p w:rsidR="00997637" w:rsidRPr="00A845B7" w:rsidRDefault="00997637" w:rsidP="00F24C8A">
            <w:pPr>
              <w:jc w:val="right"/>
              <w:rPr>
                <w:rFonts w:ascii="Arial" w:hAnsi="Arial" w:cs="Arial"/>
              </w:rPr>
            </w:pPr>
            <w:r w:rsidRPr="00A845B7">
              <w:rPr>
                <w:rFonts w:ascii="Arial" w:hAnsi="Arial" w:cs="Arial"/>
              </w:rPr>
              <w:t>941</w:t>
            </w:r>
          </w:p>
        </w:tc>
      </w:tr>
      <w:tr w:rsidR="00997637" w:rsidRPr="00A845B7" w:rsidTr="006F78D1">
        <w:trPr>
          <w:trHeight w:val="255"/>
        </w:trPr>
        <w:tc>
          <w:tcPr>
            <w:tcW w:w="4722" w:type="dxa"/>
            <w:tcBorders>
              <w:top w:val="nil"/>
              <w:left w:val="nil"/>
              <w:bottom w:val="single" w:sz="4" w:space="0" w:color="auto"/>
              <w:right w:val="nil"/>
            </w:tcBorders>
            <w:shd w:val="clear" w:color="auto" w:fill="auto"/>
            <w:vAlign w:val="bottom"/>
            <w:hideMark/>
          </w:tcPr>
          <w:p w:rsidR="00997637" w:rsidRPr="00A845B7" w:rsidRDefault="00997637" w:rsidP="00F24C8A">
            <w:pPr>
              <w:rPr>
                <w:rFonts w:ascii="Arial" w:hAnsi="Arial" w:cs="Arial"/>
              </w:rPr>
            </w:pPr>
            <w:r w:rsidRPr="00A845B7">
              <w:rPr>
                <w:rFonts w:ascii="Arial" w:hAnsi="Arial" w:cs="Arial"/>
              </w:rPr>
              <w:t>Property operating lease rentals</w:t>
            </w:r>
          </w:p>
        </w:tc>
        <w:tc>
          <w:tcPr>
            <w:tcW w:w="2551" w:type="dxa"/>
            <w:tcBorders>
              <w:top w:val="nil"/>
              <w:left w:val="nil"/>
              <w:bottom w:val="single" w:sz="4" w:space="0" w:color="auto"/>
              <w:right w:val="nil"/>
            </w:tcBorders>
            <w:vAlign w:val="bottom"/>
          </w:tcPr>
          <w:p w:rsidR="00997637" w:rsidRPr="00A845B7" w:rsidRDefault="00997637" w:rsidP="00F24C8A">
            <w:pPr>
              <w:jc w:val="right"/>
              <w:rPr>
                <w:rFonts w:ascii="Arial" w:hAnsi="Arial" w:cs="Arial"/>
                <w:b/>
              </w:rPr>
            </w:pPr>
            <w:r w:rsidRPr="00A845B7">
              <w:rPr>
                <w:rFonts w:ascii="Arial" w:hAnsi="Arial" w:cs="Arial"/>
                <w:b/>
              </w:rPr>
              <w:t>399</w:t>
            </w:r>
          </w:p>
        </w:tc>
        <w:tc>
          <w:tcPr>
            <w:tcW w:w="1559" w:type="dxa"/>
            <w:tcBorders>
              <w:top w:val="nil"/>
              <w:left w:val="nil"/>
              <w:bottom w:val="single" w:sz="4" w:space="0" w:color="auto"/>
              <w:right w:val="nil"/>
            </w:tcBorders>
            <w:vAlign w:val="bottom"/>
          </w:tcPr>
          <w:p w:rsidR="00997637" w:rsidRPr="00A845B7" w:rsidRDefault="00997637" w:rsidP="00F24C8A">
            <w:pPr>
              <w:jc w:val="right"/>
              <w:rPr>
                <w:rFonts w:ascii="Arial" w:hAnsi="Arial" w:cs="Arial"/>
              </w:rPr>
            </w:pPr>
            <w:r w:rsidRPr="00A845B7">
              <w:rPr>
                <w:rFonts w:ascii="Arial" w:hAnsi="Arial" w:cs="Arial"/>
              </w:rPr>
              <w:t>402</w:t>
            </w:r>
          </w:p>
        </w:tc>
      </w:tr>
      <w:tr w:rsidR="00997637" w:rsidRPr="00A845B7" w:rsidTr="006F78D1">
        <w:trPr>
          <w:trHeight w:val="255"/>
        </w:trPr>
        <w:tc>
          <w:tcPr>
            <w:tcW w:w="4722" w:type="dxa"/>
            <w:tcBorders>
              <w:top w:val="single" w:sz="4" w:space="0" w:color="auto"/>
              <w:left w:val="nil"/>
              <w:bottom w:val="single" w:sz="4" w:space="0" w:color="auto"/>
              <w:right w:val="nil"/>
            </w:tcBorders>
            <w:shd w:val="clear" w:color="auto" w:fill="auto"/>
            <w:vAlign w:val="bottom"/>
            <w:hideMark/>
          </w:tcPr>
          <w:p w:rsidR="00997637" w:rsidRPr="00A845B7" w:rsidRDefault="00997637" w:rsidP="00F24C8A">
            <w:pPr>
              <w:rPr>
                <w:rFonts w:ascii="Arial" w:hAnsi="Arial" w:cs="Arial"/>
                <w:b/>
              </w:rPr>
            </w:pPr>
            <w:r w:rsidRPr="00A845B7">
              <w:rPr>
                <w:rFonts w:ascii="Arial" w:hAnsi="Arial" w:cs="Arial"/>
                <w:b/>
              </w:rPr>
              <w:t>EBITDAR</w:t>
            </w:r>
          </w:p>
        </w:tc>
        <w:tc>
          <w:tcPr>
            <w:tcW w:w="2551" w:type="dxa"/>
            <w:tcBorders>
              <w:top w:val="single" w:sz="4" w:space="0" w:color="auto"/>
              <w:left w:val="nil"/>
              <w:bottom w:val="single" w:sz="4" w:space="0" w:color="auto"/>
              <w:right w:val="nil"/>
            </w:tcBorders>
            <w:vAlign w:val="bottom"/>
          </w:tcPr>
          <w:p w:rsidR="00997637" w:rsidRPr="00A845B7" w:rsidRDefault="00997637" w:rsidP="00F24C8A">
            <w:pPr>
              <w:jc w:val="right"/>
              <w:rPr>
                <w:rFonts w:ascii="Arial" w:hAnsi="Arial" w:cs="Arial"/>
                <w:b/>
              </w:rPr>
            </w:pPr>
            <w:r w:rsidRPr="00A845B7">
              <w:rPr>
                <w:rFonts w:ascii="Arial" w:hAnsi="Arial" w:cs="Arial"/>
                <w:b/>
              </w:rPr>
              <w:t>1,40</w:t>
            </w:r>
            <w:r w:rsidR="00925AF3">
              <w:rPr>
                <w:rFonts w:ascii="Arial" w:hAnsi="Arial" w:cs="Arial"/>
                <w:b/>
              </w:rPr>
              <w:t>7</w:t>
            </w:r>
          </w:p>
        </w:tc>
        <w:tc>
          <w:tcPr>
            <w:tcW w:w="1559" w:type="dxa"/>
            <w:tcBorders>
              <w:top w:val="single" w:sz="4" w:space="0" w:color="auto"/>
              <w:left w:val="nil"/>
              <w:bottom w:val="single" w:sz="4" w:space="0" w:color="auto"/>
              <w:right w:val="nil"/>
            </w:tcBorders>
            <w:vAlign w:val="bottom"/>
          </w:tcPr>
          <w:p w:rsidR="00997637" w:rsidRPr="00A845B7" w:rsidRDefault="00997637" w:rsidP="00F24C8A">
            <w:pPr>
              <w:jc w:val="right"/>
              <w:rPr>
                <w:rFonts w:ascii="Arial" w:hAnsi="Arial" w:cs="Arial"/>
              </w:rPr>
            </w:pPr>
            <w:r w:rsidRPr="00A845B7">
              <w:rPr>
                <w:rFonts w:ascii="Arial" w:hAnsi="Arial" w:cs="Arial"/>
              </w:rPr>
              <w:t>1,343</w:t>
            </w:r>
          </w:p>
        </w:tc>
      </w:tr>
      <w:tr w:rsidR="00997637" w:rsidRPr="00A845B7" w:rsidTr="006F78D1">
        <w:trPr>
          <w:trHeight w:val="311"/>
        </w:trPr>
        <w:tc>
          <w:tcPr>
            <w:tcW w:w="4722" w:type="dxa"/>
            <w:tcBorders>
              <w:top w:val="single" w:sz="4" w:space="0" w:color="auto"/>
              <w:left w:val="nil"/>
              <w:bottom w:val="nil"/>
              <w:right w:val="nil"/>
            </w:tcBorders>
            <w:shd w:val="clear" w:color="auto" w:fill="auto"/>
            <w:vAlign w:val="bottom"/>
            <w:hideMark/>
          </w:tcPr>
          <w:p w:rsidR="00997637" w:rsidRPr="00A845B7" w:rsidRDefault="00997637" w:rsidP="00F24C8A">
            <w:pPr>
              <w:rPr>
                <w:rFonts w:ascii="Arial" w:hAnsi="Arial" w:cs="Arial"/>
              </w:rPr>
            </w:pPr>
            <w:r w:rsidRPr="00A845B7">
              <w:rPr>
                <w:rFonts w:ascii="Arial" w:hAnsi="Arial" w:cs="Arial"/>
              </w:rPr>
              <w:t>Net cash</w:t>
            </w:r>
          </w:p>
        </w:tc>
        <w:tc>
          <w:tcPr>
            <w:tcW w:w="2551" w:type="dxa"/>
            <w:tcBorders>
              <w:top w:val="single" w:sz="4" w:space="0" w:color="auto"/>
              <w:left w:val="nil"/>
              <w:bottom w:val="nil"/>
              <w:right w:val="nil"/>
            </w:tcBorders>
            <w:vAlign w:val="bottom"/>
          </w:tcPr>
          <w:p w:rsidR="00997637" w:rsidRPr="00A845B7" w:rsidRDefault="00997637" w:rsidP="00F24C8A">
            <w:pPr>
              <w:jc w:val="right"/>
              <w:rPr>
                <w:rFonts w:ascii="Arial" w:hAnsi="Arial" w:cs="Arial"/>
                <w:b/>
                <w:highlight w:val="yellow"/>
              </w:rPr>
            </w:pPr>
            <w:r w:rsidRPr="00A845B7">
              <w:rPr>
                <w:rFonts w:ascii="Arial" w:hAnsi="Arial" w:cs="Arial"/>
                <w:b/>
              </w:rPr>
              <w:t>(641)</w:t>
            </w:r>
          </w:p>
        </w:tc>
        <w:tc>
          <w:tcPr>
            <w:tcW w:w="1559" w:type="dxa"/>
            <w:tcBorders>
              <w:top w:val="single" w:sz="4" w:space="0" w:color="auto"/>
              <w:left w:val="nil"/>
              <w:bottom w:val="nil"/>
              <w:right w:val="nil"/>
            </w:tcBorders>
            <w:vAlign w:val="bottom"/>
          </w:tcPr>
          <w:p w:rsidR="00997637" w:rsidRPr="00A845B7" w:rsidRDefault="00997637" w:rsidP="00F24C8A">
            <w:pPr>
              <w:jc w:val="right"/>
              <w:rPr>
                <w:rFonts w:ascii="Arial" w:hAnsi="Arial" w:cs="Arial"/>
              </w:rPr>
            </w:pPr>
            <w:r w:rsidRPr="00A845B7">
              <w:rPr>
                <w:rFonts w:ascii="Arial" w:hAnsi="Arial" w:cs="Arial"/>
              </w:rPr>
              <w:t>(546)</w:t>
            </w:r>
          </w:p>
        </w:tc>
      </w:tr>
      <w:tr w:rsidR="00997637" w:rsidRPr="00A845B7" w:rsidTr="006F78D1">
        <w:trPr>
          <w:trHeight w:val="270"/>
        </w:trPr>
        <w:tc>
          <w:tcPr>
            <w:tcW w:w="4722" w:type="dxa"/>
            <w:tcBorders>
              <w:top w:val="nil"/>
              <w:left w:val="nil"/>
              <w:bottom w:val="single" w:sz="4" w:space="0" w:color="auto"/>
              <w:right w:val="nil"/>
            </w:tcBorders>
            <w:shd w:val="clear" w:color="auto" w:fill="auto"/>
            <w:vAlign w:val="bottom"/>
            <w:hideMark/>
          </w:tcPr>
          <w:p w:rsidR="00997637" w:rsidRPr="00A845B7" w:rsidRDefault="00997637" w:rsidP="00F24C8A">
            <w:pPr>
              <w:rPr>
                <w:rFonts w:ascii="Arial" w:hAnsi="Arial" w:cs="Arial"/>
              </w:rPr>
            </w:pPr>
            <w:r w:rsidRPr="00A845B7">
              <w:rPr>
                <w:rFonts w:ascii="Arial" w:hAnsi="Arial" w:cs="Arial"/>
              </w:rPr>
              <w:t>Property operating lease rentals (8x)</w:t>
            </w:r>
            <w:r w:rsidR="00E87867">
              <w:rPr>
                <w:rFonts w:ascii="Arial" w:hAnsi="Arial" w:cs="Arial"/>
                <w:vertAlign w:val="superscript"/>
              </w:rPr>
              <w:t xml:space="preserve"> </w:t>
            </w:r>
            <w:r w:rsidRPr="00A845B7">
              <w:rPr>
                <w:rFonts w:ascii="Arial" w:hAnsi="Arial" w:cs="Arial"/>
                <w:vertAlign w:val="superscript"/>
              </w:rPr>
              <w:t>(2)</w:t>
            </w:r>
          </w:p>
        </w:tc>
        <w:tc>
          <w:tcPr>
            <w:tcW w:w="2551" w:type="dxa"/>
            <w:tcBorders>
              <w:top w:val="nil"/>
              <w:left w:val="nil"/>
              <w:bottom w:val="single" w:sz="4" w:space="0" w:color="auto"/>
              <w:right w:val="nil"/>
            </w:tcBorders>
            <w:vAlign w:val="bottom"/>
          </w:tcPr>
          <w:p w:rsidR="00997637" w:rsidRPr="00A845B7" w:rsidRDefault="00997637" w:rsidP="00F24C8A">
            <w:pPr>
              <w:jc w:val="right"/>
              <w:rPr>
                <w:rFonts w:ascii="Arial" w:hAnsi="Arial" w:cs="Arial"/>
                <w:b/>
                <w:highlight w:val="yellow"/>
              </w:rPr>
            </w:pPr>
            <w:r w:rsidRPr="00A845B7">
              <w:rPr>
                <w:rFonts w:ascii="Arial" w:hAnsi="Arial" w:cs="Arial"/>
                <w:b/>
              </w:rPr>
              <w:t>3,192</w:t>
            </w:r>
          </w:p>
        </w:tc>
        <w:tc>
          <w:tcPr>
            <w:tcW w:w="1559" w:type="dxa"/>
            <w:tcBorders>
              <w:top w:val="nil"/>
              <w:left w:val="nil"/>
              <w:bottom w:val="single" w:sz="4" w:space="0" w:color="auto"/>
              <w:right w:val="nil"/>
            </w:tcBorders>
            <w:vAlign w:val="bottom"/>
          </w:tcPr>
          <w:p w:rsidR="00997637" w:rsidRPr="00A845B7" w:rsidRDefault="00997637" w:rsidP="00F24C8A">
            <w:pPr>
              <w:jc w:val="right"/>
              <w:rPr>
                <w:rFonts w:ascii="Arial" w:hAnsi="Arial" w:cs="Arial"/>
              </w:rPr>
            </w:pPr>
            <w:r w:rsidRPr="00A845B7">
              <w:rPr>
                <w:rFonts w:ascii="Arial" w:hAnsi="Arial" w:cs="Arial"/>
              </w:rPr>
              <w:t>3,216</w:t>
            </w:r>
          </w:p>
        </w:tc>
      </w:tr>
      <w:tr w:rsidR="00997637" w:rsidRPr="00A845B7" w:rsidTr="006F78D1">
        <w:trPr>
          <w:trHeight w:val="270"/>
        </w:trPr>
        <w:tc>
          <w:tcPr>
            <w:tcW w:w="4722" w:type="dxa"/>
            <w:tcBorders>
              <w:top w:val="single" w:sz="4" w:space="0" w:color="auto"/>
              <w:left w:val="nil"/>
              <w:bottom w:val="single" w:sz="4" w:space="0" w:color="auto"/>
              <w:right w:val="nil"/>
            </w:tcBorders>
            <w:shd w:val="clear" w:color="auto" w:fill="auto"/>
            <w:vAlign w:val="bottom"/>
            <w:hideMark/>
          </w:tcPr>
          <w:p w:rsidR="00997637" w:rsidRPr="00A845B7" w:rsidRDefault="00997637" w:rsidP="00F24C8A">
            <w:pPr>
              <w:rPr>
                <w:rFonts w:ascii="Arial" w:hAnsi="Arial" w:cs="Arial"/>
                <w:b/>
              </w:rPr>
            </w:pPr>
            <w:r w:rsidRPr="00A845B7">
              <w:rPr>
                <w:rFonts w:ascii="Arial" w:hAnsi="Arial" w:cs="Arial"/>
                <w:b/>
              </w:rPr>
              <w:t>Lease adjusted net debt</w:t>
            </w:r>
          </w:p>
        </w:tc>
        <w:tc>
          <w:tcPr>
            <w:tcW w:w="2551" w:type="dxa"/>
            <w:tcBorders>
              <w:top w:val="single" w:sz="4" w:space="0" w:color="auto"/>
              <w:left w:val="nil"/>
              <w:bottom w:val="single" w:sz="4" w:space="0" w:color="auto"/>
              <w:right w:val="nil"/>
            </w:tcBorders>
            <w:vAlign w:val="bottom"/>
          </w:tcPr>
          <w:p w:rsidR="00997637" w:rsidRPr="00A845B7" w:rsidRDefault="00997637" w:rsidP="00F24C8A">
            <w:pPr>
              <w:jc w:val="right"/>
              <w:rPr>
                <w:rFonts w:ascii="Arial" w:hAnsi="Arial" w:cs="Arial"/>
                <w:b/>
                <w:highlight w:val="yellow"/>
              </w:rPr>
            </w:pPr>
            <w:r w:rsidRPr="00A845B7">
              <w:rPr>
                <w:rFonts w:ascii="Arial" w:hAnsi="Arial" w:cs="Arial"/>
                <w:b/>
              </w:rPr>
              <w:t>2,551</w:t>
            </w:r>
          </w:p>
        </w:tc>
        <w:tc>
          <w:tcPr>
            <w:tcW w:w="1559" w:type="dxa"/>
            <w:tcBorders>
              <w:top w:val="single" w:sz="4" w:space="0" w:color="auto"/>
              <w:left w:val="nil"/>
              <w:bottom w:val="single" w:sz="4" w:space="0" w:color="auto"/>
              <w:right w:val="nil"/>
            </w:tcBorders>
            <w:vAlign w:val="bottom"/>
          </w:tcPr>
          <w:p w:rsidR="00997637" w:rsidRPr="00A845B7" w:rsidRDefault="00997637" w:rsidP="00F24C8A">
            <w:pPr>
              <w:jc w:val="right"/>
              <w:rPr>
                <w:rFonts w:ascii="Arial" w:hAnsi="Arial" w:cs="Arial"/>
              </w:rPr>
            </w:pPr>
            <w:r w:rsidRPr="00A845B7">
              <w:rPr>
                <w:rFonts w:ascii="Arial" w:hAnsi="Arial" w:cs="Arial"/>
              </w:rPr>
              <w:t>2,670</w:t>
            </w:r>
          </w:p>
        </w:tc>
      </w:tr>
      <w:tr w:rsidR="00997637" w:rsidRPr="00A845B7" w:rsidTr="006F78D1">
        <w:trPr>
          <w:trHeight w:val="270"/>
        </w:trPr>
        <w:tc>
          <w:tcPr>
            <w:tcW w:w="4722" w:type="dxa"/>
            <w:tcBorders>
              <w:top w:val="single" w:sz="4" w:space="0" w:color="auto"/>
              <w:left w:val="nil"/>
              <w:bottom w:val="single" w:sz="4" w:space="0" w:color="auto"/>
              <w:right w:val="nil"/>
            </w:tcBorders>
            <w:shd w:val="clear" w:color="auto" w:fill="auto"/>
            <w:vAlign w:val="bottom"/>
            <w:hideMark/>
          </w:tcPr>
          <w:p w:rsidR="00997637" w:rsidRPr="00A845B7" w:rsidRDefault="00997637" w:rsidP="00F24C8A">
            <w:pPr>
              <w:rPr>
                <w:rFonts w:ascii="Arial" w:hAnsi="Arial" w:cs="Arial"/>
                <w:b/>
              </w:rPr>
            </w:pPr>
            <w:r w:rsidRPr="00A845B7">
              <w:rPr>
                <w:rFonts w:ascii="Arial" w:hAnsi="Arial" w:cs="Arial"/>
                <w:b/>
              </w:rPr>
              <w:t>Lease adjusted net debt to EBITDAR</w:t>
            </w:r>
          </w:p>
        </w:tc>
        <w:tc>
          <w:tcPr>
            <w:tcW w:w="2551" w:type="dxa"/>
            <w:tcBorders>
              <w:top w:val="single" w:sz="4" w:space="0" w:color="auto"/>
              <w:left w:val="nil"/>
              <w:bottom w:val="single" w:sz="4" w:space="0" w:color="auto"/>
              <w:right w:val="nil"/>
            </w:tcBorders>
            <w:vAlign w:val="bottom"/>
          </w:tcPr>
          <w:p w:rsidR="00997637" w:rsidRPr="00A845B7" w:rsidRDefault="00997637" w:rsidP="00F24C8A">
            <w:pPr>
              <w:jc w:val="right"/>
              <w:rPr>
                <w:rFonts w:ascii="Arial" w:hAnsi="Arial" w:cs="Arial"/>
                <w:b/>
                <w:highlight w:val="yellow"/>
              </w:rPr>
            </w:pPr>
            <w:r w:rsidRPr="00A845B7">
              <w:rPr>
                <w:rFonts w:ascii="Arial" w:hAnsi="Arial" w:cs="Arial"/>
                <w:b/>
              </w:rPr>
              <w:t>1.8</w:t>
            </w:r>
          </w:p>
        </w:tc>
        <w:tc>
          <w:tcPr>
            <w:tcW w:w="1559" w:type="dxa"/>
            <w:tcBorders>
              <w:top w:val="single" w:sz="4" w:space="0" w:color="auto"/>
              <w:left w:val="nil"/>
              <w:bottom w:val="single" w:sz="4" w:space="0" w:color="auto"/>
              <w:right w:val="nil"/>
            </w:tcBorders>
            <w:vAlign w:val="bottom"/>
          </w:tcPr>
          <w:p w:rsidR="00997637" w:rsidRPr="00A845B7" w:rsidRDefault="00997637" w:rsidP="00F24C8A">
            <w:pPr>
              <w:tabs>
                <w:tab w:val="center" w:pos="671"/>
                <w:tab w:val="right" w:pos="1343"/>
              </w:tabs>
              <w:jc w:val="right"/>
              <w:rPr>
                <w:rFonts w:ascii="Arial" w:hAnsi="Arial" w:cs="Arial"/>
              </w:rPr>
            </w:pPr>
            <w:r w:rsidRPr="00A845B7">
              <w:rPr>
                <w:rFonts w:ascii="Arial" w:hAnsi="Arial" w:cs="Arial"/>
              </w:rPr>
              <w:t>2.0</w:t>
            </w:r>
          </w:p>
        </w:tc>
      </w:tr>
    </w:tbl>
    <w:p w:rsidR="00997637" w:rsidRPr="00A845B7" w:rsidRDefault="00997637" w:rsidP="00997637">
      <w:pPr>
        <w:jc w:val="left"/>
        <w:rPr>
          <w:rFonts w:ascii="Arial" w:hAnsi="Arial" w:cs="Arial"/>
        </w:rPr>
      </w:pPr>
    </w:p>
    <w:p w:rsidR="00997637" w:rsidRPr="00A03549" w:rsidRDefault="00997637" w:rsidP="00997637">
      <w:pPr>
        <w:ind w:right="-368"/>
        <w:jc w:val="left"/>
        <w:rPr>
          <w:rFonts w:ascii="Arial" w:hAnsi="Arial" w:cs="Arial"/>
          <w:sz w:val="18"/>
          <w:szCs w:val="18"/>
        </w:rPr>
      </w:pPr>
      <w:r w:rsidRPr="006F78D1">
        <w:rPr>
          <w:rFonts w:ascii="Arial" w:hAnsi="Arial" w:cs="Arial"/>
          <w:iCs/>
          <w:vertAlign w:val="superscript"/>
        </w:rPr>
        <w:t>(1)</w:t>
      </w:r>
      <w:r w:rsidRPr="00A03549">
        <w:rPr>
          <w:rFonts w:ascii="Arial" w:hAnsi="Arial" w:cs="Arial"/>
          <w:iCs/>
          <w:sz w:val="18"/>
          <w:szCs w:val="18"/>
        </w:rPr>
        <w:t xml:space="preserve"> </w:t>
      </w:r>
      <w:r>
        <w:rPr>
          <w:rFonts w:ascii="Arial" w:hAnsi="Arial" w:cs="Arial"/>
          <w:sz w:val="18"/>
          <w:szCs w:val="18"/>
        </w:rPr>
        <w:t>E</w:t>
      </w:r>
      <w:r w:rsidRPr="00A03549">
        <w:rPr>
          <w:rFonts w:ascii="Arial" w:hAnsi="Arial" w:cs="Arial"/>
          <w:sz w:val="18"/>
          <w:szCs w:val="18"/>
        </w:rPr>
        <w:t>xclude</w:t>
      </w:r>
      <w:r>
        <w:rPr>
          <w:rFonts w:ascii="Arial" w:hAnsi="Arial" w:cs="Arial"/>
          <w:sz w:val="18"/>
          <w:szCs w:val="18"/>
        </w:rPr>
        <w:t>s</w:t>
      </w:r>
      <w:r w:rsidRPr="00A03549">
        <w:rPr>
          <w:rFonts w:ascii="Arial" w:hAnsi="Arial" w:cs="Arial"/>
          <w:sz w:val="18"/>
          <w:szCs w:val="18"/>
        </w:rPr>
        <w:t xml:space="preserve"> contribution from China following disposal </w:t>
      </w:r>
      <w:r>
        <w:rPr>
          <w:rFonts w:ascii="Arial" w:hAnsi="Arial" w:cs="Arial"/>
          <w:sz w:val="18"/>
          <w:szCs w:val="18"/>
        </w:rPr>
        <w:t xml:space="preserve">of controlling 70% stake </w:t>
      </w:r>
      <w:r w:rsidRPr="00A03549">
        <w:rPr>
          <w:rFonts w:ascii="Arial" w:hAnsi="Arial" w:cs="Arial"/>
          <w:sz w:val="18"/>
          <w:szCs w:val="18"/>
        </w:rPr>
        <w:t>in April 2015</w:t>
      </w:r>
    </w:p>
    <w:p w:rsidR="00997637" w:rsidRPr="00A03549" w:rsidRDefault="00997637" w:rsidP="00997637">
      <w:pPr>
        <w:ind w:right="-368"/>
        <w:jc w:val="left"/>
        <w:rPr>
          <w:rFonts w:ascii="Arial" w:hAnsi="Arial" w:cs="Arial"/>
          <w:sz w:val="18"/>
          <w:szCs w:val="18"/>
        </w:rPr>
      </w:pPr>
      <w:r w:rsidRPr="006F78D1">
        <w:rPr>
          <w:rFonts w:ascii="Arial" w:hAnsi="Arial" w:cs="Arial"/>
          <w:iCs/>
          <w:vertAlign w:val="superscript"/>
        </w:rPr>
        <w:t>(2)</w:t>
      </w:r>
      <w:r w:rsidRPr="006F78D1">
        <w:rPr>
          <w:rFonts w:ascii="Arial" w:hAnsi="Arial" w:cs="Arial"/>
          <w:iCs/>
        </w:rPr>
        <w:t xml:space="preserve"> </w:t>
      </w:r>
      <w:r w:rsidRPr="00A03549">
        <w:rPr>
          <w:rFonts w:ascii="Arial" w:hAnsi="Arial" w:cs="Arial"/>
          <w:sz w:val="18"/>
          <w:szCs w:val="18"/>
        </w:rPr>
        <w:t>Kingfisher believes 8x is a reasonable industry standard for estimating the economic value of its leased assets</w:t>
      </w:r>
    </w:p>
    <w:p w:rsidR="00997637" w:rsidRPr="00A03549" w:rsidRDefault="00997637" w:rsidP="00997637">
      <w:pPr>
        <w:jc w:val="left"/>
        <w:rPr>
          <w:rFonts w:ascii="Arial" w:hAnsi="Arial" w:cs="Arial"/>
          <w:sz w:val="24"/>
          <w:szCs w:val="24"/>
          <w:highlight w:val="lightGray"/>
        </w:rPr>
      </w:pPr>
    </w:p>
    <w:p w:rsidR="00997637" w:rsidRPr="00686C6E" w:rsidRDefault="00997637" w:rsidP="00997637">
      <w:pPr>
        <w:jc w:val="left"/>
        <w:rPr>
          <w:rFonts w:ascii="Arial" w:hAnsi="Arial" w:cs="Arial"/>
        </w:rPr>
      </w:pPr>
      <w:r w:rsidRPr="00686C6E">
        <w:rPr>
          <w:rFonts w:ascii="Arial" w:hAnsi="Arial" w:cs="Arial"/>
        </w:rPr>
        <w:t>Kingfisher holds a BBB credit rating with all three rating agencies. Kingfisher aims to maintain its solid investment grade credit rating whilst investing in the business where economic returns are attractive and paying a healthy annual dividend to shareholders. After satisfying these key aims and taking the economic and trading outlook into account, any surplus capital would be returned to shareholders.</w:t>
      </w:r>
    </w:p>
    <w:p w:rsidR="00997637" w:rsidRPr="00686C6E" w:rsidRDefault="00997637" w:rsidP="00997637">
      <w:pPr>
        <w:jc w:val="left"/>
        <w:rPr>
          <w:rFonts w:ascii="Arial" w:hAnsi="Arial" w:cs="Arial"/>
        </w:rPr>
      </w:pPr>
    </w:p>
    <w:p w:rsidR="00997637" w:rsidRPr="00686C6E" w:rsidRDefault="00997637" w:rsidP="00997637">
      <w:pPr>
        <w:jc w:val="left"/>
        <w:rPr>
          <w:rFonts w:ascii="Arial" w:hAnsi="Arial" w:cs="Arial"/>
        </w:rPr>
      </w:pPr>
      <w:r w:rsidRPr="00686C6E">
        <w:rPr>
          <w:rFonts w:ascii="Arial" w:hAnsi="Arial" w:cs="Arial"/>
        </w:rPr>
        <w:t xml:space="preserve">Kingfisher regularly reviews the level of cash and debt facilities required to fund its activities. This involves preparing a prudent cash flow forecast for the medium term, determining the level of debt facilities required to fund the business, planning for repayments of debt at its maturity and identifying an appropriate amount of headroom to provide a reserve against unexpected outflows. </w:t>
      </w:r>
    </w:p>
    <w:p w:rsidR="00997637" w:rsidRPr="00686C6E" w:rsidRDefault="00997637" w:rsidP="00997637">
      <w:pPr>
        <w:ind w:right="-368"/>
        <w:jc w:val="left"/>
        <w:rPr>
          <w:rFonts w:ascii="Arial" w:hAnsi="Arial" w:cs="Arial"/>
        </w:rPr>
      </w:pPr>
    </w:p>
    <w:p w:rsidR="00997637" w:rsidRPr="00686C6E" w:rsidRDefault="00997637" w:rsidP="00997637">
      <w:pPr>
        <w:ind w:right="-368"/>
        <w:jc w:val="left"/>
        <w:rPr>
          <w:rFonts w:ascii="Arial" w:hAnsi="Arial" w:cs="Arial"/>
        </w:rPr>
      </w:pPr>
      <w:r w:rsidRPr="00686C6E">
        <w:rPr>
          <w:rFonts w:ascii="Arial" w:hAnsi="Arial" w:cs="Arial"/>
        </w:rPr>
        <w:t>The Group has a £225 million committed facility that expires in 2021 and was undrawn at 31 January 2017. In addition, the Group entered into a new £400</w:t>
      </w:r>
      <w:r w:rsidR="001A5F2E">
        <w:rPr>
          <w:rFonts w:ascii="Arial" w:hAnsi="Arial" w:cs="Arial"/>
        </w:rPr>
        <w:t xml:space="preserve"> </w:t>
      </w:r>
      <w:r w:rsidRPr="00686C6E">
        <w:rPr>
          <w:rFonts w:ascii="Arial" w:hAnsi="Arial" w:cs="Arial"/>
        </w:rPr>
        <w:t>m</w:t>
      </w:r>
      <w:r w:rsidR="001A5F2E">
        <w:rPr>
          <w:rFonts w:ascii="Arial" w:hAnsi="Arial" w:cs="Arial"/>
        </w:rPr>
        <w:t>illion</w:t>
      </w:r>
      <w:r w:rsidRPr="00686C6E">
        <w:rPr>
          <w:rFonts w:ascii="Arial" w:hAnsi="Arial" w:cs="Arial"/>
        </w:rPr>
        <w:t xml:space="preserve"> committed facility in the financial year, which expires in November 2018. This facility was also undrawn as at 31 January 2017. The next significant debt maturity is in May 2018 when the Group is required to repay US Private Placement debt with a notional value of $179 million.</w:t>
      </w:r>
    </w:p>
    <w:p w:rsidR="00997637" w:rsidRPr="001505B3" w:rsidRDefault="00997637" w:rsidP="00997637">
      <w:pPr>
        <w:jc w:val="left"/>
        <w:rPr>
          <w:rFonts w:ascii="Arial" w:hAnsi="Arial" w:cs="Arial"/>
          <w:sz w:val="24"/>
          <w:szCs w:val="24"/>
        </w:rPr>
      </w:pPr>
    </w:p>
    <w:p w:rsidR="00997637" w:rsidRPr="00A070B9" w:rsidRDefault="00997637" w:rsidP="00997637">
      <w:pPr>
        <w:jc w:val="left"/>
        <w:rPr>
          <w:rStyle w:val="Hyperlink"/>
          <w:rFonts w:ascii="Arial" w:hAnsi="Arial" w:cs="Arial"/>
        </w:rPr>
      </w:pPr>
      <w:r w:rsidRPr="00686C6E">
        <w:rPr>
          <w:rFonts w:ascii="Arial" w:hAnsi="Arial" w:cs="Arial"/>
        </w:rPr>
        <w:t>The maturity profile of Kingfisher’s debt is illustrated at:</w:t>
      </w:r>
      <w:r w:rsidRPr="006F78D1">
        <w:rPr>
          <w:rFonts w:ascii="Arial" w:hAnsi="Arial" w:cs="Arial"/>
        </w:rPr>
        <w:t xml:space="preserve"> </w:t>
      </w:r>
      <w:r w:rsidRPr="00A070B9">
        <w:rPr>
          <w:rStyle w:val="Hyperlink"/>
          <w:rFonts w:ascii="Arial" w:hAnsi="Arial" w:cs="Arial"/>
        </w:rPr>
        <w:t>www.kingfisher.com/index.asp?pageid=74</w:t>
      </w:r>
    </w:p>
    <w:p w:rsidR="00997637" w:rsidRPr="00A03549" w:rsidRDefault="00997637" w:rsidP="00997637">
      <w:pPr>
        <w:jc w:val="left"/>
        <w:rPr>
          <w:rFonts w:ascii="Arial" w:hAnsi="Arial" w:cs="Arial"/>
          <w:sz w:val="24"/>
          <w:szCs w:val="24"/>
        </w:rPr>
      </w:pPr>
    </w:p>
    <w:p w:rsidR="00997637" w:rsidRPr="00A845B7" w:rsidRDefault="00997637" w:rsidP="00997637">
      <w:pPr>
        <w:rPr>
          <w:rFonts w:ascii="Arial" w:hAnsi="Arial" w:cs="Arial"/>
          <w:b/>
        </w:rPr>
      </w:pPr>
      <w:r w:rsidRPr="00A845B7">
        <w:rPr>
          <w:rFonts w:ascii="Arial" w:hAnsi="Arial" w:cs="Arial"/>
          <w:b/>
        </w:rPr>
        <w:t>Disposals</w:t>
      </w:r>
    </w:p>
    <w:p w:rsidR="00997637" w:rsidRPr="00A03549" w:rsidRDefault="00997637" w:rsidP="00997637">
      <w:pPr>
        <w:rPr>
          <w:rFonts w:ascii="Arial" w:hAnsi="Arial" w:cs="Arial"/>
          <w:b/>
          <w:sz w:val="24"/>
          <w:szCs w:val="24"/>
        </w:rPr>
      </w:pPr>
    </w:p>
    <w:p w:rsidR="00997637" w:rsidRPr="00686C6E" w:rsidRDefault="00997637" w:rsidP="00997637">
      <w:pPr>
        <w:autoSpaceDE w:val="0"/>
        <w:autoSpaceDN w:val="0"/>
        <w:jc w:val="left"/>
        <w:rPr>
          <w:rFonts w:ascii="Arial" w:hAnsi="Arial" w:cs="Arial"/>
        </w:rPr>
      </w:pPr>
      <w:r w:rsidRPr="00686C6E">
        <w:rPr>
          <w:rFonts w:ascii="Arial" w:hAnsi="Arial" w:cs="Arial"/>
        </w:rPr>
        <w:t>On 22 December 2014, Kingfisher announced a binding agreement for Wumei to acquire a controlling 70% stake in its B&amp;Q China business. Gross cash proceeds of £140 million were received in April 2015 following MOFCOM (Chinese Ministry of Commerce) approval. Kingfisher, with the agreement of Wumei, exercised its option to dispose of the remaining 30% economic interest on 23 March 2016. Following regulatory approval, Kingfisher received £63 million of net proceeds in July 2016, completing the transaction.</w:t>
      </w:r>
    </w:p>
    <w:p w:rsidR="00997637" w:rsidRPr="00D461B1" w:rsidRDefault="00997637" w:rsidP="00997637">
      <w:pPr>
        <w:jc w:val="left"/>
        <w:rPr>
          <w:rFonts w:ascii="Arial" w:hAnsi="Arial" w:cs="Arial"/>
          <w:sz w:val="24"/>
          <w:szCs w:val="24"/>
        </w:rPr>
      </w:pPr>
    </w:p>
    <w:p w:rsidR="00997637" w:rsidRPr="00A845B7" w:rsidRDefault="00997637" w:rsidP="00997637">
      <w:pPr>
        <w:jc w:val="left"/>
        <w:rPr>
          <w:rFonts w:ascii="Arial" w:hAnsi="Arial" w:cs="Arial"/>
          <w:b/>
        </w:rPr>
      </w:pPr>
      <w:r w:rsidRPr="00A845B7">
        <w:rPr>
          <w:rFonts w:ascii="Arial" w:hAnsi="Arial" w:cs="Arial"/>
          <w:b/>
        </w:rPr>
        <w:t>Pensions</w:t>
      </w:r>
    </w:p>
    <w:p w:rsidR="00997637" w:rsidRPr="00A03549" w:rsidRDefault="00997637" w:rsidP="00997637">
      <w:pPr>
        <w:jc w:val="left"/>
        <w:rPr>
          <w:rFonts w:ascii="Arial" w:hAnsi="Arial" w:cs="Arial"/>
          <w:b/>
          <w:sz w:val="24"/>
          <w:szCs w:val="24"/>
          <w:highlight w:val="lightGray"/>
        </w:rPr>
      </w:pPr>
    </w:p>
    <w:p w:rsidR="00BB6B52" w:rsidRDefault="00BB6B52" w:rsidP="00997637">
      <w:pPr>
        <w:jc w:val="left"/>
        <w:rPr>
          <w:rFonts w:ascii="Arial" w:hAnsi="Arial" w:cs="Arial"/>
          <w:highlight w:val="yellow"/>
        </w:rPr>
      </w:pPr>
      <w:r w:rsidRPr="00BB6B52">
        <w:rPr>
          <w:rFonts w:ascii="Arial" w:hAnsi="Arial" w:cs="Arial"/>
        </w:rPr>
        <w:t>At the year end, the Group had a net surplus of £131 million (2015/16: £159 million net surplus) in relation to defined benefit pension arrangements, of which a £239 million surplus (2015/16: £246 million surplus) was in relation to the UK scheme. The adverse movement is driven by higher inflation assumptions and a reduction in the discount rate applied to the scheme liabilities over the year, offset by gains on the scheme’s assets. This accounting valuation is sensitive to various assumptions and market rates which are likely to fluctuate in the future.</w:t>
      </w:r>
    </w:p>
    <w:p w:rsidR="00226435" w:rsidRDefault="00226435">
      <w:pPr>
        <w:jc w:val="left"/>
        <w:rPr>
          <w:rFonts w:ascii="Arial" w:hAnsi="Arial" w:cs="Arial"/>
          <w:b/>
          <w:sz w:val="24"/>
          <w:szCs w:val="24"/>
        </w:rPr>
      </w:pPr>
      <w:r>
        <w:rPr>
          <w:rFonts w:ascii="Arial" w:hAnsi="Arial" w:cs="Arial"/>
          <w:b/>
          <w:sz w:val="24"/>
          <w:szCs w:val="24"/>
        </w:rPr>
        <w:br w:type="page"/>
      </w:r>
    </w:p>
    <w:p w:rsidR="00997637" w:rsidRPr="00A845B7" w:rsidRDefault="00997637" w:rsidP="00997637">
      <w:pPr>
        <w:jc w:val="left"/>
        <w:rPr>
          <w:rFonts w:ascii="Arial" w:hAnsi="Arial" w:cs="Arial"/>
          <w:b/>
        </w:rPr>
      </w:pPr>
      <w:r w:rsidRPr="00A845B7">
        <w:rPr>
          <w:rFonts w:ascii="Arial" w:hAnsi="Arial" w:cs="Arial" w:hint="eastAsia"/>
          <w:b/>
        </w:rPr>
        <w:lastRenderedPageBreak/>
        <w:t>Property</w:t>
      </w:r>
    </w:p>
    <w:p w:rsidR="00997637" w:rsidRDefault="00997637" w:rsidP="00997637">
      <w:pPr>
        <w:jc w:val="left"/>
        <w:rPr>
          <w:rFonts w:ascii="Arial" w:hAnsi="Arial" w:cs="Arial"/>
          <w:b/>
          <w:sz w:val="24"/>
          <w:szCs w:val="24"/>
        </w:rPr>
      </w:pPr>
    </w:p>
    <w:p w:rsidR="00997637" w:rsidRDefault="002A4FC2" w:rsidP="00997637">
      <w:pPr>
        <w:jc w:val="left"/>
        <w:rPr>
          <w:rFonts w:ascii="Arial" w:hAnsi="Arial" w:cs="Arial"/>
        </w:rPr>
      </w:pPr>
      <w:r>
        <w:rPr>
          <w:rFonts w:ascii="Arial" w:hAnsi="Arial" w:cs="Arial"/>
        </w:rPr>
        <w:t>Kingfisher owns a significant property portfolio, most of which is used for trading purposes. A valuation was performed for internal purposes in October 2016 with the portfolio valued by external professional valuers. Based on this exercise, on a sale and leaseback basis with Kingfisher in occupancy, the value of property is £3.4 billion at year end (2015/16: £2.9 billion).</w:t>
      </w:r>
    </w:p>
    <w:p w:rsidR="002A4FC2" w:rsidRPr="00A845B7" w:rsidRDefault="002A4FC2" w:rsidP="00997637">
      <w:pPr>
        <w:jc w:val="left"/>
        <w:rPr>
          <w:rFonts w:ascii="Arial" w:hAnsi="Arial" w:cs="Arial"/>
        </w:rPr>
      </w:pPr>
    </w:p>
    <w:tbl>
      <w:tblPr>
        <w:tblW w:w="5000" w:type="pct"/>
        <w:tblLook w:val="04A0" w:firstRow="1" w:lastRow="0" w:firstColumn="1" w:lastColumn="0" w:noHBand="0" w:noVBand="1"/>
      </w:tblPr>
      <w:tblGrid>
        <w:gridCol w:w="4602"/>
        <w:gridCol w:w="1483"/>
        <w:gridCol w:w="1188"/>
        <w:gridCol w:w="1184"/>
        <w:gridCol w:w="1184"/>
      </w:tblGrid>
      <w:tr w:rsidR="00997637" w:rsidRPr="00A845B7" w:rsidTr="006F78D1">
        <w:trPr>
          <w:trHeight w:val="525"/>
        </w:trPr>
        <w:tc>
          <w:tcPr>
            <w:tcW w:w="2387" w:type="pct"/>
            <w:tcBorders>
              <w:top w:val="nil"/>
              <w:left w:val="nil"/>
              <w:bottom w:val="single" w:sz="4" w:space="0" w:color="auto"/>
              <w:right w:val="nil"/>
            </w:tcBorders>
            <w:vAlign w:val="bottom"/>
          </w:tcPr>
          <w:p w:rsidR="00997637" w:rsidRPr="00A845B7" w:rsidRDefault="00997637" w:rsidP="00F24C8A">
            <w:pPr>
              <w:jc w:val="left"/>
              <w:rPr>
                <w:rFonts w:ascii="Arial" w:hAnsi="Arial" w:cs="Arial"/>
                <w:bCs/>
              </w:rPr>
            </w:pPr>
          </w:p>
        </w:tc>
        <w:tc>
          <w:tcPr>
            <w:tcW w:w="769" w:type="pct"/>
            <w:tcBorders>
              <w:top w:val="nil"/>
              <w:left w:val="nil"/>
              <w:bottom w:val="single" w:sz="4" w:space="0" w:color="auto"/>
              <w:right w:val="nil"/>
            </w:tcBorders>
            <w:vAlign w:val="bottom"/>
            <w:hideMark/>
          </w:tcPr>
          <w:p w:rsidR="00997637" w:rsidRPr="002A4FC2" w:rsidRDefault="00997637" w:rsidP="00F24C8A">
            <w:pPr>
              <w:jc w:val="right"/>
              <w:rPr>
                <w:rFonts w:ascii="Arial" w:hAnsi="Arial" w:cs="Arial"/>
                <w:b/>
                <w:bCs/>
              </w:rPr>
            </w:pPr>
            <w:r w:rsidRPr="002A4FC2">
              <w:rPr>
                <w:rFonts w:ascii="Arial" w:hAnsi="Arial" w:cs="Arial"/>
                <w:b/>
                <w:bCs/>
              </w:rPr>
              <w:t>2016/17</w:t>
            </w:r>
          </w:p>
          <w:p w:rsidR="00997637" w:rsidRPr="002A4FC2" w:rsidRDefault="00997637" w:rsidP="00F24C8A">
            <w:pPr>
              <w:jc w:val="right"/>
              <w:rPr>
                <w:rFonts w:ascii="Arial" w:hAnsi="Arial" w:cs="Arial"/>
                <w:b/>
                <w:bCs/>
              </w:rPr>
            </w:pPr>
            <w:r w:rsidRPr="002A4FC2">
              <w:rPr>
                <w:rFonts w:ascii="Arial" w:hAnsi="Arial" w:cs="Arial"/>
                <w:b/>
                <w:bCs/>
              </w:rPr>
              <w:t>£bn</w:t>
            </w:r>
          </w:p>
        </w:tc>
        <w:tc>
          <w:tcPr>
            <w:tcW w:w="616" w:type="pct"/>
            <w:tcBorders>
              <w:top w:val="nil"/>
              <w:left w:val="nil"/>
              <w:bottom w:val="single" w:sz="4" w:space="0" w:color="auto"/>
              <w:right w:val="nil"/>
            </w:tcBorders>
            <w:vAlign w:val="bottom"/>
            <w:hideMark/>
          </w:tcPr>
          <w:p w:rsidR="00997637" w:rsidRPr="002A4FC2" w:rsidRDefault="00997637" w:rsidP="00F24C8A">
            <w:pPr>
              <w:jc w:val="right"/>
              <w:rPr>
                <w:rFonts w:ascii="Arial" w:hAnsi="Arial" w:cs="Arial"/>
                <w:b/>
                <w:bCs/>
              </w:rPr>
            </w:pPr>
            <w:r w:rsidRPr="002A4FC2">
              <w:rPr>
                <w:rFonts w:ascii="Arial" w:hAnsi="Arial" w:cs="Arial"/>
                <w:b/>
                <w:bCs/>
              </w:rPr>
              <w:t>2016/17 Yields</w:t>
            </w:r>
          </w:p>
        </w:tc>
        <w:tc>
          <w:tcPr>
            <w:tcW w:w="614" w:type="pct"/>
            <w:tcBorders>
              <w:top w:val="nil"/>
              <w:left w:val="nil"/>
              <w:bottom w:val="single" w:sz="4" w:space="0" w:color="auto"/>
              <w:right w:val="nil"/>
            </w:tcBorders>
          </w:tcPr>
          <w:p w:rsidR="00997637" w:rsidRPr="00A845B7" w:rsidRDefault="00997637" w:rsidP="00F24C8A">
            <w:pPr>
              <w:jc w:val="right"/>
              <w:rPr>
                <w:rFonts w:ascii="Arial" w:hAnsi="Arial" w:cs="Arial"/>
                <w:bCs/>
              </w:rPr>
            </w:pPr>
            <w:r w:rsidRPr="00A845B7">
              <w:rPr>
                <w:rFonts w:ascii="Arial" w:hAnsi="Arial" w:cs="Arial"/>
                <w:bCs/>
              </w:rPr>
              <w:t>2015/16</w:t>
            </w:r>
          </w:p>
          <w:p w:rsidR="00997637" w:rsidRPr="00A845B7" w:rsidRDefault="00997637" w:rsidP="00F24C8A">
            <w:pPr>
              <w:jc w:val="right"/>
              <w:rPr>
                <w:rFonts w:ascii="Arial" w:hAnsi="Arial" w:cs="Arial"/>
                <w:bCs/>
              </w:rPr>
            </w:pPr>
            <w:r w:rsidRPr="00A845B7">
              <w:rPr>
                <w:rFonts w:ascii="Arial" w:hAnsi="Arial" w:cs="Arial"/>
                <w:bCs/>
              </w:rPr>
              <w:t>£bn</w:t>
            </w:r>
          </w:p>
        </w:tc>
        <w:tc>
          <w:tcPr>
            <w:tcW w:w="614" w:type="pct"/>
            <w:tcBorders>
              <w:top w:val="nil"/>
              <w:left w:val="nil"/>
              <w:bottom w:val="single" w:sz="4" w:space="0" w:color="auto"/>
              <w:right w:val="nil"/>
            </w:tcBorders>
          </w:tcPr>
          <w:p w:rsidR="00997637" w:rsidRPr="00A845B7" w:rsidRDefault="00997637" w:rsidP="00F24C8A">
            <w:pPr>
              <w:jc w:val="right"/>
              <w:rPr>
                <w:rFonts w:ascii="Arial" w:hAnsi="Arial" w:cs="Arial"/>
                <w:bCs/>
              </w:rPr>
            </w:pPr>
            <w:r w:rsidRPr="00A845B7">
              <w:rPr>
                <w:rFonts w:ascii="Arial" w:hAnsi="Arial" w:cs="Arial"/>
                <w:bCs/>
              </w:rPr>
              <w:t>2015/16 Yields</w:t>
            </w:r>
          </w:p>
        </w:tc>
      </w:tr>
      <w:tr w:rsidR="00997637" w:rsidRPr="00A845B7" w:rsidTr="006F78D1">
        <w:trPr>
          <w:trHeight w:val="254"/>
        </w:trPr>
        <w:tc>
          <w:tcPr>
            <w:tcW w:w="2387" w:type="pct"/>
            <w:tcBorders>
              <w:top w:val="single" w:sz="4" w:space="0" w:color="auto"/>
            </w:tcBorders>
            <w:vAlign w:val="bottom"/>
          </w:tcPr>
          <w:p w:rsidR="00997637" w:rsidRPr="00A845B7" w:rsidRDefault="00997637" w:rsidP="00F24C8A">
            <w:pPr>
              <w:rPr>
                <w:rFonts w:ascii="Arial" w:hAnsi="Arial" w:cs="Arial"/>
              </w:rPr>
            </w:pPr>
            <w:r w:rsidRPr="00A845B7">
              <w:rPr>
                <w:rFonts w:ascii="Arial" w:hAnsi="Arial" w:cs="Arial"/>
              </w:rPr>
              <w:t>France</w:t>
            </w:r>
          </w:p>
        </w:tc>
        <w:tc>
          <w:tcPr>
            <w:tcW w:w="769" w:type="pct"/>
            <w:tcBorders>
              <w:top w:val="single" w:sz="4" w:space="0" w:color="auto"/>
            </w:tcBorders>
            <w:vAlign w:val="bottom"/>
          </w:tcPr>
          <w:p w:rsidR="00997637" w:rsidRPr="002A4FC2" w:rsidRDefault="002A4FC2" w:rsidP="00F24C8A">
            <w:pPr>
              <w:jc w:val="right"/>
              <w:rPr>
                <w:rFonts w:ascii="Arial" w:hAnsi="Arial" w:cs="Arial"/>
                <w:b/>
              </w:rPr>
            </w:pPr>
            <w:r w:rsidRPr="002A4FC2">
              <w:rPr>
                <w:rFonts w:ascii="Arial" w:hAnsi="Arial" w:cs="Arial"/>
                <w:b/>
              </w:rPr>
              <w:t>1.7</w:t>
            </w:r>
          </w:p>
        </w:tc>
        <w:tc>
          <w:tcPr>
            <w:tcW w:w="616" w:type="pct"/>
            <w:tcBorders>
              <w:top w:val="single" w:sz="4" w:space="0" w:color="auto"/>
            </w:tcBorders>
            <w:vAlign w:val="bottom"/>
          </w:tcPr>
          <w:p w:rsidR="00997637" w:rsidRPr="002A4FC2" w:rsidRDefault="002A4FC2" w:rsidP="00F24C8A">
            <w:pPr>
              <w:jc w:val="right"/>
              <w:rPr>
                <w:rFonts w:ascii="Arial" w:hAnsi="Arial" w:cs="Arial"/>
                <w:b/>
              </w:rPr>
            </w:pPr>
            <w:r w:rsidRPr="002A4FC2">
              <w:rPr>
                <w:rFonts w:ascii="Arial" w:hAnsi="Arial" w:cs="Arial"/>
                <w:b/>
              </w:rPr>
              <w:t>7.6%</w:t>
            </w:r>
          </w:p>
        </w:tc>
        <w:tc>
          <w:tcPr>
            <w:tcW w:w="614" w:type="pct"/>
            <w:tcBorders>
              <w:top w:val="single" w:sz="4" w:space="0" w:color="auto"/>
            </w:tcBorders>
            <w:vAlign w:val="bottom"/>
          </w:tcPr>
          <w:p w:rsidR="00997637" w:rsidRPr="00A845B7" w:rsidRDefault="00997637" w:rsidP="00F24C8A">
            <w:pPr>
              <w:jc w:val="right"/>
              <w:rPr>
                <w:rFonts w:ascii="Arial" w:hAnsi="Arial" w:cs="Arial"/>
              </w:rPr>
            </w:pPr>
            <w:r w:rsidRPr="00A845B7">
              <w:rPr>
                <w:rFonts w:ascii="Arial" w:hAnsi="Arial" w:cs="Arial"/>
              </w:rPr>
              <w:t>1.4</w:t>
            </w:r>
          </w:p>
        </w:tc>
        <w:tc>
          <w:tcPr>
            <w:tcW w:w="614" w:type="pct"/>
            <w:tcBorders>
              <w:top w:val="single" w:sz="4" w:space="0" w:color="auto"/>
            </w:tcBorders>
            <w:vAlign w:val="bottom"/>
          </w:tcPr>
          <w:p w:rsidR="00997637" w:rsidRPr="00A845B7" w:rsidRDefault="00997637" w:rsidP="00F24C8A">
            <w:pPr>
              <w:jc w:val="right"/>
              <w:rPr>
                <w:rFonts w:ascii="Arial" w:hAnsi="Arial" w:cs="Arial"/>
              </w:rPr>
            </w:pPr>
            <w:r w:rsidRPr="00A845B7">
              <w:rPr>
                <w:rFonts w:ascii="Arial" w:hAnsi="Arial" w:cs="Arial"/>
              </w:rPr>
              <w:t>7.7%</w:t>
            </w:r>
          </w:p>
        </w:tc>
      </w:tr>
      <w:tr w:rsidR="00997637" w:rsidRPr="00A845B7" w:rsidTr="006F78D1">
        <w:trPr>
          <w:trHeight w:val="254"/>
        </w:trPr>
        <w:tc>
          <w:tcPr>
            <w:tcW w:w="2387" w:type="pct"/>
            <w:tcBorders>
              <w:left w:val="nil"/>
              <w:bottom w:val="nil"/>
              <w:right w:val="nil"/>
            </w:tcBorders>
            <w:vAlign w:val="bottom"/>
          </w:tcPr>
          <w:p w:rsidR="00997637" w:rsidRPr="00A845B7" w:rsidRDefault="00997637" w:rsidP="00F24C8A">
            <w:pPr>
              <w:rPr>
                <w:rFonts w:ascii="Arial" w:hAnsi="Arial" w:cs="Arial"/>
              </w:rPr>
            </w:pPr>
            <w:r w:rsidRPr="00A845B7">
              <w:rPr>
                <w:rFonts w:ascii="Arial" w:hAnsi="Arial" w:cs="Arial"/>
              </w:rPr>
              <w:t>UK</w:t>
            </w:r>
          </w:p>
        </w:tc>
        <w:tc>
          <w:tcPr>
            <w:tcW w:w="769" w:type="pct"/>
            <w:tcBorders>
              <w:left w:val="nil"/>
              <w:bottom w:val="nil"/>
              <w:right w:val="nil"/>
            </w:tcBorders>
            <w:vAlign w:val="bottom"/>
          </w:tcPr>
          <w:p w:rsidR="00997637" w:rsidRPr="002A4FC2" w:rsidRDefault="002A4FC2" w:rsidP="00F24C8A">
            <w:pPr>
              <w:jc w:val="right"/>
              <w:rPr>
                <w:rFonts w:ascii="Arial" w:hAnsi="Arial" w:cs="Arial"/>
                <w:b/>
              </w:rPr>
            </w:pPr>
            <w:r w:rsidRPr="002A4FC2">
              <w:rPr>
                <w:rFonts w:ascii="Arial" w:hAnsi="Arial" w:cs="Arial"/>
                <w:b/>
              </w:rPr>
              <w:t>0.8</w:t>
            </w:r>
          </w:p>
        </w:tc>
        <w:tc>
          <w:tcPr>
            <w:tcW w:w="616" w:type="pct"/>
            <w:tcBorders>
              <w:left w:val="nil"/>
              <w:bottom w:val="nil"/>
              <w:right w:val="nil"/>
            </w:tcBorders>
            <w:vAlign w:val="bottom"/>
          </w:tcPr>
          <w:p w:rsidR="00997637" w:rsidRPr="002A4FC2" w:rsidRDefault="002A4FC2" w:rsidP="00F24C8A">
            <w:pPr>
              <w:jc w:val="right"/>
              <w:rPr>
                <w:rFonts w:ascii="Arial" w:hAnsi="Arial" w:cs="Arial"/>
                <w:b/>
              </w:rPr>
            </w:pPr>
            <w:r w:rsidRPr="002A4FC2">
              <w:rPr>
                <w:rFonts w:ascii="Arial" w:hAnsi="Arial" w:cs="Arial"/>
                <w:b/>
              </w:rPr>
              <w:t>5.9%</w:t>
            </w:r>
          </w:p>
        </w:tc>
        <w:tc>
          <w:tcPr>
            <w:tcW w:w="614" w:type="pct"/>
            <w:tcBorders>
              <w:left w:val="nil"/>
              <w:bottom w:val="nil"/>
              <w:right w:val="nil"/>
            </w:tcBorders>
            <w:vAlign w:val="bottom"/>
          </w:tcPr>
          <w:p w:rsidR="00997637" w:rsidRPr="00A845B7" w:rsidRDefault="00997637" w:rsidP="00F24C8A">
            <w:pPr>
              <w:jc w:val="right"/>
              <w:rPr>
                <w:rFonts w:ascii="Arial" w:hAnsi="Arial" w:cs="Arial"/>
              </w:rPr>
            </w:pPr>
            <w:r w:rsidRPr="00A845B7">
              <w:rPr>
                <w:rFonts w:ascii="Arial" w:hAnsi="Arial" w:cs="Arial"/>
              </w:rPr>
              <w:t>0.8</w:t>
            </w:r>
          </w:p>
        </w:tc>
        <w:tc>
          <w:tcPr>
            <w:tcW w:w="614" w:type="pct"/>
            <w:tcBorders>
              <w:left w:val="nil"/>
              <w:bottom w:val="nil"/>
              <w:right w:val="nil"/>
            </w:tcBorders>
            <w:vAlign w:val="bottom"/>
          </w:tcPr>
          <w:p w:rsidR="00997637" w:rsidRPr="00A845B7" w:rsidRDefault="00997637" w:rsidP="00F24C8A">
            <w:pPr>
              <w:jc w:val="right"/>
              <w:rPr>
                <w:rFonts w:ascii="Arial" w:hAnsi="Arial" w:cs="Arial"/>
              </w:rPr>
            </w:pPr>
            <w:r w:rsidRPr="00A845B7">
              <w:rPr>
                <w:rFonts w:ascii="Arial" w:hAnsi="Arial" w:cs="Arial"/>
              </w:rPr>
              <w:t>6.1%</w:t>
            </w:r>
          </w:p>
        </w:tc>
      </w:tr>
      <w:tr w:rsidR="00997637" w:rsidRPr="00A845B7" w:rsidTr="006F78D1">
        <w:trPr>
          <w:trHeight w:val="254"/>
        </w:trPr>
        <w:tc>
          <w:tcPr>
            <w:tcW w:w="2387" w:type="pct"/>
            <w:vAlign w:val="bottom"/>
          </w:tcPr>
          <w:p w:rsidR="00997637" w:rsidRPr="00A845B7" w:rsidRDefault="00997637" w:rsidP="00F24C8A">
            <w:pPr>
              <w:rPr>
                <w:rFonts w:ascii="Arial" w:hAnsi="Arial" w:cs="Arial"/>
              </w:rPr>
            </w:pPr>
            <w:r w:rsidRPr="00A845B7">
              <w:rPr>
                <w:rFonts w:ascii="Arial" w:hAnsi="Arial" w:cs="Arial"/>
              </w:rPr>
              <w:t>Poland</w:t>
            </w:r>
          </w:p>
        </w:tc>
        <w:tc>
          <w:tcPr>
            <w:tcW w:w="769" w:type="pct"/>
            <w:vAlign w:val="bottom"/>
          </w:tcPr>
          <w:p w:rsidR="00997637" w:rsidRPr="002A4FC2" w:rsidRDefault="002A4FC2" w:rsidP="00F24C8A">
            <w:pPr>
              <w:jc w:val="right"/>
              <w:rPr>
                <w:rFonts w:ascii="Arial" w:hAnsi="Arial" w:cs="Arial"/>
                <w:b/>
              </w:rPr>
            </w:pPr>
            <w:r w:rsidRPr="002A4FC2">
              <w:rPr>
                <w:rFonts w:ascii="Arial" w:hAnsi="Arial" w:cs="Arial"/>
                <w:b/>
              </w:rPr>
              <w:t>0.6</w:t>
            </w:r>
          </w:p>
        </w:tc>
        <w:tc>
          <w:tcPr>
            <w:tcW w:w="616" w:type="pct"/>
            <w:vAlign w:val="bottom"/>
          </w:tcPr>
          <w:p w:rsidR="00997637" w:rsidRPr="002A4FC2" w:rsidRDefault="002A4FC2" w:rsidP="00F24C8A">
            <w:pPr>
              <w:jc w:val="right"/>
              <w:rPr>
                <w:rFonts w:ascii="Arial" w:hAnsi="Arial" w:cs="Arial"/>
                <w:b/>
              </w:rPr>
            </w:pPr>
            <w:r w:rsidRPr="002A4FC2">
              <w:rPr>
                <w:rFonts w:ascii="Arial" w:hAnsi="Arial" w:cs="Arial"/>
                <w:b/>
              </w:rPr>
              <w:t>7.7%</w:t>
            </w:r>
          </w:p>
        </w:tc>
        <w:tc>
          <w:tcPr>
            <w:tcW w:w="614" w:type="pct"/>
            <w:vAlign w:val="bottom"/>
          </w:tcPr>
          <w:p w:rsidR="00997637" w:rsidRPr="00A845B7" w:rsidRDefault="00997637" w:rsidP="00F24C8A">
            <w:pPr>
              <w:jc w:val="right"/>
              <w:rPr>
                <w:rFonts w:ascii="Arial" w:hAnsi="Arial" w:cs="Arial"/>
              </w:rPr>
            </w:pPr>
            <w:r w:rsidRPr="00A845B7">
              <w:rPr>
                <w:rFonts w:ascii="Arial" w:hAnsi="Arial" w:cs="Arial"/>
              </w:rPr>
              <w:t>0.5</w:t>
            </w:r>
          </w:p>
        </w:tc>
        <w:tc>
          <w:tcPr>
            <w:tcW w:w="614" w:type="pct"/>
            <w:vAlign w:val="bottom"/>
          </w:tcPr>
          <w:p w:rsidR="00997637" w:rsidRPr="00A845B7" w:rsidRDefault="00997637" w:rsidP="00F24C8A">
            <w:pPr>
              <w:jc w:val="right"/>
              <w:rPr>
                <w:rFonts w:ascii="Arial" w:hAnsi="Arial" w:cs="Arial"/>
              </w:rPr>
            </w:pPr>
            <w:r w:rsidRPr="00A845B7">
              <w:rPr>
                <w:rFonts w:ascii="Arial" w:hAnsi="Arial" w:cs="Arial"/>
              </w:rPr>
              <w:t>7.8%</w:t>
            </w:r>
          </w:p>
        </w:tc>
      </w:tr>
      <w:tr w:rsidR="00997637" w:rsidRPr="00A845B7" w:rsidTr="006F78D1">
        <w:trPr>
          <w:trHeight w:val="308"/>
        </w:trPr>
        <w:tc>
          <w:tcPr>
            <w:tcW w:w="2387" w:type="pct"/>
            <w:tcBorders>
              <w:top w:val="nil"/>
              <w:left w:val="nil"/>
              <w:bottom w:val="single" w:sz="4" w:space="0" w:color="auto"/>
              <w:right w:val="nil"/>
            </w:tcBorders>
            <w:vAlign w:val="bottom"/>
          </w:tcPr>
          <w:p w:rsidR="00997637" w:rsidRPr="00A845B7" w:rsidRDefault="00997637" w:rsidP="00F24C8A">
            <w:pPr>
              <w:jc w:val="left"/>
              <w:rPr>
                <w:rFonts w:ascii="Arial" w:hAnsi="Arial" w:cs="Arial"/>
              </w:rPr>
            </w:pPr>
            <w:r w:rsidRPr="00A845B7">
              <w:rPr>
                <w:rFonts w:ascii="Arial" w:hAnsi="Arial" w:cs="Arial"/>
              </w:rPr>
              <w:t>Other</w:t>
            </w:r>
          </w:p>
        </w:tc>
        <w:tc>
          <w:tcPr>
            <w:tcW w:w="769" w:type="pct"/>
            <w:tcBorders>
              <w:top w:val="nil"/>
              <w:left w:val="nil"/>
              <w:bottom w:val="single" w:sz="4" w:space="0" w:color="auto"/>
              <w:right w:val="nil"/>
            </w:tcBorders>
            <w:vAlign w:val="bottom"/>
          </w:tcPr>
          <w:p w:rsidR="00997637" w:rsidRPr="002A4FC2" w:rsidRDefault="002A4FC2" w:rsidP="00F24C8A">
            <w:pPr>
              <w:jc w:val="right"/>
              <w:rPr>
                <w:rFonts w:ascii="Arial" w:hAnsi="Arial" w:cs="Arial"/>
                <w:b/>
              </w:rPr>
            </w:pPr>
            <w:r w:rsidRPr="002A4FC2">
              <w:rPr>
                <w:rFonts w:ascii="Arial" w:hAnsi="Arial" w:cs="Arial"/>
                <w:b/>
              </w:rPr>
              <w:t>0.3</w:t>
            </w:r>
          </w:p>
        </w:tc>
        <w:tc>
          <w:tcPr>
            <w:tcW w:w="616" w:type="pct"/>
            <w:tcBorders>
              <w:top w:val="nil"/>
              <w:left w:val="nil"/>
              <w:bottom w:val="single" w:sz="4" w:space="0" w:color="auto"/>
              <w:right w:val="nil"/>
            </w:tcBorders>
            <w:vAlign w:val="bottom"/>
          </w:tcPr>
          <w:p w:rsidR="00997637" w:rsidRPr="001A5F2E" w:rsidRDefault="001A5F2E" w:rsidP="00F24C8A">
            <w:pPr>
              <w:jc w:val="right"/>
              <w:rPr>
                <w:rFonts w:ascii="Arial" w:hAnsi="Arial" w:cs="Arial"/>
                <w:b/>
              </w:rPr>
            </w:pPr>
            <w:r w:rsidRPr="00E47A93">
              <w:rPr>
                <w:rFonts w:ascii="Arial" w:hAnsi="Arial" w:cs="Arial"/>
                <w:b/>
              </w:rPr>
              <w:t>-</w:t>
            </w:r>
          </w:p>
        </w:tc>
        <w:tc>
          <w:tcPr>
            <w:tcW w:w="614" w:type="pct"/>
            <w:tcBorders>
              <w:top w:val="nil"/>
              <w:left w:val="nil"/>
              <w:bottom w:val="single" w:sz="4" w:space="0" w:color="auto"/>
              <w:right w:val="nil"/>
            </w:tcBorders>
            <w:vAlign w:val="bottom"/>
          </w:tcPr>
          <w:p w:rsidR="00997637" w:rsidRPr="00A845B7" w:rsidRDefault="00997637" w:rsidP="00F24C8A">
            <w:pPr>
              <w:jc w:val="right"/>
              <w:rPr>
                <w:rFonts w:ascii="Arial" w:hAnsi="Arial" w:cs="Arial"/>
              </w:rPr>
            </w:pPr>
            <w:r w:rsidRPr="00A845B7">
              <w:rPr>
                <w:rFonts w:ascii="Arial" w:hAnsi="Arial" w:cs="Arial"/>
              </w:rPr>
              <w:t>0.2</w:t>
            </w:r>
          </w:p>
        </w:tc>
        <w:tc>
          <w:tcPr>
            <w:tcW w:w="614" w:type="pct"/>
            <w:tcBorders>
              <w:top w:val="nil"/>
              <w:left w:val="nil"/>
              <w:bottom w:val="single" w:sz="4" w:space="0" w:color="auto"/>
              <w:right w:val="nil"/>
            </w:tcBorders>
            <w:vAlign w:val="bottom"/>
          </w:tcPr>
          <w:p w:rsidR="00997637" w:rsidRPr="00A845B7" w:rsidRDefault="00997637" w:rsidP="00F24C8A">
            <w:pPr>
              <w:jc w:val="right"/>
              <w:rPr>
                <w:rFonts w:ascii="Arial" w:hAnsi="Arial" w:cs="Arial"/>
              </w:rPr>
            </w:pPr>
            <w:r w:rsidRPr="00A845B7">
              <w:rPr>
                <w:rFonts w:ascii="Arial" w:hAnsi="Arial" w:cs="Arial"/>
              </w:rPr>
              <w:t>-</w:t>
            </w:r>
          </w:p>
        </w:tc>
      </w:tr>
      <w:tr w:rsidR="00997637" w:rsidRPr="00A845B7" w:rsidTr="006F78D1">
        <w:trPr>
          <w:trHeight w:val="308"/>
        </w:trPr>
        <w:tc>
          <w:tcPr>
            <w:tcW w:w="2387" w:type="pct"/>
            <w:tcBorders>
              <w:top w:val="single" w:sz="4" w:space="0" w:color="auto"/>
              <w:left w:val="nil"/>
              <w:bottom w:val="single" w:sz="4" w:space="0" w:color="auto"/>
              <w:right w:val="nil"/>
            </w:tcBorders>
            <w:vAlign w:val="bottom"/>
          </w:tcPr>
          <w:p w:rsidR="00997637" w:rsidRPr="00A845B7" w:rsidRDefault="00997637" w:rsidP="00F24C8A">
            <w:pPr>
              <w:jc w:val="left"/>
              <w:rPr>
                <w:rFonts w:ascii="Arial" w:hAnsi="Arial" w:cs="Arial"/>
                <w:b/>
              </w:rPr>
            </w:pPr>
            <w:r w:rsidRPr="00A845B7">
              <w:rPr>
                <w:rFonts w:ascii="Arial" w:hAnsi="Arial" w:cs="Arial"/>
                <w:b/>
              </w:rPr>
              <w:t>Total</w:t>
            </w:r>
          </w:p>
        </w:tc>
        <w:tc>
          <w:tcPr>
            <w:tcW w:w="769" w:type="pct"/>
            <w:tcBorders>
              <w:top w:val="single" w:sz="4" w:space="0" w:color="auto"/>
              <w:left w:val="nil"/>
              <w:bottom w:val="single" w:sz="4" w:space="0" w:color="auto"/>
              <w:right w:val="nil"/>
            </w:tcBorders>
            <w:vAlign w:val="bottom"/>
          </w:tcPr>
          <w:p w:rsidR="00997637" w:rsidRPr="002A4FC2" w:rsidRDefault="002A4FC2" w:rsidP="00F24C8A">
            <w:pPr>
              <w:jc w:val="right"/>
              <w:rPr>
                <w:rFonts w:ascii="Arial" w:hAnsi="Arial" w:cs="Arial"/>
                <w:b/>
              </w:rPr>
            </w:pPr>
            <w:r w:rsidRPr="002A4FC2">
              <w:rPr>
                <w:rFonts w:ascii="Arial" w:hAnsi="Arial" w:cs="Arial"/>
                <w:b/>
              </w:rPr>
              <w:t>3.4</w:t>
            </w:r>
          </w:p>
        </w:tc>
        <w:tc>
          <w:tcPr>
            <w:tcW w:w="616" w:type="pct"/>
            <w:tcBorders>
              <w:top w:val="single" w:sz="4" w:space="0" w:color="auto"/>
              <w:left w:val="nil"/>
              <w:right w:val="nil"/>
            </w:tcBorders>
            <w:vAlign w:val="bottom"/>
          </w:tcPr>
          <w:p w:rsidR="00997637" w:rsidRPr="002A4FC2" w:rsidRDefault="00997637" w:rsidP="00F24C8A">
            <w:pPr>
              <w:jc w:val="right"/>
              <w:rPr>
                <w:rFonts w:ascii="Arial" w:hAnsi="Arial" w:cs="Arial"/>
              </w:rPr>
            </w:pPr>
          </w:p>
        </w:tc>
        <w:tc>
          <w:tcPr>
            <w:tcW w:w="614" w:type="pct"/>
            <w:tcBorders>
              <w:top w:val="single" w:sz="4" w:space="0" w:color="auto"/>
              <w:left w:val="nil"/>
              <w:bottom w:val="single" w:sz="4" w:space="0" w:color="auto"/>
              <w:right w:val="nil"/>
            </w:tcBorders>
            <w:vAlign w:val="bottom"/>
          </w:tcPr>
          <w:p w:rsidR="00997637" w:rsidRPr="00A845B7" w:rsidRDefault="00997637" w:rsidP="00F24C8A">
            <w:pPr>
              <w:jc w:val="right"/>
              <w:rPr>
                <w:rFonts w:ascii="Arial" w:hAnsi="Arial" w:cs="Arial"/>
              </w:rPr>
            </w:pPr>
            <w:r w:rsidRPr="00A845B7">
              <w:rPr>
                <w:rFonts w:ascii="Arial" w:hAnsi="Arial" w:cs="Arial"/>
              </w:rPr>
              <w:t>2.9</w:t>
            </w:r>
          </w:p>
        </w:tc>
        <w:tc>
          <w:tcPr>
            <w:tcW w:w="614" w:type="pct"/>
            <w:tcBorders>
              <w:top w:val="single" w:sz="4" w:space="0" w:color="auto"/>
              <w:left w:val="nil"/>
              <w:right w:val="nil"/>
            </w:tcBorders>
            <w:vAlign w:val="bottom"/>
          </w:tcPr>
          <w:p w:rsidR="00997637" w:rsidRPr="00A845B7" w:rsidRDefault="00997637" w:rsidP="00F24C8A">
            <w:pPr>
              <w:jc w:val="right"/>
              <w:rPr>
                <w:rFonts w:ascii="Arial" w:hAnsi="Arial" w:cs="Arial"/>
              </w:rPr>
            </w:pPr>
          </w:p>
        </w:tc>
      </w:tr>
    </w:tbl>
    <w:p w:rsidR="00997637" w:rsidRDefault="00997637" w:rsidP="00997637">
      <w:pPr>
        <w:jc w:val="left"/>
        <w:rPr>
          <w:rFonts w:ascii="Arial" w:hAnsi="Arial" w:cs="Arial"/>
          <w:bCs/>
          <w:sz w:val="24"/>
          <w:szCs w:val="24"/>
        </w:rPr>
      </w:pPr>
    </w:p>
    <w:p w:rsidR="00997637" w:rsidRPr="00686C6E" w:rsidRDefault="00997637" w:rsidP="00997637">
      <w:pPr>
        <w:jc w:val="left"/>
        <w:rPr>
          <w:rFonts w:ascii="Arial" w:hAnsi="Arial" w:cs="Arial"/>
          <w:b/>
        </w:rPr>
      </w:pPr>
      <w:r w:rsidRPr="00686C6E">
        <w:rPr>
          <w:rFonts w:ascii="Arial" w:hAnsi="Arial" w:cs="Arial"/>
        </w:rPr>
        <w:t xml:space="preserve">This is compared to the net book value </w:t>
      </w:r>
      <w:r w:rsidRPr="002A4FC2">
        <w:rPr>
          <w:rFonts w:ascii="Arial" w:hAnsi="Arial" w:cs="Arial"/>
        </w:rPr>
        <w:t>of £</w:t>
      </w:r>
      <w:r w:rsidR="002A4FC2" w:rsidRPr="002A4FC2">
        <w:rPr>
          <w:rFonts w:ascii="Arial" w:hAnsi="Arial" w:cs="Arial"/>
        </w:rPr>
        <w:t>2.7</w:t>
      </w:r>
      <w:r w:rsidRPr="00686C6E">
        <w:rPr>
          <w:rFonts w:ascii="Arial" w:hAnsi="Arial" w:cs="Arial"/>
        </w:rPr>
        <w:t xml:space="preserve"> billion (2015/16: £2.4 billion) recorded in the financial statements (including investment property and property assets held for sale). </w:t>
      </w:r>
      <w:r w:rsidRPr="00686C6E">
        <w:rPr>
          <w:rFonts w:ascii="Arial" w:hAnsi="Arial" w:cs="Arial"/>
          <w:bCs/>
        </w:rPr>
        <w:t xml:space="preserve">Balance sheet values were frozen at 1 February 2004 on the transition to IFRS. </w:t>
      </w:r>
    </w:p>
    <w:p w:rsidR="00997637" w:rsidRPr="00686C6E" w:rsidRDefault="00997637" w:rsidP="00997637">
      <w:pPr>
        <w:jc w:val="left"/>
        <w:rPr>
          <w:rFonts w:ascii="Arial" w:hAnsi="Arial" w:cs="Arial"/>
          <w:highlight w:val="yellow"/>
        </w:rPr>
      </w:pPr>
    </w:p>
    <w:p w:rsidR="00997637" w:rsidRPr="00A845B7" w:rsidRDefault="00997637" w:rsidP="00997637">
      <w:pPr>
        <w:jc w:val="left"/>
        <w:rPr>
          <w:rFonts w:ascii="Arial" w:hAnsi="Arial" w:cs="Arial"/>
          <w:b/>
        </w:rPr>
      </w:pPr>
      <w:r w:rsidRPr="00A845B7">
        <w:rPr>
          <w:rFonts w:ascii="Arial" w:hAnsi="Arial" w:cs="Arial"/>
          <w:b/>
        </w:rPr>
        <w:t>Retail profit on a fully rented basis</w:t>
      </w:r>
    </w:p>
    <w:p w:rsidR="00997637" w:rsidRPr="00A845B7" w:rsidRDefault="00997637" w:rsidP="00997637">
      <w:pPr>
        <w:jc w:val="left"/>
        <w:rPr>
          <w:rFonts w:ascii="Arial" w:hAnsi="Arial" w:cs="Arial"/>
          <w:b/>
        </w:rPr>
      </w:pPr>
    </w:p>
    <w:p w:rsidR="00997637" w:rsidRPr="00A845B7" w:rsidRDefault="00997637" w:rsidP="00997637">
      <w:pPr>
        <w:jc w:val="left"/>
        <w:rPr>
          <w:rFonts w:ascii="Arial" w:hAnsi="Arial" w:cs="Arial"/>
          <w:bCs/>
        </w:rPr>
      </w:pPr>
      <w:r w:rsidRPr="00A845B7">
        <w:rPr>
          <w:rFonts w:ascii="Arial" w:hAnsi="Arial" w:cs="Arial"/>
          <w:bCs/>
        </w:rPr>
        <w:t>The Group currently operates out of a mix of freehold and leasehold property, with the mix varying significantly between our geographic markets. In order to more easily compare divisional performance, a summary of the retail profit margins on a fully rented basis are set out below:</w:t>
      </w:r>
    </w:p>
    <w:p w:rsidR="00997637" w:rsidRPr="00A845B7" w:rsidRDefault="00997637" w:rsidP="00997637">
      <w:pPr>
        <w:jc w:val="left"/>
        <w:rPr>
          <w:rFonts w:ascii="Arial" w:hAnsi="Arial" w:cs="Arial"/>
          <w:bCs/>
        </w:rPr>
      </w:pPr>
    </w:p>
    <w:tbl>
      <w:tblPr>
        <w:tblW w:w="5000" w:type="pct"/>
        <w:tblLook w:val="04A0" w:firstRow="1" w:lastRow="0" w:firstColumn="1" w:lastColumn="0" w:noHBand="0" w:noVBand="1"/>
      </w:tblPr>
      <w:tblGrid>
        <w:gridCol w:w="4824"/>
        <w:gridCol w:w="1807"/>
        <w:gridCol w:w="1506"/>
        <w:gridCol w:w="1504"/>
      </w:tblGrid>
      <w:tr w:rsidR="00997637" w:rsidRPr="00A845B7" w:rsidTr="006F78D1">
        <w:trPr>
          <w:trHeight w:val="254"/>
        </w:trPr>
        <w:tc>
          <w:tcPr>
            <w:tcW w:w="2502" w:type="pct"/>
            <w:tcBorders>
              <w:bottom w:val="single" w:sz="4" w:space="0" w:color="auto"/>
            </w:tcBorders>
          </w:tcPr>
          <w:p w:rsidR="00997637" w:rsidRPr="00A845B7" w:rsidRDefault="00997637" w:rsidP="00F24C8A">
            <w:pPr>
              <w:rPr>
                <w:rFonts w:ascii="Arial" w:hAnsi="Arial" w:cs="Arial"/>
              </w:rPr>
            </w:pPr>
          </w:p>
        </w:tc>
        <w:tc>
          <w:tcPr>
            <w:tcW w:w="937" w:type="pct"/>
            <w:tcBorders>
              <w:bottom w:val="single" w:sz="4" w:space="0" w:color="auto"/>
            </w:tcBorders>
            <w:shd w:val="clear" w:color="000000" w:fill="FFFFFF"/>
            <w:vAlign w:val="bottom"/>
          </w:tcPr>
          <w:p w:rsidR="00997637" w:rsidRPr="00A845B7" w:rsidRDefault="00997637" w:rsidP="00F24C8A">
            <w:pPr>
              <w:jc w:val="right"/>
              <w:rPr>
                <w:rFonts w:ascii="Arial" w:hAnsi="Arial" w:cs="Arial"/>
              </w:rPr>
            </w:pPr>
            <w:r w:rsidRPr="00A845B7">
              <w:rPr>
                <w:rFonts w:ascii="Arial" w:hAnsi="Arial" w:cs="Arial"/>
                <w:b/>
                <w:bCs/>
              </w:rPr>
              <w:t xml:space="preserve">UK &amp; Ireland </w:t>
            </w:r>
          </w:p>
        </w:tc>
        <w:tc>
          <w:tcPr>
            <w:tcW w:w="781" w:type="pct"/>
            <w:tcBorders>
              <w:bottom w:val="single" w:sz="4" w:space="0" w:color="auto"/>
            </w:tcBorders>
            <w:shd w:val="clear" w:color="000000" w:fill="FFFFFF"/>
            <w:vAlign w:val="bottom"/>
          </w:tcPr>
          <w:p w:rsidR="00997637" w:rsidRPr="00A845B7" w:rsidRDefault="00997637" w:rsidP="00F24C8A">
            <w:pPr>
              <w:jc w:val="right"/>
              <w:rPr>
                <w:rFonts w:ascii="Arial" w:hAnsi="Arial" w:cs="Arial"/>
                <w:b/>
                <w:bCs/>
              </w:rPr>
            </w:pPr>
            <w:r w:rsidRPr="00A845B7">
              <w:rPr>
                <w:rFonts w:ascii="Arial" w:hAnsi="Arial" w:cs="Arial"/>
                <w:b/>
                <w:bCs/>
              </w:rPr>
              <w:t>France</w:t>
            </w:r>
          </w:p>
        </w:tc>
        <w:tc>
          <w:tcPr>
            <w:tcW w:w="780" w:type="pct"/>
            <w:tcBorders>
              <w:bottom w:val="single" w:sz="4" w:space="0" w:color="auto"/>
            </w:tcBorders>
            <w:shd w:val="clear" w:color="000000" w:fill="FFFFFF"/>
            <w:vAlign w:val="bottom"/>
          </w:tcPr>
          <w:p w:rsidR="00997637" w:rsidRPr="00A845B7" w:rsidRDefault="00997637" w:rsidP="00F24C8A">
            <w:pPr>
              <w:jc w:val="right"/>
              <w:rPr>
                <w:rFonts w:ascii="Arial" w:hAnsi="Arial" w:cs="Arial"/>
              </w:rPr>
            </w:pPr>
            <w:r w:rsidRPr="00A845B7">
              <w:rPr>
                <w:rFonts w:ascii="Arial" w:hAnsi="Arial" w:cs="Arial"/>
                <w:b/>
                <w:bCs/>
              </w:rPr>
              <w:t>Poland</w:t>
            </w:r>
          </w:p>
        </w:tc>
      </w:tr>
      <w:tr w:rsidR="00997637" w:rsidRPr="00A845B7" w:rsidTr="006F78D1">
        <w:trPr>
          <w:trHeight w:val="254"/>
        </w:trPr>
        <w:tc>
          <w:tcPr>
            <w:tcW w:w="2502" w:type="pct"/>
            <w:tcBorders>
              <w:top w:val="single" w:sz="4" w:space="0" w:color="auto"/>
            </w:tcBorders>
            <w:shd w:val="clear" w:color="auto" w:fill="auto"/>
            <w:vAlign w:val="center"/>
          </w:tcPr>
          <w:p w:rsidR="00997637" w:rsidRPr="00A845B7" w:rsidRDefault="00997637" w:rsidP="00F24C8A">
            <w:pPr>
              <w:rPr>
                <w:rFonts w:ascii="Arial" w:hAnsi="Arial" w:cs="Arial"/>
              </w:rPr>
            </w:pPr>
            <w:r w:rsidRPr="00A845B7">
              <w:rPr>
                <w:rFonts w:ascii="Arial" w:hAnsi="Arial" w:cs="Arial"/>
              </w:rPr>
              <w:t>Retail Profit %</w:t>
            </w:r>
          </w:p>
        </w:tc>
        <w:tc>
          <w:tcPr>
            <w:tcW w:w="937" w:type="pct"/>
            <w:tcBorders>
              <w:top w:val="single" w:sz="4" w:space="0" w:color="auto"/>
            </w:tcBorders>
            <w:shd w:val="clear" w:color="auto" w:fill="auto"/>
          </w:tcPr>
          <w:p w:rsidR="00997637" w:rsidRPr="00A845B7" w:rsidRDefault="00997637" w:rsidP="00F24C8A">
            <w:pPr>
              <w:jc w:val="right"/>
              <w:rPr>
                <w:rFonts w:ascii="Arial" w:hAnsi="Arial" w:cs="Arial"/>
              </w:rPr>
            </w:pPr>
            <w:r w:rsidRPr="00A845B7">
              <w:rPr>
                <w:rFonts w:ascii="Arial" w:hAnsi="Arial" w:cs="Arial"/>
              </w:rPr>
              <w:t>7.2%</w:t>
            </w:r>
          </w:p>
        </w:tc>
        <w:tc>
          <w:tcPr>
            <w:tcW w:w="781" w:type="pct"/>
            <w:tcBorders>
              <w:top w:val="single" w:sz="4" w:space="0" w:color="auto"/>
            </w:tcBorders>
          </w:tcPr>
          <w:p w:rsidR="00997637" w:rsidRPr="00A845B7" w:rsidRDefault="00997637" w:rsidP="00F24C8A">
            <w:pPr>
              <w:jc w:val="right"/>
              <w:rPr>
                <w:rFonts w:ascii="Arial" w:hAnsi="Arial" w:cs="Arial"/>
              </w:rPr>
            </w:pPr>
            <w:r w:rsidRPr="00A845B7">
              <w:rPr>
                <w:rFonts w:ascii="Arial" w:hAnsi="Arial" w:cs="Arial"/>
              </w:rPr>
              <w:t>8.3%</w:t>
            </w:r>
          </w:p>
        </w:tc>
        <w:tc>
          <w:tcPr>
            <w:tcW w:w="780" w:type="pct"/>
            <w:tcBorders>
              <w:top w:val="single" w:sz="4" w:space="0" w:color="auto"/>
            </w:tcBorders>
            <w:shd w:val="clear" w:color="auto" w:fill="auto"/>
          </w:tcPr>
          <w:p w:rsidR="00997637" w:rsidRPr="00A845B7" w:rsidRDefault="00997637" w:rsidP="00F24C8A">
            <w:pPr>
              <w:jc w:val="right"/>
              <w:rPr>
                <w:rFonts w:ascii="Arial" w:hAnsi="Arial" w:cs="Arial"/>
              </w:rPr>
            </w:pPr>
            <w:r w:rsidRPr="00A845B7">
              <w:rPr>
                <w:rFonts w:ascii="Arial" w:hAnsi="Arial" w:cs="Arial"/>
              </w:rPr>
              <w:t>12.1%</w:t>
            </w:r>
          </w:p>
        </w:tc>
      </w:tr>
      <w:tr w:rsidR="00997637" w:rsidRPr="00A845B7" w:rsidTr="006F78D1">
        <w:trPr>
          <w:trHeight w:val="254"/>
        </w:trPr>
        <w:tc>
          <w:tcPr>
            <w:tcW w:w="2502" w:type="pct"/>
            <w:shd w:val="clear" w:color="auto" w:fill="auto"/>
            <w:vAlign w:val="center"/>
          </w:tcPr>
          <w:p w:rsidR="00997637" w:rsidRPr="00A845B7" w:rsidRDefault="00997637" w:rsidP="00F24C8A">
            <w:pPr>
              <w:rPr>
                <w:rFonts w:ascii="Arial" w:hAnsi="Arial" w:cs="Arial"/>
              </w:rPr>
            </w:pPr>
            <w:r w:rsidRPr="00A845B7">
              <w:rPr>
                <w:rFonts w:ascii="Arial" w:hAnsi="Arial" w:cs="Arial"/>
              </w:rPr>
              <w:t>Adjustment to Leasehold Basis</w:t>
            </w:r>
          </w:p>
        </w:tc>
        <w:tc>
          <w:tcPr>
            <w:tcW w:w="937" w:type="pct"/>
            <w:shd w:val="clear" w:color="auto" w:fill="auto"/>
          </w:tcPr>
          <w:p w:rsidR="00997637" w:rsidRPr="00A845B7" w:rsidRDefault="00997637" w:rsidP="00F24C8A">
            <w:pPr>
              <w:jc w:val="right"/>
              <w:rPr>
                <w:rFonts w:ascii="Arial" w:hAnsi="Arial" w:cs="Arial"/>
              </w:rPr>
            </w:pPr>
            <w:r w:rsidRPr="00A845B7">
              <w:rPr>
                <w:rFonts w:ascii="Arial" w:hAnsi="Arial" w:cs="Arial"/>
              </w:rPr>
              <w:t>(0.9)%</w:t>
            </w:r>
          </w:p>
        </w:tc>
        <w:tc>
          <w:tcPr>
            <w:tcW w:w="781" w:type="pct"/>
          </w:tcPr>
          <w:p w:rsidR="00997637" w:rsidRPr="00A845B7" w:rsidRDefault="00997637" w:rsidP="00F24C8A">
            <w:pPr>
              <w:jc w:val="right"/>
              <w:rPr>
                <w:rFonts w:ascii="Arial" w:hAnsi="Arial" w:cs="Arial"/>
              </w:rPr>
            </w:pPr>
            <w:r w:rsidRPr="00A845B7">
              <w:rPr>
                <w:rFonts w:ascii="Arial" w:hAnsi="Arial" w:cs="Arial"/>
              </w:rPr>
              <w:t>(2.7)%</w:t>
            </w:r>
          </w:p>
        </w:tc>
        <w:tc>
          <w:tcPr>
            <w:tcW w:w="780" w:type="pct"/>
            <w:shd w:val="clear" w:color="auto" w:fill="auto"/>
          </w:tcPr>
          <w:p w:rsidR="00997637" w:rsidRPr="00A845B7" w:rsidRDefault="00997637" w:rsidP="00F24C8A">
            <w:pPr>
              <w:jc w:val="right"/>
              <w:rPr>
                <w:rFonts w:ascii="Arial" w:hAnsi="Arial" w:cs="Arial"/>
              </w:rPr>
            </w:pPr>
            <w:r w:rsidRPr="00A845B7">
              <w:rPr>
                <w:rFonts w:ascii="Arial" w:hAnsi="Arial" w:cs="Arial"/>
              </w:rPr>
              <w:t>(3.4)%</w:t>
            </w:r>
          </w:p>
        </w:tc>
      </w:tr>
      <w:tr w:rsidR="00997637" w:rsidRPr="00A845B7" w:rsidTr="006F78D1">
        <w:trPr>
          <w:trHeight w:val="254"/>
        </w:trPr>
        <w:tc>
          <w:tcPr>
            <w:tcW w:w="2502" w:type="pct"/>
            <w:tcBorders>
              <w:bottom w:val="single" w:sz="4" w:space="0" w:color="auto"/>
            </w:tcBorders>
            <w:shd w:val="clear" w:color="auto" w:fill="auto"/>
            <w:vAlign w:val="center"/>
          </w:tcPr>
          <w:p w:rsidR="00997637" w:rsidRPr="00A845B7" w:rsidRDefault="00997637" w:rsidP="00F24C8A">
            <w:pPr>
              <w:rPr>
                <w:rFonts w:ascii="Arial" w:hAnsi="Arial" w:cs="Arial"/>
              </w:rPr>
            </w:pPr>
            <w:r w:rsidRPr="00A845B7">
              <w:rPr>
                <w:rFonts w:ascii="Arial" w:hAnsi="Arial" w:cs="Arial"/>
              </w:rPr>
              <w:t>Retail Profit % on Leasehold Basis</w:t>
            </w:r>
          </w:p>
        </w:tc>
        <w:tc>
          <w:tcPr>
            <w:tcW w:w="937" w:type="pct"/>
            <w:tcBorders>
              <w:bottom w:val="single" w:sz="4" w:space="0" w:color="auto"/>
            </w:tcBorders>
            <w:shd w:val="clear" w:color="auto" w:fill="auto"/>
          </w:tcPr>
          <w:p w:rsidR="00997637" w:rsidRPr="00A845B7" w:rsidRDefault="00997637" w:rsidP="00F24C8A">
            <w:pPr>
              <w:jc w:val="right"/>
              <w:rPr>
                <w:rFonts w:ascii="Arial" w:hAnsi="Arial" w:cs="Arial"/>
              </w:rPr>
            </w:pPr>
            <w:r w:rsidRPr="00A845B7">
              <w:rPr>
                <w:rFonts w:ascii="Arial" w:hAnsi="Arial" w:cs="Arial"/>
              </w:rPr>
              <w:t>6.3%</w:t>
            </w:r>
          </w:p>
        </w:tc>
        <w:tc>
          <w:tcPr>
            <w:tcW w:w="781" w:type="pct"/>
            <w:tcBorders>
              <w:bottom w:val="single" w:sz="4" w:space="0" w:color="auto"/>
            </w:tcBorders>
          </w:tcPr>
          <w:p w:rsidR="00997637" w:rsidRPr="00A845B7" w:rsidRDefault="00997637" w:rsidP="00F24C8A">
            <w:pPr>
              <w:jc w:val="right"/>
              <w:rPr>
                <w:rFonts w:ascii="Arial" w:hAnsi="Arial" w:cs="Arial"/>
              </w:rPr>
            </w:pPr>
            <w:r w:rsidRPr="00A845B7">
              <w:rPr>
                <w:rFonts w:ascii="Arial" w:hAnsi="Arial" w:cs="Arial"/>
              </w:rPr>
              <w:t>5.6%</w:t>
            </w:r>
          </w:p>
        </w:tc>
        <w:tc>
          <w:tcPr>
            <w:tcW w:w="780" w:type="pct"/>
            <w:tcBorders>
              <w:bottom w:val="single" w:sz="4" w:space="0" w:color="auto"/>
            </w:tcBorders>
            <w:shd w:val="clear" w:color="auto" w:fill="auto"/>
          </w:tcPr>
          <w:p w:rsidR="00997637" w:rsidRPr="00A845B7" w:rsidRDefault="00997637" w:rsidP="00F24C8A">
            <w:pPr>
              <w:jc w:val="right"/>
              <w:rPr>
                <w:rFonts w:ascii="Arial" w:hAnsi="Arial" w:cs="Arial"/>
              </w:rPr>
            </w:pPr>
            <w:r w:rsidRPr="00A845B7">
              <w:rPr>
                <w:rFonts w:ascii="Arial" w:hAnsi="Arial" w:cs="Arial"/>
              </w:rPr>
              <w:t>8.7%</w:t>
            </w:r>
          </w:p>
        </w:tc>
      </w:tr>
    </w:tbl>
    <w:p w:rsidR="00997637" w:rsidRDefault="00997637" w:rsidP="00997637">
      <w:pPr>
        <w:jc w:val="left"/>
        <w:rPr>
          <w:rFonts w:ascii="Arial" w:hAnsi="Arial" w:cs="Arial"/>
          <w:b/>
          <w:sz w:val="24"/>
          <w:szCs w:val="24"/>
        </w:rPr>
      </w:pPr>
    </w:p>
    <w:p w:rsidR="00997637" w:rsidRDefault="00997637">
      <w:pPr>
        <w:jc w:val="left"/>
        <w:rPr>
          <w:rFonts w:ascii="Arial" w:hAnsi="Arial" w:cs="Arial"/>
          <w:b/>
          <w:bCs/>
          <w:sz w:val="24"/>
          <w:szCs w:val="24"/>
        </w:rPr>
      </w:pPr>
      <w:bookmarkStart w:id="1" w:name="FR"/>
      <w:bookmarkEnd w:id="1"/>
      <w:r>
        <w:rPr>
          <w:rFonts w:ascii="Arial" w:hAnsi="Arial" w:cs="Arial"/>
          <w:b/>
          <w:bCs/>
          <w:sz w:val="24"/>
          <w:szCs w:val="24"/>
        </w:rPr>
        <w:br w:type="page"/>
      </w:r>
    </w:p>
    <w:p w:rsidR="000265B9" w:rsidRPr="00A845B7" w:rsidRDefault="00DA4C33">
      <w:pPr>
        <w:jc w:val="left"/>
        <w:rPr>
          <w:rFonts w:ascii="Arial" w:hAnsi="Arial" w:cs="Arial"/>
        </w:rPr>
      </w:pPr>
      <w:r w:rsidRPr="00A845B7">
        <w:rPr>
          <w:rFonts w:ascii="Arial" w:hAnsi="Arial" w:cs="Arial"/>
          <w:b/>
          <w:bCs/>
        </w:rPr>
        <w:lastRenderedPageBreak/>
        <w:t>Se</w:t>
      </w:r>
      <w:r w:rsidR="000265B9" w:rsidRPr="00A845B7">
        <w:rPr>
          <w:rFonts w:ascii="Arial" w:hAnsi="Arial" w:cs="Arial"/>
          <w:b/>
          <w:bCs/>
        </w:rPr>
        <w:t>ction 5: Glossary (terms are listed in alphabetical order)</w:t>
      </w:r>
    </w:p>
    <w:p w:rsidR="000265B9" w:rsidRPr="00A845B7" w:rsidRDefault="000265B9" w:rsidP="000265B9">
      <w:pPr>
        <w:rPr>
          <w:rFonts w:ascii="Arial" w:hAnsi="Arial" w:cs="Arial"/>
          <w:b/>
        </w:rPr>
      </w:pPr>
    </w:p>
    <w:p w:rsidR="00CD58E9" w:rsidRPr="00A845B7" w:rsidRDefault="000265B9" w:rsidP="000265B9">
      <w:pPr>
        <w:jc w:val="left"/>
        <w:rPr>
          <w:rFonts w:ascii="Arial" w:hAnsi="Arial" w:cs="Arial"/>
          <w:iCs/>
        </w:rPr>
      </w:pPr>
      <w:r w:rsidRPr="00A845B7">
        <w:rPr>
          <w:rFonts w:ascii="Arial" w:hAnsi="Arial" w:cs="Arial"/>
          <w:b/>
        </w:rPr>
        <w:t>Adjusted</w:t>
      </w:r>
      <w:r w:rsidRPr="00A845B7">
        <w:rPr>
          <w:rFonts w:ascii="Arial" w:hAnsi="Arial" w:cs="Arial"/>
          <w:iCs/>
        </w:rPr>
        <w:t xml:space="preserve"> measures are before exceptional items, </w:t>
      </w:r>
      <w:r w:rsidR="00CD58E9" w:rsidRPr="00A845B7">
        <w:rPr>
          <w:rFonts w:ascii="Arial" w:hAnsi="Arial" w:cs="Arial"/>
          <w:iCs/>
        </w:rPr>
        <w:t>FFVR</w:t>
      </w:r>
      <w:r w:rsidRPr="00A845B7">
        <w:rPr>
          <w:rFonts w:ascii="Arial" w:hAnsi="Arial" w:cs="Arial"/>
          <w:iCs/>
        </w:rPr>
        <w:t xml:space="preserve">, amortisation of acquisition intangibles, related tax items and tax on prior year items including the impact of rate changes on deferred tax. </w:t>
      </w:r>
      <w:r w:rsidR="006C6A1C" w:rsidRPr="00A845B7">
        <w:rPr>
          <w:rFonts w:ascii="Arial" w:hAnsi="Arial" w:cs="Arial"/>
          <w:iCs/>
        </w:rPr>
        <w:t>Full</w:t>
      </w:r>
      <w:r w:rsidR="00D702D6" w:rsidRPr="00A845B7">
        <w:rPr>
          <w:rFonts w:ascii="Arial" w:hAnsi="Arial" w:cs="Arial"/>
          <w:iCs/>
        </w:rPr>
        <w:t xml:space="preserve"> </w:t>
      </w:r>
      <w:r w:rsidR="00C13096" w:rsidRPr="00A845B7">
        <w:rPr>
          <w:rFonts w:ascii="Arial" w:hAnsi="Arial" w:cs="Arial"/>
          <w:iCs/>
        </w:rPr>
        <w:t xml:space="preserve">year </w:t>
      </w:r>
      <w:r w:rsidRPr="00A845B7">
        <w:rPr>
          <w:rFonts w:ascii="Arial" w:hAnsi="Arial" w:cs="Arial"/>
          <w:iCs/>
        </w:rPr>
        <w:t>2015</w:t>
      </w:r>
      <w:r w:rsidR="00D702D6" w:rsidRPr="00A845B7">
        <w:rPr>
          <w:rFonts w:ascii="Arial" w:hAnsi="Arial" w:cs="Arial"/>
          <w:iCs/>
        </w:rPr>
        <w:t>/16</w:t>
      </w:r>
      <w:r w:rsidRPr="00A845B7">
        <w:rPr>
          <w:rFonts w:ascii="Arial" w:hAnsi="Arial" w:cs="Arial"/>
          <w:iCs/>
        </w:rPr>
        <w:t xml:space="preserve"> comparatives exclude B&amp;Q China’s results. </w:t>
      </w:r>
    </w:p>
    <w:p w:rsidR="00CD58E9" w:rsidRPr="00A845B7" w:rsidRDefault="00CD58E9" w:rsidP="000265B9">
      <w:pPr>
        <w:jc w:val="left"/>
        <w:rPr>
          <w:rFonts w:ascii="Arial" w:hAnsi="Arial" w:cs="Arial"/>
          <w:iCs/>
        </w:rPr>
      </w:pPr>
    </w:p>
    <w:p w:rsidR="00CD58E9" w:rsidRPr="00A845B7" w:rsidRDefault="00CD58E9" w:rsidP="000265B9">
      <w:pPr>
        <w:jc w:val="left"/>
        <w:rPr>
          <w:rFonts w:ascii="Arial" w:hAnsi="Arial" w:cs="Arial"/>
          <w:iCs/>
        </w:rPr>
      </w:pPr>
      <w:r w:rsidRPr="00A845B7">
        <w:rPr>
          <w:rFonts w:ascii="Arial" w:hAnsi="Arial" w:cs="Arial"/>
          <w:b/>
          <w:iCs/>
        </w:rPr>
        <w:t>Adjusted pre-tax profit</w:t>
      </w:r>
      <w:r w:rsidRPr="00A845B7">
        <w:rPr>
          <w:rFonts w:ascii="Arial" w:hAnsi="Arial" w:cs="Arial"/>
          <w:iCs/>
        </w:rPr>
        <w:t xml:space="preserve"> is used to report the performance of the business at a Group level including </w:t>
      </w:r>
      <w:r w:rsidR="00072B44" w:rsidRPr="00A845B7">
        <w:rPr>
          <w:rFonts w:ascii="Arial" w:hAnsi="Arial" w:cs="Arial"/>
          <w:iCs/>
        </w:rPr>
        <w:t xml:space="preserve">both the benefits of our </w:t>
      </w:r>
      <w:r w:rsidRPr="00A845B7">
        <w:rPr>
          <w:rFonts w:ascii="Arial" w:hAnsi="Arial" w:cs="Arial"/>
          <w:iCs/>
        </w:rPr>
        <w:t xml:space="preserve">transformation </w:t>
      </w:r>
      <w:r w:rsidR="00072B44" w:rsidRPr="00A845B7">
        <w:rPr>
          <w:rFonts w:ascii="Arial" w:hAnsi="Arial" w:cs="Arial"/>
          <w:iCs/>
        </w:rPr>
        <w:t xml:space="preserve">programme and the associated </w:t>
      </w:r>
      <w:r w:rsidR="000B266B" w:rsidRPr="00A845B7">
        <w:rPr>
          <w:rFonts w:ascii="Arial" w:hAnsi="Arial" w:cs="Arial"/>
          <w:iCs/>
        </w:rPr>
        <w:t>costs</w:t>
      </w:r>
      <w:r w:rsidRPr="00A845B7">
        <w:rPr>
          <w:rFonts w:ascii="Arial" w:hAnsi="Arial" w:cs="Arial"/>
          <w:iCs/>
        </w:rPr>
        <w:t xml:space="preserve">. This is stated before exceptional items and FFVR. </w:t>
      </w:r>
    </w:p>
    <w:p w:rsidR="000265B9" w:rsidRPr="00A845B7" w:rsidRDefault="000265B9" w:rsidP="000265B9">
      <w:pPr>
        <w:rPr>
          <w:rFonts w:ascii="Arial" w:hAnsi="Arial" w:cs="Arial"/>
          <w:iCs/>
        </w:rPr>
      </w:pPr>
    </w:p>
    <w:p w:rsidR="000265B9" w:rsidRPr="00A845B7" w:rsidRDefault="000265B9" w:rsidP="000265B9">
      <w:pPr>
        <w:jc w:val="left"/>
        <w:rPr>
          <w:rFonts w:ascii="Arial" w:hAnsi="Arial" w:cs="Arial"/>
          <w:iCs/>
        </w:rPr>
      </w:pPr>
      <w:r w:rsidRPr="00A845B7">
        <w:rPr>
          <w:rFonts w:ascii="Arial" w:hAnsi="Arial" w:cs="Arial"/>
          <w:b/>
          <w:iCs/>
        </w:rPr>
        <w:t>Adjusted sales</w:t>
      </w:r>
      <w:r w:rsidRPr="00A845B7">
        <w:rPr>
          <w:rFonts w:ascii="Arial" w:hAnsi="Arial" w:cs="Arial"/>
          <w:iCs/>
        </w:rPr>
        <w:t xml:space="preserve"> </w:t>
      </w:r>
      <w:r w:rsidR="00851292" w:rsidRPr="00A845B7">
        <w:rPr>
          <w:rFonts w:ascii="Arial" w:hAnsi="Arial" w:cs="Arial"/>
          <w:iCs/>
        </w:rPr>
        <w:t>represents statutory sales</w:t>
      </w:r>
      <w:r w:rsidR="00851292" w:rsidRPr="00A845B7">
        <w:rPr>
          <w:rFonts w:ascii="Arial" w:hAnsi="Arial" w:cs="Arial"/>
          <w:b/>
          <w:iCs/>
        </w:rPr>
        <w:t xml:space="preserve"> </w:t>
      </w:r>
      <w:r w:rsidR="00851292" w:rsidRPr="00A845B7">
        <w:rPr>
          <w:rFonts w:ascii="Arial" w:hAnsi="Arial" w:cs="Arial"/>
          <w:iCs/>
        </w:rPr>
        <w:t xml:space="preserve">excluding </w:t>
      </w:r>
      <w:r w:rsidRPr="00A845B7">
        <w:rPr>
          <w:rFonts w:ascii="Arial" w:hAnsi="Arial" w:cs="Arial"/>
          <w:iCs/>
        </w:rPr>
        <w:t>B&amp;Q China sales.</w:t>
      </w:r>
    </w:p>
    <w:p w:rsidR="000265B9" w:rsidRPr="00A845B7" w:rsidRDefault="000265B9" w:rsidP="000265B9">
      <w:pPr>
        <w:jc w:val="left"/>
        <w:rPr>
          <w:rFonts w:ascii="Arial" w:hAnsi="Arial" w:cs="Arial"/>
          <w:b/>
          <w:iCs/>
        </w:rPr>
      </w:pPr>
      <w:r w:rsidRPr="00A845B7">
        <w:rPr>
          <w:rFonts w:ascii="Arial" w:hAnsi="Arial" w:cs="Arial"/>
          <w:b/>
          <w:iCs/>
        </w:rPr>
        <w:t xml:space="preserve"> </w:t>
      </w:r>
    </w:p>
    <w:p w:rsidR="000265B9" w:rsidRPr="00A845B7" w:rsidRDefault="000265B9" w:rsidP="000265B9">
      <w:pPr>
        <w:jc w:val="left"/>
        <w:rPr>
          <w:rFonts w:ascii="Arial" w:hAnsi="Arial" w:cs="Arial"/>
          <w:iCs/>
        </w:rPr>
      </w:pPr>
      <w:r w:rsidRPr="00A845B7">
        <w:rPr>
          <w:rFonts w:ascii="Arial" w:hAnsi="Arial" w:cs="Arial"/>
          <w:b/>
          <w:iCs/>
        </w:rPr>
        <w:t xml:space="preserve">Banque de France </w:t>
      </w:r>
      <w:r w:rsidRPr="00A845B7">
        <w:rPr>
          <w:rFonts w:ascii="Arial" w:hAnsi="Arial" w:cs="Arial"/>
          <w:iCs/>
        </w:rPr>
        <w:t xml:space="preserve">data includes relocated and extended stores. </w:t>
      </w:r>
    </w:p>
    <w:p w:rsidR="000265B9" w:rsidRPr="00A845B7" w:rsidRDefault="008E1043" w:rsidP="000265B9">
      <w:pPr>
        <w:jc w:val="left"/>
        <w:rPr>
          <w:rFonts w:ascii="Arial" w:hAnsi="Arial" w:cs="Arial"/>
          <w:iCs/>
        </w:rPr>
      </w:pPr>
      <w:hyperlink r:id="rId9" w:history="1">
        <w:r w:rsidR="000265B9" w:rsidRPr="00A845B7">
          <w:rPr>
            <w:rStyle w:val="Hyperlink"/>
            <w:rFonts w:ascii="Arial" w:hAnsi="Arial" w:cs="Arial"/>
            <w:iCs/>
          </w:rPr>
          <w:t>http://webstat.banque-france.fr/en/browse.do?node=5384326</w:t>
        </w:r>
      </w:hyperlink>
    </w:p>
    <w:p w:rsidR="000265B9" w:rsidRPr="00A845B7" w:rsidRDefault="000265B9" w:rsidP="000265B9">
      <w:pPr>
        <w:rPr>
          <w:rFonts w:ascii="Arial" w:hAnsi="Arial" w:cs="Arial"/>
          <w:b/>
          <w:iCs/>
        </w:rPr>
      </w:pPr>
    </w:p>
    <w:p w:rsidR="00A77D26" w:rsidRPr="00A845B7" w:rsidRDefault="00106BDC" w:rsidP="000265B9">
      <w:pPr>
        <w:jc w:val="left"/>
        <w:rPr>
          <w:rFonts w:ascii="Arial" w:hAnsi="Arial" w:cs="Arial"/>
          <w:b/>
          <w:iCs/>
        </w:rPr>
      </w:pPr>
      <w:r w:rsidRPr="00A845B7">
        <w:rPr>
          <w:rFonts w:ascii="Arial" w:hAnsi="Arial" w:cs="Arial"/>
          <w:b/>
        </w:rPr>
        <w:t>BAU</w:t>
      </w:r>
      <w:r w:rsidRPr="00A845B7">
        <w:rPr>
          <w:rFonts w:ascii="Arial" w:hAnsi="Arial" w:cs="Arial"/>
        </w:rPr>
        <w:t xml:space="preserve"> (</w:t>
      </w:r>
      <w:r w:rsidR="00360422" w:rsidRPr="00A845B7">
        <w:rPr>
          <w:rFonts w:ascii="Arial" w:hAnsi="Arial" w:cs="Arial"/>
          <w:iCs/>
        </w:rPr>
        <w:t>b</w:t>
      </w:r>
      <w:r w:rsidR="00A77D26" w:rsidRPr="00A845B7">
        <w:rPr>
          <w:rFonts w:ascii="Arial" w:hAnsi="Arial" w:cs="Arial"/>
          <w:iCs/>
        </w:rPr>
        <w:t>usiness as usual</w:t>
      </w:r>
      <w:r w:rsidRPr="00A845B7">
        <w:rPr>
          <w:rFonts w:ascii="Arial" w:hAnsi="Arial" w:cs="Arial"/>
          <w:iCs/>
        </w:rPr>
        <w:t xml:space="preserve">) </w:t>
      </w:r>
      <w:r w:rsidR="00DA4C33" w:rsidRPr="00A845B7">
        <w:rPr>
          <w:rFonts w:ascii="Arial" w:hAnsi="Arial" w:cs="Arial"/>
        </w:rPr>
        <w:t>refer</w:t>
      </w:r>
      <w:r w:rsidR="0083039A" w:rsidRPr="00A845B7">
        <w:rPr>
          <w:rFonts w:ascii="Arial" w:hAnsi="Arial" w:cs="Arial"/>
        </w:rPr>
        <w:t>s</w:t>
      </w:r>
      <w:r w:rsidR="00DA4C33" w:rsidRPr="00A845B7">
        <w:rPr>
          <w:rFonts w:ascii="Arial" w:hAnsi="Arial" w:cs="Arial"/>
        </w:rPr>
        <w:t xml:space="preserve"> to activity </w:t>
      </w:r>
      <w:r w:rsidR="00A77D26" w:rsidRPr="00A845B7">
        <w:rPr>
          <w:rFonts w:ascii="Arial" w:hAnsi="Arial" w:cs="Arial"/>
        </w:rPr>
        <w:t>without the transformation</w:t>
      </w:r>
      <w:r w:rsidR="00DA4C33" w:rsidRPr="00A845B7">
        <w:rPr>
          <w:rFonts w:ascii="Arial" w:hAnsi="Arial" w:cs="Arial"/>
        </w:rPr>
        <w:t>.</w:t>
      </w:r>
      <w:r w:rsidR="00E87867">
        <w:rPr>
          <w:rFonts w:ascii="Arial" w:hAnsi="Arial" w:cs="Arial"/>
        </w:rPr>
        <w:t xml:space="preserve"> </w:t>
      </w:r>
      <w:r w:rsidR="00FF1280" w:rsidRPr="00A845B7">
        <w:rPr>
          <w:rFonts w:ascii="Arial" w:hAnsi="Arial" w:cs="Arial"/>
        </w:rPr>
        <w:t xml:space="preserve">When referring to our performance, we </w:t>
      </w:r>
      <w:r w:rsidR="00A77D26" w:rsidRPr="00A845B7">
        <w:rPr>
          <w:rFonts w:ascii="Arial" w:hAnsi="Arial" w:cs="Arial"/>
        </w:rPr>
        <w:t xml:space="preserve">would expect </w:t>
      </w:r>
      <w:r w:rsidR="00FF1280" w:rsidRPr="00A845B7">
        <w:rPr>
          <w:rFonts w:ascii="Arial" w:hAnsi="Arial" w:cs="Arial"/>
        </w:rPr>
        <w:t>this</w:t>
      </w:r>
      <w:r w:rsidR="00A77D26" w:rsidRPr="00A845B7">
        <w:rPr>
          <w:rFonts w:ascii="Arial" w:hAnsi="Arial" w:cs="Arial"/>
        </w:rPr>
        <w:t xml:space="preserve"> to be broadly in line with the macroeconomic backdrop in our respective markets.</w:t>
      </w:r>
    </w:p>
    <w:p w:rsidR="000265B9" w:rsidRPr="00A845B7" w:rsidRDefault="000265B9" w:rsidP="000265B9">
      <w:pPr>
        <w:rPr>
          <w:rFonts w:ascii="Arial" w:hAnsi="Arial" w:cs="Arial"/>
          <w:iCs/>
        </w:rPr>
      </w:pPr>
    </w:p>
    <w:p w:rsidR="007135F2" w:rsidRPr="007135F2" w:rsidRDefault="007135F2" w:rsidP="001A5F2E">
      <w:pPr>
        <w:jc w:val="left"/>
        <w:rPr>
          <w:rFonts w:ascii="Arial" w:hAnsi="Arial" w:cs="Arial"/>
          <w:iCs/>
        </w:rPr>
      </w:pPr>
      <w:r>
        <w:rPr>
          <w:rFonts w:ascii="Arial" w:hAnsi="Arial" w:cs="Arial"/>
          <w:b/>
          <w:iCs/>
        </w:rPr>
        <w:t xml:space="preserve">CPR </w:t>
      </w:r>
      <w:r>
        <w:rPr>
          <w:rFonts w:ascii="Arial" w:hAnsi="Arial" w:cs="Arial"/>
          <w:iCs/>
        </w:rPr>
        <w:t>(cost price reduction) refers to the savings made on cost of goods sold</w:t>
      </w:r>
      <w:r w:rsidR="0079676C">
        <w:rPr>
          <w:rFonts w:ascii="Arial" w:hAnsi="Arial" w:cs="Arial"/>
          <w:iCs/>
        </w:rPr>
        <w:t>.</w:t>
      </w:r>
    </w:p>
    <w:p w:rsidR="007135F2" w:rsidRDefault="007135F2" w:rsidP="001A5F2E">
      <w:pPr>
        <w:jc w:val="left"/>
        <w:rPr>
          <w:rFonts w:ascii="Arial" w:hAnsi="Arial" w:cs="Arial"/>
          <w:b/>
          <w:iCs/>
        </w:rPr>
      </w:pPr>
    </w:p>
    <w:p w:rsidR="001A5F2E" w:rsidRPr="00A845B7" w:rsidRDefault="001A5F2E" w:rsidP="001A5F2E">
      <w:pPr>
        <w:jc w:val="left"/>
        <w:rPr>
          <w:rFonts w:ascii="Arial" w:hAnsi="Arial" w:cs="Arial"/>
          <w:iCs/>
        </w:rPr>
      </w:pPr>
      <w:r w:rsidRPr="00A845B7">
        <w:rPr>
          <w:rFonts w:ascii="Arial" w:hAnsi="Arial" w:cs="Arial"/>
          <w:b/>
          <w:iCs/>
        </w:rPr>
        <w:t xml:space="preserve">Digital sales </w:t>
      </w:r>
      <w:r w:rsidRPr="00A845B7">
        <w:rPr>
          <w:rFonts w:ascii="Arial" w:hAnsi="Arial" w:cs="Arial"/>
          <w:iCs/>
        </w:rPr>
        <w:t>are</w:t>
      </w:r>
      <w:r w:rsidRPr="00A845B7">
        <w:rPr>
          <w:rFonts w:ascii="Arial" w:hAnsi="Arial" w:cs="Arial"/>
          <w:b/>
          <w:iCs/>
        </w:rPr>
        <w:t xml:space="preserve"> </w:t>
      </w:r>
      <w:r w:rsidRPr="00A845B7">
        <w:rPr>
          <w:rFonts w:ascii="Arial" w:hAnsi="Arial" w:cs="Arial"/>
          <w:iCs/>
        </w:rPr>
        <w:t>sales derived from online transactions, including click &amp; collect. This includes sales transacted on any device, however not sales through a call centre.</w:t>
      </w:r>
    </w:p>
    <w:p w:rsidR="001A5F2E" w:rsidRDefault="001A5F2E" w:rsidP="000265B9">
      <w:pPr>
        <w:jc w:val="left"/>
        <w:rPr>
          <w:rFonts w:ascii="Arial" w:hAnsi="Arial" w:cs="Arial"/>
          <w:b/>
          <w:iCs/>
        </w:rPr>
      </w:pPr>
    </w:p>
    <w:p w:rsidR="000265B9" w:rsidRPr="00A845B7" w:rsidRDefault="000265B9" w:rsidP="000265B9">
      <w:pPr>
        <w:jc w:val="left"/>
        <w:rPr>
          <w:rFonts w:ascii="Arial" w:hAnsi="Arial" w:cs="Arial"/>
          <w:iCs/>
        </w:rPr>
      </w:pPr>
      <w:r w:rsidRPr="00A845B7">
        <w:rPr>
          <w:rFonts w:ascii="Arial" w:hAnsi="Arial" w:cs="Arial"/>
          <w:b/>
          <w:iCs/>
        </w:rPr>
        <w:t>EBITDA</w:t>
      </w:r>
      <w:r w:rsidRPr="00A845B7">
        <w:rPr>
          <w:rFonts w:ascii="Arial" w:hAnsi="Arial" w:cs="Arial"/>
          <w:iCs/>
        </w:rPr>
        <w:t xml:space="preserve"> (earnings before interest, tax, depreciation and amortisation) is calculated as retail profit less central </w:t>
      </w:r>
      <w:r w:rsidR="00752703" w:rsidRPr="00A845B7">
        <w:rPr>
          <w:rFonts w:ascii="Arial" w:hAnsi="Arial" w:cs="Arial"/>
          <w:iCs/>
        </w:rPr>
        <w:t xml:space="preserve">and transformation </w:t>
      </w:r>
      <w:r w:rsidR="00B47AA5" w:rsidRPr="00A845B7">
        <w:rPr>
          <w:rFonts w:ascii="Arial" w:hAnsi="Arial" w:cs="Arial"/>
          <w:iCs/>
        </w:rPr>
        <w:t xml:space="preserve">P&amp;L </w:t>
      </w:r>
      <w:r w:rsidR="00752703" w:rsidRPr="00A845B7">
        <w:rPr>
          <w:rFonts w:ascii="Arial" w:hAnsi="Arial" w:cs="Arial"/>
          <w:iCs/>
        </w:rPr>
        <w:t xml:space="preserve">costs </w:t>
      </w:r>
      <w:r w:rsidRPr="00A845B7">
        <w:rPr>
          <w:rFonts w:ascii="Arial" w:hAnsi="Arial" w:cs="Arial"/>
          <w:iCs/>
        </w:rPr>
        <w:t>and before depreciation and amortisation.</w:t>
      </w:r>
    </w:p>
    <w:p w:rsidR="000265B9" w:rsidRPr="00A845B7" w:rsidRDefault="000265B9" w:rsidP="000265B9">
      <w:pPr>
        <w:jc w:val="left"/>
        <w:rPr>
          <w:rFonts w:ascii="Arial" w:hAnsi="Arial" w:cs="Arial"/>
          <w:iCs/>
        </w:rPr>
      </w:pPr>
    </w:p>
    <w:p w:rsidR="000265B9" w:rsidRPr="00A845B7" w:rsidRDefault="000265B9" w:rsidP="000265B9">
      <w:pPr>
        <w:jc w:val="left"/>
        <w:rPr>
          <w:rFonts w:ascii="Arial" w:hAnsi="Arial" w:cs="Arial"/>
          <w:i/>
        </w:rPr>
      </w:pPr>
      <w:r w:rsidRPr="00A845B7">
        <w:rPr>
          <w:rFonts w:ascii="Arial" w:hAnsi="Arial" w:cs="Arial"/>
          <w:b/>
          <w:iCs/>
        </w:rPr>
        <w:t>EBITDAR</w:t>
      </w:r>
      <w:r w:rsidRPr="00A845B7">
        <w:rPr>
          <w:rFonts w:ascii="Arial" w:hAnsi="Arial" w:cs="Arial"/>
          <w:iCs/>
        </w:rPr>
        <w:t xml:space="preserve"> (earnings before interest, tax, depreciation, amortisation and property operating lease rentals) is calculated as retail profit less central </w:t>
      </w:r>
      <w:r w:rsidR="00752703" w:rsidRPr="00A845B7">
        <w:rPr>
          <w:rFonts w:ascii="Arial" w:hAnsi="Arial" w:cs="Arial"/>
          <w:iCs/>
        </w:rPr>
        <w:t>and transformation</w:t>
      </w:r>
      <w:r w:rsidR="00B47AA5" w:rsidRPr="00A845B7">
        <w:rPr>
          <w:rFonts w:ascii="Arial" w:hAnsi="Arial" w:cs="Arial"/>
          <w:iCs/>
        </w:rPr>
        <w:t xml:space="preserve"> P&amp;L</w:t>
      </w:r>
      <w:r w:rsidR="00752703" w:rsidRPr="00A845B7">
        <w:rPr>
          <w:rFonts w:ascii="Arial" w:hAnsi="Arial" w:cs="Arial"/>
          <w:iCs/>
        </w:rPr>
        <w:t xml:space="preserve"> </w:t>
      </w:r>
      <w:r w:rsidRPr="00A845B7">
        <w:rPr>
          <w:rFonts w:ascii="Arial" w:hAnsi="Arial" w:cs="Arial"/>
          <w:iCs/>
        </w:rPr>
        <w:t xml:space="preserve">costs, before depreciation and amortisation and property operating lease rentals. </w:t>
      </w:r>
    </w:p>
    <w:p w:rsidR="006C6A1C" w:rsidRPr="00A845B7" w:rsidRDefault="006C6A1C" w:rsidP="006C6A1C">
      <w:pPr>
        <w:jc w:val="left"/>
        <w:rPr>
          <w:rFonts w:ascii="Arial" w:hAnsi="Arial" w:cs="Arial"/>
          <w:b/>
          <w:iCs/>
        </w:rPr>
      </w:pPr>
    </w:p>
    <w:p w:rsidR="001A5F2E" w:rsidRPr="00A845B7" w:rsidRDefault="001A5F2E" w:rsidP="001A5F2E">
      <w:pPr>
        <w:jc w:val="left"/>
        <w:rPr>
          <w:rFonts w:ascii="Arial" w:hAnsi="Arial" w:cs="Arial"/>
          <w:iCs/>
        </w:rPr>
      </w:pPr>
      <w:r w:rsidRPr="00A845B7">
        <w:rPr>
          <w:rFonts w:ascii="Arial" w:hAnsi="Arial" w:cs="Arial"/>
          <w:b/>
          <w:iCs/>
        </w:rPr>
        <w:t xml:space="preserve">FFVR </w:t>
      </w:r>
      <w:r w:rsidRPr="00A845B7">
        <w:rPr>
          <w:rFonts w:ascii="Arial" w:hAnsi="Arial" w:cs="Arial"/>
          <w:iCs/>
        </w:rPr>
        <w:t>(financing fair value remeasurements)</w:t>
      </w:r>
      <w:r w:rsidRPr="00A845B7">
        <w:rPr>
          <w:rFonts w:ascii="Arial" w:hAnsi="Arial" w:cs="Arial"/>
          <w:b/>
          <w:iCs/>
        </w:rPr>
        <w:t xml:space="preserve"> </w:t>
      </w:r>
      <w:r w:rsidRPr="00A845B7">
        <w:rPr>
          <w:rFonts w:ascii="Arial" w:hAnsi="Arial" w:cs="Arial"/>
          <w:iCs/>
        </w:rPr>
        <w:t xml:space="preserve">represents fair value fluctuations from financial instruments. </w:t>
      </w:r>
    </w:p>
    <w:p w:rsidR="001A5F2E" w:rsidRDefault="001A5F2E" w:rsidP="000265B9">
      <w:pPr>
        <w:jc w:val="left"/>
        <w:rPr>
          <w:rFonts w:ascii="Arial" w:hAnsi="Arial" w:cs="Arial"/>
          <w:b/>
          <w:iCs/>
        </w:rPr>
      </w:pPr>
    </w:p>
    <w:p w:rsidR="000265B9" w:rsidRPr="00A845B7" w:rsidRDefault="000265B9" w:rsidP="000265B9">
      <w:pPr>
        <w:jc w:val="left"/>
        <w:rPr>
          <w:rFonts w:ascii="Arial" w:hAnsi="Arial" w:cs="Arial"/>
          <w:iCs/>
        </w:rPr>
      </w:pPr>
      <w:r w:rsidRPr="00A845B7">
        <w:rPr>
          <w:rFonts w:ascii="Arial" w:hAnsi="Arial" w:cs="Arial"/>
          <w:b/>
          <w:iCs/>
        </w:rPr>
        <w:t>France</w:t>
      </w:r>
      <w:r w:rsidRPr="00A845B7">
        <w:rPr>
          <w:rFonts w:ascii="Arial" w:hAnsi="Arial" w:cs="Arial"/>
          <w:iCs/>
        </w:rPr>
        <w:t xml:space="preserve"> consists of Castorama France and Brico Dépôt France.</w:t>
      </w:r>
    </w:p>
    <w:p w:rsidR="000265B9" w:rsidRPr="00A845B7" w:rsidRDefault="000265B9" w:rsidP="000265B9">
      <w:pPr>
        <w:jc w:val="left"/>
        <w:rPr>
          <w:rFonts w:ascii="Arial" w:hAnsi="Arial" w:cs="Arial"/>
          <w:iCs/>
        </w:rPr>
      </w:pPr>
    </w:p>
    <w:p w:rsidR="000265B9" w:rsidRPr="00A845B7" w:rsidRDefault="000265B9" w:rsidP="000265B9">
      <w:pPr>
        <w:jc w:val="left"/>
        <w:rPr>
          <w:rFonts w:ascii="Arial" w:hAnsi="Arial" w:cs="Arial"/>
          <w:iCs/>
        </w:rPr>
      </w:pPr>
      <w:r w:rsidRPr="00A845B7">
        <w:rPr>
          <w:rFonts w:ascii="Arial" w:hAnsi="Arial" w:cs="Arial"/>
          <w:b/>
          <w:iCs/>
        </w:rPr>
        <w:t xml:space="preserve">Free cash flow </w:t>
      </w:r>
      <w:r w:rsidRPr="00A845B7">
        <w:rPr>
          <w:rFonts w:ascii="Arial" w:hAnsi="Arial" w:cs="Arial"/>
          <w:iCs/>
        </w:rPr>
        <w:t>represents cash generated from operations</w:t>
      </w:r>
      <w:r w:rsidR="00851292" w:rsidRPr="00A845B7">
        <w:rPr>
          <w:rFonts w:ascii="Arial" w:hAnsi="Arial" w:cs="Arial"/>
          <w:iCs/>
        </w:rPr>
        <w:t xml:space="preserve"> (excluding exceptional items)</w:t>
      </w:r>
      <w:r w:rsidRPr="00A845B7">
        <w:rPr>
          <w:rFonts w:ascii="Arial" w:hAnsi="Arial" w:cs="Arial"/>
          <w:iCs/>
        </w:rPr>
        <w:t xml:space="preserve"> less the amount spent on </w:t>
      </w:r>
      <w:r w:rsidR="00851292" w:rsidRPr="00A845B7">
        <w:rPr>
          <w:rFonts w:ascii="Arial" w:hAnsi="Arial" w:cs="Arial"/>
          <w:iCs/>
        </w:rPr>
        <w:t xml:space="preserve">interest, </w:t>
      </w:r>
      <w:r w:rsidRPr="00A845B7">
        <w:rPr>
          <w:rFonts w:ascii="Arial" w:hAnsi="Arial" w:cs="Arial"/>
          <w:iCs/>
        </w:rPr>
        <w:t>tax and capital expenditure during the year (excluding business acquisitions and disposals</w:t>
      </w:r>
      <w:r w:rsidR="00BA1857" w:rsidRPr="00A845B7">
        <w:rPr>
          <w:rFonts w:ascii="Arial" w:hAnsi="Arial" w:cs="Arial"/>
          <w:iCs/>
        </w:rPr>
        <w:t xml:space="preserve"> and asset disposals</w:t>
      </w:r>
      <w:r w:rsidRPr="00A845B7">
        <w:rPr>
          <w:rFonts w:ascii="Arial" w:hAnsi="Arial" w:cs="Arial"/>
          <w:iCs/>
        </w:rPr>
        <w:t xml:space="preserve">). A reconciliation from operating profit is set out in the Financial Review (Section 4). </w:t>
      </w:r>
    </w:p>
    <w:p w:rsidR="000265B9" w:rsidRPr="00A845B7" w:rsidRDefault="000265B9" w:rsidP="000265B9">
      <w:pPr>
        <w:jc w:val="left"/>
        <w:rPr>
          <w:rFonts w:ascii="Arial" w:hAnsi="Arial" w:cs="Arial"/>
          <w:iCs/>
        </w:rPr>
      </w:pPr>
    </w:p>
    <w:p w:rsidR="000265B9" w:rsidRPr="00A845B7" w:rsidRDefault="000265B9" w:rsidP="000265B9">
      <w:pPr>
        <w:jc w:val="left"/>
        <w:rPr>
          <w:rFonts w:ascii="Arial" w:hAnsi="Arial" w:cs="Arial"/>
          <w:b/>
          <w:iCs/>
        </w:rPr>
      </w:pPr>
      <w:r w:rsidRPr="00A845B7">
        <w:rPr>
          <w:rFonts w:ascii="Arial" w:hAnsi="Arial" w:cs="Arial"/>
          <w:b/>
          <w:iCs/>
        </w:rPr>
        <w:t xml:space="preserve">GNFR </w:t>
      </w:r>
      <w:r w:rsidR="00EE0CD7" w:rsidRPr="00A845B7">
        <w:rPr>
          <w:rFonts w:ascii="Arial" w:hAnsi="Arial" w:cs="Arial"/>
          <w:iCs/>
        </w:rPr>
        <w:t>(</w:t>
      </w:r>
      <w:r w:rsidRPr="00A845B7">
        <w:rPr>
          <w:rFonts w:ascii="Arial" w:hAnsi="Arial" w:cs="Arial"/>
          <w:iCs/>
        </w:rPr>
        <w:t>Goods Not For Resale</w:t>
      </w:r>
      <w:r w:rsidR="00EE0CD7" w:rsidRPr="00A845B7">
        <w:rPr>
          <w:rFonts w:ascii="Arial" w:hAnsi="Arial" w:cs="Arial"/>
          <w:iCs/>
        </w:rPr>
        <w:t>)</w:t>
      </w:r>
      <w:r w:rsidRPr="00A845B7">
        <w:rPr>
          <w:rFonts w:ascii="Arial" w:hAnsi="Arial" w:cs="Arial"/>
          <w:iCs/>
        </w:rPr>
        <w:t xml:space="preserve"> covers the procurement of all goods and services a retailer </w:t>
      </w:r>
      <w:r w:rsidR="0016009C" w:rsidRPr="00A845B7">
        <w:rPr>
          <w:rFonts w:ascii="Arial" w:hAnsi="Arial" w:cs="Arial"/>
          <w:iCs/>
        </w:rPr>
        <w:t xml:space="preserve">consumes </w:t>
      </w:r>
      <w:r w:rsidRPr="00A845B7">
        <w:rPr>
          <w:rFonts w:ascii="Arial" w:hAnsi="Arial" w:cs="Arial"/>
          <w:iCs/>
        </w:rPr>
        <w:t>(including media buying, mechanical handling equipment, printing &amp; paper).</w:t>
      </w:r>
    </w:p>
    <w:p w:rsidR="000265B9" w:rsidRPr="00A845B7" w:rsidRDefault="000265B9" w:rsidP="000265B9">
      <w:pPr>
        <w:jc w:val="left"/>
        <w:rPr>
          <w:rFonts w:ascii="Arial" w:hAnsi="Arial" w:cs="Arial"/>
          <w:b/>
          <w:iCs/>
        </w:rPr>
      </w:pPr>
    </w:p>
    <w:p w:rsidR="006C6A1C" w:rsidRPr="00A845B7" w:rsidRDefault="006C6A1C" w:rsidP="006C6A1C">
      <w:pPr>
        <w:tabs>
          <w:tab w:val="left" w:pos="357"/>
        </w:tabs>
        <w:ind w:right="-282"/>
        <w:jc w:val="left"/>
        <w:rPr>
          <w:rFonts w:ascii="Arial" w:hAnsi="Arial" w:cs="Arial"/>
        </w:rPr>
      </w:pPr>
      <w:r w:rsidRPr="00A845B7">
        <w:rPr>
          <w:rFonts w:ascii="Arial" w:hAnsi="Arial" w:cs="Arial"/>
          <w:b/>
        </w:rPr>
        <w:t>Lease adjusted ROCE</w:t>
      </w:r>
      <w:r w:rsidRPr="00A845B7">
        <w:rPr>
          <w:rFonts w:ascii="Arial" w:hAnsi="Arial" w:cs="Arial"/>
        </w:rPr>
        <w:t xml:space="preserve"> - Post-tax retail profit less central costs</w:t>
      </w:r>
      <w:r w:rsidR="00E5583B">
        <w:rPr>
          <w:rFonts w:ascii="Arial" w:hAnsi="Arial" w:cs="Arial"/>
        </w:rPr>
        <w:t xml:space="preserve"> and transformation costs</w:t>
      </w:r>
      <w:r w:rsidRPr="00A845B7">
        <w:rPr>
          <w:rFonts w:ascii="Arial" w:hAnsi="Arial" w:cs="Arial"/>
        </w:rPr>
        <w:t>, excluding exceptional items and property lease costs, divided by lease adjusted capital employed excluding historic goodwill, net cash and exceptional restructuring provision. Capital employed is adjusted to include capitalised property leases. Kingfisher believes 8x property operating lease rent is a reasonable industry standard for estimating the economic value of its leased assets. Capital employed except for capitalised leases, is calculated as a two point average. The calculation excludes disposed businesses e.g. China.</w:t>
      </w:r>
    </w:p>
    <w:p w:rsidR="006C6A1C" w:rsidRPr="00A845B7" w:rsidRDefault="006C6A1C" w:rsidP="000265B9">
      <w:pPr>
        <w:jc w:val="left"/>
        <w:rPr>
          <w:rFonts w:ascii="Arial" w:hAnsi="Arial" w:cs="Arial"/>
          <w:b/>
          <w:iCs/>
        </w:rPr>
      </w:pPr>
    </w:p>
    <w:p w:rsidR="000265B9" w:rsidRPr="00A845B7" w:rsidRDefault="000265B9" w:rsidP="000265B9">
      <w:pPr>
        <w:jc w:val="left"/>
        <w:rPr>
          <w:rFonts w:ascii="Arial" w:hAnsi="Arial" w:cs="Arial"/>
          <w:iCs/>
        </w:rPr>
      </w:pPr>
      <w:r w:rsidRPr="00A845B7">
        <w:rPr>
          <w:rFonts w:ascii="Arial" w:hAnsi="Arial" w:cs="Arial"/>
          <w:b/>
          <w:iCs/>
        </w:rPr>
        <w:t>LFL</w:t>
      </w:r>
      <w:r w:rsidRPr="00A845B7">
        <w:rPr>
          <w:rFonts w:ascii="Arial" w:hAnsi="Arial" w:cs="Arial"/>
          <w:iCs/>
        </w:rPr>
        <w:t xml:space="preserve"> stands for like-for-like sales growth representing the constant currency, year on year sales growth for stores that have been open for more than a year.</w:t>
      </w:r>
    </w:p>
    <w:p w:rsidR="000265B9" w:rsidRPr="00A845B7" w:rsidRDefault="000265B9" w:rsidP="000265B9">
      <w:pPr>
        <w:jc w:val="left"/>
        <w:rPr>
          <w:rFonts w:ascii="Arial" w:hAnsi="Arial" w:cs="Arial"/>
          <w:b/>
          <w:iCs/>
        </w:rPr>
      </w:pPr>
    </w:p>
    <w:p w:rsidR="005466D7" w:rsidRPr="00A845B7" w:rsidRDefault="000265B9" w:rsidP="000265B9">
      <w:pPr>
        <w:jc w:val="left"/>
        <w:rPr>
          <w:rFonts w:ascii="Arial" w:hAnsi="Arial" w:cs="Arial"/>
          <w:iCs/>
        </w:rPr>
      </w:pPr>
      <w:r w:rsidRPr="00A845B7">
        <w:rPr>
          <w:rFonts w:ascii="Arial" w:hAnsi="Arial" w:cs="Arial"/>
          <w:b/>
          <w:iCs/>
        </w:rPr>
        <w:t xml:space="preserve">Net cash </w:t>
      </w:r>
      <w:r w:rsidRPr="00A845B7">
        <w:rPr>
          <w:rFonts w:ascii="Arial" w:hAnsi="Arial" w:cs="Arial"/>
          <w:iCs/>
        </w:rPr>
        <w:t>comprises cash and cash equivalents</w:t>
      </w:r>
      <w:r w:rsidR="0065238B" w:rsidRPr="00A845B7">
        <w:rPr>
          <w:rFonts w:ascii="Arial" w:hAnsi="Arial" w:cs="Arial"/>
          <w:iCs/>
        </w:rPr>
        <w:t xml:space="preserve"> and</w:t>
      </w:r>
      <w:r w:rsidR="00851292" w:rsidRPr="00A845B7">
        <w:rPr>
          <w:rFonts w:ascii="Arial" w:hAnsi="Arial" w:cs="Arial"/>
          <w:iCs/>
        </w:rPr>
        <w:t xml:space="preserve"> </w:t>
      </w:r>
      <w:r w:rsidRPr="00A845B7">
        <w:rPr>
          <w:rFonts w:ascii="Arial" w:hAnsi="Arial" w:cs="Arial"/>
          <w:iCs/>
        </w:rPr>
        <w:t>short term deposits</w:t>
      </w:r>
      <w:r w:rsidR="0065238B" w:rsidRPr="00A845B7">
        <w:rPr>
          <w:rFonts w:ascii="Arial" w:hAnsi="Arial" w:cs="Arial"/>
          <w:iCs/>
        </w:rPr>
        <w:t>, less</w:t>
      </w:r>
      <w:r w:rsidR="00851292" w:rsidRPr="00A845B7">
        <w:rPr>
          <w:rFonts w:ascii="Arial" w:hAnsi="Arial" w:cs="Arial"/>
          <w:iCs/>
        </w:rPr>
        <w:t xml:space="preserve"> borrowings and financing derivatives (excluding accrued interest)</w:t>
      </w:r>
      <w:r w:rsidRPr="00A845B7">
        <w:rPr>
          <w:rFonts w:ascii="Arial" w:hAnsi="Arial" w:cs="Arial"/>
          <w:iCs/>
        </w:rPr>
        <w:t>. It excludes balances classified as held for sale.</w:t>
      </w:r>
    </w:p>
    <w:p w:rsidR="000265B9" w:rsidRPr="00A845B7" w:rsidRDefault="000265B9" w:rsidP="000265B9">
      <w:pPr>
        <w:jc w:val="left"/>
        <w:rPr>
          <w:rFonts w:ascii="Arial" w:hAnsi="Arial" w:cs="Arial"/>
          <w:iCs/>
        </w:rPr>
      </w:pPr>
    </w:p>
    <w:p w:rsidR="000265B9" w:rsidRPr="00A845B7" w:rsidRDefault="000265B9" w:rsidP="000265B9">
      <w:pPr>
        <w:jc w:val="left"/>
        <w:rPr>
          <w:rFonts w:ascii="Arial" w:hAnsi="Arial" w:cs="Arial"/>
          <w:iCs/>
        </w:rPr>
      </w:pPr>
      <w:r w:rsidRPr="00A845B7">
        <w:rPr>
          <w:rFonts w:ascii="Arial" w:hAnsi="Arial" w:cs="Arial"/>
          <w:b/>
          <w:iCs/>
        </w:rPr>
        <w:lastRenderedPageBreak/>
        <w:t xml:space="preserve">New </w:t>
      </w:r>
      <w:r w:rsidR="003678C1" w:rsidRPr="00A845B7">
        <w:rPr>
          <w:rFonts w:ascii="Arial" w:hAnsi="Arial" w:cs="Arial"/>
          <w:b/>
          <w:iCs/>
        </w:rPr>
        <w:t>C</w:t>
      </w:r>
      <w:r w:rsidRPr="00A845B7">
        <w:rPr>
          <w:rFonts w:ascii="Arial" w:hAnsi="Arial" w:cs="Arial"/>
          <w:b/>
          <w:iCs/>
        </w:rPr>
        <w:t xml:space="preserve">ountry </w:t>
      </w:r>
      <w:r w:rsidR="003678C1" w:rsidRPr="00A845B7">
        <w:rPr>
          <w:rFonts w:ascii="Arial" w:hAnsi="Arial" w:cs="Arial"/>
          <w:b/>
          <w:iCs/>
        </w:rPr>
        <w:t>D</w:t>
      </w:r>
      <w:r w:rsidRPr="00A845B7">
        <w:rPr>
          <w:rFonts w:ascii="Arial" w:hAnsi="Arial" w:cs="Arial"/>
          <w:b/>
          <w:iCs/>
        </w:rPr>
        <w:t xml:space="preserve">evelopment </w:t>
      </w:r>
      <w:r w:rsidRPr="00A845B7">
        <w:rPr>
          <w:rFonts w:ascii="Arial" w:hAnsi="Arial" w:cs="Arial"/>
          <w:iCs/>
        </w:rPr>
        <w:t xml:space="preserve">consists of </w:t>
      </w:r>
      <w:r w:rsidR="00681C26" w:rsidRPr="00A845B7">
        <w:rPr>
          <w:rFonts w:ascii="Arial" w:hAnsi="Arial" w:cs="Arial"/>
          <w:iCs/>
        </w:rPr>
        <w:t xml:space="preserve">Screwfix Europe, </w:t>
      </w:r>
      <w:r w:rsidRPr="00A845B7">
        <w:rPr>
          <w:rFonts w:ascii="Arial" w:hAnsi="Arial" w:cs="Arial"/>
          <w:iCs/>
        </w:rPr>
        <w:t>Portugal and Romania.</w:t>
      </w:r>
    </w:p>
    <w:p w:rsidR="000F752B" w:rsidRPr="00A845B7" w:rsidRDefault="000F752B" w:rsidP="008355A5">
      <w:pPr>
        <w:jc w:val="left"/>
        <w:rPr>
          <w:rFonts w:ascii="Arial" w:hAnsi="Arial" w:cs="Arial"/>
          <w:b/>
          <w:iCs/>
        </w:rPr>
      </w:pPr>
    </w:p>
    <w:p w:rsidR="000265B9" w:rsidRPr="00A845B7" w:rsidRDefault="000265B9" w:rsidP="000265B9">
      <w:pPr>
        <w:jc w:val="left"/>
        <w:rPr>
          <w:rFonts w:ascii="Arial" w:hAnsi="Arial" w:cs="Arial"/>
          <w:iCs/>
        </w:rPr>
      </w:pPr>
      <w:r w:rsidRPr="00A845B7">
        <w:rPr>
          <w:rFonts w:ascii="Arial" w:hAnsi="Arial" w:cs="Arial"/>
          <w:b/>
          <w:iCs/>
        </w:rPr>
        <w:t>Other International</w:t>
      </w:r>
      <w:r w:rsidRPr="00A845B7">
        <w:rPr>
          <w:rFonts w:ascii="Arial" w:hAnsi="Arial" w:cs="Arial"/>
          <w:iCs/>
        </w:rPr>
        <w:t xml:space="preserve"> consists of Poland, Portugal, Romania, Russia, </w:t>
      </w:r>
      <w:r w:rsidR="008355A5" w:rsidRPr="00A845B7">
        <w:rPr>
          <w:rFonts w:ascii="Arial" w:hAnsi="Arial" w:cs="Arial"/>
          <w:iCs/>
        </w:rPr>
        <w:t xml:space="preserve">Screwfix Europe, </w:t>
      </w:r>
      <w:r w:rsidRPr="00A845B7">
        <w:rPr>
          <w:rFonts w:ascii="Arial" w:hAnsi="Arial" w:cs="Arial"/>
          <w:iCs/>
        </w:rPr>
        <w:t>Spain and Turkey (Koçtaş JV).</w:t>
      </w:r>
    </w:p>
    <w:p w:rsidR="000265B9" w:rsidRPr="00A845B7" w:rsidRDefault="000265B9" w:rsidP="000265B9">
      <w:pPr>
        <w:jc w:val="left"/>
        <w:rPr>
          <w:rFonts w:ascii="Arial" w:hAnsi="Arial" w:cs="Arial"/>
          <w:iCs/>
        </w:rPr>
      </w:pPr>
    </w:p>
    <w:p w:rsidR="000265B9" w:rsidRPr="00A845B7" w:rsidRDefault="000265B9" w:rsidP="000265B9">
      <w:pPr>
        <w:jc w:val="left"/>
        <w:rPr>
          <w:rFonts w:ascii="Arial" w:hAnsi="Arial" w:cs="Arial"/>
          <w:iCs/>
        </w:rPr>
      </w:pPr>
      <w:r w:rsidRPr="00A845B7">
        <w:rPr>
          <w:rFonts w:ascii="Arial" w:hAnsi="Arial" w:cs="Arial"/>
          <w:b/>
          <w:iCs/>
        </w:rPr>
        <w:t>Retail profit</w:t>
      </w:r>
      <w:r w:rsidRPr="00A845B7">
        <w:rPr>
          <w:rFonts w:ascii="Arial" w:hAnsi="Arial" w:cs="Arial"/>
          <w:iCs/>
        </w:rPr>
        <w:t xml:space="preserve"> is </w:t>
      </w:r>
      <w:r w:rsidR="000754C8" w:rsidRPr="00A845B7">
        <w:rPr>
          <w:rFonts w:ascii="Arial" w:hAnsi="Arial" w:cs="Arial"/>
          <w:iCs/>
        </w:rPr>
        <w:t xml:space="preserve">our </w:t>
      </w:r>
      <w:r w:rsidRPr="00A845B7">
        <w:rPr>
          <w:rFonts w:ascii="Arial" w:hAnsi="Arial" w:cs="Arial"/>
          <w:iCs/>
        </w:rPr>
        <w:t>operating profit</w:t>
      </w:r>
      <w:r w:rsidR="000754C8" w:rsidRPr="00A845B7">
        <w:rPr>
          <w:rFonts w:ascii="Arial" w:hAnsi="Arial" w:cs="Arial"/>
          <w:iCs/>
        </w:rPr>
        <w:t xml:space="preserve"> measure </w:t>
      </w:r>
      <w:r w:rsidR="00683106" w:rsidRPr="00A845B7">
        <w:rPr>
          <w:rFonts w:ascii="Arial" w:hAnsi="Arial" w:cs="Arial"/>
          <w:iCs/>
        </w:rPr>
        <w:t>used to report</w:t>
      </w:r>
      <w:r w:rsidR="00CD58E9" w:rsidRPr="00A845B7">
        <w:rPr>
          <w:rFonts w:ascii="Arial" w:hAnsi="Arial" w:cs="Arial"/>
          <w:iCs/>
        </w:rPr>
        <w:t xml:space="preserve"> the performance of the</w:t>
      </w:r>
      <w:r w:rsidR="000754C8" w:rsidRPr="00A845B7">
        <w:rPr>
          <w:rFonts w:ascii="Arial" w:hAnsi="Arial" w:cs="Arial"/>
          <w:iCs/>
        </w:rPr>
        <w:t xml:space="preserve"> </w:t>
      </w:r>
      <w:r w:rsidR="00B94BBA" w:rsidRPr="00A845B7">
        <w:rPr>
          <w:rFonts w:ascii="Arial" w:hAnsi="Arial" w:cs="Arial"/>
          <w:iCs/>
        </w:rPr>
        <w:t xml:space="preserve">underlying </w:t>
      </w:r>
      <w:r w:rsidR="000754C8" w:rsidRPr="00A845B7">
        <w:rPr>
          <w:rFonts w:ascii="Arial" w:hAnsi="Arial" w:cs="Arial"/>
          <w:iCs/>
        </w:rPr>
        <w:t>retail businesses</w:t>
      </w:r>
      <w:r w:rsidR="00B94BBA" w:rsidRPr="00A845B7">
        <w:rPr>
          <w:rFonts w:ascii="Arial" w:hAnsi="Arial" w:cs="Arial"/>
          <w:iCs/>
        </w:rPr>
        <w:t xml:space="preserve"> including </w:t>
      </w:r>
      <w:r w:rsidR="00072B44" w:rsidRPr="00A845B7">
        <w:rPr>
          <w:rFonts w:ascii="Arial" w:hAnsi="Arial" w:cs="Arial"/>
          <w:iCs/>
        </w:rPr>
        <w:t xml:space="preserve">the </w:t>
      </w:r>
      <w:r w:rsidR="004A1D3F" w:rsidRPr="00A845B7">
        <w:rPr>
          <w:rFonts w:ascii="Arial" w:hAnsi="Arial" w:cs="Arial"/>
          <w:iCs/>
        </w:rPr>
        <w:t xml:space="preserve">sustainable </w:t>
      </w:r>
      <w:r w:rsidR="00072B44" w:rsidRPr="00A845B7">
        <w:rPr>
          <w:rFonts w:ascii="Arial" w:hAnsi="Arial" w:cs="Arial"/>
          <w:iCs/>
        </w:rPr>
        <w:t xml:space="preserve">benefits of our </w:t>
      </w:r>
      <w:r w:rsidR="00B94BBA" w:rsidRPr="00A845B7">
        <w:rPr>
          <w:rFonts w:ascii="Arial" w:hAnsi="Arial" w:cs="Arial"/>
          <w:iCs/>
        </w:rPr>
        <w:t xml:space="preserve">transformation </w:t>
      </w:r>
      <w:r w:rsidR="00072B44" w:rsidRPr="00A845B7">
        <w:rPr>
          <w:rFonts w:ascii="Arial" w:hAnsi="Arial" w:cs="Arial"/>
          <w:iCs/>
        </w:rPr>
        <w:t>programme</w:t>
      </w:r>
      <w:r w:rsidR="00B94BBA" w:rsidRPr="00A845B7">
        <w:rPr>
          <w:rFonts w:ascii="Arial" w:hAnsi="Arial" w:cs="Arial"/>
          <w:iCs/>
        </w:rPr>
        <w:t xml:space="preserve">. This is </w:t>
      </w:r>
      <w:r w:rsidRPr="00A845B7">
        <w:rPr>
          <w:rFonts w:ascii="Arial" w:hAnsi="Arial" w:cs="Arial"/>
          <w:iCs/>
        </w:rPr>
        <w:t>stated before</w:t>
      </w:r>
      <w:r w:rsidR="00B94BBA" w:rsidRPr="00A845B7">
        <w:rPr>
          <w:rFonts w:ascii="Arial" w:hAnsi="Arial" w:cs="Arial"/>
          <w:iCs/>
        </w:rPr>
        <w:t xml:space="preserve"> </w:t>
      </w:r>
      <w:r w:rsidRPr="00A845B7">
        <w:rPr>
          <w:rFonts w:ascii="Arial" w:hAnsi="Arial" w:cs="Arial"/>
          <w:iCs/>
        </w:rPr>
        <w:t xml:space="preserve">central costs, </w:t>
      </w:r>
      <w:r w:rsidR="00B94BBA" w:rsidRPr="00A845B7">
        <w:rPr>
          <w:rFonts w:ascii="Arial" w:hAnsi="Arial" w:cs="Arial"/>
          <w:iCs/>
        </w:rPr>
        <w:t xml:space="preserve">transformation costs, </w:t>
      </w:r>
      <w:r w:rsidRPr="00A845B7">
        <w:rPr>
          <w:rFonts w:ascii="Arial" w:hAnsi="Arial" w:cs="Arial"/>
          <w:iCs/>
        </w:rPr>
        <w:t>exceptional items</w:t>
      </w:r>
      <w:r w:rsidR="00072B44" w:rsidRPr="00A845B7">
        <w:rPr>
          <w:rFonts w:ascii="Arial" w:hAnsi="Arial" w:cs="Arial"/>
          <w:iCs/>
        </w:rPr>
        <w:t xml:space="preserve"> </w:t>
      </w:r>
      <w:r w:rsidR="00CD58E9" w:rsidRPr="00A845B7">
        <w:rPr>
          <w:rFonts w:ascii="Arial" w:hAnsi="Arial" w:cs="Arial"/>
          <w:iCs/>
        </w:rPr>
        <w:t>and</w:t>
      </w:r>
      <w:r w:rsidRPr="00A845B7">
        <w:rPr>
          <w:rFonts w:ascii="Arial" w:hAnsi="Arial" w:cs="Arial"/>
          <w:iCs/>
        </w:rPr>
        <w:t xml:space="preserve"> the Group’s share of interest and tax of JVs and associates. </w:t>
      </w:r>
      <w:r w:rsidR="006C6A1C" w:rsidRPr="00A845B7">
        <w:rPr>
          <w:rFonts w:ascii="Arial" w:hAnsi="Arial" w:cs="Arial"/>
          <w:iCs/>
        </w:rPr>
        <w:t>Full</w:t>
      </w:r>
      <w:r w:rsidR="00D702D6" w:rsidRPr="00A845B7">
        <w:rPr>
          <w:rFonts w:ascii="Arial" w:hAnsi="Arial" w:cs="Arial"/>
          <w:iCs/>
        </w:rPr>
        <w:t xml:space="preserve"> </w:t>
      </w:r>
      <w:r w:rsidR="002D2D9D" w:rsidRPr="00A845B7">
        <w:rPr>
          <w:rFonts w:ascii="Arial" w:hAnsi="Arial" w:cs="Arial"/>
          <w:iCs/>
        </w:rPr>
        <w:t xml:space="preserve">year </w:t>
      </w:r>
      <w:r w:rsidRPr="00A845B7">
        <w:rPr>
          <w:rFonts w:ascii="Arial" w:hAnsi="Arial" w:cs="Arial"/>
          <w:iCs/>
        </w:rPr>
        <w:t>2015</w:t>
      </w:r>
      <w:r w:rsidR="00D702D6" w:rsidRPr="00A845B7">
        <w:rPr>
          <w:rFonts w:ascii="Arial" w:hAnsi="Arial" w:cs="Arial"/>
          <w:iCs/>
        </w:rPr>
        <w:t>/16</w:t>
      </w:r>
      <w:r w:rsidRPr="00A845B7">
        <w:rPr>
          <w:rFonts w:ascii="Arial" w:hAnsi="Arial" w:cs="Arial"/>
          <w:iCs/>
        </w:rPr>
        <w:t xml:space="preserve"> comparatives exclude B&amp;Q China’s operating loss. </w:t>
      </w:r>
    </w:p>
    <w:p w:rsidR="000265B9" w:rsidRPr="00A845B7" w:rsidRDefault="000265B9" w:rsidP="000265B9">
      <w:pPr>
        <w:tabs>
          <w:tab w:val="left" w:pos="357"/>
        </w:tabs>
        <w:ind w:right="-282"/>
        <w:jc w:val="left"/>
        <w:rPr>
          <w:rFonts w:ascii="Arial" w:hAnsi="Arial" w:cs="Arial"/>
          <w:b/>
        </w:rPr>
      </w:pPr>
    </w:p>
    <w:p w:rsidR="00C13096" w:rsidRPr="00A845B7" w:rsidRDefault="00C13096" w:rsidP="000265B9">
      <w:pPr>
        <w:tabs>
          <w:tab w:val="left" w:pos="357"/>
        </w:tabs>
        <w:ind w:right="-282"/>
        <w:jc w:val="left"/>
        <w:rPr>
          <w:rFonts w:ascii="Arial" w:hAnsi="Arial" w:cs="Arial"/>
          <w:b/>
        </w:rPr>
      </w:pPr>
      <w:r w:rsidRPr="00A845B7">
        <w:rPr>
          <w:rFonts w:ascii="Arial" w:hAnsi="Arial" w:cs="Arial"/>
          <w:b/>
        </w:rPr>
        <w:t>Screwfix Europe</w:t>
      </w:r>
      <w:r w:rsidRPr="00A845B7">
        <w:rPr>
          <w:rFonts w:ascii="Arial" w:hAnsi="Arial" w:cs="Arial"/>
        </w:rPr>
        <w:t xml:space="preserve"> </w:t>
      </w:r>
      <w:r w:rsidR="006568D3">
        <w:rPr>
          <w:rFonts w:ascii="Arial" w:hAnsi="Arial" w:cs="Arial"/>
        </w:rPr>
        <w:t>refers to</w:t>
      </w:r>
      <w:r w:rsidRPr="00A845B7">
        <w:rPr>
          <w:rFonts w:ascii="Arial" w:hAnsi="Arial" w:cs="Arial"/>
        </w:rPr>
        <w:t xml:space="preserve"> Screwfix outside of UK in continental Europe</w:t>
      </w:r>
      <w:r w:rsidR="003678C1" w:rsidRPr="00A845B7">
        <w:rPr>
          <w:rFonts w:ascii="Arial" w:hAnsi="Arial" w:cs="Arial"/>
        </w:rPr>
        <w:t>.</w:t>
      </w:r>
    </w:p>
    <w:p w:rsidR="00C13096" w:rsidRPr="00A845B7" w:rsidRDefault="00C13096" w:rsidP="000265B9">
      <w:pPr>
        <w:tabs>
          <w:tab w:val="left" w:pos="357"/>
        </w:tabs>
        <w:ind w:right="-282"/>
        <w:jc w:val="left"/>
        <w:rPr>
          <w:rFonts w:ascii="Arial" w:hAnsi="Arial" w:cs="Arial"/>
          <w:b/>
        </w:rPr>
      </w:pPr>
    </w:p>
    <w:p w:rsidR="000265B9" w:rsidRPr="00A845B7" w:rsidRDefault="000265B9" w:rsidP="000265B9">
      <w:pPr>
        <w:tabs>
          <w:tab w:val="left" w:pos="357"/>
        </w:tabs>
        <w:ind w:right="-282"/>
        <w:jc w:val="left"/>
        <w:rPr>
          <w:rFonts w:ascii="Arial" w:hAnsi="Arial" w:cs="Arial"/>
          <w:iCs/>
        </w:rPr>
      </w:pPr>
      <w:r w:rsidRPr="00A845B7">
        <w:rPr>
          <w:rFonts w:ascii="Arial" w:hAnsi="Arial" w:cs="Arial"/>
          <w:b/>
        </w:rPr>
        <w:t>Statutory sales</w:t>
      </w:r>
      <w:r w:rsidRPr="00A845B7">
        <w:rPr>
          <w:rFonts w:ascii="Arial" w:hAnsi="Arial" w:cs="Arial"/>
          <w:iCs/>
        </w:rPr>
        <w:t xml:space="preserve"> </w:t>
      </w:r>
      <w:r w:rsidR="006568D3">
        <w:rPr>
          <w:rFonts w:ascii="Arial" w:hAnsi="Arial" w:cs="Arial"/>
          <w:iCs/>
        </w:rPr>
        <w:t>refer to</w:t>
      </w:r>
      <w:r w:rsidRPr="00A845B7">
        <w:rPr>
          <w:rFonts w:ascii="Arial" w:hAnsi="Arial" w:cs="Arial"/>
          <w:iCs/>
        </w:rPr>
        <w:t xml:space="preserve"> Group sales exclud</w:t>
      </w:r>
      <w:r w:rsidR="00F14597">
        <w:rPr>
          <w:rFonts w:ascii="Arial" w:hAnsi="Arial" w:cs="Arial"/>
          <w:iCs/>
        </w:rPr>
        <w:t>ing</w:t>
      </w:r>
      <w:r w:rsidRPr="00A845B7">
        <w:rPr>
          <w:rFonts w:ascii="Arial" w:hAnsi="Arial" w:cs="Arial"/>
          <w:iCs/>
        </w:rPr>
        <w:t xml:space="preserve"> Joint Venture (Koçtaş JV) sales.</w:t>
      </w:r>
    </w:p>
    <w:p w:rsidR="000265B9" w:rsidRPr="00A845B7" w:rsidRDefault="000265B9" w:rsidP="000265B9">
      <w:pPr>
        <w:tabs>
          <w:tab w:val="left" w:pos="357"/>
        </w:tabs>
        <w:ind w:right="-282"/>
        <w:jc w:val="left"/>
        <w:rPr>
          <w:rFonts w:ascii="Arial" w:hAnsi="Arial" w:cs="Arial"/>
          <w:iCs/>
        </w:rPr>
      </w:pPr>
    </w:p>
    <w:p w:rsidR="000265B9" w:rsidRPr="00A845B7" w:rsidRDefault="000265B9" w:rsidP="000265B9">
      <w:pPr>
        <w:tabs>
          <w:tab w:val="left" w:pos="357"/>
        </w:tabs>
        <w:ind w:right="-282"/>
        <w:jc w:val="left"/>
        <w:rPr>
          <w:rFonts w:ascii="Arial" w:hAnsi="Arial" w:cs="Arial"/>
          <w:iCs/>
        </w:rPr>
      </w:pPr>
      <w:r w:rsidRPr="00A845B7">
        <w:rPr>
          <w:rFonts w:ascii="Arial" w:hAnsi="Arial" w:cs="Arial"/>
          <w:b/>
          <w:iCs/>
        </w:rPr>
        <w:t xml:space="preserve">SKU </w:t>
      </w:r>
      <w:r w:rsidRPr="00A845B7">
        <w:rPr>
          <w:rFonts w:ascii="Arial" w:hAnsi="Arial" w:cs="Arial"/>
          <w:iCs/>
        </w:rPr>
        <w:t>(Stock Keeping Unit)</w:t>
      </w:r>
      <w:r w:rsidRPr="00A845B7">
        <w:rPr>
          <w:rFonts w:ascii="Arial" w:hAnsi="Arial" w:cs="Arial"/>
          <w:b/>
          <w:iCs/>
        </w:rPr>
        <w:t xml:space="preserve"> </w:t>
      </w:r>
      <w:r w:rsidR="006568D3">
        <w:rPr>
          <w:rFonts w:ascii="Arial" w:hAnsi="Arial" w:cs="Arial"/>
          <w:iCs/>
        </w:rPr>
        <w:t>is defined as</w:t>
      </w:r>
      <w:r w:rsidRPr="00A845B7">
        <w:rPr>
          <w:rFonts w:ascii="Arial" w:hAnsi="Arial" w:cs="Arial"/>
          <w:iCs/>
        </w:rPr>
        <w:t xml:space="preserve"> the number of individual variants of products sold or remaining in stock. It is a distinct type of item for sale, such as a product and all attributes associated with the item type that distinguish it from others. These attributes could include, but are not limited to, manufacturer, description, material, size, colour, packaging and warranty terms.</w:t>
      </w:r>
    </w:p>
    <w:p w:rsidR="000265B9" w:rsidRPr="00A845B7" w:rsidRDefault="000265B9" w:rsidP="000265B9">
      <w:pPr>
        <w:rPr>
          <w:rFonts w:ascii="Arial" w:hAnsi="Arial" w:cs="Arial"/>
          <w:b/>
          <w:iCs/>
        </w:rPr>
      </w:pPr>
    </w:p>
    <w:p w:rsidR="00FF4F74" w:rsidRPr="00A845B7" w:rsidRDefault="00FF4F74" w:rsidP="000265B9">
      <w:pPr>
        <w:jc w:val="left"/>
        <w:rPr>
          <w:rFonts w:ascii="Arial" w:hAnsi="Arial" w:cs="Arial"/>
          <w:iCs/>
        </w:rPr>
      </w:pPr>
      <w:r w:rsidRPr="00A845B7">
        <w:rPr>
          <w:rFonts w:ascii="Arial" w:hAnsi="Arial" w:cs="Arial"/>
          <w:b/>
          <w:iCs/>
        </w:rPr>
        <w:t>Transformation costs</w:t>
      </w:r>
      <w:r w:rsidRPr="00A845B7">
        <w:rPr>
          <w:rFonts w:ascii="Arial" w:hAnsi="Arial" w:cs="Arial"/>
          <w:iCs/>
        </w:rPr>
        <w:t xml:space="preserve"> represent the additional costs of the ONE Kingfisher transformation programme launched in 2016/17. They comprise ‘transformation exceptional costs’, ‘transformation P&amp;L costs’ (i.e. non-exceptional items) and ‘transformation capex’ (capital expenditure).</w:t>
      </w:r>
      <w:r w:rsidR="009B24E8" w:rsidRPr="00A845B7">
        <w:rPr>
          <w:rFonts w:ascii="Arial" w:hAnsi="Arial" w:cs="Arial"/>
          <w:iCs/>
        </w:rPr>
        <w:t xml:space="preserve"> </w:t>
      </w:r>
    </w:p>
    <w:p w:rsidR="00FF4F74" w:rsidRPr="00A845B7" w:rsidRDefault="00FF4F74" w:rsidP="000265B9">
      <w:pPr>
        <w:jc w:val="left"/>
        <w:rPr>
          <w:rFonts w:ascii="Arial" w:hAnsi="Arial" w:cs="Arial"/>
          <w:b/>
          <w:iCs/>
        </w:rPr>
      </w:pPr>
    </w:p>
    <w:p w:rsidR="00B94BBA" w:rsidRPr="00A845B7" w:rsidRDefault="00791199" w:rsidP="000265B9">
      <w:pPr>
        <w:jc w:val="left"/>
        <w:rPr>
          <w:rFonts w:ascii="Arial" w:hAnsi="Arial" w:cs="Arial"/>
          <w:iCs/>
        </w:rPr>
      </w:pPr>
      <w:r w:rsidRPr="00A845B7">
        <w:rPr>
          <w:rFonts w:ascii="Arial" w:hAnsi="Arial" w:cs="Arial"/>
          <w:b/>
          <w:iCs/>
        </w:rPr>
        <w:t xml:space="preserve">Underlying </w:t>
      </w:r>
      <w:r w:rsidR="00B94BBA" w:rsidRPr="00A845B7">
        <w:rPr>
          <w:rFonts w:ascii="Arial" w:hAnsi="Arial" w:cs="Arial"/>
          <w:b/>
          <w:iCs/>
        </w:rPr>
        <w:t xml:space="preserve">pre-tax profit </w:t>
      </w:r>
      <w:r w:rsidR="00B94BBA" w:rsidRPr="00A845B7">
        <w:rPr>
          <w:rFonts w:ascii="Arial" w:hAnsi="Arial" w:cs="Arial"/>
          <w:iCs/>
        </w:rPr>
        <w:t>is used to</w:t>
      </w:r>
      <w:r w:rsidR="00683106" w:rsidRPr="00A845B7">
        <w:rPr>
          <w:rFonts w:ascii="Arial" w:hAnsi="Arial" w:cs="Arial"/>
          <w:iCs/>
        </w:rPr>
        <w:t xml:space="preserve"> report</w:t>
      </w:r>
      <w:r w:rsidR="00B94BBA" w:rsidRPr="00A845B7">
        <w:rPr>
          <w:rFonts w:ascii="Arial" w:hAnsi="Arial" w:cs="Arial"/>
          <w:iCs/>
        </w:rPr>
        <w:t xml:space="preserve"> the performance of the</w:t>
      </w:r>
      <w:r w:rsidR="00CD58E9" w:rsidRPr="00A845B7">
        <w:rPr>
          <w:rFonts w:ascii="Arial" w:hAnsi="Arial" w:cs="Arial"/>
          <w:iCs/>
        </w:rPr>
        <w:t xml:space="preserve"> </w:t>
      </w:r>
      <w:r w:rsidR="00B94BBA" w:rsidRPr="00A845B7">
        <w:rPr>
          <w:rFonts w:ascii="Arial" w:hAnsi="Arial" w:cs="Arial"/>
          <w:iCs/>
        </w:rPr>
        <w:t xml:space="preserve">underlying business </w:t>
      </w:r>
      <w:r w:rsidR="00683106" w:rsidRPr="00A845B7">
        <w:rPr>
          <w:rFonts w:ascii="Arial" w:hAnsi="Arial" w:cs="Arial"/>
          <w:iCs/>
        </w:rPr>
        <w:t>at a Group level</w:t>
      </w:r>
      <w:r w:rsidR="00CD58E9" w:rsidRPr="00A845B7">
        <w:rPr>
          <w:rFonts w:ascii="Arial" w:hAnsi="Arial" w:cs="Arial"/>
          <w:iCs/>
        </w:rPr>
        <w:t xml:space="preserve">, including </w:t>
      </w:r>
      <w:r w:rsidR="00072B44" w:rsidRPr="00A845B7">
        <w:rPr>
          <w:rFonts w:ascii="Arial" w:hAnsi="Arial" w:cs="Arial"/>
          <w:iCs/>
        </w:rPr>
        <w:t xml:space="preserve">the </w:t>
      </w:r>
      <w:r w:rsidR="00E32EA0" w:rsidRPr="00A845B7">
        <w:rPr>
          <w:rFonts w:ascii="Arial" w:hAnsi="Arial" w:cs="Arial"/>
          <w:iCs/>
        </w:rPr>
        <w:t xml:space="preserve">sustainable </w:t>
      </w:r>
      <w:r w:rsidR="00072B44" w:rsidRPr="00A845B7">
        <w:rPr>
          <w:rFonts w:ascii="Arial" w:hAnsi="Arial" w:cs="Arial"/>
          <w:iCs/>
        </w:rPr>
        <w:t>benefits of our transformation programme</w:t>
      </w:r>
      <w:r w:rsidR="00683106" w:rsidRPr="00A845B7">
        <w:rPr>
          <w:rFonts w:ascii="Arial" w:hAnsi="Arial" w:cs="Arial"/>
          <w:iCs/>
        </w:rPr>
        <w:t xml:space="preserve">. This is stated </w:t>
      </w:r>
      <w:r w:rsidR="00B94BBA" w:rsidRPr="00A845B7">
        <w:rPr>
          <w:rFonts w:ascii="Arial" w:hAnsi="Arial" w:cs="Arial"/>
          <w:iCs/>
        </w:rPr>
        <w:t xml:space="preserve">before </w:t>
      </w:r>
      <w:r w:rsidR="00072B44" w:rsidRPr="00A845B7">
        <w:rPr>
          <w:rFonts w:ascii="Arial" w:hAnsi="Arial" w:cs="Arial"/>
          <w:iCs/>
        </w:rPr>
        <w:t xml:space="preserve">the </w:t>
      </w:r>
      <w:r w:rsidR="00E32EA0" w:rsidRPr="00A845B7">
        <w:rPr>
          <w:rFonts w:ascii="Arial" w:hAnsi="Arial" w:cs="Arial"/>
          <w:iCs/>
        </w:rPr>
        <w:t xml:space="preserve">short-term </w:t>
      </w:r>
      <w:r w:rsidR="00072B44" w:rsidRPr="00A845B7">
        <w:rPr>
          <w:rFonts w:ascii="Arial" w:hAnsi="Arial" w:cs="Arial"/>
          <w:iCs/>
        </w:rPr>
        <w:t xml:space="preserve">costs associated with our </w:t>
      </w:r>
      <w:r w:rsidR="00B94BBA" w:rsidRPr="00A845B7">
        <w:rPr>
          <w:rFonts w:ascii="Arial" w:hAnsi="Arial" w:cs="Arial"/>
          <w:iCs/>
        </w:rPr>
        <w:t xml:space="preserve">transformation </w:t>
      </w:r>
      <w:r w:rsidR="00072B44" w:rsidRPr="00A845B7">
        <w:rPr>
          <w:rFonts w:ascii="Arial" w:hAnsi="Arial" w:cs="Arial"/>
          <w:iCs/>
        </w:rPr>
        <w:t>programme</w:t>
      </w:r>
      <w:r w:rsidR="00683106" w:rsidRPr="00A845B7">
        <w:rPr>
          <w:rFonts w:ascii="Arial" w:hAnsi="Arial" w:cs="Arial"/>
          <w:iCs/>
        </w:rPr>
        <w:t>,</w:t>
      </w:r>
      <w:r w:rsidR="00B94BBA" w:rsidRPr="00A845B7">
        <w:rPr>
          <w:rFonts w:ascii="Arial" w:hAnsi="Arial" w:cs="Arial"/>
          <w:iCs/>
        </w:rPr>
        <w:t xml:space="preserve"> exceptional items and FFVR. </w:t>
      </w:r>
    </w:p>
    <w:p w:rsidR="00791199" w:rsidRPr="00A845B7" w:rsidRDefault="00791199" w:rsidP="000265B9">
      <w:pPr>
        <w:jc w:val="left"/>
        <w:rPr>
          <w:rFonts w:ascii="Arial" w:hAnsi="Arial" w:cs="Arial"/>
          <w:b/>
          <w:iCs/>
        </w:rPr>
      </w:pPr>
    </w:p>
    <w:p w:rsidR="000265B9" w:rsidRPr="00A845B7" w:rsidRDefault="000265B9" w:rsidP="000265B9">
      <w:pPr>
        <w:jc w:val="left"/>
        <w:rPr>
          <w:rFonts w:ascii="Arial" w:hAnsi="Arial" w:cs="Arial"/>
          <w:b/>
          <w:bCs/>
        </w:rPr>
      </w:pPr>
      <w:r w:rsidRPr="00A845B7">
        <w:rPr>
          <w:rFonts w:ascii="Arial" w:hAnsi="Arial" w:cs="Arial"/>
          <w:b/>
          <w:iCs/>
        </w:rPr>
        <w:t>UK &amp; Ireland</w:t>
      </w:r>
      <w:r w:rsidRPr="00A845B7">
        <w:rPr>
          <w:rFonts w:ascii="Arial" w:hAnsi="Arial" w:cs="Arial"/>
          <w:iCs/>
        </w:rPr>
        <w:t xml:space="preserve"> consists of B&amp;Q in the UK &amp; Ireland and Screwfix</w:t>
      </w:r>
      <w:r w:rsidR="00EE0CD7" w:rsidRPr="00A845B7">
        <w:rPr>
          <w:rFonts w:ascii="Arial" w:hAnsi="Arial" w:cs="Arial"/>
          <w:iCs/>
        </w:rPr>
        <w:t xml:space="preserve"> UK</w:t>
      </w:r>
      <w:r w:rsidRPr="00A845B7">
        <w:rPr>
          <w:rFonts w:ascii="Arial" w:hAnsi="Arial" w:cs="Arial"/>
          <w:iCs/>
        </w:rPr>
        <w:t>.</w:t>
      </w:r>
    </w:p>
    <w:p w:rsidR="008E3FF2" w:rsidRPr="00925EFB" w:rsidRDefault="008E3FF2">
      <w:pPr>
        <w:jc w:val="left"/>
        <w:rPr>
          <w:rFonts w:ascii="Arial" w:hAnsi="Arial" w:cs="Arial"/>
          <w:b/>
          <w:bCs/>
          <w:sz w:val="24"/>
          <w:szCs w:val="24"/>
          <w:highlight w:val="yellow"/>
        </w:rPr>
      </w:pPr>
      <w:r w:rsidRPr="00925EFB">
        <w:rPr>
          <w:rFonts w:ascii="Arial" w:hAnsi="Arial" w:cs="Arial"/>
          <w:b/>
          <w:bCs/>
          <w:sz w:val="24"/>
          <w:szCs w:val="24"/>
          <w:highlight w:val="yellow"/>
        </w:rPr>
        <w:br w:type="page"/>
      </w:r>
    </w:p>
    <w:p w:rsidR="003A298D" w:rsidRPr="00A845B7" w:rsidRDefault="003A298D" w:rsidP="00272A5E">
      <w:pPr>
        <w:rPr>
          <w:rFonts w:ascii="Arial" w:hAnsi="Arial" w:cs="Arial"/>
          <w:b/>
          <w:caps/>
        </w:rPr>
      </w:pPr>
      <w:r w:rsidRPr="00A845B7">
        <w:rPr>
          <w:rFonts w:ascii="Arial" w:hAnsi="Arial" w:cs="Arial"/>
          <w:b/>
          <w:bCs/>
        </w:rPr>
        <w:lastRenderedPageBreak/>
        <w:t xml:space="preserve">Section </w:t>
      </w:r>
      <w:r w:rsidR="00DD4F01" w:rsidRPr="00A845B7">
        <w:rPr>
          <w:rFonts w:ascii="Arial" w:hAnsi="Arial" w:cs="Arial"/>
          <w:b/>
          <w:bCs/>
        </w:rPr>
        <w:t>6</w:t>
      </w:r>
      <w:r w:rsidRPr="00A845B7">
        <w:rPr>
          <w:rFonts w:ascii="Arial" w:hAnsi="Arial" w:cs="Arial"/>
          <w:b/>
          <w:bCs/>
        </w:rPr>
        <w:t xml:space="preserve">: </w:t>
      </w:r>
      <w:r w:rsidRPr="00A845B7">
        <w:rPr>
          <w:rFonts w:ascii="Arial" w:hAnsi="Arial" w:cs="Arial"/>
          <w:b/>
        </w:rPr>
        <w:t>Forward-looking statements</w:t>
      </w:r>
    </w:p>
    <w:p w:rsidR="003A298D" w:rsidRPr="00C85DB3" w:rsidRDefault="003A298D" w:rsidP="003A298D">
      <w:pPr>
        <w:jc w:val="left"/>
        <w:rPr>
          <w:rFonts w:ascii="Arial" w:hAnsi="Arial" w:cs="Arial"/>
          <w:sz w:val="24"/>
          <w:szCs w:val="24"/>
        </w:rPr>
      </w:pPr>
    </w:p>
    <w:p w:rsidR="003A298D" w:rsidRPr="006B39C7" w:rsidRDefault="003A298D" w:rsidP="003A298D">
      <w:pPr>
        <w:jc w:val="left"/>
        <w:rPr>
          <w:rFonts w:ascii="Arial" w:hAnsi="Arial" w:cs="Arial"/>
        </w:rPr>
      </w:pPr>
      <w:r w:rsidRPr="006B39C7">
        <w:rPr>
          <w:rFonts w:ascii="Arial" w:hAnsi="Arial" w:cs="Arial"/>
        </w:rPr>
        <w:t>You are not to construe the content of this announcement as investment, legal or tax advice and you should make you own evaluation of the Company and the market.</w:t>
      </w:r>
      <w:r w:rsidR="00E87867">
        <w:rPr>
          <w:rFonts w:ascii="Arial" w:hAnsi="Arial" w:cs="Arial"/>
        </w:rPr>
        <w:t xml:space="preserve"> </w:t>
      </w:r>
      <w:r w:rsidRPr="006B39C7">
        <w:rPr>
          <w:rFonts w:ascii="Arial" w:hAnsi="Arial" w:cs="Arial"/>
        </w:rPr>
        <w:t xml:space="preserve">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rsidR="003A298D" w:rsidRPr="006B39C7" w:rsidRDefault="003A298D" w:rsidP="003A298D">
      <w:pPr>
        <w:jc w:val="left"/>
        <w:rPr>
          <w:rFonts w:ascii="Arial" w:hAnsi="Arial" w:cs="Arial"/>
        </w:rPr>
      </w:pPr>
    </w:p>
    <w:p w:rsidR="003A298D" w:rsidRPr="006B39C7" w:rsidRDefault="003A298D" w:rsidP="003A298D">
      <w:pPr>
        <w:jc w:val="left"/>
        <w:rPr>
          <w:rFonts w:ascii="Arial" w:hAnsi="Arial" w:cs="Arial"/>
        </w:rPr>
      </w:pPr>
      <w:r w:rsidRPr="006B39C7">
        <w:rPr>
          <w:rFonts w:ascii="Arial" w:hAnsi="Arial" w:cs="Arial"/>
        </w:rPr>
        <w:t>This announcement has been prepared in relation to the financial r</w:t>
      </w:r>
      <w:r w:rsidR="008E7ABE" w:rsidRPr="006B39C7">
        <w:rPr>
          <w:rFonts w:ascii="Arial" w:hAnsi="Arial" w:cs="Arial"/>
        </w:rPr>
        <w:t xml:space="preserve">esults for the </w:t>
      </w:r>
      <w:r w:rsidR="0008206F" w:rsidRPr="006B39C7">
        <w:rPr>
          <w:rFonts w:ascii="Arial" w:hAnsi="Arial" w:cs="Arial"/>
        </w:rPr>
        <w:t xml:space="preserve">full </w:t>
      </w:r>
      <w:r w:rsidR="008E7ABE" w:rsidRPr="006B39C7">
        <w:rPr>
          <w:rFonts w:ascii="Arial" w:hAnsi="Arial" w:cs="Arial"/>
        </w:rPr>
        <w:t xml:space="preserve">year ended </w:t>
      </w:r>
      <w:r w:rsidR="008E3FF2" w:rsidRPr="006B39C7">
        <w:rPr>
          <w:rFonts w:ascii="Arial" w:hAnsi="Arial" w:cs="Arial"/>
        </w:rPr>
        <w:t>31</w:t>
      </w:r>
      <w:r w:rsidRPr="006B39C7">
        <w:rPr>
          <w:rFonts w:ascii="Arial" w:hAnsi="Arial" w:cs="Arial"/>
        </w:rPr>
        <w:t xml:space="preserve"> </w:t>
      </w:r>
      <w:r w:rsidR="0008206F" w:rsidRPr="006B39C7">
        <w:rPr>
          <w:rFonts w:ascii="Arial" w:hAnsi="Arial" w:cs="Arial"/>
        </w:rPr>
        <w:t xml:space="preserve">January </w:t>
      </w:r>
      <w:r w:rsidRPr="006B39C7">
        <w:rPr>
          <w:rFonts w:ascii="Arial" w:hAnsi="Arial" w:cs="Arial"/>
        </w:rPr>
        <w:t>201</w:t>
      </w:r>
      <w:r w:rsidR="0008206F" w:rsidRPr="006B39C7">
        <w:rPr>
          <w:rFonts w:ascii="Arial" w:hAnsi="Arial" w:cs="Arial"/>
        </w:rPr>
        <w:t>7</w:t>
      </w:r>
      <w:r w:rsidRPr="006B39C7">
        <w:rPr>
          <w:rFonts w:ascii="Arial" w:hAnsi="Arial" w:cs="Arial"/>
        </w:rPr>
        <w:t>.</w:t>
      </w:r>
      <w:r w:rsidR="000E7097" w:rsidRPr="006B39C7">
        <w:rPr>
          <w:rFonts w:ascii="Arial" w:hAnsi="Arial" w:cs="Arial"/>
        </w:rPr>
        <w:t xml:space="preserve"> </w:t>
      </w:r>
      <w:r w:rsidRPr="006B39C7">
        <w:rPr>
          <w:rFonts w:ascii="Arial" w:hAnsi="Arial" w:cs="Arial"/>
        </w:rPr>
        <w:t>The financial information referenced in this announcement is not audited and does not contain sufficient detail to allow a full understanding of the results of the group.</w:t>
      </w:r>
      <w:r w:rsidR="00E87867">
        <w:rPr>
          <w:rFonts w:ascii="Arial" w:hAnsi="Arial" w:cs="Arial"/>
        </w:rPr>
        <w:t xml:space="preserve"> </w:t>
      </w:r>
      <w:r w:rsidRPr="006B39C7">
        <w:rPr>
          <w:rFonts w:ascii="Arial" w:hAnsi="Arial" w:cs="Arial"/>
        </w:rPr>
        <w:t>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r w:rsidRPr="006B39C7">
        <w:t xml:space="preserve"> </w:t>
      </w:r>
    </w:p>
    <w:p w:rsidR="003A298D" w:rsidRPr="006B39C7" w:rsidRDefault="003A298D" w:rsidP="003A298D">
      <w:pPr>
        <w:jc w:val="left"/>
        <w:rPr>
          <w:rFonts w:ascii="Arial" w:hAnsi="Arial" w:cs="Arial"/>
        </w:rPr>
      </w:pPr>
      <w:r w:rsidRPr="006B39C7">
        <w:rPr>
          <w:rFonts w:ascii="Arial" w:hAnsi="Arial" w:cs="Arial"/>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w:t>
      </w:r>
      <w:r w:rsidR="001A5F2E">
        <w:rPr>
          <w:rFonts w:ascii="Arial" w:hAnsi="Arial" w:cs="Arial"/>
        </w:rPr>
        <w:t>,</w:t>
      </w:r>
      <w:r w:rsidRPr="006B39C7">
        <w:rPr>
          <w:rFonts w:ascii="Arial" w:hAnsi="Arial" w:cs="Arial"/>
        </w:rPr>
        <w:t xml:space="preserv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tax rates, liquidity, prospects, growth and strategies.</w:t>
      </w:r>
      <w:r w:rsidR="00E87867">
        <w:rPr>
          <w:rFonts w:ascii="Arial" w:hAnsi="Arial" w:cs="Arial"/>
        </w:rPr>
        <w:t xml:space="preserve"> </w:t>
      </w:r>
      <w:r w:rsidRPr="006B39C7">
        <w:rPr>
          <w:rFonts w:ascii="Arial" w:hAnsi="Arial" w:cs="Arial"/>
        </w:rPr>
        <w:t>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rsidR="003A298D" w:rsidRPr="006B39C7" w:rsidRDefault="003A298D" w:rsidP="003A298D">
      <w:pPr>
        <w:jc w:val="left"/>
        <w:rPr>
          <w:rFonts w:ascii="Arial" w:hAnsi="Arial" w:cs="Arial"/>
        </w:rPr>
      </w:pPr>
    </w:p>
    <w:p w:rsidR="003A298D" w:rsidRPr="006B39C7" w:rsidRDefault="003A298D" w:rsidP="003A298D">
      <w:pPr>
        <w:jc w:val="left"/>
        <w:rPr>
          <w:rFonts w:ascii="Arial" w:hAnsi="Arial" w:cs="Arial"/>
        </w:rPr>
      </w:pPr>
      <w:r w:rsidRPr="006B39C7">
        <w:rPr>
          <w:rFonts w:ascii="Arial" w:hAnsi="Arial" w:cs="Arial"/>
        </w:rPr>
        <w:t>The Company does not undertake any obligation to update or revise any forward-looking statement to reflect any change in circumstances or in the Company’s expectations.</w:t>
      </w:r>
    </w:p>
    <w:p w:rsidR="003A298D" w:rsidRPr="00506D26" w:rsidRDefault="003A298D" w:rsidP="003A298D">
      <w:pPr>
        <w:spacing w:after="240"/>
        <w:jc w:val="left"/>
        <w:rPr>
          <w:rFonts w:cs="Times New Roman"/>
          <w:sz w:val="24"/>
          <w:szCs w:val="24"/>
        </w:rPr>
      </w:pPr>
    </w:p>
    <w:p w:rsidR="00181E03" w:rsidRPr="00506D26" w:rsidRDefault="00181E03" w:rsidP="003A298D">
      <w:pPr>
        <w:jc w:val="left"/>
        <w:rPr>
          <w:rFonts w:cs="Times New Roman"/>
          <w:sz w:val="24"/>
          <w:szCs w:val="24"/>
        </w:rPr>
      </w:pPr>
    </w:p>
    <w:sectPr w:rsidR="00181E03" w:rsidRPr="00506D26" w:rsidSect="005F0DA3">
      <w:headerReference w:type="default" r:id="rId10"/>
      <w:footerReference w:type="default" r:id="rId11"/>
      <w:type w:val="continuous"/>
      <w:pgSz w:w="11909" w:h="16834" w:code="9"/>
      <w:pgMar w:top="1077" w:right="1134" w:bottom="720" w:left="1134" w:header="11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C6" w:rsidRDefault="002D03C6">
      <w:pPr>
        <w:rPr>
          <w:rFonts w:cs="Times New Roman"/>
        </w:rPr>
      </w:pPr>
      <w:r>
        <w:rPr>
          <w:rFonts w:cs="Times New Roman"/>
        </w:rPr>
        <w:separator/>
      </w:r>
    </w:p>
  </w:endnote>
  <w:endnote w:type="continuationSeparator" w:id="0">
    <w:p w:rsidR="002D03C6" w:rsidRDefault="002D03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Avenir 35"/>
    <w:panose1 w:val="00000000000000000000"/>
    <w:charset w:val="00"/>
    <w:family w:val="swiss"/>
    <w:notTrueType/>
    <w:pitch w:val="default"/>
    <w:sig w:usb0="00000003" w:usb1="00000000" w:usb2="00000000" w:usb3="00000000" w:csb0="00000001" w:csb1="00000000"/>
  </w:font>
  <w:font w:name="Trade Gothic LT Std Light">
    <w:altName w:val="Courier New"/>
    <w:panose1 w:val="00000000000000000000"/>
    <w:charset w:val="00"/>
    <w:family w:val="modern"/>
    <w:notTrueType/>
    <w:pitch w:val="variable"/>
    <w:sig w:usb0="800000AF" w:usb1="4000204A" w:usb2="00000000" w:usb3="00000000" w:csb0="00000001" w:csb1="00000000"/>
  </w:font>
  <w:font w:name="Trade Gothic LT Std Bold">
    <w:altName w:val="Courier New"/>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157898"/>
      <w:docPartObj>
        <w:docPartGallery w:val="Page Numbers (Bottom of Page)"/>
        <w:docPartUnique/>
      </w:docPartObj>
    </w:sdtPr>
    <w:sdtEndPr>
      <w:rPr>
        <w:noProof/>
      </w:rPr>
    </w:sdtEndPr>
    <w:sdtContent>
      <w:p w:rsidR="002D03C6" w:rsidRDefault="002D03C6">
        <w:pPr>
          <w:pStyle w:val="Footer"/>
          <w:jc w:val="right"/>
        </w:pPr>
        <w:r>
          <w:fldChar w:fldCharType="begin"/>
        </w:r>
        <w:r>
          <w:instrText xml:space="preserve"> PAGE   \* MERGEFORMAT </w:instrText>
        </w:r>
        <w:r>
          <w:fldChar w:fldCharType="separate"/>
        </w:r>
        <w:r w:rsidR="008E1043">
          <w:rPr>
            <w:noProof/>
          </w:rPr>
          <w:t>18</w:t>
        </w:r>
        <w:r>
          <w:rPr>
            <w:noProof/>
          </w:rPr>
          <w:fldChar w:fldCharType="end"/>
        </w:r>
      </w:p>
    </w:sdtContent>
  </w:sdt>
  <w:p w:rsidR="002D03C6" w:rsidRPr="00930C11" w:rsidRDefault="002D03C6" w:rsidP="00965768">
    <w:pPr>
      <w:pStyle w:val="Footer"/>
      <w:ind w:right="36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C6" w:rsidRDefault="002D03C6">
      <w:pPr>
        <w:rPr>
          <w:rFonts w:cs="Times New Roman"/>
        </w:rPr>
      </w:pPr>
      <w:r>
        <w:rPr>
          <w:rFonts w:cs="Times New Roman"/>
        </w:rPr>
        <w:separator/>
      </w:r>
    </w:p>
  </w:footnote>
  <w:footnote w:type="continuationSeparator" w:id="0">
    <w:p w:rsidR="002D03C6" w:rsidRDefault="002D03C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C6" w:rsidRPr="00341E1C" w:rsidRDefault="002D03C6" w:rsidP="006E1748">
    <w:pPr>
      <w:pStyle w:val="Header"/>
      <w:jc w:val="center"/>
    </w:pPr>
    <w:r>
      <w:rPr>
        <w:noProof/>
      </w:rPr>
      <w:drawing>
        <wp:inline distT="0" distB="0" distL="0" distR="0" wp14:anchorId="7FDDEAAB" wp14:editId="7F809C2D">
          <wp:extent cx="2066925" cy="586740"/>
          <wp:effectExtent l="0" t="0" r="9525" b="381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66925" cy="586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3499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360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D8A4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48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8A01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6" w15:restartNumberingAfterBreak="0">
    <w:nsid w:val="FFFFFF82"/>
    <w:multiLevelType w:val="singleLevel"/>
    <w:tmpl w:val="6CECF4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E0E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CDD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74A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6DE8"/>
    <w:multiLevelType w:val="hybridMultilevel"/>
    <w:tmpl w:val="3F842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9318E6"/>
    <w:multiLevelType w:val="hybridMultilevel"/>
    <w:tmpl w:val="DB6C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9A3632"/>
    <w:multiLevelType w:val="hybridMultilevel"/>
    <w:tmpl w:val="D7E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5C2513"/>
    <w:multiLevelType w:val="hybridMultilevel"/>
    <w:tmpl w:val="65DA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E1499"/>
    <w:multiLevelType w:val="hybridMultilevel"/>
    <w:tmpl w:val="BAB8B0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67F96"/>
    <w:multiLevelType w:val="multilevel"/>
    <w:tmpl w:val="BE765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FE52A26"/>
    <w:multiLevelType w:val="hybridMultilevel"/>
    <w:tmpl w:val="E0B40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5B56CD"/>
    <w:multiLevelType w:val="hybridMultilevel"/>
    <w:tmpl w:val="998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66CB0"/>
    <w:multiLevelType w:val="hybridMultilevel"/>
    <w:tmpl w:val="22B27A28"/>
    <w:lvl w:ilvl="0" w:tplc="17241C32">
      <w:start w:val="10"/>
      <w:numFmt w:val="bullet"/>
      <w:lvlText w:val="-"/>
      <w:lvlJc w:val="left"/>
      <w:pPr>
        <w:ind w:left="432" w:hanging="360"/>
      </w:pPr>
      <w:rPr>
        <w:rFonts w:ascii="Arial" w:eastAsia="Batang"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0" w15:restartNumberingAfterBreak="0">
    <w:nsid w:val="4B390885"/>
    <w:multiLevelType w:val="hybridMultilevel"/>
    <w:tmpl w:val="EE46B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F6498"/>
    <w:multiLevelType w:val="hybridMultilevel"/>
    <w:tmpl w:val="B9C2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92612D"/>
    <w:multiLevelType w:val="hybridMultilevel"/>
    <w:tmpl w:val="76E47E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9E3E01"/>
    <w:multiLevelType w:val="multilevel"/>
    <w:tmpl w:val="D722E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58823DC3"/>
    <w:multiLevelType w:val="hybridMultilevel"/>
    <w:tmpl w:val="37A2A2D8"/>
    <w:lvl w:ilvl="0" w:tplc="E578C2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410252"/>
    <w:multiLevelType w:val="hybridMultilevel"/>
    <w:tmpl w:val="57364E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746B20"/>
    <w:multiLevelType w:val="hybridMultilevel"/>
    <w:tmpl w:val="2C54D7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5"/>
  </w:num>
  <w:num w:numId="4">
    <w:abstractNumId w:val="13"/>
  </w:num>
  <w:num w:numId="5">
    <w:abstractNumId w:val="19"/>
  </w:num>
  <w:num w:numId="6">
    <w:abstractNumId w:val="27"/>
  </w:num>
  <w:num w:numId="7">
    <w:abstractNumId w:val="17"/>
  </w:num>
  <w:num w:numId="8">
    <w:abstractNumId w:val="21"/>
  </w:num>
  <w:num w:numId="9">
    <w:abstractNumId w:val="14"/>
  </w:num>
  <w:num w:numId="10">
    <w:abstractNumId w:val="22"/>
  </w:num>
  <w:num w:numId="11">
    <w:abstractNumId w:val="25"/>
  </w:num>
  <w:num w:numId="12">
    <w:abstractNumId w:val="10"/>
  </w:num>
  <w:num w:numId="13">
    <w:abstractNumId w:val="18"/>
  </w:num>
  <w:num w:numId="14">
    <w:abstractNumId w:val="12"/>
  </w:num>
  <w:num w:numId="15">
    <w:abstractNumId w:val="11"/>
  </w:num>
  <w:num w:numId="16">
    <w:abstractNumId w:val="9"/>
  </w:num>
  <w:num w:numId="17">
    <w:abstractNumId w:val="7"/>
  </w:num>
  <w:num w:numId="18">
    <w:abstractNumId w:val="6"/>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47F"/>
    <w:rsid w:val="000006D2"/>
    <w:rsid w:val="00000FE7"/>
    <w:rsid w:val="000012DD"/>
    <w:rsid w:val="0000154D"/>
    <w:rsid w:val="000015BF"/>
    <w:rsid w:val="00001E1A"/>
    <w:rsid w:val="000026D0"/>
    <w:rsid w:val="00002DFA"/>
    <w:rsid w:val="00002F27"/>
    <w:rsid w:val="0000303B"/>
    <w:rsid w:val="000030F0"/>
    <w:rsid w:val="000034A6"/>
    <w:rsid w:val="00003A9F"/>
    <w:rsid w:val="00003FF5"/>
    <w:rsid w:val="0000423D"/>
    <w:rsid w:val="000045F9"/>
    <w:rsid w:val="000047E4"/>
    <w:rsid w:val="00005607"/>
    <w:rsid w:val="00006863"/>
    <w:rsid w:val="000068BF"/>
    <w:rsid w:val="00006B3B"/>
    <w:rsid w:val="00006C01"/>
    <w:rsid w:val="00006F66"/>
    <w:rsid w:val="00007058"/>
    <w:rsid w:val="000071ED"/>
    <w:rsid w:val="000077C7"/>
    <w:rsid w:val="00007BD0"/>
    <w:rsid w:val="0001042A"/>
    <w:rsid w:val="00010672"/>
    <w:rsid w:val="000109D7"/>
    <w:rsid w:val="00010EC9"/>
    <w:rsid w:val="00011156"/>
    <w:rsid w:val="00011491"/>
    <w:rsid w:val="000119D5"/>
    <w:rsid w:val="00012085"/>
    <w:rsid w:val="000125AC"/>
    <w:rsid w:val="00012C17"/>
    <w:rsid w:val="00012C99"/>
    <w:rsid w:val="00012FF2"/>
    <w:rsid w:val="00013088"/>
    <w:rsid w:val="00013174"/>
    <w:rsid w:val="000138C0"/>
    <w:rsid w:val="00013A12"/>
    <w:rsid w:val="00013AD9"/>
    <w:rsid w:val="00013BFF"/>
    <w:rsid w:val="00014458"/>
    <w:rsid w:val="00014608"/>
    <w:rsid w:val="000147F4"/>
    <w:rsid w:val="00014AB9"/>
    <w:rsid w:val="00014C8E"/>
    <w:rsid w:val="00014F94"/>
    <w:rsid w:val="00015283"/>
    <w:rsid w:val="000156C2"/>
    <w:rsid w:val="00015B14"/>
    <w:rsid w:val="00016040"/>
    <w:rsid w:val="00016C9C"/>
    <w:rsid w:val="00016E58"/>
    <w:rsid w:val="0001743F"/>
    <w:rsid w:val="00020047"/>
    <w:rsid w:val="000206F6"/>
    <w:rsid w:val="00020713"/>
    <w:rsid w:val="00020B7F"/>
    <w:rsid w:val="00020DCF"/>
    <w:rsid w:val="00020E6F"/>
    <w:rsid w:val="0002185E"/>
    <w:rsid w:val="00021ADE"/>
    <w:rsid w:val="00021E77"/>
    <w:rsid w:val="00021FC5"/>
    <w:rsid w:val="00021FCA"/>
    <w:rsid w:val="00022100"/>
    <w:rsid w:val="000221CC"/>
    <w:rsid w:val="00022456"/>
    <w:rsid w:val="00022687"/>
    <w:rsid w:val="00023169"/>
    <w:rsid w:val="000232E9"/>
    <w:rsid w:val="000234FE"/>
    <w:rsid w:val="0002395F"/>
    <w:rsid w:val="00023D1F"/>
    <w:rsid w:val="00023E6F"/>
    <w:rsid w:val="00024CBC"/>
    <w:rsid w:val="00025399"/>
    <w:rsid w:val="00025774"/>
    <w:rsid w:val="000261CC"/>
    <w:rsid w:val="000265B9"/>
    <w:rsid w:val="00026714"/>
    <w:rsid w:val="00026977"/>
    <w:rsid w:val="00027085"/>
    <w:rsid w:val="00027B8D"/>
    <w:rsid w:val="00027E09"/>
    <w:rsid w:val="000300B8"/>
    <w:rsid w:val="0003078B"/>
    <w:rsid w:val="00030D76"/>
    <w:rsid w:val="00030DEB"/>
    <w:rsid w:val="00030F90"/>
    <w:rsid w:val="00031334"/>
    <w:rsid w:val="0003137D"/>
    <w:rsid w:val="00031453"/>
    <w:rsid w:val="000317BC"/>
    <w:rsid w:val="000317F9"/>
    <w:rsid w:val="000318DF"/>
    <w:rsid w:val="00031C7B"/>
    <w:rsid w:val="00031D82"/>
    <w:rsid w:val="00031E2E"/>
    <w:rsid w:val="0003213B"/>
    <w:rsid w:val="00032390"/>
    <w:rsid w:val="00032C17"/>
    <w:rsid w:val="00033259"/>
    <w:rsid w:val="00033342"/>
    <w:rsid w:val="0003393C"/>
    <w:rsid w:val="00033A05"/>
    <w:rsid w:val="00033A74"/>
    <w:rsid w:val="00033D2D"/>
    <w:rsid w:val="00033D3C"/>
    <w:rsid w:val="00033D68"/>
    <w:rsid w:val="000341AB"/>
    <w:rsid w:val="000344B3"/>
    <w:rsid w:val="000346AA"/>
    <w:rsid w:val="000349E8"/>
    <w:rsid w:val="00034CB7"/>
    <w:rsid w:val="00034CC9"/>
    <w:rsid w:val="00034DDC"/>
    <w:rsid w:val="000359DA"/>
    <w:rsid w:val="00035B51"/>
    <w:rsid w:val="00035FDA"/>
    <w:rsid w:val="00036114"/>
    <w:rsid w:val="00036C2F"/>
    <w:rsid w:val="00037404"/>
    <w:rsid w:val="0003744D"/>
    <w:rsid w:val="00037641"/>
    <w:rsid w:val="00037997"/>
    <w:rsid w:val="00037A15"/>
    <w:rsid w:val="00037AEB"/>
    <w:rsid w:val="00040085"/>
    <w:rsid w:val="00040303"/>
    <w:rsid w:val="0004034D"/>
    <w:rsid w:val="000407D5"/>
    <w:rsid w:val="00040C08"/>
    <w:rsid w:val="000413C4"/>
    <w:rsid w:val="00041831"/>
    <w:rsid w:val="00041BD0"/>
    <w:rsid w:val="00041D18"/>
    <w:rsid w:val="0004258A"/>
    <w:rsid w:val="0004288F"/>
    <w:rsid w:val="00042926"/>
    <w:rsid w:val="00042F33"/>
    <w:rsid w:val="00043801"/>
    <w:rsid w:val="00043BA4"/>
    <w:rsid w:val="00043CDA"/>
    <w:rsid w:val="00044165"/>
    <w:rsid w:val="0004430A"/>
    <w:rsid w:val="0004443C"/>
    <w:rsid w:val="00044627"/>
    <w:rsid w:val="000446E4"/>
    <w:rsid w:val="000448DF"/>
    <w:rsid w:val="00044BCA"/>
    <w:rsid w:val="00044C1B"/>
    <w:rsid w:val="00044F00"/>
    <w:rsid w:val="00044F13"/>
    <w:rsid w:val="000457B5"/>
    <w:rsid w:val="00045BC4"/>
    <w:rsid w:val="00045E54"/>
    <w:rsid w:val="0004608E"/>
    <w:rsid w:val="00046120"/>
    <w:rsid w:val="00046B2D"/>
    <w:rsid w:val="00046BDE"/>
    <w:rsid w:val="00046C27"/>
    <w:rsid w:val="000471A5"/>
    <w:rsid w:val="0004773B"/>
    <w:rsid w:val="0004782C"/>
    <w:rsid w:val="000478E9"/>
    <w:rsid w:val="00050886"/>
    <w:rsid w:val="00050BDB"/>
    <w:rsid w:val="00050CE5"/>
    <w:rsid w:val="0005114B"/>
    <w:rsid w:val="00051573"/>
    <w:rsid w:val="00051EBF"/>
    <w:rsid w:val="00052140"/>
    <w:rsid w:val="0005238F"/>
    <w:rsid w:val="000523F7"/>
    <w:rsid w:val="000526A4"/>
    <w:rsid w:val="0005276B"/>
    <w:rsid w:val="00052A6C"/>
    <w:rsid w:val="00052C44"/>
    <w:rsid w:val="00052C90"/>
    <w:rsid w:val="000533AE"/>
    <w:rsid w:val="000537E2"/>
    <w:rsid w:val="000539A9"/>
    <w:rsid w:val="00053DE2"/>
    <w:rsid w:val="00054194"/>
    <w:rsid w:val="00054A32"/>
    <w:rsid w:val="00054D9E"/>
    <w:rsid w:val="00054DE9"/>
    <w:rsid w:val="00054FD6"/>
    <w:rsid w:val="000550AF"/>
    <w:rsid w:val="00055323"/>
    <w:rsid w:val="00055787"/>
    <w:rsid w:val="000561C7"/>
    <w:rsid w:val="00056513"/>
    <w:rsid w:val="000568B5"/>
    <w:rsid w:val="00056BAD"/>
    <w:rsid w:val="00056CA7"/>
    <w:rsid w:val="00056F7A"/>
    <w:rsid w:val="0005739A"/>
    <w:rsid w:val="00057892"/>
    <w:rsid w:val="0005796C"/>
    <w:rsid w:val="00060482"/>
    <w:rsid w:val="000604E7"/>
    <w:rsid w:val="0006063A"/>
    <w:rsid w:val="00060679"/>
    <w:rsid w:val="00060680"/>
    <w:rsid w:val="000606BF"/>
    <w:rsid w:val="00060E8F"/>
    <w:rsid w:val="000622E7"/>
    <w:rsid w:val="00062381"/>
    <w:rsid w:val="000629AB"/>
    <w:rsid w:val="00062AB6"/>
    <w:rsid w:val="0006315F"/>
    <w:rsid w:val="000634B6"/>
    <w:rsid w:val="00063EB2"/>
    <w:rsid w:val="000643D9"/>
    <w:rsid w:val="000645AA"/>
    <w:rsid w:val="00064E7C"/>
    <w:rsid w:val="00065198"/>
    <w:rsid w:val="00065824"/>
    <w:rsid w:val="0006589E"/>
    <w:rsid w:val="0006596C"/>
    <w:rsid w:val="00065A51"/>
    <w:rsid w:val="00065AA7"/>
    <w:rsid w:val="00065E95"/>
    <w:rsid w:val="00065F74"/>
    <w:rsid w:val="0006601F"/>
    <w:rsid w:val="00066649"/>
    <w:rsid w:val="00066FEB"/>
    <w:rsid w:val="0006717E"/>
    <w:rsid w:val="0006778C"/>
    <w:rsid w:val="00067B95"/>
    <w:rsid w:val="000700B7"/>
    <w:rsid w:val="00070120"/>
    <w:rsid w:val="00070779"/>
    <w:rsid w:val="00070A63"/>
    <w:rsid w:val="00070D5F"/>
    <w:rsid w:val="00070F3E"/>
    <w:rsid w:val="00071152"/>
    <w:rsid w:val="00071858"/>
    <w:rsid w:val="00071F89"/>
    <w:rsid w:val="00072063"/>
    <w:rsid w:val="000723A4"/>
    <w:rsid w:val="00072489"/>
    <w:rsid w:val="000728CF"/>
    <w:rsid w:val="00072B44"/>
    <w:rsid w:val="000730F3"/>
    <w:rsid w:val="000734F4"/>
    <w:rsid w:val="000735D9"/>
    <w:rsid w:val="00073851"/>
    <w:rsid w:val="00073EFC"/>
    <w:rsid w:val="00074103"/>
    <w:rsid w:val="00074233"/>
    <w:rsid w:val="00074443"/>
    <w:rsid w:val="0007468C"/>
    <w:rsid w:val="0007470C"/>
    <w:rsid w:val="00074BF9"/>
    <w:rsid w:val="00074C6A"/>
    <w:rsid w:val="000754C8"/>
    <w:rsid w:val="000754CF"/>
    <w:rsid w:val="00075A92"/>
    <w:rsid w:val="000761DC"/>
    <w:rsid w:val="0007631F"/>
    <w:rsid w:val="00076513"/>
    <w:rsid w:val="00076530"/>
    <w:rsid w:val="00076649"/>
    <w:rsid w:val="000770A2"/>
    <w:rsid w:val="000770D6"/>
    <w:rsid w:val="0007726C"/>
    <w:rsid w:val="000773CF"/>
    <w:rsid w:val="00077704"/>
    <w:rsid w:val="00077F5C"/>
    <w:rsid w:val="00080311"/>
    <w:rsid w:val="00080538"/>
    <w:rsid w:val="00080DD2"/>
    <w:rsid w:val="00080F1A"/>
    <w:rsid w:val="000810B7"/>
    <w:rsid w:val="0008111F"/>
    <w:rsid w:val="00081216"/>
    <w:rsid w:val="00081230"/>
    <w:rsid w:val="0008136D"/>
    <w:rsid w:val="00081417"/>
    <w:rsid w:val="000814F6"/>
    <w:rsid w:val="000819DF"/>
    <w:rsid w:val="00081CC8"/>
    <w:rsid w:val="0008206F"/>
    <w:rsid w:val="00082B7C"/>
    <w:rsid w:val="00083039"/>
    <w:rsid w:val="000835E6"/>
    <w:rsid w:val="000840E2"/>
    <w:rsid w:val="0008484C"/>
    <w:rsid w:val="00084CB8"/>
    <w:rsid w:val="00084E72"/>
    <w:rsid w:val="00085149"/>
    <w:rsid w:val="00085179"/>
    <w:rsid w:val="000861D8"/>
    <w:rsid w:val="00086349"/>
    <w:rsid w:val="00087019"/>
    <w:rsid w:val="00087315"/>
    <w:rsid w:val="00087C26"/>
    <w:rsid w:val="00087D55"/>
    <w:rsid w:val="00087E41"/>
    <w:rsid w:val="0009025C"/>
    <w:rsid w:val="00090A60"/>
    <w:rsid w:val="00090AE2"/>
    <w:rsid w:val="00090B70"/>
    <w:rsid w:val="00090CF9"/>
    <w:rsid w:val="000910B9"/>
    <w:rsid w:val="000913CA"/>
    <w:rsid w:val="000918E1"/>
    <w:rsid w:val="00091980"/>
    <w:rsid w:val="00091FD4"/>
    <w:rsid w:val="00092194"/>
    <w:rsid w:val="000923E0"/>
    <w:rsid w:val="000924F7"/>
    <w:rsid w:val="00092DF5"/>
    <w:rsid w:val="00093029"/>
    <w:rsid w:val="00093517"/>
    <w:rsid w:val="000937B3"/>
    <w:rsid w:val="00093C1A"/>
    <w:rsid w:val="00093F7F"/>
    <w:rsid w:val="000943C0"/>
    <w:rsid w:val="00094F50"/>
    <w:rsid w:val="00095120"/>
    <w:rsid w:val="000952F8"/>
    <w:rsid w:val="00095327"/>
    <w:rsid w:val="0009560E"/>
    <w:rsid w:val="000959E8"/>
    <w:rsid w:val="00096816"/>
    <w:rsid w:val="000968DE"/>
    <w:rsid w:val="000971B9"/>
    <w:rsid w:val="000975F7"/>
    <w:rsid w:val="00097698"/>
    <w:rsid w:val="00097D37"/>
    <w:rsid w:val="00097DD9"/>
    <w:rsid w:val="000A0129"/>
    <w:rsid w:val="000A0209"/>
    <w:rsid w:val="000A02C6"/>
    <w:rsid w:val="000A02EF"/>
    <w:rsid w:val="000A0CAC"/>
    <w:rsid w:val="000A0EFF"/>
    <w:rsid w:val="000A107E"/>
    <w:rsid w:val="000A1234"/>
    <w:rsid w:val="000A14C5"/>
    <w:rsid w:val="000A17AE"/>
    <w:rsid w:val="000A23C5"/>
    <w:rsid w:val="000A25C5"/>
    <w:rsid w:val="000A2C95"/>
    <w:rsid w:val="000A2E03"/>
    <w:rsid w:val="000A2E55"/>
    <w:rsid w:val="000A3006"/>
    <w:rsid w:val="000A3330"/>
    <w:rsid w:val="000A35D3"/>
    <w:rsid w:val="000A37A0"/>
    <w:rsid w:val="000A3A1C"/>
    <w:rsid w:val="000A3AC5"/>
    <w:rsid w:val="000A4351"/>
    <w:rsid w:val="000A45C8"/>
    <w:rsid w:val="000A4B7D"/>
    <w:rsid w:val="000A4D5A"/>
    <w:rsid w:val="000A51C2"/>
    <w:rsid w:val="000A60E5"/>
    <w:rsid w:val="000A6215"/>
    <w:rsid w:val="000A66C7"/>
    <w:rsid w:val="000A761B"/>
    <w:rsid w:val="000A79F5"/>
    <w:rsid w:val="000A7C3E"/>
    <w:rsid w:val="000B0535"/>
    <w:rsid w:val="000B09FC"/>
    <w:rsid w:val="000B0B47"/>
    <w:rsid w:val="000B0CB0"/>
    <w:rsid w:val="000B0F79"/>
    <w:rsid w:val="000B1C32"/>
    <w:rsid w:val="000B202B"/>
    <w:rsid w:val="000B25D8"/>
    <w:rsid w:val="000B266B"/>
    <w:rsid w:val="000B2C8D"/>
    <w:rsid w:val="000B32F7"/>
    <w:rsid w:val="000B34A0"/>
    <w:rsid w:val="000B3DB1"/>
    <w:rsid w:val="000B3FD3"/>
    <w:rsid w:val="000B430F"/>
    <w:rsid w:val="000B4470"/>
    <w:rsid w:val="000B4EFA"/>
    <w:rsid w:val="000B53D0"/>
    <w:rsid w:val="000B5B78"/>
    <w:rsid w:val="000B5C0B"/>
    <w:rsid w:val="000B61C5"/>
    <w:rsid w:val="000B641C"/>
    <w:rsid w:val="000B67C0"/>
    <w:rsid w:val="000B6AD0"/>
    <w:rsid w:val="000B71EB"/>
    <w:rsid w:val="000B76FF"/>
    <w:rsid w:val="000B7CF2"/>
    <w:rsid w:val="000B7CF4"/>
    <w:rsid w:val="000C0248"/>
    <w:rsid w:val="000C04E8"/>
    <w:rsid w:val="000C05C9"/>
    <w:rsid w:val="000C0AFD"/>
    <w:rsid w:val="000C10EC"/>
    <w:rsid w:val="000C1266"/>
    <w:rsid w:val="000C1FD6"/>
    <w:rsid w:val="000C30BC"/>
    <w:rsid w:val="000C33C3"/>
    <w:rsid w:val="000C347E"/>
    <w:rsid w:val="000C382A"/>
    <w:rsid w:val="000C3C41"/>
    <w:rsid w:val="000C3DF2"/>
    <w:rsid w:val="000C431F"/>
    <w:rsid w:val="000C47B3"/>
    <w:rsid w:val="000C4AAD"/>
    <w:rsid w:val="000C4C21"/>
    <w:rsid w:val="000C574B"/>
    <w:rsid w:val="000C57DF"/>
    <w:rsid w:val="000C59E4"/>
    <w:rsid w:val="000C5B09"/>
    <w:rsid w:val="000C5B45"/>
    <w:rsid w:val="000C5C21"/>
    <w:rsid w:val="000C5D0A"/>
    <w:rsid w:val="000C5D1B"/>
    <w:rsid w:val="000C5F79"/>
    <w:rsid w:val="000C67CC"/>
    <w:rsid w:val="000C69C8"/>
    <w:rsid w:val="000C6C27"/>
    <w:rsid w:val="000C7415"/>
    <w:rsid w:val="000C7426"/>
    <w:rsid w:val="000C7A93"/>
    <w:rsid w:val="000D0336"/>
    <w:rsid w:val="000D07E5"/>
    <w:rsid w:val="000D0A03"/>
    <w:rsid w:val="000D0DCD"/>
    <w:rsid w:val="000D16B8"/>
    <w:rsid w:val="000D1772"/>
    <w:rsid w:val="000D21AF"/>
    <w:rsid w:val="000D2867"/>
    <w:rsid w:val="000D2B97"/>
    <w:rsid w:val="000D2F02"/>
    <w:rsid w:val="000D30A7"/>
    <w:rsid w:val="000D381E"/>
    <w:rsid w:val="000D3AE7"/>
    <w:rsid w:val="000D432E"/>
    <w:rsid w:val="000D49CD"/>
    <w:rsid w:val="000D4BE1"/>
    <w:rsid w:val="000D4DD5"/>
    <w:rsid w:val="000D503E"/>
    <w:rsid w:val="000D569F"/>
    <w:rsid w:val="000D5F1B"/>
    <w:rsid w:val="000D645B"/>
    <w:rsid w:val="000D67DC"/>
    <w:rsid w:val="000D7D54"/>
    <w:rsid w:val="000E0314"/>
    <w:rsid w:val="000E03E0"/>
    <w:rsid w:val="000E0BFB"/>
    <w:rsid w:val="000E0D80"/>
    <w:rsid w:val="000E0EB7"/>
    <w:rsid w:val="000E0FB9"/>
    <w:rsid w:val="000E1109"/>
    <w:rsid w:val="000E155B"/>
    <w:rsid w:val="000E1B45"/>
    <w:rsid w:val="000E1C7B"/>
    <w:rsid w:val="000E1D6E"/>
    <w:rsid w:val="000E1F6A"/>
    <w:rsid w:val="000E2220"/>
    <w:rsid w:val="000E22DF"/>
    <w:rsid w:val="000E2675"/>
    <w:rsid w:val="000E3241"/>
    <w:rsid w:val="000E329D"/>
    <w:rsid w:val="000E330A"/>
    <w:rsid w:val="000E3683"/>
    <w:rsid w:val="000E37CA"/>
    <w:rsid w:val="000E3AA8"/>
    <w:rsid w:val="000E3BC6"/>
    <w:rsid w:val="000E43AB"/>
    <w:rsid w:val="000E4433"/>
    <w:rsid w:val="000E4D33"/>
    <w:rsid w:val="000E4D3A"/>
    <w:rsid w:val="000E4ED4"/>
    <w:rsid w:val="000E50AD"/>
    <w:rsid w:val="000E51EF"/>
    <w:rsid w:val="000E5636"/>
    <w:rsid w:val="000E566A"/>
    <w:rsid w:val="000E5899"/>
    <w:rsid w:val="000E5933"/>
    <w:rsid w:val="000E66AC"/>
    <w:rsid w:val="000E6720"/>
    <w:rsid w:val="000E693E"/>
    <w:rsid w:val="000E695E"/>
    <w:rsid w:val="000E6AA6"/>
    <w:rsid w:val="000E6BB6"/>
    <w:rsid w:val="000E6C79"/>
    <w:rsid w:val="000E6DE6"/>
    <w:rsid w:val="000E7097"/>
    <w:rsid w:val="000E74CA"/>
    <w:rsid w:val="000E792C"/>
    <w:rsid w:val="000E7C80"/>
    <w:rsid w:val="000E7CBF"/>
    <w:rsid w:val="000E7DA1"/>
    <w:rsid w:val="000E7DD2"/>
    <w:rsid w:val="000F00F9"/>
    <w:rsid w:val="000F03E3"/>
    <w:rsid w:val="000F06B1"/>
    <w:rsid w:val="000F07BB"/>
    <w:rsid w:val="000F0A81"/>
    <w:rsid w:val="000F105E"/>
    <w:rsid w:val="000F10A7"/>
    <w:rsid w:val="000F1261"/>
    <w:rsid w:val="000F14C3"/>
    <w:rsid w:val="000F14C6"/>
    <w:rsid w:val="000F14D4"/>
    <w:rsid w:val="000F1B86"/>
    <w:rsid w:val="000F2115"/>
    <w:rsid w:val="000F2179"/>
    <w:rsid w:val="000F2813"/>
    <w:rsid w:val="000F3278"/>
    <w:rsid w:val="000F36CC"/>
    <w:rsid w:val="000F376D"/>
    <w:rsid w:val="000F3A45"/>
    <w:rsid w:val="000F3B5F"/>
    <w:rsid w:val="000F3BA5"/>
    <w:rsid w:val="000F3BA7"/>
    <w:rsid w:val="000F3EF1"/>
    <w:rsid w:val="000F4496"/>
    <w:rsid w:val="000F45CE"/>
    <w:rsid w:val="000F480A"/>
    <w:rsid w:val="000F4BB3"/>
    <w:rsid w:val="000F4C2D"/>
    <w:rsid w:val="000F4E80"/>
    <w:rsid w:val="000F4FBC"/>
    <w:rsid w:val="000F5397"/>
    <w:rsid w:val="000F547C"/>
    <w:rsid w:val="000F593D"/>
    <w:rsid w:val="000F5D2A"/>
    <w:rsid w:val="000F5ECE"/>
    <w:rsid w:val="000F6423"/>
    <w:rsid w:val="000F6944"/>
    <w:rsid w:val="000F6A44"/>
    <w:rsid w:val="000F6F92"/>
    <w:rsid w:val="000F752B"/>
    <w:rsid w:val="000F7781"/>
    <w:rsid w:val="000F7E4C"/>
    <w:rsid w:val="000F7FC4"/>
    <w:rsid w:val="001003DE"/>
    <w:rsid w:val="0010042D"/>
    <w:rsid w:val="0010057A"/>
    <w:rsid w:val="0010133E"/>
    <w:rsid w:val="00101D68"/>
    <w:rsid w:val="0010261D"/>
    <w:rsid w:val="00102A51"/>
    <w:rsid w:val="00102D39"/>
    <w:rsid w:val="0010341A"/>
    <w:rsid w:val="00103485"/>
    <w:rsid w:val="00103C76"/>
    <w:rsid w:val="00103E5A"/>
    <w:rsid w:val="00103FAD"/>
    <w:rsid w:val="00103FCE"/>
    <w:rsid w:val="00104057"/>
    <w:rsid w:val="00104159"/>
    <w:rsid w:val="00104D21"/>
    <w:rsid w:val="00104E76"/>
    <w:rsid w:val="001052D4"/>
    <w:rsid w:val="0010539C"/>
    <w:rsid w:val="00105632"/>
    <w:rsid w:val="0010566B"/>
    <w:rsid w:val="00105890"/>
    <w:rsid w:val="00105A25"/>
    <w:rsid w:val="00105DCF"/>
    <w:rsid w:val="00105DD3"/>
    <w:rsid w:val="0010640D"/>
    <w:rsid w:val="00106539"/>
    <w:rsid w:val="00106815"/>
    <w:rsid w:val="001068E7"/>
    <w:rsid w:val="00106BDC"/>
    <w:rsid w:val="00106E6B"/>
    <w:rsid w:val="001075FB"/>
    <w:rsid w:val="00107924"/>
    <w:rsid w:val="00107DC8"/>
    <w:rsid w:val="00110FD8"/>
    <w:rsid w:val="001113B5"/>
    <w:rsid w:val="00112117"/>
    <w:rsid w:val="0011220C"/>
    <w:rsid w:val="001123D6"/>
    <w:rsid w:val="0011248C"/>
    <w:rsid w:val="001125A1"/>
    <w:rsid w:val="00112D48"/>
    <w:rsid w:val="001132B5"/>
    <w:rsid w:val="00113FDA"/>
    <w:rsid w:val="0011451D"/>
    <w:rsid w:val="00114781"/>
    <w:rsid w:val="00114869"/>
    <w:rsid w:val="0011509F"/>
    <w:rsid w:val="00115135"/>
    <w:rsid w:val="00115399"/>
    <w:rsid w:val="001156D0"/>
    <w:rsid w:val="00115731"/>
    <w:rsid w:val="0011658F"/>
    <w:rsid w:val="00116CA5"/>
    <w:rsid w:val="001172A6"/>
    <w:rsid w:val="001174B7"/>
    <w:rsid w:val="001176F2"/>
    <w:rsid w:val="001177E6"/>
    <w:rsid w:val="001178CC"/>
    <w:rsid w:val="001179F4"/>
    <w:rsid w:val="00117BBF"/>
    <w:rsid w:val="0012027D"/>
    <w:rsid w:val="00120567"/>
    <w:rsid w:val="00121339"/>
    <w:rsid w:val="001214EC"/>
    <w:rsid w:val="0012154B"/>
    <w:rsid w:val="0012195C"/>
    <w:rsid w:val="00121D1E"/>
    <w:rsid w:val="00121D2D"/>
    <w:rsid w:val="00121D66"/>
    <w:rsid w:val="00121EB0"/>
    <w:rsid w:val="00122311"/>
    <w:rsid w:val="00122998"/>
    <w:rsid w:val="0012310C"/>
    <w:rsid w:val="001238A3"/>
    <w:rsid w:val="00123FB3"/>
    <w:rsid w:val="00124093"/>
    <w:rsid w:val="001241B9"/>
    <w:rsid w:val="0012450C"/>
    <w:rsid w:val="001248E5"/>
    <w:rsid w:val="00124A9D"/>
    <w:rsid w:val="00125011"/>
    <w:rsid w:val="00125156"/>
    <w:rsid w:val="001254D4"/>
    <w:rsid w:val="001255A5"/>
    <w:rsid w:val="00125606"/>
    <w:rsid w:val="00125621"/>
    <w:rsid w:val="001258AE"/>
    <w:rsid w:val="00125FF5"/>
    <w:rsid w:val="00126394"/>
    <w:rsid w:val="0012667F"/>
    <w:rsid w:val="001267F5"/>
    <w:rsid w:val="00126A7C"/>
    <w:rsid w:val="00126C3C"/>
    <w:rsid w:val="00126DDD"/>
    <w:rsid w:val="0012761F"/>
    <w:rsid w:val="00127849"/>
    <w:rsid w:val="00127950"/>
    <w:rsid w:val="001279C4"/>
    <w:rsid w:val="00127D81"/>
    <w:rsid w:val="001306D8"/>
    <w:rsid w:val="00130825"/>
    <w:rsid w:val="00130A12"/>
    <w:rsid w:val="0013193D"/>
    <w:rsid w:val="00132109"/>
    <w:rsid w:val="001323D4"/>
    <w:rsid w:val="00132841"/>
    <w:rsid w:val="00132C25"/>
    <w:rsid w:val="00132DA1"/>
    <w:rsid w:val="00132E7F"/>
    <w:rsid w:val="0013374D"/>
    <w:rsid w:val="00133ED6"/>
    <w:rsid w:val="00134488"/>
    <w:rsid w:val="001346F4"/>
    <w:rsid w:val="00134B83"/>
    <w:rsid w:val="00134C67"/>
    <w:rsid w:val="001350EA"/>
    <w:rsid w:val="00135512"/>
    <w:rsid w:val="001367DD"/>
    <w:rsid w:val="00136898"/>
    <w:rsid w:val="001368E3"/>
    <w:rsid w:val="00136BEE"/>
    <w:rsid w:val="00136C20"/>
    <w:rsid w:val="00137504"/>
    <w:rsid w:val="00137696"/>
    <w:rsid w:val="00137A9B"/>
    <w:rsid w:val="00137D76"/>
    <w:rsid w:val="00137F69"/>
    <w:rsid w:val="001406FE"/>
    <w:rsid w:val="00140960"/>
    <w:rsid w:val="001409EC"/>
    <w:rsid w:val="00140B2F"/>
    <w:rsid w:val="00140DDA"/>
    <w:rsid w:val="001414FB"/>
    <w:rsid w:val="00141725"/>
    <w:rsid w:val="001419E6"/>
    <w:rsid w:val="00141F58"/>
    <w:rsid w:val="00142342"/>
    <w:rsid w:val="00142A02"/>
    <w:rsid w:val="00143087"/>
    <w:rsid w:val="001430D1"/>
    <w:rsid w:val="00143169"/>
    <w:rsid w:val="00143242"/>
    <w:rsid w:val="00143717"/>
    <w:rsid w:val="001437C2"/>
    <w:rsid w:val="001440B0"/>
    <w:rsid w:val="00144266"/>
    <w:rsid w:val="00144881"/>
    <w:rsid w:val="00144892"/>
    <w:rsid w:val="00144DA6"/>
    <w:rsid w:val="00144DF2"/>
    <w:rsid w:val="00145253"/>
    <w:rsid w:val="001459A8"/>
    <w:rsid w:val="00145B45"/>
    <w:rsid w:val="001463FD"/>
    <w:rsid w:val="00146976"/>
    <w:rsid w:val="00147033"/>
    <w:rsid w:val="00147242"/>
    <w:rsid w:val="00147529"/>
    <w:rsid w:val="00147604"/>
    <w:rsid w:val="00147758"/>
    <w:rsid w:val="00147B4B"/>
    <w:rsid w:val="00147D09"/>
    <w:rsid w:val="00147E0E"/>
    <w:rsid w:val="001500FF"/>
    <w:rsid w:val="001505B3"/>
    <w:rsid w:val="00151602"/>
    <w:rsid w:val="00151CB3"/>
    <w:rsid w:val="00151DE3"/>
    <w:rsid w:val="00151E36"/>
    <w:rsid w:val="001521BF"/>
    <w:rsid w:val="00152970"/>
    <w:rsid w:val="001530C9"/>
    <w:rsid w:val="001530E5"/>
    <w:rsid w:val="00153546"/>
    <w:rsid w:val="00154498"/>
    <w:rsid w:val="00154569"/>
    <w:rsid w:val="001545E7"/>
    <w:rsid w:val="00154BD5"/>
    <w:rsid w:val="00154E06"/>
    <w:rsid w:val="00155091"/>
    <w:rsid w:val="001550F0"/>
    <w:rsid w:val="0015554A"/>
    <w:rsid w:val="00155560"/>
    <w:rsid w:val="001555BA"/>
    <w:rsid w:val="001559A1"/>
    <w:rsid w:val="00155BA5"/>
    <w:rsid w:val="00155BF2"/>
    <w:rsid w:val="00155E46"/>
    <w:rsid w:val="001561D8"/>
    <w:rsid w:val="0015666B"/>
    <w:rsid w:val="00156680"/>
    <w:rsid w:val="00156BCF"/>
    <w:rsid w:val="0015723F"/>
    <w:rsid w:val="00157321"/>
    <w:rsid w:val="0015740A"/>
    <w:rsid w:val="0015753E"/>
    <w:rsid w:val="00157A7A"/>
    <w:rsid w:val="00157AF0"/>
    <w:rsid w:val="00157D7C"/>
    <w:rsid w:val="0016009C"/>
    <w:rsid w:val="00160179"/>
    <w:rsid w:val="00160253"/>
    <w:rsid w:val="001603A4"/>
    <w:rsid w:val="001618DA"/>
    <w:rsid w:val="00161BD1"/>
    <w:rsid w:val="00161FB0"/>
    <w:rsid w:val="00162253"/>
    <w:rsid w:val="00162348"/>
    <w:rsid w:val="0016260A"/>
    <w:rsid w:val="00162625"/>
    <w:rsid w:val="0016285F"/>
    <w:rsid w:val="00162CED"/>
    <w:rsid w:val="00162ED2"/>
    <w:rsid w:val="00162F7E"/>
    <w:rsid w:val="001633F9"/>
    <w:rsid w:val="00163576"/>
    <w:rsid w:val="00163CD6"/>
    <w:rsid w:val="00163CE5"/>
    <w:rsid w:val="00163F65"/>
    <w:rsid w:val="001642CA"/>
    <w:rsid w:val="001645BA"/>
    <w:rsid w:val="00164E76"/>
    <w:rsid w:val="001657B6"/>
    <w:rsid w:val="00165942"/>
    <w:rsid w:val="00165A9B"/>
    <w:rsid w:val="00165F09"/>
    <w:rsid w:val="001663A2"/>
    <w:rsid w:val="00166698"/>
    <w:rsid w:val="001668C9"/>
    <w:rsid w:val="00166D70"/>
    <w:rsid w:val="00167400"/>
    <w:rsid w:val="00167502"/>
    <w:rsid w:val="00167897"/>
    <w:rsid w:val="00167E65"/>
    <w:rsid w:val="001702A2"/>
    <w:rsid w:val="00170B1B"/>
    <w:rsid w:val="00170F08"/>
    <w:rsid w:val="0017169D"/>
    <w:rsid w:val="001717DD"/>
    <w:rsid w:val="00171828"/>
    <w:rsid w:val="0017212B"/>
    <w:rsid w:val="001721E1"/>
    <w:rsid w:val="001728D4"/>
    <w:rsid w:val="00172940"/>
    <w:rsid w:val="00172D06"/>
    <w:rsid w:val="00172F2D"/>
    <w:rsid w:val="00173093"/>
    <w:rsid w:val="00173180"/>
    <w:rsid w:val="0017367D"/>
    <w:rsid w:val="0017384D"/>
    <w:rsid w:val="001740EC"/>
    <w:rsid w:val="001744CB"/>
    <w:rsid w:val="00174B61"/>
    <w:rsid w:val="00174C13"/>
    <w:rsid w:val="001756D9"/>
    <w:rsid w:val="00175763"/>
    <w:rsid w:val="001759EF"/>
    <w:rsid w:val="001760E8"/>
    <w:rsid w:val="00176254"/>
    <w:rsid w:val="001773CE"/>
    <w:rsid w:val="00177B0B"/>
    <w:rsid w:val="00180355"/>
    <w:rsid w:val="001804FE"/>
    <w:rsid w:val="00180574"/>
    <w:rsid w:val="00180729"/>
    <w:rsid w:val="001807FA"/>
    <w:rsid w:val="00180AAA"/>
    <w:rsid w:val="0018100A"/>
    <w:rsid w:val="001817D5"/>
    <w:rsid w:val="001819B5"/>
    <w:rsid w:val="00181D50"/>
    <w:rsid w:val="00181D91"/>
    <w:rsid w:val="00181E03"/>
    <w:rsid w:val="00182126"/>
    <w:rsid w:val="00182416"/>
    <w:rsid w:val="00182848"/>
    <w:rsid w:val="0018289C"/>
    <w:rsid w:val="00182A58"/>
    <w:rsid w:val="00182DC2"/>
    <w:rsid w:val="001832FA"/>
    <w:rsid w:val="001833EF"/>
    <w:rsid w:val="001834B9"/>
    <w:rsid w:val="0018372E"/>
    <w:rsid w:val="0018398E"/>
    <w:rsid w:val="001844E0"/>
    <w:rsid w:val="001847AC"/>
    <w:rsid w:val="001847F0"/>
    <w:rsid w:val="001848CB"/>
    <w:rsid w:val="00184DF4"/>
    <w:rsid w:val="001851E5"/>
    <w:rsid w:val="00185741"/>
    <w:rsid w:val="00185D09"/>
    <w:rsid w:val="00185D0E"/>
    <w:rsid w:val="00185D83"/>
    <w:rsid w:val="00185E72"/>
    <w:rsid w:val="001863A8"/>
    <w:rsid w:val="0018667C"/>
    <w:rsid w:val="00186B39"/>
    <w:rsid w:val="00186CF0"/>
    <w:rsid w:val="00186E27"/>
    <w:rsid w:val="00186FB0"/>
    <w:rsid w:val="001903E1"/>
    <w:rsid w:val="001904C5"/>
    <w:rsid w:val="00190730"/>
    <w:rsid w:val="001907D6"/>
    <w:rsid w:val="00190E69"/>
    <w:rsid w:val="00191239"/>
    <w:rsid w:val="001920B5"/>
    <w:rsid w:val="0019224E"/>
    <w:rsid w:val="00192DE9"/>
    <w:rsid w:val="001931FB"/>
    <w:rsid w:val="00193BD3"/>
    <w:rsid w:val="00193ED2"/>
    <w:rsid w:val="00193EF4"/>
    <w:rsid w:val="0019409B"/>
    <w:rsid w:val="001941E7"/>
    <w:rsid w:val="001949E2"/>
    <w:rsid w:val="00195B4C"/>
    <w:rsid w:val="00195C53"/>
    <w:rsid w:val="00196317"/>
    <w:rsid w:val="001963AA"/>
    <w:rsid w:val="00196439"/>
    <w:rsid w:val="00197094"/>
    <w:rsid w:val="0019717A"/>
    <w:rsid w:val="00197495"/>
    <w:rsid w:val="00197597"/>
    <w:rsid w:val="00197611"/>
    <w:rsid w:val="00197636"/>
    <w:rsid w:val="001A00C5"/>
    <w:rsid w:val="001A096E"/>
    <w:rsid w:val="001A0AF9"/>
    <w:rsid w:val="001A0C15"/>
    <w:rsid w:val="001A1A90"/>
    <w:rsid w:val="001A1C02"/>
    <w:rsid w:val="001A208F"/>
    <w:rsid w:val="001A210E"/>
    <w:rsid w:val="001A2467"/>
    <w:rsid w:val="001A24CD"/>
    <w:rsid w:val="001A262A"/>
    <w:rsid w:val="001A2641"/>
    <w:rsid w:val="001A2711"/>
    <w:rsid w:val="001A2812"/>
    <w:rsid w:val="001A2A64"/>
    <w:rsid w:val="001A2AE7"/>
    <w:rsid w:val="001A2CFD"/>
    <w:rsid w:val="001A2E65"/>
    <w:rsid w:val="001A31DE"/>
    <w:rsid w:val="001A32E2"/>
    <w:rsid w:val="001A3654"/>
    <w:rsid w:val="001A3734"/>
    <w:rsid w:val="001A38A9"/>
    <w:rsid w:val="001A3993"/>
    <w:rsid w:val="001A3D04"/>
    <w:rsid w:val="001A46A3"/>
    <w:rsid w:val="001A4EB0"/>
    <w:rsid w:val="001A5124"/>
    <w:rsid w:val="001A5347"/>
    <w:rsid w:val="001A5A94"/>
    <w:rsid w:val="001A5B46"/>
    <w:rsid w:val="001A5DAF"/>
    <w:rsid w:val="001A5F2E"/>
    <w:rsid w:val="001A6658"/>
    <w:rsid w:val="001A666F"/>
    <w:rsid w:val="001A6B97"/>
    <w:rsid w:val="001A7079"/>
    <w:rsid w:val="001A767F"/>
    <w:rsid w:val="001A7725"/>
    <w:rsid w:val="001A786D"/>
    <w:rsid w:val="001A79E0"/>
    <w:rsid w:val="001A7C96"/>
    <w:rsid w:val="001B0660"/>
    <w:rsid w:val="001B09B8"/>
    <w:rsid w:val="001B0BE4"/>
    <w:rsid w:val="001B0DE1"/>
    <w:rsid w:val="001B10B5"/>
    <w:rsid w:val="001B157F"/>
    <w:rsid w:val="001B1D8A"/>
    <w:rsid w:val="001B22FA"/>
    <w:rsid w:val="001B2A81"/>
    <w:rsid w:val="001B2D28"/>
    <w:rsid w:val="001B2D85"/>
    <w:rsid w:val="001B30B2"/>
    <w:rsid w:val="001B32DB"/>
    <w:rsid w:val="001B36A0"/>
    <w:rsid w:val="001B3847"/>
    <w:rsid w:val="001B38B3"/>
    <w:rsid w:val="001B3B55"/>
    <w:rsid w:val="001B3CC2"/>
    <w:rsid w:val="001B40F9"/>
    <w:rsid w:val="001B4454"/>
    <w:rsid w:val="001B4529"/>
    <w:rsid w:val="001B4B71"/>
    <w:rsid w:val="001B4B8A"/>
    <w:rsid w:val="001B5062"/>
    <w:rsid w:val="001B551E"/>
    <w:rsid w:val="001B5D4F"/>
    <w:rsid w:val="001B5F27"/>
    <w:rsid w:val="001B616C"/>
    <w:rsid w:val="001B61AE"/>
    <w:rsid w:val="001B63A5"/>
    <w:rsid w:val="001B64A1"/>
    <w:rsid w:val="001C0410"/>
    <w:rsid w:val="001C05A0"/>
    <w:rsid w:val="001C0A2B"/>
    <w:rsid w:val="001C0C20"/>
    <w:rsid w:val="001C14B2"/>
    <w:rsid w:val="001C1AD9"/>
    <w:rsid w:val="001C1B4B"/>
    <w:rsid w:val="001C1FD6"/>
    <w:rsid w:val="001C236D"/>
    <w:rsid w:val="001C3A3B"/>
    <w:rsid w:val="001C3FF6"/>
    <w:rsid w:val="001C41B3"/>
    <w:rsid w:val="001C43C3"/>
    <w:rsid w:val="001C495A"/>
    <w:rsid w:val="001C576D"/>
    <w:rsid w:val="001C5B77"/>
    <w:rsid w:val="001C61AF"/>
    <w:rsid w:val="001C6248"/>
    <w:rsid w:val="001C644B"/>
    <w:rsid w:val="001C68F7"/>
    <w:rsid w:val="001C6B19"/>
    <w:rsid w:val="001C74EC"/>
    <w:rsid w:val="001C7824"/>
    <w:rsid w:val="001C7B9C"/>
    <w:rsid w:val="001D0081"/>
    <w:rsid w:val="001D0858"/>
    <w:rsid w:val="001D0C2E"/>
    <w:rsid w:val="001D0F76"/>
    <w:rsid w:val="001D0FD4"/>
    <w:rsid w:val="001D10B9"/>
    <w:rsid w:val="001D11D3"/>
    <w:rsid w:val="001D19CC"/>
    <w:rsid w:val="001D209D"/>
    <w:rsid w:val="001D2341"/>
    <w:rsid w:val="001D3130"/>
    <w:rsid w:val="001D3670"/>
    <w:rsid w:val="001D3D6A"/>
    <w:rsid w:val="001D3FF2"/>
    <w:rsid w:val="001D40C4"/>
    <w:rsid w:val="001D4CA3"/>
    <w:rsid w:val="001D4F4F"/>
    <w:rsid w:val="001D6E75"/>
    <w:rsid w:val="001D7300"/>
    <w:rsid w:val="001D750C"/>
    <w:rsid w:val="001D7D5D"/>
    <w:rsid w:val="001D7DCF"/>
    <w:rsid w:val="001D7F11"/>
    <w:rsid w:val="001E032B"/>
    <w:rsid w:val="001E0B77"/>
    <w:rsid w:val="001E0CF3"/>
    <w:rsid w:val="001E0F90"/>
    <w:rsid w:val="001E0F97"/>
    <w:rsid w:val="001E0FB3"/>
    <w:rsid w:val="001E167F"/>
    <w:rsid w:val="001E1B55"/>
    <w:rsid w:val="001E1C57"/>
    <w:rsid w:val="001E22FD"/>
    <w:rsid w:val="001E23D7"/>
    <w:rsid w:val="001E25DC"/>
    <w:rsid w:val="001E26A5"/>
    <w:rsid w:val="001E3374"/>
    <w:rsid w:val="001E35B4"/>
    <w:rsid w:val="001E3970"/>
    <w:rsid w:val="001E3E62"/>
    <w:rsid w:val="001E44C2"/>
    <w:rsid w:val="001E49DC"/>
    <w:rsid w:val="001E4AA8"/>
    <w:rsid w:val="001E4B6A"/>
    <w:rsid w:val="001E4B8F"/>
    <w:rsid w:val="001E4FF1"/>
    <w:rsid w:val="001E51D1"/>
    <w:rsid w:val="001E5224"/>
    <w:rsid w:val="001E5448"/>
    <w:rsid w:val="001E549F"/>
    <w:rsid w:val="001E54BE"/>
    <w:rsid w:val="001E5FE6"/>
    <w:rsid w:val="001E612D"/>
    <w:rsid w:val="001E69BA"/>
    <w:rsid w:val="001E6AFC"/>
    <w:rsid w:val="001E6C2E"/>
    <w:rsid w:val="001E7802"/>
    <w:rsid w:val="001E7DAF"/>
    <w:rsid w:val="001E7E51"/>
    <w:rsid w:val="001F02E4"/>
    <w:rsid w:val="001F052B"/>
    <w:rsid w:val="001F0554"/>
    <w:rsid w:val="001F058F"/>
    <w:rsid w:val="001F0815"/>
    <w:rsid w:val="001F0AC0"/>
    <w:rsid w:val="001F141B"/>
    <w:rsid w:val="001F151F"/>
    <w:rsid w:val="001F155F"/>
    <w:rsid w:val="001F197F"/>
    <w:rsid w:val="001F1F9A"/>
    <w:rsid w:val="001F240F"/>
    <w:rsid w:val="001F25DD"/>
    <w:rsid w:val="001F2637"/>
    <w:rsid w:val="001F3047"/>
    <w:rsid w:val="001F31B0"/>
    <w:rsid w:val="001F33BF"/>
    <w:rsid w:val="001F344B"/>
    <w:rsid w:val="001F3480"/>
    <w:rsid w:val="001F4090"/>
    <w:rsid w:val="001F449D"/>
    <w:rsid w:val="001F46A7"/>
    <w:rsid w:val="001F47C5"/>
    <w:rsid w:val="001F4B82"/>
    <w:rsid w:val="001F4E9A"/>
    <w:rsid w:val="001F4FD9"/>
    <w:rsid w:val="001F5359"/>
    <w:rsid w:val="001F5390"/>
    <w:rsid w:val="001F56B2"/>
    <w:rsid w:val="001F62BE"/>
    <w:rsid w:val="001F6476"/>
    <w:rsid w:val="001F64C9"/>
    <w:rsid w:val="001F678F"/>
    <w:rsid w:val="001F68BC"/>
    <w:rsid w:val="001F6CD3"/>
    <w:rsid w:val="001F717E"/>
    <w:rsid w:val="001F73BC"/>
    <w:rsid w:val="001F73F4"/>
    <w:rsid w:val="001F74B0"/>
    <w:rsid w:val="001F74E8"/>
    <w:rsid w:val="001F7951"/>
    <w:rsid w:val="001F7F62"/>
    <w:rsid w:val="002000C7"/>
    <w:rsid w:val="002004B5"/>
    <w:rsid w:val="0020069F"/>
    <w:rsid w:val="00200789"/>
    <w:rsid w:val="00200984"/>
    <w:rsid w:val="002009E5"/>
    <w:rsid w:val="00201642"/>
    <w:rsid w:val="00201908"/>
    <w:rsid w:val="00201A93"/>
    <w:rsid w:val="00201B7D"/>
    <w:rsid w:val="0020209B"/>
    <w:rsid w:val="00202469"/>
    <w:rsid w:val="00202558"/>
    <w:rsid w:val="002025ED"/>
    <w:rsid w:val="00202B2B"/>
    <w:rsid w:val="00202DE9"/>
    <w:rsid w:val="00203083"/>
    <w:rsid w:val="00204CC6"/>
    <w:rsid w:val="002053C1"/>
    <w:rsid w:val="00205885"/>
    <w:rsid w:val="00205974"/>
    <w:rsid w:val="00205DE3"/>
    <w:rsid w:val="0020685A"/>
    <w:rsid w:val="00206EA1"/>
    <w:rsid w:val="0020716C"/>
    <w:rsid w:val="0020782F"/>
    <w:rsid w:val="0020786D"/>
    <w:rsid w:val="00207A9C"/>
    <w:rsid w:val="00207DB9"/>
    <w:rsid w:val="00210466"/>
    <w:rsid w:val="00210A4F"/>
    <w:rsid w:val="00210C30"/>
    <w:rsid w:val="00210C5B"/>
    <w:rsid w:val="00211A24"/>
    <w:rsid w:val="00211C22"/>
    <w:rsid w:val="002120B5"/>
    <w:rsid w:val="002125F7"/>
    <w:rsid w:val="00212750"/>
    <w:rsid w:val="00212BEF"/>
    <w:rsid w:val="00212CEB"/>
    <w:rsid w:val="00212E20"/>
    <w:rsid w:val="00213517"/>
    <w:rsid w:val="0021353B"/>
    <w:rsid w:val="00213633"/>
    <w:rsid w:val="0021373C"/>
    <w:rsid w:val="0021398F"/>
    <w:rsid w:val="002139FD"/>
    <w:rsid w:val="00213A90"/>
    <w:rsid w:val="00213B91"/>
    <w:rsid w:val="002143ED"/>
    <w:rsid w:val="00215200"/>
    <w:rsid w:val="00216069"/>
    <w:rsid w:val="00216651"/>
    <w:rsid w:val="0021682C"/>
    <w:rsid w:val="00216902"/>
    <w:rsid w:val="00216B3D"/>
    <w:rsid w:val="002174C6"/>
    <w:rsid w:val="00217643"/>
    <w:rsid w:val="0021776A"/>
    <w:rsid w:val="0021781B"/>
    <w:rsid w:val="00217AE1"/>
    <w:rsid w:val="00217BA0"/>
    <w:rsid w:val="00217BC0"/>
    <w:rsid w:val="00217F26"/>
    <w:rsid w:val="00220117"/>
    <w:rsid w:val="00220559"/>
    <w:rsid w:val="002209D6"/>
    <w:rsid w:val="00220AFB"/>
    <w:rsid w:val="00220E0D"/>
    <w:rsid w:val="00220F00"/>
    <w:rsid w:val="002214BA"/>
    <w:rsid w:val="0022150B"/>
    <w:rsid w:val="00221D83"/>
    <w:rsid w:val="00221DAD"/>
    <w:rsid w:val="00221EEC"/>
    <w:rsid w:val="00221F1D"/>
    <w:rsid w:val="002224B8"/>
    <w:rsid w:val="00222677"/>
    <w:rsid w:val="00222907"/>
    <w:rsid w:val="002236FA"/>
    <w:rsid w:val="00223701"/>
    <w:rsid w:val="00223745"/>
    <w:rsid w:val="00224235"/>
    <w:rsid w:val="0022459D"/>
    <w:rsid w:val="00224662"/>
    <w:rsid w:val="00224FE9"/>
    <w:rsid w:val="00225554"/>
    <w:rsid w:val="0022587A"/>
    <w:rsid w:val="00225A73"/>
    <w:rsid w:val="00225C77"/>
    <w:rsid w:val="00226281"/>
    <w:rsid w:val="00226435"/>
    <w:rsid w:val="002268B8"/>
    <w:rsid w:val="00226B44"/>
    <w:rsid w:val="0022714E"/>
    <w:rsid w:val="0022756D"/>
    <w:rsid w:val="00227A42"/>
    <w:rsid w:val="0023055D"/>
    <w:rsid w:val="002305B6"/>
    <w:rsid w:val="00230F47"/>
    <w:rsid w:val="00230F98"/>
    <w:rsid w:val="002316B2"/>
    <w:rsid w:val="00231DE7"/>
    <w:rsid w:val="0023201E"/>
    <w:rsid w:val="00232125"/>
    <w:rsid w:val="00232433"/>
    <w:rsid w:val="00232566"/>
    <w:rsid w:val="00232DF6"/>
    <w:rsid w:val="0023327C"/>
    <w:rsid w:val="00233E21"/>
    <w:rsid w:val="00234ACC"/>
    <w:rsid w:val="00234B68"/>
    <w:rsid w:val="00234C19"/>
    <w:rsid w:val="00234FFB"/>
    <w:rsid w:val="00235259"/>
    <w:rsid w:val="00235459"/>
    <w:rsid w:val="002356B1"/>
    <w:rsid w:val="00236551"/>
    <w:rsid w:val="00236BC0"/>
    <w:rsid w:val="00236C76"/>
    <w:rsid w:val="002372D8"/>
    <w:rsid w:val="002374FC"/>
    <w:rsid w:val="0023760C"/>
    <w:rsid w:val="00237B8A"/>
    <w:rsid w:val="00240184"/>
    <w:rsid w:val="002408D1"/>
    <w:rsid w:val="00240A37"/>
    <w:rsid w:val="00240E07"/>
    <w:rsid w:val="00240E0C"/>
    <w:rsid w:val="00240F3E"/>
    <w:rsid w:val="002410F3"/>
    <w:rsid w:val="0024124E"/>
    <w:rsid w:val="0024127A"/>
    <w:rsid w:val="00241539"/>
    <w:rsid w:val="00241592"/>
    <w:rsid w:val="00241697"/>
    <w:rsid w:val="00241F07"/>
    <w:rsid w:val="00242044"/>
    <w:rsid w:val="002426BF"/>
    <w:rsid w:val="002427BB"/>
    <w:rsid w:val="00242856"/>
    <w:rsid w:val="002428ED"/>
    <w:rsid w:val="00242EEA"/>
    <w:rsid w:val="00242F12"/>
    <w:rsid w:val="00243175"/>
    <w:rsid w:val="00243A8E"/>
    <w:rsid w:val="00244016"/>
    <w:rsid w:val="00244602"/>
    <w:rsid w:val="00244E28"/>
    <w:rsid w:val="00244F3A"/>
    <w:rsid w:val="00244FA0"/>
    <w:rsid w:val="002461B0"/>
    <w:rsid w:val="002462B5"/>
    <w:rsid w:val="002468B9"/>
    <w:rsid w:val="00246F58"/>
    <w:rsid w:val="00247602"/>
    <w:rsid w:val="00247C2C"/>
    <w:rsid w:val="00247DF8"/>
    <w:rsid w:val="00250000"/>
    <w:rsid w:val="00250A7A"/>
    <w:rsid w:val="00250AB1"/>
    <w:rsid w:val="00250E3C"/>
    <w:rsid w:val="00251194"/>
    <w:rsid w:val="00251EB0"/>
    <w:rsid w:val="00252063"/>
    <w:rsid w:val="002520A3"/>
    <w:rsid w:val="00252245"/>
    <w:rsid w:val="0025268D"/>
    <w:rsid w:val="002527B3"/>
    <w:rsid w:val="00252BA1"/>
    <w:rsid w:val="002530C8"/>
    <w:rsid w:val="00253618"/>
    <w:rsid w:val="00253707"/>
    <w:rsid w:val="0025382B"/>
    <w:rsid w:val="00253898"/>
    <w:rsid w:val="0025390B"/>
    <w:rsid w:val="00253A2D"/>
    <w:rsid w:val="00253C4D"/>
    <w:rsid w:val="0025400C"/>
    <w:rsid w:val="0025420C"/>
    <w:rsid w:val="002545D0"/>
    <w:rsid w:val="002547A7"/>
    <w:rsid w:val="002552C7"/>
    <w:rsid w:val="0025575D"/>
    <w:rsid w:val="002559A5"/>
    <w:rsid w:val="002559B4"/>
    <w:rsid w:val="00255EE9"/>
    <w:rsid w:val="0025641A"/>
    <w:rsid w:val="00256589"/>
    <w:rsid w:val="0025676F"/>
    <w:rsid w:val="00256A04"/>
    <w:rsid w:val="00257085"/>
    <w:rsid w:val="00257167"/>
    <w:rsid w:val="00257330"/>
    <w:rsid w:val="00257522"/>
    <w:rsid w:val="00257ABF"/>
    <w:rsid w:val="00257BE5"/>
    <w:rsid w:val="002600D2"/>
    <w:rsid w:val="0026099B"/>
    <w:rsid w:val="00260A45"/>
    <w:rsid w:val="00260B50"/>
    <w:rsid w:val="00260E7F"/>
    <w:rsid w:val="0026145B"/>
    <w:rsid w:val="0026182A"/>
    <w:rsid w:val="0026186D"/>
    <w:rsid w:val="002618DF"/>
    <w:rsid w:val="00261C09"/>
    <w:rsid w:val="002620BE"/>
    <w:rsid w:val="0026281D"/>
    <w:rsid w:val="00262B01"/>
    <w:rsid w:val="00262E5E"/>
    <w:rsid w:val="0026331C"/>
    <w:rsid w:val="00263422"/>
    <w:rsid w:val="00263A9D"/>
    <w:rsid w:val="00263B3A"/>
    <w:rsid w:val="00263FE7"/>
    <w:rsid w:val="00264215"/>
    <w:rsid w:val="00264277"/>
    <w:rsid w:val="0026532B"/>
    <w:rsid w:val="0026543C"/>
    <w:rsid w:val="00265513"/>
    <w:rsid w:val="00265815"/>
    <w:rsid w:val="0026599C"/>
    <w:rsid w:val="002662A2"/>
    <w:rsid w:val="0026633C"/>
    <w:rsid w:val="0026648B"/>
    <w:rsid w:val="00266730"/>
    <w:rsid w:val="00267128"/>
    <w:rsid w:val="00267361"/>
    <w:rsid w:val="002678E4"/>
    <w:rsid w:val="00267DE7"/>
    <w:rsid w:val="00267F24"/>
    <w:rsid w:val="00267F41"/>
    <w:rsid w:val="00270132"/>
    <w:rsid w:val="002704E7"/>
    <w:rsid w:val="00270D26"/>
    <w:rsid w:val="00270DC3"/>
    <w:rsid w:val="00270F04"/>
    <w:rsid w:val="002712F3"/>
    <w:rsid w:val="00271502"/>
    <w:rsid w:val="002715F0"/>
    <w:rsid w:val="00271C02"/>
    <w:rsid w:val="00271CF2"/>
    <w:rsid w:val="00271DBF"/>
    <w:rsid w:val="00272183"/>
    <w:rsid w:val="0027277E"/>
    <w:rsid w:val="00272937"/>
    <w:rsid w:val="00272A5E"/>
    <w:rsid w:val="00272C73"/>
    <w:rsid w:val="00272E91"/>
    <w:rsid w:val="00273005"/>
    <w:rsid w:val="0027300D"/>
    <w:rsid w:val="00273314"/>
    <w:rsid w:val="00273430"/>
    <w:rsid w:val="0027369E"/>
    <w:rsid w:val="00274209"/>
    <w:rsid w:val="002742F1"/>
    <w:rsid w:val="00274313"/>
    <w:rsid w:val="002749FB"/>
    <w:rsid w:val="00274B89"/>
    <w:rsid w:val="00274E3C"/>
    <w:rsid w:val="00274F2B"/>
    <w:rsid w:val="00275065"/>
    <w:rsid w:val="002750F2"/>
    <w:rsid w:val="00275B89"/>
    <w:rsid w:val="00276B89"/>
    <w:rsid w:val="00276D77"/>
    <w:rsid w:val="0027721D"/>
    <w:rsid w:val="00277824"/>
    <w:rsid w:val="00277DC8"/>
    <w:rsid w:val="00277ECC"/>
    <w:rsid w:val="00280042"/>
    <w:rsid w:val="002802A9"/>
    <w:rsid w:val="00280659"/>
    <w:rsid w:val="0028139B"/>
    <w:rsid w:val="00281C9C"/>
    <w:rsid w:val="00282067"/>
    <w:rsid w:val="00282130"/>
    <w:rsid w:val="00282177"/>
    <w:rsid w:val="002821BE"/>
    <w:rsid w:val="00282502"/>
    <w:rsid w:val="00282800"/>
    <w:rsid w:val="00284592"/>
    <w:rsid w:val="0028461B"/>
    <w:rsid w:val="00284889"/>
    <w:rsid w:val="00284D28"/>
    <w:rsid w:val="0028512B"/>
    <w:rsid w:val="00285D1A"/>
    <w:rsid w:val="00285F60"/>
    <w:rsid w:val="002864DA"/>
    <w:rsid w:val="00286B83"/>
    <w:rsid w:val="00286D70"/>
    <w:rsid w:val="002873DC"/>
    <w:rsid w:val="00287449"/>
    <w:rsid w:val="00287573"/>
    <w:rsid w:val="00287B80"/>
    <w:rsid w:val="00287F41"/>
    <w:rsid w:val="00290146"/>
    <w:rsid w:val="00290517"/>
    <w:rsid w:val="002908E9"/>
    <w:rsid w:val="00291095"/>
    <w:rsid w:val="002910BD"/>
    <w:rsid w:val="0029137E"/>
    <w:rsid w:val="002914DE"/>
    <w:rsid w:val="0029193E"/>
    <w:rsid w:val="00291BBE"/>
    <w:rsid w:val="00291E13"/>
    <w:rsid w:val="0029216A"/>
    <w:rsid w:val="002929E2"/>
    <w:rsid w:val="00292A9C"/>
    <w:rsid w:val="00292E9C"/>
    <w:rsid w:val="00292FDF"/>
    <w:rsid w:val="002938BD"/>
    <w:rsid w:val="00293C10"/>
    <w:rsid w:val="00294032"/>
    <w:rsid w:val="00294126"/>
    <w:rsid w:val="002945DC"/>
    <w:rsid w:val="00294947"/>
    <w:rsid w:val="00294A44"/>
    <w:rsid w:val="00294A6C"/>
    <w:rsid w:val="00294D87"/>
    <w:rsid w:val="002952BA"/>
    <w:rsid w:val="0029539A"/>
    <w:rsid w:val="002959B8"/>
    <w:rsid w:val="00295D2C"/>
    <w:rsid w:val="00295D85"/>
    <w:rsid w:val="00296819"/>
    <w:rsid w:val="0029725A"/>
    <w:rsid w:val="00297530"/>
    <w:rsid w:val="002978F8"/>
    <w:rsid w:val="00297B4B"/>
    <w:rsid w:val="002A009D"/>
    <w:rsid w:val="002A043D"/>
    <w:rsid w:val="002A05B5"/>
    <w:rsid w:val="002A0831"/>
    <w:rsid w:val="002A094A"/>
    <w:rsid w:val="002A0A6C"/>
    <w:rsid w:val="002A2133"/>
    <w:rsid w:val="002A254E"/>
    <w:rsid w:val="002A28D5"/>
    <w:rsid w:val="002A2BF6"/>
    <w:rsid w:val="002A2FCD"/>
    <w:rsid w:val="002A3337"/>
    <w:rsid w:val="002A414F"/>
    <w:rsid w:val="002A42D4"/>
    <w:rsid w:val="002A431F"/>
    <w:rsid w:val="002A447C"/>
    <w:rsid w:val="002A482E"/>
    <w:rsid w:val="002A4B25"/>
    <w:rsid w:val="002A4C6F"/>
    <w:rsid w:val="002A4D46"/>
    <w:rsid w:val="002A4F73"/>
    <w:rsid w:val="002A4FC2"/>
    <w:rsid w:val="002A4FF0"/>
    <w:rsid w:val="002A5005"/>
    <w:rsid w:val="002A56B9"/>
    <w:rsid w:val="002A58A9"/>
    <w:rsid w:val="002A5DD1"/>
    <w:rsid w:val="002A60B3"/>
    <w:rsid w:val="002A6143"/>
    <w:rsid w:val="002A6209"/>
    <w:rsid w:val="002A67F5"/>
    <w:rsid w:val="002A68AA"/>
    <w:rsid w:val="002A6CB7"/>
    <w:rsid w:val="002A79FF"/>
    <w:rsid w:val="002A7FB8"/>
    <w:rsid w:val="002B0726"/>
    <w:rsid w:val="002B078D"/>
    <w:rsid w:val="002B088B"/>
    <w:rsid w:val="002B08ED"/>
    <w:rsid w:val="002B0937"/>
    <w:rsid w:val="002B1626"/>
    <w:rsid w:val="002B17E5"/>
    <w:rsid w:val="002B18CF"/>
    <w:rsid w:val="002B1A71"/>
    <w:rsid w:val="002B1C75"/>
    <w:rsid w:val="002B2071"/>
    <w:rsid w:val="002B26AC"/>
    <w:rsid w:val="002B26D8"/>
    <w:rsid w:val="002B2E28"/>
    <w:rsid w:val="002B2E9B"/>
    <w:rsid w:val="002B30CD"/>
    <w:rsid w:val="002B310B"/>
    <w:rsid w:val="002B3284"/>
    <w:rsid w:val="002B34E6"/>
    <w:rsid w:val="002B3E94"/>
    <w:rsid w:val="002B3EBF"/>
    <w:rsid w:val="002B3FF3"/>
    <w:rsid w:val="002B42FC"/>
    <w:rsid w:val="002B46B6"/>
    <w:rsid w:val="002B48A6"/>
    <w:rsid w:val="002B5199"/>
    <w:rsid w:val="002B5358"/>
    <w:rsid w:val="002B53D5"/>
    <w:rsid w:val="002B5AF4"/>
    <w:rsid w:val="002B5FB2"/>
    <w:rsid w:val="002B6637"/>
    <w:rsid w:val="002B6725"/>
    <w:rsid w:val="002B69AA"/>
    <w:rsid w:val="002B6BB5"/>
    <w:rsid w:val="002B6BD1"/>
    <w:rsid w:val="002B7140"/>
    <w:rsid w:val="002B72A6"/>
    <w:rsid w:val="002B731A"/>
    <w:rsid w:val="002B7495"/>
    <w:rsid w:val="002B7600"/>
    <w:rsid w:val="002B7721"/>
    <w:rsid w:val="002B78B6"/>
    <w:rsid w:val="002B7A7E"/>
    <w:rsid w:val="002B7D6B"/>
    <w:rsid w:val="002B7DBE"/>
    <w:rsid w:val="002C020D"/>
    <w:rsid w:val="002C0288"/>
    <w:rsid w:val="002C0ADD"/>
    <w:rsid w:val="002C1177"/>
    <w:rsid w:val="002C1526"/>
    <w:rsid w:val="002C1592"/>
    <w:rsid w:val="002C1697"/>
    <w:rsid w:val="002C169D"/>
    <w:rsid w:val="002C1874"/>
    <w:rsid w:val="002C18B3"/>
    <w:rsid w:val="002C18DA"/>
    <w:rsid w:val="002C1B97"/>
    <w:rsid w:val="002C26CF"/>
    <w:rsid w:val="002C2876"/>
    <w:rsid w:val="002C29DB"/>
    <w:rsid w:val="002C36EF"/>
    <w:rsid w:val="002C3A51"/>
    <w:rsid w:val="002C408D"/>
    <w:rsid w:val="002C4729"/>
    <w:rsid w:val="002C4A8A"/>
    <w:rsid w:val="002C4B2A"/>
    <w:rsid w:val="002C5038"/>
    <w:rsid w:val="002C56F9"/>
    <w:rsid w:val="002C5CD5"/>
    <w:rsid w:val="002C5E09"/>
    <w:rsid w:val="002C5F40"/>
    <w:rsid w:val="002C6749"/>
    <w:rsid w:val="002C7040"/>
    <w:rsid w:val="002C7078"/>
    <w:rsid w:val="002C721A"/>
    <w:rsid w:val="002C75DE"/>
    <w:rsid w:val="002C7AC8"/>
    <w:rsid w:val="002C7B3B"/>
    <w:rsid w:val="002C7C60"/>
    <w:rsid w:val="002C7E9A"/>
    <w:rsid w:val="002D01E7"/>
    <w:rsid w:val="002D0337"/>
    <w:rsid w:val="002D03C6"/>
    <w:rsid w:val="002D042F"/>
    <w:rsid w:val="002D0B4C"/>
    <w:rsid w:val="002D0C07"/>
    <w:rsid w:val="002D1012"/>
    <w:rsid w:val="002D1185"/>
    <w:rsid w:val="002D1709"/>
    <w:rsid w:val="002D180D"/>
    <w:rsid w:val="002D18EA"/>
    <w:rsid w:val="002D2375"/>
    <w:rsid w:val="002D24D5"/>
    <w:rsid w:val="002D2823"/>
    <w:rsid w:val="002D2CC0"/>
    <w:rsid w:val="002D2D9D"/>
    <w:rsid w:val="002D4402"/>
    <w:rsid w:val="002D4A60"/>
    <w:rsid w:val="002D4E61"/>
    <w:rsid w:val="002D5207"/>
    <w:rsid w:val="002D531F"/>
    <w:rsid w:val="002D541F"/>
    <w:rsid w:val="002D6187"/>
    <w:rsid w:val="002D666E"/>
    <w:rsid w:val="002D7583"/>
    <w:rsid w:val="002D7796"/>
    <w:rsid w:val="002D7815"/>
    <w:rsid w:val="002D7B68"/>
    <w:rsid w:val="002D7BCB"/>
    <w:rsid w:val="002E0088"/>
    <w:rsid w:val="002E03CF"/>
    <w:rsid w:val="002E04A3"/>
    <w:rsid w:val="002E05B3"/>
    <w:rsid w:val="002E12A5"/>
    <w:rsid w:val="002E159F"/>
    <w:rsid w:val="002E1699"/>
    <w:rsid w:val="002E1BA5"/>
    <w:rsid w:val="002E1C49"/>
    <w:rsid w:val="002E24BE"/>
    <w:rsid w:val="002E261F"/>
    <w:rsid w:val="002E32B2"/>
    <w:rsid w:val="002E34F6"/>
    <w:rsid w:val="002E35F8"/>
    <w:rsid w:val="002E38A5"/>
    <w:rsid w:val="002E4587"/>
    <w:rsid w:val="002E4648"/>
    <w:rsid w:val="002E46EB"/>
    <w:rsid w:val="002E4AA6"/>
    <w:rsid w:val="002E501D"/>
    <w:rsid w:val="002E5203"/>
    <w:rsid w:val="002E554A"/>
    <w:rsid w:val="002E55DD"/>
    <w:rsid w:val="002E560A"/>
    <w:rsid w:val="002E570E"/>
    <w:rsid w:val="002E5D72"/>
    <w:rsid w:val="002E62C3"/>
    <w:rsid w:val="002E669A"/>
    <w:rsid w:val="002E7046"/>
    <w:rsid w:val="002E707A"/>
    <w:rsid w:val="002F01C0"/>
    <w:rsid w:val="002F1560"/>
    <w:rsid w:val="002F16C7"/>
    <w:rsid w:val="002F1ABE"/>
    <w:rsid w:val="002F1F0F"/>
    <w:rsid w:val="002F2502"/>
    <w:rsid w:val="002F2556"/>
    <w:rsid w:val="002F25D1"/>
    <w:rsid w:val="002F2F2E"/>
    <w:rsid w:val="002F2FAB"/>
    <w:rsid w:val="002F3169"/>
    <w:rsid w:val="002F321F"/>
    <w:rsid w:val="002F3483"/>
    <w:rsid w:val="002F34AA"/>
    <w:rsid w:val="002F35FE"/>
    <w:rsid w:val="002F3897"/>
    <w:rsid w:val="002F3946"/>
    <w:rsid w:val="002F4045"/>
    <w:rsid w:val="002F421C"/>
    <w:rsid w:val="002F4384"/>
    <w:rsid w:val="002F4662"/>
    <w:rsid w:val="002F532B"/>
    <w:rsid w:val="002F5458"/>
    <w:rsid w:val="002F5C9B"/>
    <w:rsid w:val="002F5D64"/>
    <w:rsid w:val="002F65D9"/>
    <w:rsid w:val="002F6E24"/>
    <w:rsid w:val="002F73FE"/>
    <w:rsid w:val="002F75B6"/>
    <w:rsid w:val="002F7839"/>
    <w:rsid w:val="002F7C45"/>
    <w:rsid w:val="0030015E"/>
    <w:rsid w:val="003004E6"/>
    <w:rsid w:val="00300D1C"/>
    <w:rsid w:val="00301624"/>
    <w:rsid w:val="0030180A"/>
    <w:rsid w:val="00301851"/>
    <w:rsid w:val="0030198A"/>
    <w:rsid w:val="00301EA3"/>
    <w:rsid w:val="003022D1"/>
    <w:rsid w:val="00302318"/>
    <w:rsid w:val="003024F1"/>
    <w:rsid w:val="00302ADC"/>
    <w:rsid w:val="00303155"/>
    <w:rsid w:val="00303364"/>
    <w:rsid w:val="0030381D"/>
    <w:rsid w:val="00303BD0"/>
    <w:rsid w:val="00303C17"/>
    <w:rsid w:val="0030452F"/>
    <w:rsid w:val="003049FA"/>
    <w:rsid w:val="00304A8F"/>
    <w:rsid w:val="00304ADD"/>
    <w:rsid w:val="00304B68"/>
    <w:rsid w:val="00304C3E"/>
    <w:rsid w:val="00304EF1"/>
    <w:rsid w:val="003055DB"/>
    <w:rsid w:val="003056F3"/>
    <w:rsid w:val="0030578B"/>
    <w:rsid w:val="00306B43"/>
    <w:rsid w:val="003072F6"/>
    <w:rsid w:val="00307402"/>
    <w:rsid w:val="00307E4B"/>
    <w:rsid w:val="0031026D"/>
    <w:rsid w:val="0031044C"/>
    <w:rsid w:val="00310945"/>
    <w:rsid w:val="0031095C"/>
    <w:rsid w:val="00310C83"/>
    <w:rsid w:val="00310DFA"/>
    <w:rsid w:val="003111A9"/>
    <w:rsid w:val="00311566"/>
    <w:rsid w:val="00311A91"/>
    <w:rsid w:val="00311D38"/>
    <w:rsid w:val="003122FE"/>
    <w:rsid w:val="00312A17"/>
    <w:rsid w:val="00312A5D"/>
    <w:rsid w:val="00312DC6"/>
    <w:rsid w:val="003130EE"/>
    <w:rsid w:val="00313306"/>
    <w:rsid w:val="00313324"/>
    <w:rsid w:val="003146E2"/>
    <w:rsid w:val="00315200"/>
    <w:rsid w:val="003152E6"/>
    <w:rsid w:val="00315B25"/>
    <w:rsid w:val="003160EE"/>
    <w:rsid w:val="0031622A"/>
    <w:rsid w:val="003163E5"/>
    <w:rsid w:val="0031695E"/>
    <w:rsid w:val="003169D4"/>
    <w:rsid w:val="00316CF3"/>
    <w:rsid w:val="003170E4"/>
    <w:rsid w:val="00317387"/>
    <w:rsid w:val="0031747B"/>
    <w:rsid w:val="00317708"/>
    <w:rsid w:val="00317918"/>
    <w:rsid w:val="00317C77"/>
    <w:rsid w:val="00317EDE"/>
    <w:rsid w:val="003204FB"/>
    <w:rsid w:val="0032067A"/>
    <w:rsid w:val="00320771"/>
    <w:rsid w:val="00320919"/>
    <w:rsid w:val="00320B71"/>
    <w:rsid w:val="00321260"/>
    <w:rsid w:val="00321A64"/>
    <w:rsid w:val="00321E6A"/>
    <w:rsid w:val="00321E6E"/>
    <w:rsid w:val="0032210D"/>
    <w:rsid w:val="00322163"/>
    <w:rsid w:val="00322474"/>
    <w:rsid w:val="0032264B"/>
    <w:rsid w:val="00322B58"/>
    <w:rsid w:val="00322BF0"/>
    <w:rsid w:val="00323224"/>
    <w:rsid w:val="0032411D"/>
    <w:rsid w:val="003248EF"/>
    <w:rsid w:val="00324C0C"/>
    <w:rsid w:val="003254BC"/>
    <w:rsid w:val="003255F5"/>
    <w:rsid w:val="00325BF5"/>
    <w:rsid w:val="00325F22"/>
    <w:rsid w:val="003261A1"/>
    <w:rsid w:val="00326CDE"/>
    <w:rsid w:val="00326DF5"/>
    <w:rsid w:val="00327804"/>
    <w:rsid w:val="00327C39"/>
    <w:rsid w:val="0033015D"/>
    <w:rsid w:val="003303A6"/>
    <w:rsid w:val="003305F3"/>
    <w:rsid w:val="003307BC"/>
    <w:rsid w:val="003307C5"/>
    <w:rsid w:val="0033091A"/>
    <w:rsid w:val="00330AA1"/>
    <w:rsid w:val="00330D2D"/>
    <w:rsid w:val="00331159"/>
    <w:rsid w:val="00331D37"/>
    <w:rsid w:val="00331E8F"/>
    <w:rsid w:val="00332A96"/>
    <w:rsid w:val="00332AA3"/>
    <w:rsid w:val="00332AE1"/>
    <w:rsid w:val="00332C10"/>
    <w:rsid w:val="00332C39"/>
    <w:rsid w:val="00332F21"/>
    <w:rsid w:val="00332FD3"/>
    <w:rsid w:val="00333F06"/>
    <w:rsid w:val="003344AC"/>
    <w:rsid w:val="00334E78"/>
    <w:rsid w:val="00335128"/>
    <w:rsid w:val="00335273"/>
    <w:rsid w:val="003353D8"/>
    <w:rsid w:val="00335566"/>
    <w:rsid w:val="00335B8C"/>
    <w:rsid w:val="00335E11"/>
    <w:rsid w:val="003363CA"/>
    <w:rsid w:val="00336822"/>
    <w:rsid w:val="00336BEA"/>
    <w:rsid w:val="00336E31"/>
    <w:rsid w:val="00336FF8"/>
    <w:rsid w:val="003375B0"/>
    <w:rsid w:val="003375B9"/>
    <w:rsid w:val="003379E0"/>
    <w:rsid w:val="00337F91"/>
    <w:rsid w:val="00337FBB"/>
    <w:rsid w:val="00340045"/>
    <w:rsid w:val="00340291"/>
    <w:rsid w:val="00340B57"/>
    <w:rsid w:val="00340F94"/>
    <w:rsid w:val="003410A8"/>
    <w:rsid w:val="0034180B"/>
    <w:rsid w:val="00341E1C"/>
    <w:rsid w:val="003424E1"/>
    <w:rsid w:val="00342F25"/>
    <w:rsid w:val="00343147"/>
    <w:rsid w:val="003431EE"/>
    <w:rsid w:val="003437E5"/>
    <w:rsid w:val="003438D6"/>
    <w:rsid w:val="003445C3"/>
    <w:rsid w:val="0034489E"/>
    <w:rsid w:val="003448A0"/>
    <w:rsid w:val="0034492B"/>
    <w:rsid w:val="00344CBB"/>
    <w:rsid w:val="00344E56"/>
    <w:rsid w:val="00345676"/>
    <w:rsid w:val="00345954"/>
    <w:rsid w:val="00345C19"/>
    <w:rsid w:val="00345CAF"/>
    <w:rsid w:val="00345CB5"/>
    <w:rsid w:val="00345DD4"/>
    <w:rsid w:val="003464B5"/>
    <w:rsid w:val="003465BA"/>
    <w:rsid w:val="00346779"/>
    <w:rsid w:val="00346C2F"/>
    <w:rsid w:val="00346CD5"/>
    <w:rsid w:val="00346DB7"/>
    <w:rsid w:val="00346F79"/>
    <w:rsid w:val="00346F7D"/>
    <w:rsid w:val="00347018"/>
    <w:rsid w:val="00347DB1"/>
    <w:rsid w:val="0035035B"/>
    <w:rsid w:val="003509E5"/>
    <w:rsid w:val="003510FB"/>
    <w:rsid w:val="003516AA"/>
    <w:rsid w:val="0035187F"/>
    <w:rsid w:val="00351935"/>
    <w:rsid w:val="00351970"/>
    <w:rsid w:val="00351BD6"/>
    <w:rsid w:val="003520CA"/>
    <w:rsid w:val="0035230C"/>
    <w:rsid w:val="00352523"/>
    <w:rsid w:val="003525D9"/>
    <w:rsid w:val="00352BDA"/>
    <w:rsid w:val="003531AA"/>
    <w:rsid w:val="00353542"/>
    <w:rsid w:val="003536BB"/>
    <w:rsid w:val="003536D4"/>
    <w:rsid w:val="003537BD"/>
    <w:rsid w:val="003539C5"/>
    <w:rsid w:val="00353AC0"/>
    <w:rsid w:val="00353B5A"/>
    <w:rsid w:val="003547D3"/>
    <w:rsid w:val="00354A9E"/>
    <w:rsid w:val="00354CD5"/>
    <w:rsid w:val="003550B1"/>
    <w:rsid w:val="00355753"/>
    <w:rsid w:val="00355C45"/>
    <w:rsid w:val="00356010"/>
    <w:rsid w:val="003562A6"/>
    <w:rsid w:val="003570FA"/>
    <w:rsid w:val="003572CA"/>
    <w:rsid w:val="003574DC"/>
    <w:rsid w:val="003577E0"/>
    <w:rsid w:val="00357915"/>
    <w:rsid w:val="0036007D"/>
    <w:rsid w:val="00360422"/>
    <w:rsid w:val="00360995"/>
    <w:rsid w:val="00361345"/>
    <w:rsid w:val="00361718"/>
    <w:rsid w:val="003622F2"/>
    <w:rsid w:val="0036279F"/>
    <w:rsid w:val="003632E0"/>
    <w:rsid w:val="003639D6"/>
    <w:rsid w:val="003639F0"/>
    <w:rsid w:val="00364734"/>
    <w:rsid w:val="00364D8E"/>
    <w:rsid w:val="00364E33"/>
    <w:rsid w:val="0036518A"/>
    <w:rsid w:val="0036570B"/>
    <w:rsid w:val="00365752"/>
    <w:rsid w:val="0036583C"/>
    <w:rsid w:val="00365B2C"/>
    <w:rsid w:val="00365E32"/>
    <w:rsid w:val="00365F16"/>
    <w:rsid w:val="003664BB"/>
    <w:rsid w:val="003665CB"/>
    <w:rsid w:val="003666D3"/>
    <w:rsid w:val="00366833"/>
    <w:rsid w:val="00367006"/>
    <w:rsid w:val="0036719C"/>
    <w:rsid w:val="0036777F"/>
    <w:rsid w:val="003677DE"/>
    <w:rsid w:val="003678C1"/>
    <w:rsid w:val="0036794A"/>
    <w:rsid w:val="00367EE5"/>
    <w:rsid w:val="003702A2"/>
    <w:rsid w:val="00370C48"/>
    <w:rsid w:val="00371182"/>
    <w:rsid w:val="003716BE"/>
    <w:rsid w:val="00371E6A"/>
    <w:rsid w:val="00372217"/>
    <w:rsid w:val="00372302"/>
    <w:rsid w:val="00372886"/>
    <w:rsid w:val="00372D95"/>
    <w:rsid w:val="00372FA8"/>
    <w:rsid w:val="00372FF1"/>
    <w:rsid w:val="003735B7"/>
    <w:rsid w:val="003739DE"/>
    <w:rsid w:val="00373C86"/>
    <w:rsid w:val="00373E56"/>
    <w:rsid w:val="00374041"/>
    <w:rsid w:val="0037475F"/>
    <w:rsid w:val="00375646"/>
    <w:rsid w:val="003757EC"/>
    <w:rsid w:val="00375A4F"/>
    <w:rsid w:val="00375E3F"/>
    <w:rsid w:val="003760FF"/>
    <w:rsid w:val="00376203"/>
    <w:rsid w:val="00376255"/>
    <w:rsid w:val="00376788"/>
    <w:rsid w:val="00376A7D"/>
    <w:rsid w:val="00376C53"/>
    <w:rsid w:val="00376E50"/>
    <w:rsid w:val="00377045"/>
    <w:rsid w:val="003773F9"/>
    <w:rsid w:val="00377708"/>
    <w:rsid w:val="00377934"/>
    <w:rsid w:val="00377B17"/>
    <w:rsid w:val="00377CEE"/>
    <w:rsid w:val="00377F1B"/>
    <w:rsid w:val="003801C7"/>
    <w:rsid w:val="003803A5"/>
    <w:rsid w:val="0038053F"/>
    <w:rsid w:val="0038068E"/>
    <w:rsid w:val="0038093C"/>
    <w:rsid w:val="003814F5"/>
    <w:rsid w:val="00381719"/>
    <w:rsid w:val="00381760"/>
    <w:rsid w:val="0038176E"/>
    <w:rsid w:val="003817A7"/>
    <w:rsid w:val="00381C1A"/>
    <w:rsid w:val="00381F34"/>
    <w:rsid w:val="00382193"/>
    <w:rsid w:val="00382355"/>
    <w:rsid w:val="00382473"/>
    <w:rsid w:val="0038260D"/>
    <w:rsid w:val="003828F1"/>
    <w:rsid w:val="00382F1B"/>
    <w:rsid w:val="00383F78"/>
    <w:rsid w:val="00384060"/>
    <w:rsid w:val="003840E9"/>
    <w:rsid w:val="00384C21"/>
    <w:rsid w:val="00384DD9"/>
    <w:rsid w:val="00384FC0"/>
    <w:rsid w:val="0038502C"/>
    <w:rsid w:val="003850DC"/>
    <w:rsid w:val="00386651"/>
    <w:rsid w:val="00386E10"/>
    <w:rsid w:val="003871E2"/>
    <w:rsid w:val="00387496"/>
    <w:rsid w:val="00387E98"/>
    <w:rsid w:val="003907B0"/>
    <w:rsid w:val="00390866"/>
    <w:rsid w:val="00390E01"/>
    <w:rsid w:val="00390F42"/>
    <w:rsid w:val="00391C05"/>
    <w:rsid w:val="00391F32"/>
    <w:rsid w:val="00392367"/>
    <w:rsid w:val="00392595"/>
    <w:rsid w:val="003925E2"/>
    <w:rsid w:val="00392C3A"/>
    <w:rsid w:val="00392DAD"/>
    <w:rsid w:val="00392F37"/>
    <w:rsid w:val="00393E7C"/>
    <w:rsid w:val="00393FBA"/>
    <w:rsid w:val="00394079"/>
    <w:rsid w:val="003943C8"/>
    <w:rsid w:val="003943FD"/>
    <w:rsid w:val="00394A23"/>
    <w:rsid w:val="00394D4C"/>
    <w:rsid w:val="00394EE4"/>
    <w:rsid w:val="003954A4"/>
    <w:rsid w:val="003954FA"/>
    <w:rsid w:val="003956CC"/>
    <w:rsid w:val="00396099"/>
    <w:rsid w:val="003960EA"/>
    <w:rsid w:val="0039678E"/>
    <w:rsid w:val="0039782F"/>
    <w:rsid w:val="003A0D23"/>
    <w:rsid w:val="003A137B"/>
    <w:rsid w:val="003A14F2"/>
    <w:rsid w:val="003A179E"/>
    <w:rsid w:val="003A1DC8"/>
    <w:rsid w:val="003A23E0"/>
    <w:rsid w:val="003A24DF"/>
    <w:rsid w:val="003A298D"/>
    <w:rsid w:val="003A32C1"/>
    <w:rsid w:val="003A34BD"/>
    <w:rsid w:val="003A35D2"/>
    <w:rsid w:val="003A43B1"/>
    <w:rsid w:val="003A4588"/>
    <w:rsid w:val="003A4D48"/>
    <w:rsid w:val="003A4E1C"/>
    <w:rsid w:val="003A5261"/>
    <w:rsid w:val="003A588B"/>
    <w:rsid w:val="003A5C67"/>
    <w:rsid w:val="003A5D6A"/>
    <w:rsid w:val="003A5EC5"/>
    <w:rsid w:val="003A6656"/>
    <w:rsid w:val="003A6689"/>
    <w:rsid w:val="003A6965"/>
    <w:rsid w:val="003A6C6A"/>
    <w:rsid w:val="003A748E"/>
    <w:rsid w:val="003A7885"/>
    <w:rsid w:val="003A7B31"/>
    <w:rsid w:val="003A7CEC"/>
    <w:rsid w:val="003A7D7C"/>
    <w:rsid w:val="003B04B8"/>
    <w:rsid w:val="003B0512"/>
    <w:rsid w:val="003B06F1"/>
    <w:rsid w:val="003B0ADC"/>
    <w:rsid w:val="003B0C14"/>
    <w:rsid w:val="003B0D78"/>
    <w:rsid w:val="003B1F01"/>
    <w:rsid w:val="003B2552"/>
    <w:rsid w:val="003B2736"/>
    <w:rsid w:val="003B2E71"/>
    <w:rsid w:val="003B3335"/>
    <w:rsid w:val="003B41A5"/>
    <w:rsid w:val="003B456F"/>
    <w:rsid w:val="003B4647"/>
    <w:rsid w:val="003B570F"/>
    <w:rsid w:val="003B5713"/>
    <w:rsid w:val="003B5A2D"/>
    <w:rsid w:val="003B5CDA"/>
    <w:rsid w:val="003B5EEF"/>
    <w:rsid w:val="003B6486"/>
    <w:rsid w:val="003B64D6"/>
    <w:rsid w:val="003B65DD"/>
    <w:rsid w:val="003B6F0E"/>
    <w:rsid w:val="003B72BB"/>
    <w:rsid w:val="003B736B"/>
    <w:rsid w:val="003B7467"/>
    <w:rsid w:val="003B7625"/>
    <w:rsid w:val="003B7D7F"/>
    <w:rsid w:val="003C0742"/>
    <w:rsid w:val="003C0B1C"/>
    <w:rsid w:val="003C0F37"/>
    <w:rsid w:val="003C1551"/>
    <w:rsid w:val="003C15B9"/>
    <w:rsid w:val="003C1CE9"/>
    <w:rsid w:val="003C1F8C"/>
    <w:rsid w:val="003C278C"/>
    <w:rsid w:val="003C304F"/>
    <w:rsid w:val="003C3085"/>
    <w:rsid w:val="003C3E6A"/>
    <w:rsid w:val="003C3EAC"/>
    <w:rsid w:val="003C41D6"/>
    <w:rsid w:val="003C424F"/>
    <w:rsid w:val="003C4657"/>
    <w:rsid w:val="003C4989"/>
    <w:rsid w:val="003C4FFB"/>
    <w:rsid w:val="003C58D7"/>
    <w:rsid w:val="003C6173"/>
    <w:rsid w:val="003C6D67"/>
    <w:rsid w:val="003C6DEA"/>
    <w:rsid w:val="003C6F01"/>
    <w:rsid w:val="003C7210"/>
    <w:rsid w:val="003C759A"/>
    <w:rsid w:val="003C75BF"/>
    <w:rsid w:val="003C7887"/>
    <w:rsid w:val="003C7EE1"/>
    <w:rsid w:val="003D04F6"/>
    <w:rsid w:val="003D0830"/>
    <w:rsid w:val="003D095E"/>
    <w:rsid w:val="003D0DF2"/>
    <w:rsid w:val="003D132C"/>
    <w:rsid w:val="003D1572"/>
    <w:rsid w:val="003D16A4"/>
    <w:rsid w:val="003D1769"/>
    <w:rsid w:val="003D1DC2"/>
    <w:rsid w:val="003D21AF"/>
    <w:rsid w:val="003D235F"/>
    <w:rsid w:val="003D285E"/>
    <w:rsid w:val="003D37B0"/>
    <w:rsid w:val="003D3821"/>
    <w:rsid w:val="003D39B7"/>
    <w:rsid w:val="003D3A55"/>
    <w:rsid w:val="003D4EB0"/>
    <w:rsid w:val="003D5005"/>
    <w:rsid w:val="003D560B"/>
    <w:rsid w:val="003D5AB1"/>
    <w:rsid w:val="003D5D63"/>
    <w:rsid w:val="003D642E"/>
    <w:rsid w:val="003D644B"/>
    <w:rsid w:val="003D6732"/>
    <w:rsid w:val="003D79DC"/>
    <w:rsid w:val="003D7E43"/>
    <w:rsid w:val="003D7EA8"/>
    <w:rsid w:val="003D7F0E"/>
    <w:rsid w:val="003D7F3E"/>
    <w:rsid w:val="003D7FFA"/>
    <w:rsid w:val="003E05CB"/>
    <w:rsid w:val="003E0858"/>
    <w:rsid w:val="003E0F26"/>
    <w:rsid w:val="003E148F"/>
    <w:rsid w:val="003E1A6B"/>
    <w:rsid w:val="003E26CF"/>
    <w:rsid w:val="003E26ED"/>
    <w:rsid w:val="003E2B26"/>
    <w:rsid w:val="003E2E6B"/>
    <w:rsid w:val="003E30AD"/>
    <w:rsid w:val="003E3617"/>
    <w:rsid w:val="003E37B2"/>
    <w:rsid w:val="003E3841"/>
    <w:rsid w:val="003E39DE"/>
    <w:rsid w:val="003E3C5C"/>
    <w:rsid w:val="003E3FEF"/>
    <w:rsid w:val="003E41A4"/>
    <w:rsid w:val="003E439A"/>
    <w:rsid w:val="003E47D2"/>
    <w:rsid w:val="003E4860"/>
    <w:rsid w:val="003E4933"/>
    <w:rsid w:val="003E4A7C"/>
    <w:rsid w:val="003E4D08"/>
    <w:rsid w:val="003E4D57"/>
    <w:rsid w:val="003E568A"/>
    <w:rsid w:val="003E60BC"/>
    <w:rsid w:val="003E6298"/>
    <w:rsid w:val="003E6906"/>
    <w:rsid w:val="003E6D82"/>
    <w:rsid w:val="003F0811"/>
    <w:rsid w:val="003F08D3"/>
    <w:rsid w:val="003F08E8"/>
    <w:rsid w:val="003F09F3"/>
    <w:rsid w:val="003F0AF7"/>
    <w:rsid w:val="003F0C90"/>
    <w:rsid w:val="003F129D"/>
    <w:rsid w:val="003F1B69"/>
    <w:rsid w:val="003F20FA"/>
    <w:rsid w:val="003F22D7"/>
    <w:rsid w:val="003F2725"/>
    <w:rsid w:val="003F2937"/>
    <w:rsid w:val="003F2D13"/>
    <w:rsid w:val="003F359B"/>
    <w:rsid w:val="003F4319"/>
    <w:rsid w:val="003F45F2"/>
    <w:rsid w:val="003F4664"/>
    <w:rsid w:val="003F4AD0"/>
    <w:rsid w:val="003F5035"/>
    <w:rsid w:val="003F5673"/>
    <w:rsid w:val="003F5B6F"/>
    <w:rsid w:val="003F6658"/>
    <w:rsid w:val="003F6B1B"/>
    <w:rsid w:val="003F6DDB"/>
    <w:rsid w:val="003F6F54"/>
    <w:rsid w:val="003F78C3"/>
    <w:rsid w:val="003F7B37"/>
    <w:rsid w:val="003F7CFC"/>
    <w:rsid w:val="004002B1"/>
    <w:rsid w:val="00400731"/>
    <w:rsid w:val="00400799"/>
    <w:rsid w:val="00401614"/>
    <w:rsid w:val="004016BE"/>
    <w:rsid w:val="00401BE3"/>
    <w:rsid w:val="00401C3D"/>
    <w:rsid w:val="00401CD8"/>
    <w:rsid w:val="00401D29"/>
    <w:rsid w:val="00401D56"/>
    <w:rsid w:val="00401E3B"/>
    <w:rsid w:val="00401EEE"/>
    <w:rsid w:val="00401FAB"/>
    <w:rsid w:val="004029C5"/>
    <w:rsid w:val="00402BBF"/>
    <w:rsid w:val="0040320E"/>
    <w:rsid w:val="004035AE"/>
    <w:rsid w:val="00403B9A"/>
    <w:rsid w:val="00403C33"/>
    <w:rsid w:val="00403DE1"/>
    <w:rsid w:val="004048A7"/>
    <w:rsid w:val="00404927"/>
    <w:rsid w:val="00404AB9"/>
    <w:rsid w:val="0040525C"/>
    <w:rsid w:val="00405270"/>
    <w:rsid w:val="0040576B"/>
    <w:rsid w:val="00405C0A"/>
    <w:rsid w:val="00405E64"/>
    <w:rsid w:val="004061F9"/>
    <w:rsid w:val="004066FC"/>
    <w:rsid w:val="0040679D"/>
    <w:rsid w:val="00406B79"/>
    <w:rsid w:val="00407079"/>
    <w:rsid w:val="004071D7"/>
    <w:rsid w:val="00407204"/>
    <w:rsid w:val="0040721C"/>
    <w:rsid w:val="004072E4"/>
    <w:rsid w:val="00407551"/>
    <w:rsid w:val="0040768B"/>
    <w:rsid w:val="004079C3"/>
    <w:rsid w:val="00407B0F"/>
    <w:rsid w:val="00407B52"/>
    <w:rsid w:val="00407BDF"/>
    <w:rsid w:val="0041028C"/>
    <w:rsid w:val="00410307"/>
    <w:rsid w:val="0041163C"/>
    <w:rsid w:val="004117C3"/>
    <w:rsid w:val="004119B4"/>
    <w:rsid w:val="00411F1B"/>
    <w:rsid w:val="00412110"/>
    <w:rsid w:val="004123DC"/>
    <w:rsid w:val="00412AF0"/>
    <w:rsid w:val="0041325F"/>
    <w:rsid w:val="00413495"/>
    <w:rsid w:val="00413B28"/>
    <w:rsid w:val="00413BE0"/>
    <w:rsid w:val="0041417B"/>
    <w:rsid w:val="00414645"/>
    <w:rsid w:val="004149E7"/>
    <w:rsid w:val="00414C67"/>
    <w:rsid w:val="00414E7A"/>
    <w:rsid w:val="00415174"/>
    <w:rsid w:val="00415182"/>
    <w:rsid w:val="004153FD"/>
    <w:rsid w:val="00415458"/>
    <w:rsid w:val="0041570D"/>
    <w:rsid w:val="00415889"/>
    <w:rsid w:val="00415A1C"/>
    <w:rsid w:val="00415C38"/>
    <w:rsid w:val="004164DD"/>
    <w:rsid w:val="0041657F"/>
    <w:rsid w:val="0041662F"/>
    <w:rsid w:val="00416AE8"/>
    <w:rsid w:val="00417245"/>
    <w:rsid w:val="00417A9B"/>
    <w:rsid w:val="00420465"/>
    <w:rsid w:val="004204D7"/>
    <w:rsid w:val="00420754"/>
    <w:rsid w:val="004208A3"/>
    <w:rsid w:val="00420946"/>
    <w:rsid w:val="00420AA6"/>
    <w:rsid w:val="00420F18"/>
    <w:rsid w:val="0042140A"/>
    <w:rsid w:val="004215E6"/>
    <w:rsid w:val="00421716"/>
    <w:rsid w:val="0042190E"/>
    <w:rsid w:val="00421A9F"/>
    <w:rsid w:val="00421C36"/>
    <w:rsid w:val="00421D36"/>
    <w:rsid w:val="00421ED6"/>
    <w:rsid w:val="00421FDF"/>
    <w:rsid w:val="00422269"/>
    <w:rsid w:val="004229D5"/>
    <w:rsid w:val="00422A38"/>
    <w:rsid w:val="00422B92"/>
    <w:rsid w:val="00422CE2"/>
    <w:rsid w:val="00423669"/>
    <w:rsid w:val="00423701"/>
    <w:rsid w:val="0042371C"/>
    <w:rsid w:val="0042374E"/>
    <w:rsid w:val="00423B1E"/>
    <w:rsid w:val="0042420D"/>
    <w:rsid w:val="004244FF"/>
    <w:rsid w:val="004247D7"/>
    <w:rsid w:val="00424FC2"/>
    <w:rsid w:val="00425705"/>
    <w:rsid w:val="004257B4"/>
    <w:rsid w:val="00426054"/>
    <w:rsid w:val="00426693"/>
    <w:rsid w:val="004271AE"/>
    <w:rsid w:val="00427370"/>
    <w:rsid w:val="00427799"/>
    <w:rsid w:val="00427A74"/>
    <w:rsid w:val="00427EF3"/>
    <w:rsid w:val="00427F95"/>
    <w:rsid w:val="00430224"/>
    <w:rsid w:val="004302BC"/>
    <w:rsid w:val="0043060F"/>
    <w:rsid w:val="00430AB7"/>
    <w:rsid w:val="004310C2"/>
    <w:rsid w:val="00431136"/>
    <w:rsid w:val="00432463"/>
    <w:rsid w:val="00432A3A"/>
    <w:rsid w:val="00432AFC"/>
    <w:rsid w:val="00432B79"/>
    <w:rsid w:val="004335BA"/>
    <w:rsid w:val="00435274"/>
    <w:rsid w:val="00435570"/>
    <w:rsid w:val="004359B3"/>
    <w:rsid w:val="00435D19"/>
    <w:rsid w:val="00435EB5"/>
    <w:rsid w:val="00435F18"/>
    <w:rsid w:val="004361C7"/>
    <w:rsid w:val="0043628C"/>
    <w:rsid w:val="00436BB2"/>
    <w:rsid w:val="00436D37"/>
    <w:rsid w:val="00436EB4"/>
    <w:rsid w:val="00437070"/>
    <w:rsid w:val="0043744F"/>
    <w:rsid w:val="004374E8"/>
    <w:rsid w:val="0043753C"/>
    <w:rsid w:val="00437A6E"/>
    <w:rsid w:val="00437C7D"/>
    <w:rsid w:val="00437CE5"/>
    <w:rsid w:val="00437EED"/>
    <w:rsid w:val="0044060E"/>
    <w:rsid w:val="00440A54"/>
    <w:rsid w:val="00440B16"/>
    <w:rsid w:val="00440EA5"/>
    <w:rsid w:val="0044113D"/>
    <w:rsid w:val="00441535"/>
    <w:rsid w:val="00441B42"/>
    <w:rsid w:val="00441E17"/>
    <w:rsid w:val="00442129"/>
    <w:rsid w:val="00442956"/>
    <w:rsid w:val="00442D67"/>
    <w:rsid w:val="00442ED1"/>
    <w:rsid w:val="00442EDC"/>
    <w:rsid w:val="00442F0E"/>
    <w:rsid w:val="004430B4"/>
    <w:rsid w:val="00443A2D"/>
    <w:rsid w:val="00443D9D"/>
    <w:rsid w:val="00443F45"/>
    <w:rsid w:val="0044410A"/>
    <w:rsid w:val="004441D9"/>
    <w:rsid w:val="00444919"/>
    <w:rsid w:val="00444ADE"/>
    <w:rsid w:val="00444C30"/>
    <w:rsid w:val="00444EF4"/>
    <w:rsid w:val="0044545A"/>
    <w:rsid w:val="00445793"/>
    <w:rsid w:val="00445875"/>
    <w:rsid w:val="00446BC6"/>
    <w:rsid w:val="00446CB8"/>
    <w:rsid w:val="004474B4"/>
    <w:rsid w:val="004504A1"/>
    <w:rsid w:val="00450624"/>
    <w:rsid w:val="004506E7"/>
    <w:rsid w:val="004509F0"/>
    <w:rsid w:val="004509FF"/>
    <w:rsid w:val="00450BDF"/>
    <w:rsid w:val="00450C97"/>
    <w:rsid w:val="0045126A"/>
    <w:rsid w:val="00451994"/>
    <w:rsid w:val="00451BDE"/>
    <w:rsid w:val="00451C40"/>
    <w:rsid w:val="00451C5A"/>
    <w:rsid w:val="0045216E"/>
    <w:rsid w:val="0045217B"/>
    <w:rsid w:val="004521D1"/>
    <w:rsid w:val="004530A8"/>
    <w:rsid w:val="00453172"/>
    <w:rsid w:val="004533CA"/>
    <w:rsid w:val="00453AB5"/>
    <w:rsid w:val="00453F2E"/>
    <w:rsid w:val="00454158"/>
    <w:rsid w:val="00454FEB"/>
    <w:rsid w:val="004554DD"/>
    <w:rsid w:val="00455ACD"/>
    <w:rsid w:val="00455C11"/>
    <w:rsid w:val="00455F1A"/>
    <w:rsid w:val="004565CF"/>
    <w:rsid w:val="004567F1"/>
    <w:rsid w:val="0045691F"/>
    <w:rsid w:val="00456A0C"/>
    <w:rsid w:val="00456E39"/>
    <w:rsid w:val="004576DA"/>
    <w:rsid w:val="004576F5"/>
    <w:rsid w:val="00457EA9"/>
    <w:rsid w:val="00457FC2"/>
    <w:rsid w:val="00460AE5"/>
    <w:rsid w:val="004617ED"/>
    <w:rsid w:val="00461A73"/>
    <w:rsid w:val="00461AEC"/>
    <w:rsid w:val="00461BB5"/>
    <w:rsid w:val="0046215A"/>
    <w:rsid w:val="0046218A"/>
    <w:rsid w:val="0046251F"/>
    <w:rsid w:val="00462793"/>
    <w:rsid w:val="004629C2"/>
    <w:rsid w:val="004629FB"/>
    <w:rsid w:val="00462CCF"/>
    <w:rsid w:val="00462D69"/>
    <w:rsid w:val="00462F04"/>
    <w:rsid w:val="004634EA"/>
    <w:rsid w:val="0046357C"/>
    <w:rsid w:val="00463B6E"/>
    <w:rsid w:val="00463E25"/>
    <w:rsid w:val="0046477E"/>
    <w:rsid w:val="00464AC3"/>
    <w:rsid w:val="00464FD5"/>
    <w:rsid w:val="00465174"/>
    <w:rsid w:val="0046573D"/>
    <w:rsid w:val="00465E70"/>
    <w:rsid w:val="00465E88"/>
    <w:rsid w:val="00466129"/>
    <w:rsid w:val="00466B4B"/>
    <w:rsid w:val="00466E20"/>
    <w:rsid w:val="00466F1B"/>
    <w:rsid w:val="00467059"/>
    <w:rsid w:val="0046712E"/>
    <w:rsid w:val="00467201"/>
    <w:rsid w:val="0046726B"/>
    <w:rsid w:val="00467621"/>
    <w:rsid w:val="00467AE8"/>
    <w:rsid w:val="00467C4F"/>
    <w:rsid w:val="00467E08"/>
    <w:rsid w:val="00467F21"/>
    <w:rsid w:val="00470066"/>
    <w:rsid w:val="0047012C"/>
    <w:rsid w:val="0047012D"/>
    <w:rsid w:val="0047032F"/>
    <w:rsid w:val="004708C3"/>
    <w:rsid w:val="00471146"/>
    <w:rsid w:val="0047127B"/>
    <w:rsid w:val="004715F6"/>
    <w:rsid w:val="00471603"/>
    <w:rsid w:val="004718E8"/>
    <w:rsid w:val="0047191C"/>
    <w:rsid w:val="00471CAC"/>
    <w:rsid w:val="00471F27"/>
    <w:rsid w:val="00472543"/>
    <w:rsid w:val="00472783"/>
    <w:rsid w:val="00472924"/>
    <w:rsid w:val="00472BA8"/>
    <w:rsid w:val="00473B7E"/>
    <w:rsid w:val="00473E1F"/>
    <w:rsid w:val="004741A0"/>
    <w:rsid w:val="00474B48"/>
    <w:rsid w:val="004752D0"/>
    <w:rsid w:val="004754EE"/>
    <w:rsid w:val="0047568E"/>
    <w:rsid w:val="00475E3C"/>
    <w:rsid w:val="004763E6"/>
    <w:rsid w:val="00476680"/>
    <w:rsid w:val="00476AA4"/>
    <w:rsid w:val="00476AC0"/>
    <w:rsid w:val="00476D0D"/>
    <w:rsid w:val="0047756B"/>
    <w:rsid w:val="0047785F"/>
    <w:rsid w:val="00477894"/>
    <w:rsid w:val="004779B2"/>
    <w:rsid w:val="00477A93"/>
    <w:rsid w:val="00477C36"/>
    <w:rsid w:val="00477C5D"/>
    <w:rsid w:val="00477CCF"/>
    <w:rsid w:val="00477D6E"/>
    <w:rsid w:val="00477DC9"/>
    <w:rsid w:val="00480359"/>
    <w:rsid w:val="0048052F"/>
    <w:rsid w:val="00480BFA"/>
    <w:rsid w:val="00480EE4"/>
    <w:rsid w:val="00480FA8"/>
    <w:rsid w:val="004810CD"/>
    <w:rsid w:val="00481BBF"/>
    <w:rsid w:val="00481E51"/>
    <w:rsid w:val="00482382"/>
    <w:rsid w:val="004824BB"/>
    <w:rsid w:val="00482539"/>
    <w:rsid w:val="00482E98"/>
    <w:rsid w:val="00483958"/>
    <w:rsid w:val="0048414D"/>
    <w:rsid w:val="004841D4"/>
    <w:rsid w:val="00484232"/>
    <w:rsid w:val="004842DA"/>
    <w:rsid w:val="0048447B"/>
    <w:rsid w:val="004846B3"/>
    <w:rsid w:val="00484EB7"/>
    <w:rsid w:val="00485477"/>
    <w:rsid w:val="004855DE"/>
    <w:rsid w:val="00485BA6"/>
    <w:rsid w:val="00485BF4"/>
    <w:rsid w:val="00485C87"/>
    <w:rsid w:val="00485D0B"/>
    <w:rsid w:val="00485EE2"/>
    <w:rsid w:val="00486384"/>
    <w:rsid w:val="00486553"/>
    <w:rsid w:val="00486D58"/>
    <w:rsid w:val="00486E06"/>
    <w:rsid w:val="00487150"/>
    <w:rsid w:val="004874A3"/>
    <w:rsid w:val="004874D8"/>
    <w:rsid w:val="00487A65"/>
    <w:rsid w:val="00487D43"/>
    <w:rsid w:val="00490349"/>
    <w:rsid w:val="00490421"/>
    <w:rsid w:val="0049057B"/>
    <w:rsid w:val="00490A55"/>
    <w:rsid w:val="00490D00"/>
    <w:rsid w:val="00490D5F"/>
    <w:rsid w:val="00490D64"/>
    <w:rsid w:val="00490F9A"/>
    <w:rsid w:val="0049118E"/>
    <w:rsid w:val="004913BE"/>
    <w:rsid w:val="004916C9"/>
    <w:rsid w:val="00491924"/>
    <w:rsid w:val="00491EEB"/>
    <w:rsid w:val="00491F89"/>
    <w:rsid w:val="004920CC"/>
    <w:rsid w:val="004923F7"/>
    <w:rsid w:val="004924BD"/>
    <w:rsid w:val="0049363D"/>
    <w:rsid w:val="004938BA"/>
    <w:rsid w:val="00493C9E"/>
    <w:rsid w:val="00493F3B"/>
    <w:rsid w:val="0049482E"/>
    <w:rsid w:val="004948B3"/>
    <w:rsid w:val="00494A20"/>
    <w:rsid w:val="0049531E"/>
    <w:rsid w:val="00495418"/>
    <w:rsid w:val="00495FD9"/>
    <w:rsid w:val="004965B3"/>
    <w:rsid w:val="004966C1"/>
    <w:rsid w:val="00496DB7"/>
    <w:rsid w:val="00497669"/>
    <w:rsid w:val="004978EE"/>
    <w:rsid w:val="00497920"/>
    <w:rsid w:val="004A018C"/>
    <w:rsid w:val="004A04DB"/>
    <w:rsid w:val="004A07AC"/>
    <w:rsid w:val="004A0E96"/>
    <w:rsid w:val="004A12D4"/>
    <w:rsid w:val="004A1D3F"/>
    <w:rsid w:val="004A22F4"/>
    <w:rsid w:val="004A273E"/>
    <w:rsid w:val="004A2E68"/>
    <w:rsid w:val="004A2E69"/>
    <w:rsid w:val="004A30A1"/>
    <w:rsid w:val="004A33AC"/>
    <w:rsid w:val="004A3615"/>
    <w:rsid w:val="004A3689"/>
    <w:rsid w:val="004A49D1"/>
    <w:rsid w:val="004A5017"/>
    <w:rsid w:val="004A5124"/>
    <w:rsid w:val="004A515B"/>
    <w:rsid w:val="004A517F"/>
    <w:rsid w:val="004A5482"/>
    <w:rsid w:val="004A574C"/>
    <w:rsid w:val="004A5E10"/>
    <w:rsid w:val="004A5EE7"/>
    <w:rsid w:val="004A5EE8"/>
    <w:rsid w:val="004A6706"/>
    <w:rsid w:val="004A6A71"/>
    <w:rsid w:val="004A6B29"/>
    <w:rsid w:val="004A6DD9"/>
    <w:rsid w:val="004A6E1D"/>
    <w:rsid w:val="004A7148"/>
    <w:rsid w:val="004A75E4"/>
    <w:rsid w:val="004B0132"/>
    <w:rsid w:val="004B027E"/>
    <w:rsid w:val="004B0611"/>
    <w:rsid w:val="004B07DC"/>
    <w:rsid w:val="004B0950"/>
    <w:rsid w:val="004B0B09"/>
    <w:rsid w:val="004B0B20"/>
    <w:rsid w:val="004B0C6D"/>
    <w:rsid w:val="004B0DCF"/>
    <w:rsid w:val="004B0FDA"/>
    <w:rsid w:val="004B12F0"/>
    <w:rsid w:val="004B1697"/>
    <w:rsid w:val="004B16E3"/>
    <w:rsid w:val="004B173A"/>
    <w:rsid w:val="004B1D16"/>
    <w:rsid w:val="004B2265"/>
    <w:rsid w:val="004B22DD"/>
    <w:rsid w:val="004B287F"/>
    <w:rsid w:val="004B31FF"/>
    <w:rsid w:val="004B32F1"/>
    <w:rsid w:val="004B344B"/>
    <w:rsid w:val="004B3618"/>
    <w:rsid w:val="004B36D9"/>
    <w:rsid w:val="004B376D"/>
    <w:rsid w:val="004B3D63"/>
    <w:rsid w:val="004B3EA9"/>
    <w:rsid w:val="004B3EE6"/>
    <w:rsid w:val="004B463A"/>
    <w:rsid w:val="004B52E1"/>
    <w:rsid w:val="004B5F8E"/>
    <w:rsid w:val="004B5FEE"/>
    <w:rsid w:val="004B6299"/>
    <w:rsid w:val="004B6415"/>
    <w:rsid w:val="004B6A42"/>
    <w:rsid w:val="004B6AB7"/>
    <w:rsid w:val="004B6C74"/>
    <w:rsid w:val="004B75DC"/>
    <w:rsid w:val="004B7717"/>
    <w:rsid w:val="004B77ED"/>
    <w:rsid w:val="004B7872"/>
    <w:rsid w:val="004B7CE8"/>
    <w:rsid w:val="004C0A97"/>
    <w:rsid w:val="004C0CC8"/>
    <w:rsid w:val="004C1194"/>
    <w:rsid w:val="004C1438"/>
    <w:rsid w:val="004C155C"/>
    <w:rsid w:val="004C17A6"/>
    <w:rsid w:val="004C1C35"/>
    <w:rsid w:val="004C27BD"/>
    <w:rsid w:val="004C2A24"/>
    <w:rsid w:val="004C2DD2"/>
    <w:rsid w:val="004C317C"/>
    <w:rsid w:val="004C349F"/>
    <w:rsid w:val="004C36D6"/>
    <w:rsid w:val="004C3893"/>
    <w:rsid w:val="004C3EC9"/>
    <w:rsid w:val="004C4075"/>
    <w:rsid w:val="004C4415"/>
    <w:rsid w:val="004C44C6"/>
    <w:rsid w:val="004C4609"/>
    <w:rsid w:val="004C4742"/>
    <w:rsid w:val="004C4933"/>
    <w:rsid w:val="004C52FE"/>
    <w:rsid w:val="004C5B2B"/>
    <w:rsid w:val="004C5BEA"/>
    <w:rsid w:val="004C60BD"/>
    <w:rsid w:val="004C6197"/>
    <w:rsid w:val="004C6280"/>
    <w:rsid w:val="004C705A"/>
    <w:rsid w:val="004C7229"/>
    <w:rsid w:val="004C74A4"/>
    <w:rsid w:val="004C7820"/>
    <w:rsid w:val="004C7CE2"/>
    <w:rsid w:val="004D003D"/>
    <w:rsid w:val="004D0044"/>
    <w:rsid w:val="004D01A5"/>
    <w:rsid w:val="004D01EC"/>
    <w:rsid w:val="004D0363"/>
    <w:rsid w:val="004D08F4"/>
    <w:rsid w:val="004D0AA7"/>
    <w:rsid w:val="004D0F20"/>
    <w:rsid w:val="004D13B5"/>
    <w:rsid w:val="004D13E7"/>
    <w:rsid w:val="004D1733"/>
    <w:rsid w:val="004D1BE9"/>
    <w:rsid w:val="004D20BA"/>
    <w:rsid w:val="004D215C"/>
    <w:rsid w:val="004D242A"/>
    <w:rsid w:val="004D27EA"/>
    <w:rsid w:val="004D3559"/>
    <w:rsid w:val="004D38A3"/>
    <w:rsid w:val="004D39CE"/>
    <w:rsid w:val="004D3F8B"/>
    <w:rsid w:val="004D4A74"/>
    <w:rsid w:val="004D4AD8"/>
    <w:rsid w:val="004D4ADD"/>
    <w:rsid w:val="004D4E0A"/>
    <w:rsid w:val="004D4F17"/>
    <w:rsid w:val="004D59CE"/>
    <w:rsid w:val="004D5A88"/>
    <w:rsid w:val="004D5CF0"/>
    <w:rsid w:val="004D607D"/>
    <w:rsid w:val="004D62F2"/>
    <w:rsid w:val="004D686A"/>
    <w:rsid w:val="004D7565"/>
    <w:rsid w:val="004D7805"/>
    <w:rsid w:val="004E06A0"/>
    <w:rsid w:val="004E0A90"/>
    <w:rsid w:val="004E11F4"/>
    <w:rsid w:val="004E1464"/>
    <w:rsid w:val="004E1B62"/>
    <w:rsid w:val="004E205D"/>
    <w:rsid w:val="004E20B2"/>
    <w:rsid w:val="004E2E1C"/>
    <w:rsid w:val="004E30C2"/>
    <w:rsid w:val="004E30E4"/>
    <w:rsid w:val="004E3575"/>
    <w:rsid w:val="004E4167"/>
    <w:rsid w:val="004E42CA"/>
    <w:rsid w:val="004E4586"/>
    <w:rsid w:val="004E4590"/>
    <w:rsid w:val="004E4ECE"/>
    <w:rsid w:val="004E525D"/>
    <w:rsid w:val="004E53F7"/>
    <w:rsid w:val="004E58F2"/>
    <w:rsid w:val="004E59EE"/>
    <w:rsid w:val="004E5EAE"/>
    <w:rsid w:val="004E601F"/>
    <w:rsid w:val="004E6B08"/>
    <w:rsid w:val="004E6CFA"/>
    <w:rsid w:val="004E6E8A"/>
    <w:rsid w:val="004E7075"/>
    <w:rsid w:val="004E70D8"/>
    <w:rsid w:val="004E72C2"/>
    <w:rsid w:val="004E7337"/>
    <w:rsid w:val="004E7768"/>
    <w:rsid w:val="004E7793"/>
    <w:rsid w:val="004E77CE"/>
    <w:rsid w:val="004E7F5A"/>
    <w:rsid w:val="004F00F9"/>
    <w:rsid w:val="004F01BF"/>
    <w:rsid w:val="004F03E8"/>
    <w:rsid w:val="004F099A"/>
    <w:rsid w:val="004F09B3"/>
    <w:rsid w:val="004F0AA0"/>
    <w:rsid w:val="004F103F"/>
    <w:rsid w:val="004F1059"/>
    <w:rsid w:val="004F1839"/>
    <w:rsid w:val="004F19D2"/>
    <w:rsid w:val="004F1A97"/>
    <w:rsid w:val="004F1D61"/>
    <w:rsid w:val="004F1E21"/>
    <w:rsid w:val="004F1ED6"/>
    <w:rsid w:val="004F1F7B"/>
    <w:rsid w:val="004F228A"/>
    <w:rsid w:val="004F22E9"/>
    <w:rsid w:val="004F24B0"/>
    <w:rsid w:val="004F2739"/>
    <w:rsid w:val="004F28E7"/>
    <w:rsid w:val="004F2DCA"/>
    <w:rsid w:val="004F32A6"/>
    <w:rsid w:val="004F3476"/>
    <w:rsid w:val="004F3D20"/>
    <w:rsid w:val="004F4325"/>
    <w:rsid w:val="004F4426"/>
    <w:rsid w:val="004F4461"/>
    <w:rsid w:val="004F460E"/>
    <w:rsid w:val="004F4692"/>
    <w:rsid w:val="004F4BB9"/>
    <w:rsid w:val="004F4BCA"/>
    <w:rsid w:val="004F5601"/>
    <w:rsid w:val="004F5D22"/>
    <w:rsid w:val="004F63B9"/>
    <w:rsid w:val="004F6F2C"/>
    <w:rsid w:val="004F7506"/>
    <w:rsid w:val="004F762E"/>
    <w:rsid w:val="004F7785"/>
    <w:rsid w:val="004F79C5"/>
    <w:rsid w:val="004F7E8C"/>
    <w:rsid w:val="00500015"/>
    <w:rsid w:val="00500371"/>
    <w:rsid w:val="005004BC"/>
    <w:rsid w:val="00500731"/>
    <w:rsid w:val="00500AA8"/>
    <w:rsid w:val="0050100A"/>
    <w:rsid w:val="0050111B"/>
    <w:rsid w:val="0050147E"/>
    <w:rsid w:val="005020CB"/>
    <w:rsid w:val="00502A55"/>
    <w:rsid w:val="00502CFF"/>
    <w:rsid w:val="00503717"/>
    <w:rsid w:val="005038DB"/>
    <w:rsid w:val="00503BD4"/>
    <w:rsid w:val="00504431"/>
    <w:rsid w:val="00505034"/>
    <w:rsid w:val="00505676"/>
    <w:rsid w:val="005056EA"/>
    <w:rsid w:val="0050574E"/>
    <w:rsid w:val="00506D26"/>
    <w:rsid w:val="00507656"/>
    <w:rsid w:val="00507B19"/>
    <w:rsid w:val="00507C25"/>
    <w:rsid w:val="00507CD6"/>
    <w:rsid w:val="00507FA9"/>
    <w:rsid w:val="00510126"/>
    <w:rsid w:val="00510345"/>
    <w:rsid w:val="0051060F"/>
    <w:rsid w:val="0051064D"/>
    <w:rsid w:val="0051093E"/>
    <w:rsid w:val="00510ABD"/>
    <w:rsid w:val="00510D12"/>
    <w:rsid w:val="00511253"/>
    <w:rsid w:val="005113D0"/>
    <w:rsid w:val="00511A39"/>
    <w:rsid w:val="00511BAD"/>
    <w:rsid w:val="00511D9E"/>
    <w:rsid w:val="00512862"/>
    <w:rsid w:val="00512BF0"/>
    <w:rsid w:val="00512F23"/>
    <w:rsid w:val="00512FEA"/>
    <w:rsid w:val="005132E4"/>
    <w:rsid w:val="005140E8"/>
    <w:rsid w:val="005142CF"/>
    <w:rsid w:val="005145A9"/>
    <w:rsid w:val="005147A0"/>
    <w:rsid w:val="0051543B"/>
    <w:rsid w:val="0051676F"/>
    <w:rsid w:val="00516E41"/>
    <w:rsid w:val="00517090"/>
    <w:rsid w:val="00517A78"/>
    <w:rsid w:val="005201F1"/>
    <w:rsid w:val="0052035E"/>
    <w:rsid w:val="00522480"/>
    <w:rsid w:val="005228AC"/>
    <w:rsid w:val="00522A41"/>
    <w:rsid w:val="00522EA4"/>
    <w:rsid w:val="00523C2E"/>
    <w:rsid w:val="00523F9C"/>
    <w:rsid w:val="005244D9"/>
    <w:rsid w:val="005245DF"/>
    <w:rsid w:val="005255F3"/>
    <w:rsid w:val="0052562F"/>
    <w:rsid w:val="005256BD"/>
    <w:rsid w:val="00525B67"/>
    <w:rsid w:val="00526292"/>
    <w:rsid w:val="005263DF"/>
    <w:rsid w:val="005264A7"/>
    <w:rsid w:val="00527249"/>
    <w:rsid w:val="00527B73"/>
    <w:rsid w:val="00527CA8"/>
    <w:rsid w:val="00530E0B"/>
    <w:rsid w:val="005312F9"/>
    <w:rsid w:val="0053135F"/>
    <w:rsid w:val="005315F9"/>
    <w:rsid w:val="00531E7A"/>
    <w:rsid w:val="00532729"/>
    <w:rsid w:val="00532936"/>
    <w:rsid w:val="00532B5C"/>
    <w:rsid w:val="00532D7A"/>
    <w:rsid w:val="00532FB1"/>
    <w:rsid w:val="00533922"/>
    <w:rsid w:val="005341EE"/>
    <w:rsid w:val="005342FB"/>
    <w:rsid w:val="005343DB"/>
    <w:rsid w:val="005346A4"/>
    <w:rsid w:val="00534893"/>
    <w:rsid w:val="00534A26"/>
    <w:rsid w:val="00534D4F"/>
    <w:rsid w:val="00534E59"/>
    <w:rsid w:val="00535362"/>
    <w:rsid w:val="00536382"/>
    <w:rsid w:val="00536CE9"/>
    <w:rsid w:val="00536E44"/>
    <w:rsid w:val="00536E81"/>
    <w:rsid w:val="00536EAF"/>
    <w:rsid w:val="00540129"/>
    <w:rsid w:val="00540515"/>
    <w:rsid w:val="00540522"/>
    <w:rsid w:val="0054080A"/>
    <w:rsid w:val="00540987"/>
    <w:rsid w:val="00540A1F"/>
    <w:rsid w:val="00541199"/>
    <w:rsid w:val="005411E7"/>
    <w:rsid w:val="0054145F"/>
    <w:rsid w:val="00541913"/>
    <w:rsid w:val="00541A01"/>
    <w:rsid w:val="00541C7E"/>
    <w:rsid w:val="005423E8"/>
    <w:rsid w:val="00542A98"/>
    <w:rsid w:val="00543323"/>
    <w:rsid w:val="00543473"/>
    <w:rsid w:val="00543ACD"/>
    <w:rsid w:val="00543CFA"/>
    <w:rsid w:val="00543FB9"/>
    <w:rsid w:val="0054418D"/>
    <w:rsid w:val="005447EB"/>
    <w:rsid w:val="00544A05"/>
    <w:rsid w:val="00544A19"/>
    <w:rsid w:val="00544CB7"/>
    <w:rsid w:val="0054503F"/>
    <w:rsid w:val="0054509B"/>
    <w:rsid w:val="0054517F"/>
    <w:rsid w:val="00545581"/>
    <w:rsid w:val="00545CC4"/>
    <w:rsid w:val="00545D72"/>
    <w:rsid w:val="00545E4C"/>
    <w:rsid w:val="0054624C"/>
    <w:rsid w:val="005466D7"/>
    <w:rsid w:val="0054671A"/>
    <w:rsid w:val="00546856"/>
    <w:rsid w:val="00546A62"/>
    <w:rsid w:val="00546BAE"/>
    <w:rsid w:val="00546D54"/>
    <w:rsid w:val="0054731D"/>
    <w:rsid w:val="005474B5"/>
    <w:rsid w:val="00547899"/>
    <w:rsid w:val="00547A1F"/>
    <w:rsid w:val="00547C86"/>
    <w:rsid w:val="00547DF8"/>
    <w:rsid w:val="00550163"/>
    <w:rsid w:val="005505B9"/>
    <w:rsid w:val="005508C6"/>
    <w:rsid w:val="00550CA7"/>
    <w:rsid w:val="00550FCE"/>
    <w:rsid w:val="005516C9"/>
    <w:rsid w:val="00551952"/>
    <w:rsid w:val="00551A04"/>
    <w:rsid w:val="00551FE5"/>
    <w:rsid w:val="00552387"/>
    <w:rsid w:val="00552487"/>
    <w:rsid w:val="00552592"/>
    <w:rsid w:val="00552A43"/>
    <w:rsid w:val="00552EEB"/>
    <w:rsid w:val="00553810"/>
    <w:rsid w:val="00553829"/>
    <w:rsid w:val="005538FA"/>
    <w:rsid w:val="00553A7E"/>
    <w:rsid w:val="005542D5"/>
    <w:rsid w:val="005545A3"/>
    <w:rsid w:val="00554B2F"/>
    <w:rsid w:val="00555203"/>
    <w:rsid w:val="0055537E"/>
    <w:rsid w:val="0055548D"/>
    <w:rsid w:val="00555542"/>
    <w:rsid w:val="00555C48"/>
    <w:rsid w:val="00555D2A"/>
    <w:rsid w:val="00555D6D"/>
    <w:rsid w:val="005561BD"/>
    <w:rsid w:val="005563A5"/>
    <w:rsid w:val="005568D0"/>
    <w:rsid w:val="00556E1F"/>
    <w:rsid w:val="005571ED"/>
    <w:rsid w:val="0055730A"/>
    <w:rsid w:val="005573CA"/>
    <w:rsid w:val="00557B0E"/>
    <w:rsid w:val="005604A6"/>
    <w:rsid w:val="005604B8"/>
    <w:rsid w:val="005604E8"/>
    <w:rsid w:val="00560CC1"/>
    <w:rsid w:val="0056112F"/>
    <w:rsid w:val="0056126C"/>
    <w:rsid w:val="0056127A"/>
    <w:rsid w:val="005614C1"/>
    <w:rsid w:val="00561B6F"/>
    <w:rsid w:val="0056200D"/>
    <w:rsid w:val="005623CE"/>
    <w:rsid w:val="005631E0"/>
    <w:rsid w:val="00563230"/>
    <w:rsid w:val="00563267"/>
    <w:rsid w:val="005634EE"/>
    <w:rsid w:val="0056355B"/>
    <w:rsid w:val="005635F1"/>
    <w:rsid w:val="005646D1"/>
    <w:rsid w:val="00564CED"/>
    <w:rsid w:val="005650B9"/>
    <w:rsid w:val="00565E59"/>
    <w:rsid w:val="00565EBC"/>
    <w:rsid w:val="00566267"/>
    <w:rsid w:val="0056628A"/>
    <w:rsid w:val="005662F4"/>
    <w:rsid w:val="00566566"/>
    <w:rsid w:val="00566696"/>
    <w:rsid w:val="00566E90"/>
    <w:rsid w:val="00566FAF"/>
    <w:rsid w:val="005670E2"/>
    <w:rsid w:val="0056735A"/>
    <w:rsid w:val="0056783F"/>
    <w:rsid w:val="005704AB"/>
    <w:rsid w:val="0057078F"/>
    <w:rsid w:val="005708AA"/>
    <w:rsid w:val="005708AD"/>
    <w:rsid w:val="005709B5"/>
    <w:rsid w:val="00570A9E"/>
    <w:rsid w:val="00570D58"/>
    <w:rsid w:val="005711E2"/>
    <w:rsid w:val="0057124B"/>
    <w:rsid w:val="005714B2"/>
    <w:rsid w:val="00571632"/>
    <w:rsid w:val="00571662"/>
    <w:rsid w:val="00571C19"/>
    <w:rsid w:val="00571C1E"/>
    <w:rsid w:val="005721EA"/>
    <w:rsid w:val="0057327E"/>
    <w:rsid w:val="00573396"/>
    <w:rsid w:val="00573776"/>
    <w:rsid w:val="00573B96"/>
    <w:rsid w:val="0057404A"/>
    <w:rsid w:val="00574242"/>
    <w:rsid w:val="00574353"/>
    <w:rsid w:val="005746A2"/>
    <w:rsid w:val="0057471E"/>
    <w:rsid w:val="00574DE8"/>
    <w:rsid w:val="005753E5"/>
    <w:rsid w:val="0057592F"/>
    <w:rsid w:val="00576132"/>
    <w:rsid w:val="00576557"/>
    <w:rsid w:val="00577024"/>
    <w:rsid w:val="0057739D"/>
    <w:rsid w:val="0057796F"/>
    <w:rsid w:val="00577A8E"/>
    <w:rsid w:val="005807BA"/>
    <w:rsid w:val="00580CE9"/>
    <w:rsid w:val="0058124A"/>
    <w:rsid w:val="0058132D"/>
    <w:rsid w:val="00581772"/>
    <w:rsid w:val="005830DE"/>
    <w:rsid w:val="00583234"/>
    <w:rsid w:val="00583DA8"/>
    <w:rsid w:val="005845FD"/>
    <w:rsid w:val="00584787"/>
    <w:rsid w:val="00584CDC"/>
    <w:rsid w:val="00585CDB"/>
    <w:rsid w:val="00585D6D"/>
    <w:rsid w:val="00585F9F"/>
    <w:rsid w:val="005863E9"/>
    <w:rsid w:val="0058650E"/>
    <w:rsid w:val="005867D6"/>
    <w:rsid w:val="00586962"/>
    <w:rsid w:val="00586A6A"/>
    <w:rsid w:val="00586DB2"/>
    <w:rsid w:val="0058735E"/>
    <w:rsid w:val="005874FB"/>
    <w:rsid w:val="0058765E"/>
    <w:rsid w:val="00587CA4"/>
    <w:rsid w:val="00587E09"/>
    <w:rsid w:val="00587EBE"/>
    <w:rsid w:val="005901D4"/>
    <w:rsid w:val="00590201"/>
    <w:rsid w:val="00590707"/>
    <w:rsid w:val="00590A2E"/>
    <w:rsid w:val="00590C5D"/>
    <w:rsid w:val="00590CD5"/>
    <w:rsid w:val="005911A1"/>
    <w:rsid w:val="005917A8"/>
    <w:rsid w:val="00591F02"/>
    <w:rsid w:val="0059232C"/>
    <w:rsid w:val="00592628"/>
    <w:rsid w:val="00592D01"/>
    <w:rsid w:val="005930BC"/>
    <w:rsid w:val="005932E5"/>
    <w:rsid w:val="00593350"/>
    <w:rsid w:val="0059369D"/>
    <w:rsid w:val="00593A8E"/>
    <w:rsid w:val="00593C81"/>
    <w:rsid w:val="00593DE5"/>
    <w:rsid w:val="00593F42"/>
    <w:rsid w:val="00594118"/>
    <w:rsid w:val="00594857"/>
    <w:rsid w:val="00594CA5"/>
    <w:rsid w:val="005958A8"/>
    <w:rsid w:val="00595B35"/>
    <w:rsid w:val="005961BD"/>
    <w:rsid w:val="00596399"/>
    <w:rsid w:val="00596718"/>
    <w:rsid w:val="00596826"/>
    <w:rsid w:val="00596958"/>
    <w:rsid w:val="00596A60"/>
    <w:rsid w:val="00596BD3"/>
    <w:rsid w:val="005970DE"/>
    <w:rsid w:val="00597978"/>
    <w:rsid w:val="00597A2D"/>
    <w:rsid w:val="005A04B9"/>
    <w:rsid w:val="005A08FE"/>
    <w:rsid w:val="005A0B0D"/>
    <w:rsid w:val="005A1540"/>
    <w:rsid w:val="005A1911"/>
    <w:rsid w:val="005A1A8A"/>
    <w:rsid w:val="005A1FE8"/>
    <w:rsid w:val="005A21EB"/>
    <w:rsid w:val="005A2354"/>
    <w:rsid w:val="005A267E"/>
    <w:rsid w:val="005A296C"/>
    <w:rsid w:val="005A3063"/>
    <w:rsid w:val="005A392D"/>
    <w:rsid w:val="005A3B55"/>
    <w:rsid w:val="005A3B72"/>
    <w:rsid w:val="005A3F20"/>
    <w:rsid w:val="005A41F0"/>
    <w:rsid w:val="005A4202"/>
    <w:rsid w:val="005A42ED"/>
    <w:rsid w:val="005A491A"/>
    <w:rsid w:val="005A5798"/>
    <w:rsid w:val="005A5940"/>
    <w:rsid w:val="005A598C"/>
    <w:rsid w:val="005A5998"/>
    <w:rsid w:val="005A5F32"/>
    <w:rsid w:val="005A6356"/>
    <w:rsid w:val="005A6493"/>
    <w:rsid w:val="005A64D4"/>
    <w:rsid w:val="005A6B13"/>
    <w:rsid w:val="005A6D9C"/>
    <w:rsid w:val="005A7722"/>
    <w:rsid w:val="005A7A82"/>
    <w:rsid w:val="005A7F59"/>
    <w:rsid w:val="005B012E"/>
    <w:rsid w:val="005B01DD"/>
    <w:rsid w:val="005B0283"/>
    <w:rsid w:val="005B0506"/>
    <w:rsid w:val="005B0DC7"/>
    <w:rsid w:val="005B0F50"/>
    <w:rsid w:val="005B0FE8"/>
    <w:rsid w:val="005B11DD"/>
    <w:rsid w:val="005B19F2"/>
    <w:rsid w:val="005B1A1E"/>
    <w:rsid w:val="005B1C58"/>
    <w:rsid w:val="005B1D91"/>
    <w:rsid w:val="005B2678"/>
    <w:rsid w:val="005B2C78"/>
    <w:rsid w:val="005B35FB"/>
    <w:rsid w:val="005B36DB"/>
    <w:rsid w:val="005B3792"/>
    <w:rsid w:val="005B37E4"/>
    <w:rsid w:val="005B3F58"/>
    <w:rsid w:val="005B414A"/>
    <w:rsid w:val="005B4153"/>
    <w:rsid w:val="005B4303"/>
    <w:rsid w:val="005B4611"/>
    <w:rsid w:val="005B4D0C"/>
    <w:rsid w:val="005B5483"/>
    <w:rsid w:val="005B5904"/>
    <w:rsid w:val="005B59E6"/>
    <w:rsid w:val="005B5AA3"/>
    <w:rsid w:val="005B5B54"/>
    <w:rsid w:val="005B5D55"/>
    <w:rsid w:val="005B5F03"/>
    <w:rsid w:val="005B6B0F"/>
    <w:rsid w:val="005B6EE0"/>
    <w:rsid w:val="005B73C1"/>
    <w:rsid w:val="005B7509"/>
    <w:rsid w:val="005B752C"/>
    <w:rsid w:val="005C014C"/>
    <w:rsid w:val="005C037F"/>
    <w:rsid w:val="005C04B5"/>
    <w:rsid w:val="005C065C"/>
    <w:rsid w:val="005C0CFF"/>
    <w:rsid w:val="005C0ECE"/>
    <w:rsid w:val="005C1258"/>
    <w:rsid w:val="005C1694"/>
    <w:rsid w:val="005C1859"/>
    <w:rsid w:val="005C189F"/>
    <w:rsid w:val="005C19AF"/>
    <w:rsid w:val="005C1AD2"/>
    <w:rsid w:val="005C1C2E"/>
    <w:rsid w:val="005C240B"/>
    <w:rsid w:val="005C2775"/>
    <w:rsid w:val="005C2CB3"/>
    <w:rsid w:val="005C35A3"/>
    <w:rsid w:val="005C35CF"/>
    <w:rsid w:val="005C39C0"/>
    <w:rsid w:val="005C3C80"/>
    <w:rsid w:val="005C3F62"/>
    <w:rsid w:val="005C3F79"/>
    <w:rsid w:val="005C417E"/>
    <w:rsid w:val="005C4200"/>
    <w:rsid w:val="005C42A5"/>
    <w:rsid w:val="005C4BB1"/>
    <w:rsid w:val="005C4C76"/>
    <w:rsid w:val="005C4CBD"/>
    <w:rsid w:val="005C4DA4"/>
    <w:rsid w:val="005C4FED"/>
    <w:rsid w:val="005C522B"/>
    <w:rsid w:val="005C52B9"/>
    <w:rsid w:val="005C5663"/>
    <w:rsid w:val="005C5799"/>
    <w:rsid w:val="005C59BA"/>
    <w:rsid w:val="005C5C98"/>
    <w:rsid w:val="005C6160"/>
    <w:rsid w:val="005C6367"/>
    <w:rsid w:val="005C6BAB"/>
    <w:rsid w:val="005C6D58"/>
    <w:rsid w:val="005C7670"/>
    <w:rsid w:val="005C7D50"/>
    <w:rsid w:val="005C7E11"/>
    <w:rsid w:val="005C7F78"/>
    <w:rsid w:val="005D00C0"/>
    <w:rsid w:val="005D086C"/>
    <w:rsid w:val="005D0B7D"/>
    <w:rsid w:val="005D0B9F"/>
    <w:rsid w:val="005D13BE"/>
    <w:rsid w:val="005D1724"/>
    <w:rsid w:val="005D1B64"/>
    <w:rsid w:val="005D1C86"/>
    <w:rsid w:val="005D1E53"/>
    <w:rsid w:val="005D21C0"/>
    <w:rsid w:val="005D2FF1"/>
    <w:rsid w:val="005D3666"/>
    <w:rsid w:val="005D3A29"/>
    <w:rsid w:val="005D40DC"/>
    <w:rsid w:val="005D49A4"/>
    <w:rsid w:val="005D50BB"/>
    <w:rsid w:val="005D5187"/>
    <w:rsid w:val="005D518B"/>
    <w:rsid w:val="005D57A4"/>
    <w:rsid w:val="005D5A63"/>
    <w:rsid w:val="005D5C2D"/>
    <w:rsid w:val="005D5EAE"/>
    <w:rsid w:val="005D6074"/>
    <w:rsid w:val="005D664C"/>
    <w:rsid w:val="005D694F"/>
    <w:rsid w:val="005D696F"/>
    <w:rsid w:val="005D6E0A"/>
    <w:rsid w:val="005D704B"/>
    <w:rsid w:val="005D70ED"/>
    <w:rsid w:val="005D74EE"/>
    <w:rsid w:val="005D7B06"/>
    <w:rsid w:val="005D7EF3"/>
    <w:rsid w:val="005E0480"/>
    <w:rsid w:val="005E0644"/>
    <w:rsid w:val="005E0A52"/>
    <w:rsid w:val="005E0A90"/>
    <w:rsid w:val="005E0EDB"/>
    <w:rsid w:val="005E0FCB"/>
    <w:rsid w:val="005E13C5"/>
    <w:rsid w:val="005E17CE"/>
    <w:rsid w:val="005E188F"/>
    <w:rsid w:val="005E1B4E"/>
    <w:rsid w:val="005E24D5"/>
    <w:rsid w:val="005E24E7"/>
    <w:rsid w:val="005E2623"/>
    <w:rsid w:val="005E2BEA"/>
    <w:rsid w:val="005E2EFA"/>
    <w:rsid w:val="005E3508"/>
    <w:rsid w:val="005E3680"/>
    <w:rsid w:val="005E3930"/>
    <w:rsid w:val="005E3A16"/>
    <w:rsid w:val="005E3F04"/>
    <w:rsid w:val="005E4144"/>
    <w:rsid w:val="005E438F"/>
    <w:rsid w:val="005E454F"/>
    <w:rsid w:val="005E4866"/>
    <w:rsid w:val="005E4BA4"/>
    <w:rsid w:val="005E5118"/>
    <w:rsid w:val="005E5149"/>
    <w:rsid w:val="005E5192"/>
    <w:rsid w:val="005E62DF"/>
    <w:rsid w:val="005E6A21"/>
    <w:rsid w:val="005E6C6D"/>
    <w:rsid w:val="005E6DAD"/>
    <w:rsid w:val="005E732F"/>
    <w:rsid w:val="005E74D7"/>
    <w:rsid w:val="005E758C"/>
    <w:rsid w:val="005E79C6"/>
    <w:rsid w:val="005F0031"/>
    <w:rsid w:val="005F02F0"/>
    <w:rsid w:val="005F0454"/>
    <w:rsid w:val="005F0693"/>
    <w:rsid w:val="005F081C"/>
    <w:rsid w:val="005F0A5B"/>
    <w:rsid w:val="005F0C2C"/>
    <w:rsid w:val="005F0D3B"/>
    <w:rsid w:val="005F0DA3"/>
    <w:rsid w:val="005F1101"/>
    <w:rsid w:val="005F1237"/>
    <w:rsid w:val="005F1A8E"/>
    <w:rsid w:val="005F1B34"/>
    <w:rsid w:val="005F2E64"/>
    <w:rsid w:val="005F2EF7"/>
    <w:rsid w:val="005F309B"/>
    <w:rsid w:val="005F34A8"/>
    <w:rsid w:val="005F39FE"/>
    <w:rsid w:val="005F3A0E"/>
    <w:rsid w:val="005F3BA5"/>
    <w:rsid w:val="005F3CDC"/>
    <w:rsid w:val="005F3E1E"/>
    <w:rsid w:val="005F4497"/>
    <w:rsid w:val="005F453B"/>
    <w:rsid w:val="005F4A72"/>
    <w:rsid w:val="005F4CBF"/>
    <w:rsid w:val="005F505A"/>
    <w:rsid w:val="005F572A"/>
    <w:rsid w:val="005F5CCB"/>
    <w:rsid w:val="005F5F24"/>
    <w:rsid w:val="005F63F2"/>
    <w:rsid w:val="005F641C"/>
    <w:rsid w:val="005F6436"/>
    <w:rsid w:val="005F6568"/>
    <w:rsid w:val="005F6BEF"/>
    <w:rsid w:val="005F6C43"/>
    <w:rsid w:val="005F6E1A"/>
    <w:rsid w:val="005F711B"/>
    <w:rsid w:val="005F720D"/>
    <w:rsid w:val="005F73AB"/>
    <w:rsid w:val="005F784F"/>
    <w:rsid w:val="005F7AF1"/>
    <w:rsid w:val="005F7E54"/>
    <w:rsid w:val="005F7F62"/>
    <w:rsid w:val="005F7FCE"/>
    <w:rsid w:val="00600604"/>
    <w:rsid w:val="006006C6"/>
    <w:rsid w:val="00600993"/>
    <w:rsid w:val="00600D24"/>
    <w:rsid w:val="00600E12"/>
    <w:rsid w:val="00601311"/>
    <w:rsid w:val="0060177C"/>
    <w:rsid w:val="006017F9"/>
    <w:rsid w:val="00601955"/>
    <w:rsid w:val="00601BCE"/>
    <w:rsid w:val="006024F7"/>
    <w:rsid w:val="00602C94"/>
    <w:rsid w:val="00603048"/>
    <w:rsid w:val="006030FD"/>
    <w:rsid w:val="00603116"/>
    <w:rsid w:val="00603278"/>
    <w:rsid w:val="0060380C"/>
    <w:rsid w:val="006040A0"/>
    <w:rsid w:val="006042D8"/>
    <w:rsid w:val="00604442"/>
    <w:rsid w:val="00604B5E"/>
    <w:rsid w:val="00604D3F"/>
    <w:rsid w:val="00605107"/>
    <w:rsid w:val="006058FA"/>
    <w:rsid w:val="00605B19"/>
    <w:rsid w:val="00605B9F"/>
    <w:rsid w:val="00605C9B"/>
    <w:rsid w:val="00605EF3"/>
    <w:rsid w:val="00606309"/>
    <w:rsid w:val="0060671F"/>
    <w:rsid w:val="006069DA"/>
    <w:rsid w:val="00606BEC"/>
    <w:rsid w:val="00606D2D"/>
    <w:rsid w:val="00607721"/>
    <w:rsid w:val="0060787B"/>
    <w:rsid w:val="006100DA"/>
    <w:rsid w:val="006105D3"/>
    <w:rsid w:val="006105D6"/>
    <w:rsid w:val="00610C3B"/>
    <w:rsid w:val="00610F5E"/>
    <w:rsid w:val="006117E3"/>
    <w:rsid w:val="0061190D"/>
    <w:rsid w:val="006121ED"/>
    <w:rsid w:val="0061279E"/>
    <w:rsid w:val="00612825"/>
    <w:rsid w:val="00612978"/>
    <w:rsid w:val="00612FC2"/>
    <w:rsid w:val="00613210"/>
    <w:rsid w:val="006133A7"/>
    <w:rsid w:val="0061357D"/>
    <w:rsid w:val="006137AC"/>
    <w:rsid w:val="00613D84"/>
    <w:rsid w:val="006149BB"/>
    <w:rsid w:val="00614AE1"/>
    <w:rsid w:val="00615012"/>
    <w:rsid w:val="00615255"/>
    <w:rsid w:val="00615430"/>
    <w:rsid w:val="00615542"/>
    <w:rsid w:val="00615796"/>
    <w:rsid w:val="006158A7"/>
    <w:rsid w:val="006158D6"/>
    <w:rsid w:val="0061590B"/>
    <w:rsid w:val="00615D1B"/>
    <w:rsid w:val="006160C7"/>
    <w:rsid w:val="006163AC"/>
    <w:rsid w:val="00616A26"/>
    <w:rsid w:val="00616B9B"/>
    <w:rsid w:val="00616C00"/>
    <w:rsid w:val="00616DB8"/>
    <w:rsid w:val="00616E46"/>
    <w:rsid w:val="00616E83"/>
    <w:rsid w:val="00617A23"/>
    <w:rsid w:val="00617A8A"/>
    <w:rsid w:val="00617BDF"/>
    <w:rsid w:val="00617DCB"/>
    <w:rsid w:val="00620C5E"/>
    <w:rsid w:val="00620E13"/>
    <w:rsid w:val="006212BA"/>
    <w:rsid w:val="006214E2"/>
    <w:rsid w:val="00621C61"/>
    <w:rsid w:val="00621ED0"/>
    <w:rsid w:val="00622159"/>
    <w:rsid w:val="0062221F"/>
    <w:rsid w:val="0062254F"/>
    <w:rsid w:val="0062268A"/>
    <w:rsid w:val="00622B91"/>
    <w:rsid w:val="00622C97"/>
    <w:rsid w:val="00623357"/>
    <w:rsid w:val="006233D0"/>
    <w:rsid w:val="00623681"/>
    <w:rsid w:val="00623CA6"/>
    <w:rsid w:val="00624144"/>
    <w:rsid w:val="00624ACF"/>
    <w:rsid w:val="00624B42"/>
    <w:rsid w:val="00624CA6"/>
    <w:rsid w:val="00625C1A"/>
    <w:rsid w:val="00625E6C"/>
    <w:rsid w:val="006261D0"/>
    <w:rsid w:val="006264D8"/>
    <w:rsid w:val="00626783"/>
    <w:rsid w:val="00627633"/>
    <w:rsid w:val="0062792E"/>
    <w:rsid w:val="00627A41"/>
    <w:rsid w:val="00627AEF"/>
    <w:rsid w:val="00630434"/>
    <w:rsid w:val="00630B33"/>
    <w:rsid w:val="00630C6B"/>
    <w:rsid w:val="00630CA6"/>
    <w:rsid w:val="00630E1A"/>
    <w:rsid w:val="00630EE8"/>
    <w:rsid w:val="0063107F"/>
    <w:rsid w:val="00631823"/>
    <w:rsid w:val="0063185E"/>
    <w:rsid w:val="006319F7"/>
    <w:rsid w:val="00631BDD"/>
    <w:rsid w:val="00632009"/>
    <w:rsid w:val="00632211"/>
    <w:rsid w:val="00632538"/>
    <w:rsid w:val="00632672"/>
    <w:rsid w:val="0063270F"/>
    <w:rsid w:val="006329B5"/>
    <w:rsid w:val="00633601"/>
    <w:rsid w:val="00633648"/>
    <w:rsid w:val="00633D90"/>
    <w:rsid w:val="006346C0"/>
    <w:rsid w:val="00634ABC"/>
    <w:rsid w:val="006352E8"/>
    <w:rsid w:val="006356E5"/>
    <w:rsid w:val="00635946"/>
    <w:rsid w:val="006359CA"/>
    <w:rsid w:val="00635B94"/>
    <w:rsid w:val="00635B98"/>
    <w:rsid w:val="00636498"/>
    <w:rsid w:val="006365A0"/>
    <w:rsid w:val="00636669"/>
    <w:rsid w:val="00637054"/>
    <w:rsid w:val="00637280"/>
    <w:rsid w:val="006374FD"/>
    <w:rsid w:val="00637505"/>
    <w:rsid w:val="0063753C"/>
    <w:rsid w:val="00637B1E"/>
    <w:rsid w:val="00637B9B"/>
    <w:rsid w:val="00637FAE"/>
    <w:rsid w:val="006400DB"/>
    <w:rsid w:val="00640422"/>
    <w:rsid w:val="006408CD"/>
    <w:rsid w:val="006413F4"/>
    <w:rsid w:val="00641B70"/>
    <w:rsid w:val="00641D29"/>
    <w:rsid w:val="00642509"/>
    <w:rsid w:val="006427DC"/>
    <w:rsid w:val="00642921"/>
    <w:rsid w:val="00642B1D"/>
    <w:rsid w:val="00642EE2"/>
    <w:rsid w:val="00643624"/>
    <w:rsid w:val="00643994"/>
    <w:rsid w:val="00643F33"/>
    <w:rsid w:val="006448BB"/>
    <w:rsid w:val="00644C12"/>
    <w:rsid w:val="00644CA0"/>
    <w:rsid w:val="0064505B"/>
    <w:rsid w:val="006450E0"/>
    <w:rsid w:val="0064522A"/>
    <w:rsid w:val="00645284"/>
    <w:rsid w:val="0064567A"/>
    <w:rsid w:val="00645DC4"/>
    <w:rsid w:val="00646514"/>
    <w:rsid w:val="006466D3"/>
    <w:rsid w:val="00646955"/>
    <w:rsid w:val="00646978"/>
    <w:rsid w:val="00646BD3"/>
    <w:rsid w:val="00646C2D"/>
    <w:rsid w:val="00647350"/>
    <w:rsid w:val="00647960"/>
    <w:rsid w:val="00647A86"/>
    <w:rsid w:val="00647EB6"/>
    <w:rsid w:val="00650713"/>
    <w:rsid w:val="00650857"/>
    <w:rsid w:val="00650B75"/>
    <w:rsid w:val="00651705"/>
    <w:rsid w:val="00651FBA"/>
    <w:rsid w:val="0065238B"/>
    <w:rsid w:val="00652585"/>
    <w:rsid w:val="00652651"/>
    <w:rsid w:val="006530B2"/>
    <w:rsid w:val="006532F9"/>
    <w:rsid w:val="00653C89"/>
    <w:rsid w:val="0065418A"/>
    <w:rsid w:val="0065486A"/>
    <w:rsid w:val="00654A04"/>
    <w:rsid w:val="00654AA7"/>
    <w:rsid w:val="00654C90"/>
    <w:rsid w:val="00655168"/>
    <w:rsid w:val="006556B4"/>
    <w:rsid w:val="006557A9"/>
    <w:rsid w:val="0065597A"/>
    <w:rsid w:val="00656532"/>
    <w:rsid w:val="006568D3"/>
    <w:rsid w:val="00657162"/>
    <w:rsid w:val="00657208"/>
    <w:rsid w:val="006578C8"/>
    <w:rsid w:val="006579DD"/>
    <w:rsid w:val="00657B3E"/>
    <w:rsid w:val="00660151"/>
    <w:rsid w:val="00660AC8"/>
    <w:rsid w:val="00660E70"/>
    <w:rsid w:val="0066107E"/>
    <w:rsid w:val="006611C8"/>
    <w:rsid w:val="00661868"/>
    <w:rsid w:val="00661C46"/>
    <w:rsid w:val="00662A7A"/>
    <w:rsid w:val="00662CF1"/>
    <w:rsid w:val="006631F5"/>
    <w:rsid w:val="006637DF"/>
    <w:rsid w:val="0066381D"/>
    <w:rsid w:val="00663C5D"/>
    <w:rsid w:val="00664020"/>
    <w:rsid w:val="0066460E"/>
    <w:rsid w:val="00664BEF"/>
    <w:rsid w:val="00665141"/>
    <w:rsid w:val="006654FC"/>
    <w:rsid w:val="00665A97"/>
    <w:rsid w:val="00665E84"/>
    <w:rsid w:val="0066611C"/>
    <w:rsid w:val="0066634E"/>
    <w:rsid w:val="00666D74"/>
    <w:rsid w:val="00667A28"/>
    <w:rsid w:val="00667AB6"/>
    <w:rsid w:val="00667BCD"/>
    <w:rsid w:val="0067000D"/>
    <w:rsid w:val="00670424"/>
    <w:rsid w:val="006708DB"/>
    <w:rsid w:val="00670A41"/>
    <w:rsid w:val="00670B06"/>
    <w:rsid w:val="00670EFD"/>
    <w:rsid w:val="00670F37"/>
    <w:rsid w:val="00671021"/>
    <w:rsid w:val="006710C3"/>
    <w:rsid w:val="00671CB9"/>
    <w:rsid w:val="00671EC3"/>
    <w:rsid w:val="0067206B"/>
    <w:rsid w:val="00672718"/>
    <w:rsid w:val="0067283A"/>
    <w:rsid w:val="00672D2C"/>
    <w:rsid w:val="00673662"/>
    <w:rsid w:val="006737FD"/>
    <w:rsid w:val="0067394E"/>
    <w:rsid w:val="00673A48"/>
    <w:rsid w:val="00674077"/>
    <w:rsid w:val="006744B1"/>
    <w:rsid w:val="00674632"/>
    <w:rsid w:val="0067468D"/>
    <w:rsid w:val="00674B56"/>
    <w:rsid w:val="00674C99"/>
    <w:rsid w:val="00674F6D"/>
    <w:rsid w:val="00675469"/>
    <w:rsid w:val="0067546C"/>
    <w:rsid w:val="006756B0"/>
    <w:rsid w:val="006758B5"/>
    <w:rsid w:val="00675C6D"/>
    <w:rsid w:val="00675C7E"/>
    <w:rsid w:val="00675C80"/>
    <w:rsid w:val="00676379"/>
    <w:rsid w:val="006763F5"/>
    <w:rsid w:val="00676684"/>
    <w:rsid w:val="00676722"/>
    <w:rsid w:val="00676A4C"/>
    <w:rsid w:val="00676ABB"/>
    <w:rsid w:val="00676D35"/>
    <w:rsid w:val="006770F7"/>
    <w:rsid w:val="006774E2"/>
    <w:rsid w:val="00677652"/>
    <w:rsid w:val="00677A8B"/>
    <w:rsid w:val="00677BF1"/>
    <w:rsid w:val="00677F0E"/>
    <w:rsid w:val="006801A1"/>
    <w:rsid w:val="0068032A"/>
    <w:rsid w:val="0068050C"/>
    <w:rsid w:val="0068072B"/>
    <w:rsid w:val="00680882"/>
    <w:rsid w:val="00680D0E"/>
    <w:rsid w:val="00681086"/>
    <w:rsid w:val="00681A94"/>
    <w:rsid w:val="00681C26"/>
    <w:rsid w:val="00681D2B"/>
    <w:rsid w:val="00681E98"/>
    <w:rsid w:val="00682647"/>
    <w:rsid w:val="00682687"/>
    <w:rsid w:val="006828DE"/>
    <w:rsid w:val="00682F70"/>
    <w:rsid w:val="00683106"/>
    <w:rsid w:val="006833C2"/>
    <w:rsid w:val="00683719"/>
    <w:rsid w:val="006839FD"/>
    <w:rsid w:val="00683AB1"/>
    <w:rsid w:val="00683B13"/>
    <w:rsid w:val="006847CC"/>
    <w:rsid w:val="00684A1A"/>
    <w:rsid w:val="00684B6F"/>
    <w:rsid w:val="00684C33"/>
    <w:rsid w:val="00684D38"/>
    <w:rsid w:val="00684F85"/>
    <w:rsid w:val="00685114"/>
    <w:rsid w:val="006851BD"/>
    <w:rsid w:val="0068583C"/>
    <w:rsid w:val="00685944"/>
    <w:rsid w:val="006859EA"/>
    <w:rsid w:val="00685D32"/>
    <w:rsid w:val="00686158"/>
    <w:rsid w:val="006862B3"/>
    <w:rsid w:val="006862CD"/>
    <w:rsid w:val="006864A4"/>
    <w:rsid w:val="0068651F"/>
    <w:rsid w:val="00686549"/>
    <w:rsid w:val="0068662F"/>
    <w:rsid w:val="00686C0A"/>
    <w:rsid w:val="00686C56"/>
    <w:rsid w:val="00686DE1"/>
    <w:rsid w:val="00687BA0"/>
    <w:rsid w:val="00687F81"/>
    <w:rsid w:val="00687FD4"/>
    <w:rsid w:val="00690777"/>
    <w:rsid w:val="0069079C"/>
    <w:rsid w:val="00690B4F"/>
    <w:rsid w:val="00690E2F"/>
    <w:rsid w:val="00691388"/>
    <w:rsid w:val="006913CD"/>
    <w:rsid w:val="00691444"/>
    <w:rsid w:val="0069169E"/>
    <w:rsid w:val="006916A9"/>
    <w:rsid w:val="0069194C"/>
    <w:rsid w:val="00691D3A"/>
    <w:rsid w:val="0069260C"/>
    <w:rsid w:val="0069269B"/>
    <w:rsid w:val="00692831"/>
    <w:rsid w:val="006931BA"/>
    <w:rsid w:val="00693B42"/>
    <w:rsid w:val="00694221"/>
    <w:rsid w:val="0069427F"/>
    <w:rsid w:val="0069464D"/>
    <w:rsid w:val="00694B5D"/>
    <w:rsid w:val="00695A27"/>
    <w:rsid w:val="00695BC8"/>
    <w:rsid w:val="00695E47"/>
    <w:rsid w:val="0069600C"/>
    <w:rsid w:val="00696214"/>
    <w:rsid w:val="00696494"/>
    <w:rsid w:val="00697269"/>
    <w:rsid w:val="0069756A"/>
    <w:rsid w:val="00697636"/>
    <w:rsid w:val="0069770E"/>
    <w:rsid w:val="00697FEB"/>
    <w:rsid w:val="006A0121"/>
    <w:rsid w:val="006A04C7"/>
    <w:rsid w:val="006A06E8"/>
    <w:rsid w:val="006A0810"/>
    <w:rsid w:val="006A0ED4"/>
    <w:rsid w:val="006A14F3"/>
    <w:rsid w:val="006A17A8"/>
    <w:rsid w:val="006A21E0"/>
    <w:rsid w:val="006A2252"/>
    <w:rsid w:val="006A22F2"/>
    <w:rsid w:val="006A23DF"/>
    <w:rsid w:val="006A27F9"/>
    <w:rsid w:val="006A2C70"/>
    <w:rsid w:val="006A32AE"/>
    <w:rsid w:val="006A3659"/>
    <w:rsid w:val="006A3A22"/>
    <w:rsid w:val="006A3C1F"/>
    <w:rsid w:val="006A42CA"/>
    <w:rsid w:val="006A48CD"/>
    <w:rsid w:val="006A4A3B"/>
    <w:rsid w:val="006A5BAF"/>
    <w:rsid w:val="006A671A"/>
    <w:rsid w:val="006A69E2"/>
    <w:rsid w:val="006A6BD2"/>
    <w:rsid w:val="006A6D86"/>
    <w:rsid w:val="006A702E"/>
    <w:rsid w:val="006A75C8"/>
    <w:rsid w:val="006A75E1"/>
    <w:rsid w:val="006A7718"/>
    <w:rsid w:val="006A7978"/>
    <w:rsid w:val="006A7D66"/>
    <w:rsid w:val="006A7E73"/>
    <w:rsid w:val="006B02CB"/>
    <w:rsid w:val="006B0B5C"/>
    <w:rsid w:val="006B0ECA"/>
    <w:rsid w:val="006B1626"/>
    <w:rsid w:val="006B2B14"/>
    <w:rsid w:val="006B319B"/>
    <w:rsid w:val="006B35C9"/>
    <w:rsid w:val="006B36D3"/>
    <w:rsid w:val="006B39C7"/>
    <w:rsid w:val="006B3B48"/>
    <w:rsid w:val="006B3E63"/>
    <w:rsid w:val="006B4564"/>
    <w:rsid w:val="006B4A10"/>
    <w:rsid w:val="006B5002"/>
    <w:rsid w:val="006B580B"/>
    <w:rsid w:val="006B5B62"/>
    <w:rsid w:val="006B5C11"/>
    <w:rsid w:val="006B6138"/>
    <w:rsid w:val="006B64D4"/>
    <w:rsid w:val="006B6641"/>
    <w:rsid w:val="006B66EF"/>
    <w:rsid w:val="006B67FF"/>
    <w:rsid w:val="006B6CBD"/>
    <w:rsid w:val="006B6D18"/>
    <w:rsid w:val="006B6DCB"/>
    <w:rsid w:val="006B7548"/>
    <w:rsid w:val="006B77EA"/>
    <w:rsid w:val="006B789C"/>
    <w:rsid w:val="006B7CBA"/>
    <w:rsid w:val="006B7D52"/>
    <w:rsid w:val="006C0679"/>
    <w:rsid w:val="006C06C6"/>
    <w:rsid w:val="006C0BDB"/>
    <w:rsid w:val="006C0F30"/>
    <w:rsid w:val="006C14E7"/>
    <w:rsid w:val="006C1919"/>
    <w:rsid w:val="006C1C5D"/>
    <w:rsid w:val="006C1D1B"/>
    <w:rsid w:val="006C1E5A"/>
    <w:rsid w:val="006C1EE5"/>
    <w:rsid w:val="006C213C"/>
    <w:rsid w:val="006C22E8"/>
    <w:rsid w:val="006C2C39"/>
    <w:rsid w:val="006C2ED5"/>
    <w:rsid w:val="006C30B8"/>
    <w:rsid w:val="006C30C7"/>
    <w:rsid w:val="006C3379"/>
    <w:rsid w:val="006C3892"/>
    <w:rsid w:val="006C46DD"/>
    <w:rsid w:val="006C4A18"/>
    <w:rsid w:val="006C4F4D"/>
    <w:rsid w:val="006C517B"/>
    <w:rsid w:val="006C586F"/>
    <w:rsid w:val="006C5D6B"/>
    <w:rsid w:val="006C5F03"/>
    <w:rsid w:val="006C628E"/>
    <w:rsid w:val="006C6A1C"/>
    <w:rsid w:val="006C6D23"/>
    <w:rsid w:val="006C79CB"/>
    <w:rsid w:val="006C7ADC"/>
    <w:rsid w:val="006C7B32"/>
    <w:rsid w:val="006C7D9E"/>
    <w:rsid w:val="006D0116"/>
    <w:rsid w:val="006D011A"/>
    <w:rsid w:val="006D016E"/>
    <w:rsid w:val="006D0698"/>
    <w:rsid w:val="006D0C7B"/>
    <w:rsid w:val="006D1237"/>
    <w:rsid w:val="006D14FE"/>
    <w:rsid w:val="006D1677"/>
    <w:rsid w:val="006D1BEC"/>
    <w:rsid w:val="006D1D26"/>
    <w:rsid w:val="006D1DE5"/>
    <w:rsid w:val="006D201B"/>
    <w:rsid w:val="006D2062"/>
    <w:rsid w:val="006D213C"/>
    <w:rsid w:val="006D235A"/>
    <w:rsid w:val="006D3C22"/>
    <w:rsid w:val="006D3DD1"/>
    <w:rsid w:val="006D4243"/>
    <w:rsid w:val="006D4638"/>
    <w:rsid w:val="006D46E2"/>
    <w:rsid w:val="006D4B63"/>
    <w:rsid w:val="006D513D"/>
    <w:rsid w:val="006D517E"/>
    <w:rsid w:val="006D51FC"/>
    <w:rsid w:val="006D5386"/>
    <w:rsid w:val="006D53B8"/>
    <w:rsid w:val="006D54A0"/>
    <w:rsid w:val="006D56BC"/>
    <w:rsid w:val="006D5783"/>
    <w:rsid w:val="006D5815"/>
    <w:rsid w:val="006D59DA"/>
    <w:rsid w:val="006D5B46"/>
    <w:rsid w:val="006D5BEB"/>
    <w:rsid w:val="006D5E25"/>
    <w:rsid w:val="006D5E4B"/>
    <w:rsid w:val="006D5F51"/>
    <w:rsid w:val="006D60FF"/>
    <w:rsid w:val="006D6235"/>
    <w:rsid w:val="006D62FE"/>
    <w:rsid w:val="006D65E6"/>
    <w:rsid w:val="006D6EA2"/>
    <w:rsid w:val="006D78E3"/>
    <w:rsid w:val="006D7993"/>
    <w:rsid w:val="006D7C59"/>
    <w:rsid w:val="006D7DB0"/>
    <w:rsid w:val="006D7E0D"/>
    <w:rsid w:val="006E0D80"/>
    <w:rsid w:val="006E1122"/>
    <w:rsid w:val="006E121F"/>
    <w:rsid w:val="006E162F"/>
    <w:rsid w:val="006E1690"/>
    <w:rsid w:val="006E1748"/>
    <w:rsid w:val="006E17EC"/>
    <w:rsid w:val="006E1952"/>
    <w:rsid w:val="006E19B8"/>
    <w:rsid w:val="006E1AC2"/>
    <w:rsid w:val="006E278A"/>
    <w:rsid w:val="006E2847"/>
    <w:rsid w:val="006E2A49"/>
    <w:rsid w:val="006E2E01"/>
    <w:rsid w:val="006E2F6F"/>
    <w:rsid w:val="006E3131"/>
    <w:rsid w:val="006E347C"/>
    <w:rsid w:val="006E396B"/>
    <w:rsid w:val="006E3A7F"/>
    <w:rsid w:val="006E3B27"/>
    <w:rsid w:val="006E3B41"/>
    <w:rsid w:val="006E3BFA"/>
    <w:rsid w:val="006E44A7"/>
    <w:rsid w:val="006E4ECA"/>
    <w:rsid w:val="006E508D"/>
    <w:rsid w:val="006E52BD"/>
    <w:rsid w:val="006E589D"/>
    <w:rsid w:val="006E60BD"/>
    <w:rsid w:val="006E66B7"/>
    <w:rsid w:val="006E79C6"/>
    <w:rsid w:val="006F0C68"/>
    <w:rsid w:val="006F1141"/>
    <w:rsid w:val="006F1304"/>
    <w:rsid w:val="006F1B67"/>
    <w:rsid w:val="006F1BFD"/>
    <w:rsid w:val="006F208C"/>
    <w:rsid w:val="006F2581"/>
    <w:rsid w:val="006F2AC1"/>
    <w:rsid w:val="006F2CAB"/>
    <w:rsid w:val="006F320D"/>
    <w:rsid w:val="006F32C3"/>
    <w:rsid w:val="006F33BE"/>
    <w:rsid w:val="006F353B"/>
    <w:rsid w:val="006F37DA"/>
    <w:rsid w:val="006F3BAC"/>
    <w:rsid w:val="006F3BE2"/>
    <w:rsid w:val="006F3E77"/>
    <w:rsid w:val="006F3FC6"/>
    <w:rsid w:val="006F402F"/>
    <w:rsid w:val="006F47B9"/>
    <w:rsid w:val="006F4AAE"/>
    <w:rsid w:val="006F4B5F"/>
    <w:rsid w:val="006F56CE"/>
    <w:rsid w:val="006F5F97"/>
    <w:rsid w:val="006F6857"/>
    <w:rsid w:val="006F6A12"/>
    <w:rsid w:val="006F6D98"/>
    <w:rsid w:val="006F6DF7"/>
    <w:rsid w:val="006F6FFB"/>
    <w:rsid w:val="006F78D1"/>
    <w:rsid w:val="006F7BCC"/>
    <w:rsid w:val="006F7FAE"/>
    <w:rsid w:val="00700470"/>
    <w:rsid w:val="0070058A"/>
    <w:rsid w:val="00700DD1"/>
    <w:rsid w:val="00700E2D"/>
    <w:rsid w:val="00700E8E"/>
    <w:rsid w:val="00700F23"/>
    <w:rsid w:val="00701368"/>
    <w:rsid w:val="00701506"/>
    <w:rsid w:val="00701810"/>
    <w:rsid w:val="0070183B"/>
    <w:rsid w:val="007018F4"/>
    <w:rsid w:val="0070190E"/>
    <w:rsid w:val="00701C34"/>
    <w:rsid w:val="00701EEA"/>
    <w:rsid w:val="00702384"/>
    <w:rsid w:val="007029F5"/>
    <w:rsid w:val="00702A86"/>
    <w:rsid w:val="00702F20"/>
    <w:rsid w:val="00702F35"/>
    <w:rsid w:val="00702FE2"/>
    <w:rsid w:val="0070301D"/>
    <w:rsid w:val="007031A9"/>
    <w:rsid w:val="0070423F"/>
    <w:rsid w:val="00704347"/>
    <w:rsid w:val="0070448F"/>
    <w:rsid w:val="007046BE"/>
    <w:rsid w:val="007046F2"/>
    <w:rsid w:val="00705011"/>
    <w:rsid w:val="0070504B"/>
    <w:rsid w:val="00705542"/>
    <w:rsid w:val="00706487"/>
    <w:rsid w:val="00706827"/>
    <w:rsid w:val="007068C9"/>
    <w:rsid w:val="00706F8F"/>
    <w:rsid w:val="00707205"/>
    <w:rsid w:val="007072BB"/>
    <w:rsid w:val="007073DB"/>
    <w:rsid w:val="00707BD1"/>
    <w:rsid w:val="00707CA4"/>
    <w:rsid w:val="00707E36"/>
    <w:rsid w:val="0071021C"/>
    <w:rsid w:val="0071048B"/>
    <w:rsid w:val="007105CB"/>
    <w:rsid w:val="00710661"/>
    <w:rsid w:val="00710770"/>
    <w:rsid w:val="00710FFF"/>
    <w:rsid w:val="007110AC"/>
    <w:rsid w:val="007110C0"/>
    <w:rsid w:val="007112E5"/>
    <w:rsid w:val="00711573"/>
    <w:rsid w:val="007116B5"/>
    <w:rsid w:val="00711845"/>
    <w:rsid w:val="007119DD"/>
    <w:rsid w:val="00711A36"/>
    <w:rsid w:val="00711AD2"/>
    <w:rsid w:val="00712137"/>
    <w:rsid w:val="00712315"/>
    <w:rsid w:val="00712927"/>
    <w:rsid w:val="00712B76"/>
    <w:rsid w:val="00712C24"/>
    <w:rsid w:val="0071308E"/>
    <w:rsid w:val="00713333"/>
    <w:rsid w:val="007133B6"/>
    <w:rsid w:val="007135F2"/>
    <w:rsid w:val="00714258"/>
    <w:rsid w:val="0071489C"/>
    <w:rsid w:val="00714C34"/>
    <w:rsid w:val="0071504B"/>
    <w:rsid w:val="007150F6"/>
    <w:rsid w:val="007157EF"/>
    <w:rsid w:val="00715BDB"/>
    <w:rsid w:val="00715D23"/>
    <w:rsid w:val="00715E07"/>
    <w:rsid w:val="00716338"/>
    <w:rsid w:val="0071640E"/>
    <w:rsid w:val="007164D5"/>
    <w:rsid w:val="00716520"/>
    <w:rsid w:val="00716D4C"/>
    <w:rsid w:val="00717158"/>
    <w:rsid w:val="00717237"/>
    <w:rsid w:val="007173BD"/>
    <w:rsid w:val="00717432"/>
    <w:rsid w:val="0071760B"/>
    <w:rsid w:val="00717704"/>
    <w:rsid w:val="007177AE"/>
    <w:rsid w:val="0071795A"/>
    <w:rsid w:val="007204FA"/>
    <w:rsid w:val="007208DA"/>
    <w:rsid w:val="007209B6"/>
    <w:rsid w:val="00720C57"/>
    <w:rsid w:val="00720C74"/>
    <w:rsid w:val="00720D56"/>
    <w:rsid w:val="00721073"/>
    <w:rsid w:val="00721347"/>
    <w:rsid w:val="00721B48"/>
    <w:rsid w:val="00721C9B"/>
    <w:rsid w:val="00721F8F"/>
    <w:rsid w:val="00722239"/>
    <w:rsid w:val="007222F5"/>
    <w:rsid w:val="00722562"/>
    <w:rsid w:val="00722862"/>
    <w:rsid w:val="00722DBE"/>
    <w:rsid w:val="007238BE"/>
    <w:rsid w:val="00723C21"/>
    <w:rsid w:val="00723C30"/>
    <w:rsid w:val="00723CCB"/>
    <w:rsid w:val="00723F78"/>
    <w:rsid w:val="00724007"/>
    <w:rsid w:val="007244F5"/>
    <w:rsid w:val="00724877"/>
    <w:rsid w:val="00724F32"/>
    <w:rsid w:val="007255B2"/>
    <w:rsid w:val="00725805"/>
    <w:rsid w:val="00726532"/>
    <w:rsid w:val="00726652"/>
    <w:rsid w:val="00726B79"/>
    <w:rsid w:val="0072710D"/>
    <w:rsid w:val="007271E5"/>
    <w:rsid w:val="00727404"/>
    <w:rsid w:val="007308C3"/>
    <w:rsid w:val="0073096D"/>
    <w:rsid w:val="00730C55"/>
    <w:rsid w:val="00731247"/>
    <w:rsid w:val="00731352"/>
    <w:rsid w:val="007313B6"/>
    <w:rsid w:val="007314FB"/>
    <w:rsid w:val="00731A16"/>
    <w:rsid w:val="00731E9A"/>
    <w:rsid w:val="00732DBA"/>
    <w:rsid w:val="00733153"/>
    <w:rsid w:val="007332D3"/>
    <w:rsid w:val="00733580"/>
    <w:rsid w:val="00733582"/>
    <w:rsid w:val="00733642"/>
    <w:rsid w:val="007337BA"/>
    <w:rsid w:val="007341CC"/>
    <w:rsid w:val="007341EF"/>
    <w:rsid w:val="00734210"/>
    <w:rsid w:val="007345E8"/>
    <w:rsid w:val="007347F0"/>
    <w:rsid w:val="0073504B"/>
    <w:rsid w:val="0073539E"/>
    <w:rsid w:val="007354B1"/>
    <w:rsid w:val="007356C2"/>
    <w:rsid w:val="00735A89"/>
    <w:rsid w:val="00735AC7"/>
    <w:rsid w:val="00735ED1"/>
    <w:rsid w:val="00736679"/>
    <w:rsid w:val="007367AB"/>
    <w:rsid w:val="00736946"/>
    <w:rsid w:val="0073697D"/>
    <w:rsid w:val="00736E5E"/>
    <w:rsid w:val="00737812"/>
    <w:rsid w:val="00737F83"/>
    <w:rsid w:val="00740258"/>
    <w:rsid w:val="007403BB"/>
    <w:rsid w:val="0074063A"/>
    <w:rsid w:val="00740D12"/>
    <w:rsid w:val="00740D1D"/>
    <w:rsid w:val="00740D99"/>
    <w:rsid w:val="00742660"/>
    <w:rsid w:val="0074278D"/>
    <w:rsid w:val="00742872"/>
    <w:rsid w:val="007428A6"/>
    <w:rsid w:val="00742F4C"/>
    <w:rsid w:val="007433A8"/>
    <w:rsid w:val="00743BA0"/>
    <w:rsid w:val="00743D22"/>
    <w:rsid w:val="00743D7E"/>
    <w:rsid w:val="007440B2"/>
    <w:rsid w:val="00744BF8"/>
    <w:rsid w:val="00744C1A"/>
    <w:rsid w:val="00744FCF"/>
    <w:rsid w:val="00745283"/>
    <w:rsid w:val="00745354"/>
    <w:rsid w:val="00745698"/>
    <w:rsid w:val="00745727"/>
    <w:rsid w:val="00745844"/>
    <w:rsid w:val="00745C19"/>
    <w:rsid w:val="0074649E"/>
    <w:rsid w:val="00746705"/>
    <w:rsid w:val="00746E22"/>
    <w:rsid w:val="00747EEC"/>
    <w:rsid w:val="00750275"/>
    <w:rsid w:val="0075047A"/>
    <w:rsid w:val="00750502"/>
    <w:rsid w:val="0075059C"/>
    <w:rsid w:val="007508D2"/>
    <w:rsid w:val="00750FA5"/>
    <w:rsid w:val="007512D0"/>
    <w:rsid w:val="007513D7"/>
    <w:rsid w:val="007514A8"/>
    <w:rsid w:val="00751F30"/>
    <w:rsid w:val="0075238A"/>
    <w:rsid w:val="00752392"/>
    <w:rsid w:val="00752703"/>
    <w:rsid w:val="00752899"/>
    <w:rsid w:val="007528A9"/>
    <w:rsid w:val="00752D54"/>
    <w:rsid w:val="00752D98"/>
    <w:rsid w:val="00752F1E"/>
    <w:rsid w:val="007533F8"/>
    <w:rsid w:val="007537C3"/>
    <w:rsid w:val="00753A3D"/>
    <w:rsid w:val="00754581"/>
    <w:rsid w:val="007547D0"/>
    <w:rsid w:val="00754A07"/>
    <w:rsid w:val="00754BAF"/>
    <w:rsid w:val="00754F37"/>
    <w:rsid w:val="00755ACA"/>
    <w:rsid w:val="00755E60"/>
    <w:rsid w:val="0075630B"/>
    <w:rsid w:val="0075639F"/>
    <w:rsid w:val="00756497"/>
    <w:rsid w:val="0075689E"/>
    <w:rsid w:val="007568A1"/>
    <w:rsid w:val="0075695B"/>
    <w:rsid w:val="00756CA9"/>
    <w:rsid w:val="00757024"/>
    <w:rsid w:val="00757055"/>
    <w:rsid w:val="007574B1"/>
    <w:rsid w:val="00760285"/>
    <w:rsid w:val="00760655"/>
    <w:rsid w:val="00760678"/>
    <w:rsid w:val="00760A5C"/>
    <w:rsid w:val="0076169B"/>
    <w:rsid w:val="00761874"/>
    <w:rsid w:val="00761BF7"/>
    <w:rsid w:val="00761CC8"/>
    <w:rsid w:val="00761D0A"/>
    <w:rsid w:val="00762974"/>
    <w:rsid w:val="00762CE7"/>
    <w:rsid w:val="0076334B"/>
    <w:rsid w:val="0076359F"/>
    <w:rsid w:val="0076399E"/>
    <w:rsid w:val="00763E5E"/>
    <w:rsid w:val="00764696"/>
    <w:rsid w:val="00764E9F"/>
    <w:rsid w:val="00765675"/>
    <w:rsid w:val="0076567B"/>
    <w:rsid w:val="0076582C"/>
    <w:rsid w:val="007658EF"/>
    <w:rsid w:val="00765F87"/>
    <w:rsid w:val="0076611E"/>
    <w:rsid w:val="007666AE"/>
    <w:rsid w:val="00766881"/>
    <w:rsid w:val="00766891"/>
    <w:rsid w:val="00766B91"/>
    <w:rsid w:val="00766FEB"/>
    <w:rsid w:val="0076772C"/>
    <w:rsid w:val="007678AD"/>
    <w:rsid w:val="00767958"/>
    <w:rsid w:val="00767BEE"/>
    <w:rsid w:val="00767C7D"/>
    <w:rsid w:val="00767D8A"/>
    <w:rsid w:val="00770176"/>
    <w:rsid w:val="007701C0"/>
    <w:rsid w:val="00770853"/>
    <w:rsid w:val="00770969"/>
    <w:rsid w:val="00770E79"/>
    <w:rsid w:val="00771258"/>
    <w:rsid w:val="0077161B"/>
    <w:rsid w:val="007717AB"/>
    <w:rsid w:val="00771892"/>
    <w:rsid w:val="00771AC1"/>
    <w:rsid w:val="00771E1A"/>
    <w:rsid w:val="00771EF7"/>
    <w:rsid w:val="00771F2B"/>
    <w:rsid w:val="00772500"/>
    <w:rsid w:val="007726D3"/>
    <w:rsid w:val="00772E9C"/>
    <w:rsid w:val="007732D4"/>
    <w:rsid w:val="00773483"/>
    <w:rsid w:val="007734FE"/>
    <w:rsid w:val="00773548"/>
    <w:rsid w:val="00773832"/>
    <w:rsid w:val="0077385F"/>
    <w:rsid w:val="00773A54"/>
    <w:rsid w:val="0077416B"/>
    <w:rsid w:val="00774F4C"/>
    <w:rsid w:val="00774F8E"/>
    <w:rsid w:val="00775307"/>
    <w:rsid w:val="00775B9D"/>
    <w:rsid w:val="00776B79"/>
    <w:rsid w:val="00776C41"/>
    <w:rsid w:val="00776E3A"/>
    <w:rsid w:val="007774C9"/>
    <w:rsid w:val="007777B8"/>
    <w:rsid w:val="00777B03"/>
    <w:rsid w:val="00780107"/>
    <w:rsid w:val="00780159"/>
    <w:rsid w:val="007803D3"/>
    <w:rsid w:val="0078041A"/>
    <w:rsid w:val="00780595"/>
    <w:rsid w:val="0078071C"/>
    <w:rsid w:val="00781544"/>
    <w:rsid w:val="0078185C"/>
    <w:rsid w:val="00781A59"/>
    <w:rsid w:val="00781C5B"/>
    <w:rsid w:val="00782368"/>
    <w:rsid w:val="00782840"/>
    <w:rsid w:val="00782A32"/>
    <w:rsid w:val="00782E22"/>
    <w:rsid w:val="00782F98"/>
    <w:rsid w:val="0078333C"/>
    <w:rsid w:val="00783F92"/>
    <w:rsid w:val="00784BE3"/>
    <w:rsid w:val="00784DC1"/>
    <w:rsid w:val="007853A6"/>
    <w:rsid w:val="00785548"/>
    <w:rsid w:val="007860EE"/>
    <w:rsid w:val="007861AB"/>
    <w:rsid w:val="00786767"/>
    <w:rsid w:val="0078687B"/>
    <w:rsid w:val="00786E10"/>
    <w:rsid w:val="00786E1D"/>
    <w:rsid w:val="00786FDF"/>
    <w:rsid w:val="00787293"/>
    <w:rsid w:val="0078733D"/>
    <w:rsid w:val="0078764E"/>
    <w:rsid w:val="007876C4"/>
    <w:rsid w:val="00787ADA"/>
    <w:rsid w:val="00787D59"/>
    <w:rsid w:val="00787E7F"/>
    <w:rsid w:val="00787F56"/>
    <w:rsid w:val="00790034"/>
    <w:rsid w:val="007900C4"/>
    <w:rsid w:val="007902C8"/>
    <w:rsid w:val="00790367"/>
    <w:rsid w:val="00790902"/>
    <w:rsid w:val="00790E5A"/>
    <w:rsid w:val="00791199"/>
    <w:rsid w:val="00791255"/>
    <w:rsid w:val="00791383"/>
    <w:rsid w:val="007914CC"/>
    <w:rsid w:val="00791559"/>
    <w:rsid w:val="00791A78"/>
    <w:rsid w:val="00791B66"/>
    <w:rsid w:val="00791C7A"/>
    <w:rsid w:val="00791F3C"/>
    <w:rsid w:val="00792754"/>
    <w:rsid w:val="00792790"/>
    <w:rsid w:val="0079291C"/>
    <w:rsid w:val="00792DC9"/>
    <w:rsid w:val="007933D8"/>
    <w:rsid w:val="00793CF3"/>
    <w:rsid w:val="00793F84"/>
    <w:rsid w:val="0079497E"/>
    <w:rsid w:val="00794BC4"/>
    <w:rsid w:val="00794E16"/>
    <w:rsid w:val="00795AA8"/>
    <w:rsid w:val="0079676C"/>
    <w:rsid w:val="00796963"/>
    <w:rsid w:val="00797E7C"/>
    <w:rsid w:val="007A013D"/>
    <w:rsid w:val="007A077E"/>
    <w:rsid w:val="007A08EE"/>
    <w:rsid w:val="007A09D0"/>
    <w:rsid w:val="007A16DC"/>
    <w:rsid w:val="007A1897"/>
    <w:rsid w:val="007A1925"/>
    <w:rsid w:val="007A1AF6"/>
    <w:rsid w:val="007A1B03"/>
    <w:rsid w:val="007A20AB"/>
    <w:rsid w:val="007A22E5"/>
    <w:rsid w:val="007A263B"/>
    <w:rsid w:val="007A26E6"/>
    <w:rsid w:val="007A28FE"/>
    <w:rsid w:val="007A2989"/>
    <w:rsid w:val="007A334A"/>
    <w:rsid w:val="007A3FBB"/>
    <w:rsid w:val="007A42E8"/>
    <w:rsid w:val="007A44D8"/>
    <w:rsid w:val="007A45DB"/>
    <w:rsid w:val="007A544D"/>
    <w:rsid w:val="007A5D81"/>
    <w:rsid w:val="007A5E76"/>
    <w:rsid w:val="007A61E5"/>
    <w:rsid w:val="007A63FF"/>
    <w:rsid w:val="007A7843"/>
    <w:rsid w:val="007A7AE1"/>
    <w:rsid w:val="007A7BCA"/>
    <w:rsid w:val="007B0131"/>
    <w:rsid w:val="007B015F"/>
    <w:rsid w:val="007B035F"/>
    <w:rsid w:val="007B03FE"/>
    <w:rsid w:val="007B0583"/>
    <w:rsid w:val="007B09D2"/>
    <w:rsid w:val="007B0CE6"/>
    <w:rsid w:val="007B0DA7"/>
    <w:rsid w:val="007B11AD"/>
    <w:rsid w:val="007B131A"/>
    <w:rsid w:val="007B1B20"/>
    <w:rsid w:val="007B1C81"/>
    <w:rsid w:val="007B1D8D"/>
    <w:rsid w:val="007B24D9"/>
    <w:rsid w:val="007B25CB"/>
    <w:rsid w:val="007B29A2"/>
    <w:rsid w:val="007B306A"/>
    <w:rsid w:val="007B3341"/>
    <w:rsid w:val="007B355D"/>
    <w:rsid w:val="007B3AFC"/>
    <w:rsid w:val="007B5110"/>
    <w:rsid w:val="007B5134"/>
    <w:rsid w:val="007B53A3"/>
    <w:rsid w:val="007B596F"/>
    <w:rsid w:val="007B5EF3"/>
    <w:rsid w:val="007B5FF2"/>
    <w:rsid w:val="007B6133"/>
    <w:rsid w:val="007B629A"/>
    <w:rsid w:val="007B6452"/>
    <w:rsid w:val="007B68C5"/>
    <w:rsid w:val="007B6B76"/>
    <w:rsid w:val="007B6CD5"/>
    <w:rsid w:val="007B7168"/>
    <w:rsid w:val="007B718C"/>
    <w:rsid w:val="007B74F1"/>
    <w:rsid w:val="007C00FC"/>
    <w:rsid w:val="007C03E4"/>
    <w:rsid w:val="007C051A"/>
    <w:rsid w:val="007C0B82"/>
    <w:rsid w:val="007C0CF7"/>
    <w:rsid w:val="007C17D6"/>
    <w:rsid w:val="007C17FA"/>
    <w:rsid w:val="007C1B6B"/>
    <w:rsid w:val="007C228C"/>
    <w:rsid w:val="007C23F3"/>
    <w:rsid w:val="007C27CF"/>
    <w:rsid w:val="007C3506"/>
    <w:rsid w:val="007C361A"/>
    <w:rsid w:val="007C378A"/>
    <w:rsid w:val="007C39DA"/>
    <w:rsid w:val="007C3B43"/>
    <w:rsid w:val="007C3F02"/>
    <w:rsid w:val="007C4328"/>
    <w:rsid w:val="007C453A"/>
    <w:rsid w:val="007C47AE"/>
    <w:rsid w:val="007C4A12"/>
    <w:rsid w:val="007C4E55"/>
    <w:rsid w:val="007C5DFE"/>
    <w:rsid w:val="007C63B2"/>
    <w:rsid w:val="007C6550"/>
    <w:rsid w:val="007C7074"/>
    <w:rsid w:val="007C742B"/>
    <w:rsid w:val="007C7C2C"/>
    <w:rsid w:val="007D0045"/>
    <w:rsid w:val="007D03F7"/>
    <w:rsid w:val="007D052A"/>
    <w:rsid w:val="007D0941"/>
    <w:rsid w:val="007D0A1E"/>
    <w:rsid w:val="007D1087"/>
    <w:rsid w:val="007D132A"/>
    <w:rsid w:val="007D13AD"/>
    <w:rsid w:val="007D15FF"/>
    <w:rsid w:val="007D1C36"/>
    <w:rsid w:val="007D2034"/>
    <w:rsid w:val="007D220F"/>
    <w:rsid w:val="007D297B"/>
    <w:rsid w:val="007D2AFC"/>
    <w:rsid w:val="007D2C20"/>
    <w:rsid w:val="007D308D"/>
    <w:rsid w:val="007D30E7"/>
    <w:rsid w:val="007D3DB2"/>
    <w:rsid w:val="007D43ED"/>
    <w:rsid w:val="007D4620"/>
    <w:rsid w:val="007D468F"/>
    <w:rsid w:val="007D4867"/>
    <w:rsid w:val="007D4BA6"/>
    <w:rsid w:val="007D500C"/>
    <w:rsid w:val="007D567F"/>
    <w:rsid w:val="007D5B3B"/>
    <w:rsid w:val="007D68AF"/>
    <w:rsid w:val="007D6C94"/>
    <w:rsid w:val="007D71B5"/>
    <w:rsid w:val="007D7E6A"/>
    <w:rsid w:val="007D7F3E"/>
    <w:rsid w:val="007E025C"/>
    <w:rsid w:val="007E038D"/>
    <w:rsid w:val="007E1441"/>
    <w:rsid w:val="007E1636"/>
    <w:rsid w:val="007E1D4F"/>
    <w:rsid w:val="007E2299"/>
    <w:rsid w:val="007E2F63"/>
    <w:rsid w:val="007E353A"/>
    <w:rsid w:val="007E39BE"/>
    <w:rsid w:val="007E43E0"/>
    <w:rsid w:val="007E4D8F"/>
    <w:rsid w:val="007E5323"/>
    <w:rsid w:val="007E532F"/>
    <w:rsid w:val="007E5414"/>
    <w:rsid w:val="007E5B46"/>
    <w:rsid w:val="007E5B5D"/>
    <w:rsid w:val="007E5D23"/>
    <w:rsid w:val="007E5D69"/>
    <w:rsid w:val="007E62C5"/>
    <w:rsid w:val="007E659A"/>
    <w:rsid w:val="007E69FD"/>
    <w:rsid w:val="007E6E27"/>
    <w:rsid w:val="007E7360"/>
    <w:rsid w:val="007E7642"/>
    <w:rsid w:val="007F009A"/>
    <w:rsid w:val="007F00EC"/>
    <w:rsid w:val="007F0130"/>
    <w:rsid w:val="007F014D"/>
    <w:rsid w:val="007F02C0"/>
    <w:rsid w:val="007F02FC"/>
    <w:rsid w:val="007F0396"/>
    <w:rsid w:val="007F075E"/>
    <w:rsid w:val="007F114E"/>
    <w:rsid w:val="007F1CD4"/>
    <w:rsid w:val="007F21E6"/>
    <w:rsid w:val="007F2C8D"/>
    <w:rsid w:val="007F2CDE"/>
    <w:rsid w:val="007F2E2B"/>
    <w:rsid w:val="007F2E5C"/>
    <w:rsid w:val="007F32F2"/>
    <w:rsid w:val="007F33CA"/>
    <w:rsid w:val="007F39D8"/>
    <w:rsid w:val="007F3C3D"/>
    <w:rsid w:val="007F3C5D"/>
    <w:rsid w:val="007F444D"/>
    <w:rsid w:val="007F4562"/>
    <w:rsid w:val="007F469F"/>
    <w:rsid w:val="007F4AD6"/>
    <w:rsid w:val="007F4EF6"/>
    <w:rsid w:val="007F51E1"/>
    <w:rsid w:val="007F5570"/>
    <w:rsid w:val="007F5863"/>
    <w:rsid w:val="007F65BF"/>
    <w:rsid w:val="007F6C57"/>
    <w:rsid w:val="007F6F88"/>
    <w:rsid w:val="007F73B2"/>
    <w:rsid w:val="007F75AB"/>
    <w:rsid w:val="007F7828"/>
    <w:rsid w:val="007F7895"/>
    <w:rsid w:val="007F7AC9"/>
    <w:rsid w:val="007F7FFA"/>
    <w:rsid w:val="00800230"/>
    <w:rsid w:val="008011DB"/>
    <w:rsid w:val="008013F4"/>
    <w:rsid w:val="00801879"/>
    <w:rsid w:val="00801E74"/>
    <w:rsid w:val="00801EF1"/>
    <w:rsid w:val="008020CC"/>
    <w:rsid w:val="008021DA"/>
    <w:rsid w:val="0080256C"/>
    <w:rsid w:val="008026EF"/>
    <w:rsid w:val="0080349D"/>
    <w:rsid w:val="008038FF"/>
    <w:rsid w:val="00803989"/>
    <w:rsid w:val="008039A6"/>
    <w:rsid w:val="00803C43"/>
    <w:rsid w:val="0080413D"/>
    <w:rsid w:val="0080417F"/>
    <w:rsid w:val="00804E0D"/>
    <w:rsid w:val="00804E59"/>
    <w:rsid w:val="00805371"/>
    <w:rsid w:val="00806153"/>
    <w:rsid w:val="008066A9"/>
    <w:rsid w:val="008068D0"/>
    <w:rsid w:val="00806A5C"/>
    <w:rsid w:val="0080708F"/>
    <w:rsid w:val="008070C0"/>
    <w:rsid w:val="008070FD"/>
    <w:rsid w:val="008072BC"/>
    <w:rsid w:val="008073AF"/>
    <w:rsid w:val="00807B62"/>
    <w:rsid w:val="00807E2D"/>
    <w:rsid w:val="00810693"/>
    <w:rsid w:val="0081081E"/>
    <w:rsid w:val="00811A2B"/>
    <w:rsid w:val="00811D3A"/>
    <w:rsid w:val="00812A23"/>
    <w:rsid w:val="00812A37"/>
    <w:rsid w:val="00812B24"/>
    <w:rsid w:val="0081307B"/>
    <w:rsid w:val="00813399"/>
    <w:rsid w:val="00813C60"/>
    <w:rsid w:val="00813D84"/>
    <w:rsid w:val="00813F48"/>
    <w:rsid w:val="00814252"/>
    <w:rsid w:val="00814950"/>
    <w:rsid w:val="00814EC4"/>
    <w:rsid w:val="00815D2D"/>
    <w:rsid w:val="00815EEB"/>
    <w:rsid w:val="00815F18"/>
    <w:rsid w:val="008161BB"/>
    <w:rsid w:val="008165F7"/>
    <w:rsid w:val="008168CF"/>
    <w:rsid w:val="00816F7A"/>
    <w:rsid w:val="008178A9"/>
    <w:rsid w:val="00817BCE"/>
    <w:rsid w:val="0082076D"/>
    <w:rsid w:val="008207D6"/>
    <w:rsid w:val="00820B95"/>
    <w:rsid w:val="00821727"/>
    <w:rsid w:val="008218C0"/>
    <w:rsid w:val="00821FA9"/>
    <w:rsid w:val="00822054"/>
    <w:rsid w:val="0082268B"/>
    <w:rsid w:val="00822B9C"/>
    <w:rsid w:val="00822DB1"/>
    <w:rsid w:val="00823DBE"/>
    <w:rsid w:val="00823F78"/>
    <w:rsid w:val="0082418E"/>
    <w:rsid w:val="00824608"/>
    <w:rsid w:val="00824959"/>
    <w:rsid w:val="00824F2F"/>
    <w:rsid w:val="00825029"/>
    <w:rsid w:val="008250A9"/>
    <w:rsid w:val="008251CE"/>
    <w:rsid w:val="0082568D"/>
    <w:rsid w:val="008259CB"/>
    <w:rsid w:val="00825B03"/>
    <w:rsid w:val="008268A4"/>
    <w:rsid w:val="0082734A"/>
    <w:rsid w:val="00827733"/>
    <w:rsid w:val="00827B0A"/>
    <w:rsid w:val="0083039A"/>
    <w:rsid w:val="008303E2"/>
    <w:rsid w:val="00830EB6"/>
    <w:rsid w:val="00831433"/>
    <w:rsid w:val="00831473"/>
    <w:rsid w:val="00831AA0"/>
    <w:rsid w:val="00832483"/>
    <w:rsid w:val="0083285B"/>
    <w:rsid w:val="00832EAF"/>
    <w:rsid w:val="00833094"/>
    <w:rsid w:val="008332E9"/>
    <w:rsid w:val="00833775"/>
    <w:rsid w:val="0083379C"/>
    <w:rsid w:val="00833B9B"/>
    <w:rsid w:val="00833D09"/>
    <w:rsid w:val="0083450A"/>
    <w:rsid w:val="0083475E"/>
    <w:rsid w:val="00834BFC"/>
    <w:rsid w:val="00834DEE"/>
    <w:rsid w:val="00835160"/>
    <w:rsid w:val="008352E2"/>
    <w:rsid w:val="00835521"/>
    <w:rsid w:val="008355A5"/>
    <w:rsid w:val="008356FD"/>
    <w:rsid w:val="00835ECD"/>
    <w:rsid w:val="0083638A"/>
    <w:rsid w:val="0083656F"/>
    <w:rsid w:val="008366D7"/>
    <w:rsid w:val="00836F15"/>
    <w:rsid w:val="008370FD"/>
    <w:rsid w:val="008372B5"/>
    <w:rsid w:val="008379A5"/>
    <w:rsid w:val="00840071"/>
    <w:rsid w:val="008407D7"/>
    <w:rsid w:val="0084080C"/>
    <w:rsid w:val="00840ADD"/>
    <w:rsid w:val="00840BD2"/>
    <w:rsid w:val="00840C6F"/>
    <w:rsid w:val="00840D3A"/>
    <w:rsid w:val="00840EBE"/>
    <w:rsid w:val="008411FC"/>
    <w:rsid w:val="008414A2"/>
    <w:rsid w:val="008414CF"/>
    <w:rsid w:val="00841D63"/>
    <w:rsid w:val="00841D9A"/>
    <w:rsid w:val="00841F7E"/>
    <w:rsid w:val="008424B4"/>
    <w:rsid w:val="0084263F"/>
    <w:rsid w:val="0084279A"/>
    <w:rsid w:val="00842931"/>
    <w:rsid w:val="00842F7C"/>
    <w:rsid w:val="0084320D"/>
    <w:rsid w:val="00843257"/>
    <w:rsid w:val="008433B9"/>
    <w:rsid w:val="00843553"/>
    <w:rsid w:val="00843D12"/>
    <w:rsid w:val="008440E2"/>
    <w:rsid w:val="00844677"/>
    <w:rsid w:val="00844733"/>
    <w:rsid w:val="00844759"/>
    <w:rsid w:val="00844963"/>
    <w:rsid w:val="00844A91"/>
    <w:rsid w:val="00844C2C"/>
    <w:rsid w:val="00845268"/>
    <w:rsid w:val="008454CD"/>
    <w:rsid w:val="008462C8"/>
    <w:rsid w:val="0084648F"/>
    <w:rsid w:val="00846666"/>
    <w:rsid w:val="00846777"/>
    <w:rsid w:val="008468A8"/>
    <w:rsid w:val="00846F5B"/>
    <w:rsid w:val="00846F6C"/>
    <w:rsid w:val="008473EB"/>
    <w:rsid w:val="0084740E"/>
    <w:rsid w:val="00847743"/>
    <w:rsid w:val="00847B2F"/>
    <w:rsid w:val="00847BE7"/>
    <w:rsid w:val="00847DA6"/>
    <w:rsid w:val="00847F4B"/>
    <w:rsid w:val="00850001"/>
    <w:rsid w:val="00850217"/>
    <w:rsid w:val="008502F9"/>
    <w:rsid w:val="008506A2"/>
    <w:rsid w:val="008507FB"/>
    <w:rsid w:val="00850A53"/>
    <w:rsid w:val="00850AD2"/>
    <w:rsid w:val="00851292"/>
    <w:rsid w:val="008515A1"/>
    <w:rsid w:val="008517D6"/>
    <w:rsid w:val="00851B42"/>
    <w:rsid w:val="00851BD4"/>
    <w:rsid w:val="00851DA8"/>
    <w:rsid w:val="00852083"/>
    <w:rsid w:val="00853289"/>
    <w:rsid w:val="008536B5"/>
    <w:rsid w:val="008536C9"/>
    <w:rsid w:val="00853E80"/>
    <w:rsid w:val="00853FEC"/>
    <w:rsid w:val="0085402B"/>
    <w:rsid w:val="00854249"/>
    <w:rsid w:val="00854512"/>
    <w:rsid w:val="0085455D"/>
    <w:rsid w:val="008546EB"/>
    <w:rsid w:val="00854F50"/>
    <w:rsid w:val="00855760"/>
    <w:rsid w:val="00855A6A"/>
    <w:rsid w:val="00856099"/>
    <w:rsid w:val="008560AB"/>
    <w:rsid w:val="008562FF"/>
    <w:rsid w:val="008566FB"/>
    <w:rsid w:val="00856806"/>
    <w:rsid w:val="0085730C"/>
    <w:rsid w:val="008601EC"/>
    <w:rsid w:val="008606E9"/>
    <w:rsid w:val="00860F31"/>
    <w:rsid w:val="00861CB3"/>
    <w:rsid w:val="008622BC"/>
    <w:rsid w:val="0086269D"/>
    <w:rsid w:val="00862CC5"/>
    <w:rsid w:val="00862DBC"/>
    <w:rsid w:val="00862FEB"/>
    <w:rsid w:val="008635BD"/>
    <w:rsid w:val="00863BF2"/>
    <w:rsid w:val="00863D1C"/>
    <w:rsid w:val="00863E24"/>
    <w:rsid w:val="008640DB"/>
    <w:rsid w:val="00864737"/>
    <w:rsid w:val="00864B00"/>
    <w:rsid w:val="00864C85"/>
    <w:rsid w:val="0086508C"/>
    <w:rsid w:val="008655F2"/>
    <w:rsid w:val="008657C6"/>
    <w:rsid w:val="00865EFF"/>
    <w:rsid w:val="008661D5"/>
    <w:rsid w:val="00866751"/>
    <w:rsid w:val="008669E9"/>
    <w:rsid w:val="00866A4E"/>
    <w:rsid w:val="00866A5C"/>
    <w:rsid w:val="00866ADF"/>
    <w:rsid w:val="00866B13"/>
    <w:rsid w:val="008670F0"/>
    <w:rsid w:val="00867544"/>
    <w:rsid w:val="0086796B"/>
    <w:rsid w:val="0086798A"/>
    <w:rsid w:val="00867EA2"/>
    <w:rsid w:val="00867F9E"/>
    <w:rsid w:val="008707A1"/>
    <w:rsid w:val="00870949"/>
    <w:rsid w:val="0087116E"/>
    <w:rsid w:val="00871650"/>
    <w:rsid w:val="008718FD"/>
    <w:rsid w:val="00871D4C"/>
    <w:rsid w:val="00871E23"/>
    <w:rsid w:val="00871E59"/>
    <w:rsid w:val="00872525"/>
    <w:rsid w:val="00872A10"/>
    <w:rsid w:val="008738E9"/>
    <w:rsid w:val="00873C76"/>
    <w:rsid w:val="00874242"/>
    <w:rsid w:val="0087434D"/>
    <w:rsid w:val="008748A4"/>
    <w:rsid w:val="00874E7C"/>
    <w:rsid w:val="008757E1"/>
    <w:rsid w:val="00875921"/>
    <w:rsid w:val="008759E3"/>
    <w:rsid w:val="00875A76"/>
    <w:rsid w:val="00875B59"/>
    <w:rsid w:val="00875F9A"/>
    <w:rsid w:val="00875FF7"/>
    <w:rsid w:val="0087667E"/>
    <w:rsid w:val="008767E5"/>
    <w:rsid w:val="00876837"/>
    <w:rsid w:val="00876926"/>
    <w:rsid w:val="008771D2"/>
    <w:rsid w:val="0087773C"/>
    <w:rsid w:val="008778C9"/>
    <w:rsid w:val="00877A96"/>
    <w:rsid w:val="00877D8C"/>
    <w:rsid w:val="00877E09"/>
    <w:rsid w:val="00880030"/>
    <w:rsid w:val="0088017A"/>
    <w:rsid w:val="0088089A"/>
    <w:rsid w:val="008808D8"/>
    <w:rsid w:val="00880D9A"/>
    <w:rsid w:val="00880E5E"/>
    <w:rsid w:val="0088126D"/>
    <w:rsid w:val="0088151D"/>
    <w:rsid w:val="00881ACE"/>
    <w:rsid w:val="00881F41"/>
    <w:rsid w:val="00881F59"/>
    <w:rsid w:val="008822E1"/>
    <w:rsid w:val="008829B0"/>
    <w:rsid w:val="00882AE3"/>
    <w:rsid w:val="0088355F"/>
    <w:rsid w:val="008837F1"/>
    <w:rsid w:val="00883882"/>
    <w:rsid w:val="00883B46"/>
    <w:rsid w:val="00883C7C"/>
    <w:rsid w:val="00883F29"/>
    <w:rsid w:val="00884702"/>
    <w:rsid w:val="00884A21"/>
    <w:rsid w:val="00884C50"/>
    <w:rsid w:val="00885179"/>
    <w:rsid w:val="0088534A"/>
    <w:rsid w:val="00885924"/>
    <w:rsid w:val="00885AA8"/>
    <w:rsid w:val="00885AF7"/>
    <w:rsid w:val="00886412"/>
    <w:rsid w:val="00886B07"/>
    <w:rsid w:val="00886E5C"/>
    <w:rsid w:val="00887193"/>
    <w:rsid w:val="008875FE"/>
    <w:rsid w:val="00887894"/>
    <w:rsid w:val="0088795C"/>
    <w:rsid w:val="00887A3C"/>
    <w:rsid w:val="00887ECC"/>
    <w:rsid w:val="008901DE"/>
    <w:rsid w:val="00890ABA"/>
    <w:rsid w:val="00890BD6"/>
    <w:rsid w:val="00891762"/>
    <w:rsid w:val="00891CFE"/>
    <w:rsid w:val="00892136"/>
    <w:rsid w:val="008921F8"/>
    <w:rsid w:val="008932B1"/>
    <w:rsid w:val="00893355"/>
    <w:rsid w:val="008933E6"/>
    <w:rsid w:val="008934F3"/>
    <w:rsid w:val="0089354A"/>
    <w:rsid w:val="00894178"/>
    <w:rsid w:val="00894229"/>
    <w:rsid w:val="00894596"/>
    <w:rsid w:val="00894959"/>
    <w:rsid w:val="00894FB8"/>
    <w:rsid w:val="00894FDF"/>
    <w:rsid w:val="0089577A"/>
    <w:rsid w:val="00895A8A"/>
    <w:rsid w:val="00895AD8"/>
    <w:rsid w:val="008961F3"/>
    <w:rsid w:val="0089693D"/>
    <w:rsid w:val="008969DE"/>
    <w:rsid w:val="00896E7B"/>
    <w:rsid w:val="00896F2B"/>
    <w:rsid w:val="008970A2"/>
    <w:rsid w:val="0089712B"/>
    <w:rsid w:val="00897144"/>
    <w:rsid w:val="008977D8"/>
    <w:rsid w:val="008A022D"/>
    <w:rsid w:val="008A09C1"/>
    <w:rsid w:val="008A100A"/>
    <w:rsid w:val="008A132F"/>
    <w:rsid w:val="008A1CE3"/>
    <w:rsid w:val="008A1F35"/>
    <w:rsid w:val="008A2104"/>
    <w:rsid w:val="008A2248"/>
    <w:rsid w:val="008A2413"/>
    <w:rsid w:val="008A241D"/>
    <w:rsid w:val="008A2ED7"/>
    <w:rsid w:val="008A3630"/>
    <w:rsid w:val="008A39DB"/>
    <w:rsid w:val="008A3A27"/>
    <w:rsid w:val="008A3FD6"/>
    <w:rsid w:val="008A41F7"/>
    <w:rsid w:val="008A42AB"/>
    <w:rsid w:val="008A4358"/>
    <w:rsid w:val="008A488A"/>
    <w:rsid w:val="008A4D64"/>
    <w:rsid w:val="008A5405"/>
    <w:rsid w:val="008A5660"/>
    <w:rsid w:val="008A59EA"/>
    <w:rsid w:val="008A5F80"/>
    <w:rsid w:val="008A61A7"/>
    <w:rsid w:val="008A7A70"/>
    <w:rsid w:val="008A7B91"/>
    <w:rsid w:val="008B0070"/>
    <w:rsid w:val="008B015B"/>
    <w:rsid w:val="008B01C1"/>
    <w:rsid w:val="008B07B6"/>
    <w:rsid w:val="008B0B4E"/>
    <w:rsid w:val="008B0BF3"/>
    <w:rsid w:val="008B0CA6"/>
    <w:rsid w:val="008B1159"/>
    <w:rsid w:val="008B11A3"/>
    <w:rsid w:val="008B1236"/>
    <w:rsid w:val="008B12EA"/>
    <w:rsid w:val="008B15BE"/>
    <w:rsid w:val="008B162E"/>
    <w:rsid w:val="008B252C"/>
    <w:rsid w:val="008B2804"/>
    <w:rsid w:val="008B2EB2"/>
    <w:rsid w:val="008B31B8"/>
    <w:rsid w:val="008B3278"/>
    <w:rsid w:val="008B352B"/>
    <w:rsid w:val="008B3909"/>
    <w:rsid w:val="008B3EBE"/>
    <w:rsid w:val="008B440F"/>
    <w:rsid w:val="008B48C2"/>
    <w:rsid w:val="008B4CB5"/>
    <w:rsid w:val="008B4EEC"/>
    <w:rsid w:val="008B54AF"/>
    <w:rsid w:val="008B5528"/>
    <w:rsid w:val="008B5995"/>
    <w:rsid w:val="008B5C1E"/>
    <w:rsid w:val="008B5D7E"/>
    <w:rsid w:val="008B5F22"/>
    <w:rsid w:val="008B5FA5"/>
    <w:rsid w:val="008B70FB"/>
    <w:rsid w:val="008B718B"/>
    <w:rsid w:val="008B78EA"/>
    <w:rsid w:val="008B7BC1"/>
    <w:rsid w:val="008B7F6D"/>
    <w:rsid w:val="008C05A8"/>
    <w:rsid w:val="008C0632"/>
    <w:rsid w:val="008C0BC2"/>
    <w:rsid w:val="008C0EEE"/>
    <w:rsid w:val="008C10BC"/>
    <w:rsid w:val="008C13D2"/>
    <w:rsid w:val="008C16B2"/>
    <w:rsid w:val="008C1A68"/>
    <w:rsid w:val="008C1C7C"/>
    <w:rsid w:val="008C1D57"/>
    <w:rsid w:val="008C1FAB"/>
    <w:rsid w:val="008C20C1"/>
    <w:rsid w:val="008C2C5C"/>
    <w:rsid w:val="008C2D4F"/>
    <w:rsid w:val="008C305E"/>
    <w:rsid w:val="008C3202"/>
    <w:rsid w:val="008C369F"/>
    <w:rsid w:val="008C4089"/>
    <w:rsid w:val="008C420A"/>
    <w:rsid w:val="008C4404"/>
    <w:rsid w:val="008C45D2"/>
    <w:rsid w:val="008C4935"/>
    <w:rsid w:val="008C499C"/>
    <w:rsid w:val="008C4BB5"/>
    <w:rsid w:val="008C4D03"/>
    <w:rsid w:val="008C5007"/>
    <w:rsid w:val="008C51F0"/>
    <w:rsid w:val="008C53F0"/>
    <w:rsid w:val="008C5545"/>
    <w:rsid w:val="008C55A2"/>
    <w:rsid w:val="008C5746"/>
    <w:rsid w:val="008C5B02"/>
    <w:rsid w:val="008C5C4B"/>
    <w:rsid w:val="008C5D79"/>
    <w:rsid w:val="008C5F02"/>
    <w:rsid w:val="008C6348"/>
    <w:rsid w:val="008C6942"/>
    <w:rsid w:val="008C69EC"/>
    <w:rsid w:val="008C6ACD"/>
    <w:rsid w:val="008C788B"/>
    <w:rsid w:val="008C7949"/>
    <w:rsid w:val="008C7E49"/>
    <w:rsid w:val="008C7FE9"/>
    <w:rsid w:val="008D056A"/>
    <w:rsid w:val="008D1193"/>
    <w:rsid w:val="008D1333"/>
    <w:rsid w:val="008D1A6B"/>
    <w:rsid w:val="008D1C17"/>
    <w:rsid w:val="008D22AF"/>
    <w:rsid w:val="008D23F7"/>
    <w:rsid w:val="008D2913"/>
    <w:rsid w:val="008D2FBA"/>
    <w:rsid w:val="008D335E"/>
    <w:rsid w:val="008D351C"/>
    <w:rsid w:val="008D3785"/>
    <w:rsid w:val="008D379B"/>
    <w:rsid w:val="008D395C"/>
    <w:rsid w:val="008D399A"/>
    <w:rsid w:val="008D4535"/>
    <w:rsid w:val="008D4847"/>
    <w:rsid w:val="008D4C46"/>
    <w:rsid w:val="008D5C58"/>
    <w:rsid w:val="008D5DA1"/>
    <w:rsid w:val="008D6182"/>
    <w:rsid w:val="008D63AA"/>
    <w:rsid w:val="008D6E70"/>
    <w:rsid w:val="008D79CB"/>
    <w:rsid w:val="008D7A41"/>
    <w:rsid w:val="008D7AE5"/>
    <w:rsid w:val="008D7E66"/>
    <w:rsid w:val="008D7F95"/>
    <w:rsid w:val="008E0059"/>
    <w:rsid w:val="008E01EC"/>
    <w:rsid w:val="008E022A"/>
    <w:rsid w:val="008E0CF5"/>
    <w:rsid w:val="008E1043"/>
    <w:rsid w:val="008E1658"/>
    <w:rsid w:val="008E17B0"/>
    <w:rsid w:val="008E18C8"/>
    <w:rsid w:val="008E1985"/>
    <w:rsid w:val="008E26BE"/>
    <w:rsid w:val="008E290E"/>
    <w:rsid w:val="008E3324"/>
    <w:rsid w:val="008E36A9"/>
    <w:rsid w:val="008E3FF2"/>
    <w:rsid w:val="008E40C6"/>
    <w:rsid w:val="008E44D1"/>
    <w:rsid w:val="008E49A9"/>
    <w:rsid w:val="008E4B49"/>
    <w:rsid w:val="008E4B5A"/>
    <w:rsid w:val="008E5180"/>
    <w:rsid w:val="008E5501"/>
    <w:rsid w:val="008E5638"/>
    <w:rsid w:val="008E5ACD"/>
    <w:rsid w:val="008E5D33"/>
    <w:rsid w:val="008E5F0D"/>
    <w:rsid w:val="008E5F62"/>
    <w:rsid w:val="008E6314"/>
    <w:rsid w:val="008E65C2"/>
    <w:rsid w:val="008E6BB0"/>
    <w:rsid w:val="008E6C24"/>
    <w:rsid w:val="008E6D54"/>
    <w:rsid w:val="008E6D73"/>
    <w:rsid w:val="008E6E22"/>
    <w:rsid w:val="008E6FA5"/>
    <w:rsid w:val="008E7383"/>
    <w:rsid w:val="008E76D5"/>
    <w:rsid w:val="008E79AE"/>
    <w:rsid w:val="008E7A67"/>
    <w:rsid w:val="008E7ABE"/>
    <w:rsid w:val="008F0061"/>
    <w:rsid w:val="008F0DCF"/>
    <w:rsid w:val="008F1877"/>
    <w:rsid w:val="008F18DA"/>
    <w:rsid w:val="008F1929"/>
    <w:rsid w:val="008F1AC8"/>
    <w:rsid w:val="008F1B94"/>
    <w:rsid w:val="008F2A01"/>
    <w:rsid w:val="008F2DFF"/>
    <w:rsid w:val="008F2ED6"/>
    <w:rsid w:val="008F2F64"/>
    <w:rsid w:val="008F32E1"/>
    <w:rsid w:val="008F367A"/>
    <w:rsid w:val="008F3747"/>
    <w:rsid w:val="008F37F4"/>
    <w:rsid w:val="008F4043"/>
    <w:rsid w:val="008F4A53"/>
    <w:rsid w:val="008F4ADF"/>
    <w:rsid w:val="008F55C5"/>
    <w:rsid w:val="008F58CF"/>
    <w:rsid w:val="008F5AA6"/>
    <w:rsid w:val="008F60FF"/>
    <w:rsid w:val="008F6173"/>
    <w:rsid w:val="008F61AB"/>
    <w:rsid w:val="008F6444"/>
    <w:rsid w:val="008F6565"/>
    <w:rsid w:val="008F66CE"/>
    <w:rsid w:val="008F6A01"/>
    <w:rsid w:val="008F7363"/>
    <w:rsid w:val="008F7675"/>
    <w:rsid w:val="008F7AC8"/>
    <w:rsid w:val="008F7BE3"/>
    <w:rsid w:val="008F7FD2"/>
    <w:rsid w:val="00900880"/>
    <w:rsid w:val="009014DF"/>
    <w:rsid w:val="00902195"/>
    <w:rsid w:val="00902805"/>
    <w:rsid w:val="00902CE0"/>
    <w:rsid w:val="00903140"/>
    <w:rsid w:val="0090329C"/>
    <w:rsid w:val="0090381E"/>
    <w:rsid w:val="00904C62"/>
    <w:rsid w:val="009051DE"/>
    <w:rsid w:val="0090564C"/>
    <w:rsid w:val="00905689"/>
    <w:rsid w:val="00905B68"/>
    <w:rsid w:val="00906486"/>
    <w:rsid w:val="009067DE"/>
    <w:rsid w:val="00906BBD"/>
    <w:rsid w:val="00906D92"/>
    <w:rsid w:val="00907647"/>
    <w:rsid w:val="009076E6"/>
    <w:rsid w:val="00907EA8"/>
    <w:rsid w:val="009100C3"/>
    <w:rsid w:val="00910FF2"/>
    <w:rsid w:val="009111C2"/>
    <w:rsid w:val="009112E4"/>
    <w:rsid w:val="009112ED"/>
    <w:rsid w:val="00911348"/>
    <w:rsid w:val="00911553"/>
    <w:rsid w:val="00911695"/>
    <w:rsid w:val="00911DC1"/>
    <w:rsid w:val="00911DCE"/>
    <w:rsid w:val="009120C2"/>
    <w:rsid w:val="0091243D"/>
    <w:rsid w:val="0091293D"/>
    <w:rsid w:val="00912B38"/>
    <w:rsid w:val="00912CCA"/>
    <w:rsid w:val="00912D47"/>
    <w:rsid w:val="00912E89"/>
    <w:rsid w:val="00913271"/>
    <w:rsid w:val="00913601"/>
    <w:rsid w:val="00914052"/>
    <w:rsid w:val="00914B18"/>
    <w:rsid w:val="00914B26"/>
    <w:rsid w:val="00914C00"/>
    <w:rsid w:val="009155CE"/>
    <w:rsid w:val="009159A9"/>
    <w:rsid w:val="009163CE"/>
    <w:rsid w:val="00916626"/>
    <w:rsid w:val="00916A29"/>
    <w:rsid w:val="00916ADC"/>
    <w:rsid w:val="0091738D"/>
    <w:rsid w:val="00917D39"/>
    <w:rsid w:val="00920127"/>
    <w:rsid w:val="009201B3"/>
    <w:rsid w:val="009206C8"/>
    <w:rsid w:val="009209D7"/>
    <w:rsid w:val="00920DE1"/>
    <w:rsid w:val="00921092"/>
    <w:rsid w:val="009216CE"/>
    <w:rsid w:val="00921FFC"/>
    <w:rsid w:val="009226A6"/>
    <w:rsid w:val="009229FA"/>
    <w:rsid w:val="00922D32"/>
    <w:rsid w:val="00923067"/>
    <w:rsid w:val="009230A5"/>
    <w:rsid w:val="009234D7"/>
    <w:rsid w:val="009236DC"/>
    <w:rsid w:val="009236F1"/>
    <w:rsid w:val="00924627"/>
    <w:rsid w:val="00924D44"/>
    <w:rsid w:val="00925259"/>
    <w:rsid w:val="00925574"/>
    <w:rsid w:val="00925970"/>
    <w:rsid w:val="00925A30"/>
    <w:rsid w:val="00925A3E"/>
    <w:rsid w:val="00925AF3"/>
    <w:rsid w:val="00925C48"/>
    <w:rsid w:val="00925CBE"/>
    <w:rsid w:val="00925D05"/>
    <w:rsid w:val="00925E57"/>
    <w:rsid w:val="00925EFB"/>
    <w:rsid w:val="00925F5D"/>
    <w:rsid w:val="00925F64"/>
    <w:rsid w:val="00926216"/>
    <w:rsid w:val="0092647E"/>
    <w:rsid w:val="00926654"/>
    <w:rsid w:val="00926779"/>
    <w:rsid w:val="00926AC4"/>
    <w:rsid w:val="00926D0D"/>
    <w:rsid w:val="00926ED0"/>
    <w:rsid w:val="00926FC5"/>
    <w:rsid w:val="00927AFF"/>
    <w:rsid w:val="009301CD"/>
    <w:rsid w:val="0093044B"/>
    <w:rsid w:val="00930457"/>
    <w:rsid w:val="009307A2"/>
    <w:rsid w:val="00930C11"/>
    <w:rsid w:val="00930D09"/>
    <w:rsid w:val="00930D94"/>
    <w:rsid w:val="009311CE"/>
    <w:rsid w:val="00931630"/>
    <w:rsid w:val="00931942"/>
    <w:rsid w:val="00931A00"/>
    <w:rsid w:val="00931F07"/>
    <w:rsid w:val="009321A8"/>
    <w:rsid w:val="00932217"/>
    <w:rsid w:val="009325A3"/>
    <w:rsid w:val="00932F2E"/>
    <w:rsid w:val="00933A17"/>
    <w:rsid w:val="00933C68"/>
    <w:rsid w:val="00933F19"/>
    <w:rsid w:val="0093472D"/>
    <w:rsid w:val="0093487C"/>
    <w:rsid w:val="00934BF1"/>
    <w:rsid w:val="00934F59"/>
    <w:rsid w:val="00934FA0"/>
    <w:rsid w:val="00935BAA"/>
    <w:rsid w:val="00935C5B"/>
    <w:rsid w:val="00935E8A"/>
    <w:rsid w:val="00936186"/>
    <w:rsid w:val="00936610"/>
    <w:rsid w:val="009367A8"/>
    <w:rsid w:val="00936AE2"/>
    <w:rsid w:val="00936D94"/>
    <w:rsid w:val="00936F31"/>
    <w:rsid w:val="009371B0"/>
    <w:rsid w:val="0093767E"/>
    <w:rsid w:val="00937688"/>
    <w:rsid w:val="0093770F"/>
    <w:rsid w:val="00937988"/>
    <w:rsid w:val="00937B07"/>
    <w:rsid w:val="00937B31"/>
    <w:rsid w:val="00940386"/>
    <w:rsid w:val="009403D6"/>
    <w:rsid w:val="009404DD"/>
    <w:rsid w:val="009404F6"/>
    <w:rsid w:val="00940E19"/>
    <w:rsid w:val="00940EA3"/>
    <w:rsid w:val="009411BC"/>
    <w:rsid w:val="0094146E"/>
    <w:rsid w:val="009414DB"/>
    <w:rsid w:val="00941678"/>
    <w:rsid w:val="009422BA"/>
    <w:rsid w:val="0094242A"/>
    <w:rsid w:val="00943148"/>
    <w:rsid w:val="0094324E"/>
    <w:rsid w:val="009437D1"/>
    <w:rsid w:val="0094440C"/>
    <w:rsid w:val="0094503D"/>
    <w:rsid w:val="00945344"/>
    <w:rsid w:val="00945768"/>
    <w:rsid w:val="009457C0"/>
    <w:rsid w:val="00945B54"/>
    <w:rsid w:val="00945F53"/>
    <w:rsid w:val="009462CA"/>
    <w:rsid w:val="0094659E"/>
    <w:rsid w:val="00946C39"/>
    <w:rsid w:val="0094756F"/>
    <w:rsid w:val="0094776D"/>
    <w:rsid w:val="009477CA"/>
    <w:rsid w:val="00947887"/>
    <w:rsid w:val="00947D66"/>
    <w:rsid w:val="00950094"/>
    <w:rsid w:val="00950601"/>
    <w:rsid w:val="009510E9"/>
    <w:rsid w:val="009516AD"/>
    <w:rsid w:val="009517D4"/>
    <w:rsid w:val="00951DAE"/>
    <w:rsid w:val="009522AA"/>
    <w:rsid w:val="009522C2"/>
    <w:rsid w:val="0095239A"/>
    <w:rsid w:val="0095270B"/>
    <w:rsid w:val="00952810"/>
    <w:rsid w:val="00952845"/>
    <w:rsid w:val="00953666"/>
    <w:rsid w:val="0095371D"/>
    <w:rsid w:val="00954D40"/>
    <w:rsid w:val="009550DC"/>
    <w:rsid w:val="0095518B"/>
    <w:rsid w:val="009551F9"/>
    <w:rsid w:val="00955581"/>
    <w:rsid w:val="00955AD4"/>
    <w:rsid w:val="00955F74"/>
    <w:rsid w:val="009561DB"/>
    <w:rsid w:val="009569BE"/>
    <w:rsid w:val="009569EE"/>
    <w:rsid w:val="00956B5B"/>
    <w:rsid w:val="00956FAD"/>
    <w:rsid w:val="009570FC"/>
    <w:rsid w:val="00957196"/>
    <w:rsid w:val="00957560"/>
    <w:rsid w:val="00957D35"/>
    <w:rsid w:val="00957F28"/>
    <w:rsid w:val="00957FD7"/>
    <w:rsid w:val="009605EE"/>
    <w:rsid w:val="0096151E"/>
    <w:rsid w:val="0096164C"/>
    <w:rsid w:val="009617E3"/>
    <w:rsid w:val="009618C2"/>
    <w:rsid w:val="00961D53"/>
    <w:rsid w:val="0096216A"/>
    <w:rsid w:val="00962170"/>
    <w:rsid w:val="009622A0"/>
    <w:rsid w:val="009622CB"/>
    <w:rsid w:val="009630F5"/>
    <w:rsid w:val="0096316A"/>
    <w:rsid w:val="009631EE"/>
    <w:rsid w:val="00963768"/>
    <w:rsid w:val="00963DA6"/>
    <w:rsid w:val="00963DAD"/>
    <w:rsid w:val="00964046"/>
    <w:rsid w:val="0096467A"/>
    <w:rsid w:val="00964A3C"/>
    <w:rsid w:val="00964CD4"/>
    <w:rsid w:val="00964DC6"/>
    <w:rsid w:val="00964E12"/>
    <w:rsid w:val="00965232"/>
    <w:rsid w:val="00965293"/>
    <w:rsid w:val="00965341"/>
    <w:rsid w:val="00965768"/>
    <w:rsid w:val="0096662B"/>
    <w:rsid w:val="00966819"/>
    <w:rsid w:val="00966A90"/>
    <w:rsid w:val="00966B7E"/>
    <w:rsid w:val="00966C8D"/>
    <w:rsid w:val="0096715D"/>
    <w:rsid w:val="009673CB"/>
    <w:rsid w:val="00967583"/>
    <w:rsid w:val="00967D82"/>
    <w:rsid w:val="009707FB"/>
    <w:rsid w:val="00970B72"/>
    <w:rsid w:val="00970BF4"/>
    <w:rsid w:val="00970E5C"/>
    <w:rsid w:val="00971952"/>
    <w:rsid w:val="00971FAD"/>
    <w:rsid w:val="009722F9"/>
    <w:rsid w:val="009723D0"/>
    <w:rsid w:val="00972688"/>
    <w:rsid w:val="009726BE"/>
    <w:rsid w:val="00972B11"/>
    <w:rsid w:val="00972D30"/>
    <w:rsid w:val="009730B3"/>
    <w:rsid w:val="00973C3A"/>
    <w:rsid w:val="00973D65"/>
    <w:rsid w:val="00974015"/>
    <w:rsid w:val="00974046"/>
    <w:rsid w:val="0097410D"/>
    <w:rsid w:val="009749C2"/>
    <w:rsid w:val="00975011"/>
    <w:rsid w:val="00975862"/>
    <w:rsid w:val="009758DE"/>
    <w:rsid w:val="00975B6A"/>
    <w:rsid w:val="00975D6F"/>
    <w:rsid w:val="00975F6F"/>
    <w:rsid w:val="009761A4"/>
    <w:rsid w:val="009762BD"/>
    <w:rsid w:val="00976414"/>
    <w:rsid w:val="00976BDB"/>
    <w:rsid w:val="00976DB2"/>
    <w:rsid w:val="00977300"/>
    <w:rsid w:val="00977A8C"/>
    <w:rsid w:val="00980200"/>
    <w:rsid w:val="00980B29"/>
    <w:rsid w:val="00981341"/>
    <w:rsid w:val="0098151E"/>
    <w:rsid w:val="00981588"/>
    <w:rsid w:val="00981B59"/>
    <w:rsid w:val="00981D76"/>
    <w:rsid w:val="00981D79"/>
    <w:rsid w:val="00981EF5"/>
    <w:rsid w:val="00981F56"/>
    <w:rsid w:val="00982389"/>
    <w:rsid w:val="00982D62"/>
    <w:rsid w:val="00982F91"/>
    <w:rsid w:val="00983269"/>
    <w:rsid w:val="00983DBB"/>
    <w:rsid w:val="00983EC1"/>
    <w:rsid w:val="009841A4"/>
    <w:rsid w:val="00984A0A"/>
    <w:rsid w:val="00985F2A"/>
    <w:rsid w:val="0098665F"/>
    <w:rsid w:val="00986BF7"/>
    <w:rsid w:val="00987B60"/>
    <w:rsid w:val="00987FCD"/>
    <w:rsid w:val="0099021C"/>
    <w:rsid w:val="00990226"/>
    <w:rsid w:val="009903D7"/>
    <w:rsid w:val="0099040C"/>
    <w:rsid w:val="009905E4"/>
    <w:rsid w:val="0099063A"/>
    <w:rsid w:val="009911D2"/>
    <w:rsid w:val="009914CC"/>
    <w:rsid w:val="009914E4"/>
    <w:rsid w:val="00991792"/>
    <w:rsid w:val="009917AB"/>
    <w:rsid w:val="00991B6C"/>
    <w:rsid w:val="00991C6B"/>
    <w:rsid w:val="009922F3"/>
    <w:rsid w:val="00992B44"/>
    <w:rsid w:val="00992D40"/>
    <w:rsid w:val="0099325E"/>
    <w:rsid w:val="00993A76"/>
    <w:rsid w:val="00994030"/>
    <w:rsid w:val="009940A8"/>
    <w:rsid w:val="00994186"/>
    <w:rsid w:val="0099469B"/>
    <w:rsid w:val="009946EF"/>
    <w:rsid w:val="00994A45"/>
    <w:rsid w:val="00994BD6"/>
    <w:rsid w:val="00994FF8"/>
    <w:rsid w:val="00995156"/>
    <w:rsid w:val="00995BF9"/>
    <w:rsid w:val="00995E5E"/>
    <w:rsid w:val="00995E90"/>
    <w:rsid w:val="00995ECD"/>
    <w:rsid w:val="00996075"/>
    <w:rsid w:val="0099648B"/>
    <w:rsid w:val="00996711"/>
    <w:rsid w:val="009968EF"/>
    <w:rsid w:val="00997013"/>
    <w:rsid w:val="0099702F"/>
    <w:rsid w:val="009972D1"/>
    <w:rsid w:val="00997637"/>
    <w:rsid w:val="00997917"/>
    <w:rsid w:val="009979ED"/>
    <w:rsid w:val="00997B0A"/>
    <w:rsid w:val="00997EBE"/>
    <w:rsid w:val="009A06BE"/>
    <w:rsid w:val="009A0795"/>
    <w:rsid w:val="009A0B1C"/>
    <w:rsid w:val="009A0DEA"/>
    <w:rsid w:val="009A18CD"/>
    <w:rsid w:val="009A1F29"/>
    <w:rsid w:val="009A200E"/>
    <w:rsid w:val="009A20B2"/>
    <w:rsid w:val="009A214F"/>
    <w:rsid w:val="009A3A69"/>
    <w:rsid w:val="009A3F58"/>
    <w:rsid w:val="009A4329"/>
    <w:rsid w:val="009A468D"/>
    <w:rsid w:val="009A4C7C"/>
    <w:rsid w:val="009A4D67"/>
    <w:rsid w:val="009A501F"/>
    <w:rsid w:val="009A5304"/>
    <w:rsid w:val="009A5A54"/>
    <w:rsid w:val="009A5B13"/>
    <w:rsid w:val="009A5B4F"/>
    <w:rsid w:val="009A5F21"/>
    <w:rsid w:val="009A5F71"/>
    <w:rsid w:val="009A66A7"/>
    <w:rsid w:val="009A6F26"/>
    <w:rsid w:val="009A7348"/>
    <w:rsid w:val="009A76D6"/>
    <w:rsid w:val="009A797D"/>
    <w:rsid w:val="009A799A"/>
    <w:rsid w:val="009A79E7"/>
    <w:rsid w:val="009A7B49"/>
    <w:rsid w:val="009A7C7F"/>
    <w:rsid w:val="009A7F69"/>
    <w:rsid w:val="009B09C5"/>
    <w:rsid w:val="009B0A8D"/>
    <w:rsid w:val="009B16BE"/>
    <w:rsid w:val="009B179C"/>
    <w:rsid w:val="009B18DC"/>
    <w:rsid w:val="009B19A6"/>
    <w:rsid w:val="009B1BA9"/>
    <w:rsid w:val="009B1FD5"/>
    <w:rsid w:val="009B24E8"/>
    <w:rsid w:val="009B2588"/>
    <w:rsid w:val="009B298E"/>
    <w:rsid w:val="009B2EEF"/>
    <w:rsid w:val="009B393E"/>
    <w:rsid w:val="009B39BA"/>
    <w:rsid w:val="009B3B32"/>
    <w:rsid w:val="009B3BC2"/>
    <w:rsid w:val="009B3E30"/>
    <w:rsid w:val="009B4C36"/>
    <w:rsid w:val="009B4DB4"/>
    <w:rsid w:val="009B537F"/>
    <w:rsid w:val="009B55E2"/>
    <w:rsid w:val="009B5C02"/>
    <w:rsid w:val="009B6367"/>
    <w:rsid w:val="009B6718"/>
    <w:rsid w:val="009B6844"/>
    <w:rsid w:val="009B6896"/>
    <w:rsid w:val="009B6EE2"/>
    <w:rsid w:val="009C0441"/>
    <w:rsid w:val="009C0A91"/>
    <w:rsid w:val="009C0B5A"/>
    <w:rsid w:val="009C0C89"/>
    <w:rsid w:val="009C1092"/>
    <w:rsid w:val="009C11FF"/>
    <w:rsid w:val="009C13DB"/>
    <w:rsid w:val="009C18B1"/>
    <w:rsid w:val="009C1A55"/>
    <w:rsid w:val="009C1D89"/>
    <w:rsid w:val="009C1F35"/>
    <w:rsid w:val="009C24EB"/>
    <w:rsid w:val="009C2EFA"/>
    <w:rsid w:val="009C2FF5"/>
    <w:rsid w:val="009C3105"/>
    <w:rsid w:val="009C321D"/>
    <w:rsid w:val="009C35D2"/>
    <w:rsid w:val="009C37C1"/>
    <w:rsid w:val="009C38F3"/>
    <w:rsid w:val="009C3E45"/>
    <w:rsid w:val="009C426F"/>
    <w:rsid w:val="009C457F"/>
    <w:rsid w:val="009C4904"/>
    <w:rsid w:val="009C4BB8"/>
    <w:rsid w:val="009C4BB9"/>
    <w:rsid w:val="009C4C49"/>
    <w:rsid w:val="009C4C53"/>
    <w:rsid w:val="009C4D9A"/>
    <w:rsid w:val="009C4DCB"/>
    <w:rsid w:val="009C5050"/>
    <w:rsid w:val="009C546D"/>
    <w:rsid w:val="009C56F2"/>
    <w:rsid w:val="009C5C6E"/>
    <w:rsid w:val="009C62A4"/>
    <w:rsid w:val="009C63E5"/>
    <w:rsid w:val="009C6430"/>
    <w:rsid w:val="009C6546"/>
    <w:rsid w:val="009C65D6"/>
    <w:rsid w:val="009C6FA5"/>
    <w:rsid w:val="009C7858"/>
    <w:rsid w:val="009C78B1"/>
    <w:rsid w:val="009C78BD"/>
    <w:rsid w:val="009C79BE"/>
    <w:rsid w:val="009C7AA7"/>
    <w:rsid w:val="009C7C98"/>
    <w:rsid w:val="009C7E3B"/>
    <w:rsid w:val="009D02AE"/>
    <w:rsid w:val="009D0702"/>
    <w:rsid w:val="009D07FE"/>
    <w:rsid w:val="009D0A47"/>
    <w:rsid w:val="009D0C70"/>
    <w:rsid w:val="009D1060"/>
    <w:rsid w:val="009D1168"/>
    <w:rsid w:val="009D2302"/>
    <w:rsid w:val="009D2D7F"/>
    <w:rsid w:val="009D31E0"/>
    <w:rsid w:val="009D4F50"/>
    <w:rsid w:val="009D5122"/>
    <w:rsid w:val="009D5483"/>
    <w:rsid w:val="009D5555"/>
    <w:rsid w:val="009D56ED"/>
    <w:rsid w:val="009D5AB3"/>
    <w:rsid w:val="009D5D63"/>
    <w:rsid w:val="009D612C"/>
    <w:rsid w:val="009D638E"/>
    <w:rsid w:val="009D673A"/>
    <w:rsid w:val="009D6CA6"/>
    <w:rsid w:val="009D72DD"/>
    <w:rsid w:val="009D7659"/>
    <w:rsid w:val="009D7D4C"/>
    <w:rsid w:val="009D7DE0"/>
    <w:rsid w:val="009E0259"/>
    <w:rsid w:val="009E0347"/>
    <w:rsid w:val="009E0561"/>
    <w:rsid w:val="009E057F"/>
    <w:rsid w:val="009E062A"/>
    <w:rsid w:val="009E0C81"/>
    <w:rsid w:val="009E1A69"/>
    <w:rsid w:val="009E1D6F"/>
    <w:rsid w:val="009E1D84"/>
    <w:rsid w:val="009E1DB0"/>
    <w:rsid w:val="009E1F76"/>
    <w:rsid w:val="009E2269"/>
    <w:rsid w:val="009E22B9"/>
    <w:rsid w:val="009E2CE2"/>
    <w:rsid w:val="009E3010"/>
    <w:rsid w:val="009E3E79"/>
    <w:rsid w:val="009E484E"/>
    <w:rsid w:val="009E4CA5"/>
    <w:rsid w:val="009E4CBE"/>
    <w:rsid w:val="009E4E5E"/>
    <w:rsid w:val="009E5220"/>
    <w:rsid w:val="009E52DA"/>
    <w:rsid w:val="009E5538"/>
    <w:rsid w:val="009E5556"/>
    <w:rsid w:val="009E579F"/>
    <w:rsid w:val="009E589A"/>
    <w:rsid w:val="009E5D4B"/>
    <w:rsid w:val="009E5D4D"/>
    <w:rsid w:val="009E5D7C"/>
    <w:rsid w:val="009E5FD7"/>
    <w:rsid w:val="009E66CE"/>
    <w:rsid w:val="009E70F6"/>
    <w:rsid w:val="009E71B8"/>
    <w:rsid w:val="009E71FD"/>
    <w:rsid w:val="009E7733"/>
    <w:rsid w:val="009E776C"/>
    <w:rsid w:val="009E78DE"/>
    <w:rsid w:val="009E7999"/>
    <w:rsid w:val="009E79F9"/>
    <w:rsid w:val="009E7D20"/>
    <w:rsid w:val="009E7D48"/>
    <w:rsid w:val="009E7E37"/>
    <w:rsid w:val="009F052D"/>
    <w:rsid w:val="009F0602"/>
    <w:rsid w:val="009F0B65"/>
    <w:rsid w:val="009F0D42"/>
    <w:rsid w:val="009F1475"/>
    <w:rsid w:val="009F1BFE"/>
    <w:rsid w:val="009F1CB7"/>
    <w:rsid w:val="009F2143"/>
    <w:rsid w:val="009F21D3"/>
    <w:rsid w:val="009F2916"/>
    <w:rsid w:val="009F4745"/>
    <w:rsid w:val="009F48CA"/>
    <w:rsid w:val="009F4F0A"/>
    <w:rsid w:val="009F4F52"/>
    <w:rsid w:val="009F4FC3"/>
    <w:rsid w:val="009F50E7"/>
    <w:rsid w:val="009F54BC"/>
    <w:rsid w:val="009F55A9"/>
    <w:rsid w:val="009F585A"/>
    <w:rsid w:val="009F5B4D"/>
    <w:rsid w:val="009F5D69"/>
    <w:rsid w:val="009F6759"/>
    <w:rsid w:val="009F6778"/>
    <w:rsid w:val="009F6B7F"/>
    <w:rsid w:val="009F6BCC"/>
    <w:rsid w:val="009F6C7F"/>
    <w:rsid w:val="009F7723"/>
    <w:rsid w:val="00A000BB"/>
    <w:rsid w:val="00A00214"/>
    <w:rsid w:val="00A002D4"/>
    <w:rsid w:val="00A003A8"/>
    <w:rsid w:val="00A01841"/>
    <w:rsid w:val="00A01BBD"/>
    <w:rsid w:val="00A01C06"/>
    <w:rsid w:val="00A01C2E"/>
    <w:rsid w:val="00A01F89"/>
    <w:rsid w:val="00A0203D"/>
    <w:rsid w:val="00A022BF"/>
    <w:rsid w:val="00A023D1"/>
    <w:rsid w:val="00A0289E"/>
    <w:rsid w:val="00A02A1B"/>
    <w:rsid w:val="00A02C2D"/>
    <w:rsid w:val="00A02ECD"/>
    <w:rsid w:val="00A02FD8"/>
    <w:rsid w:val="00A0370C"/>
    <w:rsid w:val="00A03A2A"/>
    <w:rsid w:val="00A03AEC"/>
    <w:rsid w:val="00A03C36"/>
    <w:rsid w:val="00A03F76"/>
    <w:rsid w:val="00A04186"/>
    <w:rsid w:val="00A0425F"/>
    <w:rsid w:val="00A04F15"/>
    <w:rsid w:val="00A04F85"/>
    <w:rsid w:val="00A0510D"/>
    <w:rsid w:val="00A053D6"/>
    <w:rsid w:val="00A05583"/>
    <w:rsid w:val="00A05953"/>
    <w:rsid w:val="00A05DB1"/>
    <w:rsid w:val="00A06091"/>
    <w:rsid w:val="00A060B1"/>
    <w:rsid w:val="00A06696"/>
    <w:rsid w:val="00A067E0"/>
    <w:rsid w:val="00A06B97"/>
    <w:rsid w:val="00A06C66"/>
    <w:rsid w:val="00A070B9"/>
    <w:rsid w:val="00A074CF"/>
    <w:rsid w:val="00A075A0"/>
    <w:rsid w:val="00A0768A"/>
    <w:rsid w:val="00A07728"/>
    <w:rsid w:val="00A07E1F"/>
    <w:rsid w:val="00A107A1"/>
    <w:rsid w:val="00A107DB"/>
    <w:rsid w:val="00A10F13"/>
    <w:rsid w:val="00A1105F"/>
    <w:rsid w:val="00A1138B"/>
    <w:rsid w:val="00A115E5"/>
    <w:rsid w:val="00A11776"/>
    <w:rsid w:val="00A11BB7"/>
    <w:rsid w:val="00A11EA2"/>
    <w:rsid w:val="00A121E0"/>
    <w:rsid w:val="00A122E0"/>
    <w:rsid w:val="00A124D0"/>
    <w:rsid w:val="00A125B6"/>
    <w:rsid w:val="00A127A2"/>
    <w:rsid w:val="00A12D04"/>
    <w:rsid w:val="00A12DAC"/>
    <w:rsid w:val="00A135CA"/>
    <w:rsid w:val="00A1370E"/>
    <w:rsid w:val="00A13DB5"/>
    <w:rsid w:val="00A13E04"/>
    <w:rsid w:val="00A14062"/>
    <w:rsid w:val="00A141EB"/>
    <w:rsid w:val="00A1426F"/>
    <w:rsid w:val="00A1436B"/>
    <w:rsid w:val="00A1444B"/>
    <w:rsid w:val="00A14B0F"/>
    <w:rsid w:val="00A14C99"/>
    <w:rsid w:val="00A1519E"/>
    <w:rsid w:val="00A1555D"/>
    <w:rsid w:val="00A16192"/>
    <w:rsid w:val="00A16595"/>
    <w:rsid w:val="00A166A8"/>
    <w:rsid w:val="00A16A45"/>
    <w:rsid w:val="00A16B43"/>
    <w:rsid w:val="00A171AD"/>
    <w:rsid w:val="00A172C0"/>
    <w:rsid w:val="00A17397"/>
    <w:rsid w:val="00A176DE"/>
    <w:rsid w:val="00A17792"/>
    <w:rsid w:val="00A17CC8"/>
    <w:rsid w:val="00A17F04"/>
    <w:rsid w:val="00A2041B"/>
    <w:rsid w:val="00A20D90"/>
    <w:rsid w:val="00A20DBD"/>
    <w:rsid w:val="00A20F82"/>
    <w:rsid w:val="00A210EA"/>
    <w:rsid w:val="00A216B5"/>
    <w:rsid w:val="00A21E6F"/>
    <w:rsid w:val="00A22391"/>
    <w:rsid w:val="00A22442"/>
    <w:rsid w:val="00A22743"/>
    <w:rsid w:val="00A22C7A"/>
    <w:rsid w:val="00A23074"/>
    <w:rsid w:val="00A23199"/>
    <w:rsid w:val="00A237BA"/>
    <w:rsid w:val="00A2388B"/>
    <w:rsid w:val="00A23C09"/>
    <w:rsid w:val="00A24194"/>
    <w:rsid w:val="00A24520"/>
    <w:rsid w:val="00A2464E"/>
    <w:rsid w:val="00A249C9"/>
    <w:rsid w:val="00A24D06"/>
    <w:rsid w:val="00A252DA"/>
    <w:rsid w:val="00A254DD"/>
    <w:rsid w:val="00A25585"/>
    <w:rsid w:val="00A258C7"/>
    <w:rsid w:val="00A2661C"/>
    <w:rsid w:val="00A2695B"/>
    <w:rsid w:val="00A269C8"/>
    <w:rsid w:val="00A26B16"/>
    <w:rsid w:val="00A2712B"/>
    <w:rsid w:val="00A274A2"/>
    <w:rsid w:val="00A27605"/>
    <w:rsid w:val="00A27650"/>
    <w:rsid w:val="00A27D35"/>
    <w:rsid w:val="00A30652"/>
    <w:rsid w:val="00A3069F"/>
    <w:rsid w:val="00A30738"/>
    <w:rsid w:val="00A30991"/>
    <w:rsid w:val="00A30AB8"/>
    <w:rsid w:val="00A30ABB"/>
    <w:rsid w:val="00A30BFC"/>
    <w:rsid w:val="00A317A2"/>
    <w:rsid w:val="00A31A15"/>
    <w:rsid w:val="00A31AF3"/>
    <w:rsid w:val="00A323D3"/>
    <w:rsid w:val="00A325DB"/>
    <w:rsid w:val="00A327A0"/>
    <w:rsid w:val="00A32C1B"/>
    <w:rsid w:val="00A32E99"/>
    <w:rsid w:val="00A33956"/>
    <w:rsid w:val="00A33D31"/>
    <w:rsid w:val="00A33F34"/>
    <w:rsid w:val="00A33F74"/>
    <w:rsid w:val="00A34A6C"/>
    <w:rsid w:val="00A34FAC"/>
    <w:rsid w:val="00A350EB"/>
    <w:rsid w:val="00A3514D"/>
    <w:rsid w:val="00A359EE"/>
    <w:rsid w:val="00A35D34"/>
    <w:rsid w:val="00A35E7C"/>
    <w:rsid w:val="00A364FB"/>
    <w:rsid w:val="00A366AF"/>
    <w:rsid w:val="00A36758"/>
    <w:rsid w:val="00A36B74"/>
    <w:rsid w:val="00A36CEA"/>
    <w:rsid w:val="00A36F55"/>
    <w:rsid w:val="00A37251"/>
    <w:rsid w:val="00A375B4"/>
    <w:rsid w:val="00A40546"/>
    <w:rsid w:val="00A40B40"/>
    <w:rsid w:val="00A41B1B"/>
    <w:rsid w:val="00A41C31"/>
    <w:rsid w:val="00A41C51"/>
    <w:rsid w:val="00A42162"/>
    <w:rsid w:val="00A424BD"/>
    <w:rsid w:val="00A42C6B"/>
    <w:rsid w:val="00A42D02"/>
    <w:rsid w:val="00A42EB7"/>
    <w:rsid w:val="00A42FBF"/>
    <w:rsid w:val="00A439A9"/>
    <w:rsid w:val="00A43CF5"/>
    <w:rsid w:val="00A44047"/>
    <w:rsid w:val="00A448D3"/>
    <w:rsid w:val="00A44B6B"/>
    <w:rsid w:val="00A45342"/>
    <w:rsid w:val="00A45362"/>
    <w:rsid w:val="00A454BB"/>
    <w:rsid w:val="00A4558B"/>
    <w:rsid w:val="00A455A7"/>
    <w:rsid w:val="00A459DB"/>
    <w:rsid w:val="00A45F1D"/>
    <w:rsid w:val="00A46AA8"/>
    <w:rsid w:val="00A46CEE"/>
    <w:rsid w:val="00A472AD"/>
    <w:rsid w:val="00A47384"/>
    <w:rsid w:val="00A47CA0"/>
    <w:rsid w:val="00A47D47"/>
    <w:rsid w:val="00A504A9"/>
    <w:rsid w:val="00A5052D"/>
    <w:rsid w:val="00A50DDD"/>
    <w:rsid w:val="00A50F81"/>
    <w:rsid w:val="00A5115F"/>
    <w:rsid w:val="00A511F0"/>
    <w:rsid w:val="00A51FB7"/>
    <w:rsid w:val="00A521C1"/>
    <w:rsid w:val="00A528B5"/>
    <w:rsid w:val="00A52BBE"/>
    <w:rsid w:val="00A5304E"/>
    <w:rsid w:val="00A53668"/>
    <w:rsid w:val="00A53BB2"/>
    <w:rsid w:val="00A53CFB"/>
    <w:rsid w:val="00A53D23"/>
    <w:rsid w:val="00A53D25"/>
    <w:rsid w:val="00A5402C"/>
    <w:rsid w:val="00A54957"/>
    <w:rsid w:val="00A54BD3"/>
    <w:rsid w:val="00A54FD5"/>
    <w:rsid w:val="00A554A5"/>
    <w:rsid w:val="00A55A3C"/>
    <w:rsid w:val="00A55A89"/>
    <w:rsid w:val="00A55B5D"/>
    <w:rsid w:val="00A55B77"/>
    <w:rsid w:val="00A55C2A"/>
    <w:rsid w:val="00A55C5D"/>
    <w:rsid w:val="00A56161"/>
    <w:rsid w:val="00A56255"/>
    <w:rsid w:val="00A56614"/>
    <w:rsid w:val="00A56F17"/>
    <w:rsid w:val="00A579FF"/>
    <w:rsid w:val="00A57BB5"/>
    <w:rsid w:val="00A602A0"/>
    <w:rsid w:val="00A604B0"/>
    <w:rsid w:val="00A605C0"/>
    <w:rsid w:val="00A607B1"/>
    <w:rsid w:val="00A60976"/>
    <w:rsid w:val="00A60C76"/>
    <w:rsid w:val="00A60FE8"/>
    <w:rsid w:val="00A619F0"/>
    <w:rsid w:val="00A61D9E"/>
    <w:rsid w:val="00A623EC"/>
    <w:rsid w:val="00A625AD"/>
    <w:rsid w:val="00A625BC"/>
    <w:rsid w:val="00A62F24"/>
    <w:rsid w:val="00A63258"/>
    <w:rsid w:val="00A6378D"/>
    <w:rsid w:val="00A63FD2"/>
    <w:rsid w:val="00A647E9"/>
    <w:rsid w:val="00A64865"/>
    <w:rsid w:val="00A64D40"/>
    <w:rsid w:val="00A6519A"/>
    <w:rsid w:val="00A651B6"/>
    <w:rsid w:val="00A65700"/>
    <w:rsid w:val="00A659C8"/>
    <w:rsid w:val="00A65A03"/>
    <w:rsid w:val="00A66135"/>
    <w:rsid w:val="00A666A2"/>
    <w:rsid w:val="00A667A7"/>
    <w:rsid w:val="00A6702C"/>
    <w:rsid w:val="00A6717D"/>
    <w:rsid w:val="00A677F3"/>
    <w:rsid w:val="00A67A8B"/>
    <w:rsid w:val="00A67C49"/>
    <w:rsid w:val="00A70E81"/>
    <w:rsid w:val="00A71101"/>
    <w:rsid w:val="00A7113E"/>
    <w:rsid w:val="00A7134A"/>
    <w:rsid w:val="00A714E6"/>
    <w:rsid w:val="00A71597"/>
    <w:rsid w:val="00A71977"/>
    <w:rsid w:val="00A71C1F"/>
    <w:rsid w:val="00A71E23"/>
    <w:rsid w:val="00A7221D"/>
    <w:rsid w:val="00A7352B"/>
    <w:rsid w:val="00A73586"/>
    <w:rsid w:val="00A736FF"/>
    <w:rsid w:val="00A739B8"/>
    <w:rsid w:val="00A73F44"/>
    <w:rsid w:val="00A74621"/>
    <w:rsid w:val="00A749C1"/>
    <w:rsid w:val="00A749C4"/>
    <w:rsid w:val="00A74AF2"/>
    <w:rsid w:val="00A74F77"/>
    <w:rsid w:val="00A75614"/>
    <w:rsid w:val="00A75655"/>
    <w:rsid w:val="00A75916"/>
    <w:rsid w:val="00A75CAB"/>
    <w:rsid w:val="00A75E65"/>
    <w:rsid w:val="00A75EB2"/>
    <w:rsid w:val="00A76722"/>
    <w:rsid w:val="00A76730"/>
    <w:rsid w:val="00A76D2D"/>
    <w:rsid w:val="00A76DC2"/>
    <w:rsid w:val="00A76FA2"/>
    <w:rsid w:val="00A76FDC"/>
    <w:rsid w:val="00A7711C"/>
    <w:rsid w:val="00A771E6"/>
    <w:rsid w:val="00A77248"/>
    <w:rsid w:val="00A773B5"/>
    <w:rsid w:val="00A774E3"/>
    <w:rsid w:val="00A77594"/>
    <w:rsid w:val="00A775CF"/>
    <w:rsid w:val="00A77608"/>
    <w:rsid w:val="00A77802"/>
    <w:rsid w:val="00A77AD9"/>
    <w:rsid w:val="00A77D26"/>
    <w:rsid w:val="00A77E8F"/>
    <w:rsid w:val="00A800DF"/>
    <w:rsid w:val="00A800EF"/>
    <w:rsid w:val="00A80137"/>
    <w:rsid w:val="00A808A4"/>
    <w:rsid w:val="00A81421"/>
    <w:rsid w:val="00A815D0"/>
    <w:rsid w:val="00A81B8B"/>
    <w:rsid w:val="00A822BC"/>
    <w:rsid w:val="00A8268E"/>
    <w:rsid w:val="00A835D3"/>
    <w:rsid w:val="00A83692"/>
    <w:rsid w:val="00A837CF"/>
    <w:rsid w:val="00A83846"/>
    <w:rsid w:val="00A83A46"/>
    <w:rsid w:val="00A83AB1"/>
    <w:rsid w:val="00A843F7"/>
    <w:rsid w:val="00A845B7"/>
    <w:rsid w:val="00A845C6"/>
    <w:rsid w:val="00A8491B"/>
    <w:rsid w:val="00A84A77"/>
    <w:rsid w:val="00A84B6A"/>
    <w:rsid w:val="00A84D71"/>
    <w:rsid w:val="00A84F75"/>
    <w:rsid w:val="00A850ED"/>
    <w:rsid w:val="00A85560"/>
    <w:rsid w:val="00A85C09"/>
    <w:rsid w:val="00A86604"/>
    <w:rsid w:val="00A86E5D"/>
    <w:rsid w:val="00A86EA2"/>
    <w:rsid w:val="00A86F55"/>
    <w:rsid w:val="00A87073"/>
    <w:rsid w:val="00A87409"/>
    <w:rsid w:val="00A8756C"/>
    <w:rsid w:val="00A875DE"/>
    <w:rsid w:val="00A876FC"/>
    <w:rsid w:val="00A87D00"/>
    <w:rsid w:val="00A87FC0"/>
    <w:rsid w:val="00A906C2"/>
    <w:rsid w:val="00A9079F"/>
    <w:rsid w:val="00A9081A"/>
    <w:rsid w:val="00A90A8A"/>
    <w:rsid w:val="00A90C9F"/>
    <w:rsid w:val="00A90F81"/>
    <w:rsid w:val="00A9110E"/>
    <w:rsid w:val="00A91629"/>
    <w:rsid w:val="00A91B24"/>
    <w:rsid w:val="00A91CA6"/>
    <w:rsid w:val="00A91D72"/>
    <w:rsid w:val="00A92087"/>
    <w:rsid w:val="00A92794"/>
    <w:rsid w:val="00A92965"/>
    <w:rsid w:val="00A92CA0"/>
    <w:rsid w:val="00A93153"/>
    <w:rsid w:val="00A93953"/>
    <w:rsid w:val="00A93D96"/>
    <w:rsid w:val="00A93DD2"/>
    <w:rsid w:val="00A93E15"/>
    <w:rsid w:val="00A941BE"/>
    <w:rsid w:val="00A94A6D"/>
    <w:rsid w:val="00A94D1B"/>
    <w:rsid w:val="00A950C9"/>
    <w:rsid w:val="00A9568C"/>
    <w:rsid w:val="00A95A0B"/>
    <w:rsid w:val="00A95B30"/>
    <w:rsid w:val="00A95E14"/>
    <w:rsid w:val="00A95FC4"/>
    <w:rsid w:val="00A962D8"/>
    <w:rsid w:val="00A963E4"/>
    <w:rsid w:val="00A96565"/>
    <w:rsid w:val="00A967E3"/>
    <w:rsid w:val="00A96E14"/>
    <w:rsid w:val="00A96E94"/>
    <w:rsid w:val="00A96FF3"/>
    <w:rsid w:val="00A97463"/>
    <w:rsid w:val="00A97F3D"/>
    <w:rsid w:val="00A97F8B"/>
    <w:rsid w:val="00AA0109"/>
    <w:rsid w:val="00AA054C"/>
    <w:rsid w:val="00AA0586"/>
    <w:rsid w:val="00AA1106"/>
    <w:rsid w:val="00AA124C"/>
    <w:rsid w:val="00AA13CD"/>
    <w:rsid w:val="00AA1626"/>
    <w:rsid w:val="00AA1924"/>
    <w:rsid w:val="00AA1928"/>
    <w:rsid w:val="00AA1B3E"/>
    <w:rsid w:val="00AA23A3"/>
    <w:rsid w:val="00AA253D"/>
    <w:rsid w:val="00AA2E55"/>
    <w:rsid w:val="00AA2FA8"/>
    <w:rsid w:val="00AA3130"/>
    <w:rsid w:val="00AA34D0"/>
    <w:rsid w:val="00AA3A4C"/>
    <w:rsid w:val="00AA3B99"/>
    <w:rsid w:val="00AA3FAF"/>
    <w:rsid w:val="00AA4425"/>
    <w:rsid w:val="00AA470F"/>
    <w:rsid w:val="00AA4BD1"/>
    <w:rsid w:val="00AA5101"/>
    <w:rsid w:val="00AA59C0"/>
    <w:rsid w:val="00AA5A3F"/>
    <w:rsid w:val="00AA5F33"/>
    <w:rsid w:val="00AA6133"/>
    <w:rsid w:val="00AA61BF"/>
    <w:rsid w:val="00AA62A7"/>
    <w:rsid w:val="00AA64B2"/>
    <w:rsid w:val="00AA66FA"/>
    <w:rsid w:val="00AA6B61"/>
    <w:rsid w:val="00AA74EC"/>
    <w:rsid w:val="00AA7761"/>
    <w:rsid w:val="00AA7834"/>
    <w:rsid w:val="00AA788C"/>
    <w:rsid w:val="00AA79E8"/>
    <w:rsid w:val="00AA7C8B"/>
    <w:rsid w:val="00AA7EFB"/>
    <w:rsid w:val="00AB042A"/>
    <w:rsid w:val="00AB087F"/>
    <w:rsid w:val="00AB0F54"/>
    <w:rsid w:val="00AB0FF0"/>
    <w:rsid w:val="00AB10CC"/>
    <w:rsid w:val="00AB19C4"/>
    <w:rsid w:val="00AB1A5F"/>
    <w:rsid w:val="00AB1B9D"/>
    <w:rsid w:val="00AB2557"/>
    <w:rsid w:val="00AB2F9E"/>
    <w:rsid w:val="00AB395B"/>
    <w:rsid w:val="00AB3A3F"/>
    <w:rsid w:val="00AB3F07"/>
    <w:rsid w:val="00AB40AD"/>
    <w:rsid w:val="00AB43C5"/>
    <w:rsid w:val="00AB46DE"/>
    <w:rsid w:val="00AB4792"/>
    <w:rsid w:val="00AB4D48"/>
    <w:rsid w:val="00AB4DCC"/>
    <w:rsid w:val="00AB4EA9"/>
    <w:rsid w:val="00AB5638"/>
    <w:rsid w:val="00AB5786"/>
    <w:rsid w:val="00AB57D0"/>
    <w:rsid w:val="00AB5E55"/>
    <w:rsid w:val="00AB5F99"/>
    <w:rsid w:val="00AB6451"/>
    <w:rsid w:val="00AB6AFC"/>
    <w:rsid w:val="00AB6EC0"/>
    <w:rsid w:val="00AB7A37"/>
    <w:rsid w:val="00AB7F3B"/>
    <w:rsid w:val="00AC02E8"/>
    <w:rsid w:val="00AC03AC"/>
    <w:rsid w:val="00AC0426"/>
    <w:rsid w:val="00AC04D1"/>
    <w:rsid w:val="00AC0576"/>
    <w:rsid w:val="00AC0D6F"/>
    <w:rsid w:val="00AC0E2A"/>
    <w:rsid w:val="00AC12BF"/>
    <w:rsid w:val="00AC163F"/>
    <w:rsid w:val="00AC19B7"/>
    <w:rsid w:val="00AC1C63"/>
    <w:rsid w:val="00AC2022"/>
    <w:rsid w:val="00AC213C"/>
    <w:rsid w:val="00AC2362"/>
    <w:rsid w:val="00AC2A46"/>
    <w:rsid w:val="00AC2B0B"/>
    <w:rsid w:val="00AC2D47"/>
    <w:rsid w:val="00AC3486"/>
    <w:rsid w:val="00AC3D2C"/>
    <w:rsid w:val="00AC430B"/>
    <w:rsid w:val="00AC454C"/>
    <w:rsid w:val="00AC4823"/>
    <w:rsid w:val="00AC5413"/>
    <w:rsid w:val="00AC5547"/>
    <w:rsid w:val="00AC5745"/>
    <w:rsid w:val="00AC5AFF"/>
    <w:rsid w:val="00AC5C62"/>
    <w:rsid w:val="00AC624B"/>
    <w:rsid w:val="00AC64C7"/>
    <w:rsid w:val="00AC6A0A"/>
    <w:rsid w:val="00AC6BF6"/>
    <w:rsid w:val="00AC7046"/>
    <w:rsid w:val="00AC7416"/>
    <w:rsid w:val="00AC761A"/>
    <w:rsid w:val="00AC7675"/>
    <w:rsid w:val="00AC77FB"/>
    <w:rsid w:val="00AC79CA"/>
    <w:rsid w:val="00AC7C25"/>
    <w:rsid w:val="00AC7F78"/>
    <w:rsid w:val="00AD09D5"/>
    <w:rsid w:val="00AD09FB"/>
    <w:rsid w:val="00AD0D65"/>
    <w:rsid w:val="00AD1269"/>
    <w:rsid w:val="00AD1366"/>
    <w:rsid w:val="00AD1A1D"/>
    <w:rsid w:val="00AD22F3"/>
    <w:rsid w:val="00AD23AD"/>
    <w:rsid w:val="00AD2A4D"/>
    <w:rsid w:val="00AD3484"/>
    <w:rsid w:val="00AD39A0"/>
    <w:rsid w:val="00AD3BB6"/>
    <w:rsid w:val="00AD3C97"/>
    <w:rsid w:val="00AD3ED4"/>
    <w:rsid w:val="00AD4500"/>
    <w:rsid w:val="00AD47A4"/>
    <w:rsid w:val="00AD4D06"/>
    <w:rsid w:val="00AD4E6B"/>
    <w:rsid w:val="00AD4E98"/>
    <w:rsid w:val="00AD515E"/>
    <w:rsid w:val="00AD519B"/>
    <w:rsid w:val="00AD5289"/>
    <w:rsid w:val="00AD545E"/>
    <w:rsid w:val="00AD5657"/>
    <w:rsid w:val="00AD5BF9"/>
    <w:rsid w:val="00AD5DF8"/>
    <w:rsid w:val="00AD5EDA"/>
    <w:rsid w:val="00AD66B0"/>
    <w:rsid w:val="00AD7536"/>
    <w:rsid w:val="00AD7996"/>
    <w:rsid w:val="00AD7FEA"/>
    <w:rsid w:val="00AE0A09"/>
    <w:rsid w:val="00AE0E6C"/>
    <w:rsid w:val="00AE1692"/>
    <w:rsid w:val="00AE19F0"/>
    <w:rsid w:val="00AE30FC"/>
    <w:rsid w:val="00AE33FA"/>
    <w:rsid w:val="00AE3AAB"/>
    <w:rsid w:val="00AE3BA9"/>
    <w:rsid w:val="00AE3C64"/>
    <w:rsid w:val="00AE488A"/>
    <w:rsid w:val="00AE4BC2"/>
    <w:rsid w:val="00AE515D"/>
    <w:rsid w:val="00AE532F"/>
    <w:rsid w:val="00AE5394"/>
    <w:rsid w:val="00AE557D"/>
    <w:rsid w:val="00AE55B7"/>
    <w:rsid w:val="00AE5A41"/>
    <w:rsid w:val="00AE5BC3"/>
    <w:rsid w:val="00AE601D"/>
    <w:rsid w:val="00AE60F7"/>
    <w:rsid w:val="00AE6498"/>
    <w:rsid w:val="00AE68D0"/>
    <w:rsid w:val="00AE6BB4"/>
    <w:rsid w:val="00AE6F00"/>
    <w:rsid w:val="00AE758A"/>
    <w:rsid w:val="00AE7937"/>
    <w:rsid w:val="00AE7B5C"/>
    <w:rsid w:val="00AF11F7"/>
    <w:rsid w:val="00AF13D5"/>
    <w:rsid w:val="00AF1467"/>
    <w:rsid w:val="00AF1662"/>
    <w:rsid w:val="00AF1DA5"/>
    <w:rsid w:val="00AF1E0C"/>
    <w:rsid w:val="00AF1E22"/>
    <w:rsid w:val="00AF2D07"/>
    <w:rsid w:val="00AF3171"/>
    <w:rsid w:val="00AF31F4"/>
    <w:rsid w:val="00AF3255"/>
    <w:rsid w:val="00AF3719"/>
    <w:rsid w:val="00AF3AD0"/>
    <w:rsid w:val="00AF417D"/>
    <w:rsid w:val="00AF4366"/>
    <w:rsid w:val="00AF43FA"/>
    <w:rsid w:val="00AF4DDB"/>
    <w:rsid w:val="00AF55C7"/>
    <w:rsid w:val="00AF5CF3"/>
    <w:rsid w:val="00AF6A5B"/>
    <w:rsid w:val="00AF715F"/>
    <w:rsid w:val="00AF725C"/>
    <w:rsid w:val="00AF7550"/>
    <w:rsid w:val="00AF7C82"/>
    <w:rsid w:val="00AF7E1A"/>
    <w:rsid w:val="00AF7F22"/>
    <w:rsid w:val="00AF7F5F"/>
    <w:rsid w:val="00B00270"/>
    <w:rsid w:val="00B005F5"/>
    <w:rsid w:val="00B00737"/>
    <w:rsid w:val="00B019A1"/>
    <w:rsid w:val="00B019FB"/>
    <w:rsid w:val="00B01F70"/>
    <w:rsid w:val="00B02230"/>
    <w:rsid w:val="00B023FD"/>
    <w:rsid w:val="00B02528"/>
    <w:rsid w:val="00B0295F"/>
    <w:rsid w:val="00B02A8C"/>
    <w:rsid w:val="00B02F4C"/>
    <w:rsid w:val="00B03066"/>
    <w:rsid w:val="00B03C15"/>
    <w:rsid w:val="00B03C69"/>
    <w:rsid w:val="00B03FA5"/>
    <w:rsid w:val="00B04019"/>
    <w:rsid w:val="00B0477F"/>
    <w:rsid w:val="00B047D7"/>
    <w:rsid w:val="00B04822"/>
    <w:rsid w:val="00B048E9"/>
    <w:rsid w:val="00B04BD6"/>
    <w:rsid w:val="00B04BF4"/>
    <w:rsid w:val="00B04E1A"/>
    <w:rsid w:val="00B04E2A"/>
    <w:rsid w:val="00B057B4"/>
    <w:rsid w:val="00B05E25"/>
    <w:rsid w:val="00B05FBD"/>
    <w:rsid w:val="00B060B1"/>
    <w:rsid w:val="00B062DD"/>
    <w:rsid w:val="00B063B4"/>
    <w:rsid w:val="00B06851"/>
    <w:rsid w:val="00B068AA"/>
    <w:rsid w:val="00B068D7"/>
    <w:rsid w:val="00B06DDE"/>
    <w:rsid w:val="00B06EC0"/>
    <w:rsid w:val="00B0713C"/>
    <w:rsid w:val="00B0743B"/>
    <w:rsid w:val="00B0767E"/>
    <w:rsid w:val="00B076F0"/>
    <w:rsid w:val="00B07C2E"/>
    <w:rsid w:val="00B10582"/>
    <w:rsid w:val="00B10772"/>
    <w:rsid w:val="00B110CA"/>
    <w:rsid w:val="00B111DF"/>
    <w:rsid w:val="00B11212"/>
    <w:rsid w:val="00B11B25"/>
    <w:rsid w:val="00B11BBF"/>
    <w:rsid w:val="00B11D2D"/>
    <w:rsid w:val="00B1203A"/>
    <w:rsid w:val="00B12286"/>
    <w:rsid w:val="00B12307"/>
    <w:rsid w:val="00B1250E"/>
    <w:rsid w:val="00B126A2"/>
    <w:rsid w:val="00B129B4"/>
    <w:rsid w:val="00B12C69"/>
    <w:rsid w:val="00B12F69"/>
    <w:rsid w:val="00B12F7F"/>
    <w:rsid w:val="00B12FB1"/>
    <w:rsid w:val="00B13234"/>
    <w:rsid w:val="00B13A5A"/>
    <w:rsid w:val="00B13D19"/>
    <w:rsid w:val="00B13D1C"/>
    <w:rsid w:val="00B13D56"/>
    <w:rsid w:val="00B1437B"/>
    <w:rsid w:val="00B14826"/>
    <w:rsid w:val="00B14AF3"/>
    <w:rsid w:val="00B14C86"/>
    <w:rsid w:val="00B14DA0"/>
    <w:rsid w:val="00B152DA"/>
    <w:rsid w:val="00B15D74"/>
    <w:rsid w:val="00B16204"/>
    <w:rsid w:val="00B1664F"/>
    <w:rsid w:val="00B16666"/>
    <w:rsid w:val="00B16854"/>
    <w:rsid w:val="00B16B21"/>
    <w:rsid w:val="00B17011"/>
    <w:rsid w:val="00B173A5"/>
    <w:rsid w:val="00B173F3"/>
    <w:rsid w:val="00B17C3C"/>
    <w:rsid w:val="00B20036"/>
    <w:rsid w:val="00B205ED"/>
    <w:rsid w:val="00B208D1"/>
    <w:rsid w:val="00B20F4A"/>
    <w:rsid w:val="00B21279"/>
    <w:rsid w:val="00B21524"/>
    <w:rsid w:val="00B217D7"/>
    <w:rsid w:val="00B2258B"/>
    <w:rsid w:val="00B2260E"/>
    <w:rsid w:val="00B229D9"/>
    <w:rsid w:val="00B22A44"/>
    <w:rsid w:val="00B22B35"/>
    <w:rsid w:val="00B22C36"/>
    <w:rsid w:val="00B23552"/>
    <w:rsid w:val="00B23AEE"/>
    <w:rsid w:val="00B23CF4"/>
    <w:rsid w:val="00B23E0B"/>
    <w:rsid w:val="00B24372"/>
    <w:rsid w:val="00B2474C"/>
    <w:rsid w:val="00B2480B"/>
    <w:rsid w:val="00B24BC2"/>
    <w:rsid w:val="00B24CC0"/>
    <w:rsid w:val="00B24E07"/>
    <w:rsid w:val="00B24FB6"/>
    <w:rsid w:val="00B2553D"/>
    <w:rsid w:val="00B259F5"/>
    <w:rsid w:val="00B25A17"/>
    <w:rsid w:val="00B25B51"/>
    <w:rsid w:val="00B26206"/>
    <w:rsid w:val="00B262AA"/>
    <w:rsid w:val="00B263E1"/>
    <w:rsid w:val="00B2652F"/>
    <w:rsid w:val="00B2667D"/>
    <w:rsid w:val="00B267EE"/>
    <w:rsid w:val="00B26BA1"/>
    <w:rsid w:val="00B26D8F"/>
    <w:rsid w:val="00B27E55"/>
    <w:rsid w:val="00B30279"/>
    <w:rsid w:val="00B30561"/>
    <w:rsid w:val="00B3067D"/>
    <w:rsid w:val="00B30A6F"/>
    <w:rsid w:val="00B30AAB"/>
    <w:rsid w:val="00B30C68"/>
    <w:rsid w:val="00B312FA"/>
    <w:rsid w:val="00B31C38"/>
    <w:rsid w:val="00B320ED"/>
    <w:rsid w:val="00B32380"/>
    <w:rsid w:val="00B32448"/>
    <w:rsid w:val="00B3292E"/>
    <w:rsid w:val="00B32BAA"/>
    <w:rsid w:val="00B32D50"/>
    <w:rsid w:val="00B32EB0"/>
    <w:rsid w:val="00B331A6"/>
    <w:rsid w:val="00B335D7"/>
    <w:rsid w:val="00B33C08"/>
    <w:rsid w:val="00B33CBA"/>
    <w:rsid w:val="00B34ABB"/>
    <w:rsid w:val="00B34EEA"/>
    <w:rsid w:val="00B35073"/>
    <w:rsid w:val="00B35241"/>
    <w:rsid w:val="00B35520"/>
    <w:rsid w:val="00B356A1"/>
    <w:rsid w:val="00B35BC2"/>
    <w:rsid w:val="00B35D71"/>
    <w:rsid w:val="00B361B3"/>
    <w:rsid w:val="00B36454"/>
    <w:rsid w:val="00B36669"/>
    <w:rsid w:val="00B36CB4"/>
    <w:rsid w:val="00B3743E"/>
    <w:rsid w:val="00B37F85"/>
    <w:rsid w:val="00B400D2"/>
    <w:rsid w:val="00B400E8"/>
    <w:rsid w:val="00B401BF"/>
    <w:rsid w:val="00B40255"/>
    <w:rsid w:val="00B4066D"/>
    <w:rsid w:val="00B40E0B"/>
    <w:rsid w:val="00B4184A"/>
    <w:rsid w:val="00B41875"/>
    <w:rsid w:val="00B41B89"/>
    <w:rsid w:val="00B41F3E"/>
    <w:rsid w:val="00B431F3"/>
    <w:rsid w:val="00B433AC"/>
    <w:rsid w:val="00B433EB"/>
    <w:rsid w:val="00B43CD0"/>
    <w:rsid w:val="00B43D0D"/>
    <w:rsid w:val="00B442F1"/>
    <w:rsid w:val="00B445BC"/>
    <w:rsid w:val="00B45882"/>
    <w:rsid w:val="00B45C3C"/>
    <w:rsid w:val="00B45FA1"/>
    <w:rsid w:val="00B4610E"/>
    <w:rsid w:val="00B461D8"/>
    <w:rsid w:val="00B4624C"/>
    <w:rsid w:val="00B46354"/>
    <w:rsid w:val="00B4718A"/>
    <w:rsid w:val="00B47431"/>
    <w:rsid w:val="00B47727"/>
    <w:rsid w:val="00B47968"/>
    <w:rsid w:val="00B47AA5"/>
    <w:rsid w:val="00B47BF6"/>
    <w:rsid w:val="00B47ED7"/>
    <w:rsid w:val="00B501B6"/>
    <w:rsid w:val="00B502D8"/>
    <w:rsid w:val="00B50605"/>
    <w:rsid w:val="00B5078B"/>
    <w:rsid w:val="00B50D6D"/>
    <w:rsid w:val="00B514CE"/>
    <w:rsid w:val="00B5229B"/>
    <w:rsid w:val="00B527CA"/>
    <w:rsid w:val="00B52A57"/>
    <w:rsid w:val="00B52DAF"/>
    <w:rsid w:val="00B52DE0"/>
    <w:rsid w:val="00B53210"/>
    <w:rsid w:val="00B5338A"/>
    <w:rsid w:val="00B5389F"/>
    <w:rsid w:val="00B539DB"/>
    <w:rsid w:val="00B53AE9"/>
    <w:rsid w:val="00B53F01"/>
    <w:rsid w:val="00B54073"/>
    <w:rsid w:val="00B5425E"/>
    <w:rsid w:val="00B545E6"/>
    <w:rsid w:val="00B5471E"/>
    <w:rsid w:val="00B549EA"/>
    <w:rsid w:val="00B54C09"/>
    <w:rsid w:val="00B553E3"/>
    <w:rsid w:val="00B55AC3"/>
    <w:rsid w:val="00B55C1A"/>
    <w:rsid w:val="00B56DD7"/>
    <w:rsid w:val="00B57298"/>
    <w:rsid w:val="00B576F7"/>
    <w:rsid w:val="00B57702"/>
    <w:rsid w:val="00B577E3"/>
    <w:rsid w:val="00B602D9"/>
    <w:rsid w:val="00B60EDE"/>
    <w:rsid w:val="00B611C2"/>
    <w:rsid w:val="00B6158A"/>
    <w:rsid w:val="00B61A73"/>
    <w:rsid w:val="00B6207B"/>
    <w:rsid w:val="00B62445"/>
    <w:rsid w:val="00B62807"/>
    <w:rsid w:val="00B63246"/>
    <w:rsid w:val="00B63941"/>
    <w:rsid w:val="00B63B5B"/>
    <w:rsid w:val="00B63F20"/>
    <w:rsid w:val="00B643D2"/>
    <w:rsid w:val="00B6470F"/>
    <w:rsid w:val="00B648C9"/>
    <w:rsid w:val="00B64B0D"/>
    <w:rsid w:val="00B6500E"/>
    <w:rsid w:val="00B650B1"/>
    <w:rsid w:val="00B65391"/>
    <w:rsid w:val="00B65A57"/>
    <w:rsid w:val="00B6606D"/>
    <w:rsid w:val="00B66141"/>
    <w:rsid w:val="00B66273"/>
    <w:rsid w:val="00B663CC"/>
    <w:rsid w:val="00B66BBE"/>
    <w:rsid w:val="00B66BE1"/>
    <w:rsid w:val="00B67189"/>
    <w:rsid w:val="00B672B2"/>
    <w:rsid w:val="00B70065"/>
    <w:rsid w:val="00B70759"/>
    <w:rsid w:val="00B70A2C"/>
    <w:rsid w:val="00B70BF4"/>
    <w:rsid w:val="00B70FCD"/>
    <w:rsid w:val="00B71236"/>
    <w:rsid w:val="00B717C0"/>
    <w:rsid w:val="00B71950"/>
    <w:rsid w:val="00B719AE"/>
    <w:rsid w:val="00B71E65"/>
    <w:rsid w:val="00B71E90"/>
    <w:rsid w:val="00B7252B"/>
    <w:rsid w:val="00B72E5C"/>
    <w:rsid w:val="00B73197"/>
    <w:rsid w:val="00B733ED"/>
    <w:rsid w:val="00B735E8"/>
    <w:rsid w:val="00B73CFD"/>
    <w:rsid w:val="00B73EF4"/>
    <w:rsid w:val="00B743DC"/>
    <w:rsid w:val="00B74D72"/>
    <w:rsid w:val="00B74EFF"/>
    <w:rsid w:val="00B74F8E"/>
    <w:rsid w:val="00B752DD"/>
    <w:rsid w:val="00B756B8"/>
    <w:rsid w:val="00B76549"/>
    <w:rsid w:val="00B766CB"/>
    <w:rsid w:val="00B767C4"/>
    <w:rsid w:val="00B76BCE"/>
    <w:rsid w:val="00B76F8A"/>
    <w:rsid w:val="00B772F2"/>
    <w:rsid w:val="00B77449"/>
    <w:rsid w:val="00B77B0C"/>
    <w:rsid w:val="00B77C0D"/>
    <w:rsid w:val="00B77C4D"/>
    <w:rsid w:val="00B77F41"/>
    <w:rsid w:val="00B807D7"/>
    <w:rsid w:val="00B80ADD"/>
    <w:rsid w:val="00B8118E"/>
    <w:rsid w:val="00B81551"/>
    <w:rsid w:val="00B81C7F"/>
    <w:rsid w:val="00B81E79"/>
    <w:rsid w:val="00B81F8D"/>
    <w:rsid w:val="00B8207A"/>
    <w:rsid w:val="00B82080"/>
    <w:rsid w:val="00B82456"/>
    <w:rsid w:val="00B827AE"/>
    <w:rsid w:val="00B82B09"/>
    <w:rsid w:val="00B82BA9"/>
    <w:rsid w:val="00B82D66"/>
    <w:rsid w:val="00B82DCB"/>
    <w:rsid w:val="00B835BF"/>
    <w:rsid w:val="00B836A6"/>
    <w:rsid w:val="00B840D5"/>
    <w:rsid w:val="00B8430A"/>
    <w:rsid w:val="00B84988"/>
    <w:rsid w:val="00B84A2E"/>
    <w:rsid w:val="00B84AA0"/>
    <w:rsid w:val="00B84C8D"/>
    <w:rsid w:val="00B84EE9"/>
    <w:rsid w:val="00B85274"/>
    <w:rsid w:val="00B85740"/>
    <w:rsid w:val="00B857C7"/>
    <w:rsid w:val="00B85D21"/>
    <w:rsid w:val="00B86056"/>
    <w:rsid w:val="00B8611D"/>
    <w:rsid w:val="00B8776C"/>
    <w:rsid w:val="00B87BB5"/>
    <w:rsid w:val="00B903FE"/>
    <w:rsid w:val="00B906AB"/>
    <w:rsid w:val="00B908BA"/>
    <w:rsid w:val="00B90BC9"/>
    <w:rsid w:val="00B90D1B"/>
    <w:rsid w:val="00B91765"/>
    <w:rsid w:val="00B917BE"/>
    <w:rsid w:val="00B91BAB"/>
    <w:rsid w:val="00B91BD5"/>
    <w:rsid w:val="00B91DFC"/>
    <w:rsid w:val="00B923CF"/>
    <w:rsid w:val="00B924C0"/>
    <w:rsid w:val="00B940B7"/>
    <w:rsid w:val="00B940BD"/>
    <w:rsid w:val="00B9420D"/>
    <w:rsid w:val="00B942A7"/>
    <w:rsid w:val="00B94332"/>
    <w:rsid w:val="00B94A1E"/>
    <w:rsid w:val="00B94BBA"/>
    <w:rsid w:val="00B94E6B"/>
    <w:rsid w:val="00B95822"/>
    <w:rsid w:val="00B95EC5"/>
    <w:rsid w:val="00B95ED9"/>
    <w:rsid w:val="00B96291"/>
    <w:rsid w:val="00B9637F"/>
    <w:rsid w:val="00B96DD5"/>
    <w:rsid w:val="00B96E18"/>
    <w:rsid w:val="00B972F1"/>
    <w:rsid w:val="00B974B6"/>
    <w:rsid w:val="00B977EE"/>
    <w:rsid w:val="00B979B3"/>
    <w:rsid w:val="00B97D53"/>
    <w:rsid w:val="00BA0189"/>
    <w:rsid w:val="00BA121A"/>
    <w:rsid w:val="00BA126D"/>
    <w:rsid w:val="00BA12B4"/>
    <w:rsid w:val="00BA174F"/>
    <w:rsid w:val="00BA1857"/>
    <w:rsid w:val="00BA1AA0"/>
    <w:rsid w:val="00BA1F1E"/>
    <w:rsid w:val="00BA2050"/>
    <w:rsid w:val="00BA23C7"/>
    <w:rsid w:val="00BA26A4"/>
    <w:rsid w:val="00BA2B16"/>
    <w:rsid w:val="00BA2EC9"/>
    <w:rsid w:val="00BA322E"/>
    <w:rsid w:val="00BA358F"/>
    <w:rsid w:val="00BA3B8C"/>
    <w:rsid w:val="00BA3DDC"/>
    <w:rsid w:val="00BA3E49"/>
    <w:rsid w:val="00BA4383"/>
    <w:rsid w:val="00BA4620"/>
    <w:rsid w:val="00BA4708"/>
    <w:rsid w:val="00BA4A58"/>
    <w:rsid w:val="00BA4C96"/>
    <w:rsid w:val="00BA51DA"/>
    <w:rsid w:val="00BA59B2"/>
    <w:rsid w:val="00BA5CDF"/>
    <w:rsid w:val="00BA5E9A"/>
    <w:rsid w:val="00BA64CA"/>
    <w:rsid w:val="00BA6703"/>
    <w:rsid w:val="00BA672A"/>
    <w:rsid w:val="00BA6823"/>
    <w:rsid w:val="00BA6848"/>
    <w:rsid w:val="00BA69CB"/>
    <w:rsid w:val="00BA6BD9"/>
    <w:rsid w:val="00BA6D64"/>
    <w:rsid w:val="00BA7376"/>
    <w:rsid w:val="00BA7919"/>
    <w:rsid w:val="00BA7BE4"/>
    <w:rsid w:val="00BA7FCD"/>
    <w:rsid w:val="00BB0151"/>
    <w:rsid w:val="00BB1DA5"/>
    <w:rsid w:val="00BB1E82"/>
    <w:rsid w:val="00BB1F2E"/>
    <w:rsid w:val="00BB2611"/>
    <w:rsid w:val="00BB2BB6"/>
    <w:rsid w:val="00BB2C0D"/>
    <w:rsid w:val="00BB2E28"/>
    <w:rsid w:val="00BB3458"/>
    <w:rsid w:val="00BB38AE"/>
    <w:rsid w:val="00BB38E0"/>
    <w:rsid w:val="00BB3D68"/>
    <w:rsid w:val="00BB418D"/>
    <w:rsid w:val="00BB4AB2"/>
    <w:rsid w:val="00BB4C68"/>
    <w:rsid w:val="00BB4C9F"/>
    <w:rsid w:val="00BB50CD"/>
    <w:rsid w:val="00BB51A1"/>
    <w:rsid w:val="00BB5305"/>
    <w:rsid w:val="00BB55C9"/>
    <w:rsid w:val="00BB564C"/>
    <w:rsid w:val="00BB57FB"/>
    <w:rsid w:val="00BB5B31"/>
    <w:rsid w:val="00BB68E9"/>
    <w:rsid w:val="00BB6B52"/>
    <w:rsid w:val="00BB7281"/>
    <w:rsid w:val="00BB74AF"/>
    <w:rsid w:val="00BB7B10"/>
    <w:rsid w:val="00BB7C53"/>
    <w:rsid w:val="00BB7FDF"/>
    <w:rsid w:val="00BC00CF"/>
    <w:rsid w:val="00BC059C"/>
    <w:rsid w:val="00BC06FE"/>
    <w:rsid w:val="00BC0F8D"/>
    <w:rsid w:val="00BC12F1"/>
    <w:rsid w:val="00BC159F"/>
    <w:rsid w:val="00BC1B73"/>
    <w:rsid w:val="00BC1E53"/>
    <w:rsid w:val="00BC216E"/>
    <w:rsid w:val="00BC3A58"/>
    <w:rsid w:val="00BC3B0B"/>
    <w:rsid w:val="00BC3BE1"/>
    <w:rsid w:val="00BC3D69"/>
    <w:rsid w:val="00BC3F2B"/>
    <w:rsid w:val="00BC4447"/>
    <w:rsid w:val="00BC4B10"/>
    <w:rsid w:val="00BC5418"/>
    <w:rsid w:val="00BC5848"/>
    <w:rsid w:val="00BC61A6"/>
    <w:rsid w:val="00BC6546"/>
    <w:rsid w:val="00BC6D76"/>
    <w:rsid w:val="00BC70DD"/>
    <w:rsid w:val="00BC7334"/>
    <w:rsid w:val="00BC740D"/>
    <w:rsid w:val="00BC7493"/>
    <w:rsid w:val="00BC74E2"/>
    <w:rsid w:val="00BC770E"/>
    <w:rsid w:val="00BC7D0A"/>
    <w:rsid w:val="00BD01F7"/>
    <w:rsid w:val="00BD036D"/>
    <w:rsid w:val="00BD04FE"/>
    <w:rsid w:val="00BD06A9"/>
    <w:rsid w:val="00BD0D03"/>
    <w:rsid w:val="00BD1070"/>
    <w:rsid w:val="00BD110A"/>
    <w:rsid w:val="00BD1276"/>
    <w:rsid w:val="00BD12C2"/>
    <w:rsid w:val="00BD13F0"/>
    <w:rsid w:val="00BD1444"/>
    <w:rsid w:val="00BD1956"/>
    <w:rsid w:val="00BD1C06"/>
    <w:rsid w:val="00BD1E87"/>
    <w:rsid w:val="00BD20D4"/>
    <w:rsid w:val="00BD216A"/>
    <w:rsid w:val="00BD2580"/>
    <w:rsid w:val="00BD2DF8"/>
    <w:rsid w:val="00BD35EC"/>
    <w:rsid w:val="00BD36C6"/>
    <w:rsid w:val="00BD4182"/>
    <w:rsid w:val="00BD426D"/>
    <w:rsid w:val="00BD46D1"/>
    <w:rsid w:val="00BD490B"/>
    <w:rsid w:val="00BD4B3D"/>
    <w:rsid w:val="00BD56DA"/>
    <w:rsid w:val="00BD5B20"/>
    <w:rsid w:val="00BD5DDD"/>
    <w:rsid w:val="00BD5F44"/>
    <w:rsid w:val="00BD6048"/>
    <w:rsid w:val="00BD6184"/>
    <w:rsid w:val="00BD67DB"/>
    <w:rsid w:val="00BD69AD"/>
    <w:rsid w:val="00BD6AE3"/>
    <w:rsid w:val="00BD6BD5"/>
    <w:rsid w:val="00BD7368"/>
    <w:rsid w:val="00BD7446"/>
    <w:rsid w:val="00BD770A"/>
    <w:rsid w:val="00BD7B8E"/>
    <w:rsid w:val="00BD7BCB"/>
    <w:rsid w:val="00BE033F"/>
    <w:rsid w:val="00BE0412"/>
    <w:rsid w:val="00BE0633"/>
    <w:rsid w:val="00BE07B8"/>
    <w:rsid w:val="00BE08F9"/>
    <w:rsid w:val="00BE0AD6"/>
    <w:rsid w:val="00BE0CF5"/>
    <w:rsid w:val="00BE0F87"/>
    <w:rsid w:val="00BE11FA"/>
    <w:rsid w:val="00BE14E7"/>
    <w:rsid w:val="00BE16A5"/>
    <w:rsid w:val="00BE16C5"/>
    <w:rsid w:val="00BE1799"/>
    <w:rsid w:val="00BE1F37"/>
    <w:rsid w:val="00BE20E7"/>
    <w:rsid w:val="00BE2247"/>
    <w:rsid w:val="00BE23CA"/>
    <w:rsid w:val="00BE259F"/>
    <w:rsid w:val="00BE2DBE"/>
    <w:rsid w:val="00BE314C"/>
    <w:rsid w:val="00BE3A0C"/>
    <w:rsid w:val="00BE3A8B"/>
    <w:rsid w:val="00BE3AEC"/>
    <w:rsid w:val="00BE3C11"/>
    <w:rsid w:val="00BE40EE"/>
    <w:rsid w:val="00BE4854"/>
    <w:rsid w:val="00BE4899"/>
    <w:rsid w:val="00BE4B0B"/>
    <w:rsid w:val="00BE4DEA"/>
    <w:rsid w:val="00BE4F86"/>
    <w:rsid w:val="00BE4FDE"/>
    <w:rsid w:val="00BE56A8"/>
    <w:rsid w:val="00BE587C"/>
    <w:rsid w:val="00BE59DD"/>
    <w:rsid w:val="00BE5E4B"/>
    <w:rsid w:val="00BE6394"/>
    <w:rsid w:val="00BE6890"/>
    <w:rsid w:val="00BE68AF"/>
    <w:rsid w:val="00BE7560"/>
    <w:rsid w:val="00BE77F1"/>
    <w:rsid w:val="00BE7C0D"/>
    <w:rsid w:val="00BE7D2C"/>
    <w:rsid w:val="00BF0232"/>
    <w:rsid w:val="00BF03A6"/>
    <w:rsid w:val="00BF0801"/>
    <w:rsid w:val="00BF0805"/>
    <w:rsid w:val="00BF0912"/>
    <w:rsid w:val="00BF092B"/>
    <w:rsid w:val="00BF0A10"/>
    <w:rsid w:val="00BF0AFF"/>
    <w:rsid w:val="00BF1362"/>
    <w:rsid w:val="00BF19B6"/>
    <w:rsid w:val="00BF1B89"/>
    <w:rsid w:val="00BF2050"/>
    <w:rsid w:val="00BF213E"/>
    <w:rsid w:val="00BF24D7"/>
    <w:rsid w:val="00BF251D"/>
    <w:rsid w:val="00BF3123"/>
    <w:rsid w:val="00BF31AA"/>
    <w:rsid w:val="00BF32B2"/>
    <w:rsid w:val="00BF3335"/>
    <w:rsid w:val="00BF33FD"/>
    <w:rsid w:val="00BF3611"/>
    <w:rsid w:val="00BF388B"/>
    <w:rsid w:val="00BF3DAD"/>
    <w:rsid w:val="00BF45AF"/>
    <w:rsid w:val="00BF47E7"/>
    <w:rsid w:val="00BF48A3"/>
    <w:rsid w:val="00BF4F11"/>
    <w:rsid w:val="00BF5455"/>
    <w:rsid w:val="00BF5A5B"/>
    <w:rsid w:val="00BF5ECA"/>
    <w:rsid w:val="00BF63D0"/>
    <w:rsid w:val="00BF63E1"/>
    <w:rsid w:val="00BF661B"/>
    <w:rsid w:val="00BF68CF"/>
    <w:rsid w:val="00BF6B56"/>
    <w:rsid w:val="00BF6F4C"/>
    <w:rsid w:val="00BF7104"/>
    <w:rsid w:val="00BF7CFA"/>
    <w:rsid w:val="00C000FC"/>
    <w:rsid w:val="00C00597"/>
    <w:rsid w:val="00C01594"/>
    <w:rsid w:val="00C01BAD"/>
    <w:rsid w:val="00C01C56"/>
    <w:rsid w:val="00C01D9A"/>
    <w:rsid w:val="00C0236B"/>
    <w:rsid w:val="00C02D5D"/>
    <w:rsid w:val="00C02E76"/>
    <w:rsid w:val="00C02FEB"/>
    <w:rsid w:val="00C030F1"/>
    <w:rsid w:val="00C031EA"/>
    <w:rsid w:val="00C0353A"/>
    <w:rsid w:val="00C03ADC"/>
    <w:rsid w:val="00C0407B"/>
    <w:rsid w:val="00C04370"/>
    <w:rsid w:val="00C04483"/>
    <w:rsid w:val="00C04975"/>
    <w:rsid w:val="00C04A24"/>
    <w:rsid w:val="00C04DC9"/>
    <w:rsid w:val="00C050BA"/>
    <w:rsid w:val="00C051C0"/>
    <w:rsid w:val="00C0527F"/>
    <w:rsid w:val="00C05454"/>
    <w:rsid w:val="00C05956"/>
    <w:rsid w:val="00C05BAA"/>
    <w:rsid w:val="00C0606D"/>
    <w:rsid w:val="00C06326"/>
    <w:rsid w:val="00C0665A"/>
    <w:rsid w:val="00C06CD1"/>
    <w:rsid w:val="00C06D12"/>
    <w:rsid w:val="00C06DE4"/>
    <w:rsid w:val="00C06E9F"/>
    <w:rsid w:val="00C06F32"/>
    <w:rsid w:val="00C0717D"/>
    <w:rsid w:val="00C07258"/>
    <w:rsid w:val="00C072F7"/>
    <w:rsid w:val="00C07737"/>
    <w:rsid w:val="00C07AAF"/>
    <w:rsid w:val="00C109A3"/>
    <w:rsid w:val="00C11AD5"/>
    <w:rsid w:val="00C11B6A"/>
    <w:rsid w:val="00C124A4"/>
    <w:rsid w:val="00C1256C"/>
    <w:rsid w:val="00C13096"/>
    <w:rsid w:val="00C130E4"/>
    <w:rsid w:val="00C13149"/>
    <w:rsid w:val="00C137D0"/>
    <w:rsid w:val="00C139E0"/>
    <w:rsid w:val="00C13A6C"/>
    <w:rsid w:val="00C13C01"/>
    <w:rsid w:val="00C142B2"/>
    <w:rsid w:val="00C149B4"/>
    <w:rsid w:val="00C14ADD"/>
    <w:rsid w:val="00C14E5D"/>
    <w:rsid w:val="00C152C8"/>
    <w:rsid w:val="00C1560F"/>
    <w:rsid w:val="00C1578B"/>
    <w:rsid w:val="00C15FBD"/>
    <w:rsid w:val="00C16111"/>
    <w:rsid w:val="00C16565"/>
    <w:rsid w:val="00C16692"/>
    <w:rsid w:val="00C16BFD"/>
    <w:rsid w:val="00C16ED3"/>
    <w:rsid w:val="00C170B0"/>
    <w:rsid w:val="00C173E9"/>
    <w:rsid w:val="00C17433"/>
    <w:rsid w:val="00C176E2"/>
    <w:rsid w:val="00C17B45"/>
    <w:rsid w:val="00C17B89"/>
    <w:rsid w:val="00C2005B"/>
    <w:rsid w:val="00C20122"/>
    <w:rsid w:val="00C201DF"/>
    <w:rsid w:val="00C206FD"/>
    <w:rsid w:val="00C209BF"/>
    <w:rsid w:val="00C21029"/>
    <w:rsid w:val="00C215DC"/>
    <w:rsid w:val="00C217D9"/>
    <w:rsid w:val="00C2181D"/>
    <w:rsid w:val="00C21C9C"/>
    <w:rsid w:val="00C21D6E"/>
    <w:rsid w:val="00C22107"/>
    <w:rsid w:val="00C221FE"/>
    <w:rsid w:val="00C22CD4"/>
    <w:rsid w:val="00C23196"/>
    <w:rsid w:val="00C234C7"/>
    <w:rsid w:val="00C23E1B"/>
    <w:rsid w:val="00C240DA"/>
    <w:rsid w:val="00C2445E"/>
    <w:rsid w:val="00C24912"/>
    <w:rsid w:val="00C24D6A"/>
    <w:rsid w:val="00C24DDF"/>
    <w:rsid w:val="00C24E33"/>
    <w:rsid w:val="00C25003"/>
    <w:rsid w:val="00C25191"/>
    <w:rsid w:val="00C25381"/>
    <w:rsid w:val="00C2543B"/>
    <w:rsid w:val="00C25B7B"/>
    <w:rsid w:val="00C26188"/>
    <w:rsid w:val="00C2678B"/>
    <w:rsid w:val="00C268FB"/>
    <w:rsid w:val="00C26DA9"/>
    <w:rsid w:val="00C27123"/>
    <w:rsid w:val="00C2727C"/>
    <w:rsid w:val="00C27CA3"/>
    <w:rsid w:val="00C30789"/>
    <w:rsid w:val="00C30B98"/>
    <w:rsid w:val="00C30DAB"/>
    <w:rsid w:val="00C3113C"/>
    <w:rsid w:val="00C313C4"/>
    <w:rsid w:val="00C31562"/>
    <w:rsid w:val="00C31768"/>
    <w:rsid w:val="00C31CFF"/>
    <w:rsid w:val="00C31F13"/>
    <w:rsid w:val="00C320E1"/>
    <w:rsid w:val="00C32282"/>
    <w:rsid w:val="00C3236E"/>
    <w:rsid w:val="00C324A1"/>
    <w:rsid w:val="00C3263C"/>
    <w:rsid w:val="00C32C9B"/>
    <w:rsid w:val="00C32CEF"/>
    <w:rsid w:val="00C32FA6"/>
    <w:rsid w:val="00C330B4"/>
    <w:rsid w:val="00C330FE"/>
    <w:rsid w:val="00C3315A"/>
    <w:rsid w:val="00C3333C"/>
    <w:rsid w:val="00C33540"/>
    <w:rsid w:val="00C33556"/>
    <w:rsid w:val="00C3384C"/>
    <w:rsid w:val="00C3386D"/>
    <w:rsid w:val="00C339C0"/>
    <w:rsid w:val="00C33A0F"/>
    <w:rsid w:val="00C33B3F"/>
    <w:rsid w:val="00C3428D"/>
    <w:rsid w:val="00C344C8"/>
    <w:rsid w:val="00C345A8"/>
    <w:rsid w:val="00C346FB"/>
    <w:rsid w:val="00C34874"/>
    <w:rsid w:val="00C34BD7"/>
    <w:rsid w:val="00C34F2D"/>
    <w:rsid w:val="00C35096"/>
    <w:rsid w:val="00C35373"/>
    <w:rsid w:val="00C35DD2"/>
    <w:rsid w:val="00C36939"/>
    <w:rsid w:val="00C369BF"/>
    <w:rsid w:val="00C36E6F"/>
    <w:rsid w:val="00C37A32"/>
    <w:rsid w:val="00C37AE7"/>
    <w:rsid w:val="00C37F72"/>
    <w:rsid w:val="00C40887"/>
    <w:rsid w:val="00C409E5"/>
    <w:rsid w:val="00C40CA0"/>
    <w:rsid w:val="00C40E8D"/>
    <w:rsid w:val="00C412D9"/>
    <w:rsid w:val="00C413D0"/>
    <w:rsid w:val="00C418DC"/>
    <w:rsid w:val="00C41C1F"/>
    <w:rsid w:val="00C425DF"/>
    <w:rsid w:val="00C42C19"/>
    <w:rsid w:val="00C42DF6"/>
    <w:rsid w:val="00C4319F"/>
    <w:rsid w:val="00C43846"/>
    <w:rsid w:val="00C440EB"/>
    <w:rsid w:val="00C4480C"/>
    <w:rsid w:val="00C4481A"/>
    <w:rsid w:val="00C449AA"/>
    <w:rsid w:val="00C44BED"/>
    <w:rsid w:val="00C4527D"/>
    <w:rsid w:val="00C45303"/>
    <w:rsid w:val="00C45636"/>
    <w:rsid w:val="00C463D6"/>
    <w:rsid w:val="00C46744"/>
    <w:rsid w:val="00C46943"/>
    <w:rsid w:val="00C469FC"/>
    <w:rsid w:val="00C46B0B"/>
    <w:rsid w:val="00C4706F"/>
    <w:rsid w:val="00C470C7"/>
    <w:rsid w:val="00C474AE"/>
    <w:rsid w:val="00C4760F"/>
    <w:rsid w:val="00C47C5D"/>
    <w:rsid w:val="00C47DD4"/>
    <w:rsid w:val="00C502E1"/>
    <w:rsid w:val="00C50D1C"/>
    <w:rsid w:val="00C50E28"/>
    <w:rsid w:val="00C50F25"/>
    <w:rsid w:val="00C51098"/>
    <w:rsid w:val="00C51D91"/>
    <w:rsid w:val="00C51ED1"/>
    <w:rsid w:val="00C529EA"/>
    <w:rsid w:val="00C52F33"/>
    <w:rsid w:val="00C534F3"/>
    <w:rsid w:val="00C53550"/>
    <w:rsid w:val="00C5357D"/>
    <w:rsid w:val="00C5359B"/>
    <w:rsid w:val="00C536EA"/>
    <w:rsid w:val="00C53BA1"/>
    <w:rsid w:val="00C540E5"/>
    <w:rsid w:val="00C545DA"/>
    <w:rsid w:val="00C5525B"/>
    <w:rsid w:val="00C55689"/>
    <w:rsid w:val="00C556E4"/>
    <w:rsid w:val="00C5592A"/>
    <w:rsid w:val="00C55F90"/>
    <w:rsid w:val="00C55FEE"/>
    <w:rsid w:val="00C56137"/>
    <w:rsid w:val="00C5615B"/>
    <w:rsid w:val="00C563C1"/>
    <w:rsid w:val="00C56C07"/>
    <w:rsid w:val="00C5701E"/>
    <w:rsid w:val="00C57073"/>
    <w:rsid w:val="00C60008"/>
    <w:rsid w:val="00C618F9"/>
    <w:rsid w:val="00C61BAA"/>
    <w:rsid w:val="00C61C28"/>
    <w:rsid w:val="00C6230B"/>
    <w:rsid w:val="00C62542"/>
    <w:rsid w:val="00C6300D"/>
    <w:rsid w:val="00C630CA"/>
    <w:rsid w:val="00C6368A"/>
    <w:rsid w:val="00C63AD6"/>
    <w:rsid w:val="00C64370"/>
    <w:rsid w:val="00C646EB"/>
    <w:rsid w:val="00C64809"/>
    <w:rsid w:val="00C64B0F"/>
    <w:rsid w:val="00C6505D"/>
    <w:rsid w:val="00C6528E"/>
    <w:rsid w:val="00C659A8"/>
    <w:rsid w:val="00C65B79"/>
    <w:rsid w:val="00C65C02"/>
    <w:rsid w:val="00C65D05"/>
    <w:rsid w:val="00C661D7"/>
    <w:rsid w:val="00C662F0"/>
    <w:rsid w:val="00C663F0"/>
    <w:rsid w:val="00C66B59"/>
    <w:rsid w:val="00C675C6"/>
    <w:rsid w:val="00C67632"/>
    <w:rsid w:val="00C67D27"/>
    <w:rsid w:val="00C67FB0"/>
    <w:rsid w:val="00C7011E"/>
    <w:rsid w:val="00C70501"/>
    <w:rsid w:val="00C70B4E"/>
    <w:rsid w:val="00C70D22"/>
    <w:rsid w:val="00C70F74"/>
    <w:rsid w:val="00C70FE8"/>
    <w:rsid w:val="00C71375"/>
    <w:rsid w:val="00C71412"/>
    <w:rsid w:val="00C715AF"/>
    <w:rsid w:val="00C71A51"/>
    <w:rsid w:val="00C71C7F"/>
    <w:rsid w:val="00C71FC3"/>
    <w:rsid w:val="00C7212A"/>
    <w:rsid w:val="00C72405"/>
    <w:rsid w:val="00C72AEB"/>
    <w:rsid w:val="00C73332"/>
    <w:rsid w:val="00C733D5"/>
    <w:rsid w:val="00C73A78"/>
    <w:rsid w:val="00C73A89"/>
    <w:rsid w:val="00C73E43"/>
    <w:rsid w:val="00C744B4"/>
    <w:rsid w:val="00C74A95"/>
    <w:rsid w:val="00C75338"/>
    <w:rsid w:val="00C758C8"/>
    <w:rsid w:val="00C75A92"/>
    <w:rsid w:val="00C75DFC"/>
    <w:rsid w:val="00C760BE"/>
    <w:rsid w:val="00C765A4"/>
    <w:rsid w:val="00C767BD"/>
    <w:rsid w:val="00C76CE5"/>
    <w:rsid w:val="00C7713E"/>
    <w:rsid w:val="00C774BF"/>
    <w:rsid w:val="00C774FB"/>
    <w:rsid w:val="00C779EC"/>
    <w:rsid w:val="00C77D02"/>
    <w:rsid w:val="00C802E0"/>
    <w:rsid w:val="00C807EE"/>
    <w:rsid w:val="00C808D3"/>
    <w:rsid w:val="00C80BFD"/>
    <w:rsid w:val="00C81441"/>
    <w:rsid w:val="00C814F9"/>
    <w:rsid w:val="00C815F2"/>
    <w:rsid w:val="00C819C5"/>
    <w:rsid w:val="00C81D66"/>
    <w:rsid w:val="00C82BFF"/>
    <w:rsid w:val="00C82E2A"/>
    <w:rsid w:val="00C82E98"/>
    <w:rsid w:val="00C82F88"/>
    <w:rsid w:val="00C8334C"/>
    <w:rsid w:val="00C8375A"/>
    <w:rsid w:val="00C8380E"/>
    <w:rsid w:val="00C838B4"/>
    <w:rsid w:val="00C83B57"/>
    <w:rsid w:val="00C8402F"/>
    <w:rsid w:val="00C84675"/>
    <w:rsid w:val="00C8483D"/>
    <w:rsid w:val="00C84DCF"/>
    <w:rsid w:val="00C8534C"/>
    <w:rsid w:val="00C8535E"/>
    <w:rsid w:val="00C85637"/>
    <w:rsid w:val="00C85CC6"/>
    <w:rsid w:val="00C85CCF"/>
    <w:rsid w:val="00C85CF9"/>
    <w:rsid w:val="00C85DB3"/>
    <w:rsid w:val="00C85E85"/>
    <w:rsid w:val="00C8613B"/>
    <w:rsid w:val="00C86A42"/>
    <w:rsid w:val="00C86E11"/>
    <w:rsid w:val="00C870FE"/>
    <w:rsid w:val="00C8719D"/>
    <w:rsid w:val="00C871FB"/>
    <w:rsid w:val="00C87303"/>
    <w:rsid w:val="00C8754F"/>
    <w:rsid w:val="00C877FA"/>
    <w:rsid w:val="00C879C6"/>
    <w:rsid w:val="00C87C7F"/>
    <w:rsid w:val="00C87D04"/>
    <w:rsid w:val="00C904FC"/>
    <w:rsid w:val="00C90F20"/>
    <w:rsid w:val="00C913DE"/>
    <w:rsid w:val="00C91449"/>
    <w:rsid w:val="00C914D6"/>
    <w:rsid w:val="00C91BD9"/>
    <w:rsid w:val="00C91C55"/>
    <w:rsid w:val="00C91D0D"/>
    <w:rsid w:val="00C92105"/>
    <w:rsid w:val="00C92423"/>
    <w:rsid w:val="00C928AA"/>
    <w:rsid w:val="00C92A47"/>
    <w:rsid w:val="00C932B7"/>
    <w:rsid w:val="00C93635"/>
    <w:rsid w:val="00C93D34"/>
    <w:rsid w:val="00C940C9"/>
    <w:rsid w:val="00C941B7"/>
    <w:rsid w:val="00C942D9"/>
    <w:rsid w:val="00C943C9"/>
    <w:rsid w:val="00C94876"/>
    <w:rsid w:val="00C94AEC"/>
    <w:rsid w:val="00C94D5C"/>
    <w:rsid w:val="00C94E20"/>
    <w:rsid w:val="00C95291"/>
    <w:rsid w:val="00C95486"/>
    <w:rsid w:val="00C95619"/>
    <w:rsid w:val="00C95686"/>
    <w:rsid w:val="00C957D2"/>
    <w:rsid w:val="00C95BF8"/>
    <w:rsid w:val="00C95CBC"/>
    <w:rsid w:val="00C960C7"/>
    <w:rsid w:val="00C96E57"/>
    <w:rsid w:val="00C96E88"/>
    <w:rsid w:val="00C971C9"/>
    <w:rsid w:val="00C972A1"/>
    <w:rsid w:val="00C9732A"/>
    <w:rsid w:val="00C9768F"/>
    <w:rsid w:val="00C97C1C"/>
    <w:rsid w:val="00C97F3B"/>
    <w:rsid w:val="00CA00FB"/>
    <w:rsid w:val="00CA025C"/>
    <w:rsid w:val="00CA0D49"/>
    <w:rsid w:val="00CA0F5E"/>
    <w:rsid w:val="00CA1884"/>
    <w:rsid w:val="00CA19D3"/>
    <w:rsid w:val="00CA20D7"/>
    <w:rsid w:val="00CA268F"/>
    <w:rsid w:val="00CA29E6"/>
    <w:rsid w:val="00CA2EA9"/>
    <w:rsid w:val="00CA31DE"/>
    <w:rsid w:val="00CA4512"/>
    <w:rsid w:val="00CA45E0"/>
    <w:rsid w:val="00CA4B25"/>
    <w:rsid w:val="00CA4CAD"/>
    <w:rsid w:val="00CA4E63"/>
    <w:rsid w:val="00CA5164"/>
    <w:rsid w:val="00CA51D5"/>
    <w:rsid w:val="00CA5396"/>
    <w:rsid w:val="00CA5421"/>
    <w:rsid w:val="00CA542E"/>
    <w:rsid w:val="00CA54FA"/>
    <w:rsid w:val="00CA589D"/>
    <w:rsid w:val="00CA5C15"/>
    <w:rsid w:val="00CA618B"/>
    <w:rsid w:val="00CA661C"/>
    <w:rsid w:val="00CA68C2"/>
    <w:rsid w:val="00CA6E9C"/>
    <w:rsid w:val="00CA6F36"/>
    <w:rsid w:val="00CA7142"/>
    <w:rsid w:val="00CA74C7"/>
    <w:rsid w:val="00CA75E4"/>
    <w:rsid w:val="00CA7709"/>
    <w:rsid w:val="00CA7880"/>
    <w:rsid w:val="00CA7BBD"/>
    <w:rsid w:val="00CA7C72"/>
    <w:rsid w:val="00CB0273"/>
    <w:rsid w:val="00CB05F5"/>
    <w:rsid w:val="00CB0A48"/>
    <w:rsid w:val="00CB0B84"/>
    <w:rsid w:val="00CB10F9"/>
    <w:rsid w:val="00CB1694"/>
    <w:rsid w:val="00CB1793"/>
    <w:rsid w:val="00CB1B2F"/>
    <w:rsid w:val="00CB2668"/>
    <w:rsid w:val="00CB2827"/>
    <w:rsid w:val="00CB29EF"/>
    <w:rsid w:val="00CB2ED9"/>
    <w:rsid w:val="00CB2FE9"/>
    <w:rsid w:val="00CB33CA"/>
    <w:rsid w:val="00CB3439"/>
    <w:rsid w:val="00CB4056"/>
    <w:rsid w:val="00CB407B"/>
    <w:rsid w:val="00CB44B7"/>
    <w:rsid w:val="00CB450F"/>
    <w:rsid w:val="00CB605A"/>
    <w:rsid w:val="00CB62D0"/>
    <w:rsid w:val="00CB655D"/>
    <w:rsid w:val="00CB656C"/>
    <w:rsid w:val="00CB6704"/>
    <w:rsid w:val="00CB6EF0"/>
    <w:rsid w:val="00CB6F76"/>
    <w:rsid w:val="00CB747C"/>
    <w:rsid w:val="00CB7720"/>
    <w:rsid w:val="00CB7901"/>
    <w:rsid w:val="00CB7A54"/>
    <w:rsid w:val="00CB7D31"/>
    <w:rsid w:val="00CC0A9C"/>
    <w:rsid w:val="00CC134F"/>
    <w:rsid w:val="00CC1645"/>
    <w:rsid w:val="00CC1A77"/>
    <w:rsid w:val="00CC1C13"/>
    <w:rsid w:val="00CC1F96"/>
    <w:rsid w:val="00CC201B"/>
    <w:rsid w:val="00CC258D"/>
    <w:rsid w:val="00CC278B"/>
    <w:rsid w:val="00CC28E8"/>
    <w:rsid w:val="00CC2E96"/>
    <w:rsid w:val="00CC2EB6"/>
    <w:rsid w:val="00CC2FE1"/>
    <w:rsid w:val="00CC317E"/>
    <w:rsid w:val="00CC3694"/>
    <w:rsid w:val="00CC388A"/>
    <w:rsid w:val="00CC3AB5"/>
    <w:rsid w:val="00CC413C"/>
    <w:rsid w:val="00CC415B"/>
    <w:rsid w:val="00CC45F6"/>
    <w:rsid w:val="00CC480D"/>
    <w:rsid w:val="00CC4B43"/>
    <w:rsid w:val="00CC5773"/>
    <w:rsid w:val="00CC58EB"/>
    <w:rsid w:val="00CC59CF"/>
    <w:rsid w:val="00CC5D6F"/>
    <w:rsid w:val="00CC6619"/>
    <w:rsid w:val="00CC6761"/>
    <w:rsid w:val="00CC6DF1"/>
    <w:rsid w:val="00CC759E"/>
    <w:rsid w:val="00CC7CB8"/>
    <w:rsid w:val="00CC7DA8"/>
    <w:rsid w:val="00CC7DE7"/>
    <w:rsid w:val="00CD01B3"/>
    <w:rsid w:val="00CD0225"/>
    <w:rsid w:val="00CD0303"/>
    <w:rsid w:val="00CD08A9"/>
    <w:rsid w:val="00CD0A80"/>
    <w:rsid w:val="00CD0C8B"/>
    <w:rsid w:val="00CD0FEA"/>
    <w:rsid w:val="00CD1298"/>
    <w:rsid w:val="00CD16EA"/>
    <w:rsid w:val="00CD19E4"/>
    <w:rsid w:val="00CD1E5C"/>
    <w:rsid w:val="00CD1E9A"/>
    <w:rsid w:val="00CD2027"/>
    <w:rsid w:val="00CD2831"/>
    <w:rsid w:val="00CD2DA6"/>
    <w:rsid w:val="00CD33A1"/>
    <w:rsid w:val="00CD36B5"/>
    <w:rsid w:val="00CD38BB"/>
    <w:rsid w:val="00CD4228"/>
    <w:rsid w:val="00CD4488"/>
    <w:rsid w:val="00CD519A"/>
    <w:rsid w:val="00CD566E"/>
    <w:rsid w:val="00CD5830"/>
    <w:rsid w:val="00CD586B"/>
    <w:rsid w:val="00CD58E9"/>
    <w:rsid w:val="00CD5AE8"/>
    <w:rsid w:val="00CD5F72"/>
    <w:rsid w:val="00CD63A4"/>
    <w:rsid w:val="00CD6897"/>
    <w:rsid w:val="00CD6A34"/>
    <w:rsid w:val="00CD6F41"/>
    <w:rsid w:val="00CD6FA9"/>
    <w:rsid w:val="00CD7534"/>
    <w:rsid w:val="00CD793A"/>
    <w:rsid w:val="00CE026E"/>
    <w:rsid w:val="00CE08D0"/>
    <w:rsid w:val="00CE0C3E"/>
    <w:rsid w:val="00CE0CBC"/>
    <w:rsid w:val="00CE0E62"/>
    <w:rsid w:val="00CE120F"/>
    <w:rsid w:val="00CE1211"/>
    <w:rsid w:val="00CE14B3"/>
    <w:rsid w:val="00CE1688"/>
    <w:rsid w:val="00CE17D2"/>
    <w:rsid w:val="00CE17E3"/>
    <w:rsid w:val="00CE1983"/>
    <w:rsid w:val="00CE226E"/>
    <w:rsid w:val="00CE2620"/>
    <w:rsid w:val="00CE2A2C"/>
    <w:rsid w:val="00CE307C"/>
    <w:rsid w:val="00CE3176"/>
    <w:rsid w:val="00CE3E44"/>
    <w:rsid w:val="00CE3F0E"/>
    <w:rsid w:val="00CE40BE"/>
    <w:rsid w:val="00CE40EF"/>
    <w:rsid w:val="00CE458D"/>
    <w:rsid w:val="00CE473E"/>
    <w:rsid w:val="00CE4D2D"/>
    <w:rsid w:val="00CE4DBB"/>
    <w:rsid w:val="00CE4E50"/>
    <w:rsid w:val="00CE5428"/>
    <w:rsid w:val="00CE56B3"/>
    <w:rsid w:val="00CE5BFF"/>
    <w:rsid w:val="00CE5C1E"/>
    <w:rsid w:val="00CE5F42"/>
    <w:rsid w:val="00CE6286"/>
    <w:rsid w:val="00CE6881"/>
    <w:rsid w:val="00CE6E1D"/>
    <w:rsid w:val="00CE6E4C"/>
    <w:rsid w:val="00CE6F08"/>
    <w:rsid w:val="00CE6F37"/>
    <w:rsid w:val="00CE76EB"/>
    <w:rsid w:val="00CF0033"/>
    <w:rsid w:val="00CF017F"/>
    <w:rsid w:val="00CF08A9"/>
    <w:rsid w:val="00CF09C3"/>
    <w:rsid w:val="00CF0A33"/>
    <w:rsid w:val="00CF0A43"/>
    <w:rsid w:val="00CF0E99"/>
    <w:rsid w:val="00CF0F3C"/>
    <w:rsid w:val="00CF2329"/>
    <w:rsid w:val="00CF253E"/>
    <w:rsid w:val="00CF257B"/>
    <w:rsid w:val="00CF2620"/>
    <w:rsid w:val="00CF2A40"/>
    <w:rsid w:val="00CF2A4A"/>
    <w:rsid w:val="00CF2BC3"/>
    <w:rsid w:val="00CF2DB0"/>
    <w:rsid w:val="00CF2E43"/>
    <w:rsid w:val="00CF3A4C"/>
    <w:rsid w:val="00CF4198"/>
    <w:rsid w:val="00CF4377"/>
    <w:rsid w:val="00CF465E"/>
    <w:rsid w:val="00CF4694"/>
    <w:rsid w:val="00CF470A"/>
    <w:rsid w:val="00CF487E"/>
    <w:rsid w:val="00CF4B98"/>
    <w:rsid w:val="00CF4C98"/>
    <w:rsid w:val="00CF4E83"/>
    <w:rsid w:val="00CF5442"/>
    <w:rsid w:val="00CF5491"/>
    <w:rsid w:val="00CF5522"/>
    <w:rsid w:val="00CF5641"/>
    <w:rsid w:val="00CF58F6"/>
    <w:rsid w:val="00CF5F91"/>
    <w:rsid w:val="00CF61ED"/>
    <w:rsid w:val="00CF6467"/>
    <w:rsid w:val="00CF68BB"/>
    <w:rsid w:val="00CF6B8E"/>
    <w:rsid w:val="00CF6CFB"/>
    <w:rsid w:val="00CF6ED9"/>
    <w:rsid w:val="00CF760D"/>
    <w:rsid w:val="00CF7BE1"/>
    <w:rsid w:val="00CF7EE5"/>
    <w:rsid w:val="00D00293"/>
    <w:rsid w:val="00D005D9"/>
    <w:rsid w:val="00D00860"/>
    <w:rsid w:val="00D009EC"/>
    <w:rsid w:val="00D01DDE"/>
    <w:rsid w:val="00D01E60"/>
    <w:rsid w:val="00D020B8"/>
    <w:rsid w:val="00D02149"/>
    <w:rsid w:val="00D023A6"/>
    <w:rsid w:val="00D02650"/>
    <w:rsid w:val="00D026D2"/>
    <w:rsid w:val="00D027BE"/>
    <w:rsid w:val="00D0293E"/>
    <w:rsid w:val="00D0293F"/>
    <w:rsid w:val="00D02AC2"/>
    <w:rsid w:val="00D02F93"/>
    <w:rsid w:val="00D0328D"/>
    <w:rsid w:val="00D033B4"/>
    <w:rsid w:val="00D0341D"/>
    <w:rsid w:val="00D03F15"/>
    <w:rsid w:val="00D03FCC"/>
    <w:rsid w:val="00D03FE0"/>
    <w:rsid w:val="00D03FEE"/>
    <w:rsid w:val="00D0427E"/>
    <w:rsid w:val="00D042C2"/>
    <w:rsid w:val="00D042E8"/>
    <w:rsid w:val="00D04617"/>
    <w:rsid w:val="00D047D7"/>
    <w:rsid w:val="00D04A1B"/>
    <w:rsid w:val="00D04B2B"/>
    <w:rsid w:val="00D04FDA"/>
    <w:rsid w:val="00D052D2"/>
    <w:rsid w:val="00D0566F"/>
    <w:rsid w:val="00D05830"/>
    <w:rsid w:val="00D05AAD"/>
    <w:rsid w:val="00D05E80"/>
    <w:rsid w:val="00D06368"/>
    <w:rsid w:val="00D06601"/>
    <w:rsid w:val="00D06BF9"/>
    <w:rsid w:val="00D06CB9"/>
    <w:rsid w:val="00D0708D"/>
    <w:rsid w:val="00D070B2"/>
    <w:rsid w:val="00D077D9"/>
    <w:rsid w:val="00D1065D"/>
    <w:rsid w:val="00D106C6"/>
    <w:rsid w:val="00D10D01"/>
    <w:rsid w:val="00D10E08"/>
    <w:rsid w:val="00D10EE4"/>
    <w:rsid w:val="00D10FDA"/>
    <w:rsid w:val="00D11EBE"/>
    <w:rsid w:val="00D1200B"/>
    <w:rsid w:val="00D12133"/>
    <w:rsid w:val="00D12753"/>
    <w:rsid w:val="00D12CD3"/>
    <w:rsid w:val="00D12E3E"/>
    <w:rsid w:val="00D13422"/>
    <w:rsid w:val="00D13500"/>
    <w:rsid w:val="00D138DA"/>
    <w:rsid w:val="00D139B2"/>
    <w:rsid w:val="00D13AC1"/>
    <w:rsid w:val="00D14263"/>
    <w:rsid w:val="00D147A4"/>
    <w:rsid w:val="00D147C9"/>
    <w:rsid w:val="00D14CCB"/>
    <w:rsid w:val="00D15035"/>
    <w:rsid w:val="00D15917"/>
    <w:rsid w:val="00D160AA"/>
    <w:rsid w:val="00D169D5"/>
    <w:rsid w:val="00D175BD"/>
    <w:rsid w:val="00D178ED"/>
    <w:rsid w:val="00D17D56"/>
    <w:rsid w:val="00D17ED0"/>
    <w:rsid w:val="00D203FE"/>
    <w:rsid w:val="00D2064B"/>
    <w:rsid w:val="00D208E6"/>
    <w:rsid w:val="00D20AAB"/>
    <w:rsid w:val="00D2130C"/>
    <w:rsid w:val="00D214C3"/>
    <w:rsid w:val="00D21736"/>
    <w:rsid w:val="00D2179F"/>
    <w:rsid w:val="00D21914"/>
    <w:rsid w:val="00D21D6D"/>
    <w:rsid w:val="00D21F15"/>
    <w:rsid w:val="00D21FEC"/>
    <w:rsid w:val="00D2245A"/>
    <w:rsid w:val="00D2276D"/>
    <w:rsid w:val="00D22B7C"/>
    <w:rsid w:val="00D23149"/>
    <w:rsid w:val="00D234AA"/>
    <w:rsid w:val="00D23791"/>
    <w:rsid w:val="00D23E19"/>
    <w:rsid w:val="00D23E41"/>
    <w:rsid w:val="00D24001"/>
    <w:rsid w:val="00D24141"/>
    <w:rsid w:val="00D2556D"/>
    <w:rsid w:val="00D2625F"/>
    <w:rsid w:val="00D269AF"/>
    <w:rsid w:val="00D26AE2"/>
    <w:rsid w:val="00D26B80"/>
    <w:rsid w:val="00D26ED6"/>
    <w:rsid w:val="00D273FD"/>
    <w:rsid w:val="00D275F3"/>
    <w:rsid w:val="00D278A4"/>
    <w:rsid w:val="00D30291"/>
    <w:rsid w:val="00D30327"/>
    <w:rsid w:val="00D30BB1"/>
    <w:rsid w:val="00D30F2A"/>
    <w:rsid w:val="00D31048"/>
    <w:rsid w:val="00D3171F"/>
    <w:rsid w:val="00D31981"/>
    <w:rsid w:val="00D31A9A"/>
    <w:rsid w:val="00D31D9E"/>
    <w:rsid w:val="00D320DD"/>
    <w:rsid w:val="00D32135"/>
    <w:rsid w:val="00D32911"/>
    <w:rsid w:val="00D32BE6"/>
    <w:rsid w:val="00D334E4"/>
    <w:rsid w:val="00D33503"/>
    <w:rsid w:val="00D336EE"/>
    <w:rsid w:val="00D339D1"/>
    <w:rsid w:val="00D33C9F"/>
    <w:rsid w:val="00D34380"/>
    <w:rsid w:val="00D348AA"/>
    <w:rsid w:val="00D34AD7"/>
    <w:rsid w:val="00D34E81"/>
    <w:rsid w:val="00D34FF2"/>
    <w:rsid w:val="00D35135"/>
    <w:rsid w:val="00D35E0D"/>
    <w:rsid w:val="00D3645C"/>
    <w:rsid w:val="00D36828"/>
    <w:rsid w:val="00D36B68"/>
    <w:rsid w:val="00D36E4F"/>
    <w:rsid w:val="00D36EC8"/>
    <w:rsid w:val="00D371D5"/>
    <w:rsid w:val="00D37435"/>
    <w:rsid w:val="00D37680"/>
    <w:rsid w:val="00D37F89"/>
    <w:rsid w:val="00D400C9"/>
    <w:rsid w:val="00D40267"/>
    <w:rsid w:val="00D4054C"/>
    <w:rsid w:val="00D40DC3"/>
    <w:rsid w:val="00D40E52"/>
    <w:rsid w:val="00D41143"/>
    <w:rsid w:val="00D4133D"/>
    <w:rsid w:val="00D41C90"/>
    <w:rsid w:val="00D420B2"/>
    <w:rsid w:val="00D42145"/>
    <w:rsid w:val="00D42E11"/>
    <w:rsid w:val="00D432A5"/>
    <w:rsid w:val="00D43564"/>
    <w:rsid w:val="00D435DA"/>
    <w:rsid w:val="00D4371B"/>
    <w:rsid w:val="00D439E8"/>
    <w:rsid w:val="00D43BAC"/>
    <w:rsid w:val="00D43E18"/>
    <w:rsid w:val="00D443FA"/>
    <w:rsid w:val="00D44473"/>
    <w:rsid w:val="00D44E83"/>
    <w:rsid w:val="00D456CD"/>
    <w:rsid w:val="00D45CF4"/>
    <w:rsid w:val="00D45D16"/>
    <w:rsid w:val="00D45E05"/>
    <w:rsid w:val="00D46028"/>
    <w:rsid w:val="00D46A4F"/>
    <w:rsid w:val="00D46D04"/>
    <w:rsid w:val="00D46E64"/>
    <w:rsid w:val="00D472A3"/>
    <w:rsid w:val="00D47C35"/>
    <w:rsid w:val="00D50371"/>
    <w:rsid w:val="00D50CF1"/>
    <w:rsid w:val="00D51305"/>
    <w:rsid w:val="00D5134B"/>
    <w:rsid w:val="00D519E9"/>
    <w:rsid w:val="00D5261F"/>
    <w:rsid w:val="00D5275F"/>
    <w:rsid w:val="00D53068"/>
    <w:rsid w:val="00D533B1"/>
    <w:rsid w:val="00D53569"/>
    <w:rsid w:val="00D5394F"/>
    <w:rsid w:val="00D53E1D"/>
    <w:rsid w:val="00D54525"/>
    <w:rsid w:val="00D547E6"/>
    <w:rsid w:val="00D55055"/>
    <w:rsid w:val="00D556C6"/>
    <w:rsid w:val="00D558EF"/>
    <w:rsid w:val="00D55925"/>
    <w:rsid w:val="00D55FE4"/>
    <w:rsid w:val="00D5621B"/>
    <w:rsid w:val="00D5634F"/>
    <w:rsid w:val="00D563FD"/>
    <w:rsid w:val="00D5641B"/>
    <w:rsid w:val="00D56BEB"/>
    <w:rsid w:val="00D56E13"/>
    <w:rsid w:val="00D56F1A"/>
    <w:rsid w:val="00D56F98"/>
    <w:rsid w:val="00D573FA"/>
    <w:rsid w:val="00D57789"/>
    <w:rsid w:val="00D57D50"/>
    <w:rsid w:val="00D60104"/>
    <w:rsid w:val="00D605BD"/>
    <w:rsid w:val="00D605E9"/>
    <w:rsid w:val="00D607A6"/>
    <w:rsid w:val="00D609F0"/>
    <w:rsid w:val="00D60BCC"/>
    <w:rsid w:val="00D61120"/>
    <w:rsid w:val="00D61603"/>
    <w:rsid w:val="00D61723"/>
    <w:rsid w:val="00D62771"/>
    <w:rsid w:val="00D629D1"/>
    <w:rsid w:val="00D62B99"/>
    <w:rsid w:val="00D62CD1"/>
    <w:rsid w:val="00D62D85"/>
    <w:rsid w:val="00D63171"/>
    <w:rsid w:val="00D63355"/>
    <w:rsid w:val="00D63799"/>
    <w:rsid w:val="00D63C0E"/>
    <w:rsid w:val="00D63D8D"/>
    <w:rsid w:val="00D641A7"/>
    <w:rsid w:val="00D648A1"/>
    <w:rsid w:val="00D64971"/>
    <w:rsid w:val="00D64ADC"/>
    <w:rsid w:val="00D650F8"/>
    <w:rsid w:val="00D65351"/>
    <w:rsid w:val="00D654A1"/>
    <w:rsid w:val="00D66713"/>
    <w:rsid w:val="00D66827"/>
    <w:rsid w:val="00D66EDA"/>
    <w:rsid w:val="00D67372"/>
    <w:rsid w:val="00D673E5"/>
    <w:rsid w:val="00D6747E"/>
    <w:rsid w:val="00D67CFF"/>
    <w:rsid w:val="00D67D7A"/>
    <w:rsid w:val="00D67E8C"/>
    <w:rsid w:val="00D67EFF"/>
    <w:rsid w:val="00D70047"/>
    <w:rsid w:val="00D702D6"/>
    <w:rsid w:val="00D7101E"/>
    <w:rsid w:val="00D711A5"/>
    <w:rsid w:val="00D711FE"/>
    <w:rsid w:val="00D712EF"/>
    <w:rsid w:val="00D71302"/>
    <w:rsid w:val="00D71803"/>
    <w:rsid w:val="00D71831"/>
    <w:rsid w:val="00D71B22"/>
    <w:rsid w:val="00D71F53"/>
    <w:rsid w:val="00D728DF"/>
    <w:rsid w:val="00D72D6C"/>
    <w:rsid w:val="00D72E13"/>
    <w:rsid w:val="00D73753"/>
    <w:rsid w:val="00D73B6C"/>
    <w:rsid w:val="00D742A4"/>
    <w:rsid w:val="00D7499F"/>
    <w:rsid w:val="00D74BBF"/>
    <w:rsid w:val="00D74BFF"/>
    <w:rsid w:val="00D74E8F"/>
    <w:rsid w:val="00D74E9A"/>
    <w:rsid w:val="00D75756"/>
    <w:rsid w:val="00D75F42"/>
    <w:rsid w:val="00D76A30"/>
    <w:rsid w:val="00D76D71"/>
    <w:rsid w:val="00D770DD"/>
    <w:rsid w:val="00D77320"/>
    <w:rsid w:val="00D8014C"/>
    <w:rsid w:val="00D801DF"/>
    <w:rsid w:val="00D80545"/>
    <w:rsid w:val="00D80AB4"/>
    <w:rsid w:val="00D80DC5"/>
    <w:rsid w:val="00D81579"/>
    <w:rsid w:val="00D81D0E"/>
    <w:rsid w:val="00D829FB"/>
    <w:rsid w:val="00D82C13"/>
    <w:rsid w:val="00D82C6B"/>
    <w:rsid w:val="00D82CD9"/>
    <w:rsid w:val="00D8315F"/>
    <w:rsid w:val="00D8346C"/>
    <w:rsid w:val="00D84128"/>
    <w:rsid w:val="00D845A2"/>
    <w:rsid w:val="00D84662"/>
    <w:rsid w:val="00D856C0"/>
    <w:rsid w:val="00D85F37"/>
    <w:rsid w:val="00D85F67"/>
    <w:rsid w:val="00D86455"/>
    <w:rsid w:val="00D865C2"/>
    <w:rsid w:val="00D86881"/>
    <w:rsid w:val="00D86AC1"/>
    <w:rsid w:val="00D87251"/>
    <w:rsid w:val="00D8751F"/>
    <w:rsid w:val="00D8758A"/>
    <w:rsid w:val="00D87B09"/>
    <w:rsid w:val="00D87F66"/>
    <w:rsid w:val="00D87FD6"/>
    <w:rsid w:val="00D87FE4"/>
    <w:rsid w:val="00D90ADB"/>
    <w:rsid w:val="00D90C50"/>
    <w:rsid w:val="00D912DC"/>
    <w:rsid w:val="00D91460"/>
    <w:rsid w:val="00D914DB"/>
    <w:rsid w:val="00D91C14"/>
    <w:rsid w:val="00D91C41"/>
    <w:rsid w:val="00D91ED7"/>
    <w:rsid w:val="00D9267C"/>
    <w:rsid w:val="00D9324C"/>
    <w:rsid w:val="00D93375"/>
    <w:rsid w:val="00D93880"/>
    <w:rsid w:val="00D93D59"/>
    <w:rsid w:val="00D93EFF"/>
    <w:rsid w:val="00D93F72"/>
    <w:rsid w:val="00D9460D"/>
    <w:rsid w:val="00D94EBE"/>
    <w:rsid w:val="00D956EF"/>
    <w:rsid w:val="00D95F00"/>
    <w:rsid w:val="00D96313"/>
    <w:rsid w:val="00D96499"/>
    <w:rsid w:val="00D9676F"/>
    <w:rsid w:val="00D96A0F"/>
    <w:rsid w:val="00D96CB4"/>
    <w:rsid w:val="00D9711B"/>
    <w:rsid w:val="00D97CAE"/>
    <w:rsid w:val="00DA005D"/>
    <w:rsid w:val="00DA0552"/>
    <w:rsid w:val="00DA0765"/>
    <w:rsid w:val="00DA0B8A"/>
    <w:rsid w:val="00DA10D0"/>
    <w:rsid w:val="00DA11B2"/>
    <w:rsid w:val="00DA1AD0"/>
    <w:rsid w:val="00DA1BA7"/>
    <w:rsid w:val="00DA20B5"/>
    <w:rsid w:val="00DA22DA"/>
    <w:rsid w:val="00DA23DD"/>
    <w:rsid w:val="00DA2423"/>
    <w:rsid w:val="00DA287B"/>
    <w:rsid w:val="00DA2A96"/>
    <w:rsid w:val="00DA3080"/>
    <w:rsid w:val="00DA30A2"/>
    <w:rsid w:val="00DA337B"/>
    <w:rsid w:val="00DA390D"/>
    <w:rsid w:val="00DA3961"/>
    <w:rsid w:val="00DA436C"/>
    <w:rsid w:val="00DA44A8"/>
    <w:rsid w:val="00DA44CF"/>
    <w:rsid w:val="00DA47A3"/>
    <w:rsid w:val="00DA4C33"/>
    <w:rsid w:val="00DA5076"/>
    <w:rsid w:val="00DA5D0B"/>
    <w:rsid w:val="00DA5F76"/>
    <w:rsid w:val="00DA60A5"/>
    <w:rsid w:val="00DA60F5"/>
    <w:rsid w:val="00DA76EE"/>
    <w:rsid w:val="00DA79C8"/>
    <w:rsid w:val="00DB01EA"/>
    <w:rsid w:val="00DB03AE"/>
    <w:rsid w:val="00DB03F6"/>
    <w:rsid w:val="00DB08CB"/>
    <w:rsid w:val="00DB0963"/>
    <w:rsid w:val="00DB0B52"/>
    <w:rsid w:val="00DB0FA3"/>
    <w:rsid w:val="00DB16C1"/>
    <w:rsid w:val="00DB196A"/>
    <w:rsid w:val="00DB1D88"/>
    <w:rsid w:val="00DB2595"/>
    <w:rsid w:val="00DB2E57"/>
    <w:rsid w:val="00DB303F"/>
    <w:rsid w:val="00DB321D"/>
    <w:rsid w:val="00DB3421"/>
    <w:rsid w:val="00DB3635"/>
    <w:rsid w:val="00DB3649"/>
    <w:rsid w:val="00DB3B1D"/>
    <w:rsid w:val="00DB3C08"/>
    <w:rsid w:val="00DB4006"/>
    <w:rsid w:val="00DB42EF"/>
    <w:rsid w:val="00DB462A"/>
    <w:rsid w:val="00DB4B61"/>
    <w:rsid w:val="00DB55CE"/>
    <w:rsid w:val="00DB55F6"/>
    <w:rsid w:val="00DB5FF8"/>
    <w:rsid w:val="00DB64F5"/>
    <w:rsid w:val="00DB6CAF"/>
    <w:rsid w:val="00DB7164"/>
    <w:rsid w:val="00DB729B"/>
    <w:rsid w:val="00DB72CE"/>
    <w:rsid w:val="00DB7400"/>
    <w:rsid w:val="00DB7BFC"/>
    <w:rsid w:val="00DB7EB1"/>
    <w:rsid w:val="00DC0114"/>
    <w:rsid w:val="00DC02FC"/>
    <w:rsid w:val="00DC0347"/>
    <w:rsid w:val="00DC051E"/>
    <w:rsid w:val="00DC0ADA"/>
    <w:rsid w:val="00DC0CF6"/>
    <w:rsid w:val="00DC0FE9"/>
    <w:rsid w:val="00DC13C3"/>
    <w:rsid w:val="00DC1763"/>
    <w:rsid w:val="00DC1C03"/>
    <w:rsid w:val="00DC2212"/>
    <w:rsid w:val="00DC23B3"/>
    <w:rsid w:val="00DC252D"/>
    <w:rsid w:val="00DC2595"/>
    <w:rsid w:val="00DC2823"/>
    <w:rsid w:val="00DC2C47"/>
    <w:rsid w:val="00DC2DF4"/>
    <w:rsid w:val="00DC30E1"/>
    <w:rsid w:val="00DC3143"/>
    <w:rsid w:val="00DC31F2"/>
    <w:rsid w:val="00DC3339"/>
    <w:rsid w:val="00DC35F6"/>
    <w:rsid w:val="00DC3752"/>
    <w:rsid w:val="00DC3898"/>
    <w:rsid w:val="00DC4083"/>
    <w:rsid w:val="00DC447E"/>
    <w:rsid w:val="00DC48DF"/>
    <w:rsid w:val="00DC4C8A"/>
    <w:rsid w:val="00DC5631"/>
    <w:rsid w:val="00DC5D8A"/>
    <w:rsid w:val="00DC6572"/>
    <w:rsid w:val="00DC6E4A"/>
    <w:rsid w:val="00DC7650"/>
    <w:rsid w:val="00DC7740"/>
    <w:rsid w:val="00DC789A"/>
    <w:rsid w:val="00DC7912"/>
    <w:rsid w:val="00DC7AEF"/>
    <w:rsid w:val="00DD0D38"/>
    <w:rsid w:val="00DD0D67"/>
    <w:rsid w:val="00DD0D77"/>
    <w:rsid w:val="00DD0E2A"/>
    <w:rsid w:val="00DD15E7"/>
    <w:rsid w:val="00DD16E2"/>
    <w:rsid w:val="00DD1A0F"/>
    <w:rsid w:val="00DD1C3A"/>
    <w:rsid w:val="00DD2514"/>
    <w:rsid w:val="00DD25D6"/>
    <w:rsid w:val="00DD3364"/>
    <w:rsid w:val="00DD3CA2"/>
    <w:rsid w:val="00DD3E8E"/>
    <w:rsid w:val="00DD4038"/>
    <w:rsid w:val="00DD40B6"/>
    <w:rsid w:val="00DD426B"/>
    <w:rsid w:val="00DD42C3"/>
    <w:rsid w:val="00DD46E2"/>
    <w:rsid w:val="00DD485A"/>
    <w:rsid w:val="00DD4F01"/>
    <w:rsid w:val="00DD51F6"/>
    <w:rsid w:val="00DD595A"/>
    <w:rsid w:val="00DD5BB8"/>
    <w:rsid w:val="00DD685B"/>
    <w:rsid w:val="00DD6A64"/>
    <w:rsid w:val="00DD6C94"/>
    <w:rsid w:val="00DD711F"/>
    <w:rsid w:val="00DD7703"/>
    <w:rsid w:val="00DE1838"/>
    <w:rsid w:val="00DE1CB1"/>
    <w:rsid w:val="00DE1E5B"/>
    <w:rsid w:val="00DE2409"/>
    <w:rsid w:val="00DE339D"/>
    <w:rsid w:val="00DE3604"/>
    <w:rsid w:val="00DE3621"/>
    <w:rsid w:val="00DE3788"/>
    <w:rsid w:val="00DE3F28"/>
    <w:rsid w:val="00DE41A5"/>
    <w:rsid w:val="00DE44B4"/>
    <w:rsid w:val="00DE588F"/>
    <w:rsid w:val="00DE5E98"/>
    <w:rsid w:val="00DE63D0"/>
    <w:rsid w:val="00DE6534"/>
    <w:rsid w:val="00DE67D6"/>
    <w:rsid w:val="00DE67EC"/>
    <w:rsid w:val="00DE69D3"/>
    <w:rsid w:val="00DE6A43"/>
    <w:rsid w:val="00DE6D32"/>
    <w:rsid w:val="00DE6DF3"/>
    <w:rsid w:val="00DE7542"/>
    <w:rsid w:val="00DE77A1"/>
    <w:rsid w:val="00DE77C6"/>
    <w:rsid w:val="00DE79D6"/>
    <w:rsid w:val="00DF0045"/>
    <w:rsid w:val="00DF03B1"/>
    <w:rsid w:val="00DF04D2"/>
    <w:rsid w:val="00DF0537"/>
    <w:rsid w:val="00DF0775"/>
    <w:rsid w:val="00DF083E"/>
    <w:rsid w:val="00DF0AD2"/>
    <w:rsid w:val="00DF11E3"/>
    <w:rsid w:val="00DF13B9"/>
    <w:rsid w:val="00DF17E4"/>
    <w:rsid w:val="00DF192E"/>
    <w:rsid w:val="00DF1D0B"/>
    <w:rsid w:val="00DF1FD5"/>
    <w:rsid w:val="00DF22CE"/>
    <w:rsid w:val="00DF23DF"/>
    <w:rsid w:val="00DF29E6"/>
    <w:rsid w:val="00DF29F8"/>
    <w:rsid w:val="00DF3641"/>
    <w:rsid w:val="00DF366D"/>
    <w:rsid w:val="00DF37D4"/>
    <w:rsid w:val="00DF38AD"/>
    <w:rsid w:val="00DF3917"/>
    <w:rsid w:val="00DF3D97"/>
    <w:rsid w:val="00DF3F0D"/>
    <w:rsid w:val="00DF4271"/>
    <w:rsid w:val="00DF4521"/>
    <w:rsid w:val="00DF45B7"/>
    <w:rsid w:val="00DF4916"/>
    <w:rsid w:val="00DF497D"/>
    <w:rsid w:val="00DF4C0F"/>
    <w:rsid w:val="00DF5008"/>
    <w:rsid w:val="00DF50ED"/>
    <w:rsid w:val="00DF5E50"/>
    <w:rsid w:val="00DF60B0"/>
    <w:rsid w:val="00DF61F5"/>
    <w:rsid w:val="00DF6480"/>
    <w:rsid w:val="00DF66C8"/>
    <w:rsid w:val="00DF67EC"/>
    <w:rsid w:val="00DF6C17"/>
    <w:rsid w:val="00DF707F"/>
    <w:rsid w:val="00DF75EA"/>
    <w:rsid w:val="00DF785E"/>
    <w:rsid w:val="00DF7966"/>
    <w:rsid w:val="00DF7B53"/>
    <w:rsid w:val="00DF7E4A"/>
    <w:rsid w:val="00DF7F08"/>
    <w:rsid w:val="00E002A8"/>
    <w:rsid w:val="00E00596"/>
    <w:rsid w:val="00E00BDF"/>
    <w:rsid w:val="00E00F89"/>
    <w:rsid w:val="00E015E4"/>
    <w:rsid w:val="00E01698"/>
    <w:rsid w:val="00E01943"/>
    <w:rsid w:val="00E01DC4"/>
    <w:rsid w:val="00E01F35"/>
    <w:rsid w:val="00E022E5"/>
    <w:rsid w:val="00E026D3"/>
    <w:rsid w:val="00E02A18"/>
    <w:rsid w:val="00E02E9C"/>
    <w:rsid w:val="00E02FD4"/>
    <w:rsid w:val="00E03BC7"/>
    <w:rsid w:val="00E04230"/>
    <w:rsid w:val="00E0450C"/>
    <w:rsid w:val="00E04676"/>
    <w:rsid w:val="00E04D1A"/>
    <w:rsid w:val="00E051CF"/>
    <w:rsid w:val="00E051E0"/>
    <w:rsid w:val="00E05662"/>
    <w:rsid w:val="00E0571C"/>
    <w:rsid w:val="00E060BA"/>
    <w:rsid w:val="00E062CB"/>
    <w:rsid w:val="00E063FD"/>
    <w:rsid w:val="00E065B4"/>
    <w:rsid w:val="00E0674D"/>
    <w:rsid w:val="00E06835"/>
    <w:rsid w:val="00E07183"/>
    <w:rsid w:val="00E071DA"/>
    <w:rsid w:val="00E0770D"/>
    <w:rsid w:val="00E07776"/>
    <w:rsid w:val="00E07E8B"/>
    <w:rsid w:val="00E1026F"/>
    <w:rsid w:val="00E1047C"/>
    <w:rsid w:val="00E10699"/>
    <w:rsid w:val="00E10812"/>
    <w:rsid w:val="00E11421"/>
    <w:rsid w:val="00E11FFD"/>
    <w:rsid w:val="00E1228F"/>
    <w:rsid w:val="00E12784"/>
    <w:rsid w:val="00E12A15"/>
    <w:rsid w:val="00E1321F"/>
    <w:rsid w:val="00E135D6"/>
    <w:rsid w:val="00E1369C"/>
    <w:rsid w:val="00E13807"/>
    <w:rsid w:val="00E13B1D"/>
    <w:rsid w:val="00E13D11"/>
    <w:rsid w:val="00E14011"/>
    <w:rsid w:val="00E14176"/>
    <w:rsid w:val="00E144AC"/>
    <w:rsid w:val="00E14E05"/>
    <w:rsid w:val="00E1539A"/>
    <w:rsid w:val="00E1592F"/>
    <w:rsid w:val="00E15B70"/>
    <w:rsid w:val="00E15C72"/>
    <w:rsid w:val="00E1606C"/>
    <w:rsid w:val="00E16931"/>
    <w:rsid w:val="00E16A6C"/>
    <w:rsid w:val="00E16ABA"/>
    <w:rsid w:val="00E16E41"/>
    <w:rsid w:val="00E20246"/>
    <w:rsid w:val="00E2024A"/>
    <w:rsid w:val="00E209D7"/>
    <w:rsid w:val="00E20B38"/>
    <w:rsid w:val="00E20C45"/>
    <w:rsid w:val="00E2103F"/>
    <w:rsid w:val="00E210E8"/>
    <w:rsid w:val="00E2132A"/>
    <w:rsid w:val="00E21484"/>
    <w:rsid w:val="00E21A8E"/>
    <w:rsid w:val="00E21AA0"/>
    <w:rsid w:val="00E21C0D"/>
    <w:rsid w:val="00E2232E"/>
    <w:rsid w:val="00E223F5"/>
    <w:rsid w:val="00E224BF"/>
    <w:rsid w:val="00E22686"/>
    <w:rsid w:val="00E22708"/>
    <w:rsid w:val="00E22D70"/>
    <w:rsid w:val="00E23C85"/>
    <w:rsid w:val="00E23D60"/>
    <w:rsid w:val="00E23E5D"/>
    <w:rsid w:val="00E23F4C"/>
    <w:rsid w:val="00E24D8A"/>
    <w:rsid w:val="00E24F38"/>
    <w:rsid w:val="00E24F54"/>
    <w:rsid w:val="00E2516F"/>
    <w:rsid w:val="00E25B4D"/>
    <w:rsid w:val="00E25BB7"/>
    <w:rsid w:val="00E261B9"/>
    <w:rsid w:val="00E263E0"/>
    <w:rsid w:val="00E26ABB"/>
    <w:rsid w:val="00E26CC1"/>
    <w:rsid w:val="00E27589"/>
    <w:rsid w:val="00E27B2D"/>
    <w:rsid w:val="00E27B98"/>
    <w:rsid w:val="00E27F3C"/>
    <w:rsid w:val="00E30084"/>
    <w:rsid w:val="00E30488"/>
    <w:rsid w:val="00E3049E"/>
    <w:rsid w:val="00E304FD"/>
    <w:rsid w:val="00E30B31"/>
    <w:rsid w:val="00E31BE7"/>
    <w:rsid w:val="00E320D0"/>
    <w:rsid w:val="00E322C9"/>
    <w:rsid w:val="00E3241F"/>
    <w:rsid w:val="00E32A87"/>
    <w:rsid w:val="00E32EA0"/>
    <w:rsid w:val="00E3369A"/>
    <w:rsid w:val="00E338C8"/>
    <w:rsid w:val="00E33F38"/>
    <w:rsid w:val="00E349A4"/>
    <w:rsid w:val="00E3565C"/>
    <w:rsid w:val="00E3565D"/>
    <w:rsid w:val="00E35B26"/>
    <w:rsid w:val="00E35B99"/>
    <w:rsid w:val="00E35EEE"/>
    <w:rsid w:val="00E35F79"/>
    <w:rsid w:val="00E36F91"/>
    <w:rsid w:val="00E37058"/>
    <w:rsid w:val="00E3706C"/>
    <w:rsid w:val="00E37635"/>
    <w:rsid w:val="00E37E56"/>
    <w:rsid w:val="00E37E6C"/>
    <w:rsid w:val="00E37E6F"/>
    <w:rsid w:val="00E40088"/>
    <w:rsid w:val="00E40384"/>
    <w:rsid w:val="00E4049E"/>
    <w:rsid w:val="00E407DD"/>
    <w:rsid w:val="00E408E3"/>
    <w:rsid w:val="00E40B5B"/>
    <w:rsid w:val="00E419AE"/>
    <w:rsid w:val="00E41B74"/>
    <w:rsid w:val="00E41E7E"/>
    <w:rsid w:val="00E41FCB"/>
    <w:rsid w:val="00E4268B"/>
    <w:rsid w:val="00E426DF"/>
    <w:rsid w:val="00E428C0"/>
    <w:rsid w:val="00E42B80"/>
    <w:rsid w:val="00E43152"/>
    <w:rsid w:val="00E434DF"/>
    <w:rsid w:val="00E437C3"/>
    <w:rsid w:val="00E439D0"/>
    <w:rsid w:val="00E43AB5"/>
    <w:rsid w:val="00E44055"/>
    <w:rsid w:val="00E449C2"/>
    <w:rsid w:val="00E44BE3"/>
    <w:rsid w:val="00E44ED4"/>
    <w:rsid w:val="00E44FF5"/>
    <w:rsid w:val="00E45058"/>
    <w:rsid w:val="00E4511B"/>
    <w:rsid w:val="00E455F3"/>
    <w:rsid w:val="00E45D71"/>
    <w:rsid w:val="00E45E18"/>
    <w:rsid w:val="00E463DA"/>
    <w:rsid w:val="00E46DC7"/>
    <w:rsid w:val="00E47164"/>
    <w:rsid w:val="00E4733A"/>
    <w:rsid w:val="00E47789"/>
    <w:rsid w:val="00E47A93"/>
    <w:rsid w:val="00E47B32"/>
    <w:rsid w:val="00E509B9"/>
    <w:rsid w:val="00E5153C"/>
    <w:rsid w:val="00E5191C"/>
    <w:rsid w:val="00E51D90"/>
    <w:rsid w:val="00E52A6D"/>
    <w:rsid w:val="00E52BAA"/>
    <w:rsid w:val="00E530B3"/>
    <w:rsid w:val="00E531F6"/>
    <w:rsid w:val="00E53746"/>
    <w:rsid w:val="00E537A4"/>
    <w:rsid w:val="00E53836"/>
    <w:rsid w:val="00E53A31"/>
    <w:rsid w:val="00E53B79"/>
    <w:rsid w:val="00E54117"/>
    <w:rsid w:val="00E54441"/>
    <w:rsid w:val="00E548B3"/>
    <w:rsid w:val="00E5523A"/>
    <w:rsid w:val="00E5583B"/>
    <w:rsid w:val="00E55B2B"/>
    <w:rsid w:val="00E55DFF"/>
    <w:rsid w:val="00E560B2"/>
    <w:rsid w:val="00E56AC0"/>
    <w:rsid w:val="00E56B77"/>
    <w:rsid w:val="00E57273"/>
    <w:rsid w:val="00E6064A"/>
    <w:rsid w:val="00E607E0"/>
    <w:rsid w:val="00E60CD8"/>
    <w:rsid w:val="00E60D1A"/>
    <w:rsid w:val="00E60EA0"/>
    <w:rsid w:val="00E60FC7"/>
    <w:rsid w:val="00E6149B"/>
    <w:rsid w:val="00E61515"/>
    <w:rsid w:val="00E6151D"/>
    <w:rsid w:val="00E617F8"/>
    <w:rsid w:val="00E619A3"/>
    <w:rsid w:val="00E622A8"/>
    <w:rsid w:val="00E628CC"/>
    <w:rsid w:val="00E62926"/>
    <w:rsid w:val="00E62927"/>
    <w:rsid w:val="00E62C66"/>
    <w:rsid w:val="00E62DC6"/>
    <w:rsid w:val="00E63162"/>
    <w:rsid w:val="00E637B9"/>
    <w:rsid w:val="00E638B3"/>
    <w:rsid w:val="00E6484D"/>
    <w:rsid w:val="00E64965"/>
    <w:rsid w:val="00E6509F"/>
    <w:rsid w:val="00E65133"/>
    <w:rsid w:val="00E652D5"/>
    <w:rsid w:val="00E659DE"/>
    <w:rsid w:val="00E65A20"/>
    <w:rsid w:val="00E66062"/>
    <w:rsid w:val="00E6619D"/>
    <w:rsid w:val="00E662A0"/>
    <w:rsid w:val="00E6659E"/>
    <w:rsid w:val="00E666A6"/>
    <w:rsid w:val="00E6684C"/>
    <w:rsid w:val="00E668C9"/>
    <w:rsid w:val="00E67841"/>
    <w:rsid w:val="00E67FD8"/>
    <w:rsid w:val="00E70614"/>
    <w:rsid w:val="00E7067A"/>
    <w:rsid w:val="00E7069F"/>
    <w:rsid w:val="00E70DA8"/>
    <w:rsid w:val="00E70EF9"/>
    <w:rsid w:val="00E71B3C"/>
    <w:rsid w:val="00E71CE6"/>
    <w:rsid w:val="00E720CC"/>
    <w:rsid w:val="00E72BFE"/>
    <w:rsid w:val="00E7413E"/>
    <w:rsid w:val="00E74797"/>
    <w:rsid w:val="00E74812"/>
    <w:rsid w:val="00E74B4E"/>
    <w:rsid w:val="00E74E4C"/>
    <w:rsid w:val="00E74F22"/>
    <w:rsid w:val="00E74F9D"/>
    <w:rsid w:val="00E75009"/>
    <w:rsid w:val="00E7642E"/>
    <w:rsid w:val="00E76D59"/>
    <w:rsid w:val="00E76DC9"/>
    <w:rsid w:val="00E771C7"/>
    <w:rsid w:val="00E77537"/>
    <w:rsid w:val="00E775CE"/>
    <w:rsid w:val="00E77B37"/>
    <w:rsid w:val="00E77BB8"/>
    <w:rsid w:val="00E77D3B"/>
    <w:rsid w:val="00E803E8"/>
    <w:rsid w:val="00E80A0B"/>
    <w:rsid w:val="00E80A1D"/>
    <w:rsid w:val="00E80A39"/>
    <w:rsid w:val="00E80C56"/>
    <w:rsid w:val="00E81AE7"/>
    <w:rsid w:val="00E81B71"/>
    <w:rsid w:val="00E81C52"/>
    <w:rsid w:val="00E82574"/>
    <w:rsid w:val="00E82DA4"/>
    <w:rsid w:val="00E8329B"/>
    <w:rsid w:val="00E832E5"/>
    <w:rsid w:val="00E834CB"/>
    <w:rsid w:val="00E83961"/>
    <w:rsid w:val="00E83AF3"/>
    <w:rsid w:val="00E83C11"/>
    <w:rsid w:val="00E84B5E"/>
    <w:rsid w:val="00E850CB"/>
    <w:rsid w:val="00E855CA"/>
    <w:rsid w:val="00E857B8"/>
    <w:rsid w:val="00E857CA"/>
    <w:rsid w:val="00E857D5"/>
    <w:rsid w:val="00E85E41"/>
    <w:rsid w:val="00E86143"/>
    <w:rsid w:val="00E8628F"/>
    <w:rsid w:val="00E867B0"/>
    <w:rsid w:val="00E86BE8"/>
    <w:rsid w:val="00E86CF3"/>
    <w:rsid w:val="00E86D30"/>
    <w:rsid w:val="00E8711A"/>
    <w:rsid w:val="00E8736B"/>
    <w:rsid w:val="00E87723"/>
    <w:rsid w:val="00E87731"/>
    <w:rsid w:val="00E87867"/>
    <w:rsid w:val="00E903B8"/>
    <w:rsid w:val="00E904FD"/>
    <w:rsid w:val="00E90B67"/>
    <w:rsid w:val="00E90DB4"/>
    <w:rsid w:val="00E90F78"/>
    <w:rsid w:val="00E910DC"/>
    <w:rsid w:val="00E913B9"/>
    <w:rsid w:val="00E914AE"/>
    <w:rsid w:val="00E92A47"/>
    <w:rsid w:val="00E92ABD"/>
    <w:rsid w:val="00E92C6C"/>
    <w:rsid w:val="00E9374F"/>
    <w:rsid w:val="00E9376F"/>
    <w:rsid w:val="00E938A4"/>
    <w:rsid w:val="00E93982"/>
    <w:rsid w:val="00E93EEF"/>
    <w:rsid w:val="00E93F0E"/>
    <w:rsid w:val="00E940C7"/>
    <w:rsid w:val="00E941E5"/>
    <w:rsid w:val="00E94679"/>
    <w:rsid w:val="00E94809"/>
    <w:rsid w:val="00E95001"/>
    <w:rsid w:val="00E9546D"/>
    <w:rsid w:val="00E95549"/>
    <w:rsid w:val="00E95C8E"/>
    <w:rsid w:val="00E95D30"/>
    <w:rsid w:val="00E95DC2"/>
    <w:rsid w:val="00E95FB3"/>
    <w:rsid w:val="00E95FDF"/>
    <w:rsid w:val="00E9626E"/>
    <w:rsid w:val="00E964E7"/>
    <w:rsid w:val="00E96825"/>
    <w:rsid w:val="00E969FB"/>
    <w:rsid w:val="00E96A96"/>
    <w:rsid w:val="00E96B9E"/>
    <w:rsid w:val="00E97208"/>
    <w:rsid w:val="00E977BC"/>
    <w:rsid w:val="00E978C5"/>
    <w:rsid w:val="00E9799F"/>
    <w:rsid w:val="00E97AF9"/>
    <w:rsid w:val="00E97E73"/>
    <w:rsid w:val="00EA05E7"/>
    <w:rsid w:val="00EA066A"/>
    <w:rsid w:val="00EA0C7F"/>
    <w:rsid w:val="00EA0D31"/>
    <w:rsid w:val="00EA0DAD"/>
    <w:rsid w:val="00EA1186"/>
    <w:rsid w:val="00EA1680"/>
    <w:rsid w:val="00EA183B"/>
    <w:rsid w:val="00EA21AD"/>
    <w:rsid w:val="00EA2393"/>
    <w:rsid w:val="00EA2EEA"/>
    <w:rsid w:val="00EA2F66"/>
    <w:rsid w:val="00EA35B5"/>
    <w:rsid w:val="00EA3982"/>
    <w:rsid w:val="00EA434B"/>
    <w:rsid w:val="00EA4766"/>
    <w:rsid w:val="00EA481C"/>
    <w:rsid w:val="00EA4941"/>
    <w:rsid w:val="00EA4D30"/>
    <w:rsid w:val="00EA500C"/>
    <w:rsid w:val="00EA58FA"/>
    <w:rsid w:val="00EA5E96"/>
    <w:rsid w:val="00EA5EF9"/>
    <w:rsid w:val="00EA6927"/>
    <w:rsid w:val="00EA69BF"/>
    <w:rsid w:val="00EA6C58"/>
    <w:rsid w:val="00EA6DC0"/>
    <w:rsid w:val="00EA7048"/>
    <w:rsid w:val="00EA7395"/>
    <w:rsid w:val="00EA7A42"/>
    <w:rsid w:val="00EA7B4E"/>
    <w:rsid w:val="00EA7E88"/>
    <w:rsid w:val="00EA7F9F"/>
    <w:rsid w:val="00EB00B9"/>
    <w:rsid w:val="00EB0319"/>
    <w:rsid w:val="00EB04DA"/>
    <w:rsid w:val="00EB0755"/>
    <w:rsid w:val="00EB07C1"/>
    <w:rsid w:val="00EB0885"/>
    <w:rsid w:val="00EB0AC1"/>
    <w:rsid w:val="00EB14CF"/>
    <w:rsid w:val="00EB1BCF"/>
    <w:rsid w:val="00EB1DC5"/>
    <w:rsid w:val="00EB229C"/>
    <w:rsid w:val="00EB237F"/>
    <w:rsid w:val="00EB2481"/>
    <w:rsid w:val="00EB271B"/>
    <w:rsid w:val="00EB2832"/>
    <w:rsid w:val="00EB29E1"/>
    <w:rsid w:val="00EB37D4"/>
    <w:rsid w:val="00EB3A9E"/>
    <w:rsid w:val="00EB3EF5"/>
    <w:rsid w:val="00EB4430"/>
    <w:rsid w:val="00EB4734"/>
    <w:rsid w:val="00EB4ACF"/>
    <w:rsid w:val="00EB5300"/>
    <w:rsid w:val="00EB5312"/>
    <w:rsid w:val="00EB568B"/>
    <w:rsid w:val="00EB614B"/>
    <w:rsid w:val="00EB614D"/>
    <w:rsid w:val="00EB617D"/>
    <w:rsid w:val="00EB625F"/>
    <w:rsid w:val="00EB6482"/>
    <w:rsid w:val="00EB6614"/>
    <w:rsid w:val="00EB676A"/>
    <w:rsid w:val="00EB6D92"/>
    <w:rsid w:val="00EB72DF"/>
    <w:rsid w:val="00EB7794"/>
    <w:rsid w:val="00EB7804"/>
    <w:rsid w:val="00EB7E0B"/>
    <w:rsid w:val="00EB7E6D"/>
    <w:rsid w:val="00EC015F"/>
    <w:rsid w:val="00EC0184"/>
    <w:rsid w:val="00EC0243"/>
    <w:rsid w:val="00EC0D5D"/>
    <w:rsid w:val="00EC0ECF"/>
    <w:rsid w:val="00EC1506"/>
    <w:rsid w:val="00EC16C8"/>
    <w:rsid w:val="00EC170B"/>
    <w:rsid w:val="00EC1C2C"/>
    <w:rsid w:val="00EC1CC5"/>
    <w:rsid w:val="00EC1E41"/>
    <w:rsid w:val="00EC1FEB"/>
    <w:rsid w:val="00EC2670"/>
    <w:rsid w:val="00EC2AC8"/>
    <w:rsid w:val="00EC2F83"/>
    <w:rsid w:val="00EC3215"/>
    <w:rsid w:val="00EC323A"/>
    <w:rsid w:val="00EC3438"/>
    <w:rsid w:val="00EC34F3"/>
    <w:rsid w:val="00EC380E"/>
    <w:rsid w:val="00EC43FB"/>
    <w:rsid w:val="00EC53A3"/>
    <w:rsid w:val="00EC604E"/>
    <w:rsid w:val="00EC640B"/>
    <w:rsid w:val="00EC6760"/>
    <w:rsid w:val="00EC686B"/>
    <w:rsid w:val="00EC699C"/>
    <w:rsid w:val="00EC6CB8"/>
    <w:rsid w:val="00EC6EDD"/>
    <w:rsid w:val="00EC706B"/>
    <w:rsid w:val="00EC712E"/>
    <w:rsid w:val="00EC7384"/>
    <w:rsid w:val="00EC7473"/>
    <w:rsid w:val="00EC754B"/>
    <w:rsid w:val="00ED0702"/>
    <w:rsid w:val="00ED0998"/>
    <w:rsid w:val="00ED0A64"/>
    <w:rsid w:val="00ED0C89"/>
    <w:rsid w:val="00ED0E87"/>
    <w:rsid w:val="00ED1382"/>
    <w:rsid w:val="00ED1CD0"/>
    <w:rsid w:val="00ED1D38"/>
    <w:rsid w:val="00ED2504"/>
    <w:rsid w:val="00ED294F"/>
    <w:rsid w:val="00ED2A18"/>
    <w:rsid w:val="00ED311E"/>
    <w:rsid w:val="00ED3561"/>
    <w:rsid w:val="00ED48B7"/>
    <w:rsid w:val="00ED5091"/>
    <w:rsid w:val="00ED51C6"/>
    <w:rsid w:val="00ED51E1"/>
    <w:rsid w:val="00ED550D"/>
    <w:rsid w:val="00ED5738"/>
    <w:rsid w:val="00ED5DDE"/>
    <w:rsid w:val="00ED62E3"/>
    <w:rsid w:val="00ED631F"/>
    <w:rsid w:val="00ED67FE"/>
    <w:rsid w:val="00ED6839"/>
    <w:rsid w:val="00ED6A84"/>
    <w:rsid w:val="00ED6BF7"/>
    <w:rsid w:val="00ED6ED3"/>
    <w:rsid w:val="00ED724E"/>
    <w:rsid w:val="00ED7299"/>
    <w:rsid w:val="00ED731D"/>
    <w:rsid w:val="00ED7733"/>
    <w:rsid w:val="00ED7D57"/>
    <w:rsid w:val="00EE0161"/>
    <w:rsid w:val="00EE0CD7"/>
    <w:rsid w:val="00EE1028"/>
    <w:rsid w:val="00EE1AB2"/>
    <w:rsid w:val="00EE1D2F"/>
    <w:rsid w:val="00EE1E29"/>
    <w:rsid w:val="00EE1F6F"/>
    <w:rsid w:val="00EE202C"/>
    <w:rsid w:val="00EE21ED"/>
    <w:rsid w:val="00EE2260"/>
    <w:rsid w:val="00EE25F8"/>
    <w:rsid w:val="00EE2CD7"/>
    <w:rsid w:val="00EE3096"/>
    <w:rsid w:val="00EE3257"/>
    <w:rsid w:val="00EE3966"/>
    <w:rsid w:val="00EE3C33"/>
    <w:rsid w:val="00EE3E73"/>
    <w:rsid w:val="00EE404E"/>
    <w:rsid w:val="00EE42DB"/>
    <w:rsid w:val="00EE43A2"/>
    <w:rsid w:val="00EE47B1"/>
    <w:rsid w:val="00EE4AD9"/>
    <w:rsid w:val="00EE4F4E"/>
    <w:rsid w:val="00EE54A6"/>
    <w:rsid w:val="00EE5A5B"/>
    <w:rsid w:val="00EE5D9F"/>
    <w:rsid w:val="00EE5FB3"/>
    <w:rsid w:val="00EE613D"/>
    <w:rsid w:val="00EE61F7"/>
    <w:rsid w:val="00EE6240"/>
    <w:rsid w:val="00EE6754"/>
    <w:rsid w:val="00EE694F"/>
    <w:rsid w:val="00EE69A6"/>
    <w:rsid w:val="00EE7214"/>
    <w:rsid w:val="00EE7881"/>
    <w:rsid w:val="00EE78D6"/>
    <w:rsid w:val="00EE7967"/>
    <w:rsid w:val="00EE7D68"/>
    <w:rsid w:val="00EF013D"/>
    <w:rsid w:val="00EF0173"/>
    <w:rsid w:val="00EF0927"/>
    <w:rsid w:val="00EF0E51"/>
    <w:rsid w:val="00EF0E5D"/>
    <w:rsid w:val="00EF1608"/>
    <w:rsid w:val="00EF1A22"/>
    <w:rsid w:val="00EF1B0A"/>
    <w:rsid w:val="00EF1C38"/>
    <w:rsid w:val="00EF3CC3"/>
    <w:rsid w:val="00EF3F84"/>
    <w:rsid w:val="00EF4219"/>
    <w:rsid w:val="00EF42EF"/>
    <w:rsid w:val="00EF47D9"/>
    <w:rsid w:val="00EF4C13"/>
    <w:rsid w:val="00EF5109"/>
    <w:rsid w:val="00EF5176"/>
    <w:rsid w:val="00EF5E0D"/>
    <w:rsid w:val="00EF5EBC"/>
    <w:rsid w:val="00EF634B"/>
    <w:rsid w:val="00EF6605"/>
    <w:rsid w:val="00EF6C7F"/>
    <w:rsid w:val="00EF6EE0"/>
    <w:rsid w:val="00EF74BC"/>
    <w:rsid w:val="00EF75EA"/>
    <w:rsid w:val="00EF7BCF"/>
    <w:rsid w:val="00EF7E31"/>
    <w:rsid w:val="00F0009E"/>
    <w:rsid w:val="00F00771"/>
    <w:rsid w:val="00F00FB3"/>
    <w:rsid w:val="00F010F1"/>
    <w:rsid w:val="00F01340"/>
    <w:rsid w:val="00F019E5"/>
    <w:rsid w:val="00F01A09"/>
    <w:rsid w:val="00F01A4E"/>
    <w:rsid w:val="00F02504"/>
    <w:rsid w:val="00F02872"/>
    <w:rsid w:val="00F03044"/>
    <w:rsid w:val="00F0308A"/>
    <w:rsid w:val="00F03393"/>
    <w:rsid w:val="00F03CA2"/>
    <w:rsid w:val="00F03FDA"/>
    <w:rsid w:val="00F04410"/>
    <w:rsid w:val="00F04512"/>
    <w:rsid w:val="00F04AC3"/>
    <w:rsid w:val="00F04BDE"/>
    <w:rsid w:val="00F04EC6"/>
    <w:rsid w:val="00F04F80"/>
    <w:rsid w:val="00F05B4C"/>
    <w:rsid w:val="00F05D30"/>
    <w:rsid w:val="00F06266"/>
    <w:rsid w:val="00F0672B"/>
    <w:rsid w:val="00F06E5D"/>
    <w:rsid w:val="00F074E2"/>
    <w:rsid w:val="00F0768C"/>
    <w:rsid w:val="00F102B2"/>
    <w:rsid w:val="00F10896"/>
    <w:rsid w:val="00F109F5"/>
    <w:rsid w:val="00F10AC3"/>
    <w:rsid w:val="00F10E28"/>
    <w:rsid w:val="00F10F3F"/>
    <w:rsid w:val="00F114AC"/>
    <w:rsid w:val="00F11EEA"/>
    <w:rsid w:val="00F1254A"/>
    <w:rsid w:val="00F1292A"/>
    <w:rsid w:val="00F12D5D"/>
    <w:rsid w:val="00F13426"/>
    <w:rsid w:val="00F13545"/>
    <w:rsid w:val="00F13F6D"/>
    <w:rsid w:val="00F14169"/>
    <w:rsid w:val="00F14597"/>
    <w:rsid w:val="00F14F2A"/>
    <w:rsid w:val="00F15167"/>
    <w:rsid w:val="00F1567C"/>
    <w:rsid w:val="00F158C0"/>
    <w:rsid w:val="00F158F2"/>
    <w:rsid w:val="00F15E4E"/>
    <w:rsid w:val="00F161FA"/>
    <w:rsid w:val="00F16255"/>
    <w:rsid w:val="00F1654F"/>
    <w:rsid w:val="00F167BF"/>
    <w:rsid w:val="00F16C8E"/>
    <w:rsid w:val="00F16EF9"/>
    <w:rsid w:val="00F16F07"/>
    <w:rsid w:val="00F1719A"/>
    <w:rsid w:val="00F179C7"/>
    <w:rsid w:val="00F17DAA"/>
    <w:rsid w:val="00F17F1E"/>
    <w:rsid w:val="00F2038B"/>
    <w:rsid w:val="00F209AB"/>
    <w:rsid w:val="00F20DB6"/>
    <w:rsid w:val="00F20F65"/>
    <w:rsid w:val="00F20FC5"/>
    <w:rsid w:val="00F21343"/>
    <w:rsid w:val="00F2172B"/>
    <w:rsid w:val="00F21CF9"/>
    <w:rsid w:val="00F21DD0"/>
    <w:rsid w:val="00F22393"/>
    <w:rsid w:val="00F223EE"/>
    <w:rsid w:val="00F22AF2"/>
    <w:rsid w:val="00F22D51"/>
    <w:rsid w:val="00F2306B"/>
    <w:rsid w:val="00F2338B"/>
    <w:rsid w:val="00F23600"/>
    <w:rsid w:val="00F2362D"/>
    <w:rsid w:val="00F23A95"/>
    <w:rsid w:val="00F23ACF"/>
    <w:rsid w:val="00F23D3F"/>
    <w:rsid w:val="00F23EB0"/>
    <w:rsid w:val="00F24808"/>
    <w:rsid w:val="00F24C8A"/>
    <w:rsid w:val="00F24EAE"/>
    <w:rsid w:val="00F2515E"/>
    <w:rsid w:val="00F2543C"/>
    <w:rsid w:val="00F25B8B"/>
    <w:rsid w:val="00F25EA9"/>
    <w:rsid w:val="00F2627D"/>
    <w:rsid w:val="00F269B1"/>
    <w:rsid w:val="00F27094"/>
    <w:rsid w:val="00F27299"/>
    <w:rsid w:val="00F2756F"/>
    <w:rsid w:val="00F275DF"/>
    <w:rsid w:val="00F276AE"/>
    <w:rsid w:val="00F278E3"/>
    <w:rsid w:val="00F27A6B"/>
    <w:rsid w:val="00F27C71"/>
    <w:rsid w:val="00F27D67"/>
    <w:rsid w:val="00F3065F"/>
    <w:rsid w:val="00F30699"/>
    <w:rsid w:val="00F30902"/>
    <w:rsid w:val="00F3092B"/>
    <w:rsid w:val="00F312BB"/>
    <w:rsid w:val="00F318F0"/>
    <w:rsid w:val="00F31ACE"/>
    <w:rsid w:val="00F31B62"/>
    <w:rsid w:val="00F31FA6"/>
    <w:rsid w:val="00F32669"/>
    <w:rsid w:val="00F32BE4"/>
    <w:rsid w:val="00F32C7E"/>
    <w:rsid w:val="00F32E03"/>
    <w:rsid w:val="00F331EE"/>
    <w:rsid w:val="00F33698"/>
    <w:rsid w:val="00F33794"/>
    <w:rsid w:val="00F339D9"/>
    <w:rsid w:val="00F33B83"/>
    <w:rsid w:val="00F33CCB"/>
    <w:rsid w:val="00F33CFD"/>
    <w:rsid w:val="00F33F31"/>
    <w:rsid w:val="00F33FD6"/>
    <w:rsid w:val="00F3400E"/>
    <w:rsid w:val="00F348D0"/>
    <w:rsid w:val="00F349C9"/>
    <w:rsid w:val="00F34EFF"/>
    <w:rsid w:val="00F35DCC"/>
    <w:rsid w:val="00F362DF"/>
    <w:rsid w:val="00F36A74"/>
    <w:rsid w:val="00F36BC0"/>
    <w:rsid w:val="00F36D00"/>
    <w:rsid w:val="00F37053"/>
    <w:rsid w:val="00F372E2"/>
    <w:rsid w:val="00F3776E"/>
    <w:rsid w:val="00F37782"/>
    <w:rsid w:val="00F37947"/>
    <w:rsid w:val="00F37A3D"/>
    <w:rsid w:val="00F37F6D"/>
    <w:rsid w:val="00F40026"/>
    <w:rsid w:val="00F4012B"/>
    <w:rsid w:val="00F4055C"/>
    <w:rsid w:val="00F40754"/>
    <w:rsid w:val="00F40A86"/>
    <w:rsid w:val="00F40C40"/>
    <w:rsid w:val="00F40D46"/>
    <w:rsid w:val="00F40ED6"/>
    <w:rsid w:val="00F40F90"/>
    <w:rsid w:val="00F40FF8"/>
    <w:rsid w:val="00F41006"/>
    <w:rsid w:val="00F4114A"/>
    <w:rsid w:val="00F411CD"/>
    <w:rsid w:val="00F413DD"/>
    <w:rsid w:val="00F417EF"/>
    <w:rsid w:val="00F4188F"/>
    <w:rsid w:val="00F41CE4"/>
    <w:rsid w:val="00F41E1C"/>
    <w:rsid w:val="00F41E95"/>
    <w:rsid w:val="00F41ECF"/>
    <w:rsid w:val="00F4212D"/>
    <w:rsid w:val="00F4226F"/>
    <w:rsid w:val="00F42337"/>
    <w:rsid w:val="00F426E2"/>
    <w:rsid w:val="00F427D4"/>
    <w:rsid w:val="00F428C0"/>
    <w:rsid w:val="00F42A57"/>
    <w:rsid w:val="00F42E4B"/>
    <w:rsid w:val="00F42FB7"/>
    <w:rsid w:val="00F432EA"/>
    <w:rsid w:val="00F43634"/>
    <w:rsid w:val="00F439EF"/>
    <w:rsid w:val="00F44151"/>
    <w:rsid w:val="00F443CA"/>
    <w:rsid w:val="00F4478C"/>
    <w:rsid w:val="00F447C8"/>
    <w:rsid w:val="00F44D08"/>
    <w:rsid w:val="00F44E6B"/>
    <w:rsid w:val="00F453ED"/>
    <w:rsid w:val="00F45807"/>
    <w:rsid w:val="00F45903"/>
    <w:rsid w:val="00F45AB4"/>
    <w:rsid w:val="00F45ABF"/>
    <w:rsid w:val="00F45B05"/>
    <w:rsid w:val="00F45FAA"/>
    <w:rsid w:val="00F46332"/>
    <w:rsid w:val="00F463EE"/>
    <w:rsid w:val="00F47072"/>
    <w:rsid w:val="00F477B9"/>
    <w:rsid w:val="00F47CDD"/>
    <w:rsid w:val="00F47DE5"/>
    <w:rsid w:val="00F50283"/>
    <w:rsid w:val="00F50318"/>
    <w:rsid w:val="00F50637"/>
    <w:rsid w:val="00F506B3"/>
    <w:rsid w:val="00F50738"/>
    <w:rsid w:val="00F50924"/>
    <w:rsid w:val="00F509C3"/>
    <w:rsid w:val="00F50B4A"/>
    <w:rsid w:val="00F50E1A"/>
    <w:rsid w:val="00F51486"/>
    <w:rsid w:val="00F51531"/>
    <w:rsid w:val="00F51632"/>
    <w:rsid w:val="00F521FD"/>
    <w:rsid w:val="00F52216"/>
    <w:rsid w:val="00F52558"/>
    <w:rsid w:val="00F52691"/>
    <w:rsid w:val="00F52E30"/>
    <w:rsid w:val="00F52E92"/>
    <w:rsid w:val="00F53135"/>
    <w:rsid w:val="00F535CC"/>
    <w:rsid w:val="00F53EBA"/>
    <w:rsid w:val="00F53F2D"/>
    <w:rsid w:val="00F540E8"/>
    <w:rsid w:val="00F54156"/>
    <w:rsid w:val="00F542C1"/>
    <w:rsid w:val="00F54302"/>
    <w:rsid w:val="00F5473B"/>
    <w:rsid w:val="00F54D6D"/>
    <w:rsid w:val="00F555F0"/>
    <w:rsid w:val="00F5565E"/>
    <w:rsid w:val="00F556FA"/>
    <w:rsid w:val="00F56279"/>
    <w:rsid w:val="00F56336"/>
    <w:rsid w:val="00F563D6"/>
    <w:rsid w:val="00F566E0"/>
    <w:rsid w:val="00F5677D"/>
    <w:rsid w:val="00F56B85"/>
    <w:rsid w:val="00F56E0B"/>
    <w:rsid w:val="00F57717"/>
    <w:rsid w:val="00F6010F"/>
    <w:rsid w:val="00F60788"/>
    <w:rsid w:val="00F607BE"/>
    <w:rsid w:val="00F608B9"/>
    <w:rsid w:val="00F60A2D"/>
    <w:rsid w:val="00F60E13"/>
    <w:rsid w:val="00F60EB2"/>
    <w:rsid w:val="00F610AD"/>
    <w:rsid w:val="00F615DC"/>
    <w:rsid w:val="00F6193C"/>
    <w:rsid w:val="00F61A8C"/>
    <w:rsid w:val="00F61BBA"/>
    <w:rsid w:val="00F62099"/>
    <w:rsid w:val="00F6214C"/>
    <w:rsid w:val="00F62477"/>
    <w:rsid w:val="00F625EC"/>
    <w:rsid w:val="00F6291C"/>
    <w:rsid w:val="00F6345A"/>
    <w:rsid w:val="00F63464"/>
    <w:rsid w:val="00F637BB"/>
    <w:rsid w:val="00F63991"/>
    <w:rsid w:val="00F6497B"/>
    <w:rsid w:val="00F64B34"/>
    <w:rsid w:val="00F64C09"/>
    <w:rsid w:val="00F6507E"/>
    <w:rsid w:val="00F650A5"/>
    <w:rsid w:val="00F651EC"/>
    <w:rsid w:val="00F65604"/>
    <w:rsid w:val="00F656DB"/>
    <w:rsid w:val="00F6576B"/>
    <w:rsid w:val="00F658CC"/>
    <w:rsid w:val="00F6615B"/>
    <w:rsid w:val="00F668B7"/>
    <w:rsid w:val="00F66CB0"/>
    <w:rsid w:val="00F67775"/>
    <w:rsid w:val="00F679F2"/>
    <w:rsid w:val="00F67B0E"/>
    <w:rsid w:val="00F67E49"/>
    <w:rsid w:val="00F701CA"/>
    <w:rsid w:val="00F7088E"/>
    <w:rsid w:val="00F722A3"/>
    <w:rsid w:val="00F72EAA"/>
    <w:rsid w:val="00F7301E"/>
    <w:rsid w:val="00F7367E"/>
    <w:rsid w:val="00F73881"/>
    <w:rsid w:val="00F73F12"/>
    <w:rsid w:val="00F741A7"/>
    <w:rsid w:val="00F742F8"/>
    <w:rsid w:val="00F748EA"/>
    <w:rsid w:val="00F74F7D"/>
    <w:rsid w:val="00F75065"/>
    <w:rsid w:val="00F75095"/>
    <w:rsid w:val="00F75737"/>
    <w:rsid w:val="00F757AF"/>
    <w:rsid w:val="00F75ADC"/>
    <w:rsid w:val="00F76408"/>
    <w:rsid w:val="00F764D3"/>
    <w:rsid w:val="00F76BE7"/>
    <w:rsid w:val="00F7716E"/>
    <w:rsid w:val="00F7741E"/>
    <w:rsid w:val="00F77932"/>
    <w:rsid w:val="00F77ED9"/>
    <w:rsid w:val="00F801DB"/>
    <w:rsid w:val="00F806A0"/>
    <w:rsid w:val="00F80AEA"/>
    <w:rsid w:val="00F811DB"/>
    <w:rsid w:val="00F81D31"/>
    <w:rsid w:val="00F82763"/>
    <w:rsid w:val="00F82F24"/>
    <w:rsid w:val="00F8314A"/>
    <w:rsid w:val="00F8340C"/>
    <w:rsid w:val="00F83E96"/>
    <w:rsid w:val="00F8406A"/>
    <w:rsid w:val="00F84103"/>
    <w:rsid w:val="00F845C6"/>
    <w:rsid w:val="00F84A0B"/>
    <w:rsid w:val="00F84E22"/>
    <w:rsid w:val="00F84FCB"/>
    <w:rsid w:val="00F8563D"/>
    <w:rsid w:val="00F859B0"/>
    <w:rsid w:val="00F85F25"/>
    <w:rsid w:val="00F865E8"/>
    <w:rsid w:val="00F86DCE"/>
    <w:rsid w:val="00F87CFF"/>
    <w:rsid w:val="00F90174"/>
    <w:rsid w:val="00F903BE"/>
    <w:rsid w:val="00F907A8"/>
    <w:rsid w:val="00F907E5"/>
    <w:rsid w:val="00F90807"/>
    <w:rsid w:val="00F9080F"/>
    <w:rsid w:val="00F90A06"/>
    <w:rsid w:val="00F90CF2"/>
    <w:rsid w:val="00F910D2"/>
    <w:rsid w:val="00F91E1D"/>
    <w:rsid w:val="00F91F0C"/>
    <w:rsid w:val="00F92250"/>
    <w:rsid w:val="00F928A8"/>
    <w:rsid w:val="00F92ADD"/>
    <w:rsid w:val="00F92C05"/>
    <w:rsid w:val="00F92C7C"/>
    <w:rsid w:val="00F92D63"/>
    <w:rsid w:val="00F93010"/>
    <w:rsid w:val="00F934FD"/>
    <w:rsid w:val="00F938E9"/>
    <w:rsid w:val="00F93CDA"/>
    <w:rsid w:val="00F93ED7"/>
    <w:rsid w:val="00F93FC9"/>
    <w:rsid w:val="00F94190"/>
    <w:rsid w:val="00F941F2"/>
    <w:rsid w:val="00F94534"/>
    <w:rsid w:val="00F946EC"/>
    <w:rsid w:val="00F94744"/>
    <w:rsid w:val="00F94CE4"/>
    <w:rsid w:val="00F94DD3"/>
    <w:rsid w:val="00F951A9"/>
    <w:rsid w:val="00F952E3"/>
    <w:rsid w:val="00F9554F"/>
    <w:rsid w:val="00F95E69"/>
    <w:rsid w:val="00F9680E"/>
    <w:rsid w:val="00F96D0D"/>
    <w:rsid w:val="00F96ECE"/>
    <w:rsid w:val="00F972E0"/>
    <w:rsid w:val="00F9746C"/>
    <w:rsid w:val="00F9757F"/>
    <w:rsid w:val="00F979C4"/>
    <w:rsid w:val="00FA028E"/>
    <w:rsid w:val="00FA08D9"/>
    <w:rsid w:val="00FA0BBC"/>
    <w:rsid w:val="00FA0D03"/>
    <w:rsid w:val="00FA0D14"/>
    <w:rsid w:val="00FA0EAB"/>
    <w:rsid w:val="00FA1250"/>
    <w:rsid w:val="00FA166F"/>
    <w:rsid w:val="00FA16ED"/>
    <w:rsid w:val="00FA1898"/>
    <w:rsid w:val="00FA19C2"/>
    <w:rsid w:val="00FA1FDE"/>
    <w:rsid w:val="00FA246F"/>
    <w:rsid w:val="00FA26D3"/>
    <w:rsid w:val="00FA2779"/>
    <w:rsid w:val="00FA2866"/>
    <w:rsid w:val="00FA2B05"/>
    <w:rsid w:val="00FA2EEB"/>
    <w:rsid w:val="00FA3BCB"/>
    <w:rsid w:val="00FA3DAE"/>
    <w:rsid w:val="00FA4124"/>
    <w:rsid w:val="00FA45D6"/>
    <w:rsid w:val="00FA4D9A"/>
    <w:rsid w:val="00FA5B63"/>
    <w:rsid w:val="00FA5C13"/>
    <w:rsid w:val="00FA6518"/>
    <w:rsid w:val="00FA699D"/>
    <w:rsid w:val="00FA6F68"/>
    <w:rsid w:val="00FA718D"/>
    <w:rsid w:val="00FA71CF"/>
    <w:rsid w:val="00FA74A5"/>
    <w:rsid w:val="00FB0466"/>
    <w:rsid w:val="00FB064C"/>
    <w:rsid w:val="00FB0999"/>
    <w:rsid w:val="00FB0A50"/>
    <w:rsid w:val="00FB0DF1"/>
    <w:rsid w:val="00FB11D0"/>
    <w:rsid w:val="00FB1B43"/>
    <w:rsid w:val="00FB278F"/>
    <w:rsid w:val="00FB3860"/>
    <w:rsid w:val="00FB4124"/>
    <w:rsid w:val="00FB41EA"/>
    <w:rsid w:val="00FB4505"/>
    <w:rsid w:val="00FB458E"/>
    <w:rsid w:val="00FB4E26"/>
    <w:rsid w:val="00FB4F97"/>
    <w:rsid w:val="00FB5520"/>
    <w:rsid w:val="00FB581D"/>
    <w:rsid w:val="00FB5FA6"/>
    <w:rsid w:val="00FB6278"/>
    <w:rsid w:val="00FB6606"/>
    <w:rsid w:val="00FB691E"/>
    <w:rsid w:val="00FB6C43"/>
    <w:rsid w:val="00FB7293"/>
    <w:rsid w:val="00FB7491"/>
    <w:rsid w:val="00FB74EE"/>
    <w:rsid w:val="00FB7AE4"/>
    <w:rsid w:val="00FC0422"/>
    <w:rsid w:val="00FC0855"/>
    <w:rsid w:val="00FC0F41"/>
    <w:rsid w:val="00FC104E"/>
    <w:rsid w:val="00FC10AB"/>
    <w:rsid w:val="00FC1204"/>
    <w:rsid w:val="00FC1857"/>
    <w:rsid w:val="00FC1C68"/>
    <w:rsid w:val="00FC1EC4"/>
    <w:rsid w:val="00FC1ECF"/>
    <w:rsid w:val="00FC2237"/>
    <w:rsid w:val="00FC2360"/>
    <w:rsid w:val="00FC2511"/>
    <w:rsid w:val="00FC292E"/>
    <w:rsid w:val="00FC2C44"/>
    <w:rsid w:val="00FC2CAA"/>
    <w:rsid w:val="00FC2D3D"/>
    <w:rsid w:val="00FC2F33"/>
    <w:rsid w:val="00FC337D"/>
    <w:rsid w:val="00FC3717"/>
    <w:rsid w:val="00FC39AA"/>
    <w:rsid w:val="00FC3ECC"/>
    <w:rsid w:val="00FC416F"/>
    <w:rsid w:val="00FC4480"/>
    <w:rsid w:val="00FC45BD"/>
    <w:rsid w:val="00FC48E4"/>
    <w:rsid w:val="00FC51D0"/>
    <w:rsid w:val="00FC521F"/>
    <w:rsid w:val="00FC5490"/>
    <w:rsid w:val="00FC5C5A"/>
    <w:rsid w:val="00FC61FB"/>
    <w:rsid w:val="00FC6ED0"/>
    <w:rsid w:val="00FC6FC5"/>
    <w:rsid w:val="00FC70F5"/>
    <w:rsid w:val="00FC770B"/>
    <w:rsid w:val="00FC7830"/>
    <w:rsid w:val="00FC794E"/>
    <w:rsid w:val="00FD0472"/>
    <w:rsid w:val="00FD065E"/>
    <w:rsid w:val="00FD07C3"/>
    <w:rsid w:val="00FD08ED"/>
    <w:rsid w:val="00FD0989"/>
    <w:rsid w:val="00FD0A83"/>
    <w:rsid w:val="00FD0AE7"/>
    <w:rsid w:val="00FD0CDD"/>
    <w:rsid w:val="00FD0D3E"/>
    <w:rsid w:val="00FD133A"/>
    <w:rsid w:val="00FD168D"/>
    <w:rsid w:val="00FD1691"/>
    <w:rsid w:val="00FD2648"/>
    <w:rsid w:val="00FD26E5"/>
    <w:rsid w:val="00FD2792"/>
    <w:rsid w:val="00FD2D89"/>
    <w:rsid w:val="00FD336B"/>
    <w:rsid w:val="00FD4095"/>
    <w:rsid w:val="00FD43E0"/>
    <w:rsid w:val="00FD4447"/>
    <w:rsid w:val="00FD468D"/>
    <w:rsid w:val="00FD48E7"/>
    <w:rsid w:val="00FD4BE0"/>
    <w:rsid w:val="00FD4BFA"/>
    <w:rsid w:val="00FD4DC7"/>
    <w:rsid w:val="00FD4EC5"/>
    <w:rsid w:val="00FD5303"/>
    <w:rsid w:val="00FD56D9"/>
    <w:rsid w:val="00FD59A1"/>
    <w:rsid w:val="00FD5A2D"/>
    <w:rsid w:val="00FD628F"/>
    <w:rsid w:val="00FD64E1"/>
    <w:rsid w:val="00FD66FF"/>
    <w:rsid w:val="00FD6A9B"/>
    <w:rsid w:val="00FD70C3"/>
    <w:rsid w:val="00FD7353"/>
    <w:rsid w:val="00FD754E"/>
    <w:rsid w:val="00FD7BED"/>
    <w:rsid w:val="00FE0772"/>
    <w:rsid w:val="00FE07BB"/>
    <w:rsid w:val="00FE0921"/>
    <w:rsid w:val="00FE0A69"/>
    <w:rsid w:val="00FE10CA"/>
    <w:rsid w:val="00FE146F"/>
    <w:rsid w:val="00FE1BD8"/>
    <w:rsid w:val="00FE21CE"/>
    <w:rsid w:val="00FE2660"/>
    <w:rsid w:val="00FE2D84"/>
    <w:rsid w:val="00FE2E29"/>
    <w:rsid w:val="00FE378A"/>
    <w:rsid w:val="00FE3921"/>
    <w:rsid w:val="00FE3954"/>
    <w:rsid w:val="00FE3A51"/>
    <w:rsid w:val="00FE3BBA"/>
    <w:rsid w:val="00FE3C08"/>
    <w:rsid w:val="00FE3E6A"/>
    <w:rsid w:val="00FE4165"/>
    <w:rsid w:val="00FE4299"/>
    <w:rsid w:val="00FE4378"/>
    <w:rsid w:val="00FE4F49"/>
    <w:rsid w:val="00FE4FB6"/>
    <w:rsid w:val="00FE5068"/>
    <w:rsid w:val="00FE57F9"/>
    <w:rsid w:val="00FE60C9"/>
    <w:rsid w:val="00FE66B3"/>
    <w:rsid w:val="00FE66C6"/>
    <w:rsid w:val="00FE6A9C"/>
    <w:rsid w:val="00FE7079"/>
    <w:rsid w:val="00FE723F"/>
    <w:rsid w:val="00FE7374"/>
    <w:rsid w:val="00FE75DA"/>
    <w:rsid w:val="00FE784B"/>
    <w:rsid w:val="00FE795F"/>
    <w:rsid w:val="00FE7A65"/>
    <w:rsid w:val="00FF0245"/>
    <w:rsid w:val="00FF046F"/>
    <w:rsid w:val="00FF0899"/>
    <w:rsid w:val="00FF1280"/>
    <w:rsid w:val="00FF1A6D"/>
    <w:rsid w:val="00FF20B9"/>
    <w:rsid w:val="00FF28D6"/>
    <w:rsid w:val="00FF36AF"/>
    <w:rsid w:val="00FF3898"/>
    <w:rsid w:val="00FF3A16"/>
    <w:rsid w:val="00FF3E53"/>
    <w:rsid w:val="00FF407A"/>
    <w:rsid w:val="00FF4915"/>
    <w:rsid w:val="00FF4A42"/>
    <w:rsid w:val="00FF4E65"/>
    <w:rsid w:val="00FF4F74"/>
    <w:rsid w:val="00FF5257"/>
    <w:rsid w:val="00FF5B46"/>
    <w:rsid w:val="00FF5D58"/>
    <w:rsid w:val="00FF68B1"/>
    <w:rsid w:val="00FF6B01"/>
    <w:rsid w:val="00FF6C35"/>
    <w:rsid w:val="00FF6D0E"/>
    <w:rsid w:val="00FF6D58"/>
    <w:rsid w:val="00FF6ED4"/>
    <w:rsid w:val="00FF703B"/>
    <w:rsid w:val="00FF7085"/>
    <w:rsid w:val="00FF7444"/>
    <w:rsid w:val="00FF7630"/>
    <w:rsid w:val="00FF7646"/>
    <w:rsid w:val="00FF7A90"/>
    <w:rsid w:val="00FF7BB0"/>
    <w:rsid w:val="00FF7CDC"/>
    <w:rsid w:val="00FF7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A3038F"/>
  <w15:docId w15:val="{7FC832A0-08DE-41F1-94EE-E31BA53C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uiPriority w:val="99"/>
    <w:semiHidden/>
    <w:locked/>
    <w:rsid w:val="000D30A7"/>
    <w:rPr>
      <w:sz w:val="16"/>
      <w:szCs w:val="16"/>
    </w:rPr>
  </w:style>
  <w:style w:type="paragraph" w:styleId="CommentText">
    <w:name w:val="annotation text"/>
    <w:basedOn w:val="Normal"/>
    <w:link w:val="CommentTextChar"/>
    <w:uiPriority w:val="99"/>
    <w:semiHidden/>
    <w:locked/>
    <w:rsid w:val="000D30A7"/>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2"/>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3"/>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 w:type="paragraph" w:customStyle="1" w:styleId="Heading1NoSpace">
    <w:name w:val="Heading 1 NoSpace"/>
    <w:basedOn w:val="Heading1"/>
    <w:rsid w:val="00104D21"/>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104D21"/>
    <w:rPr>
      <w:rFonts w:ascii="Trade Gothic LT Std Bold" w:hAnsi="Trade Gothic LT Std Bold"/>
    </w:rPr>
  </w:style>
  <w:style w:type="paragraph" w:styleId="Bibliography">
    <w:name w:val="Bibliography"/>
    <w:basedOn w:val="Normal"/>
    <w:next w:val="Normal"/>
    <w:uiPriority w:val="37"/>
    <w:semiHidden/>
    <w:unhideWhenUsed/>
    <w:rsid w:val="00F859B0"/>
  </w:style>
  <w:style w:type="paragraph" w:styleId="BlockText">
    <w:name w:val="Block Text"/>
    <w:basedOn w:val="Normal"/>
    <w:uiPriority w:val="99"/>
    <w:semiHidden/>
    <w:unhideWhenUsed/>
    <w:locked/>
    <w:rsid w:val="00F859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F859B0"/>
    <w:pPr>
      <w:ind w:firstLine="360"/>
    </w:pPr>
    <w:rPr>
      <w:sz w:val="22"/>
      <w:szCs w:val="22"/>
      <w:lang w:eastAsia="en-GB"/>
    </w:rPr>
  </w:style>
  <w:style w:type="character" w:customStyle="1" w:styleId="BodyTextFirstIndentChar">
    <w:name w:val="Body Text First Indent Char"/>
    <w:basedOn w:val="BodyTextChar"/>
    <w:link w:val="BodyTextFirstIndent"/>
    <w:uiPriority w:val="99"/>
    <w:semiHidden/>
    <w:rsid w:val="00F859B0"/>
    <w:rPr>
      <w:rFonts w:ascii="ZapfCalligr BT" w:hAnsi="ZapfCalligr BT" w:cs="ZapfCalligr BT"/>
      <w:sz w:val="20"/>
      <w:szCs w:val="20"/>
    </w:rPr>
  </w:style>
  <w:style w:type="paragraph" w:styleId="BodyTextFirstIndent2">
    <w:name w:val="Body Text First Indent 2"/>
    <w:basedOn w:val="BodyTextIndent"/>
    <w:link w:val="BodyTextFirstIndent2Char"/>
    <w:uiPriority w:val="99"/>
    <w:semiHidden/>
    <w:unhideWhenUsed/>
    <w:locked/>
    <w:rsid w:val="00F859B0"/>
    <w:pPr>
      <w:tabs>
        <w:tab w:val="clear" w:pos="567"/>
        <w:tab w:val="clear" w:pos="4537"/>
        <w:tab w:val="clear" w:pos="5245"/>
        <w:tab w:val="clear" w:pos="6804"/>
      </w:tabs>
      <w:ind w:left="360" w:firstLine="360"/>
    </w:pPr>
    <w:rPr>
      <w:sz w:val="22"/>
      <w:szCs w:val="22"/>
      <w:lang w:eastAsia="en-GB"/>
    </w:rPr>
  </w:style>
  <w:style w:type="character" w:customStyle="1" w:styleId="BodyTextFirstIndent2Char">
    <w:name w:val="Body Text First Indent 2 Char"/>
    <w:basedOn w:val="BodyTextIndentChar"/>
    <w:link w:val="BodyTextFirstIndent2"/>
    <w:uiPriority w:val="99"/>
    <w:semiHidden/>
    <w:rsid w:val="00F859B0"/>
    <w:rPr>
      <w:rFonts w:ascii="ZapfCalligr BT" w:hAnsi="ZapfCalligr BT" w:cs="ZapfCalligr BT"/>
      <w:sz w:val="20"/>
      <w:szCs w:val="20"/>
    </w:rPr>
  </w:style>
  <w:style w:type="paragraph" w:styleId="Caption">
    <w:name w:val="caption"/>
    <w:basedOn w:val="Normal"/>
    <w:next w:val="Normal"/>
    <w:uiPriority w:val="35"/>
    <w:semiHidden/>
    <w:unhideWhenUsed/>
    <w:qFormat/>
    <w:locked/>
    <w:rsid w:val="00F859B0"/>
    <w:pPr>
      <w:spacing w:after="200"/>
    </w:pPr>
    <w:rPr>
      <w:i/>
      <w:iCs/>
      <w:color w:val="1F497D" w:themeColor="text2"/>
      <w:sz w:val="18"/>
      <w:szCs w:val="18"/>
    </w:rPr>
  </w:style>
  <w:style w:type="paragraph" w:styleId="Closing">
    <w:name w:val="Closing"/>
    <w:basedOn w:val="Normal"/>
    <w:link w:val="ClosingChar"/>
    <w:uiPriority w:val="99"/>
    <w:semiHidden/>
    <w:unhideWhenUsed/>
    <w:locked/>
    <w:rsid w:val="00F859B0"/>
    <w:pPr>
      <w:ind w:left="4252"/>
    </w:pPr>
  </w:style>
  <w:style w:type="character" w:customStyle="1" w:styleId="ClosingChar">
    <w:name w:val="Closing Char"/>
    <w:basedOn w:val="DefaultParagraphFont"/>
    <w:link w:val="Closing"/>
    <w:uiPriority w:val="99"/>
    <w:semiHidden/>
    <w:rsid w:val="00F859B0"/>
    <w:rPr>
      <w:rFonts w:ascii="ZapfCalligr BT" w:hAnsi="ZapfCalligr BT" w:cs="ZapfCalligr BT"/>
    </w:rPr>
  </w:style>
  <w:style w:type="paragraph" w:styleId="Date">
    <w:name w:val="Date"/>
    <w:basedOn w:val="Normal"/>
    <w:next w:val="Normal"/>
    <w:link w:val="DateChar"/>
    <w:uiPriority w:val="99"/>
    <w:semiHidden/>
    <w:unhideWhenUsed/>
    <w:locked/>
    <w:rsid w:val="00F859B0"/>
  </w:style>
  <w:style w:type="character" w:customStyle="1" w:styleId="DateChar">
    <w:name w:val="Date Char"/>
    <w:basedOn w:val="DefaultParagraphFont"/>
    <w:link w:val="Date"/>
    <w:uiPriority w:val="99"/>
    <w:semiHidden/>
    <w:rsid w:val="00F859B0"/>
    <w:rPr>
      <w:rFonts w:ascii="ZapfCalligr BT" w:hAnsi="ZapfCalligr BT" w:cs="ZapfCalligr BT"/>
    </w:rPr>
  </w:style>
  <w:style w:type="paragraph" w:styleId="DocumentMap">
    <w:name w:val="Document Map"/>
    <w:basedOn w:val="Normal"/>
    <w:link w:val="DocumentMapChar"/>
    <w:uiPriority w:val="99"/>
    <w:semiHidden/>
    <w:unhideWhenUsed/>
    <w:locked/>
    <w:rsid w:val="00F859B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59B0"/>
    <w:rPr>
      <w:rFonts w:ascii="Segoe UI" w:hAnsi="Segoe UI" w:cs="Segoe UI"/>
      <w:sz w:val="16"/>
      <w:szCs w:val="16"/>
    </w:rPr>
  </w:style>
  <w:style w:type="paragraph" w:styleId="E-mailSignature">
    <w:name w:val="E-mail Signature"/>
    <w:basedOn w:val="Normal"/>
    <w:link w:val="E-mailSignatureChar"/>
    <w:uiPriority w:val="99"/>
    <w:semiHidden/>
    <w:unhideWhenUsed/>
    <w:locked/>
    <w:rsid w:val="00F859B0"/>
  </w:style>
  <w:style w:type="character" w:customStyle="1" w:styleId="E-mailSignatureChar">
    <w:name w:val="E-mail Signature Char"/>
    <w:basedOn w:val="DefaultParagraphFont"/>
    <w:link w:val="E-mailSignature"/>
    <w:uiPriority w:val="99"/>
    <w:semiHidden/>
    <w:rsid w:val="00F859B0"/>
    <w:rPr>
      <w:rFonts w:ascii="ZapfCalligr BT" w:hAnsi="ZapfCalligr BT" w:cs="ZapfCalligr BT"/>
    </w:rPr>
  </w:style>
  <w:style w:type="paragraph" w:styleId="EndnoteText">
    <w:name w:val="endnote text"/>
    <w:basedOn w:val="Normal"/>
    <w:link w:val="EndnoteTextChar"/>
    <w:uiPriority w:val="99"/>
    <w:semiHidden/>
    <w:unhideWhenUsed/>
    <w:locked/>
    <w:rsid w:val="00F859B0"/>
    <w:rPr>
      <w:sz w:val="20"/>
      <w:szCs w:val="20"/>
    </w:rPr>
  </w:style>
  <w:style w:type="character" w:customStyle="1" w:styleId="EndnoteTextChar">
    <w:name w:val="Endnote Text Char"/>
    <w:basedOn w:val="DefaultParagraphFont"/>
    <w:link w:val="EndnoteText"/>
    <w:uiPriority w:val="99"/>
    <w:semiHidden/>
    <w:rsid w:val="00F859B0"/>
    <w:rPr>
      <w:rFonts w:ascii="ZapfCalligr BT" w:hAnsi="ZapfCalligr BT" w:cs="ZapfCalligr BT"/>
      <w:sz w:val="20"/>
      <w:szCs w:val="20"/>
    </w:rPr>
  </w:style>
  <w:style w:type="paragraph" w:styleId="EnvelopeAddress">
    <w:name w:val="envelope address"/>
    <w:basedOn w:val="Normal"/>
    <w:uiPriority w:val="99"/>
    <w:semiHidden/>
    <w:unhideWhenUsed/>
    <w:locked/>
    <w:rsid w:val="00F859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59B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F859B0"/>
    <w:rPr>
      <w:sz w:val="20"/>
      <w:szCs w:val="20"/>
    </w:rPr>
  </w:style>
  <w:style w:type="character" w:customStyle="1" w:styleId="FootnoteTextChar">
    <w:name w:val="Footnote Text Char"/>
    <w:basedOn w:val="DefaultParagraphFont"/>
    <w:link w:val="FootnoteText"/>
    <w:uiPriority w:val="99"/>
    <w:semiHidden/>
    <w:rsid w:val="00F859B0"/>
    <w:rPr>
      <w:rFonts w:ascii="ZapfCalligr BT" w:hAnsi="ZapfCalligr BT" w:cs="ZapfCalligr BT"/>
      <w:sz w:val="20"/>
      <w:szCs w:val="20"/>
    </w:rPr>
  </w:style>
  <w:style w:type="paragraph" w:styleId="HTMLAddress">
    <w:name w:val="HTML Address"/>
    <w:basedOn w:val="Normal"/>
    <w:link w:val="HTMLAddressChar"/>
    <w:uiPriority w:val="99"/>
    <w:semiHidden/>
    <w:unhideWhenUsed/>
    <w:locked/>
    <w:rsid w:val="00F859B0"/>
    <w:rPr>
      <w:i/>
      <w:iCs/>
    </w:rPr>
  </w:style>
  <w:style w:type="character" w:customStyle="1" w:styleId="HTMLAddressChar">
    <w:name w:val="HTML Address Char"/>
    <w:basedOn w:val="DefaultParagraphFont"/>
    <w:link w:val="HTMLAddress"/>
    <w:uiPriority w:val="99"/>
    <w:semiHidden/>
    <w:rsid w:val="00F859B0"/>
    <w:rPr>
      <w:rFonts w:ascii="ZapfCalligr BT" w:hAnsi="ZapfCalligr BT" w:cs="ZapfCalligr BT"/>
      <w:i/>
      <w:iCs/>
    </w:rPr>
  </w:style>
  <w:style w:type="paragraph" w:styleId="HTMLPreformatted">
    <w:name w:val="HTML Preformatted"/>
    <w:basedOn w:val="Normal"/>
    <w:link w:val="HTMLPreformattedChar"/>
    <w:uiPriority w:val="99"/>
    <w:semiHidden/>
    <w:unhideWhenUsed/>
    <w:locked/>
    <w:rsid w:val="00F859B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859B0"/>
    <w:rPr>
      <w:rFonts w:ascii="Consolas" w:hAnsi="Consolas" w:cs="Consolas"/>
      <w:sz w:val="20"/>
      <w:szCs w:val="20"/>
    </w:rPr>
  </w:style>
  <w:style w:type="paragraph" w:styleId="Index1">
    <w:name w:val="index 1"/>
    <w:basedOn w:val="Normal"/>
    <w:next w:val="Normal"/>
    <w:autoRedefine/>
    <w:uiPriority w:val="99"/>
    <w:semiHidden/>
    <w:unhideWhenUsed/>
    <w:locked/>
    <w:rsid w:val="00F859B0"/>
    <w:pPr>
      <w:ind w:left="220" w:hanging="220"/>
    </w:pPr>
  </w:style>
  <w:style w:type="paragraph" w:styleId="Index2">
    <w:name w:val="index 2"/>
    <w:basedOn w:val="Normal"/>
    <w:next w:val="Normal"/>
    <w:autoRedefine/>
    <w:uiPriority w:val="99"/>
    <w:semiHidden/>
    <w:unhideWhenUsed/>
    <w:locked/>
    <w:rsid w:val="00F859B0"/>
    <w:pPr>
      <w:ind w:left="440" w:hanging="220"/>
    </w:pPr>
  </w:style>
  <w:style w:type="paragraph" w:styleId="Index3">
    <w:name w:val="index 3"/>
    <w:basedOn w:val="Normal"/>
    <w:next w:val="Normal"/>
    <w:autoRedefine/>
    <w:uiPriority w:val="99"/>
    <w:semiHidden/>
    <w:unhideWhenUsed/>
    <w:locked/>
    <w:rsid w:val="00F859B0"/>
    <w:pPr>
      <w:ind w:left="660" w:hanging="220"/>
    </w:pPr>
  </w:style>
  <w:style w:type="paragraph" w:styleId="Index4">
    <w:name w:val="index 4"/>
    <w:basedOn w:val="Normal"/>
    <w:next w:val="Normal"/>
    <w:autoRedefine/>
    <w:uiPriority w:val="99"/>
    <w:semiHidden/>
    <w:unhideWhenUsed/>
    <w:locked/>
    <w:rsid w:val="00F859B0"/>
    <w:pPr>
      <w:ind w:left="880" w:hanging="220"/>
    </w:pPr>
  </w:style>
  <w:style w:type="paragraph" w:styleId="Index5">
    <w:name w:val="index 5"/>
    <w:basedOn w:val="Normal"/>
    <w:next w:val="Normal"/>
    <w:autoRedefine/>
    <w:uiPriority w:val="99"/>
    <w:semiHidden/>
    <w:unhideWhenUsed/>
    <w:locked/>
    <w:rsid w:val="00F859B0"/>
    <w:pPr>
      <w:ind w:left="1100" w:hanging="220"/>
    </w:pPr>
  </w:style>
  <w:style w:type="paragraph" w:styleId="Index6">
    <w:name w:val="index 6"/>
    <w:basedOn w:val="Normal"/>
    <w:next w:val="Normal"/>
    <w:autoRedefine/>
    <w:uiPriority w:val="99"/>
    <w:semiHidden/>
    <w:unhideWhenUsed/>
    <w:locked/>
    <w:rsid w:val="00F859B0"/>
    <w:pPr>
      <w:ind w:left="1320" w:hanging="220"/>
    </w:pPr>
  </w:style>
  <w:style w:type="paragraph" w:styleId="Index7">
    <w:name w:val="index 7"/>
    <w:basedOn w:val="Normal"/>
    <w:next w:val="Normal"/>
    <w:autoRedefine/>
    <w:uiPriority w:val="99"/>
    <w:semiHidden/>
    <w:unhideWhenUsed/>
    <w:locked/>
    <w:rsid w:val="00F859B0"/>
    <w:pPr>
      <w:ind w:left="1540" w:hanging="220"/>
    </w:pPr>
  </w:style>
  <w:style w:type="paragraph" w:styleId="Index8">
    <w:name w:val="index 8"/>
    <w:basedOn w:val="Normal"/>
    <w:next w:val="Normal"/>
    <w:autoRedefine/>
    <w:uiPriority w:val="99"/>
    <w:semiHidden/>
    <w:unhideWhenUsed/>
    <w:locked/>
    <w:rsid w:val="00F859B0"/>
    <w:pPr>
      <w:ind w:left="1760" w:hanging="220"/>
    </w:pPr>
  </w:style>
  <w:style w:type="paragraph" w:styleId="Index9">
    <w:name w:val="index 9"/>
    <w:basedOn w:val="Normal"/>
    <w:next w:val="Normal"/>
    <w:autoRedefine/>
    <w:uiPriority w:val="99"/>
    <w:semiHidden/>
    <w:unhideWhenUsed/>
    <w:locked/>
    <w:rsid w:val="00F859B0"/>
    <w:pPr>
      <w:ind w:left="1980" w:hanging="220"/>
    </w:pPr>
  </w:style>
  <w:style w:type="paragraph" w:styleId="IndexHeading">
    <w:name w:val="index heading"/>
    <w:basedOn w:val="Normal"/>
    <w:next w:val="Index1"/>
    <w:uiPriority w:val="99"/>
    <w:semiHidden/>
    <w:unhideWhenUsed/>
    <w:locked/>
    <w:rsid w:val="00F859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859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859B0"/>
    <w:rPr>
      <w:rFonts w:ascii="ZapfCalligr BT" w:hAnsi="ZapfCalligr BT" w:cs="ZapfCalligr BT"/>
      <w:i/>
      <w:iCs/>
      <w:color w:val="4F81BD" w:themeColor="accent1"/>
    </w:rPr>
  </w:style>
  <w:style w:type="paragraph" w:styleId="List">
    <w:name w:val="List"/>
    <w:basedOn w:val="Normal"/>
    <w:uiPriority w:val="99"/>
    <w:semiHidden/>
    <w:unhideWhenUsed/>
    <w:locked/>
    <w:rsid w:val="00F859B0"/>
    <w:pPr>
      <w:ind w:left="283" w:hanging="283"/>
      <w:contextualSpacing/>
    </w:pPr>
  </w:style>
  <w:style w:type="paragraph" w:styleId="List2">
    <w:name w:val="List 2"/>
    <w:basedOn w:val="Normal"/>
    <w:uiPriority w:val="99"/>
    <w:semiHidden/>
    <w:unhideWhenUsed/>
    <w:locked/>
    <w:rsid w:val="00F859B0"/>
    <w:pPr>
      <w:ind w:left="566" w:hanging="283"/>
      <w:contextualSpacing/>
    </w:pPr>
  </w:style>
  <w:style w:type="paragraph" w:styleId="List3">
    <w:name w:val="List 3"/>
    <w:basedOn w:val="Normal"/>
    <w:uiPriority w:val="99"/>
    <w:semiHidden/>
    <w:unhideWhenUsed/>
    <w:locked/>
    <w:rsid w:val="00F859B0"/>
    <w:pPr>
      <w:ind w:left="849" w:hanging="283"/>
      <w:contextualSpacing/>
    </w:pPr>
  </w:style>
  <w:style w:type="paragraph" w:styleId="List4">
    <w:name w:val="List 4"/>
    <w:basedOn w:val="Normal"/>
    <w:uiPriority w:val="99"/>
    <w:semiHidden/>
    <w:unhideWhenUsed/>
    <w:locked/>
    <w:rsid w:val="00F859B0"/>
    <w:pPr>
      <w:ind w:left="1132" w:hanging="283"/>
      <w:contextualSpacing/>
    </w:pPr>
  </w:style>
  <w:style w:type="paragraph" w:styleId="List5">
    <w:name w:val="List 5"/>
    <w:basedOn w:val="Normal"/>
    <w:uiPriority w:val="99"/>
    <w:semiHidden/>
    <w:unhideWhenUsed/>
    <w:locked/>
    <w:rsid w:val="00F859B0"/>
    <w:pPr>
      <w:ind w:left="1415" w:hanging="283"/>
      <w:contextualSpacing/>
    </w:pPr>
  </w:style>
  <w:style w:type="paragraph" w:styleId="ListBullet">
    <w:name w:val="List Bullet"/>
    <w:basedOn w:val="Normal"/>
    <w:uiPriority w:val="99"/>
    <w:semiHidden/>
    <w:unhideWhenUsed/>
    <w:locked/>
    <w:rsid w:val="00F859B0"/>
    <w:pPr>
      <w:numPr>
        <w:numId w:val="16"/>
      </w:numPr>
      <w:contextualSpacing/>
    </w:pPr>
  </w:style>
  <w:style w:type="paragraph" w:styleId="ListBullet2">
    <w:name w:val="List Bullet 2"/>
    <w:basedOn w:val="Normal"/>
    <w:uiPriority w:val="99"/>
    <w:semiHidden/>
    <w:unhideWhenUsed/>
    <w:locked/>
    <w:rsid w:val="00F859B0"/>
    <w:pPr>
      <w:numPr>
        <w:numId w:val="17"/>
      </w:numPr>
      <w:contextualSpacing/>
    </w:pPr>
  </w:style>
  <w:style w:type="paragraph" w:styleId="ListBullet3">
    <w:name w:val="List Bullet 3"/>
    <w:basedOn w:val="Normal"/>
    <w:uiPriority w:val="99"/>
    <w:semiHidden/>
    <w:unhideWhenUsed/>
    <w:locked/>
    <w:rsid w:val="00F859B0"/>
    <w:pPr>
      <w:numPr>
        <w:numId w:val="18"/>
      </w:numPr>
      <w:contextualSpacing/>
    </w:pPr>
  </w:style>
  <w:style w:type="paragraph" w:styleId="ListBullet5">
    <w:name w:val="List Bullet 5"/>
    <w:basedOn w:val="Normal"/>
    <w:uiPriority w:val="99"/>
    <w:semiHidden/>
    <w:unhideWhenUsed/>
    <w:locked/>
    <w:rsid w:val="00F859B0"/>
    <w:pPr>
      <w:numPr>
        <w:numId w:val="19"/>
      </w:numPr>
      <w:contextualSpacing/>
    </w:pPr>
  </w:style>
  <w:style w:type="paragraph" w:styleId="ListContinue">
    <w:name w:val="List Continue"/>
    <w:basedOn w:val="Normal"/>
    <w:uiPriority w:val="99"/>
    <w:semiHidden/>
    <w:unhideWhenUsed/>
    <w:locked/>
    <w:rsid w:val="00F859B0"/>
    <w:pPr>
      <w:spacing w:after="120"/>
      <w:ind w:left="283"/>
      <w:contextualSpacing/>
    </w:pPr>
  </w:style>
  <w:style w:type="paragraph" w:styleId="ListContinue2">
    <w:name w:val="List Continue 2"/>
    <w:basedOn w:val="Normal"/>
    <w:uiPriority w:val="99"/>
    <w:semiHidden/>
    <w:unhideWhenUsed/>
    <w:locked/>
    <w:rsid w:val="00F859B0"/>
    <w:pPr>
      <w:spacing w:after="120"/>
      <w:ind w:left="566"/>
      <w:contextualSpacing/>
    </w:pPr>
  </w:style>
  <w:style w:type="paragraph" w:styleId="ListContinue3">
    <w:name w:val="List Continue 3"/>
    <w:basedOn w:val="Normal"/>
    <w:uiPriority w:val="99"/>
    <w:semiHidden/>
    <w:unhideWhenUsed/>
    <w:locked/>
    <w:rsid w:val="00F859B0"/>
    <w:pPr>
      <w:spacing w:after="120"/>
      <w:ind w:left="849"/>
      <w:contextualSpacing/>
    </w:pPr>
  </w:style>
  <w:style w:type="paragraph" w:styleId="ListContinue4">
    <w:name w:val="List Continue 4"/>
    <w:basedOn w:val="Normal"/>
    <w:uiPriority w:val="99"/>
    <w:semiHidden/>
    <w:unhideWhenUsed/>
    <w:locked/>
    <w:rsid w:val="00F859B0"/>
    <w:pPr>
      <w:spacing w:after="120"/>
      <w:ind w:left="1132"/>
      <w:contextualSpacing/>
    </w:pPr>
  </w:style>
  <w:style w:type="paragraph" w:styleId="ListContinue5">
    <w:name w:val="List Continue 5"/>
    <w:basedOn w:val="Normal"/>
    <w:uiPriority w:val="99"/>
    <w:semiHidden/>
    <w:unhideWhenUsed/>
    <w:locked/>
    <w:rsid w:val="00F859B0"/>
    <w:pPr>
      <w:spacing w:after="120"/>
      <w:ind w:left="1415"/>
      <w:contextualSpacing/>
    </w:pPr>
  </w:style>
  <w:style w:type="paragraph" w:styleId="ListNumber">
    <w:name w:val="List Number"/>
    <w:basedOn w:val="Normal"/>
    <w:uiPriority w:val="99"/>
    <w:semiHidden/>
    <w:unhideWhenUsed/>
    <w:locked/>
    <w:rsid w:val="00F859B0"/>
    <w:pPr>
      <w:numPr>
        <w:numId w:val="20"/>
      </w:numPr>
      <w:contextualSpacing/>
    </w:pPr>
  </w:style>
  <w:style w:type="paragraph" w:styleId="ListNumber2">
    <w:name w:val="List Number 2"/>
    <w:basedOn w:val="Normal"/>
    <w:uiPriority w:val="99"/>
    <w:semiHidden/>
    <w:unhideWhenUsed/>
    <w:locked/>
    <w:rsid w:val="00F859B0"/>
    <w:pPr>
      <w:numPr>
        <w:numId w:val="21"/>
      </w:numPr>
      <w:contextualSpacing/>
    </w:pPr>
  </w:style>
  <w:style w:type="paragraph" w:styleId="ListNumber3">
    <w:name w:val="List Number 3"/>
    <w:basedOn w:val="Normal"/>
    <w:uiPriority w:val="99"/>
    <w:semiHidden/>
    <w:unhideWhenUsed/>
    <w:locked/>
    <w:rsid w:val="00F859B0"/>
    <w:pPr>
      <w:numPr>
        <w:numId w:val="22"/>
      </w:numPr>
      <w:contextualSpacing/>
    </w:pPr>
  </w:style>
  <w:style w:type="paragraph" w:styleId="ListNumber4">
    <w:name w:val="List Number 4"/>
    <w:basedOn w:val="Normal"/>
    <w:uiPriority w:val="99"/>
    <w:semiHidden/>
    <w:unhideWhenUsed/>
    <w:locked/>
    <w:rsid w:val="00F859B0"/>
    <w:pPr>
      <w:numPr>
        <w:numId w:val="23"/>
      </w:numPr>
      <w:contextualSpacing/>
    </w:pPr>
  </w:style>
  <w:style w:type="paragraph" w:styleId="ListNumber5">
    <w:name w:val="List Number 5"/>
    <w:basedOn w:val="Normal"/>
    <w:uiPriority w:val="99"/>
    <w:semiHidden/>
    <w:unhideWhenUsed/>
    <w:locked/>
    <w:rsid w:val="00F859B0"/>
    <w:pPr>
      <w:numPr>
        <w:numId w:val="24"/>
      </w:numPr>
      <w:contextualSpacing/>
    </w:pPr>
  </w:style>
  <w:style w:type="paragraph" w:styleId="MacroText">
    <w:name w:val="macro"/>
    <w:link w:val="MacroTextChar"/>
    <w:uiPriority w:val="99"/>
    <w:semiHidden/>
    <w:unhideWhenUsed/>
    <w:locked/>
    <w:rsid w:val="00F859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F859B0"/>
    <w:rPr>
      <w:rFonts w:ascii="Consolas" w:hAnsi="Consolas" w:cs="Consolas"/>
      <w:sz w:val="20"/>
      <w:szCs w:val="20"/>
    </w:rPr>
  </w:style>
  <w:style w:type="paragraph" w:styleId="MessageHeader">
    <w:name w:val="Message Header"/>
    <w:basedOn w:val="Normal"/>
    <w:link w:val="MessageHeaderChar"/>
    <w:uiPriority w:val="99"/>
    <w:semiHidden/>
    <w:unhideWhenUsed/>
    <w:locked/>
    <w:rsid w:val="00F859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59B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F859B0"/>
    <w:pPr>
      <w:ind w:left="720"/>
    </w:pPr>
  </w:style>
  <w:style w:type="paragraph" w:styleId="NoteHeading">
    <w:name w:val="Note Heading"/>
    <w:basedOn w:val="Normal"/>
    <w:next w:val="Normal"/>
    <w:link w:val="NoteHeadingChar"/>
    <w:uiPriority w:val="99"/>
    <w:semiHidden/>
    <w:unhideWhenUsed/>
    <w:locked/>
    <w:rsid w:val="00F859B0"/>
  </w:style>
  <w:style w:type="character" w:customStyle="1" w:styleId="NoteHeadingChar">
    <w:name w:val="Note Heading Char"/>
    <w:basedOn w:val="DefaultParagraphFont"/>
    <w:link w:val="NoteHeading"/>
    <w:uiPriority w:val="99"/>
    <w:semiHidden/>
    <w:rsid w:val="00F859B0"/>
    <w:rPr>
      <w:rFonts w:ascii="ZapfCalligr BT" w:hAnsi="ZapfCalligr BT" w:cs="ZapfCalligr BT"/>
    </w:rPr>
  </w:style>
  <w:style w:type="paragraph" w:styleId="Quote">
    <w:name w:val="Quote"/>
    <w:basedOn w:val="Normal"/>
    <w:next w:val="Normal"/>
    <w:link w:val="QuoteChar"/>
    <w:uiPriority w:val="29"/>
    <w:qFormat/>
    <w:rsid w:val="00F859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59B0"/>
    <w:rPr>
      <w:rFonts w:ascii="ZapfCalligr BT" w:hAnsi="ZapfCalligr BT" w:cs="ZapfCalligr BT"/>
      <w:i/>
      <w:iCs/>
      <w:color w:val="404040" w:themeColor="text1" w:themeTint="BF"/>
    </w:rPr>
  </w:style>
  <w:style w:type="paragraph" w:styleId="Salutation">
    <w:name w:val="Salutation"/>
    <w:basedOn w:val="Normal"/>
    <w:next w:val="Normal"/>
    <w:link w:val="SalutationChar"/>
    <w:uiPriority w:val="99"/>
    <w:semiHidden/>
    <w:unhideWhenUsed/>
    <w:locked/>
    <w:rsid w:val="00F859B0"/>
  </w:style>
  <w:style w:type="character" w:customStyle="1" w:styleId="SalutationChar">
    <w:name w:val="Salutation Char"/>
    <w:basedOn w:val="DefaultParagraphFont"/>
    <w:link w:val="Salutation"/>
    <w:uiPriority w:val="99"/>
    <w:semiHidden/>
    <w:rsid w:val="00F859B0"/>
    <w:rPr>
      <w:rFonts w:ascii="ZapfCalligr BT" w:hAnsi="ZapfCalligr BT" w:cs="ZapfCalligr BT"/>
    </w:rPr>
  </w:style>
  <w:style w:type="paragraph" w:styleId="Signature">
    <w:name w:val="Signature"/>
    <w:basedOn w:val="Normal"/>
    <w:link w:val="SignatureChar"/>
    <w:uiPriority w:val="99"/>
    <w:semiHidden/>
    <w:unhideWhenUsed/>
    <w:locked/>
    <w:rsid w:val="00F859B0"/>
    <w:pPr>
      <w:ind w:left="4252"/>
    </w:pPr>
  </w:style>
  <w:style w:type="character" w:customStyle="1" w:styleId="SignatureChar">
    <w:name w:val="Signature Char"/>
    <w:basedOn w:val="DefaultParagraphFont"/>
    <w:link w:val="Signature"/>
    <w:uiPriority w:val="99"/>
    <w:semiHidden/>
    <w:rsid w:val="00F859B0"/>
    <w:rPr>
      <w:rFonts w:ascii="ZapfCalligr BT" w:hAnsi="ZapfCalligr BT" w:cs="ZapfCalligr BT"/>
    </w:rPr>
  </w:style>
  <w:style w:type="paragraph" w:styleId="Subtitle">
    <w:name w:val="Subtitle"/>
    <w:basedOn w:val="Normal"/>
    <w:next w:val="Normal"/>
    <w:link w:val="SubtitleChar"/>
    <w:uiPriority w:val="11"/>
    <w:qFormat/>
    <w:locked/>
    <w:rsid w:val="00F859B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859B0"/>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locked/>
    <w:rsid w:val="00F859B0"/>
    <w:pPr>
      <w:ind w:left="220" w:hanging="220"/>
    </w:pPr>
  </w:style>
  <w:style w:type="paragraph" w:styleId="TableofFigures">
    <w:name w:val="table of figures"/>
    <w:basedOn w:val="Normal"/>
    <w:next w:val="Normal"/>
    <w:uiPriority w:val="99"/>
    <w:semiHidden/>
    <w:unhideWhenUsed/>
    <w:locked/>
    <w:rsid w:val="00F859B0"/>
  </w:style>
  <w:style w:type="paragraph" w:styleId="Title">
    <w:name w:val="Title"/>
    <w:basedOn w:val="Normal"/>
    <w:next w:val="Normal"/>
    <w:link w:val="TitleChar"/>
    <w:uiPriority w:val="10"/>
    <w:qFormat/>
    <w:locked/>
    <w:rsid w:val="00F85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9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F859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F859B0"/>
    <w:pPr>
      <w:spacing w:after="100"/>
    </w:pPr>
  </w:style>
  <w:style w:type="paragraph" w:styleId="TOC2">
    <w:name w:val="toc 2"/>
    <w:basedOn w:val="Normal"/>
    <w:next w:val="Normal"/>
    <w:autoRedefine/>
    <w:uiPriority w:val="39"/>
    <w:semiHidden/>
    <w:unhideWhenUsed/>
    <w:locked/>
    <w:rsid w:val="00F859B0"/>
    <w:pPr>
      <w:spacing w:after="100"/>
      <w:ind w:left="220"/>
    </w:pPr>
  </w:style>
  <w:style w:type="paragraph" w:styleId="TOC3">
    <w:name w:val="toc 3"/>
    <w:basedOn w:val="Normal"/>
    <w:next w:val="Normal"/>
    <w:autoRedefine/>
    <w:uiPriority w:val="39"/>
    <w:semiHidden/>
    <w:unhideWhenUsed/>
    <w:locked/>
    <w:rsid w:val="00F859B0"/>
    <w:pPr>
      <w:spacing w:after="100"/>
      <w:ind w:left="440"/>
    </w:pPr>
  </w:style>
  <w:style w:type="paragraph" w:styleId="TOC4">
    <w:name w:val="toc 4"/>
    <w:basedOn w:val="Normal"/>
    <w:next w:val="Normal"/>
    <w:autoRedefine/>
    <w:uiPriority w:val="39"/>
    <w:semiHidden/>
    <w:unhideWhenUsed/>
    <w:locked/>
    <w:rsid w:val="00F859B0"/>
    <w:pPr>
      <w:spacing w:after="100"/>
      <w:ind w:left="660"/>
    </w:pPr>
  </w:style>
  <w:style w:type="paragraph" w:styleId="TOC5">
    <w:name w:val="toc 5"/>
    <w:basedOn w:val="Normal"/>
    <w:next w:val="Normal"/>
    <w:autoRedefine/>
    <w:uiPriority w:val="39"/>
    <w:semiHidden/>
    <w:unhideWhenUsed/>
    <w:locked/>
    <w:rsid w:val="00F859B0"/>
    <w:pPr>
      <w:spacing w:after="100"/>
      <w:ind w:left="880"/>
    </w:pPr>
  </w:style>
  <w:style w:type="paragraph" w:styleId="TOC6">
    <w:name w:val="toc 6"/>
    <w:basedOn w:val="Normal"/>
    <w:next w:val="Normal"/>
    <w:autoRedefine/>
    <w:uiPriority w:val="39"/>
    <w:semiHidden/>
    <w:unhideWhenUsed/>
    <w:locked/>
    <w:rsid w:val="00F859B0"/>
    <w:pPr>
      <w:spacing w:after="100"/>
      <w:ind w:left="1100"/>
    </w:pPr>
  </w:style>
  <w:style w:type="paragraph" w:styleId="TOC7">
    <w:name w:val="toc 7"/>
    <w:basedOn w:val="Normal"/>
    <w:next w:val="Normal"/>
    <w:autoRedefine/>
    <w:uiPriority w:val="39"/>
    <w:semiHidden/>
    <w:unhideWhenUsed/>
    <w:locked/>
    <w:rsid w:val="00F859B0"/>
    <w:pPr>
      <w:spacing w:after="100"/>
      <w:ind w:left="1320"/>
    </w:pPr>
  </w:style>
  <w:style w:type="paragraph" w:styleId="TOC8">
    <w:name w:val="toc 8"/>
    <w:basedOn w:val="Normal"/>
    <w:next w:val="Normal"/>
    <w:autoRedefine/>
    <w:uiPriority w:val="39"/>
    <w:semiHidden/>
    <w:unhideWhenUsed/>
    <w:locked/>
    <w:rsid w:val="00F859B0"/>
    <w:pPr>
      <w:spacing w:after="100"/>
      <w:ind w:left="1540"/>
    </w:pPr>
  </w:style>
  <w:style w:type="paragraph" w:styleId="TOC9">
    <w:name w:val="toc 9"/>
    <w:basedOn w:val="Normal"/>
    <w:next w:val="Normal"/>
    <w:autoRedefine/>
    <w:uiPriority w:val="39"/>
    <w:semiHidden/>
    <w:unhideWhenUsed/>
    <w:locked/>
    <w:rsid w:val="00F859B0"/>
    <w:pPr>
      <w:spacing w:after="100"/>
      <w:ind w:left="1760"/>
    </w:pPr>
  </w:style>
  <w:style w:type="paragraph" w:styleId="TOCHeading">
    <w:name w:val="TOC Heading"/>
    <w:basedOn w:val="Heading1"/>
    <w:next w:val="Normal"/>
    <w:uiPriority w:val="39"/>
    <w:semiHidden/>
    <w:unhideWhenUsed/>
    <w:qFormat/>
    <w:rsid w:val="00F859B0"/>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 w:type="table" w:customStyle="1" w:styleId="TableGrid1">
    <w:name w:val="Table Grid1"/>
    <w:basedOn w:val="TableNormal"/>
    <w:next w:val="TableGrid"/>
    <w:uiPriority w:val="39"/>
    <w:rsid w:val="00D5261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90206534">
      <w:bodyDiv w:val="1"/>
      <w:marLeft w:val="0"/>
      <w:marRight w:val="0"/>
      <w:marTop w:val="0"/>
      <w:marBottom w:val="0"/>
      <w:divBdr>
        <w:top w:val="none" w:sz="0" w:space="0" w:color="auto"/>
        <w:left w:val="none" w:sz="0" w:space="0" w:color="auto"/>
        <w:bottom w:val="none" w:sz="0" w:space="0" w:color="auto"/>
        <w:right w:val="none" w:sz="0" w:space="0" w:color="auto"/>
      </w:divBdr>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97062309">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28600077">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170024012">
      <w:bodyDiv w:val="1"/>
      <w:marLeft w:val="0"/>
      <w:marRight w:val="0"/>
      <w:marTop w:val="0"/>
      <w:marBottom w:val="0"/>
      <w:divBdr>
        <w:top w:val="none" w:sz="0" w:space="0" w:color="auto"/>
        <w:left w:val="none" w:sz="0" w:space="0" w:color="auto"/>
        <w:bottom w:val="none" w:sz="0" w:space="0" w:color="auto"/>
        <w:right w:val="none" w:sz="0" w:space="0" w:color="auto"/>
      </w:divBdr>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312831615">
      <w:bodyDiv w:val="1"/>
      <w:marLeft w:val="0"/>
      <w:marRight w:val="0"/>
      <w:marTop w:val="0"/>
      <w:marBottom w:val="0"/>
      <w:divBdr>
        <w:top w:val="none" w:sz="0" w:space="0" w:color="auto"/>
        <w:left w:val="none" w:sz="0" w:space="0" w:color="auto"/>
        <w:bottom w:val="none" w:sz="0" w:space="0" w:color="auto"/>
        <w:right w:val="none" w:sz="0" w:space="0" w:color="auto"/>
      </w:divBdr>
    </w:div>
    <w:div w:id="318655922">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338775082">
      <w:bodyDiv w:val="1"/>
      <w:marLeft w:val="0"/>
      <w:marRight w:val="0"/>
      <w:marTop w:val="0"/>
      <w:marBottom w:val="0"/>
      <w:divBdr>
        <w:top w:val="none" w:sz="0" w:space="0" w:color="auto"/>
        <w:left w:val="none" w:sz="0" w:space="0" w:color="auto"/>
        <w:bottom w:val="none" w:sz="0" w:space="0" w:color="auto"/>
        <w:right w:val="none" w:sz="0" w:space="0" w:color="auto"/>
      </w:divBdr>
      <w:divsChild>
        <w:div w:id="84150556">
          <w:marLeft w:val="288"/>
          <w:marRight w:val="0"/>
          <w:marTop w:val="0"/>
          <w:marBottom w:val="170"/>
          <w:divBdr>
            <w:top w:val="none" w:sz="0" w:space="0" w:color="auto"/>
            <w:left w:val="none" w:sz="0" w:space="0" w:color="auto"/>
            <w:bottom w:val="none" w:sz="0" w:space="0" w:color="auto"/>
            <w:right w:val="none" w:sz="0" w:space="0" w:color="auto"/>
          </w:divBdr>
        </w:div>
      </w:divsChild>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19108924">
      <w:bodyDiv w:val="1"/>
      <w:marLeft w:val="0"/>
      <w:marRight w:val="0"/>
      <w:marTop w:val="0"/>
      <w:marBottom w:val="0"/>
      <w:divBdr>
        <w:top w:val="none" w:sz="0" w:space="0" w:color="auto"/>
        <w:left w:val="none" w:sz="0" w:space="0" w:color="auto"/>
        <w:bottom w:val="none" w:sz="0" w:space="0" w:color="auto"/>
        <w:right w:val="none" w:sz="0" w:space="0" w:color="auto"/>
      </w:divBdr>
      <w:divsChild>
        <w:div w:id="19136873">
          <w:marLeft w:val="0"/>
          <w:marRight w:val="0"/>
          <w:marTop w:val="0"/>
          <w:marBottom w:val="0"/>
          <w:divBdr>
            <w:top w:val="none" w:sz="0" w:space="0" w:color="auto"/>
            <w:left w:val="none" w:sz="0" w:space="0" w:color="auto"/>
            <w:bottom w:val="none" w:sz="0" w:space="0" w:color="auto"/>
            <w:right w:val="none" w:sz="0" w:space="0" w:color="auto"/>
          </w:divBdr>
          <w:divsChild>
            <w:div w:id="472523094">
              <w:marLeft w:val="0"/>
              <w:marRight w:val="0"/>
              <w:marTop w:val="0"/>
              <w:marBottom w:val="0"/>
              <w:divBdr>
                <w:top w:val="none" w:sz="0" w:space="0" w:color="auto"/>
                <w:left w:val="none" w:sz="0" w:space="0" w:color="auto"/>
                <w:bottom w:val="none" w:sz="0" w:space="0" w:color="auto"/>
                <w:right w:val="none" w:sz="0" w:space="0" w:color="auto"/>
              </w:divBdr>
              <w:divsChild>
                <w:div w:id="842210777">
                  <w:marLeft w:val="0"/>
                  <w:marRight w:val="0"/>
                  <w:marTop w:val="0"/>
                  <w:marBottom w:val="0"/>
                  <w:divBdr>
                    <w:top w:val="none" w:sz="0" w:space="0" w:color="auto"/>
                    <w:left w:val="none" w:sz="0" w:space="0" w:color="auto"/>
                    <w:bottom w:val="none" w:sz="0" w:space="0" w:color="auto"/>
                    <w:right w:val="none" w:sz="0" w:space="0" w:color="auto"/>
                  </w:divBdr>
                  <w:divsChild>
                    <w:div w:id="1111785195">
                      <w:marLeft w:val="0"/>
                      <w:marRight w:val="0"/>
                      <w:marTop w:val="0"/>
                      <w:marBottom w:val="0"/>
                      <w:divBdr>
                        <w:top w:val="none" w:sz="0" w:space="0" w:color="auto"/>
                        <w:left w:val="none" w:sz="0" w:space="0" w:color="auto"/>
                        <w:bottom w:val="none" w:sz="0" w:space="0" w:color="auto"/>
                        <w:right w:val="none" w:sz="0" w:space="0" w:color="auto"/>
                      </w:divBdr>
                      <w:divsChild>
                        <w:div w:id="2024234883">
                          <w:marLeft w:val="0"/>
                          <w:marRight w:val="0"/>
                          <w:marTop w:val="0"/>
                          <w:marBottom w:val="0"/>
                          <w:divBdr>
                            <w:top w:val="none" w:sz="0" w:space="0" w:color="auto"/>
                            <w:left w:val="none" w:sz="0" w:space="0" w:color="auto"/>
                            <w:bottom w:val="none" w:sz="0" w:space="0" w:color="auto"/>
                            <w:right w:val="none" w:sz="0" w:space="0" w:color="auto"/>
                          </w:divBdr>
                          <w:divsChild>
                            <w:div w:id="496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57421">
      <w:bodyDiv w:val="1"/>
      <w:marLeft w:val="0"/>
      <w:marRight w:val="0"/>
      <w:marTop w:val="0"/>
      <w:marBottom w:val="0"/>
      <w:divBdr>
        <w:top w:val="none" w:sz="0" w:space="0" w:color="auto"/>
        <w:left w:val="none" w:sz="0" w:space="0" w:color="auto"/>
        <w:bottom w:val="none" w:sz="0" w:space="0" w:color="auto"/>
        <w:right w:val="none" w:sz="0" w:space="0" w:color="auto"/>
      </w:divBdr>
    </w:div>
    <w:div w:id="438180496">
      <w:bodyDiv w:val="1"/>
      <w:marLeft w:val="0"/>
      <w:marRight w:val="0"/>
      <w:marTop w:val="0"/>
      <w:marBottom w:val="0"/>
      <w:divBdr>
        <w:top w:val="none" w:sz="0" w:space="0" w:color="auto"/>
        <w:left w:val="none" w:sz="0" w:space="0" w:color="auto"/>
        <w:bottom w:val="none" w:sz="0" w:space="0" w:color="auto"/>
        <w:right w:val="none" w:sz="0" w:space="0" w:color="auto"/>
      </w:divBdr>
      <w:divsChild>
        <w:div w:id="706806148">
          <w:marLeft w:val="288"/>
          <w:marRight w:val="0"/>
          <w:marTop w:val="240"/>
          <w:marBottom w:val="0"/>
          <w:divBdr>
            <w:top w:val="none" w:sz="0" w:space="0" w:color="auto"/>
            <w:left w:val="none" w:sz="0" w:space="0" w:color="auto"/>
            <w:bottom w:val="none" w:sz="0" w:space="0" w:color="auto"/>
            <w:right w:val="none" w:sz="0" w:space="0" w:color="auto"/>
          </w:divBdr>
        </w:div>
      </w:divsChild>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480465209">
      <w:bodyDiv w:val="1"/>
      <w:marLeft w:val="0"/>
      <w:marRight w:val="0"/>
      <w:marTop w:val="0"/>
      <w:marBottom w:val="0"/>
      <w:divBdr>
        <w:top w:val="none" w:sz="0" w:space="0" w:color="auto"/>
        <w:left w:val="none" w:sz="0" w:space="0" w:color="auto"/>
        <w:bottom w:val="none" w:sz="0" w:space="0" w:color="auto"/>
        <w:right w:val="none" w:sz="0" w:space="0" w:color="auto"/>
      </w:divBdr>
      <w:divsChild>
        <w:div w:id="742414970">
          <w:marLeft w:val="446"/>
          <w:marRight w:val="0"/>
          <w:marTop w:val="0"/>
          <w:marBottom w:val="0"/>
          <w:divBdr>
            <w:top w:val="none" w:sz="0" w:space="0" w:color="auto"/>
            <w:left w:val="none" w:sz="0" w:space="0" w:color="auto"/>
            <w:bottom w:val="none" w:sz="0" w:space="0" w:color="auto"/>
            <w:right w:val="none" w:sz="0" w:space="0" w:color="auto"/>
          </w:divBdr>
        </w:div>
      </w:divsChild>
    </w:div>
    <w:div w:id="524948146">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
          <w:marLeft w:val="288"/>
          <w:marRight w:val="0"/>
          <w:marTop w:val="240"/>
          <w:marBottom w:val="0"/>
          <w:divBdr>
            <w:top w:val="none" w:sz="0" w:space="0" w:color="auto"/>
            <w:left w:val="none" w:sz="0" w:space="0" w:color="auto"/>
            <w:bottom w:val="none" w:sz="0" w:space="0" w:color="auto"/>
            <w:right w:val="none" w:sz="0" w:space="0" w:color="auto"/>
          </w:divBdr>
        </w:div>
      </w:divsChild>
    </w:div>
    <w:div w:id="551311544">
      <w:bodyDiv w:val="1"/>
      <w:marLeft w:val="0"/>
      <w:marRight w:val="0"/>
      <w:marTop w:val="0"/>
      <w:marBottom w:val="0"/>
      <w:divBdr>
        <w:top w:val="none" w:sz="0" w:space="0" w:color="auto"/>
        <w:left w:val="none" w:sz="0" w:space="0" w:color="auto"/>
        <w:bottom w:val="none" w:sz="0" w:space="0" w:color="auto"/>
        <w:right w:val="none" w:sz="0" w:space="0" w:color="auto"/>
      </w:divBdr>
      <w:divsChild>
        <w:div w:id="1404110068">
          <w:marLeft w:val="806"/>
          <w:marRight w:val="0"/>
          <w:marTop w:val="240"/>
          <w:marBottom w:val="0"/>
          <w:divBdr>
            <w:top w:val="none" w:sz="0" w:space="0" w:color="auto"/>
            <w:left w:val="none" w:sz="0" w:space="0" w:color="auto"/>
            <w:bottom w:val="none" w:sz="0" w:space="0" w:color="auto"/>
            <w:right w:val="none" w:sz="0" w:space="0" w:color="auto"/>
          </w:divBdr>
        </w:div>
        <w:div w:id="1871721703">
          <w:marLeft w:val="806"/>
          <w:marRight w:val="0"/>
          <w:marTop w:val="240"/>
          <w:marBottom w:val="0"/>
          <w:divBdr>
            <w:top w:val="none" w:sz="0" w:space="0" w:color="auto"/>
            <w:left w:val="none" w:sz="0" w:space="0" w:color="auto"/>
            <w:bottom w:val="none" w:sz="0" w:space="0" w:color="auto"/>
            <w:right w:val="none" w:sz="0" w:space="0" w:color="auto"/>
          </w:divBdr>
        </w:div>
        <w:div w:id="1303192784">
          <w:marLeft w:val="806"/>
          <w:marRight w:val="0"/>
          <w:marTop w:val="240"/>
          <w:marBottom w:val="0"/>
          <w:divBdr>
            <w:top w:val="none" w:sz="0" w:space="0" w:color="auto"/>
            <w:left w:val="none" w:sz="0" w:space="0" w:color="auto"/>
            <w:bottom w:val="none" w:sz="0" w:space="0" w:color="auto"/>
            <w:right w:val="none" w:sz="0" w:space="0" w:color="auto"/>
          </w:divBdr>
        </w:div>
        <w:div w:id="307905858">
          <w:marLeft w:val="806"/>
          <w:marRight w:val="0"/>
          <w:marTop w:val="240"/>
          <w:marBottom w:val="0"/>
          <w:divBdr>
            <w:top w:val="none" w:sz="0" w:space="0" w:color="auto"/>
            <w:left w:val="none" w:sz="0" w:space="0" w:color="auto"/>
            <w:bottom w:val="none" w:sz="0" w:space="0" w:color="auto"/>
            <w:right w:val="none" w:sz="0" w:space="0" w:color="auto"/>
          </w:divBdr>
        </w:div>
        <w:div w:id="1045329015">
          <w:marLeft w:val="806"/>
          <w:marRight w:val="0"/>
          <w:marTop w:val="240"/>
          <w:marBottom w:val="0"/>
          <w:divBdr>
            <w:top w:val="none" w:sz="0" w:space="0" w:color="auto"/>
            <w:left w:val="none" w:sz="0" w:space="0" w:color="auto"/>
            <w:bottom w:val="none" w:sz="0" w:space="0" w:color="auto"/>
            <w:right w:val="none" w:sz="0" w:space="0" w:color="auto"/>
          </w:divBdr>
        </w:div>
      </w:divsChild>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53411491">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58532684">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18212614">
      <w:bodyDiv w:val="1"/>
      <w:marLeft w:val="0"/>
      <w:marRight w:val="0"/>
      <w:marTop w:val="0"/>
      <w:marBottom w:val="0"/>
      <w:divBdr>
        <w:top w:val="none" w:sz="0" w:space="0" w:color="auto"/>
        <w:left w:val="none" w:sz="0" w:space="0" w:color="auto"/>
        <w:bottom w:val="none" w:sz="0" w:space="0" w:color="auto"/>
        <w:right w:val="none" w:sz="0" w:space="0" w:color="auto"/>
      </w:divBdr>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68811461">
      <w:bodyDiv w:val="1"/>
      <w:marLeft w:val="0"/>
      <w:marRight w:val="0"/>
      <w:marTop w:val="0"/>
      <w:marBottom w:val="0"/>
      <w:divBdr>
        <w:top w:val="none" w:sz="0" w:space="0" w:color="auto"/>
        <w:left w:val="none" w:sz="0" w:space="0" w:color="auto"/>
        <w:bottom w:val="none" w:sz="0" w:space="0" w:color="auto"/>
        <w:right w:val="none" w:sz="0" w:space="0" w:color="auto"/>
      </w:divBdr>
    </w:div>
    <w:div w:id="769083253">
      <w:bodyDiv w:val="1"/>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791483553">
      <w:bodyDiv w:val="1"/>
      <w:marLeft w:val="0"/>
      <w:marRight w:val="0"/>
      <w:marTop w:val="0"/>
      <w:marBottom w:val="0"/>
      <w:divBdr>
        <w:top w:val="none" w:sz="0" w:space="0" w:color="auto"/>
        <w:left w:val="none" w:sz="0" w:space="0" w:color="auto"/>
        <w:bottom w:val="none" w:sz="0" w:space="0" w:color="auto"/>
        <w:right w:val="none" w:sz="0" w:space="0" w:color="auto"/>
      </w:divBdr>
    </w:div>
    <w:div w:id="799224893">
      <w:bodyDiv w:val="1"/>
      <w:marLeft w:val="0"/>
      <w:marRight w:val="0"/>
      <w:marTop w:val="0"/>
      <w:marBottom w:val="0"/>
      <w:divBdr>
        <w:top w:val="none" w:sz="0" w:space="0" w:color="auto"/>
        <w:left w:val="none" w:sz="0" w:space="0" w:color="auto"/>
        <w:bottom w:val="none" w:sz="0" w:space="0" w:color="auto"/>
        <w:right w:val="none" w:sz="0" w:space="0" w:color="auto"/>
      </w:divBdr>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10632903">
      <w:bodyDiv w:val="1"/>
      <w:marLeft w:val="0"/>
      <w:marRight w:val="0"/>
      <w:marTop w:val="0"/>
      <w:marBottom w:val="0"/>
      <w:divBdr>
        <w:top w:val="none" w:sz="0" w:space="0" w:color="auto"/>
        <w:left w:val="none" w:sz="0" w:space="0" w:color="auto"/>
        <w:bottom w:val="none" w:sz="0" w:space="0" w:color="auto"/>
        <w:right w:val="none" w:sz="0" w:space="0" w:color="auto"/>
      </w:divBdr>
      <w:divsChild>
        <w:div w:id="2126651489">
          <w:marLeft w:val="1166"/>
          <w:marRight w:val="0"/>
          <w:marTop w:val="0"/>
          <w:marBottom w:val="0"/>
          <w:divBdr>
            <w:top w:val="none" w:sz="0" w:space="0" w:color="auto"/>
            <w:left w:val="none" w:sz="0" w:space="0" w:color="auto"/>
            <w:bottom w:val="none" w:sz="0" w:space="0" w:color="auto"/>
            <w:right w:val="none" w:sz="0" w:space="0" w:color="auto"/>
          </w:divBdr>
        </w:div>
      </w:divsChild>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898593343">
      <w:bodyDiv w:val="1"/>
      <w:marLeft w:val="0"/>
      <w:marRight w:val="0"/>
      <w:marTop w:val="0"/>
      <w:marBottom w:val="0"/>
      <w:divBdr>
        <w:top w:val="none" w:sz="0" w:space="0" w:color="auto"/>
        <w:left w:val="none" w:sz="0" w:space="0" w:color="auto"/>
        <w:bottom w:val="none" w:sz="0" w:space="0" w:color="auto"/>
        <w:right w:val="none" w:sz="0" w:space="0" w:color="auto"/>
      </w:divBdr>
      <w:divsChild>
        <w:div w:id="415786052">
          <w:marLeft w:val="446"/>
          <w:marRight w:val="0"/>
          <w:marTop w:val="80"/>
          <w:marBottom w:val="0"/>
          <w:divBdr>
            <w:top w:val="none" w:sz="0" w:space="0" w:color="auto"/>
            <w:left w:val="none" w:sz="0" w:space="0" w:color="auto"/>
            <w:bottom w:val="none" w:sz="0" w:space="0" w:color="auto"/>
            <w:right w:val="none" w:sz="0" w:space="0" w:color="auto"/>
          </w:divBdr>
        </w:div>
      </w:divsChild>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8144986">
      <w:bodyDiv w:val="1"/>
      <w:marLeft w:val="0"/>
      <w:marRight w:val="0"/>
      <w:marTop w:val="0"/>
      <w:marBottom w:val="0"/>
      <w:divBdr>
        <w:top w:val="none" w:sz="0" w:space="0" w:color="auto"/>
        <w:left w:val="none" w:sz="0" w:space="0" w:color="auto"/>
        <w:bottom w:val="none" w:sz="0" w:space="0" w:color="auto"/>
        <w:right w:val="none" w:sz="0" w:space="0" w:color="auto"/>
      </w:divBdr>
    </w:div>
    <w:div w:id="959142225">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72908124">
      <w:bodyDiv w:val="1"/>
      <w:marLeft w:val="0"/>
      <w:marRight w:val="0"/>
      <w:marTop w:val="0"/>
      <w:marBottom w:val="0"/>
      <w:divBdr>
        <w:top w:val="none" w:sz="0" w:space="0" w:color="auto"/>
        <w:left w:val="none" w:sz="0" w:space="0" w:color="auto"/>
        <w:bottom w:val="none" w:sz="0" w:space="0" w:color="auto"/>
        <w:right w:val="none" w:sz="0" w:space="0" w:color="auto"/>
      </w:divBdr>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29916275">
      <w:bodyDiv w:val="1"/>
      <w:marLeft w:val="0"/>
      <w:marRight w:val="0"/>
      <w:marTop w:val="0"/>
      <w:marBottom w:val="0"/>
      <w:divBdr>
        <w:top w:val="none" w:sz="0" w:space="0" w:color="auto"/>
        <w:left w:val="none" w:sz="0" w:space="0" w:color="auto"/>
        <w:bottom w:val="none" w:sz="0" w:space="0" w:color="auto"/>
        <w:right w:val="none" w:sz="0" w:space="0" w:color="auto"/>
      </w:divBdr>
    </w:div>
    <w:div w:id="1032459863">
      <w:bodyDiv w:val="1"/>
      <w:marLeft w:val="0"/>
      <w:marRight w:val="0"/>
      <w:marTop w:val="0"/>
      <w:marBottom w:val="0"/>
      <w:divBdr>
        <w:top w:val="none" w:sz="0" w:space="0" w:color="auto"/>
        <w:left w:val="none" w:sz="0" w:space="0" w:color="auto"/>
        <w:bottom w:val="none" w:sz="0" w:space="0" w:color="auto"/>
        <w:right w:val="none" w:sz="0" w:space="0" w:color="auto"/>
      </w:divBdr>
      <w:divsChild>
        <w:div w:id="619999191">
          <w:marLeft w:val="446"/>
          <w:marRight w:val="0"/>
          <w:marTop w:val="0"/>
          <w:marBottom w:val="0"/>
          <w:divBdr>
            <w:top w:val="none" w:sz="0" w:space="0" w:color="auto"/>
            <w:left w:val="none" w:sz="0" w:space="0" w:color="auto"/>
            <w:bottom w:val="none" w:sz="0" w:space="0" w:color="auto"/>
            <w:right w:val="none" w:sz="0" w:space="0" w:color="auto"/>
          </w:divBdr>
        </w:div>
      </w:divsChild>
    </w:div>
    <w:div w:id="1034693820">
      <w:bodyDiv w:val="1"/>
      <w:marLeft w:val="0"/>
      <w:marRight w:val="0"/>
      <w:marTop w:val="0"/>
      <w:marBottom w:val="0"/>
      <w:divBdr>
        <w:top w:val="none" w:sz="0" w:space="0" w:color="auto"/>
        <w:left w:val="none" w:sz="0" w:space="0" w:color="auto"/>
        <w:bottom w:val="none" w:sz="0" w:space="0" w:color="auto"/>
        <w:right w:val="none" w:sz="0" w:space="0" w:color="auto"/>
      </w:divBdr>
    </w:div>
    <w:div w:id="1042830975">
      <w:bodyDiv w:val="1"/>
      <w:marLeft w:val="0"/>
      <w:marRight w:val="0"/>
      <w:marTop w:val="0"/>
      <w:marBottom w:val="0"/>
      <w:divBdr>
        <w:top w:val="none" w:sz="0" w:space="0" w:color="auto"/>
        <w:left w:val="none" w:sz="0" w:space="0" w:color="auto"/>
        <w:bottom w:val="none" w:sz="0" w:space="0" w:color="auto"/>
        <w:right w:val="none" w:sz="0" w:space="0" w:color="auto"/>
      </w:divBdr>
    </w:div>
    <w:div w:id="1166704109">
      <w:bodyDiv w:val="1"/>
      <w:marLeft w:val="0"/>
      <w:marRight w:val="0"/>
      <w:marTop w:val="0"/>
      <w:marBottom w:val="0"/>
      <w:divBdr>
        <w:top w:val="none" w:sz="0" w:space="0" w:color="auto"/>
        <w:left w:val="none" w:sz="0" w:space="0" w:color="auto"/>
        <w:bottom w:val="none" w:sz="0" w:space="0" w:color="auto"/>
        <w:right w:val="none" w:sz="0" w:space="0" w:color="auto"/>
      </w:divBdr>
      <w:divsChild>
        <w:div w:id="1673484009">
          <w:marLeft w:val="274"/>
          <w:marRight w:val="0"/>
          <w:marTop w:val="0"/>
          <w:marBottom w:val="0"/>
          <w:divBdr>
            <w:top w:val="none" w:sz="0" w:space="0" w:color="auto"/>
            <w:left w:val="none" w:sz="0" w:space="0" w:color="auto"/>
            <w:bottom w:val="none" w:sz="0" w:space="0" w:color="auto"/>
            <w:right w:val="none" w:sz="0" w:space="0" w:color="auto"/>
          </w:divBdr>
        </w:div>
      </w:divsChild>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1601887">
      <w:bodyDiv w:val="1"/>
      <w:marLeft w:val="0"/>
      <w:marRight w:val="0"/>
      <w:marTop w:val="0"/>
      <w:marBottom w:val="0"/>
      <w:divBdr>
        <w:top w:val="none" w:sz="0" w:space="0" w:color="auto"/>
        <w:left w:val="none" w:sz="0" w:space="0" w:color="auto"/>
        <w:bottom w:val="none" w:sz="0" w:space="0" w:color="auto"/>
        <w:right w:val="none" w:sz="0" w:space="0" w:color="auto"/>
      </w:divBdr>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35237646">
      <w:bodyDiv w:val="1"/>
      <w:marLeft w:val="0"/>
      <w:marRight w:val="0"/>
      <w:marTop w:val="0"/>
      <w:marBottom w:val="0"/>
      <w:divBdr>
        <w:top w:val="none" w:sz="0" w:space="0" w:color="auto"/>
        <w:left w:val="none" w:sz="0" w:space="0" w:color="auto"/>
        <w:bottom w:val="none" w:sz="0" w:space="0" w:color="auto"/>
        <w:right w:val="none" w:sz="0" w:space="0" w:color="auto"/>
      </w:divBdr>
    </w:div>
    <w:div w:id="1279877306">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325816953">
      <w:bodyDiv w:val="1"/>
      <w:marLeft w:val="0"/>
      <w:marRight w:val="0"/>
      <w:marTop w:val="0"/>
      <w:marBottom w:val="0"/>
      <w:divBdr>
        <w:top w:val="none" w:sz="0" w:space="0" w:color="auto"/>
        <w:left w:val="none" w:sz="0" w:space="0" w:color="auto"/>
        <w:bottom w:val="none" w:sz="0" w:space="0" w:color="auto"/>
        <w:right w:val="none" w:sz="0" w:space="0" w:color="auto"/>
      </w:divBdr>
    </w:div>
    <w:div w:id="1368946355">
      <w:bodyDiv w:val="1"/>
      <w:marLeft w:val="0"/>
      <w:marRight w:val="0"/>
      <w:marTop w:val="0"/>
      <w:marBottom w:val="0"/>
      <w:divBdr>
        <w:top w:val="none" w:sz="0" w:space="0" w:color="auto"/>
        <w:left w:val="none" w:sz="0" w:space="0" w:color="auto"/>
        <w:bottom w:val="none" w:sz="0" w:space="0" w:color="auto"/>
        <w:right w:val="none" w:sz="0" w:space="0" w:color="auto"/>
      </w:divBdr>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391885131">
      <w:bodyDiv w:val="1"/>
      <w:marLeft w:val="0"/>
      <w:marRight w:val="0"/>
      <w:marTop w:val="0"/>
      <w:marBottom w:val="0"/>
      <w:divBdr>
        <w:top w:val="none" w:sz="0" w:space="0" w:color="auto"/>
        <w:left w:val="none" w:sz="0" w:space="0" w:color="auto"/>
        <w:bottom w:val="none" w:sz="0" w:space="0" w:color="auto"/>
        <w:right w:val="none" w:sz="0" w:space="0" w:color="auto"/>
      </w:divBdr>
    </w:div>
    <w:div w:id="1442459042">
      <w:bodyDiv w:val="1"/>
      <w:marLeft w:val="0"/>
      <w:marRight w:val="0"/>
      <w:marTop w:val="0"/>
      <w:marBottom w:val="0"/>
      <w:divBdr>
        <w:top w:val="none" w:sz="0" w:space="0" w:color="auto"/>
        <w:left w:val="none" w:sz="0" w:space="0" w:color="auto"/>
        <w:bottom w:val="none" w:sz="0" w:space="0" w:color="auto"/>
        <w:right w:val="none" w:sz="0" w:space="0" w:color="auto"/>
      </w:divBdr>
      <w:divsChild>
        <w:div w:id="2143031993">
          <w:marLeft w:val="1166"/>
          <w:marRight w:val="0"/>
          <w:marTop w:val="240"/>
          <w:marBottom w:val="0"/>
          <w:divBdr>
            <w:top w:val="none" w:sz="0" w:space="0" w:color="auto"/>
            <w:left w:val="none" w:sz="0" w:space="0" w:color="auto"/>
            <w:bottom w:val="none" w:sz="0" w:space="0" w:color="auto"/>
            <w:right w:val="none" w:sz="0" w:space="0" w:color="auto"/>
          </w:divBdr>
        </w:div>
        <w:div w:id="544946858">
          <w:marLeft w:val="1872"/>
          <w:marRight w:val="0"/>
          <w:marTop w:val="240"/>
          <w:marBottom w:val="0"/>
          <w:divBdr>
            <w:top w:val="none" w:sz="0" w:space="0" w:color="auto"/>
            <w:left w:val="none" w:sz="0" w:space="0" w:color="auto"/>
            <w:bottom w:val="none" w:sz="0" w:space="0" w:color="auto"/>
            <w:right w:val="none" w:sz="0" w:space="0" w:color="auto"/>
          </w:divBdr>
        </w:div>
        <w:div w:id="2077431771">
          <w:marLeft w:val="1872"/>
          <w:marRight w:val="0"/>
          <w:marTop w:val="240"/>
          <w:marBottom w:val="0"/>
          <w:divBdr>
            <w:top w:val="none" w:sz="0" w:space="0" w:color="auto"/>
            <w:left w:val="none" w:sz="0" w:space="0" w:color="auto"/>
            <w:bottom w:val="none" w:sz="0" w:space="0" w:color="auto"/>
            <w:right w:val="none" w:sz="0" w:space="0" w:color="auto"/>
          </w:divBdr>
        </w:div>
        <w:div w:id="1862622825">
          <w:marLeft w:val="1872"/>
          <w:marRight w:val="0"/>
          <w:marTop w:val="240"/>
          <w:marBottom w:val="0"/>
          <w:divBdr>
            <w:top w:val="none" w:sz="0" w:space="0" w:color="auto"/>
            <w:left w:val="none" w:sz="0" w:space="0" w:color="auto"/>
            <w:bottom w:val="none" w:sz="0" w:space="0" w:color="auto"/>
            <w:right w:val="none" w:sz="0" w:space="0" w:color="auto"/>
          </w:divBdr>
        </w:div>
        <w:div w:id="109403163">
          <w:marLeft w:val="1166"/>
          <w:marRight w:val="0"/>
          <w:marTop w:val="240"/>
          <w:marBottom w:val="0"/>
          <w:divBdr>
            <w:top w:val="none" w:sz="0" w:space="0" w:color="auto"/>
            <w:left w:val="none" w:sz="0" w:space="0" w:color="auto"/>
            <w:bottom w:val="none" w:sz="0" w:space="0" w:color="auto"/>
            <w:right w:val="none" w:sz="0" w:space="0" w:color="auto"/>
          </w:divBdr>
        </w:div>
        <w:div w:id="888537981">
          <w:marLeft w:val="1872"/>
          <w:marRight w:val="0"/>
          <w:marTop w:val="240"/>
          <w:marBottom w:val="0"/>
          <w:divBdr>
            <w:top w:val="none" w:sz="0" w:space="0" w:color="auto"/>
            <w:left w:val="none" w:sz="0" w:space="0" w:color="auto"/>
            <w:bottom w:val="none" w:sz="0" w:space="0" w:color="auto"/>
            <w:right w:val="none" w:sz="0" w:space="0" w:color="auto"/>
          </w:divBdr>
        </w:div>
        <w:div w:id="859318513">
          <w:marLeft w:val="1872"/>
          <w:marRight w:val="0"/>
          <w:marTop w:val="240"/>
          <w:marBottom w:val="0"/>
          <w:divBdr>
            <w:top w:val="none" w:sz="0" w:space="0" w:color="auto"/>
            <w:left w:val="none" w:sz="0" w:space="0" w:color="auto"/>
            <w:bottom w:val="none" w:sz="0" w:space="0" w:color="auto"/>
            <w:right w:val="none" w:sz="0" w:space="0" w:color="auto"/>
          </w:divBdr>
        </w:div>
        <w:div w:id="275478882">
          <w:marLeft w:val="1166"/>
          <w:marRight w:val="0"/>
          <w:marTop w:val="240"/>
          <w:marBottom w:val="0"/>
          <w:divBdr>
            <w:top w:val="none" w:sz="0" w:space="0" w:color="auto"/>
            <w:left w:val="none" w:sz="0" w:space="0" w:color="auto"/>
            <w:bottom w:val="none" w:sz="0" w:space="0" w:color="auto"/>
            <w:right w:val="none" w:sz="0" w:space="0" w:color="auto"/>
          </w:divBdr>
        </w:div>
        <w:div w:id="752969723">
          <w:marLeft w:val="1454"/>
          <w:marRight w:val="0"/>
          <w:marTop w:val="240"/>
          <w:marBottom w:val="0"/>
          <w:divBdr>
            <w:top w:val="none" w:sz="0" w:space="0" w:color="auto"/>
            <w:left w:val="none" w:sz="0" w:space="0" w:color="auto"/>
            <w:bottom w:val="none" w:sz="0" w:space="0" w:color="auto"/>
            <w:right w:val="none" w:sz="0" w:space="0" w:color="auto"/>
          </w:divBdr>
        </w:div>
        <w:div w:id="1556356594">
          <w:marLeft w:val="1454"/>
          <w:marRight w:val="0"/>
          <w:marTop w:val="240"/>
          <w:marBottom w:val="0"/>
          <w:divBdr>
            <w:top w:val="none" w:sz="0" w:space="0" w:color="auto"/>
            <w:left w:val="none" w:sz="0" w:space="0" w:color="auto"/>
            <w:bottom w:val="none" w:sz="0" w:space="0" w:color="auto"/>
            <w:right w:val="none" w:sz="0" w:space="0" w:color="auto"/>
          </w:divBdr>
        </w:div>
      </w:divsChild>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37813742">
      <w:bodyDiv w:val="1"/>
      <w:marLeft w:val="0"/>
      <w:marRight w:val="0"/>
      <w:marTop w:val="0"/>
      <w:marBottom w:val="0"/>
      <w:divBdr>
        <w:top w:val="none" w:sz="0" w:space="0" w:color="auto"/>
        <w:left w:val="none" w:sz="0" w:space="0" w:color="auto"/>
        <w:bottom w:val="none" w:sz="0" w:space="0" w:color="auto"/>
        <w:right w:val="none" w:sz="0" w:space="0" w:color="auto"/>
      </w:divBdr>
      <w:divsChild>
        <w:div w:id="98575336">
          <w:marLeft w:val="274"/>
          <w:marRight w:val="0"/>
          <w:marTop w:val="0"/>
          <w:marBottom w:val="60"/>
          <w:divBdr>
            <w:top w:val="none" w:sz="0" w:space="0" w:color="auto"/>
            <w:left w:val="none" w:sz="0" w:space="0" w:color="auto"/>
            <w:bottom w:val="none" w:sz="0" w:space="0" w:color="auto"/>
            <w:right w:val="none" w:sz="0" w:space="0" w:color="auto"/>
          </w:divBdr>
        </w:div>
        <w:div w:id="160240964">
          <w:marLeft w:val="274"/>
          <w:marRight w:val="0"/>
          <w:marTop w:val="0"/>
          <w:marBottom w:val="60"/>
          <w:divBdr>
            <w:top w:val="none" w:sz="0" w:space="0" w:color="auto"/>
            <w:left w:val="none" w:sz="0" w:space="0" w:color="auto"/>
            <w:bottom w:val="none" w:sz="0" w:space="0" w:color="auto"/>
            <w:right w:val="none" w:sz="0" w:space="0" w:color="auto"/>
          </w:divBdr>
        </w:div>
      </w:divsChild>
    </w:div>
    <w:div w:id="1540584825">
      <w:bodyDiv w:val="1"/>
      <w:marLeft w:val="0"/>
      <w:marRight w:val="0"/>
      <w:marTop w:val="0"/>
      <w:marBottom w:val="0"/>
      <w:divBdr>
        <w:top w:val="none" w:sz="0" w:space="0" w:color="auto"/>
        <w:left w:val="none" w:sz="0" w:space="0" w:color="auto"/>
        <w:bottom w:val="none" w:sz="0" w:space="0" w:color="auto"/>
        <w:right w:val="none" w:sz="0" w:space="0" w:color="auto"/>
      </w:divBdr>
    </w:div>
    <w:div w:id="1567104803">
      <w:bodyDiv w:val="1"/>
      <w:marLeft w:val="0"/>
      <w:marRight w:val="0"/>
      <w:marTop w:val="0"/>
      <w:marBottom w:val="0"/>
      <w:divBdr>
        <w:top w:val="none" w:sz="0" w:space="0" w:color="auto"/>
        <w:left w:val="none" w:sz="0" w:space="0" w:color="auto"/>
        <w:bottom w:val="none" w:sz="0" w:space="0" w:color="auto"/>
        <w:right w:val="none" w:sz="0" w:space="0" w:color="auto"/>
      </w:divBdr>
      <w:divsChild>
        <w:div w:id="756942294">
          <w:marLeft w:val="446"/>
          <w:marRight w:val="0"/>
          <w:marTop w:val="0"/>
          <w:marBottom w:val="0"/>
          <w:divBdr>
            <w:top w:val="none" w:sz="0" w:space="0" w:color="auto"/>
            <w:left w:val="none" w:sz="0" w:space="0" w:color="auto"/>
            <w:bottom w:val="none" w:sz="0" w:space="0" w:color="auto"/>
            <w:right w:val="none" w:sz="0" w:space="0" w:color="auto"/>
          </w:divBdr>
        </w:div>
      </w:divsChild>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33899268">
      <w:bodyDiv w:val="1"/>
      <w:marLeft w:val="0"/>
      <w:marRight w:val="0"/>
      <w:marTop w:val="0"/>
      <w:marBottom w:val="0"/>
      <w:divBdr>
        <w:top w:val="none" w:sz="0" w:space="0" w:color="auto"/>
        <w:left w:val="none" w:sz="0" w:space="0" w:color="auto"/>
        <w:bottom w:val="none" w:sz="0" w:space="0" w:color="auto"/>
        <w:right w:val="none" w:sz="0" w:space="0" w:color="auto"/>
      </w:divBdr>
    </w:div>
    <w:div w:id="1642272242">
      <w:bodyDiv w:val="1"/>
      <w:marLeft w:val="0"/>
      <w:marRight w:val="0"/>
      <w:marTop w:val="0"/>
      <w:marBottom w:val="0"/>
      <w:divBdr>
        <w:top w:val="none" w:sz="0" w:space="0" w:color="auto"/>
        <w:left w:val="none" w:sz="0" w:space="0" w:color="auto"/>
        <w:bottom w:val="none" w:sz="0" w:space="0" w:color="auto"/>
        <w:right w:val="none" w:sz="0" w:space="0" w:color="auto"/>
      </w:divBdr>
      <w:divsChild>
        <w:div w:id="1868641566">
          <w:marLeft w:val="288"/>
          <w:marRight w:val="0"/>
          <w:marTop w:val="240"/>
          <w:marBottom w:val="0"/>
          <w:divBdr>
            <w:top w:val="none" w:sz="0" w:space="0" w:color="auto"/>
            <w:left w:val="none" w:sz="0" w:space="0" w:color="auto"/>
            <w:bottom w:val="none" w:sz="0" w:space="0" w:color="auto"/>
            <w:right w:val="none" w:sz="0" w:space="0" w:color="auto"/>
          </w:divBdr>
        </w:div>
      </w:divsChild>
    </w:div>
    <w:div w:id="1652785142">
      <w:bodyDiv w:val="1"/>
      <w:marLeft w:val="0"/>
      <w:marRight w:val="0"/>
      <w:marTop w:val="0"/>
      <w:marBottom w:val="0"/>
      <w:divBdr>
        <w:top w:val="none" w:sz="0" w:space="0" w:color="auto"/>
        <w:left w:val="none" w:sz="0" w:space="0" w:color="auto"/>
        <w:bottom w:val="none" w:sz="0" w:space="0" w:color="auto"/>
        <w:right w:val="none" w:sz="0" w:space="0" w:color="auto"/>
      </w:divBdr>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714306994">
      <w:bodyDiv w:val="1"/>
      <w:marLeft w:val="0"/>
      <w:marRight w:val="0"/>
      <w:marTop w:val="0"/>
      <w:marBottom w:val="0"/>
      <w:divBdr>
        <w:top w:val="none" w:sz="0" w:space="0" w:color="auto"/>
        <w:left w:val="none" w:sz="0" w:space="0" w:color="auto"/>
        <w:bottom w:val="none" w:sz="0" w:space="0" w:color="auto"/>
        <w:right w:val="none" w:sz="0" w:space="0" w:color="auto"/>
      </w:divBdr>
    </w:div>
    <w:div w:id="1718627711">
      <w:bodyDiv w:val="1"/>
      <w:marLeft w:val="0"/>
      <w:marRight w:val="0"/>
      <w:marTop w:val="0"/>
      <w:marBottom w:val="0"/>
      <w:divBdr>
        <w:top w:val="none" w:sz="0" w:space="0" w:color="auto"/>
        <w:left w:val="none" w:sz="0" w:space="0" w:color="auto"/>
        <w:bottom w:val="none" w:sz="0" w:space="0" w:color="auto"/>
        <w:right w:val="none" w:sz="0" w:space="0" w:color="auto"/>
      </w:divBdr>
    </w:div>
    <w:div w:id="1719623536">
      <w:bodyDiv w:val="1"/>
      <w:marLeft w:val="0"/>
      <w:marRight w:val="0"/>
      <w:marTop w:val="0"/>
      <w:marBottom w:val="0"/>
      <w:divBdr>
        <w:top w:val="none" w:sz="0" w:space="0" w:color="auto"/>
        <w:left w:val="none" w:sz="0" w:space="0" w:color="auto"/>
        <w:bottom w:val="none" w:sz="0" w:space="0" w:color="auto"/>
        <w:right w:val="none" w:sz="0" w:space="0" w:color="auto"/>
      </w:divBdr>
    </w:div>
    <w:div w:id="1726949251">
      <w:bodyDiv w:val="1"/>
      <w:marLeft w:val="0"/>
      <w:marRight w:val="0"/>
      <w:marTop w:val="0"/>
      <w:marBottom w:val="0"/>
      <w:divBdr>
        <w:top w:val="none" w:sz="0" w:space="0" w:color="auto"/>
        <w:left w:val="none" w:sz="0" w:space="0" w:color="auto"/>
        <w:bottom w:val="none" w:sz="0" w:space="0" w:color="auto"/>
        <w:right w:val="none" w:sz="0" w:space="0" w:color="auto"/>
      </w:divBdr>
    </w:div>
    <w:div w:id="1735619016">
      <w:bodyDiv w:val="1"/>
      <w:marLeft w:val="0"/>
      <w:marRight w:val="0"/>
      <w:marTop w:val="0"/>
      <w:marBottom w:val="0"/>
      <w:divBdr>
        <w:top w:val="none" w:sz="0" w:space="0" w:color="auto"/>
        <w:left w:val="none" w:sz="0" w:space="0" w:color="auto"/>
        <w:bottom w:val="none" w:sz="0" w:space="0" w:color="auto"/>
        <w:right w:val="none" w:sz="0" w:space="0" w:color="auto"/>
      </w:divBdr>
    </w:div>
    <w:div w:id="1760521921">
      <w:bodyDiv w:val="1"/>
      <w:marLeft w:val="0"/>
      <w:marRight w:val="0"/>
      <w:marTop w:val="0"/>
      <w:marBottom w:val="0"/>
      <w:divBdr>
        <w:top w:val="none" w:sz="0" w:space="0" w:color="auto"/>
        <w:left w:val="none" w:sz="0" w:space="0" w:color="auto"/>
        <w:bottom w:val="none" w:sz="0" w:space="0" w:color="auto"/>
        <w:right w:val="none" w:sz="0" w:space="0" w:color="auto"/>
      </w:divBdr>
    </w:div>
    <w:div w:id="1785079335">
      <w:bodyDiv w:val="1"/>
      <w:marLeft w:val="0"/>
      <w:marRight w:val="0"/>
      <w:marTop w:val="0"/>
      <w:marBottom w:val="0"/>
      <w:divBdr>
        <w:top w:val="none" w:sz="0" w:space="0" w:color="auto"/>
        <w:left w:val="none" w:sz="0" w:space="0" w:color="auto"/>
        <w:bottom w:val="none" w:sz="0" w:space="0" w:color="auto"/>
        <w:right w:val="none" w:sz="0" w:space="0" w:color="auto"/>
      </w:divBdr>
    </w:div>
    <w:div w:id="1812282995">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28010810">
      <w:bodyDiv w:val="1"/>
      <w:marLeft w:val="0"/>
      <w:marRight w:val="0"/>
      <w:marTop w:val="0"/>
      <w:marBottom w:val="0"/>
      <w:divBdr>
        <w:top w:val="none" w:sz="0" w:space="0" w:color="auto"/>
        <w:left w:val="none" w:sz="0" w:space="0" w:color="auto"/>
        <w:bottom w:val="none" w:sz="0" w:space="0" w:color="auto"/>
        <w:right w:val="none" w:sz="0" w:space="0" w:color="auto"/>
      </w:divBdr>
    </w:div>
    <w:div w:id="1848515907">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1876506660">
      <w:bodyDiv w:val="1"/>
      <w:marLeft w:val="0"/>
      <w:marRight w:val="0"/>
      <w:marTop w:val="0"/>
      <w:marBottom w:val="0"/>
      <w:divBdr>
        <w:top w:val="none" w:sz="0" w:space="0" w:color="auto"/>
        <w:left w:val="none" w:sz="0" w:space="0" w:color="auto"/>
        <w:bottom w:val="none" w:sz="0" w:space="0" w:color="auto"/>
        <w:right w:val="none" w:sz="0" w:space="0" w:color="auto"/>
      </w:divBdr>
    </w:div>
    <w:div w:id="1894535637">
      <w:bodyDiv w:val="1"/>
      <w:marLeft w:val="0"/>
      <w:marRight w:val="0"/>
      <w:marTop w:val="0"/>
      <w:marBottom w:val="0"/>
      <w:divBdr>
        <w:top w:val="none" w:sz="0" w:space="0" w:color="auto"/>
        <w:left w:val="none" w:sz="0" w:space="0" w:color="auto"/>
        <w:bottom w:val="none" w:sz="0" w:space="0" w:color="auto"/>
        <w:right w:val="none" w:sz="0" w:space="0" w:color="auto"/>
      </w:divBdr>
    </w:div>
    <w:div w:id="2000379712">
      <w:bodyDiv w:val="1"/>
      <w:marLeft w:val="0"/>
      <w:marRight w:val="0"/>
      <w:marTop w:val="0"/>
      <w:marBottom w:val="0"/>
      <w:divBdr>
        <w:top w:val="none" w:sz="0" w:space="0" w:color="auto"/>
        <w:left w:val="none" w:sz="0" w:space="0" w:color="auto"/>
        <w:bottom w:val="none" w:sz="0" w:space="0" w:color="auto"/>
        <w:right w:val="none" w:sz="0" w:space="0" w:color="auto"/>
      </w:divBdr>
      <w:divsChild>
        <w:div w:id="1201018024">
          <w:marLeft w:val="446"/>
          <w:marRight w:val="0"/>
          <w:marTop w:val="0"/>
          <w:marBottom w:val="0"/>
          <w:divBdr>
            <w:top w:val="none" w:sz="0" w:space="0" w:color="auto"/>
            <w:left w:val="none" w:sz="0" w:space="0" w:color="auto"/>
            <w:bottom w:val="none" w:sz="0" w:space="0" w:color="auto"/>
            <w:right w:val="none" w:sz="0" w:space="0" w:color="auto"/>
          </w:divBdr>
        </w:div>
      </w:divsChild>
    </w:div>
    <w:div w:id="2017345729">
      <w:bodyDiv w:val="1"/>
      <w:marLeft w:val="0"/>
      <w:marRight w:val="0"/>
      <w:marTop w:val="0"/>
      <w:marBottom w:val="0"/>
      <w:divBdr>
        <w:top w:val="none" w:sz="0" w:space="0" w:color="auto"/>
        <w:left w:val="none" w:sz="0" w:space="0" w:color="auto"/>
        <w:bottom w:val="none" w:sz="0" w:space="0" w:color="auto"/>
        <w:right w:val="none" w:sz="0" w:space="0" w:color="auto"/>
      </w:divBdr>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8047488">
      <w:bodyDiv w:val="1"/>
      <w:marLeft w:val="0"/>
      <w:marRight w:val="0"/>
      <w:marTop w:val="0"/>
      <w:marBottom w:val="0"/>
      <w:divBdr>
        <w:top w:val="none" w:sz="0" w:space="0" w:color="auto"/>
        <w:left w:val="none" w:sz="0" w:space="0" w:color="auto"/>
        <w:bottom w:val="none" w:sz="0" w:space="0" w:color="auto"/>
        <w:right w:val="none" w:sz="0" w:space="0" w:color="auto"/>
      </w:divBdr>
    </w:div>
    <w:div w:id="20765898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26">
          <w:marLeft w:val="0"/>
          <w:marRight w:val="0"/>
          <w:marTop w:val="0"/>
          <w:marBottom w:val="0"/>
          <w:divBdr>
            <w:top w:val="none" w:sz="0" w:space="0" w:color="auto"/>
            <w:left w:val="none" w:sz="0" w:space="0" w:color="auto"/>
            <w:bottom w:val="none" w:sz="0" w:space="0" w:color="auto"/>
            <w:right w:val="none" w:sz="0" w:space="0" w:color="auto"/>
          </w:divBdr>
          <w:divsChild>
            <w:div w:id="1745831464">
              <w:marLeft w:val="0"/>
              <w:marRight w:val="0"/>
              <w:marTop w:val="0"/>
              <w:marBottom w:val="0"/>
              <w:divBdr>
                <w:top w:val="none" w:sz="0" w:space="0" w:color="auto"/>
                <w:left w:val="none" w:sz="0" w:space="0" w:color="auto"/>
                <w:bottom w:val="none" w:sz="0" w:space="0" w:color="auto"/>
                <w:right w:val="none" w:sz="0" w:space="0" w:color="auto"/>
              </w:divBdr>
              <w:divsChild>
                <w:div w:id="181625802">
                  <w:marLeft w:val="0"/>
                  <w:marRight w:val="0"/>
                  <w:marTop w:val="0"/>
                  <w:marBottom w:val="0"/>
                  <w:divBdr>
                    <w:top w:val="none" w:sz="0" w:space="0" w:color="auto"/>
                    <w:left w:val="none" w:sz="0" w:space="0" w:color="auto"/>
                    <w:bottom w:val="none" w:sz="0" w:space="0" w:color="auto"/>
                    <w:right w:val="none" w:sz="0" w:space="0" w:color="auto"/>
                  </w:divBdr>
                  <w:divsChild>
                    <w:div w:id="1528719908">
                      <w:marLeft w:val="0"/>
                      <w:marRight w:val="0"/>
                      <w:marTop w:val="0"/>
                      <w:marBottom w:val="0"/>
                      <w:divBdr>
                        <w:top w:val="none" w:sz="0" w:space="0" w:color="auto"/>
                        <w:left w:val="none" w:sz="0" w:space="0" w:color="auto"/>
                        <w:bottom w:val="none" w:sz="0" w:space="0" w:color="auto"/>
                        <w:right w:val="none" w:sz="0" w:space="0" w:color="auto"/>
                      </w:divBdr>
                      <w:divsChild>
                        <w:div w:id="851380270">
                          <w:marLeft w:val="0"/>
                          <w:marRight w:val="0"/>
                          <w:marTop w:val="0"/>
                          <w:marBottom w:val="0"/>
                          <w:divBdr>
                            <w:top w:val="none" w:sz="0" w:space="0" w:color="auto"/>
                            <w:left w:val="none" w:sz="0" w:space="0" w:color="auto"/>
                            <w:bottom w:val="none" w:sz="0" w:space="0" w:color="auto"/>
                            <w:right w:val="none" w:sz="0" w:space="0" w:color="auto"/>
                          </w:divBdr>
                          <w:divsChild>
                            <w:div w:id="453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15515022">
      <w:bodyDiv w:val="1"/>
      <w:marLeft w:val="0"/>
      <w:marRight w:val="0"/>
      <w:marTop w:val="0"/>
      <w:marBottom w:val="0"/>
      <w:divBdr>
        <w:top w:val="none" w:sz="0" w:space="0" w:color="auto"/>
        <w:left w:val="none" w:sz="0" w:space="0" w:color="auto"/>
        <w:bottom w:val="none" w:sz="0" w:space="0" w:color="auto"/>
        <w:right w:val="none" w:sz="0" w:space="0" w:color="auto"/>
      </w:divBdr>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stat.banque-france.fr/en/browse.do?node=53843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68C2-FCE1-4FD3-9841-C80FCFD3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6576</Words>
  <Characters>37487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43976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creator>Cowley, Christian</dc:creator>
  <cp:lastModifiedBy>Levy, Sarah</cp:lastModifiedBy>
  <cp:revision>4</cp:revision>
  <cp:lastPrinted>2017-03-21T16:20:00Z</cp:lastPrinted>
  <dcterms:created xsi:type="dcterms:W3CDTF">2017-03-21T18:38:00Z</dcterms:created>
  <dcterms:modified xsi:type="dcterms:W3CDTF">2017-03-21T18:40:00Z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