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09C43" w14:textId="424E3C38" w:rsidR="002D541F" w:rsidRDefault="00565E59" w:rsidP="00CA29E6">
      <w:pPr>
        <w:jc w:val="center"/>
        <w:rPr>
          <w:rFonts w:ascii="Arial" w:hAnsi="Arial" w:cs="Arial"/>
          <w:b/>
          <w:sz w:val="24"/>
          <w:szCs w:val="24"/>
        </w:rPr>
      </w:pPr>
      <w:r>
        <w:rPr>
          <w:rFonts w:ascii="Arial" w:hAnsi="Arial" w:cs="Arial"/>
          <w:b/>
          <w:sz w:val="24"/>
          <w:szCs w:val="24"/>
        </w:rPr>
        <w:t xml:space="preserve">Half </w:t>
      </w:r>
      <w:r w:rsidR="008E6D54">
        <w:rPr>
          <w:rFonts w:ascii="Arial" w:hAnsi="Arial" w:cs="Arial"/>
          <w:b/>
          <w:sz w:val="24"/>
          <w:szCs w:val="24"/>
        </w:rPr>
        <w:t>y</w:t>
      </w:r>
      <w:r>
        <w:rPr>
          <w:rFonts w:ascii="Arial" w:hAnsi="Arial" w:cs="Arial"/>
          <w:b/>
          <w:sz w:val="24"/>
          <w:szCs w:val="24"/>
        </w:rPr>
        <w:t>ear</w:t>
      </w:r>
      <w:r w:rsidRPr="00044BCA">
        <w:rPr>
          <w:rFonts w:ascii="Arial" w:hAnsi="Arial" w:cs="Arial"/>
          <w:b/>
          <w:sz w:val="24"/>
          <w:szCs w:val="24"/>
        </w:rPr>
        <w:t xml:space="preserve"> </w:t>
      </w:r>
      <w:r w:rsidR="009D7DE0" w:rsidRPr="00044BCA">
        <w:rPr>
          <w:rFonts w:ascii="Arial" w:hAnsi="Arial" w:cs="Arial"/>
          <w:b/>
          <w:sz w:val="24"/>
          <w:szCs w:val="24"/>
        </w:rPr>
        <w:t xml:space="preserve">results </w:t>
      </w:r>
      <w:r w:rsidR="00DF23DF">
        <w:rPr>
          <w:rFonts w:ascii="Arial" w:hAnsi="Arial" w:cs="Arial"/>
          <w:b/>
          <w:sz w:val="24"/>
          <w:szCs w:val="24"/>
        </w:rPr>
        <w:t>for</w:t>
      </w:r>
      <w:r w:rsidR="00A359EE">
        <w:rPr>
          <w:rFonts w:ascii="Arial" w:hAnsi="Arial" w:cs="Arial"/>
          <w:b/>
          <w:sz w:val="24"/>
          <w:szCs w:val="24"/>
        </w:rPr>
        <w:t xml:space="preserve"> the</w:t>
      </w:r>
      <w:r w:rsidR="00DF23DF">
        <w:rPr>
          <w:rFonts w:ascii="Arial" w:hAnsi="Arial" w:cs="Arial"/>
          <w:b/>
          <w:sz w:val="24"/>
          <w:szCs w:val="24"/>
        </w:rPr>
        <w:t xml:space="preserve"> 6 months </w:t>
      </w:r>
      <w:r w:rsidR="009D7DE0" w:rsidRPr="00044BCA">
        <w:rPr>
          <w:rFonts w:ascii="Arial" w:hAnsi="Arial" w:cs="Arial"/>
          <w:b/>
          <w:sz w:val="24"/>
          <w:szCs w:val="24"/>
        </w:rPr>
        <w:t xml:space="preserve">ended </w:t>
      </w:r>
      <w:r w:rsidR="00686549">
        <w:rPr>
          <w:rFonts w:ascii="Arial" w:hAnsi="Arial" w:cs="Arial"/>
          <w:b/>
          <w:sz w:val="24"/>
          <w:szCs w:val="24"/>
        </w:rPr>
        <w:t xml:space="preserve">31 </w:t>
      </w:r>
      <w:r w:rsidR="00DF23DF">
        <w:rPr>
          <w:rFonts w:ascii="Arial" w:hAnsi="Arial" w:cs="Arial"/>
          <w:b/>
          <w:sz w:val="24"/>
          <w:szCs w:val="24"/>
        </w:rPr>
        <w:t xml:space="preserve">July </w:t>
      </w:r>
      <w:r w:rsidR="00686549">
        <w:rPr>
          <w:rFonts w:ascii="Arial" w:hAnsi="Arial" w:cs="Arial"/>
          <w:b/>
          <w:sz w:val="24"/>
          <w:szCs w:val="24"/>
        </w:rPr>
        <w:t>2016</w:t>
      </w:r>
    </w:p>
    <w:p w14:paraId="63AF21E8" w14:textId="3D3713C8" w:rsidR="00CA29E6" w:rsidRDefault="00CA29E6" w:rsidP="00926779">
      <w:pPr>
        <w:jc w:val="center"/>
        <w:rPr>
          <w:rFonts w:ascii="Arial" w:hAnsi="Arial" w:cs="Arial"/>
          <w:b/>
          <w:sz w:val="24"/>
          <w:szCs w:val="24"/>
        </w:rPr>
      </w:pPr>
      <w:r>
        <w:rPr>
          <w:rFonts w:ascii="Arial" w:hAnsi="Arial" w:cs="Arial"/>
          <w:b/>
          <w:sz w:val="24"/>
          <w:szCs w:val="24"/>
        </w:rPr>
        <w:t xml:space="preserve"> S</w:t>
      </w:r>
      <w:r w:rsidR="009D7DE0" w:rsidRPr="00D320DD">
        <w:rPr>
          <w:rFonts w:ascii="Arial" w:hAnsi="Arial" w:cs="Arial"/>
          <w:b/>
          <w:sz w:val="24"/>
          <w:szCs w:val="24"/>
        </w:rPr>
        <w:t>ales</w:t>
      </w:r>
      <w:r w:rsidR="009D7DE0" w:rsidRPr="00044BCA">
        <w:rPr>
          <w:rFonts w:ascii="Arial" w:hAnsi="Arial" w:cs="Arial"/>
          <w:b/>
          <w:sz w:val="24"/>
          <w:szCs w:val="24"/>
        </w:rPr>
        <w:t xml:space="preserve"> up </w:t>
      </w:r>
      <w:r w:rsidR="00546856">
        <w:rPr>
          <w:rFonts w:ascii="Arial" w:hAnsi="Arial" w:cs="Arial"/>
          <w:b/>
          <w:sz w:val="24"/>
          <w:szCs w:val="24"/>
        </w:rPr>
        <w:t>2.7</w:t>
      </w:r>
      <w:r>
        <w:rPr>
          <w:rFonts w:ascii="Arial" w:hAnsi="Arial" w:cs="Arial"/>
          <w:b/>
          <w:sz w:val="24"/>
          <w:szCs w:val="24"/>
        </w:rPr>
        <w:t xml:space="preserve">% </w:t>
      </w:r>
      <w:r w:rsidR="008E1985">
        <w:rPr>
          <w:rFonts w:ascii="Arial" w:hAnsi="Arial" w:cs="Arial"/>
          <w:b/>
          <w:sz w:val="24"/>
          <w:szCs w:val="24"/>
        </w:rPr>
        <w:t xml:space="preserve">and retail profit up </w:t>
      </w:r>
      <w:r w:rsidR="00CB7901">
        <w:rPr>
          <w:rFonts w:ascii="Arial" w:hAnsi="Arial" w:cs="Arial"/>
          <w:b/>
          <w:sz w:val="24"/>
          <w:szCs w:val="24"/>
        </w:rPr>
        <w:t>8.</w:t>
      </w:r>
      <w:r w:rsidR="00080DD2">
        <w:rPr>
          <w:rFonts w:ascii="Arial" w:hAnsi="Arial" w:cs="Arial"/>
          <w:b/>
          <w:sz w:val="24"/>
          <w:szCs w:val="24"/>
        </w:rPr>
        <w:t>7</w:t>
      </w:r>
      <w:r w:rsidR="008E1985">
        <w:rPr>
          <w:rFonts w:ascii="Arial" w:hAnsi="Arial" w:cs="Arial"/>
          <w:b/>
          <w:sz w:val="24"/>
          <w:szCs w:val="24"/>
        </w:rPr>
        <w:t>%</w:t>
      </w:r>
      <w:r>
        <w:rPr>
          <w:rFonts w:ascii="Arial" w:hAnsi="Arial" w:cs="Arial"/>
          <w:b/>
          <w:sz w:val="24"/>
          <w:szCs w:val="24"/>
        </w:rPr>
        <w:t xml:space="preserve">, </w:t>
      </w:r>
      <w:r w:rsidR="008E1985">
        <w:rPr>
          <w:rFonts w:ascii="Arial" w:hAnsi="Arial" w:cs="Arial"/>
          <w:b/>
          <w:sz w:val="24"/>
          <w:szCs w:val="24"/>
        </w:rPr>
        <w:t>in constant currencies</w:t>
      </w:r>
    </w:p>
    <w:p w14:paraId="3B90421F" w14:textId="687170F2" w:rsidR="00A01BBD" w:rsidRDefault="00095120" w:rsidP="00926779">
      <w:pPr>
        <w:jc w:val="center"/>
        <w:rPr>
          <w:rFonts w:ascii="Arial" w:hAnsi="Arial" w:cs="Arial"/>
          <w:b/>
          <w:sz w:val="24"/>
          <w:szCs w:val="24"/>
        </w:rPr>
      </w:pPr>
      <w:r>
        <w:rPr>
          <w:rFonts w:ascii="Arial" w:hAnsi="Arial" w:cs="Arial"/>
          <w:b/>
          <w:sz w:val="24"/>
          <w:szCs w:val="24"/>
        </w:rPr>
        <w:t>Underlying</w:t>
      </w:r>
      <w:r w:rsidRPr="00044BCA">
        <w:rPr>
          <w:rFonts w:ascii="Arial" w:hAnsi="Arial" w:cs="Arial"/>
          <w:b/>
          <w:sz w:val="24"/>
          <w:szCs w:val="24"/>
        </w:rPr>
        <w:t xml:space="preserve"> </w:t>
      </w:r>
      <w:r w:rsidR="009D7DE0" w:rsidRPr="00044BCA">
        <w:rPr>
          <w:rFonts w:ascii="Arial" w:hAnsi="Arial" w:cs="Arial"/>
          <w:b/>
          <w:sz w:val="24"/>
          <w:szCs w:val="24"/>
        </w:rPr>
        <w:t xml:space="preserve">pre-tax profit </w:t>
      </w:r>
      <w:r w:rsidR="009D7DE0" w:rsidRPr="00A45362">
        <w:rPr>
          <w:rFonts w:ascii="Arial" w:hAnsi="Arial" w:cs="Arial"/>
          <w:b/>
          <w:sz w:val="24"/>
          <w:szCs w:val="24"/>
        </w:rPr>
        <w:t>of £</w:t>
      </w:r>
      <w:r w:rsidR="00A45362" w:rsidRPr="00925EFB">
        <w:rPr>
          <w:rFonts w:ascii="Arial" w:hAnsi="Arial" w:cs="Arial"/>
          <w:b/>
          <w:sz w:val="24"/>
          <w:szCs w:val="24"/>
        </w:rPr>
        <w:t>436</w:t>
      </w:r>
      <w:r w:rsidR="00565E59" w:rsidRPr="00A45362">
        <w:rPr>
          <w:rFonts w:ascii="Arial" w:hAnsi="Arial" w:cs="Arial"/>
          <w:b/>
          <w:sz w:val="24"/>
          <w:szCs w:val="24"/>
        </w:rPr>
        <w:t>m</w:t>
      </w:r>
      <w:r w:rsidR="009D7DE0" w:rsidRPr="00A45362">
        <w:rPr>
          <w:rFonts w:ascii="Arial" w:hAnsi="Arial" w:cs="Arial"/>
          <w:b/>
          <w:sz w:val="24"/>
          <w:szCs w:val="24"/>
        </w:rPr>
        <w:t xml:space="preserve">, </w:t>
      </w:r>
      <w:r w:rsidR="00686549" w:rsidRPr="00A45362">
        <w:rPr>
          <w:rFonts w:ascii="Arial" w:hAnsi="Arial" w:cs="Arial"/>
          <w:b/>
          <w:sz w:val="24"/>
          <w:szCs w:val="24"/>
        </w:rPr>
        <w:t xml:space="preserve">up </w:t>
      </w:r>
      <w:r w:rsidR="00A45362" w:rsidRPr="00925EFB">
        <w:rPr>
          <w:rFonts w:ascii="Arial" w:hAnsi="Arial" w:cs="Arial"/>
          <w:b/>
          <w:sz w:val="24"/>
          <w:szCs w:val="24"/>
        </w:rPr>
        <w:t>13.5</w:t>
      </w:r>
      <w:r w:rsidR="00686549" w:rsidRPr="00A45362">
        <w:rPr>
          <w:rFonts w:ascii="Arial" w:hAnsi="Arial" w:cs="Arial"/>
          <w:b/>
          <w:sz w:val="24"/>
          <w:szCs w:val="24"/>
        </w:rPr>
        <w:t>%</w:t>
      </w:r>
    </w:p>
    <w:p w14:paraId="76B1E937" w14:textId="330801BE" w:rsidR="00EB5312" w:rsidRPr="00044BCA" w:rsidRDefault="008E6D54" w:rsidP="00126A7C">
      <w:pPr>
        <w:jc w:val="center"/>
        <w:rPr>
          <w:rFonts w:ascii="Arial" w:hAnsi="Arial" w:cs="Arial"/>
          <w:b/>
          <w:sz w:val="24"/>
          <w:szCs w:val="24"/>
        </w:rPr>
      </w:pPr>
      <w:r>
        <w:rPr>
          <w:rFonts w:ascii="Arial" w:hAnsi="Arial" w:cs="Arial"/>
          <w:b/>
          <w:sz w:val="24"/>
          <w:szCs w:val="24"/>
        </w:rPr>
        <w:t>Good early</w:t>
      </w:r>
      <w:r w:rsidR="00D37435">
        <w:rPr>
          <w:rFonts w:ascii="Arial" w:hAnsi="Arial" w:cs="Arial"/>
          <w:b/>
          <w:sz w:val="24"/>
          <w:szCs w:val="24"/>
        </w:rPr>
        <w:t xml:space="preserve"> progress </w:t>
      </w:r>
      <w:r w:rsidR="00DB3C08" w:rsidRPr="00044BCA">
        <w:rPr>
          <w:rFonts w:ascii="Arial" w:hAnsi="Arial" w:cs="Arial"/>
          <w:b/>
          <w:sz w:val="24"/>
          <w:szCs w:val="24"/>
        </w:rPr>
        <w:t>on ONE Kingfisher</w:t>
      </w:r>
    </w:p>
    <w:p w14:paraId="505B6848" w14:textId="77777777" w:rsidR="00AB7A37" w:rsidRDefault="00AB7A37" w:rsidP="00926779">
      <w:pPr>
        <w:jc w:val="center"/>
        <w:rPr>
          <w:rFonts w:ascii="Arial" w:hAnsi="Arial" w:cs="Arial"/>
          <w:b/>
          <w:bCs/>
          <w:sz w:val="24"/>
          <w:szCs w:val="24"/>
          <w:u w:val="single"/>
        </w:rPr>
      </w:pPr>
    </w:p>
    <w:tbl>
      <w:tblPr>
        <w:tblStyle w:val="TableGrid"/>
        <w:tblW w:w="0" w:type="auto"/>
        <w:tblLook w:val="04A0" w:firstRow="1" w:lastRow="0" w:firstColumn="1" w:lastColumn="0" w:noHBand="0" w:noVBand="1"/>
      </w:tblPr>
      <w:tblGrid>
        <w:gridCol w:w="9631"/>
      </w:tblGrid>
      <w:tr w:rsidR="00A45362" w14:paraId="3747C0E5" w14:textId="77777777" w:rsidTr="00A45362">
        <w:tc>
          <w:tcPr>
            <w:tcW w:w="9631" w:type="dxa"/>
          </w:tcPr>
          <w:tbl>
            <w:tblPr>
              <w:tblStyle w:val="TableGrid"/>
              <w:tblW w:w="9521" w:type="dxa"/>
              <w:tblLook w:val="04A0" w:firstRow="1" w:lastRow="0" w:firstColumn="1" w:lastColumn="0" w:noHBand="0" w:noVBand="1"/>
            </w:tblPr>
            <w:tblGrid>
              <w:gridCol w:w="3001"/>
              <w:gridCol w:w="1545"/>
              <w:gridCol w:w="1150"/>
              <w:gridCol w:w="1276"/>
              <w:gridCol w:w="1272"/>
              <w:gridCol w:w="1277"/>
            </w:tblGrid>
            <w:tr w:rsidR="00A45362" w14:paraId="035F0ED0" w14:textId="77777777" w:rsidTr="00925EFB">
              <w:trPr>
                <w:trHeight w:val="696"/>
              </w:trPr>
              <w:tc>
                <w:tcPr>
                  <w:tcW w:w="5696" w:type="dxa"/>
                  <w:gridSpan w:val="3"/>
                  <w:tcBorders>
                    <w:top w:val="nil"/>
                    <w:left w:val="nil"/>
                    <w:bottom w:val="single" w:sz="4" w:space="0" w:color="auto"/>
                    <w:right w:val="nil"/>
                  </w:tcBorders>
                </w:tcPr>
                <w:p w14:paraId="451EAA19" w14:textId="77777777" w:rsidR="009404DD" w:rsidRDefault="009404DD" w:rsidP="00A45362">
                  <w:pPr>
                    <w:rPr>
                      <w:rFonts w:ascii="Arial" w:hAnsi="Arial" w:cs="Arial"/>
                      <w:b/>
                      <w:bCs/>
                      <w:sz w:val="24"/>
                      <w:szCs w:val="24"/>
                    </w:rPr>
                  </w:pPr>
                </w:p>
                <w:p w14:paraId="3CBD9C91" w14:textId="208690B4" w:rsidR="00A45362" w:rsidRDefault="00A45362" w:rsidP="00A45362">
                  <w:r>
                    <w:rPr>
                      <w:rFonts w:ascii="Arial" w:hAnsi="Arial" w:cs="Arial"/>
                      <w:b/>
                      <w:bCs/>
                      <w:sz w:val="24"/>
                      <w:szCs w:val="24"/>
                    </w:rPr>
                    <w:t>Financial highlights</w:t>
                  </w:r>
                </w:p>
              </w:tc>
              <w:tc>
                <w:tcPr>
                  <w:tcW w:w="1276" w:type="dxa"/>
                  <w:tcBorders>
                    <w:top w:val="nil"/>
                    <w:left w:val="nil"/>
                    <w:bottom w:val="single" w:sz="4" w:space="0" w:color="auto"/>
                    <w:right w:val="nil"/>
                  </w:tcBorders>
                </w:tcPr>
                <w:p w14:paraId="44705C0C" w14:textId="77777777" w:rsidR="009404DD" w:rsidRDefault="009404DD" w:rsidP="00A45362">
                  <w:pPr>
                    <w:jc w:val="right"/>
                    <w:rPr>
                      <w:rFonts w:ascii="Arial" w:hAnsi="Arial" w:cs="Arial"/>
                      <w:b/>
                      <w:bCs/>
                      <w:sz w:val="24"/>
                      <w:szCs w:val="24"/>
                    </w:rPr>
                  </w:pPr>
                </w:p>
                <w:p w14:paraId="512C4815" w14:textId="77777777" w:rsidR="00A45362" w:rsidRPr="000971B9" w:rsidRDefault="00A45362" w:rsidP="00A45362">
                  <w:pPr>
                    <w:jc w:val="right"/>
                    <w:rPr>
                      <w:rFonts w:ascii="Arial" w:hAnsi="Arial" w:cs="Arial"/>
                      <w:b/>
                      <w:bCs/>
                      <w:sz w:val="24"/>
                      <w:szCs w:val="24"/>
                    </w:rPr>
                  </w:pPr>
                  <w:r w:rsidRPr="000971B9">
                    <w:rPr>
                      <w:rFonts w:ascii="Arial" w:hAnsi="Arial" w:cs="Arial"/>
                      <w:b/>
                      <w:bCs/>
                      <w:sz w:val="24"/>
                      <w:szCs w:val="24"/>
                    </w:rPr>
                    <w:t xml:space="preserve">% Total </w:t>
                  </w:r>
                </w:p>
                <w:p w14:paraId="2AD62C91" w14:textId="77777777" w:rsidR="00A45362" w:rsidRDefault="00A45362" w:rsidP="00A45362">
                  <w:pPr>
                    <w:jc w:val="right"/>
                  </w:pPr>
                  <w:r w:rsidRPr="000971B9">
                    <w:rPr>
                      <w:rFonts w:ascii="Arial" w:hAnsi="Arial" w:cs="Arial"/>
                      <w:b/>
                      <w:bCs/>
                      <w:sz w:val="24"/>
                      <w:szCs w:val="24"/>
                    </w:rPr>
                    <w:t>Change</w:t>
                  </w:r>
                </w:p>
              </w:tc>
              <w:tc>
                <w:tcPr>
                  <w:tcW w:w="1272" w:type="dxa"/>
                  <w:tcBorders>
                    <w:top w:val="nil"/>
                    <w:left w:val="nil"/>
                    <w:bottom w:val="single" w:sz="4" w:space="0" w:color="auto"/>
                    <w:right w:val="nil"/>
                  </w:tcBorders>
                </w:tcPr>
                <w:p w14:paraId="2587FF78" w14:textId="77777777" w:rsidR="009404DD" w:rsidRDefault="009404DD" w:rsidP="00A45362">
                  <w:pPr>
                    <w:jc w:val="right"/>
                    <w:rPr>
                      <w:rFonts w:ascii="Arial" w:hAnsi="Arial" w:cs="Arial"/>
                      <w:b/>
                      <w:bCs/>
                      <w:sz w:val="24"/>
                      <w:szCs w:val="24"/>
                    </w:rPr>
                  </w:pPr>
                </w:p>
                <w:p w14:paraId="75786F78" w14:textId="77777777" w:rsidR="00A45362" w:rsidRDefault="00A45362" w:rsidP="00A45362">
                  <w:pPr>
                    <w:jc w:val="right"/>
                  </w:pPr>
                  <w:r w:rsidRPr="000971B9">
                    <w:rPr>
                      <w:rFonts w:ascii="Arial" w:hAnsi="Arial" w:cs="Arial"/>
                      <w:b/>
                      <w:bCs/>
                      <w:sz w:val="24"/>
                      <w:szCs w:val="24"/>
                    </w:rPr>
                    <w:t>% Total Change</w:t>
                  </w:r>
                </w:p>
              </w:tc>
              <w:tc>
                <w:tcPr>
                  <w:tcW w:w="1277" w:type="dxa"/>
                  <w:tcBorders>
                    <w:top w:val="nil"/>
                    <w:left w:val="nil"/>
                    <w:bottom w:val="single" w:sz="4" w:space="0" w:color="auto"/>
                    <w:right w:val="nil"/>
                  </w:tcBorders>
                </w:tcPr>
                <w:p w14:paraId="6D606087" w14:textId="77777777" w:rsidR="009404DD" w:rsidRDefault="009404DD" w:rsidP="00A45362">
                  <w:pPr>
                    <w:ind w:right="33"/>
                    <w:jc w:val="right"/>
                    <w:rPr>
                      <w:rFonts w:ascii="Arial" w:hAnsi="Arial" w:cs="Arial"/>
                      <w:b/>
                      <w:bCs/>
                      <w:sz w:val="24"/>
                      <w:szCs w:val="24"/>
                    </w:rPr>
                  </w:pPr>
                </w:p>
                <w:p w14:paraId="285942A9" w14:textId="77777777" w:rsidR="00A45362" w:rsidRDefault="00A45362" w:rsidP="00A45362">
                  <w:pPr>
                    <w:ind w:right="33"/>
                    <w:jc w:val="right"/>
                  </w:pPr>
                  <w:r w:rsidRPr="000971B9">
                    <w:rPr>
                      <w:rFonts w:ascii="Arial" w:hAnsi="Arial" w:cs="Arial"/>
                      <w:b/>
                      <w:bCs/>
                      <w:sz w:val="24"/>
                      <w:szCs w:val="24"/>
                    </w:rPr>
                    <w:t>% LFL* Change</w:t>
                  </w:r>
                </w:p>
              </w:tc>
            </w:tr>
            <w:tr w:rsidR="00A45362" w14:paraId="1EADA29C" w14:textId="77777777" w:rsidTr="00925EFB">
              <w:tc>
                <w:tcPr>
                  <w:tcW w:w="3001" w:type="dxa"/>
                  <w:tcBorders>
                    <w:top w:val="single" w:sz="4" w:space="0" w:color="auto"/>
                    <w:left w:val="nil"/>
                    <w:bottom w:val="single" w:sz="4" w:space="0" w:color="auto"/>
                    <w:right w:val="nil"/>
                  </w:tcBorders>
                </w:tcPr>
                <w:p w14:paraId="70C7E4A0" w14:textId="77777777" w:rsidR="00A45362" w:rsidRDefault="00A45362" w:rsidP="00A45362"/>
              </w:tc>
              <w:tc>
                <w:tcPr>
                  <w:tcW w:w="1545" w:type="dxa"/>
                  <w:tcBorders>
                    <w:top w:val="single" w:sz="4" w:space="0" w:color="auto"/>
                    <w:left w:val="nil"/>
                    <w:bottom w:val="single" w:sz="4" w:space="0" w:color="auto"/>
                    <w:right w:val="nil"/>
                  </w:tcBorders>
                </w:tcPr>
                <w:p w14:paraId="3F9ACEA1" w14:textId="77777777" w:rsidR="00A45362" w:rsidRPr="000971B9" w:rsidRDefault="00A45362" w:rsidP="00A45362">
                  <w:pPr>
                    <w:jc w:val="right"/>
                    <w:rPr>
                      <w:rFonts w:ascii="Arial" w:hAnsi="Arial" w:cs="Arial"/>
                      <w:b/>
                      <w:bCs/>
                      <w:sz w:val="24"/>
                      <w:szCs w:val="24"/>
                    </w:rPr>
                  </w:pPr>
                  <w:r w:rsidRPr="000971B9">
                    <w:rPr>
                      <w:rFonts w:ascii="Arial" w:hAnsi="Arial" w:cs="Arial"/>
                      <w:b/>
                      <w:bCs/>
                      <w:sz w:val="24"/>
                      <w:szCs w:val="24"/>
                    </w:rPr>
                    <w:t>201</w:t>
                  </w:r>
                  <w:r>
                    <w:rPr>
                      <w:rFonts w:ascii="Arial" w:hAnsi="Arial" w:cs="Arial"/>
                      <w:b/>
                      <w:bCs/>
                      <w:sz w:val="24"/>
                      <w:szCs w:val="24"/>
                    </w:rPr>
                    <w:t>6/17</w:t>
                  </w:r>
                </w:p>
                <w:p w14:paraId="30F5BDBF" w14:textId="77777777" w:rsidR="00A45362" w:rsidRDefault="00A45362" w:rsidP="00A45362">
                  <w:pPr>
                    <w:jc w:val="right"/>
                  </w:pPr>
                </w:p>
              </w:tc>
              <w:tc>
                <w:tcPr>
                  <w:tcW w:w="1150" w:type="dxa"/>
                  <w:tcBorders>
                    <w:top w:val="single" w:sz="4" w:space="0" w:color="auto"/>
                    <w:left w:val="nil"/>
                    <w:bottom w:val="single" w:sz="4" w:space="0" w:color="auto"/>
                    <w:right w:val="nil"/>
                  </w:tcBorders>
                </w:tcPr>
                <w:p w14:paraId="5E7D1842" w14:textId="77777777" w:rsidR="00A45362" w:rsidRPr="000971B9" w:rsidRDefault="00A45362" w:rsidP="00A45362">
                  <w:pPr>
                    <w:jc w:val="right"/>
                    <w:rPr>
                      <w:rFonts w:ascii="Arial" w:hAnsi="Arial" w:cs="Arial"/>
                      <w:b/>
                      <w:bCs/>
                      <w:sz w:val="24"/>
                      <w:szCs w:val="24"/>
                    </w:rPr>
                  </w:pPr>
                  <w:r>
                    <w:rPr>
                      <w:rFonts w:ascii="Arial" w:hAnsi="Arial" w:cs="Arial"/>
                      <w:b/>
                      <w:bCs/>
                      <w:sz w:val="24"/>
                      <w:szCs w:val="24"/>
                    </w:rPr>
                    <w:t>2015/16</w:t>
                  </w:r>
                </w:p>
                <w:p w14:paraId="00188DF2" w14:textId="77777777" w:rsidR="00A45362" w:rsidRDefault="00A45362" w:rsidP="00A45362">
                  <w:pPr>
                    <w:jc w:val="right"/>
                  </w:pPr>
                </w:p>
              </w:tc>
              <w:tc>
                <w:tcPr>
                  <w:tcW w:w="1276" w:type="dxa"/>
                  <w:tcBorders>
                    <w:top w:val="single" w:sz="4" w:space="0" w:color="auto"/>
                    <w:left w:val="nil"/>
                    <w:bottom w:val="single" w:sz="4" w:space="0" w:color="auto"/>
                    <w:right w:val="nil"/>
                  </w:tcBorders>
                </w:tcPr>
                <w:p w14:paraId="490A3AF4" w14:textId="77777777" w:rsidR="00A45362" w:rsidRDefault="00A45362" w:rsidP="00A45362">
                  <w:pPr>
                    <w:jc w:val="right"/>
                  </w:pPr>
                  <w:r w:rsidRPr="000971B9">
                    <w:rPr>
                      <w:rFonts w:ascii="Arial" w:hAnsi="Arial" w:cs="Arial"/>
                      <w:b/>
                      <w:bCs/>
                      <w:sz w:val="24"/>
                      <w:szCs w:val="24"/>
                    </w:rPr>
                    <w:t>Reported</w:t>
                  </w:r>
                </w:p>
              </w:tc>
              <w:tc>
                <w:tcPr>
                  <w:tcW w:w="1272" w:type="dxa"/>
                  <w:tcBorders>
                    <w:top w:val="single" w:sz="4" w:space="0" w:color="auto"/>
                    <w:left w:val="nil"/>
                    <w:bottom w:val="single" w:sz="4" w:space="0" w:color="auto"/>
                    <w:right w:val="nil"/>
                  </w:tcBorders>
                </w:tcPr>
                <w:p w14:paraId="28848BC5" w14:textId="77777777" w:rsidR="00A45362" w:rsidRDefault="00A45362" w:rsidP="00A45362">
                  <w:pPr>
                    <w:jc w:val="right"/>
                  </w:pPr>
                  <w:r w:rsidRPr="000971B9">
                    <w:rPr>
                      <w:rFonts w:ascii="Arial" w:hAnsi="Arial" w:cs="Arial"/>
                      <w:b/>
                      <w:bCs/>
                      <w:sz w:val="24"/>
                      <w:szCs w:val="24"/>
                    </w:rPr>
                    <w:t>Constant currency</w:t>
                  </w:r>
                </w:p>
              </w:tc>
              <w:tc>
                <w:tcPr>
                  <w:tcW w:w="1277" w:type="dxa"/>
                  <w:tcBorders>
                    <w:top w:val="single" w:sz="4" w:space="0" w:color="auto"/>
                    <w:left w:val="nil"/>
                    <w:bottom w:val="single" w:sz="4" w:space="0" w:color="auto"/>
                    <w:right w:val="nil"/>
                  </w:tcBorders>
                </w:tcPr>
                <w:p w14:paraId="7FF2BF9B" w14:textId="77777777" w:rsidR="00A45362" w:rsidRDefault="00A45362" w:rsidP="00A45362">
                  <w:pPr>
                    <w:jc w:val="right"/>
                  </w:pPr>
                  <w:r w:rsidRPr="000971B9">
                    <w:rPr>
                      <w:rFonts w:ascii="Arial" w:hAnsi="Arial" w:cs="Arial"/>
                      <w:b/>
                      <w:bCs/>
                      <w:sz w:val="24"/>
                      <w:szCs w:val="24"/>
                    </w:rPr>
                    <w:t>Constant currency</w:t>
                  </w:r>
                </w:p>
              </w:tc>
            </w:tr>
            <w:tr w:rsidR="00A45362" w14:paraId="1CD48548" w14:textId="77777777" w:rsidTr="00925EFB">
              <w:tc>
                <w:tcPr>
                  <w:tcW w:w="3001" w:type="dxa"/>
                  <w:tcBorders>
                    <w:top w:val="single" w:sz="4" w:space="0" w:color="auto"/>
                    <w:left w:val="nil"/>
                    <w:bottom w:val="nil"/>
                    <w:right w:val="nil"/>
                  </w:tcBorders>
                </w:tcPr>
                <w:p w14:paraId="0643F38C" w14:textId="77777777" w:rsidR="00A45362" w:rsidRPr="00D570CA" w:rsidRDefault="00A45362" w:rsidP="00A45362">
                  <w:pPr>
                    <w:jc w:val="left"/>
                    <w:rPr>
                      <w:rFonts w:ascii="Arial" w:hAnsi="Arial" w:cs="Arial"/>
                      <w:sz w:val="24"/>
                      <w:szCs w:val="24"/>
                    </w:rPr>
                  </w:pPr>
                  <w:r w:rsidRPr="00D570CA">
                    <w:rPr>
                      <w:rFonts w:ascii="Arial" w:hAnsi="Arial" w:cs="Arial"/>
                      <w:sz w:val="24"/>
                      <w:szCs w:val="24"/>
                    </w:rPr>
                    <w:t>Adjusted sales</w:t>
                  </w:r>
                  <w:r>
                    <w:rPr>
                      <w:rFonts w:ascii="Arial" w:hAnsi="Arial" w:cs="Arial"/>
                      <w:sz w:val="24"/>
                      <w:szCs w:val="24"/>
                    </w:rPr>
                    <w:t>*</w:t>
                  </w:r>
                </w:p>
              </w:tc>
              <w:tc>
                <w:tcPr>
                  <w:tcW w:w="1545" w:type="dxa"/>
                  <w:tcBorders>
                    <w:top w:val="single" w:sz="4" w:space="0" w:color="auto"/>
                    <w:left w:val="nil"/>
                    <w:bottom w:val="nil"/>
                    <w:right w:val="nil"/>
                  </w:tcBorders>
                </w:tcPr>
                <w:p w14:paraId="77E2F029" w14:textId="77777777" w:rsidR="00A45362" w:rsidRDefault="00A45362" w:rsidP="00A45362">
                  <w:pPr>
                    <w:jc w:val="right"/>
                  </w:pPr>
                  <w:r w:rsidRPr="000971B9">
                    <w:rPr>
                      <w:rFonts w:ascii="Arial" w:hAnsi="Arial" w:cs="Arial"/>
                      <w:sz w:val="24"/>
                      <w:szCs w:val="24"/>
                    </w:rPr>
                    <w:t>£</w:t>
                  </w:r>
                  <w:r>
                    <w:rPr>
                      <w:rFonts w:ascii="Arial" w:hAnsi="Arial" w:cs="Arial"/>
                      <w:sz w:val="24"/>
                      <w:szCs w:val="24"/>
                    </w:rPr>
                    <w:t>5,749</w:t>
                  </w:r>
                  <w:r w:rsidRPr="000971B9">
                    <w:rPr>
                      <w:rFonts w:ascii="Arial" w:hAnsi="Arial" w:cs="Arial"/>
                      <w:sz w:val="24"/>
                      <w:szCs w:val="24"/>
                    </w:rPr>
                    <w:t>m</w:t>
                  </w:r>
                </w:p>
              </w:tc>
              <w:tc>
                <w:tcPr>
                  <w:tcW w:w="1150" w:type="dxa"/>
                  <w:tcBorders>
                    <w:top w:val="single" w:sz="4" w:space="0" w:color="auto"/>
                    <w:left w:val="nil"/>
                    <w:bottom w:val="nil"/>
                    <w:right w:val="nil"/>
                  </w:tcBorders>
                </w:tcPr>
                <w:p w14:paraId="58245ED6" w14:textId="77777777" w:rsidR="00A45362" w:rsidRDefault="00A45362" w:rsidP="00A45362">
                  <w:pPr>
                    <w:jc w:val="right"/>
                  </w:pPr>
                  <w:r w:rsidRPr="000971B9">
                    <w:rPr>
                      <w:rFonts w:ascii="Arial" w:hAnsi="Arial" w:cs="Arial"/>
                      <w:sz w:val="24"/>
                      <w:szCs w:val="24"/>
                    </w:rPr>
                    <w:t>£</w:t>
                  </w:r>
                  <w:r>
                    <w:rPr>
                      <w:rFonts w:ascii="Arial" w:hAnsi="Arial" w:cs="Arial"/>
                      <w:sz w:val="24"/>
                      <w:szCs w:val="24"/>
                    </w:rPr>
                    <w:t>5,382</w:t>
                  </w:r>
                  <w:r w:rsidRPr="000971B9">
                    <w:rPr>
                      <w:rFonts w:ascii="Arial" w:hAnsi="Arial" w:cs="Arial"/>
                      <w:sz w:val="24"/>
                      <w:szCs w:val="24"/>
                    </w:rPr>
                    <w:t>m</w:t>
                  </w:r>
                </w:p>
              </w:tc>
              <w:tc>
                <w:tcPr>
                  <w:tcW w:w="1276" w:type="dxa"/>
                  <w:tcBorders>
                    <w:top w:val="single" w:sz="4" w:space="0" w:color="auto"/>
                    <w:left w:val="nil"/>
                    <w:bottom w:val="nil"/>
                    <w:right w:val="nil"/>
                  </w:tcBorders>
                </w:tcPr>
                <w:p w14:paraId="06572105" w14:textId="77777777" w:rsidR="00A45362" w:rsidRDefault="00A45362" w:rsidP="00A45362">
                  <w:pPr>
                    <w:jc w:val="right"/>
                  </w:pPr>
                  <w:r>
                    <w:rPr>
                      <w:rFonts w:ascii="Arial" w:hAnsi="Arial" w:cs="Arial"/>
                      <w:sz w:val="24"/>
                      <w:szCs w:val="24"/>
                    </w:rPr>
                    <w:t>+6.8</w:t>
                  </w:r>
                  <w:r w:rsidRPr="000971B9">
                    <w:rPr>
                      <w:rFonts w:ascii="Arial" w:hAnsi="Arial" w:cs="Arial"/>
                      <w:sz w:val="24"/>
                      <w:szCs w:val="24"/>
                    </w:rPr>
                    <w:t>%</w:t>
                  </w:r>
                </w:p>
              </w:tc>
              <w:tc>
                <w:tcPr>
                  <w:tcW w:w="1272" w:type="dxa"/>
                  <w:tcBorders>
                    <w:top w:val="single" w:sz="4" w:space="0" w:color="auto"/>
                    <w:left w:val="nil"/>
                    <w:bottom w:val="nil"/>
                    <w:right w:val="nil"/>
                  </w:tcBorders>
                </w:tcPr>
                <w:p w14:paraId="579A7829" w14:textId="77777777" w:rsidR="00A45362" w:rsidRDefault="00A45362" w:rsidP="00A45362">
                  <w:pPr>
                    <w:jc w:val="right"/>
                  </w:pPr>
                  <w:r w:rsidRPr="000971B9">
                    <w:rPr>
                      <w:rFonts w:ascii="Arial" w:hAnsi="Arial" w:cs="Arial"/>
                      <w:sz w:val="24"/>
                      <w:szCs w:val="24"/>
                    </w:rPr>
                    <w:t>+</w:t>
                  </w:r>
                  <w:r>
                    <w:rPr>
                      <w:rFonts w:ascii="Arial" w:hAnsi="Arial" w:cs="Arial"/>
                      <w:sz w:val="24"/>
                      <w:szCs w:val="24"/>
                    </w:rPr>
                    <w:t>2.7</w:t>
                  </w:r>
                  <w:r w:rsidRPr="000971B9">
                    <w:rPr>
                      <w:rFonts w:ascii="Arial" w:hAnsi="Arial" w:cs="Arial"/>
                      <w:sz w:val="24"/>
                      <w:szCs w:val="24"/>
                    </w:rPr>
                    <w:t>%</w:t>
                  </w:r>
                </w:p>
              </w:tc>
              <w:tc>
                <w:tcPr>
                  <w:tcW w:w="1277" w:type="dxa"/>
                  <w:tcBorders>
                    <w:top w:val="single" w:sz="4" w:space="0" w:color="auto"/>
                    <w:left w:val="nil"/>
                    <w:bottom w:val="nil"/>
                    <w:right w:val="nil"/>
                  </w:tcBorders>
                </w:tcPr>
                <w:p w14:paraId="5C009156" w14:textId="77777777" w:rsidR="00A45362" w:rsidRDefault="00A45362" w:rsidP="00A45362">
                  <w:pPr>
                    <w:jc w:val="right"/>
                  </w:pPr>
                  <w:r w:rsidRPr="000971B9">
                    <w:rPr>
                      <w:rFonts w:ascii="Arial" w:hAnsi="Arial" w:cs="Arial"/>
                      <w:sz w:val="24"/>
                      <w:szCs w:val="24"/>
                    </w:rPr>
                    <w:t>+</w:t>
                  </w:r>
                  <w:r>
                    <w:rPr>
                      <w:rFonts w:ascii="Arial" w:hAnsi="Arial" w:cs="Arial"/>
                      <w:sz w:val="24"/>
                      <w:szCs w:val="24"/>
                    </w:rPr>
                    <w:t>3.3</w:t>
                  </w:r>
                  <w:r w:rsidRPr="000971B9">
                    <w:rPr>
                      <w:rFonts w:ascii="Arial" w:hAnsi="Arial" w:cs="Arial"/>
                      <w:sz w:val="24"/>
                      <w:szCs w:val="24"/>
                    </w:rPr>
                    <w:t>%</w:t>
                  </w:r>
                </w:p>
              </w:tc>
            </w:tr>
            <w:tr w:rsidR="00A45362" w14:paraId="776062FE" w14:textId="77777777" w:rsidTr="00A45362">
              <w:tc>
                <w:tcPr>
                  <w:tcW w:w="3001" w:type="dxa"/>
                  <w:tcBorders>
                    <w:top w:val="nil"/>
                    <w:left w:val="nil"/>
                    <w:bottom w:val="nil"/>
                    <w:right w:val="nil"/>
                  </w:tcBorders>
                </w:tcPr>
                <w:p w14:paraId="2009EA5C" w14:textId="77777777" w:rsidR="00A45362" w:rsidRPr="00D570CA" w:rsidRDefault="00A45362" w:rsidP="00A45362">
                  <w:pPr>
                    <w:jc w:val="left"/>
                    <w:rPr>
                      <w:rFonts w:ascii="Arial" w:hAnsi="Arial" w:cs="Arial"/>
                      <w:sz w:val="24"/>
                      <w:szCs w:val="24"/>
                    </w:rPr>
                  </w:pPr>
                  <w:r w:rsidRPr="00D570CA">
                    <w:rPr>
                      <w:rFonts w:ascii="Arial" w:hAnsi="Arial" w:cs="Arial"/>
                      <w:sz w:val="24"/>
                      <w:szCs w:val="24"/>
                    </w:rPr>
                    <w:t>Retail profit</w:t>
                  </w:r>
                  <w:r>
                    <w:rPr>
                      <w:rFonts w:ascii="Arial" w:hAnsi="Arial" w:cs="Arial"/>
                      <w:sz w:val="24"/>
                      <w:szCs w:val="24"/>
                    </w:rPr>
                    <w:t>*</w:t>
                  </w:r>
                </w:p>
              </w:tc>
              <w:tc>
                <w:tcPr>
                  <w:tcW w:w="1545" w:type="dxa"/>
                  <w:tcBorders>
                    <w:top w:val="nil"/>
                    <w:left w:val="nil"/>
                    <w:bottom w:val="nil"/>
                    <w:right w:val="nil"/>
                  </w:tcBorders>
                </w:tcPr>
                <w:p w14:paraId="37707EAC" w14:textId="268BA701" w:rsidR="00A45362" w:rsidRDefault="00A45362" w:rsidP="00A45362">
                  <w:pPr>
                    <w:jc w:val="right"/>
                  </w:pPr>
                  <w:r w:rsidRPr="000F07BB">
                    <w:rPr>
                      <w:rFonts w:ascii="Arial" w:hAnsi="Arial" w:cs="Arial"/>
                      <w:sz w:val="24"/>
                      <w:szCs w:val="24"/>
                    </w:rPr>
                    <w:t>£464m</w:t>
                  </w:r>
                </w:p>
              </w:tc>
              <w:tc>
                <w:tcPr>
                  <w:tcW w:w="1150" w:type="dxa"/>
                  <w:tcBorders>
                    <w:top w:val="nil"/>
                    <w:left w:val="nil"/>
                    <w:bottom w:val="nil"/>
                    <w:right w:val="nil"/>
                  </w:tcBorders>
                </w:tcPr>
                <w:p w14:paraId="71B86F9D" w14:textId="77777777" w:rsidR="00A45362" w:rsidRDefault="00A45362" w:rsidP="00A45362">
                  <w:pPr>
                    <w:jc w:val="right"/>
                  </w:pPr>
                  <w:r w:rsidRPr="000971B9">
                    <w:rPr>
                      <w:rFonts w:ascii="Arial" w:hAnsi="Arial" w:cs="Arial"/>
                      <w:sz w:val="24"/>
                      <w:szCs w:val="24"/>
                    </w:rPr>
                    <w:t>£</w:t>
                  </w:r>
                  <w:r>
                    <w:rPr>
                      <w:rFonts w:ascii="Arial" w:hAnsi="Arial" w:cs="Arial"/>
                      <w:sz w:val="24"/>
                      <w:szCs w:val="24"/>
                    </w:rPr>
                    <w:t>410</w:t>
                  </w:r>
                  <w:r w:rsidRPr="000971B9">
                    <w:rPr>
                      <w:rFonts w:ascii="Arial" w:hAnsi="Arial" w:cs="Arial"/>
                      <w:sz w:val="24"/>
                      <w:szCs w:val="24"/>
                    </w:rPr>
                    <w:t>m</w:t>
                  </w:r>
                </w:p>
              </w:tc>
              <w:tc>
                <w:tcPr>
                  <w:tcW w:w="1276" w:type="dxa"/>
                  <w:tcBorders>
                    <w:top w:val="nil"/>
                    <w:left w:val="nil"/>
                    <w:bottom w:val="nil"/>
                    <w:right w:val="nil"/>
                  </w:tcBorders>
                </w:tcPr>
                <w:p w14:paraId="4B9EBFCA" w14:textId="46A7D4C3" w:rsidR="00A45362" w:rsidRDefault="00A45362">
                  <w:pPr>
                    <w:jc w:val="right"/>
                  </w:pPr>
                  <w:r>
                    <w:rPr>
                      <w:rFonts w:ascii="Arial" w:hAnsi="Arial" w:cs="Arial"/>
                      <w:sz w:val="24"/>
                      <w:szCs w:val="24"/>
                    </w:rPr>
                    <w:t>+13.</w:t>
                  </w:r>
                  <w:r w:rsidR="00FE784B">
                    <w:rPr>
                      <w:rFonts w:ascii="Arial" w:hAnsi="Arial" w:cs="Arial"/>
                      <w:sz w:val="24"/>
                      <w:szCs w:val="24"/>
                    </w:rPr>
                    <w:t>1</w:t>
                  </w:r>
                  <w:r w:rsidRPr="000971B9">
                    <w:rPr>
                      <w:rFonts w:ascii="Arial" w:hAnsi="Arial" w:cs="Arial"/>
                      <w:sz w:val="24"/>
                      <w:szCs w:val="24"/>
                    </w:rPr>
                    <w:t>%</w:t>
                  </w:r>
                </w:p>
              </w:tc>
              <w:tc>
                <w:tcPr>
                  <w:tcW w:w="1272" w:type="dxa"/>
                  <w:tcBorders>
                    <w:top w:val="nil"/>
                    <w:left w:val="nil"/>
                    <w:bottom w:val="nil"/>
                    <w:right w:val="nil"/>
                  </w:tcBorders>
                </w:tcPr>
                <w:p w14:paraId="243075A3" w14:textId="05A769D6" w:rsidR="00A45362" w:rsidRDefault="00A45362">
                  <w:pPr>
                    <w:jc w:val="right"/>
                  </w:pPr>
                  <w:r>
                    <w:rPr>
                      <w:rFonts w:ascii="Arial" w:hAnsi="Arial" w:cs="Arial"/>
                      <w:sz w:val="24"/>
                      <w:szCs w:val="24"/>
                    </w:rPr>
                    <w:t>+</w:t>
                  </w:r>
                  <w:r w:rsidR="00080DD2">
                    <w:rPr>
                      <w:rFonts w:ascii="Arial" w:hAnsi="Arial" w:cs="Arial"/>
                      <w:sz w:val="24"/>
                      <w:szCs w:val="24"/>
                    </w:rPr>
                    <w:t>8.7</w:t>
                  </w:r>
                  <w:r w:rsidRPr="000971B9">
                    <w:rPr>
                      <w:rFonts w:ascii="Arial" w:hAnsi="Arial" w:cs="Arial"/>
                      <w:sz w:val="24"/>
                      <w:szCs w:val="24"/>
                    </w:rPr>
                    <w:t>%</w:t>
                  </w:r>
                </w:p>
              </w:tc>
              <w:tc>
                <w:tcPr>
                  <w:tcW w:w="1277" w:type="dxa"/>
                  <w:tcBorders>
                    <w:top w:val="nil"/>
                    <w:left w:val="nil"/>
                    <w:bottom w:val="nil"/>
                    <w:right w:val="nil"/>
                  </w:tcBorders>
                </w:tcPr>
                <w:p w14:paraId="721DAC1A" w14:textId="77777777" w:rsidR="00A45362" w:rsidRDefault="00A45362" w:rsidP="00A45362">
                  <w:pPr>
                    <w:jc w:val="right"/>
                  </w:pPr>
                </w:p>
              </w:tc>
            </w:tr>
            <w:tr w:rsidR="00A45362" w14:paraId="568F95B3" w14:textId="77777777" w:rsidTr="00A45362">
              <w:tc>
                <w:tcPr>
                  <w:tcW w:w="3001" w:type="dxa"/>
                  <w:tcBorders>
                    <w:top w:val="nil"/>
                    <w:left w:val="nil"/>
                    <w:bottom w:val="nil"/>
                    <w:right w:val="nil"/>
                  </w:tcBorders>
                </w:tcPr>
                <w:p w14:paraId="47C2ACB9" w14:textId="77777777" w:rsidR="00A45362" w:rsidRPr="00D570CA" w:rsidRDefault="00A45362" w:rsidP="00A45362">
                  <w:pPr>
                    <w:jc w:val="left"/>
                    <w:rPr>
                      <w:rFonts w:ascii="Arial" w:hAnsi="Arial" w:cs="Arial"/>
                      <w:sz w:val="24"/>
                      <w:szCs w:val="24"/>
                    </w:rPr>
                  </w:pPr>
                  <w:r w:rsidRPr="00D570CA">
                    <w:rPr>
                      <w:rFonts w:ascii="Arial" w:hAnsi="Arial" w:cs="Arial"/>
                      <w:sz w:val="24"/>
                      <w:szCs w:val="24"/>
                    </w:rPr>
                    <w:t>Underlying</w:t>
                  </w:r>
                  <w:r>
                    <w:rPr>
                      <w:rFonts w:ascii="Arial" w:hAnsi="Arial" w:cs="Arial"/>
                      <w:sz w:val="24"/>
                      <w:szCs w:val="24"/>
                    </w:rPr>
                    <w:t>*</w:t>
                  </w:r>
                  <w:r w:rsidRPr="00D570CA">
                    <w:rPr>
                      <w:rFonts w:ascii="Arial" w:hAnsi="Arial" w:cs="Arial"/>
                      <w:sz w:val="24"/>
                      <w:szCs w:val="24"/>
                    </w:rPr>
                    <w:t xml:space="preserve"> pre-tax profit</w:t>
                  </w:r>
                </w:p>
              </w:tc>
              <w:tc>
                <w:tcPr>
                  <w:tcW w:w="1545" w:type="dxa"/>
                  <w:tcBorders>
                    <w:top w:val="nil"/>
                    <w:left w:val="nil"/>
                    <w:bottom w:val="nil"/>
                    <w:right w:val="nil"/>
                  </w:tcBorders>
                </w:tcPr>
                <w:p w14:paraId="12691831" w14:textId="50D07D51" w:rsidR="00A45362" w:rsidRDefault="00A45362">
                  <w:pPr>
                    <w:jc w:val="right"/>
                  </w:pPr>
                  <w:r w:rsidRPr="000971B9">
                    <w:rPr>
                      <w:rFonts w:ascii="Arial" w:hAnsi="Arial" w:cs="Arial"/>
                      <w:sz w:val="24"/>
                      <w:szCs w:val="24"/>
                    </w:rPr>
                    <w:t>£</w:t>
                  </w:r>
                  <w:r>
                    <w:rPr>
                      <w:rFonts w:ascii="Arial" w:hAnsi="Arial" w:cs="Arial"/>
                      <w:sz w:val="24"/>
                      <w:szCs w:val="24"/>
                    </w:rPr>
                    <w:t>436</w:t>
                  </w:r>
                  <w:r w:rsidRPr="000971B9">
                    <w:rPr>
                      <w:rFonts w:ascii="Arial" w:hAnsi="Arial" w:cs="Arial"/>
                      <w:sz w:val="24"/>
                      <w:szCs w:val="24"/>
                    </w:rPr>
                    <w:t>m</w:t>
                  </w:r>
                </w:p>
              </w:tc>
              <w:tc>
                <w:tcPr>
                  <w:tcW w:w="1150" w:type="dxa"/>
                  <w:tcBorders>
                    <w:top w:val="nil"/>
                    <w:left w:val="nil"/>
                    <w:bottom w:val="nil"/>
                    <w:right w:val="nil"/>
                  </w:tcBorders>
                </w:tcPr>
                <w:p w14:paraId="64D1C140" w14:textId="77777777" w:rsidR="00A45362" w:rsidRDefault="00A45362" w:rsidP="00A45362">
                  <w:pPr>
                    <w:jc w:val="right"/>
                  </w:pPr>
                  <w:r>
                    <w:rPr>
                      <w:rFonts w:ascii="Arial" w:hAnsi="Arial" w:cs="Arial"/>
                      <w:sz w:val="24"/>
                      <w:szCs w:val="24"/>
                    </w:rPr>
                    <w:t>£384</w:t>
                  </w:r>
                  <w:r w:rsidRPr="000971B9">
                    <w:rPr>
                      <w:rFonts w:ascii="Arial" w:hAnsi="Arial" w:cs="Arial"/>
                      <w:sz w:val="24"/>
                      <w:szCs w:val="24"/>
                    </w:rPr>
                    <w:t>m</w:t>
                  </w:r>
                </w:p>
              </w:tc>
              <w:tc>
                <w:tcPr>
                  <w:tcW w:w="1276" w:type="dxa"/>
                  <w:tcBorders>
                    <w:top w:val="nil"/>
                    <w:left w:val="nil"/>
                    <w:bottom w:val="nil"/>
                    <w:right w:val="nil"/>
                  </w:tcBorders>
                </w:tcPr>
                <w:p w14:paraId="5DEFAFF5" w14:textId="7CC14821" w:rsidR="00A45362" w:rsidRDefault="00A45362">
                  <w:pPr>
                    <w:jc w:val="right"/>
                  </w:pPr>
                  <w:r>
                    <w:rPr>
                      <w:rFonts w:ascii="Arial" w:hAnsi="Arial" w:cs="Arial"/>
                      <w:sz w:val="24"/>
                      <w:szCs w:val="24"/>
                    </w:rPr>
                    <w:t>+13.5</w:t>
                  </w:r>
                  <w:r w:rsidRPr="000971B9">
                    <w:rPr>
                      <w:rFonts w:ascii="Arial" w:hAnsi="Arial" w:cs="Arial"/>
                      <w:sz w:val="24"/>
                      <w:szCs w:val="24"/>
                    </w:rPr>
                    <w:t>%</w:t>
                  </w:r>
                </w:p>
              </w:tc>
              <w:tc>
                <w:tcPr>
                  <w:tcW w:w="1272" w:type="dxa"/>
                  <w:tcBorders>
                    <w:top w:val="nil"/>
                    <w:left w:val="nil"/>
                    <w:bottom w:val="nil"/>
                    <w:right w:val="nil"/>
                  </w:tcBorders>
                </w:tcPr>
                <w:p w14:paraId="4F3E1F92" w14:textId="77777777" w:rsidR="00A45362" w:rsidRDefault="00A45362" w:rsidP="00A45362">
                  <w:pPr>
                    <w:jc w:val="right"/>
                  </w:pPr>
                </w:p>
              </w:tc>
              <w:tc>
                <w:tcPr>
                  <w:tcW w:w="1277" w:type="dxa"/>
                  <w:tcBorders>
                    <w:top w:val="nil"/>
                    <w:left w:val="nil"/>
                    <w:bottom w:val="nil"/>
                    <w:right w:val="nil"/>
                  </w:tcBorders>
                </w:tcPr>
                <w:p w14:paraId="1D4E0E84" w14:textId="77777777" w:rsidR="00A45362" w:rsidRDefault="00A45362" w:rsidP="00A45362">
                  <w:pPr>
                    <w:jc w:val="right"/>
                  </w:pPr>
                </w:p>
              </w:tc>
            </w:tr>
            <w:tr w:rsidR="00A45362" w14:paraId="3EA84824" w14:textId="77777777" w:rsidTr="00A45362">
              <w:tc>
                <w:tcPr>
                  <w:tcW w:w="3001" w:type="dxa"/>
                  <w:tcBorders>
                    <w:top w:val="nil"/>
                    <w:left w:val="nil"/>
                    <w:bottom w:val="nil"/>
                    <w:right w:val="nil"/>
                  </w:tcBorders>
                </w:tcPr>
                <w:p w14:paraId="5D6ED342" w14:textId="6569FC6A" w:rsidR="00A45362" w:rsidRPr="00D570CA" w:rsidRDefault="00A45362" w:rsidP="00A45362">
                  <w:pPr>
                    <w:jc w:val="left"/>
                    <w:rPr>
                      <w:rFonts w:ascii="Arial" w:hAnsi="Arial" w:cs="Arial"/>
                      <w:sz w:val="24"/>
                      <w:szCs w:val="24"/>
                    </w:rPr>
                  </w:pPr>
                  <w:r w:rsidRPr="00D570CA">
                    <w:rPr>
                      <w:rFonts w:ascii="Arial" w:hAnsi="Arial" w:cs="Arial"/>
                      <w:sz w:val="24"/>
                      <w:szCs w:val="24"/>
                    </w:rPr>
                    <w:t>Adjusted</w:t>
                  </w:r>
                  <w:r>
                    <w:rPr>
                      <w:rFonts w:ascii="Arial" w:hAnsi="Arial" w:cs="Arial"/>
                      <w:sz w:val="24"/>
                      <w:szCs w:val="24"/>
                    </w:rPr>
                    <w:t>*</w:t>
                  </w:r>
                  <w:r w:rsidRPr="00D570CA">
                    <w:rPr>
                      <w:rFonts w:ascii="Arial" w:hAnsi="Arial" w:cs="Arial"/>
                      <w:sz w:val="24"/>
                      <w:szCs w:val="24"/>
                    </w:rPr>
                    <w:t xml:space="preserve"> pre-tax profit</w:t>
                  </w:r>
                </w:p>
              </w:tc>
              <w:tc>
                <w:tcPr>
                  <w:tcW w:w="1545" w:type="dxa"/>
                  <w:tcBorders>
                    <w:top w:val="nil"/>
                    <w:left w:val="nil"/>
                    <w:bottom w:val="nil"/>
                    <w:right w:val="nil"/>
                  </w:tcBorders>
                </w:tcPr>
                <w:p w14:paraId="7FAB8601" w14:textId="6F786CD7" w:rsidR="00A45362" w:rsidRDefault="00A45362">
                  <w:pPr>
                    <w:jc w:val="right"/>
                  </w:pPr>
                  <w:r w:rsidRPr="000971B9">
                    <w:rPr>
                      <w:rFonts w:ascii="Arial" w:hAnsi="Arial" w:cs="Arial"/>
                      <w:sz w:val="24"/>
                      <w:szCs w:val="24"/>
                    </w:rPr>
                    <w:t>£</w:t>
                  </w:r>
                  <w:r>
                    <w:rPr>
                      <w:rFonts w:ascii="Arial" w:hAnsi="Arial" w:cs="Arial"/>
                      <w:sz w:val="24"/>
                      <w:szCs w:val="24"/>
                    </w:rPr>
                    <w:t>418</w:t>
                  </w:r>
                  <w:r w:rsidRPr="000971B9">
                    <w:rPr>
                      <w:rFonts w:ascii="Arial" w:hAnsi="Arial" w:cs="Arial"/>
                      <w:sz w:val="24"/>
                      <w:szCs w:val="24"/>
                    </w:rPr>
                    <w:t>m</w:t>
                  </w:r>
                </w:p>
              </w:tc>
              <w:tc>
                <w:tcPr>
                  <w:tcW w:w="1150" w:type="dxa"/>
                  <w:tcBorders>
                    <w:top w:val="nil"/>
                    <w:left w:val="nil"/>
                    <w:bottom w:val="nil"/>
                    <w:right w:val="nil"/>
                  </w:tcBorders>
                </w:tcPr>
                <w:p w14:paraId="7240DE4E" w14:textId="77777777" w:rsidR="00A45362" w:rsidRDefault="00A45362" w:rsidP="00A45362">
                  <w:pPr>
                    <w:jc w:val="right"/>
                  </w:pPr>
                  <w:r w:rsidRPr="000971B9">
                    <w:rPr>
                      <w:rFonts w:ascii="Arial" w:hAnsi="Arial" w:cs="Arial"/>
                      <w:sz w:val="24"/>
                      <w:szCs w:val="24"/>
                    </w:rPr>
                    <w:t>£</w:t>
                  </w:r>
                  <w:r>
                    <w:rPr>
                      <w:rFonts w:ascii="Arial" w:hAnsi="Arial" w:cs="Arial"/>
                      <w:sz w:val="24"/>
                      <w:szCs w:val="24"/>
                    </w:rPr>
                    <w:t>384</w:t>
                  </w:r>
                  <w:r w:rsidRPr="000971B9">
                    <w:rPr>
                      <w:rFonts w:ascii="Arial" w:hAnsi="Arial" w:cs="Arial"/>
                      <w:sz w:val="24"/>
                      <w:szCs w:val="24"/>
                    </w:rPr>
                    <w:t>m</w:t>
                  </w:r>
                </w:p>
              </w:tc>
              <w:tc>
                <w:tcPr>
                  <w:tcW w:w="1276" w:type="dxa"/>
                  <w:tcBorders>
                    <w:top w:val="nil"/>
                    <w:left w:val="nil"/>
                    <w:bottom w:val="nil"/>
                    <w:right w:val="nil"/>
                  </w:tcBorders>
                </w:tcPr>
                <w:p w14:paraId="3D9D3F9C" w14:textId="1DD4D7B1" w:rsidR="00A45362" w:rsidRDefault="00A45362">
                  <w:pPr>
                    <w:jc w:val="right"/>
                  </w:pPr>
                  <w:r>
                    <w:rPr>
                      <w:rFonts w:ascii="Arial" w:hAnsi="Arial" w:cs="Arial"/>
                      <w:sz w:val="24"/>
                      <w:szCs w:val="24"/>
                    </w:rPr>
                    <w:t>+8.9</w:t>
                  </w:r>
                  <w:r w:rsidRPr="000971B9">
                    <w:rPr>
                      <w:rFonts w:ascii="Arial" w:hAnsi="Arial" w:cs="Arial"/>
                      <w:sz w:val="24"/>
                      <w:szCs w:val="24"/>
                    </w:rPr>
                    <w:t>%</w:t>
                  </w:r>
                </w:p>
              </w:tc>
              <w:tc>
                <w:tcPr>
                  <w:tcW w:w="1272" w:type="dxa"/>
                  <w:tcBorders>
                    <w:top w:val="nil"/>
                    <w:left w:val="nil"/>
                    <w:bottom w:val="nil"/>
                    <w:right w:val="nil"/>
                  </w:tcBorders>
                </w:tcPr>
                <w:p w14:paraId="549E2574" w14:textId="77777777" w:rsidR="00A45362" w:rsidRDefault="00A45362" w:rsidP="00A45362"/>
              </w:tc>
              <w:tc>
                <w:tcPr>
                  <w:tcW w:w="1277" w:type="dxa"/>
                  <w:tcBorders>
                    <w:top w:val="nil"/>
                    <w:left w:val="nil"/>
                    <w:bottom w:val="nil"/>
                    <w:right w:val="nil"/>
                  </w:tcBorders>
                </w:tcPr>
                <w:p w14:paraId="520FAE8D" w14:textId="77777777" w:rsidR="00A45362" w:rsidRDefault="00A45362" w:rsidP="00A45362"/>
              </w:tc>
            </w:tr>
            <w:tr w:rsidR="00A45362" w14:paraId="4BBC3009" w14:textId="77777777" w:rsidTr="00A45362">
              <w:tc>
                <w:tcPr>
                  <w:tcW w:w="3001" w:type="dxa"/>
                  <w:tcBorders>
                    <w:top w:val="nil"/>
                    <w:left w:val="nil"/>
                    <w:bottom w:val="nil"/>
                    <w:right w:val="nil"/>
                  </w:tcBorders>
                </w:tcPr>
                <w:p w14:paraId="58E45CA7" w14:textId="77777777" w:rsidR="00A45362" w:rsidRPr="00D570CA" w:rsidRDefault="00A45362" w:rsidP="00A45362">
                  <w:pPr>
                    <w:jc w:val="left"/>
                    <w:rPr>
                      <w:rFonts w:ascii="Arial" w:hAnsi="Arial" w:cs="Arial"/>
                      <w:sz w:val="24"/>
                      <w:szCs w:val="24"/>
                    </w:rPr>
                  </w:pPr>
                  <w:r w:rsidRPr="00D570CA">
                    <w:rPr>
                      <w:rFonts w:ascii="Arial" w:hAnsi="Arial" w:cs="Arial"/>
                      <w:sz w:val="24"/>
                      <w:szCs w:val="24"/>
                    </w:rPr>
                    <w:t>Underlying basic EPS</w:t>
                  </w:r>
                </w:p>
              </w:tc>
              <w:tc>
                <w:tcPr>
                  <w:tcW w:w="1545" w:type="dxa"/>
                  <w:tcBorders>
                    <w:top w:val="nil"/>
                    <w:left w:val="nil"/>
                    <w:bottom w:val="nil"/>
                    <w:right w:val="nil"/>
                  </w:tcBorders>
                </w:tcPr>
                <w:p w14:paraId="4BC348C3" w14:textId="679C2113" w:rsidR="00A45362" w:rsidRDefault="00A45362" w:rsidP="00A45362">
                  <w:pPr>
                    <w:jc w:val="right"/>
                  </w:pPr>
                  <w:r>
                    <w:rPr>
                      <w:rFonts w:ascii="Arial" w:hAnsi="Arial" w:cs="Arial"/>
                      <w:sz w:val="24"/>
                      <w:szCs w:val="24"/>
                    </w:rPr>
                    <w:t>14.2p</w:t>
                  </w:r>
                </w:p>
              </w:tc>
              <w:tc>
                <w:tcPr>
                  <w:tcW w:w="1150" w:type="dxa"/>
                  <w:tcBorders>
                    <w:top w:val="nil"/>
                    <w:left w:val="nil"/>
                    <w:bottom w:val="nil"/>
                    <w:right w:val="nil"/>
                  </w:tcBorders>
                </w:tcPr>
                <w:p w14:paraId="1DCB2F5E" w14:textId="77777777" w:rsidR="00A45362" w:rsidRDefault="00A45362" w:rsidP="00A45362">
                  <w:pPr>
                    <w:jc w:val="right"/>
                  </w:pPr>
                  <w:r>
                    <w:rPr>
                      <w:rFonts w:ascii="Arial" w:hAnsi="Arial" w:cs="Arial"/>
                      <w:sz w:val="24"/>
                      <w:szCs w:val="24"/>
                    </w:rPr>
                    <w:t>12.3p</w:t>
                  </w:r>
                </w:p>
              </w:tc>
              <w:tc>
                <w:tcPr>
                  <w:tcW w:w="1276" w:type="dxa"/>
                  <w:tcBorders>
                    <w:top w:val="nil"/>
                    <w:left w:val="nil"/>
                    <w:bottom w:val="nil"/>
                    <w:right w:val="nil"/>
                  </w:tcBorders>
                </w:tcPr>
                <w:p w14:paraId="16E4EA6A" w14:textId="2723AEB8" w:rsidR="00A45362" w:rsidRDefault="00A45362">
                  <w:pPr>
                    <w:jc w:val="right"/>
                  </w:pPr>
                  <w:r>
                    <w:rPr>
                      <w:rFonts w:ascii="Arial" w:hAnsi="Arial" w:cs="Arial"/>
                      <w:sz w:val="24"/>
                      <w:szCs w:val="24"/>
                    </w:rPr>
                    <w:t>+15.4</w:t>
                  </w:r>
                  <w:r w:rsidRPr="000971B9">
                    <w:rPr>
                      <w:rFonts w:ascii="Arial" w:hAnsi="Arial" w:cs="Arial"/>
                      <w:sz w:val="24"/>
                      <w:szCs w:val="24"/>
                    </w:rPr>
                    <w:t>%</w:t>
                  </w:r>
                </w:p>
              </w:tc>
              <w:tc>
                <w:tcPr>
                  <w:tcW w:w="1272" w:type="dxa"/>
                  <w:tcBorders>
                    <w:top w:val="nil"/>
                    <w:left w:val="nil"/>
                    <w:bottom w:val="nil"/>
                    <w:right w:val="nil"/>
                  </w:tcBorders>
                </w:tcPr>
                <w:p w14:paraId="6701A000" w14:textId="77777777" w:rsidR="00A45362" w:rsidRDefault="00A45362" w:rsidP="00A45362"/>
              </w:tc>
              <w:tc>
                <w:tcPr>
                  <w:tcW w:w="1277" w:type="dxa"/>
                  <w:tcBorders>
                    <w:top w:val="nil"/>
                    <w:left w:val="nil"/>
                    <w:bottom w:val="nil"/>
                    <w:right w:val="nil"/>
                  </w:tcBorders>
                </w:tcPr>
                <w:p w14:paraId="44640262" w14:textId="77777777" w:rsidR="00A45362" w:rsidRDefault="00A45362" w:rsidP="00A45362"/>
              </w:tc>
            </w:tr>
            <w:tr w:rsidR="00A45362" w14:paraId="09D5A198" w14:textId="77777777" w:rsidTr="00A45362">
              <w:tc>
                <w:tcPr>
                  <w:tcW w:w="3001" w:type="dxa"/>
                  <w:tcBorders>
                    <w:top w:val="nil"/>
                    <w:left w:val="nil"/>
                    <w:bottom w:val="nil"/>
                    <w:right w:val="nil"/>
                  </w:tcBorders>
                </w:tcPr>
                <w:p w14:paraId="0D8B9939" w14:textId="2E056E99" w:rsidR="00A45362" w:rsidRPr="00D570CA" w:rsidRDefault="00A45362" w:rsidP="00A45362">
                  <w:pPr>
                    <w:jc w:val="left"/>
                    <w:rPr>
                      <w:rFonts w:ascii="Arial" w:hAnsi="Arial" w:cs="Arial"/>
                      <w:sz w:val="24"/>
                      <w:szCs w:val="24"/>
                    </w:rPr>
                  </w:pPr>
                  <w:r w:rsidRPr="00D570CA">
                    <w:rPr>
                      <w:rFonts w:ascii="Arial" w:hAnsi="Arial" w:cs="Arial"/>
                      <w:sz w:val="24"/>
                      <w:szCs w:val="24"/>
                    </w:rPr>
                    <w:t>Adjusted basic EPS</w:t>
                  </w:r>
                </w:p>
              </w:tc>
              <w:tc>
                <w:tcPr>
                  <w:tcW w:w="1545" w:type="dxa"/>
                  <w:tcBorders>
                    <w:top w:val="nil"/>
                    <w:left w:val="nil"/>
                    <w:bottom w:val="nil"/>
                    <w:right w:val="nil"/>
                  </w:tcBorders>
                </w:tcPr>
                <w:p w14:paraId="3F81CBEA" w14:textId="01E57612" w:rsidR="00A45362" w:rsidRDefault="00A45362">
                  <w:pPr>
                    <w:jc w:val="right"/>
                  </w:pPr>
                  <w:r>
                    <w:rPr>
                      <w:rFonts w:ascii="Arial" w:hAnsi="Arial" w:cs="Arial"/>
                      <w:sz w:val="24"/>
                      <w:szCs w:val="24"/>
                    </w:rPr>
                    <w:t>13.6p</w:t>
                  </w:r>
                </w:p>
              </w:tc>
              <w:tc>
                <w:tcPr>
                  <w:tcW w:w="1150" w:type="dxa"/>
                  <w:tcBorders>
                    <w:top w:val="nil"/>
                    <w:left w:val="nil"/>
                    <w:bottom w:val="nil"/>
                    <w:right w:val="nil"/>
                  </w:tcBorders>
                </w:tcPr>
                <w:p w14:paraId="7178B04A" w14:textId="77777777" w:rsidR="00A45362" w:rsidRDefault="00A45362" w:rsidP="00A45362">
                  <w:pPr>
                    <w:jc w:val="right"/>
                  </w:pPr>
                  <w:r>
                    <w:rPr>
                      <w:rFonts w:ascii="Arial" w:hAnsi="Arial" w:cs="Arial"/>
                      <w:sz w:val="24"/>
                      <w:szCs w:val="24"/>
                    </w:rPr>
                    <w:t>12.3p</w:t>
                  </w:r>
                </w:p>
              </w:tc>
              <w:tc>
                <w:tcPr>
                  <w:tcW w:w="1276" w:type="dxa"/>
                  <w:tcBorders>
                    <w:top w:val="nil"/>
                    <w:left w:val="nil"/>
                    <w:bottom w:val="nil"/>
                    <w:right w:val="nil"/>
                  </w:tcBorders>
                </w:tcPr>
                <w:p w14:paraId="3E0FF062" w14:textId="70BC75FE" w:rsidR="00A45362" w:rsidRDefault="00A45362">
                  <w:pPr>
                    <w:jc w:val="right"/>
                  </w:pPr>
                  <w:r>
                    <w:rPr>
                      <w:rFonts w:ascii="Arial" w:hAnsi="Arial" w:cs="Arial"/>
                      <w:sz w:val="24"/>
                      <w:szCs w:val="24"/>
                    </w:rPr>
                    <w:t>+10.6</w:t>
                  </w:r>
                  <w:r w:rsidRPr="000971B9">
                    <w:rPr>
                      <w:rFonts w:ascii="Arial" w:hAnsi="Arial" w:cs="Arial"/>
                      <w:sz w:val="24"/>
                      <w:szCs w:val="24"/>
                    </w:rPr>
                    <w:t>%</w:t>
                  </w:r>
                </w:p>
              </w:tc>
              <w:tc>
                <w:tcPr>
                  <w:tcW w:w="1272" w:type="dxa"/>
                  <w:tcBorders>
                    <w:top w:val="nil"/>
                    <w:left w:val="nil"/>
                    <w:bottom w:val="nil"/>
                    <w:right w:val="nil"/>
                  </w:tcBorders>
                </w:tcPr>
                <w:p w14:paraId="0485AFDB" w14:textId="77777777" w:rsidR="00A45362" w:rsidRDefault="00A45362" w:rsidP="00A45362"/>
              </w:tc>
              <w:tc>
                <w:tcPr>
                  <w:tcW w:w="1277" w:type="dxa"/>
                  <w:tcBorders>
                    <w:top w:val="nil"/>
                    <w:left w:val="nil"/>
                    <w:bottom w:val="nil"/>
                    <w:right w:val="nil"/>
                  </w:tcBorders>
                </w:tcPr>
                <w:p w14:paraId="17B80647" w14:textId="77777777" w:rsidR="00A45362" w:rsidRDefault="00A45362" w:rsidP="00A45362"/>
              </w:tc>
            </w:tr>
            <w:tr w:rsidR="00A45362" w14:paraId="1139BC01" w14:textId="77777777" w:rsidTr="00925EFB">
              <w:tc>
                <w:tcPr>
                  <w:tcW w:w="3001" w:type="dxa"/>
                  <w:tcBorders>
                    <w:top w:val="nil"/>
                    <w:left w:val="nil"/>
                    <w:bottom w:val="nil"/>
                    <w:right w:val="nil"/>
                  </w:tcBorders>
                </w:tcPr>
                <w:p w14:paraId="63A508DA" w14:textId="2170BDF3" w:rsidR="00A45362" w:rsidRPr="00D570CA" w:rsidRDefault="008E6D54" w:rsidP="00A45362">
                  <w:pPr>
                    <w:jc w:val="left"/>
                    <w:rPr>
                      <w:rFonts w:ascii="Arial" w:hAnsi="Arial" w:cs="Arial"/>
                      <w:sz w:val="24"/>
                      <w:szCs w:val="24"/>
                    </w:rPr>
                  </w:pPr>
                  <w:r>
                    <w:rPr>
                      <w:rFonts w:ascii="Arial" w:hAnsi="Arial" w:cs="Arial"/>
                      <w:sz w:val="24"/>
                      <w:szCs w:val="24"/>
                    </w:rPr>
                    <w:t>Half year</w:t>
                  </w:r>
                  <w:r w:rsidR="00A45362" w:rsidRPr="00D570CA">
                    <w:rPr>
                      <w:rFonts w:ascii="Arial" w:hAnsi="Arial" w:cs="Arial"/>
                      <w:sz w:val="24"/>
                      <w:szCs w:val="24"/>
                    </w:rPr>
                    <w:t xml:space="preserve"> dividend</w:t>
                  </w:r>
                </w:p>
              </w:tc>
              <w:tc>
                <w:tcPr>
                  <w:tcW w:w="1545" w:type="dxa"/>
                  <w:tcBorders>
                    <w:top w:val="nil"/>
                    <w:left w:val="nil"/>
                    <w:bottom w:val="nil"/>
                    <w:right w:val="nil"/>
                  </w:tcBorders>
                </w:tcPr>
                <w:p w14:paraId="4D517BB8" w14:textId="2ABF4A6A" w:rsidR="00A45362" w:rsidRDefault="002C020D" w:rsidP="00441535">
                  <w:pPr>
                    <w:jc w:val="right"/>
                  </w:pPr>
                  <w:r>
                    <w:rPr>
                      <w:rFonts w:ascii="Arial" w:hAnsi="Arial" w:cs="Arial"/>
                      <w:sz w:val="24"/>
                      <w:szCs w:val="24"/>
                    </w:rPr>
                    <w:t>3.</w:t>
                  </w:r>
                  <w:r w:rsidR="00441535">
                    <w:rPr>
                      <w:rFonts w:ascii="Arial" w:hAnsi="Arial" w:cs="Arial"/>
                      <w:sz w:val="24"/>
                      <w:szCs w:val="24"/>
                    </w:rPr>
                    <w:t>25</w:t>
                  </w:r>
                  <w:r w:rsidR="00441535" w:rsidRPr="000971B9">
                    <w:rPr>
                      <w:rFonts w:ascii="Arial" w:hAnsi="Arial" w:cs="Arial"/>
                      <w:sz w:val="24"/>
                      <w:szCs w:val="24"/>
                    </w:rPr>
                    <w:t>p</w:t>
                  </w:r>
                </w:p>
              </w:tc>
              <w:tc>
                <w:tcPr>
                  <w:tcW w:w="1150" w:type="dxa"/>
                  <w:tcBorders>
                    <w:top w:val="nil"/>
                    <w:left w:val="nil"/>
                    <w:bottom w:val="nil"/>
                    <w:right w:val="nil"/>
                  </w:tcBorders>
                </w:tcPr>
                <w:p w14:paraId="4A042A98" w14:textId="77777777" w:rsidR="00A45362" w:rsidRDefault="00A45362" w:rsidP="00A45362">
                  <w:pPr>
                    <w:jc w:val="right"/>
                  </w:pPr>
                  <w:r>
                    <w:rPr>
                      <w:rFonts w:ascii="Arial" w:hAnsi="Arial" w:cs="Arial"/>
                      <w:sz w:val="24"/>
                      <w:szCs w:val="24"/>
                    </w:rPr>
                    <w:t>3.18</w:t>
                  </w:r>
                  <w:r w:rsidRPr="000971B9">
                    <w:rPr>
                      <w:rFonts w:ascii="Arial" w:hAnsi="Arial" w:cs="Arial"/>
                      <w:sz w:val="24"/>
                      <w:szCs w:val="24"/>
                    </w:rPr>
                    <w:t>p</w:t>
                  </w:r>
                </w:p>
              </w:tc>
              <w:tc>
                <w:tcPr>
                  <w:tcW w:w="1276" w:type="dxa"/>
                  <w:tcBorders>
                    <w:top w:val="nil"/>
                    <w:left w:val="nil"/>
                    <w:bottom w:val="nil"/>
                    <w:right w:val="nil"/>
                  </w:tcBorders>
                </w:tcPr>
                <w:p w14:paraId="1CE2E083" w14:textId="07967B36" w:rsidR="00A45362" w:rsidRDefault="00A45362">
                  <w:pPr>
                    <w:jc w:val="right"/>
                  </w:pPr>
                  <w:r w:rsidRPr="000971B9">
                    <w:rPr>
                      <w:rFonts w:ascii="Arial" w:hAnsi="Arial" w:cs="Arial"/>
                      <w:sz w:val="24"/>
                      <w:szCs w:val="24"/>
                    </w:rPr>
                    <w:t>+</w:t>
                  </w:r>
                  <w:r w:rsidR="00441535">
                    <w:rPr>
                      <w:rFonts w:ascii="Arial" w:hAnsi="Arial" w:cs="Arial"/>
                      <w:sz w:val="24"/>
                      <w:szCs w:val="24"/>
                    </w:rPr>
                    <w:t>2.2</w:t>
                  </w:r>
                  <w:r w:rsidRPr="000971B9">
                    <w:rPr>
                      <w:rFonts w:ascii="Arial" w:hAnsi="Arial" w:cs="Arial"/>
                      <w:sz w:val="24"/>
                      <w:szCs w:val="24"/>
                    </w:rPr>
                    <w:t>%</w:t>
                  </w:r>
                </w:p>
              </w:tc>
              <w:tc>
                <w:tcPr>
                  <w:tcW w:w="1272" w:type="dxa"/>
                  <w:tcBorders>
                    <w:top w:val="nil"/>
                    <w:left w:val="nil"/>
                    <w:bottom w:val="nil"/>
                    <w:right w:val="nil"/>
                  </w:tcBorders>
                </w:tcPr>
                <w:p w14:paraId="46CBCC85" w14:textId="77777777" w:rsidR="00A45362" w:rsidRDefault="00A45362" w:rsidP="00A45362"/>
              </w:tc>
              <w:tc>
                <w:tcPr>
                  <w:tcW w:w="1277" w:type="dxa"/>
                  <w:tcBorders>
                    <w:top w:val="nil"/>
                    <w:left w:val="nil"/>
                    <w:bottom w:val="nil"/>
                    <w:right w:val="nil"/>
                  </w:tcBorders>
                </w:tcPr>
                <w:p w14:paraId="1371D65F" w14:textId="77777777" w:rsidR="00A45362" w:rsidRDefault="00A45362" w:rsidP="00A45362"/>
              </w:tc>
            </w:tr>
            <w:tr w:rsidR="00A45362" w14:paraId="684FD6C7" w14:textId="77777777" w:rsidTr="00925EFB">
              <w:tc>
                <w:tcPr>
                  <w:tcW w:w="3001" w:type="dxa"/>
                  <w:tcBorders>
                    <w:top w:val="nil"/>
                    <w:left w:val="nil"/>
                    <w:bottom w:val="single" w:sz="4" w:space="0" w:color="auto"/>
                    <w:right w:val="nil"/>
                  </w:tcBorders>
                </w:tcPr>
                <w:p w14:paraId="6EEE1C65" w14:textId="77777777" w:rsidR="00A45362" w:rsidRPr="00D570CA" w:rsidRDefault="00A45362" w:rsidP="00A45362">
                  <w:pPr>
                    <w:jc w:val="left"/>
                    <w:rPr>
                      <w:rFonts w:ascii="Arial" w:hAnsi="Arial" w:cs="Arial"/>
                      <w:sz w:val="24"/>
                      <w:szCs w:val="24"/>
                    </w:rPr>
                  </w:pPr>
                  <w:r w:rsidRPr="00D570CA">
                    <w:rPr>
                      <w:rFonts w:ascii="Arial" w:hAnsi="Arial" w:cs="Arial"/>
                      <w:sz w:val="24"/>
                      <w:szCs w:val="24"/>
                    </w:rPr>
                    <w:t>Net cash*</w:t>
                  </w:r>
                </w:p>
              </w:tc>
              <w:tc>
                <w:tcPr>
                  <w:tcW w:w="1545" w:type="dxa"/>
                  <w:tcBorders>
                    <w:top w:val="nil"/>
                    <w:left w:val="nil"/>
                    <w:bottom w:val="single" w:sz="4" w:space="0" w:color="auto"/>
                    <w:right w:val="nil"/>
                  </w:tcBorders>
                </w:tcPr>
                <w:p w14:paraId="3FC44B13" w14:textId="26117626" w:rsidR="00A45362" w:rsidRDefault="00A45362">
                  <w:pPr>
                    <w:jc w:val="right"/>
                  </w:pPr>
                  <w:r>
                    <w:rPr>
                      <w:rFonts w:ascii="Arial" w:hAnsi="Arial" w:cs="Arial"/>
                      <w:sz w:val="24"/>
                      <w:szCs w:val="24"/>
                    </w:rPr>
                    <w:t>£898</w:t>
                  </w:r>
                  <w:r w:rsidRPr="000971B9">
                    <w:rPr>
                      <w:rFonts w:ascii="Arial" w:hAnsi="Arial" w:cs="Arial"/>
                      <w:sz w:val="24"/>
                      <w:szCs w:val="24"/>
                    </w:rPr>
                    <w:t>m</w:t>
                  </w:r>
                </w:p>
              </w:tc>
              <w:tc>
                <w:tcPr>
                  <w:tcW w:w="1150" w:type="dxa"/>
                  <w:tcBorders>
                    <w:top w:val="nil"/>
                    <w:left w:val="nil"/>
                    <w:bottom w:val="single" w:sz="4" w:space="0" w:color="auto"/>
                    <w:right w:val="nil"/>
                  </w:tcBorders>
                </w:tcPr>
                <w:p w14:paraId="6880DF75" w14:textId="77777777" w:rsidR="00A45362" w:rsidRDefault="00A45362" w:rsidP="00A45362">
                  <w:pPr>
                    <w:jc w:val="right"/>
                  </w:pPr>
                  <w:r>
                    <w:rPr>
                      <w:rFonts w:ascii="Arial" w:hAnsi="Arial" w:cs="Arial"/>
                      <w:sz w:val="24"/>
                      <w:szCs w:val="24"/>
                    </w:rPr>
                    <w:t>£435</w:t>
                  </w:r>
                  <w:r w:rsidRPr="000971B9">
                    <w:rPr>
                      <w:rFonts w:ascii="Arial" w:hAnsi="Arial" w:cs="Arial"/>
                      <w:sz w:val="24"/>
                      <w:szCs w:val="24"/>
                    </w:rPr>
                    <w:t>m</w:t>
                  </w:r>
                </w:p>
              </w:tc>
              <w:tc>
                <w:tcPr>
                  <w:tcW w:w="1276" w:type="dxa"/>
                  <w:tcBorders>
                    <w:top w:val="nil"/>
                    <w:left w:val="nil"/>
                    <w:bottom w:val="single" w:sz="4" w:space="0" w:color="auto"/>
                    <w:right w:val="nil"/>
                  </w:tcBorders>
                </w:tcPr>
                <w:p w14:paraId="33097740" w14:textId="77777777" w:rsidR="00A45362" w:rsidRDefault="00A45362" w:rsidP="00A45362">
                  <w:pPr>
                    <w:jc w:val="right"/>
                  </w:pPr>
                  <w:r w:rsidRPr="000971B9">
                    <w:rPr>
                      <w:rFonts w:ascii="Arial" w:hAnsi="Arial" w:cs="Arial"/>
                      <w:sz w:val="24"/>
                      <w:szCs w:val="24"/>
                    </w:rPr>
                    <w:t>n/a</w:t>
                  </w:r>
                </w:p>
              </w:tc>
              <w:tc>
                <w:tcPr>
                  <w:tcW w:w="1272" w:type="dxa"/>
                  <w:tcBorders>
                    <w:top w:val="nil"/>
                    <w:left w:val="nil"/>
                    <w:bottom w:val="single" w:sz="4" w:space="0" w:color="auto"/>
                    <w:right w:val="nil"/>
                  </w:tcBorders>
                </w:tcPr>
                <w:p w14:paraId="0D30B3BC" w14:textId="77777777" w:rsidR="00A45362" w:rsidRDefault="00A45362" w:rsidP="00A45362"/>
              </w:tc>
              <w:tc>
                <w:tcPr>
                  <w:tcW w:w="1277" w:type="dxa"/>
                  <w:tcBorders>
                    <w:top w:val="nil"/>
                    <w:left w:val="nil"/>
                    <w:bottom w:val="single" w:sz="4" w:space="0" w:color="auto"/>
                    <w:right w:val="nil"/>
                  </w:tcBorders>
                </w:tcPr>
                <w:p w14:paraId="206BF2D7" w14:textId="77777777" w:rsidR="00A45362" w:rsidRDefault="00A45362" w:rsidP="00A45362"/>
              </w:tc>
            </w:tr>
            <w:tr w:rsidR="00A45362" w14:paraId="792CD2C0" w14:textId="77777777" w:rsidTr="00925EFB">
              <w:trPr>
                <w:hidden/>
              </w:trPr>
              <w:tc>
                <w:tcPr>
                  <w:tcW w:w="9521" w:type="dxa"/>
                  <w:gridSpan w:val="6"/>
                  <w:tcBorders>
                    <w:top w:val="single" w:sz="4" w:space="0" w:color="auto"/>
                    <w:left w:val="nil"/>
                    <w:bottom w:val="nil"/>
                    <w:right w:val="nil"/>
                  </w:tcBorders>
                </w:tcPr>
                <w:p w14:paraId="6FAA3DCC" w14:textId="615C2012" w:rsidR="00767D8A" w:rsidRDefault="00A45362" w:rsidP="00925EFB">
                  <w:pPr>
                    <w:jc w:val="left"/>
                    <w:rPr>
                      <w:rFonts w:ascii="Arial" w:hAnsi="Arial" w:cs="Arial"/>
                      <w:i/>
                      <w:sz w:val="18"/>
                      <w:szCs w:val="18"/>
                    </w:rPr>
                  </w:pPr>
                  <w:r w:rsidRPr="00E2024A">
                    <w:rPr>
                      <w:rFonts w:ascii="Arial" w:hAnsi="Arial" w:cs="Arial"/>
                      <w:i/>
                      <w:vanish/>
                      <w:sz w:val="18"/>
                      <w:szCs w:val="18"/>
                    </w:rPr>
                    <w:t xml:space="preserve"> </w:t>
                  </w:r>
                  <w:r w:rsidRPr="00E2024A">
                    <w:rPr>
                      <w:rFonts w:ascii="Arial" w:hAnsi="Arial" w:cs="Arial"/>
                      <w:i/>
                      <w:vanish/>
                      <w:sz w:val="18"/>
                      <w:szCs w:val="18"/>
                    </w:rPr>
                    <w:cr/>
                    <w:t xml:space="preserve">August 2014ed 1ax profit []ies, </w:t>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vanish/>
                      <w:sz w:val="18"/>
                      <w:szCs w:val="18"/>
                    </w:rPr>
                    <w:pgNum/>
                  </w:r>
                  <w:r w:rsidRPr="00E2024A">
                    <w:rPr>
                      <w:rFonts w:ascii="Arial" w:hAnsi="Arial" w:cs="Arial"/>
                      <w:i/>
                      <w:sz w:val="18"/>
                      <w:szCs w:val="18"/>
                    </w:rPr>
                    <w:t xml:space="preserve">*Throughout this release ‘*’ indicates first instance of </w:t>
                  </w:r>
                  <w:r>
                    <w:rPr>
                      <w:rFonts w:ascii="Arial" w:hAnsi="Arial" w:cs="Arial"/>
                      <w:i/>
                      <w:sz w:val="18"/>
                      <w:szCs w:val="18"/>
                    </w:rPr>
                    <w:t>a term defined</w:t>
                  </w:r>
                  <w:r w:rsidR="00C70501">
                    <w:rPr>
                      <w:rFonts w:ascii="Arial" w:hAnsi="Arial" w:cs="Arial"/>
                      <w:i/>
                      <w:sz w:val="18"/>
                      <w:szCs w:val="18"/>
                    </w:rPr>
                    <w:t xml:space="preserve"> and explained</w:t>
                  </w:r>
                  <w:r>
                    <w:rPr>
                      <w:rFonts w:ascii="Arial" w:hAnsi="Arial" w:cs="Arial"/>
                      <w:i/>
                      <w:sz w:val="18"/>
                      <w:szCs w:val="18"/>
                    </w:rPr>
                    <w:t xml:space="preserve"> in the Glossary (section 5)</w:t>
                  </w:r>
                  <w:r w:rsidR="00FE784B">
                    <w:rPr>
                      <w:rFonts w:ascii="Arial" w:hAnsi="Arial" w:cs="Arial"/>
                      <w:i/>
                      <w:sz w:val="18"/>
                      <w:szCs w:val="18"/>
                    </w:rPr>
                    <w:t>.</w:t>
                  </w:r>
                </w:p>
                <w:p w14:paraId="54C3DE1D" w14:textId="6EA866BE" w:rsidR="00C70501" w:rsidRPr="00925EFB" w:rsidRDefault="00C70501" w:rsidP="00925EFB">
                  <w:pPr>
                    <w:jc w:val="left"/>
                    <w:rPr>
                      <w:rFonts w:ascii="Arial" w:hAnsi="Arial" w:cs="Arial"/>
                      <w:i/>
                      <w:sz w:val="18"/>
                      <w:szCs w:val="18"/>
                    </w:rPr>
                  </w:pPr>
                  <w:r w:rsidRPr="0020209B">
                    <w:rPr>
                      <w:rFonts w:ascii="Arial" w:hAnsi="Arial" w:cs="Arial"/>
                      <w:i/>
                      <w:sz w:val="18"/>
                      <w:szCs w:val="18"/>
                    </w:rPr>
                    <w:t>A reconciliation to statutory amounts is set out in the Financial Review (Section 4).</w:t>
                  </w:r>
                </w:p>
              </w:tc>
            </w:tr>
            <w:tr w:rsidR="00A45362" w14:paraId="7C3226F4" w14:textId="77777777" w:rsidTr="00A45362">
              <w:tc>
                <w:tcPr>
                  <w:tcW w:w="9521" w:type="dxa"/>
                  <w:gridSpan w:val="6"/>
                  <w:tcBorders>
                    <w:top w:val="nil"/>
                    <w:left w:val="nil"/>
                    <w:bottom w:val="nil"/>
                    <w:right w:val="nil"/>
                  </w:tcBorders>
                </w:tcPr>
                <w:p w14:paraId="479E163F" w14:textId="2918DDDA" w:rsidR="00A45362" w:rsidRDefault="00A45362" w:rsidP="00A45362">
                  <w:pPr>
                    <w:pStyle w:val="ListParagraph"/>
                    <w:numPr>
                      <w:ilvl w:val="0"/>
                      <w:numId w:val="28"/>
                    </w:numPr>
                    <w:jc w:val="left"/>
                    <w:rPr>
                      <w:rFonts w:ascii="Arial" w:hAnsi="Arial" w:cs="Arial"/>
                      <w:bCs/>
                      <w:sz w:val="24"/>
                      <w:szCs w:val="24"/>
                    </w:rPr>
                  </w:pPr>
                  <w:r w:rsidRPr="001545E7">
                    <w:rPr>
                      <w:rFonts w:ascii="Arial" w:hAnsi="Arial" w:cs="Arial"/>
                      <w:bCs/>
                      <w:sz w:val="24"/>
                      <w:szCs w:val="24"/>
                    </w:rPr>
                    <w:t xml:space="preserve">Total </w:t>
                  </w:r>
                  <w:r w:rsidRPr="00DE1E5B">
                    <w:rPr>
                      <w:rFonts w:ascii="Arial" w:hAnsi="Arial" w:cs="Arial"/>
                      <w:b/>
                      <w:bCs/>
                      <w:sz w:val="24"/>
                      <w:szCs w:val="24"/>
                    </w:rPr>
                    <w:t xml:space="preserve">adjusted </w:t>
                  </w:r>
                  <w:r w:rsidRPr="001545E7">
                    <w:rPr>
                      <w:rFonts w:ascii="Arial" w:hAnsi="Arial" w:cs="Arial"/>
                      <w:b/>
                      <w:bCs/>
                      <w:sz w:val="24"/>
                      <w:szCs w:val="24"/>
                    </w:rPr>
                    <w:t>sales</w:t>
                  </w:r>
                  <w:r w:rsidRPr="00926779">
                    <w:rPr>
                      <w:rFonts w:ascii="Arial" w:hAnsi="Arial" w:cs="Arial"/>
                      <w:bCs/>
                      <w:sz w:val="24"/>
                      <w:szCs w:val="24"/>
                    </w:rPr>
                    <w:t xml:space="preserve"> in constant currencies up </w:t>
                  </w:r>
                  <w:r>
                    <w:rPr>
                      <w:rFonts w:ascii="Arial" w:hAnsi="Arial" w:cs="Arial"/>
                      <w:bCs/>
                      <w:sz w:val="24"/>
                      <w:szCs w:val="24"/>
                    </w:rPr>
                    <w:t>2.7</w:t>
                  </w:r>
                  <w:r w:rsidRPr="00926779">
                    <w:rPr>
                      <w:rFonts w:ascii="Arial" w:hAnsi="Arial" w:cs="Arial"/>
                      <w:bCs/>
                      <w:sz w:val="24"/>
                      <w:szCs w:val="24"/>
                    </w:rPr>
                    <w:t>% (UK &amp; Ireland</w:t>
                  </w:r>
                  <w:r w:rsidR="00FE784B">
                    <w:rPr>
                      <w:rFonts w:ascii="Arial" w:hAnsi="Arial" w:cs="Arial"/>
                      <w:bCs/>
                      <w:sz w:val="24"/>
                      <w:szCs w:val="24"/>
                    </w:rPr>
                    <w:t>*</w:t>
                  </w:r>
                  <w:r w:rsidRPr="00926779">
                    <w:rPr>
                      <w:rFonts w:ascii="Arial" w:hAnsi="Arial" w:cs="Arial"/>
                      <w:bCs/>
                      <w:sz w:val="24"/>
                      <w:szCs w:val="24"/>
                    </w:rPr>
                    <w:t xml:space="preserve"> </w:t>
                  </w:r>
                  <w:r>
                    <w:rPr>
                      <w:rFonts w:ascii="Arial" w:hAnsi="Arial" w:cs="Arial"/>
                      <w:bCs/>
                      <w:sz w:val="24"/>
                      <w:szCs w:val="24"/>
                    </w:rPr>
                    <w:t>+3.1</w:t>
                  </w:r>
                  <w:r w:rsidRPr="00926779">
                    <w:rPr>
                      <w:rFonts w:ascii="Arial" w:hAnsi="Arial" w:cs="Arial"/>
                      <w:bCs/>
                      <w:sz w:val="24"/>
                      <w:szCs w:val="24"/>
                    </w:rPr>
                    <w:t>%; France</w:t>
                  </w:r>
                  <w:r w:rsidR="00FE784B">
                    <w:rPr>
                      <w:rFonts w:ascii="Arial" w:hAnsi="Arial" w:cs="Arial"/>
                      <w:bCs/>
                      <w:sz w:val="24"/>
                      <w:szCs w:val="24"/>
                    </w:rPr>
                    <w:t>*</w:t>
                  </w:r>
                  <w:r w:rsidRPr="00926779">
                    <w:rPr>
                      <w:rFonts w:ascii="Arial" w:hAnsi="Arial" w:cs="Arial"/>
                      <w:bCs/>
                      <w:sz w:val="24"/>
                      <w:szCs w:val="24"/>
                    </w:rPr>
                    <w:t xml:space="preserve"> </w:t>
                  </w:r>
                  <w:r>
                    <w:rPr>
                      <w:rFonts w:ascii="Arial" w:hAnsi="Arial" w:cs="Arial"/>
                      <w:bCs/>
                      <w:sz w:val="24"/>
                      <w:szCs w:val="24"/>
                    </w:rPr>
                    <w:t>+0.3</w:t>
                  </w:r>
                  <w:r w:rsidRPr="00926779">
                    <w:rPr>
                      <w:rFonts w:ascii="Arial" w:hAnsi="Arial" w:cs="Arial"/>
                      <w:bCs/>
                      <w:sz w:val="24"/>
                      <w:szCs w:val="24"/>
                    </w:rPr>
                    <w:t>%; Other International</w:t>
                  </w:r>
                  <w:r w:rsidR="00FE784B">
                    <w:rPr>
                      <w:rFonts w:ascii="Arial" w:hAnsi="Arial" w:cs="Arial"/>
                      <w:bCs/>
                      <w:sz w:val="24"/>
                      <w:szCs w:val="24"/>
                    </w:rPr>
                    <w:t>*</w:t>
                  </w:r>
                  <w:r w:rsidRPr="00926779">
                    <w:rPr>
                      <w:rFonts w:ascii="Arial" w:hAnsi="Arial" w:cs="Arial"/>
                      <w:bCs/>
                      <w:sz w:val="24"/>
                      <w:szCs w:val="24"/>
                    </w:rPr>
                    <w:t xml:space="preserve"> </w:t>
                  </w:r>
                  <w:r>
                    <w:rPr>
                      <w:rFonts w:ascii="Arial" w:hAnsi="Arial" w:cs="Arial"/>
                      <w:bCs/>
                      <w:sz w:val="24"/>
                      <w:szCs w:val="24"/>
                    </w:rPr>
                    <w:t>+7.5</w:t>
                  </w:r>
                  <w:r w:rsidRPr="00926779">
                    <w:rPr>
                      <w:rFonts w:ascii="Arial" w:hAnsi="Arial" w:cs="Arial"/>
                      <w:bCs/>
                      <w:sz w:val="24"/>
                      <w:szCs w:val="24"/>
                    </w:rPr>
                    <w:t>%)</w:t>
                  </w:r>
                </w:p>
                <w:p w14:paraId="16C84A87" w14:textId="20632143" w:rsidR="00A45362" w:rsidRPr="00926779" w:rsidRDefault="00A45362" w:rsidP="00A45362">
                  <w:pPr>
                    <w:pStyle w:val="ListParagraph"/>
                    <w:numPr>
                      <w:ilvl w:val="0"/>
                      <w:numId w:val="28"/>
                    </w:numPr>
                    <w:jc w:val="left"/>
                    <w:rPr>
                      <w:rFonts w:ascii="Arial" w:hAnsi="Arial" w:cs="Arial"/>
                      <w:bCs/>
                      <w:sz w:val="24"/>
                      <w:szCs w:val="24"/>
                    </w:rPr>
                  </w:pPr>
                  <w:r w:rsidRPr="009325A3">
                    <w:rPr>
                      <w:rFonts w:ascii="Arial" w:hAnsi="Arial" w:cs="Arial"/>
                      <w:b/>
                      <w:bCs/>
                      <w:sz w:val="24"/>
                      <w:szCs w:val="24"/>
                    </w:rPr>
                    <w:t>Retail profit</w:t>
                  </w:r>
                  <w:r>
                    <w:rPr>
                      <w:rFonts w:ascii="Arial" w:hAnsi="Arial" w:cs="Arial"/>
                      <w:bCs/>
                      <w:sz w:val="24"/>
                      <w:szCs w:val="24"/>
                    </w:rPr>
                    <w:t xml:space="preserve"> in constant currencies up </w:t>
                  </w:r>
                  <w:r w:rsidR="00CB7901">
                    <w:rPr>
                      <w:rFonts w:ascii="Arial" w:hAnsi="Arial" w:cs="Arial"/>
                      <w:bCs/>
                      <w:sz w:val="24"/>
                      <w:szCs w:val="24"/>
                    </w:rPr>
                    <w:t>8.</w:t>
                  </w:r>
                  <w:r w:rsidR="00B70FCD">
                    <w:rPr>
                      <w:rFonts w:ascii="Arial" w:hAnsi="Arial" w:cs="Arial"/>
                      <w:bCs/>
                      <w:sz w:val="24"/>
                      <w:szCs w:val="24"/>
                    </w:rPr>
                    <w:t>7</w:t>
                  </w:r>
                  <w:r>
                    <w:rPr>
                      <w:rFonts w:ascii="Arial" w:hAnsi="Arial" w:cs="Arial"/>
                      <w:bCs/>
                      <w:sz w:val="24"/>
                      <w:szCs w:val="24"/>
                    </w:rPr>
                    <w:t>% (UK &amp; Ireland +</w:t>
                  </w:r>
                  <w:r w:rsidR="001F4E9A">
                    <w:rPr>
                      <w:rFonts w:ascii="Arial" w:hAnsi="Arial" w:cs="Arial"/>
                      <w:bCs/>
                      <w:sz w:val="24"/>
                      <w:szCs w:val="24"/>
                    </w:rPr>
                    <w:t>8.</w:t>
                  </w:r>
                  <w:r w:rsidR="00546856">
                    <w:rPr>
                      <w:rFonts w:ascii="Arial" w:hAnsi="Arial" w:cs="Arial"/>
                      <w:bCs/>
                      <w:sz w:val="24"/>
                      <w:szCs w:val="24"/>
                    </w:rPr>
                    <w:t>8</w:t>
                  </w:r>
                  <w:r>
                    <w:rPr>
                      <w:rFonts w:ascii="Arial" w:hAnsi="Arial" w:cs="Arial"/>
                      <w:bCs/>
                      <w:sz w:val="24"/>
                      <w:szCs w:val="24"/>
                    </w:rPr>
                    <w:t>%; France +1.</w:t>
                  </w:r>
                  <w:r w:rsidR="000071ED">
                    <w:rPr>
                      <w:rFonts w:ascii="Arial" w:hAnsi="Arial" w:cs="Arial"/>
                      <w:bCs/>
                      <w:sz w:val="24"/>
                      <w:szCs w:val="24"/>
                    </w:rPr>
                    <w:t>6</w:t>
                  </w:r>
                  <w:r>
                    <w:rPr>
                      <w:rFonts w:ascii="Arial" w:hAnsi="Arial" w:cs="Arial"/>
                      <w:bCs/>
                      <w:sz w:val="24"/>
                      <w:szCs w:val="24"/>
                    </w:rPr>
                    <w:t>%; Other International +3</w:t>
                  </w:r>
                  <w:r w:rsidR="00CB7901">
                    <w:rPr>
                      <w:rFonts w:ascii="Arial" w:hAnsi="Arial" w:cs="Arial"/>
                      <w:bCs/>
                      <w:sz w:val="24"/>
                      <w:szCs w:val="24"/>
                    </w:rPr>
                    <w:t>4.2</w:t>
                  </w:r>
                  <w:r>
                    <w:rPr>
                      <w:rFonts w:ascii="Arial" w:hAnsi="Arial" w:cs="Arial"/>
                      <w:bCs/>
                      <w:sz w:val="24"/>
                      <w:szCs w:val="24"/>
                    </w:rPr>
                    <w:t>%)</w:t>
                  </w:r>
                </w:p>
                <w:p w14:paraId="1CDFD624" w14:textId="58659708" w:rsidR="00A45362" w:rsidRDefault="00A45362" w:rsidP="00A45362">
                  <w:pPr>
                    <w:pStyle w:val="ListParagraph"/>
                    <w:numPr>
                      <w:ilvl w:val="0"/>
                      <w:numId w:val="28"/>
                    </w:numPr>
                    <w:jc w:val="left"/>
                    <w:rPr>
                      <w:rFonts w:ascii="Arial" w:hAnsi="Arial" w:cs="Arial"/>
                      <w:bCs/>
                      <w:sz w:val="24"/>
                      <w:szCs w:val="24"/>
                    </w:rPr>
                  </w:pPr>
                  <w:r w:rsidRPr="00265378">
                    <w:rPr>
                      <w:rFonts w:ascii="Arial" w:hAnsi="Arial" w:cs="Arial"/>
                      <w:b/>
                      <w:bCs/>
                      <w:sz w:val="24"/>
                      <w:szCs w:val="24"/>
                    </w:rPr>
                    <w:t>Underlying</w:t>
                  </w:r>
                  <w:r w:rsidRPr="001D7300">
                    <w:rPr>
                      <w:rFonts w:ascii="Arial" w:hAnsi="Arial" w:cs="Arial"/>
                      <w:b/>
                      <w:bCs/>
                      <w:sz w:val="24"/>
                      <w:szCs w:val="24"/>
                    </w:rPr>
                    <w:t xml:space="preserve"> pre-tax profit</w:t>
                  </w:r>
                  <w:r w:rsidRPr="00926779">
                    <w:rPr>
                      <w:rFonts w:ascii="Arial" w:hAnsi="Arial" w:cs="Arial"/>
                      <w:bCs/>
                      <w:sz w:val="24"/>
                      <w:szCs w:val="24"/>
                    </w:rPr>
                    <w:t xml:space="preserve"> of £</w:t>
                  </w:r>
                  <w:r>
                    <w:rPr>
                      <w:rFonts w:ascii="Arial" w:hAnsi="Arial" w:cs="Arial"/>
                      <w:bCs/>
                      <w:sz w:val="24"/>
                      <w:szCs w:val="24"/>
                    </w:rPr>
                    <w:t>43</w:t>
                  </w:r>
                  <w:r w:rsidR="00CB7901">
                    <w:rPr>
                      <w:rFonts w:ascii="Arial" w:hAnsi="Arial" w:cs="Arial"/>
                      <w:bCs/>
                      <w:sz w:val="24"/>
                      <w:szCs w:val="24"/>
                    </w:rPr>
                    <w:t>6</w:t>
                  </w:r>
                  <w:r w:rsidRPr="00926779">
                    <w:rPr>
                      <w:rFonts w:ascii="Arial" w:hAnsi="Arial" w:cs="Arial"/>
                      <w:bCs/>
                      <w:sz w:val="24"/>
                      <w:szCs w:val="24"/>
                    </w:rPr>
                    <w:t>m</w:t>
                  </w:r>
                  <w:r w:rsidR="00FE784B">
                    <w:rPr>
                      <w:rFonts w:ascii="Arial" w:hAnsi="Arial" w:cs="Arial"/>
                      <w:bCs/>
                      <w:sz w:val="24"/>
                      <w:szCs w:val="24"/>
                    </w:rPr>
                    <w:t>, up 13.5%</w:t>
                  </w:r>
                  <w:r w:rsidRPr="00926779">
                    <w:rPr>
                      <w:rFonts w:ascii="Arial" w:hAnsi="Arial" w:cs="Arial"/>
                      <w:bCs/>
                      <w:sz w:val="24"/>
                      <w:szCs w:val="24"/>
                    </w:rPr>
                    <w:t xml:space="preserve"> driven by UK </w:t>
                  </w:r>
                  <w:r w:rsidR="00A359EE">
                    <w:rPr>
                      <w:rFonts w:ascii="Arial" w:hAnsi="Arial" w:cs="Arial"/>
                      <w:bCs/>
                      <w:sz w:val="24"/>
                      <w:szCs w:val="24"/>
                    </w:rPr>
                    <w:t>and</w:t>
                  </w:r>
                  <w:r>
                    <w:rPr>
                      <w:rFonts w:ascii="Arial" w:hAnsi="Arial" w:cs="Arial"/>
                      <w:bCs/>
                      <w:sz w:val="24"/>
                      <w:szCs w:val="24"/>
                    </w:rPr>
                    <w:t xml:space="preserve"> Poland </w:t>
                  </w:r>
                  <w:r w:rsidRPr="00926779">
                    <w:rPr>
                      <w:rFonts w:ascii="Arial" w:hAnsi="Arial" w:cs="Arial"/>
                      <w:bCs/>
                      <w:sz w:val="24"/>
                      <w:szCs w:val="24"/>
                    </w:rPr>
                    <w:t>profit growth</w:t>
                  </w:r>
                  <w:r w:rsidR="009B39BA">
                    <w:rPr>
                      <w:rFonts w:ascii="Arial" w:hAnsi="Arial" w:cs="Arial"/>
                      <w:bCs/>
                      <w:sz w:val="24"/>
                      <w:szCs w:val="24"/>
                    </w:rPr>
                    <w:t xml:space="preserve"> </w:t>
                  </w:r>
                  <w:r w:rsidR="009B39BA" w:rsidRPr="00C84675">
                    <w:rPr>
                      <w:rFonts w:ascii="Arial" w:hAnsi="Arial" w:cs="Arial"/>
                      <w:bCs/>
                      <w:sz w:val="24"/>
                      <w:szCs w:val="24"/>
                    </w:rPr>
                    <w:t>and</w:t>
                  </w:r>
                  <w:r w:rsidRPr="00C84675">
                    <w:rPr>
                      <w:rFonts w:ascii="Arial" w:hAnsi="Arial" w:cs="Arial"/>
                      <w:bCs/>
                      <w:sz w:val="24"/>
                      <w:szCs w:val="24"/>
                    </w:rPr>
                    <w:t xml:space="preserve"> £</w:t>
                  </w:r>
                  <w:r w:rsidRPr="000F07BB">
                    <w:rPr>
                      <w:rFonts w:ascii="Arial" w:hAnsi="Arial" w:cs="Arial"/>
                      <w:bCs/>
                      <w:sz w:val="24"/>
                      <w:szCs w:val="24"/>
                    </w:rPr>
                    <w:t>17</w:t>
                  </w:r>
                  <w:r w:rsidRPr="00C84675">
                    <w:rPr>
                      <w:rFonts w:ascii="Arial" w:hAnsi="Arial" w:cs="Arial"/>
                      <w:bCs/>
                      <w:sz w:val="24"/>
                      <w:szCs w:val="24"/>
                    </w:rPr>
                    <w:t>m</w:t>
                  </w:r>
                  <w:r w:rsidRPr="00926779">
                    <w:rPr>
                      <w:rFonts w:ascii="Arial" w:hAnsi="Arial" w:cs="Arial"/>
                      <w:bCs/>
                      <w:sz w:val="24"/>
                      <w:szCs w:val="24"/>
                    </w:rPr>
                    <w:t xml:space="preserve"> </w:t>
                  </w:r>
                  <w:r w:rsidR="00921092">
                    <w:rPr>
                      <w:rFonts w:ascii="Arial" w:hAnsi="Arial" w:cs="Arial"/>
                      <w:bCs/>
                      <w:sz w:val="24"/>
                      <w:szCs w:val="24"/>
                    </w:rPr>
                    <w:t>favourable</w:t>
                  </w:r>
                  <w:r>
                    <w:rPr>
                      <w:rFonts w:ascii="Arial" w:hAnsi="Arial" w:cs="Arial"/>
                      <w:bCs/>
                      <w:sz w:val="24"/>
                      <w:szCs w:val="24"/>
                    </w:rPr>
                    <w:t xml:space="preserve"> </w:t>
                  </w:r>
                  <w:r w:rsidR="009B39BA">
                    <w:rPr>
                      <w:rFonts w:ascii="Arial" w:hAnsi="Arial" w:cs="Arial"/>
                      <w:bCs/>
                      <w:sz w:val="24"/>
                      <w:szCs w:val="24"/>
                    </w:rPr>
                    <w:t>FX</w:t>
                  </w:r>
                  <w:r w:rsidRPr="00926779">
                    <w:rPr>
                      <w:rFonts w:ascii="Arial" w:hAnsi="Arial" w:cs="Arial"/>
                      <w:bCs/>
                      <w:sz w:val="24"/>
                      <w:szCs w:val="24"/>
                    </w:rPr>
                    <w:t xml:space="preserve"> movements on the translation of non-sterling </w:t>
                  </w:r>
                  <w:r>
                    <w:rPr>
                      <w:rFonts w:ascii="Arial" w:hAnsi="Arial" w:cs="Arial"/>
                      <w:bCs/>
                      <w:sz w:val="24"/>
                      <w:szCs w:val="24"/>
                    </w:rPr>
                    <w:t xml:space="preserve">retail </w:t>
                  </w:r>
                  <w:r w:rsidRPr="00926779">
                    <w:rPr>
                      <w:rFonts w:ascii="Arial" w:hAnsi="Arial" w:cs="Arial"/>
                      <w:bCs/>
                      <w:sz w:val="24"/>
                      <w:szCs w:val="24"/>
                    </w:rPr>
                    <w:t xml:space="preserve">profits </w:t>
                  </w:r>
                </w:p>
                <w:p w14:paraId="395D7C1A" w14:textId="15FFCCE0" w:rsidR="00A45362" w:rsidRDefault="00A45362">
                  <w:pPr>
                    <w:pStyle w:val="ListParagraph"/>
                    <w:numPr>
                      <w:ilvl w:val="0"/>
                      <w:numId w:val="28"/>
                    </w:numPr>
                    <w:jc w:val="left"/>
                    <w:rPr>
                      <w:rFonts w:ascii="Arial" w:hAnsi="Arial" w:cs="Arial"/>
                      <w:bCs/>
                      <w:sz w:val="24"/>
                      <w:szCs w:val="24"/>
                    </w:rPr>
                  </w:pPr>
                  <w:r>
                    <w:rPr>
                      <w:rFonts w:ascii="Arial" w:hAnsi="Arial" w:cs="Arial"/>
                      <w:bCs/>
                      <w:sz w:val="24"/>
                      <w:szCs w:val="24"/>
                    </w:rPr>
                    <w:t>Returned £</w:t>
                  </w:r>
                  <w:r w:rsidR="00595B35">
                    <w:rPr>
                      <w:rFonts w:ascii="Arial" w:hAnsi="Arial" w:cs="Arial"/>
                      <w:bCs/>
                      <w:sz w:val="24"/>
                      <w:szCs w:val="24"/>
                    </w:rPr>
                    <w:t>3</w:t>
                  </w:r>
                  <w:r w:rsidR="009B39BA">
                    <w:rPr>
                      <w:rFonts w:ascii="Arial" w:hAnsi="Arial" w:cs="Arial"/>
                      <w:bCs/>
                      <w:sz w:val="24"/>
                      <w:szCs w:val="24"/>
                    </w:rPr>
                    <w:t>17</w:t>
                  </w:r>
                  <w:r>
                    <w:rPr>
                      <w:rFonts w:ascii="Arial" w:hAnsi="Arial" w:cs="Arial"/>
                      <w:bCs/>
                      <w:sz w:val="24"/>
                      <w:szCs w:val="24"/>
                    </w:rPr>
                    <w:t xml:space="preserve">m of </w:t>
                  </w:r>
                  <w:r w:rsidRPr="00440B16">
                    <w:rPr>
                      <w:rFonts w:ascii="Arial" w:hAnsi="Arial" w:cs="Arial"/>
                      <w:b/>
                      <w:bCs/>
                      <w:sz w:val="24"/>
                      <w:szCs w:val="24"/>
                    </w:rPr>
                    <w:t>cash</w:t>
                  </w:r>
                  <w:r>
                    <w:rPr>
                      <w:rFonts w:ascii="Arial" w:hAnsi="Arial" w:cs="Arial"/>
                      <w:bCs/>
                      <w:sz w:val="24"/>
                      <w:szCs w:val="24"/>
                    </w:rPr>
                    <w:t xml:space="preserve"> to shareholders</w:t>
                  </w:r>
                  <w:r w:rsidR="009B39BA">
                    <w:rPr>
                      <w:rFonts w:ascii="Arial" w:hAnsi="Arial" w:cs="Arial"/>
                      <w:bCs/>
                      <w:sz w:val="24"/>
                      <w:szCs w:val="24"/>
                    </w:rPr>
                    <w:t xml:space="preserve"> </w:t>
                  </w:r>
                  <w:r w:rsidR="00AA2FA8">
                    <w:rPr>
                      <w:rFonts w:ascii="Arial" w:hAnsi="Arial" w:cs="Arial"/>
                      <w:bCs/>
                      <w:sz w:val="24"/>
                      <w:szCs w:val="24"/>
                    </w:rPr>
                    <w:t>year to date</w:t>
                  </w:r>
                  <w:r>
                    <w:rPr>
                      <w:rFonts w:ascii="Arial" w:hAnsi="Arial" w:cs="Arial"/>
                      <w:bCs/>
                      <w:sz w:val="24"/>
                      <w:szCs w:val="24"/>
                    </w:rPr>
                    <w:t xml:space="preserve"> (£</w:t>
                  </w:r>
                  <w:r w:rsidR="009B39BA">
                    <w:rPr>
                      <w:rFonts w:ascii="Arial" w:hAnsi="Arial" w:cs="Arial"/>
                      <w:bCs/>
                      <w:sz w:val="24"/>
                      <w:szCs w:val="24"/>
                    </w:rPr>
                    <w:t>157</w:t>
                  </w:r>
                  <w:r>
                    <w:rPr>
                      <w:rFonts w:ascii="Arial" w:hAnsi="Arial" w:cs="Arial"/>
                      <w:bCs/>
                      <w:sz w:val="24"/>
                      <w:szCs w:val="24"/>
                    </w:rPr>
                    <w:t>m dividend; £</w:t>
                  </w:r>
                  <w:r w:rsidR="009B39BA">
                    <w:rPr>
                      <w:rFonts w:ascii="Arial" w:hAnsi="Arial" w:cs="Arial"/>
                      <w:bCs/>
                      <w:sz w:val="24"/>
                      <w:szCs w:val="24"/>
                    </w:rPr>
                    <w:t>160</w:t>
                  </w:r>
                  <w:r>
                    <w:rPr>
                      <w:rFonts w:ascii="Arial" w:hAnsi="Arial" w:cs="Arial"/>
                      <w:bCs/>
                      <w:sz w:val="24"/>
                      <w:szCs w:val="24"/>
                    </w:rPr>
                    <w:t xml:space="preserve">m buyback) </w:t>
                  </w:r>
                  <w:r w:rsidR="00C5701E">
                    <w:rPr>
                      <w:rFonts w:ascii="Arial" w:hAnsi="Arial" w:cs="Arial"/>
                      <w:bCs/>
                      <w:sz w:val="24"/>
                      <w:szCs w:val="24"/>
                    </w:rPr>
                    <w:t xml:space="preserve"> </w:t>
                  </w:r>
                </w:p>
                <w:p w14:paraId="25641541" w14:textId="6B5C39A4" w:rsidR="009404DD" w:rsidRPr="00925EFB" w:rsidRDefault="00EB5312" w:rsidP="00546856">
                  <w:pPr>
                    <w:pStyle w:val="ListParagraph"/>
                    <w:numPr>
                      <w:ilvl w:val="0"/>
                      <w:numId w:val="28"/>
                    </w:numPr>
                    <w:jc w:val="left"/>
                    <w:rPr>
                      <w:rFonts w:ascii="Arial" w:hAnsi="Arial" w:cs="Arial"/>
                      <w:bCs/>
                      <w:sz w:val="24"/>
                      <w:szCs w:val="24"/>
                    </w:rPr>
                  </w:pPr>
                  <w:r w:rsidRPr="000F07BB">
                    <w:rPr>
                      <w:rFonts w:ascii="Arial" w:hAnsi="Arial" w:cs="Arial"/>
                      <w:b/>
                      <w:bCs/>
                      <w:sz w:val="24"/>
                      <w:szCs w:val="24"/>
                    </w:rPr>
                    <w:t>Net cash</w:t>
                  </w:r>
                  <w:r>
                    <w:rPr>
                      <w:rFonts w:ascii="Arial" w:hAnsi="Arial" w:cs="Arial"/>
                      <w:bCs/>
                      <w:sz w:val="24"/>
                      <w:szCs w:val="24"/>
                    </w:rPr>
                    <w:t xml:space="preserve"> of £898m </w:t>
                  </w:r>
                  <w:r w:rsidR="00807E2D">
                    <w:rPr>
                      <w:rFonts w:ascii="Arial" w:hAnsi="Arial" w:cs="Arial"/>
                      <w:bCs/>
                      <w:sz w:val="24"/>
                      <w:szCs w:val="24"/>
                    </w:rPr>
                    <w:t xml:space="preserve">including </w:t>
                  </w:r>
                  <w:r w:rsidR="002C020D">
                    <w:rPr>
                      <w:rFonts w:ascii="Arial" w:hAnsi="Arial" w:cs="Arial"/>
                      <w:bCs/>
                      <w:sz w:val="24"/>
                      <w:szCs w:val="24"/>
                    </w:rPr>
                    <w:t xml:space="preserve">significant </w:t>
                  </w:r>
                  <w:r>
                    <w:rPr>
                      <w:rFonts w:ascii="Arial" w:hAnsi="Arial" w:cs="Arial"/>
                      <w:bCs/>
                      <w:sz w:val="24"/>
                      <w:szCs w:val="24"/>
                    </w:rPr>
                    <w:t>working capital timing</w:t>
                  </w:r>
                  <w:r w:rsidR="00507CD6">
                    <w:rPr>
                      <w:rFonts w:ascii="Arial" w:hAnsi="Arial" w:cs="Arial"/>
                      <w:bCs/>
                      <w:sz w:val="24"/>
                      <w:szCs w:val="24"/>
                    </w:rPr>
                    <w:t xml:space="preserve"> benefits</w:t>
                  </w:r>
                  <w:r>
                    <w:rPr>
                      <w:rFonts w:ascii="Arial" w:hAnsi="Arial" w:cs="Arial"/>
                      <w:bCs/>
                      <w:sz w:val="24"/>
                      <w:szCs w:val="24"/>
                    </w:rPr>
                    <w:t xml:space="preserve"> </w:t>
                  </w:r>
                </w:p>
                <w:p w14:paraId="526EB568" w14:textId="77777777" w:rsidR="00A45362" w:rsidRPr="000F07BB" w:rsidRDefault="00A45362" w:rsidP="000F07BB">
                  <w:pPr>
                    <w:pStyle w:val="ListParagraph"/>
                    <w:ind w:left="360"/>
                    <w:jc w:val="left"/>
                  </w:pPr>
                </w:p>
              </w:tc>
            </w:tr>
          </w:tbl>
          <w:p w14:paraId="2B0D461E" w14:textId="77777777" w:rsidR="00A45362" w:rsidRPr="00D570CA" w:rsidRDefault="00A45362" w:rsidP="00A45362">
            <w:pPr>
              <w:jc w:val="left"/>
              <w:rPr>
                <w:rFonts w:ascii="Arial" w:hAnsi="Arial" w:cs="Arial"/>
                <w:b/>
                <w:bCs/>
                <w:sz w:val="24"/>
                <w:szCs w:val="24"/>
                <w:u w:val="single"/>
              </w:rPr>
            </w:pPr>
          </w:p>
        </w:tc>
      </w:tr>
    </w:tbl>
    <w:p w14:paraId="2BC7F83D" w14:textId="77777777" w:rsidR="002F35FE" w:rsidRDefault="002F35FE" w:rsidP="00440B16">
      <w:pPr>
        <w:rPr>
          <w:rFonts w:ascii="Arial" w:hAnsi="Arial" w:cs="Arial"/>
          <w:b/>
          <w:bCs/>
          <w:sz w:val="24"/>
          <w:szCs w:val="24"/>
          <w:u w:val="single"/>
        </w:rPr>
      </w:pPr>
    </w:p>
    <w:tbl>
      <w:tblPr>
        <w:tblStyle w:val="TableGrid"/>
        <w:tblW w:w="0" w:type="auto"/>
        <w:tblLook w:val="04A0" w:firstRow="1" w:lastRow="0" w:firstColumn="1" w:lastColumn="0" w:noHBand="0" w:noVBand="1"/>
      </w:tblPr>
      <w:tblGrid>
        <w:gridCol w:w="9631"/>
      </w:tblGrid>
      <w:tr w:rsidR="00322BF0" w14:paraId="3357B387" w14:textId="77777777" w:rsidTr="00322BF0">
        <w:tc>
          <w:tcPr>
            <w:tcW w:w="9631" w:type="dxa"/>
          </w:tcPr>
          <w:p w14:paraId="0B901BFC" w14:textId="483C6570" w:rsidR="009404DD" w:rsidRDefault="009404DD" w:rsidP="00925EFB">
            <w:pPr>
              <w:rPr>
                <w:rFonts w:ascii="Arial" w:hAnsi="Arial" w:cs="Arial"/>
                <w:b/>
                <w:sz w:val="24"/>
                <w:szCs w:val="24"/>
              </w:rPr>
            </w:pPr>
          </w:p>
          <w:p w14:paraId="70FB81B8" w14:textId="77777777" w:rsidR="00EB5312" w:rsidRDefault="00322BF0" w:rsidP="00925EFB">
            <w:pPr>
              <w:rPr>
                <w:rFonts w:ascii="Arial" w:hAnsi="Arial" w:cs="Arial"/>
                <w:b/>
                <w:sz w:val="24"/>
                <w:szCs w:val="24"/>
              </w:rPr>
            </w:pPr>
            <w:r w:rsidRPr="00440B16">
              <w:rPr>
                <w:rFonts w:ascii="Arial" w:hAnsi="Arial" w:cs="Arial"/>
                <w:b/>
                <w:sz w:val="24"/>
                <w:szCs w:val="24"/>
              </w:rPr>
              <w:t>ONE</w:t>
            </w:r>
            <w:r>
              <w:rPr>
                <w:rFonts w:ascii="Arial" w:hAnsi="Arial" w:cs="Arial"/>
                <w:b/>
                <w:sz w:val="24"/>
                <w:szCs w:val="24"/>
              </w:rPr>
              <w:t xml:space="preserve"> Kingfisher</w:t>
            </w:r>
            <w:r w:rsidR="00C82E2A">
              <w:rPr>
                <w:rFonts w:ascii="Arial" w:hAnsi="Arial" w:cs="Arial"/>
                <w:b/>
                <w:sz w:val="24"/>
                <w:szCs w:val="24"/>
              </w:rPr>
              <w:t xml:space="preserve"> </w:t>
            </w:r>
          </w:p>
          <w:p w14:paraId="09A8DBC0" w14:textId="4C1C3CA4" w:rsidR="00322BF0" w:rsidRPr="00EF3963" w:rsidRDefault="00EB5312" w:rsidP="000F07BB">
            <w:pPr>
              <w:rPr>
                <w:rFonts w:ascii="Arial" w:hAnsi="Arial" w:cs="Arial"/>
                <w:b/>
                <w:sz w:val="24"/>
                <w:szCs w:val="24"/>
              </w:rPr>
            </w:pPr>
            <w:r>
              <w:rPr>
                <w:rFonts w:ascii="Arial" w:hAnsi="Arial" w:cs="Arial"/>
                <w:sz w:val="24"/>
                <w:szCs w:val="24"/>
              </w:rPr>
              <w:t>G</w:t>
            </w:r>
            <w:r w:rsidR="00322BF0" w:rsidRPr="00C82E2A">
              <w:rPr>
                <w:rFonts w:ascii="Arial" w:hAnsi="Arial" w:cs="Arial"/>
                <w:sz w:val="24"/>
                <w:szCs w:val="24"/>
              </w:rPr>
              <w:t>ood</w:t>
            </w:r>
            <w:r w:rsidR="00322BF0">
              <w:rPr>
                <w:rFonts w:ascii="Arial" w:hAnsi="Arial" w:cs="Arial"/>
                <w:sz w:val="24"/>
                <w:szCs w:val="24"/>
              </w:rPr>
              <w:t xml:space="preserve"> </w:t>
            </w:r>
            <w:r w:rsidR="00336BEA">
              <w:rPr>
                <w:rFonts w:ascii="Arial" w:hAnsi="Arial" w:cs="Arial"/>
                <w:sz w:val="24"/>
                <w:szCs w:val="24"/>
              </w:rPr>
              <w:t xml:space="preserve">early </w:t>
            </w:r>
            <w:r w:rsidR="00322BF0">
              <w:rPr>
                <w:rFonts w:ascii="Arial" w:hAnsi="Arial" w:cs="Arial"/>
                <w:sz w:val="24"/>
                <w:szCs w:val="24"/>
              </w:rPr>
              <w:t>progress and on track with</w:t>
            </w:r>
            <w:r w:rsidR="00322BF0" w:rsidRPr="00EF3963">
              <w:rPr>
                <w:rFonts w:ascii="Arial" w:hAnsi="Arial" w:cs="Arial"/>
                <w:sz w:val="24"/>
                <w:szCs w:val="24"/>
              </w:rPr>
              <w:t xml:space="preserve"> first year </w:t>
            </w:r>
            <w:r w:rsidR="00DC3339">
              <w:rPr>
                <w:rFonts w:ascii="Arial" w:hAnsi="Arial" w:cs="Arial"/>
                <w:sz w:val="24"/>
                <w:szCs w:val="24"/>
              </w:rPr>
              <w:t>strategic</w:t>
            </w:r>
            <w:r w:rsidR="00322BF0" w:rsidRPr="00EF3963">
              <w:rPr>
                <w:rFonts w:ascii="Arial" w:hAnsi="Arial" w:cs="Arial"/>
                <w:sz w:val="24"/>
                <w:szCs w:val="24"/>
              </w:rPr>
              <w:t xml:space="preserve"> milestones</w:t>
            </w:r>
            <w:r w:rsidR="004079C3">
              <w:rPr>
                <w:rFonts w:ascii="Arial" w:hAnsi="Arial" w:cs="Arial"/>
                <w:sz w:val="24"/>
                <w:szCs w:val="24"/>
              </w:rPr>
              <w:t>:</w:t>
            </w:r>
          </w:p>
          <w:p w14:paraId="2E0307C7" w14:textId="77777777" w:rsidR="00322BF0" w:rsidRPr="00EF3963" w:rsidRDefault="00322BF0" w:rsidP="00322BF0">
            <w:pPr>
              <w:pStyle w:val="ListParagraph"/>
              <w:numPr>
                <w:ilvl w:val="0"/>
                <w:numId w:val="43"/>
              </w:numPr>
              <w:jc w:val="left"/>
              <w:rPr>
                <w:rFonts w:ascii="Arial" w:hAnsi="Arial" w:cs="Arial"/>
                <w:b/>
                <w:sz w:val="24"/>
                <w:szCs w:val="24"/>
              </w:rPr>
            </w:pPr>
            <w:r>
              <w:rPr>
                <w:rFonts w:ascii="Arial" w:hAnsi="Arial" w:cs="Arial"/>
                <w:sz w:val="24"/>
                <w:szCs w:val="24"/>
              </w:rPr>
              <w:t>Unified &amp; Unique Offer</w:t>
            </w:r>
          </w:p>
          <w:p w14:paraId="454E2B85" w14:textId="6C8031A4" w:rsidR="00322BF0" w:rsidRDefault="00322BF0" w:rsidP="00322BF0">
            <w:pPr>
              <w:pStyle w:val="ListParagraph"/>
              <w:numPr>
                <w:ilvl w:val="1"/>
                <w:numId w:val="43"/>
              </w:numPr>
              <w:jc w:val="left"/>
              <w:rPr>
                <w:rFonts w:ascii="Arial" w:hAnsi="Arial" w:cs="Arial"/>
                <w:color w:val="000000"/>
                <w:sz w:val="24"/>
                <w:szCs w:val="24"/>
              </w:rPr>
            </w:pPr>
            <w:r w:rsidRPr="00EF3963">
              <w:rPr>
                <w:rFonts w:ascii="Arial" w:hAnsi="Arial" w:cs="Arial"/>
                <w:sz w:val="24"/>
                <w:szCs w:val="24"/>
              </w:rPr>
              <w:t>Implementing</w:t>
            </w:r>
            <w:r>
              <w:rPr>
                <w:rFonts w:ascii="Arial" w:hAnsi="Arial" w:cs="Arial"/>
                <w:color w:val="000000"/>
                <w:sz w:val="24"/>
                <w:szCs w:val="24"/>
              </w:rPr>
              <w:t xml:space="preserve"> first </w:t>
            </w:r>
            <w:r w:rsidR="00CB656C">
              <w:rPr>
                <w:rFonts w:ascii="Arial" w:hAnsi="Arial" w:cs="Arial"/>
                <w:color w:val="000000"/>
                <w:sz w:val="24"/>
                <w:szCs w:val="24"/>
              </w:rPr>
              <w:t xml:space="preserve">unified </w:t>
            </w:r>
            <w:r>
              <w:rPr>
                <w:rFonts w:ascii="Arial" w:hAnsi="Arial" w:cs="Arial"/>
                <w:color w:val="000000"/>
                <w:sz w:val="24"/>
                <w:szCs w:val="24"/>
              </w:rPr>
              <w:t>ranges</w:t>
            </w:r>
            <w:r w:rsidR="00CB656C">
              <w:rPr>
                <w:rFonts w:ascii="Arial" w:hAnsi="Arial" w:cs="Arial"/>
                <w:color w:val="000000"/>
                <w:sz w:val="24"/>
                <w:szCs w:val="24"/>
              </w:rPr>
              <w:t xml:space="preserve">; sales </w:t>
            </w:r>
            <w:r w:rsidR="00EC16C8">
              <w:rPr>
                <w:rFonts w:ascii="Arial" w:hAnsi="Arial" w:cs="Arial"/>
                <w:color w:val="000000"/>
                <w:sz w:val="24"/>
                <w:szCs w:val="24"/>
              </w:rPr>
              <w:t xml:space="preserve">are encouraging </w:t>
            </w:r>
            <w:r w:rsidR="00CB656C">
              <w:rPr>
                <w:rFonts w:ascii="Arial" w:hAnsi="Arial" w:cs="Arial"/>
                <w:color w:val="000000"/>
                <w:sz w:val="24"/>
                <w:szCs w:val="24"/>
              </w:rPr>
              <w:t>and</w:t>
            </w:r>
            <w:r>
              <w:rPr>
                <w:rFonts w:ascii="Arial" w:hAnsi="Arial" w:cs="Arial"/>
                <w:color w:val="000000"/>
                <w:sz w:val="24"/>
                <w:szCs w:val="24"/>
              </w:rPr>
              <w:t xml:space="preserve"> cost of change in line with expectations</w:t>
            </w:r>
          </w:p>
          <w:p w14:paraId="62E85911" w14:textId="498DFF01" w:rsidR="00322BF0" w:rsidRDefault="00322BF0" w:rsidP="00322BF0">
            <w:pPr>
              <w:pStyle w:val="ListParagraph"/>
              <w:numPr>
                <w:ilvl w:val="1"/>
                <w:numId w:val="43"/>
              </w:numPr>
              <w:jc w:val="left"/>
              <w:rPr>
                <w:rFonts w:ascii="Arial" w:hAnsi="Arial" w:cs="Arial"/>
                <w:color w:val="000000"/>
                <w:sz w:val="24"/>
                <w:szCs w:val="24"/>
              </w:rPr>
            </w:pPr>
            <w:r>
              <w:rPr>
                <w:rFonts w:ascii="Arial" w:hAnsi="Arial" w:cs="Arial"/>
                <w:color w:val="000000"/>
                <w:sz w:val="24"/>
                <w:szCs w:val="24"/>
              </w:rPr>
              <w:t xml:space="preserve">New ONE Offer &amp; Supply Chain organisation (OSC) global functions and roles started from early June; </w:t>
            </w:r>
            <w:r w:rsidR="00291BBE">
              <w:rPr>
                <w:rFonts w:ascii="Arial" w:hAnsi="Arial" w:cs="Arial"/>
                <w:color w:val="000000"/>
                <w:sz w:val="24"/>
                <w:szCs w:val="24"/>
              </w:rPr>
              <w:t xml:space="preserve">initial </w:t>
            </w:r>
            <w:r w:rsidR="00546856">
              <w:rPr>
                <w:rFonts w:ascii="Arial" w:hAnsi="Arial" w:cs="Arial"/>
                <w:color w:val="000000"/>
                <w:sz w:val="24"/>
                <w:szCs w:val="24"/>
              </w:rPr>
              <w:t xml:space="preserve">set up </w:t>
            </w:r>
            <w:r>
              <w:rPr>
                <w:rFonts w:ascii="Arial" w:hAnsi="Arial" w:cs="Arial"/>
                <w:color w:val="000000"/>
                <w:sz w:val="24"/>
                <w:szCs w:val="24"/>
              </w:rPr>
              <w:t>costs lower than anticipated</w:t>
            </w:r>
          </w:p>
          <w:p w14:paraId="06ADD385" w14:textId="77777777" w:rsidR="00322BF0" w:rsidRDefault="00322BF0" w:rsidP="00322BF0">
            <w:pPr>
              <w:pStyle w:val="ListParagraph"/>
              <w:numPr>
                <w:ilvl w:val="0"/>
                <w:numId w:val="43"/>
              </w:numPr>
              <w:jc w:val="left"/>
              <w:rPr>
                <w:rFonts w:ascii="Arial" w:hAnsi="Arial" w:cs="Arial"/>
                <w:color w:val="000000"/>
                <w:sz w:val="24"/>
                <w:szCs w:val="24"/>
              </w:rPr>
            </w:pPr>
            <w:r>
              <w:rPr>
                <w:rFonts w:ascii="Arial" w:hAnsi="Arial" w:cs="Arial"/>
                <w:color w:val="000000"/>
                <w:sz w:val="24"/>
                <w:szCs w:val="24"/>
              </w:rPr>
              <w:t>Digital</w:t>
            </w:r>
          </w:p>
          <w:p w14:paraId="55984FD6" w14:textId="435A1EBD" w:rsidR="00322BF0" w:rsidRDefault="00322BF0" w:rsidP="00322BF0">
            <w:pPr>
              <w:pStyle w:val="ListParagraph"/>
              <w:numPr>
                <w:ilvl w:val="1"/>
                <w:numId w:val="43"/>
              </w:numPr>
              <w:jc w:val="left"/>
              <w:rPr>
                <w:rFonts w:ascii="Arial" w:hAnsi="Arial" w:cs="Arial"/>
                <w:color w:val="000000"/>
                <w:sz w:val="24"/>
                <w:szCs w:val="24"/>
              </w:rPr>
            </w:pPr>
            <w:r w:rsidRPr="00EF3963">
              <w:rPr>
                <w:rFonts w:ascii="Arial" w:hAnsi="Arial" w:cs="Arial"/>
                <w:color w:val="000000"/>
                <w:sz w:val="24"/>
                <w:szCs w:val="24"/>
              </w:rPr>
              <w:t>Unified IT platform now in all B&amp;Q stores (ahead of pl</w:t>
            </w:r>
            <w:r w:rsidR="00CB656C">
              <w:rPr>
                <w:rFonts w:ascii="Arial" w:hAnsi="Arial" w:cs="Arial"/>
                <w:color w:val="000000"/>
                <w:sz w:val="24"/>
                <w:szCs w:val="24"/>
              </w:rPr>
              <w:t>an) with back office &amp;</w:t>
            </w:r>
            <w:r w:rsidRPr="00EF3963">
              <w:rPr>
                <w:rFonts w:ascii="Arial" w:hAnsi="Arial" w:cs="Arial"/>
                <w:color w:val="000000"/>
                <w:sz w:val="24"/>
                <w:szCs w:val="24"/>
              </w:rPr>
              <w:t xml:space="preserve"> supply chain underway</w:t>
            </w:r>
            <w:r>
              <w:rPr>
                <w:rFonts w:ascii="Arial" w:hAnsi="Arial" w:cs="Arial"/>
                <w:color w:val="000000"/>
                <w:sz w:val="24"/>
                <w:szCs w:val="24"/>
              </w:rPr>
              <w:t xml:space="preserve">; first Castorama </w:t>
            </w:r>
            <w:r w:rsidR="007E5B5D">
              <w:rPr>
                <w:rFonts w:ascii="Arial" w:hAnsi="Arial" w:cs="Arial"/>
                <w:color w:val="000000"/>
                <w:sz w:val="24"/>
                <w:szCs w:val="24"/>
              </w:rPr>
              <w:t xml:space="preserve">France </w:t>
            </w:r>
            <w:r>
              <w:rPr>
                <w:rFonts w:ascii="Arial" w:hAnsi="Arial" w:cs="Arial"/>
                <w:color w:val="000000"/>
                <w:sz w:val="24"/>
                <w:szCs w:val="24"/>
              </w:rPr>
              <w:t>pilot store on track for Q3</w:t>
            </w:r>
          </w:p>
          <w:p w14:paraId="4F3B9943" w14:textId="77777777" w:rsidR="00322BF0" w:rsidRDefault="00322BF0" w:rsidP="00322BF0">
            <w:pPr>
              <w:pStyle w:val="ListParagraph"/>
              <w:numPr>
                <w:ilvl w:val="0"/>
                <w:numId w:val="43"/>
              </w:numPr>
              <w:jc w:val="left"/>
              <w:rPr>
                <w:rFonts w:ascii="Arial" w:hAnsi="Arial" w:cs="Arial"/>
                <w:color w:val="000000"/>
                <w:sz w:val="24"/>
                <w:szCs w:val="24"/>
              </w:rPr>
            </w:pPr>
            <w:r>
              <w:rPr>
                <w:rFonts w:ascii="Arial" w:hAnsi="Arial" w:cs="Arial"/>
                <w:color w:val="000000"/>
                <w:sz w:val="24"/>
                <w:szCs w:val="24"/>
              </w:rPr>
              <w:t>Operational efficiency</w:t>
            </w:r>
          </w:p>
          <w:p w14:paraId="3C7374FC" w14:textId="4C5FEC3E" w:rsidR="00322BF0" w:rsidRDefault="006024F7" w:rsidP="00322BF0">
            <w:pPr>
              <w:pStyle w:val="ListParagraph"/>
              <w:numPr>
                <w:ilvl w:val="1"/>
                <w:numId w:val="43"/>
              </w:numPr>
              <w:jc w:val="left"/>
              <w:rPr>
                <w:rFonts w:ascii="Arial" w:hAnsi="Arial" w:cs="Arial"/>
                <w:color w:val="000000"/>
                <w:sz w:val="24"/>
                <w:szCs w:val="24"/>
              </w:rPr>
            </w:pPr>
            <w:r>
              <w:rPr>
                <w:rFonts w:ascii="Arial" w:hAnsi="Arial" w:cs="Arial"/>
                <w:color w:val="000000"/>
                <w:sz w:val="24"/>
                <w:szCs w:val="24"/>
              </w:rPr>
              <w:t xml:space="preserve">B&amp;Q store closures 80% complete: </w:t>
            </w:r>
            <w:r w:rsidR="00322BF0">
              <w:rPr>
                <w:rFonts w:ascii="Arial" w:hAnsi="Arial" w:cs="Arial"/>
                <w:color w:val="000000"/>
                <w:sz w:val="24"/>
                <w:szCs w:val="24"/>
              </w:rPr>
              <w:t>52 to date o</w:t>
            </w:r>
            <w:r>
              <w:rPr>
                <w:rFonts w:ascii="Arial" w:hAnsi="Arial" w:cs="Arial"/>
                <w:color w:val="000000"/>
                <w:sz w:val="24"/>
                <w:szCs w:val="24"/>
              </w:rPr>
              <w:t>f the 65 planned</w:t>
            </w:r>
            <w:r w:rsidR="00322BF0">
              <w:rPr>
                <w:rFonts w:ascii="Arial" w:hAnsi="Arial" w:cs="Arial"/>
                <w:color w:val="000000"/>
                <w:sz w:val="24"/>
                <w:szCs w:val="24"/>
              </w:rPr>
              <w:t xml:space="preserve">; </w:t>
            </w:r>
            <w:r w:rsidR="00B756B8">
              <w:rPr>
                <w:rFonts w:ascii="Arial" w:hAnsi="Arial" w:cs="Arial"/>
                <w:color w:val="000000"/>
                <w:sz w:val="24"/>
                <w:szCs w:val="24"/>
              </w:rPr>
              <w:t>50</w:t>
            </w:r>
            <w:r w:rsidR="00322BF0">
              <w:rPr>
                <w:rFonts w:ascii="Arial" w:hAnsi="Arial" w:cs="Arial"/>
                <w:color w:val="000000"/>
                <w:sz w:val="24"/>
                <w:szCs w:val="24"/>
              </w:rPr>
              <w:t xml:space="preserve"> lease exits secured</w:t>
            </w:r>
          </w:p>
          <w:p w14:paraId="2C1F3CDD" w14:textId="7D69C67E" w:rsidR="00FE784B" w:rsidRPr="00DC23B3" w:rsidRDefault="00012C99" w:rsidP="00DC23B3">
            <w:pPr>
              <w:pStyle w:val="ListParagraph"/>
              <w:numPr>
                <w:ilvl w:val="1"/>
                <w:numId w:val="43"/>
              </w:numPr>
              <w:jc w:val="left"/>
              <w:rPr>
                <w:rFonts w:ascii="Arial" w:hAnsi="Arial" w:cs="Arial"/>
                <w:color w:val="000000"/>
                <w:sz w:val="24"/>
                <w:szCs w:val="24"/>
              </w:rPr>
            </w:pPr>
            <w:r>
              <w:rPr>
                <w:rFonts w:ascii="Arial" w:hAnsi="Arial" w:cs="Arial"/>
                <w:color w:val="000000"/>
                <w:sz w:val="24"/>
                <w:szCs w:val="24"/>
              </w:rPr>
              <w:t xml:space="preserve">Goods Not </w:t>
            </w:r>
            <w:r w:rsidR="00F1292A">
              <w:rPr>
                <w:rFonts w:ascii="Arial" w:hAnsi="Arial" w:cs="Arial"/>
                <w:color w:val="000000"/>
                <w:sz w:val="24"/>
                <w:szCs w:val="24"/>
              </w:rPr>
              <w:t>F</w:t>
            </w:r>
            <w:r>
              <w:rPr>
                <w:rFonts w:ascii="Arial" w:hAnsi="Arial" w:cs="Arial"/>
                <w:color w:val="000000"/>
                <w:sz w:val="24"/>
                <w:szCs w:val="24"/>
              </w:rPr>
              <w:t>or Resale* (</w:t>
            </w:r>
            <w:r w:rsidR="00322BF0">
              <w:rPr>
                <w:rFonts w:ascii="Arial" w:hAnsi="Arial" w:cs="Arial"/>
                <w:color w:val="000000"/>
                <w:sz w:val="24"/>
                <w:szCs w:val="24"/>
              </w:rPr>
              <w:t>GNFR</w:t>
            </w:r>
            <w:r>
              <w:rPr>
                <w:rFonts w:ascii="Arial" w:hAnsi="Arial" w:cs="Arial"/>
                <w:color w:val="000000"/>
                <w:sz w:val="24"/>
                <w:szCs w:val="24"/>
              </w:rPr>
              <w:t>)</w:t>
            </w:r>
            <w:r w:rsidR="00322BF0">
              <w:rPr>
                <w:rFonts w:ascii="Arial" w:hAnsi="Arial" w:cs="Arial"/>
                <w:color w:val="000000"/>
                <w:sz w:val="24"/>
                <w:szCs w:val="24"/>
              </w:rPr>
              <w:t xml:space="preserve"> benefits delivering earlier than plan: £12m in H1; raising </w:t>
            </w:r>
            <w:r w:rsidR="006024F7">
              <w:rPr>
                <w:rFonts w:ascii="Arial" w:hAnsi="Arial" w:cs="Arial"/>
                <w:color w:val="000000"/>
                <w:sz w:val="24"/>
                <w:szCs w:val="24"/>
              </w:rPr>
              <w:t xml:space="preserve">FY guidance from </w:t>
            </w:r>
            <w:r w:rsidR="003C7EE1">
              <w:rPr>
                <w:rFonts w:ascii="Arial" w:hAnsi="Arial" w:cs="Arial"/>
                <w:color w:val="000000"/>
                <w:sz w:val="24"/>
                <w:szCs w:val="24"/>
              </w:rPr>
              <w:t xml:space="preserve">up to </w:t>
            </w:r>
            <w:r w:rsidR="006024F7">
              <w:rPr>
                <w:rFonts w:ascii="Arial" w:hAnsi="Arial" w:cs="Arial"/>
                <w:color w:val="000000"/>
                <w:sz w:val="24"/>
                <w:szCs w:val="24"/>
              </w:rPr>
              <w:t xml:space="preserve">£20m </w:t>
            </w:r>
            <w:r w:rsidR="003C7EE1">
              <w:rPr>
                <w:rFonts w:ascii="Arial" w:hAnsi="Arial" w:cs="Arial"/>
                <w:color w:val="000000"/>
                <w:sz w:val="24"/>
                <w:szCs w:val="24"/>
              </w:rPr>
              <w:t xml:space="preserve">to up </w:t>
            </w:r>
            <w:r w:rsidR="006024F7">
              <w:rPr>
                <w:rFonts w:ascii="Arial" w:hAnsi="Arial" w:cs="Arial"/>
                <w:color w:val="000000"/>
                <w:sz w:val="24"/>
                <w:szCs w:val="24"/>
              </w:rPr>
              <w:t>to</w:t>
            </w:r>
            <w:r w:rsidR="00322BF0">
              <w:rPr>
                <w:rFonts w:ascii="Arial" w:hAnsi="Arial" w:cs="Arial"/>
                <w:color w:val="000000"/>
                <w:sz w:val="24"/>
                <w:szCs w:val="24"/>
              </w:rPr>
              <w:t xml:space="preserve"> £25m</w:t>
            </w:r>
          </w:p>
          <w:p w14:paraId="61104538" w14:textId="2DBB3A47" w:rsidR="00CD0303" w:rsidRPr="00E304FD" w:rsidRDefault="00CD0303" w:rsidP="00E304FD">
            <w:pPr>
              <w:jc w:val="left"/>
              <w:rPr>
                <w:rFonts w:ascii="Arial" w:hAnsi="Arial" w:cs="Arial"/>
                <w:color w:val="000000"/>
                <w:sz w:val="24"/>
                <w:szCs w:val="24"/>
              </w:rPr>
            </w:pPr>
            <w:r w:rsidRPr="00E304FD">
              <w:rPr>
                <w:rFonts w:ascii="Arial" w:hAnsi="Arial" w:cs="Arial"/>
                <w:color w:val="000000"/>
                <w:sz w:val="24"/>
                <w:szCs w:val="24"/>
              </w:rPr>
              <w:t>No change to 5 year transformation cost</w:t>
            </w:r>
            <w:r w:rsidR="00FF4F74">
              <w:rPr>
                <w:rFonts w:ascii="Arial" w:hAnsi="Arial" w:cs="Arial"/>
                <w:color w:val="000000"/>
                <w:sz w:val="24"/>
                <w:szCs w:val="24"/>
              </w:rPr>
              <w:t>*</w:t>
            </w:r>
            <w:r w:rsidRPr="00E304FD">
              <w:rPr>
                <w:rFonts w:ascii="Arial" w:hAnsi="Arial" w:cs="Arial"/>
                <w:color w:val="000000"/>
                <w:sz w:val="24"/>
                <w:szCs w:val="24"/>
              </w:rPr>
              <w:t xml:space="preserve"> guidance of c.£800m</w:t>
            </w:r>
            <w:r w:rsidR="004079C3">
              <w:rPr>
                <w:rFonts w:ascii="Arial" w:hAnsi="Arial" w:cs="Arial"/>
                <w:color w:val="000000"/>
                <w:sz w:val="24"/>
                <w:szCs w:val="24"/>
              </w:rPr>
              <w:t>:</w:t>
            </w:r>
          </w:p>
          <w:p w14:paraId="6A7E25D1" w14:textId="77777777" w:rsidR="002C29DB" w:rsidRDefault="00546856">
            <w:pPr>
              <w:pStyle w:val="ListParagraph"/>
              <w:numPr>
                <w:ilvl w:val="0"/>
                <w:numId w:val="43"/>
              </w:numPr>
              <w:jc w:val="left"/>
              <w:rPr>
                <w:rFonts w:ascii="Arial" w:hAnsi="Arial" w:cs="Arial"/>
                <w:color w:val="000000"/>
                <w:sz w:val="24"/>
                <w:szCs w:val="24"/>
              </w:rPr>
            </w:pPr>
            <w:r w:rsidRPr="00E304FD">
              <w:rPr>
                <w:rFonts w:ascii="Arial" w:hAnsi="Arial" w:cs="Arial"/>
                <w:color w:val="000000"/>
                <w:sz w:val="24"/>
                <w:szCs w:val="24"/>
              </w:rPr>
              <w:t>Updated cost guidance for FY</w:t>
            </w:r>
            <w:r w:rsidR="0065238B">
              <w:rPr>
                <w:rFonts w:ascii="Arial" w:hAnsi="Arial" w:cs="Arial"/>
                <w:color w:val="000000"/>
                <w:sz w:val="24"/>
                <w:szCs w:val="24"/>
              </w:rPr>
              <w:t xml:space="preserve"> </w:t>
            </w:r>
            <w:r w:rsidRPr="00E304FD">
              <w:rPr>
                <w:rFonts w:ascii="Arial" w:hAnsi="Arial" w:cs="Arial"/>
                <w:color w:val="000000"/>
                <w:sz w:val="24"/>
                <w:szCs w:val="24"/>
              </w:rPr>
              <w:t xml:space="preserve">2016/17: transformation </w:t>
            </w:r>
            <w:r w:rsidR="00791A78">
              <w:rPr>
                <w:rFonts w:ascii="Arial" w:hAnsi="Arial" w:cs="Arial"/>
                <w:color w:val="000000"/>
                <w:sz w:val="24"/>
                <w:szCs w:val="24"/>
              </w:rPr>
              <w:t xml:space="preserve">P&amp;L </w:t>
            </w:r>
            <w:r w:rsidRPr="00E304FD">
              <w:rPr>
                <w:rFonts w:ascii="Arial" w:hAnsi="Arial" w:cs="Arial"/>
                <w:color w:val="000000"/>
                <w:sz w:val="24"/>
                <w:szCs w:val="24"/>
              </w:rPr>
              <w:t xml:space="preserve">costs of </w:t>
            </w:r>
            <w:r w:rsidR="00F540E8" w:rsidRPr="00E304FD">
              <w:rPr>
                <w:rFonts w:ascii="Arial" w:hAnsi="Arial" w:cs="Arial"/>
                <w:color w:val="000000"/>
                <w:sz w:val="24"/>
                <w:szCs w:val="24"/>
              </w:rPr>
              <w:t>c.</w:t>
            </w:r>
            <w:r w:rsidRPr="00E304FD">
              <w:rPr>
                <w:rFonts w:ascii="Arial" w:hAnsi="Arial" w:cs="Arial"/>
                <w:color w:val="000000"/>
                <w:sz w:val="24"/>
                <w:szCs w:val="24"/>
              </w:rPr>
              <w:t xml:space="preserve">£60m; </w:t>
            </w:r>
            <w:r w:rsidR="000B34A0">
              <w:rPr>
                <w:rFonts w:ascii="Arial" w:hAnsi="Arial" w:cs="Arial"/>
                <w:color w:val="000000"/>
                <w:sz w:val="24"/>
                <w:szCs w:val="24"/>
              </w:rPr>
              <w:t>transformation</w:t>
            </w:r>
            <w:r w:rsidR="000B34A0" w:rsidRPr="00E304FD">
              <w:rPr>
                <w:rFonts w:ascii="Arial" w:hAnsi="Arial" w:cs="Arial"/>
                <w:color w:val="000000"/>
                <w:sz w:val="24"/>
                <w:szCs w:val="24"/>
              </w:rPr>
              <w:t xml:space="preserve"> </w:t>
            </w:r>
            <w:r w:rsidR="00791A78">
              <w:rPr>
                <w:rFonts w:ascii="Arial" w:hAnsi="Arial" w:cs="Arial"/>
                <w:color w:val="000000"/>
                <w:sz w:val="24"/>
                <w:szCs w:val="24"/>
              </w:rPr>
              <w:t xml:space="preserve">exceptional </w:t>
            </w:r>
            <w:r w:rsidRPr="00E304FD">
              <w:rPr>
                <w:rFonts w:ascii="Arial" w:hAnsi="Arial" w:cs="Arial"/>
                <w:color w:val="000000"/>
                <w:sz w:val="24"/>
                <w:szCs w:val="24"/>
              </w:rPr>
              <w:t>costs of</w:t>
            </w:r>
            <w:r w:rsidR="00241539">
              <w:rPr>
                <w:rFonts w:ascii="Arial" w:hAnsi="Arial" w:cs="Arial"/>
                <w:color w:val="000000"/>
                <w:sz w:val="24"/>
                <w:szCs w:val="24"/>
              </w:rPr>
              <w:t xml:space="preserve"> up to </w:t>
            </w:r>
            <w:r w:rsidRPr="00E304FD">
              <w:rPr>
                <w:rFonts w:ascii="Arial" w:hAnsi="Arial" w:cs="Arial"/>
                <w:color w:val="000000"/>
                <w:sz w:val="24"/>
                <w:szCs w:val="24"/>
              </w:rPr>
              <w:t>£10</w:t>
            </w:r>
            <w:r w:rsidR="002C29DB">
              <w:rPr>
                <w:rFonts w:ascii="Arial" w:hAnsi="Arial" w:cs="Arial"/>
                <w:color w:val="000000"/>
                <w:sz w:val="24"/>
                <w:szCs w:val="24"/>
              </w:rPr>
              <w:t>m</w:t>
            </w:r>
          </w:p>
          <w:p w14:paraId="1184EBD3" w14:textId="50814A64" w:rsidR="00723F78" w:rsidRPr="00DC23B3" w:rsidRDefault="00723F78" w:rsidP="00DC23B3">
            <w:pPr>
              <w:pStyle w:val="ListParagraph"/>
              <w:ind w:left="360"/>
              <w:jc w:val="left"/>
              <w:rPr>
                <w:rFonts w:ascii="Arial" w:hAnsi="Arial" w:cs="Arial"/>
                <w:color w:val="000000"/>
                <w:sz w:val="24"/>
                <w:szCs w:val="24"/>
              </w:rPr>
            </w:pPr>
          </w:p>
        </w:tc>
      </w:tr>
      <w:tr w:rsidR="007B718C" w14:paraId="0A923FD9" w14:textId="77777777" w:rsidTr="007B718C">
        <w:tc>
          <w:tcPr>
            <w:tcW w:w="9631" w:type="dxa"/>
          </w:tcPr>
          <w:tbl>
            <w:tblPr>
              <w:tblStyle w:val="TableGrid"/>
              <w:tblW w:w="9521" w:type="dxa"/>
              <w:tblLook w:val="04A0" w:firstRow="1" w:lastRow="0" w:firstColumn="1" w:lastColumn="0" w:noHBand="0" w:noVBand="1"/>
            </w:tblPr>
            <w:tblGrid>
              <w:gridCol w:w="3001"/>
              <w:gridCol w:w="1545"/>
              <w:gridCol w:w="1150"/>
              <w:gridCol w:w="1276"/>
              <w:gridCol w:w="1272"/>
              <w:gridCol w:w="1277"/>
            </w:tblGrid>
            <w:tr w:rsidR="007B718C" w14:paraId="3FC17EF6" w14:textId="77777777" w:rsidTr="00925EFB">
              <w:trPr>
                <w:trHeight w:val="329"/>
              </w:trPr>
              <w:tc>
                <w:tcPr>
                  <w:tcW w:w="5696" w:type="dxa"/>
                  <w:gridSpan w:val="3"/>
                  <w:tcBorders>
                    <w:top w:val="nil"/>
                    <w:left w:val="nil"/>
                    <w:bottom w:val="single" w:sz="4" w:space="0" w:color="auto"/>
                    <w:right w:val="nil"/>
                  </w:tcBorders>
                </w:tcPr>
                <w:p w14:paraId="566217F2" w14:textId="77777777" w:rsidR="009404DD" w:rsidRDefault="009404DD" w:rsidP="007B718C">
                  <w:pPr>
                    <w:rPr>
                      <w:rFonts w:ascii="Arial" w:hAnsi="Arial" w:cs="Arial"/>
                      <w:b/>
                      <w:bCs/>
                      <w:sz w:val="24"/>
                      <w:szCs w:val="24"/>
                    </w:rPr>
                  </w:pPr>
                </w:p>
                <w:p w14:paraId="41D59F93" w14:textId="7114B03B" w:rsidR="007B718C" w:rsidRDefault="007B718C" w:rsidP="007B718C">
                  <w:r>
                    <w:rPr>
                      <w:rFonts w:ascii="Arial" w:hAnsi="Arial" w:cs="Arial"/>
                      <w:b/>
                      <w:bCs/>
                      <w:sz w:val="24"/>
                      <w:szCs w:val="24"/>
                    </w:rPr>
                    <w:t>Statutory reporting</w:t>
                  </w:r>
                </w:p>
              </w:tc>
              <w:tc>
                <w:tcPr>
                  <w:tcW w:w="1276" w:type="dxa"/>
                  <w:tcBorders>
                    <w:top w:val="nil"/>
                    <w:left w:val="nil"/>
                    <w:bottom w:val="single" w:sz="4" w:space="0" w:color="auto"/>
                    <w:right w:val="nil"/>
                  </w:tcBorders>
                </w:tcPr>
                <w:p w14:paraId="0C3D90E2" w14:textId="77777777" w:rsidR="009404DD" w:rsidRDefault="009404DD">
                  <w:pPr>
                    <w:jc w:val="right"/>
                    <w:rPr>
                      <w:rFonts w:ascii="Arial" w:hAnsi="Arial" w:cs="Arial"/>
                      <w:b/>
                      <w:bCs/>
                      <w:sz w:val="24"/>
                      <w:szCs w:val="24"/>
                    </w:rPr>
                  </w:pPr>
                </w:p>
                <w:p w14:paraId="296D70EB" w14:textId="442512E9" w:rsidR="007B718C" w:rsidRPr="00925EFB" w:rsidRDefault="007B718C">
                  <w:pPr>
                    <w:jc w:val="right"/>
                    <w:rPr>
                      <w:rFonts w:ascii="Arial" w:hAnsi="Arial" w:cs="Arial"/>
                      <w:b/>
                      <w:bCs/>
                      <w:sz w:val="24"/>
                      <w:szCs w:val="24"/>
                    </w:rPr>
                  </w:pPr>
                  <w:r w:rsidRPr="00FF28D6">
                    <w:rPr>
                      <w:rFonts w:ascii="Arial" w:hAnsi="Arial" w:cs="Arial"/>
                      <w:b/>
                      <w:bCs/>
                      <w:sz w:val="24"/>
                      <w:szCs w:val="24"/>
                    </w:rPr>
                    <w:t>2016/17</w:t>
                  </w:r>
                </w:p>
              </w:tc>
              <w:tc>
                <w:tcPr>
                  <w:tcW w:w="1272" w:type="dxa"/>
                  <w:tcBorders>
                    <w:top w:val="nil"/>
                    <w:left w:val="nil"/>
                    <w:bottom w:val="single" w:sz="4" w:space="0" w:color="auto"/>
                    <w:right w:val="nil"/>
                  </w:tcBorders>
                </w:tcPr>
                <w:p w14:paraId="30EBEC25" w14:textId="77777777" w:rsidR="009404DD" w:rsidRDefault="009404DD" w:rsidP="007B718C">
                  <w:pPr>
                    <w:jc w:val="right"/>
                    <w:rPr>
                      <w:rFonts w:ascii="Arial" w:hAnsi="Arial" w:cs="Arial"/>
                      <w:b/>
                      <w:bCs/>
                      <w:sz w:val="24"/>
                      <w:szCs w:val="24"/>
                    </w:rPr>
                  </w:pPr>
                </w:p>
                <w:p w14:paraId="6691A137" w14:textId="648BF713" w:rsidR="007B718C" w:rsidRPr="00925EFB" w:rsidRDefault="007B718C" w:rsidP="007B718C">
                  <w:pPr>
                    <w:jc w:val="right"/>
                    <w:rPr>
                      <w:sz w:val="24"/>
                      <w:szCs w:val="24"/>
                    </w:rPr>
                  </w:pPr>
                  <w:r w:rsidRPr="00FF28D6">
                    <w:rPr>
                      <w:rFonts w:ascii="Arial" w:hAnsi="Arial" w:cs="Arial"/>
                      <w:b/>
                      <w:bCs/>
                      <w:sz w:val="24"/>
                      <w:szCs w:val="24"/>
                    </w:rPr>
                    <w:t>2015/16</w:t>
                  </w:r>
                </w:p>
              </w:tc>
              <w:tc>
                <w:tcPr>
                  <w:tcW w:w="1277" w:type="dxa"/>
                  <w:tcBorders>
                    <w:top w:val="nil"/>
                    <w:left w:val="nil"/>
                    <w:bottom w:val="single" w:sz="4" w:space="0" w:color="auto"/>
                    <w:right w:val="nil"/>
                  </w:tcBorders>
                </w:tcPr>
                <w:p w14:paraId="65CF0A33" w14:textId="77777777" w:rsidR="009404DD" w:rsidRDefault="009404DD">
                  <w:pPr>
                    <w:ind w:right="33"/>
                    <w:jc w:val="right"/>
                    <w:rPr>
                      <w:rFonts w:ascii="Arial" w:hAnsi="Arial" w:cs="Arial"/>
                      <w:b/>
                      <w:bCs/>
                      <w:sz w:val="24"/>
                      <w:szCs w:val="24"/>
                    </w:rPr>
                  </w:pPr>
                </w:p>
                <w:p w14:paraId="7BE29D82" w14:textId="597506DE" w:rsidR="007B718C" w:rsidRPr="00925EFB" w:rsidRDefault="00FF28D6">
                  <w:pPr>
                    <w:ind w:right="33"/>
                    <w:jc w:val="right"/>
                    <w:rPr>
                      <w:sz w:val="24"/>
                      <w:szCs w:val="24"/>
                    </w:rPr>
                  </w:pPr>
                  <w:r w:rsidRPr="00925EFB">
                    <w:rPr>
                      <w:rFonts w:ascii="Arial" w:hAnsi="Arial" w:cs="Arial"/>
                      <w:b/>
                      <w:bCs/>
                      <w:sz w:val="24"/>
                      <w:szCs w:val="24"/>
                    </w:rPr>
                    <w:t>%</w:t>
                  </w:r>
                  <w:r w:rsidR="007B718C" w:rsidRPr="00C82E2A">
                    <w:rPr>
                      <w:rFonts w:ascii="Arial" w:hAnsi="Arial" w:cs="Arial"/>
                      <w:b/>
                      <w:bCs/>
                      <w:sz w:val="24"/>
                      <w:szCs w:val="24"/>
                    </w:rPr>
                    <w:t xml:space="preserve"> Change</w:t>
                  </w:r>
                </w:p>
              </w:tc>
            </w:tr>
            <w:tr w:rsidR="007B718C" w14:paraId="4457665E" w14:textId="77777777" w:rsidTr="001F4E9A">
              <w:tc>
                <w:tcPr>
                  <w:tcW w:w="3001" w:type="dxa"/>
                  <w:tcBorders>
                    <w:top w:val="single" w:sz="4" w:space="0" w:color="auto"/>
                    <w:left w:val="nil"/>
                    <w:bottom w:val="nil"/>
                    <w:right w:val="nil"/>
                  </w:tcBorders>
                </w:tcPr>
                <w:p w14:paraId="38061D1E" w14:textId="1367A60C" w:rsidR="007B718C" w:rsidRPr="00D570CA" w:rsidRDefault="007B718C">
                  <w:pPr>
                    <w:jc w:val="left"/>
                    <w:rPr>
                      <w:rFonts w:ascii="Arial" w:hAnsi="Arial" w:cs="Arial"/>
                      <w:sz w:val="24"/>
                      <w:szCs w:val="24"/>
                    </w:rPr>
                  </w:pPr>
                  <w:r>
                    <w:rPr>
                      <w:rFonts w:ascii="Arial" w:hAnsi="Arial" w:cs="Arial"/>
                      <w:sz w:val="24"/>
                      <w:szCs w:val="24"/>
                    </w:rPr>
                    <w:t>Statutory</w:t>
                  </w:r>
                  <w:r w:rsidRPr="00D570CA">
                    <w:rPr>
                      <w:rFonts w:ascii="Arial" w:hAnsi="Arial" w:cs="Arial"/>
                      <w:sz w:val="24"/>
                      <w:szCs w:val="24"/>
                    </w:rPr>
                    <w:t xml:space="preserve"> sales</w:t>
                  </w:r>
                  <w:r>
                    <w:rPr>
                      <w:rFonts w:ascii="Arial" w:hAnsi="Arial" w:cs="Arial"/>
                      <w:sz w:val="24"/>
                      <w:szCs w:val="24"/>
                    </w:rPr>
                    <w:t>*</w:t>
                  </w:r>
                </w:p>
              </w:tc>
              <w:tc>
                <w:tcPr>
                  <w:tcW w:w="1545" w:type="dxa"/>
                  <w:tcBorders>
                    <w:top w:val="single" w:sz="4" w:space="0" w:color="auto"/>
                    <w:left w:val="nil"/>
                    <w:bottom w:val="nil"/>
                    <w:right w:val="nil"/>
                  </w:tcBorders>
                </w:tcPr>
                <w:p w14:paraId="5D97CF01" w14:textId="1900C742" w:rsidR="007B718C" w:rsidRDefault="007B718C" w:rsidP="007B718C">
                  <w:pPr>
                    <w:jc w:val="right"/>
                  </w:pPr>
                </w:p>
              </w:tc>
              <w:tc>
                <w:tcPr>
                  <w:tcW w:w="1150" w:type="dxa"/>
                  <w:tcBorders>
                    <w:top w:val="single" w:sz="4" w:space="0" w:color="auto"/>
                    <w:left w:val="nil"/>
                    <w:bottom w:val="nil"/>
                    <w:right w:val="nil"/>
                  </w:tcBorders>
                </w:tcPr>
                <w:p w14:paraId="23ED41AA" w14:textId="6E45CDD2" w:rsidR="007B718C" w:rsidRDefault="007B718C" w:rsidP="007B718C">
                  <w:pPr>
                    <w:jc w:val="right"/>
                  </w:pPr>
                </w:p>
              </w:tc>
              <w:tc>
                <w:tcPr>
                  <w:tcW w:w="1276" w:type="dxa"/>
                  <w:tcBorders>
                    <w:top w:val="single" w:sz="4" w:space="0" w:color="auto"/>
                    <w:left w:val="nil"/>
                    <w:bottom w:val="nil"/>
                    <w:right w:val="nil"/>
                  </w:tcBorders>
                </w:tcPr>
                <w:p w14:paraId="5FFCEA9A" w14:textId="52992DB2" w:rsidR="007B718C" w:rsidRDefault="007B718C" w:rsidP="007B718C">
                  <w:pPr>
                    <w:jc w:val="right"/>
                  </w:pPr>
                  <w:r>
                    <w:rPr>
                      <w:rFonts w:ascii="Arial" w:hAnsi="Arial" w:cs="Arial"/>
                      <w:sz w:val="24"/>
                      <w:szCs w:val="24"/>
                    </w:rPr>
                    <w:t>£5,749m</w:t>
                  </w:r>
                </w:p>
              </w:tc>
              <w:tc>
                <w:tcPr>
                  <w:tcW w:w="1272" w:type="dxa"/>
                  <w:tcBorders>
                    <w:top w:val="single" w:sz="4" w:space="0" w:color="auto"/>
                    <w:left w:val="nil"/>
                    <w:bottom w:val="nil"/>
                    <w:right w:val="nil"/>
                  </w:tcBorders>
                </w:tcPr>
                <w:p w14:paraId="04C0F99B" w14:textId="2D184DBB" w:rsidR="007B718C" w:rsidRDefault="007B718C" w:rsidP="007B718C">
                  <w:pPr>
                    <w:jc w:val="right"/>
                  </w:pPr>
                  <w:r>
                    <w:rPr>
                      <w:rFonts w:ascii="Arial" w:hAnsi="Arial" w:cs="Arial"/>
                      <w:sz w:val="24"/>
                      <w:szCs w:val="24"/>
                    </w:rPr>
                    <w:t>£5,492m</w:t>
                  </w:r>
                </w:p>
              </w:tc>
              <w:tc>
                <w:tcPr>
                  <w:tcW w:w="1277" w:type="dxa"/>
                  <w:tcBorders>
                    <w:top w:val="single" w:sz="4" w:space="0" w:color="auto"/>
                    <w:left w:val="nil"/>
                    <w:bottom w:val="nil"/>
                    <w:right w:val="nil"/>
                  </w:tcBorders>
                </w:tcPr>
                <w:p w14:paraId="7A3452BF" w14:textId="697DBC42" w:rsidR="007B718C" w:rsidRDefault="007B718C" w:rsidP="007B718C">
                  <w:pPr>
                    <w:jc w:val="right"/>
                  </w:pPr>
                  <w:r w:rsidRPr="000971B9">
                    <w:rPr>
                      <w:rFonts w:ascii="Arial" w:hAnsi="Arial" w:cs="Arial"/>
                      <w:sz w:val="24"/>
                      <w:szCs w:val="24"/>
                    </w:rPr>
                    <w:t>+</w:t>
                  </w:r>
                  <w:r>
                    <w:rPr>
                      <w:rFonts w:ascii="Arial" w:hAnsi="Arial" w:cs="Arial"/>
                      <w:sz w:val="24"/>
                      <w:szCs w:val="24"/>
                    </w:rPr>
                    <w:t>4.7</w:t>
                  </w:r>
                  <w:r w:rsidRPr="000971B9">
                    <w:rPr>
                      <w:rFonts w:ascii="Arial" w:hAnsi="Arial" w:cs="Arial"/>
                      <w:sz w:val="24"/>
                      <w:szCs w:val="24"/>
                    </w:rPr>
                    <w:t>%</w:t>
                  </w:r>
                </w:p>
              </w:tc>
            </w:tr>
            <w:tr w:rsidR="007B718C" w14:paraId="4D8F6419" w14:textId="77777777" w:rsidTr="001F4E9A">
              <w:tc>
                <w:tcPr>
                  <w:tcW w:w="3001" w:type="dxa"/>
                  <w:tcBorders>
                    <w:top w:val="nil"/>
                    <w:left w:val="nil"/>
                    <w:bottom w:val="nil"/>
                    <w:right w:val="nil"/>
                  </w:tcBorders>
                </w:tcPr>
                <w:p w14:paraId="67FEFD16" w14:textId="2EBBB483" w:rsidR="007B718C" w:rsidRPr="00D570CA" w:rsidRDefault="007B718C" w:rsidP="007B718C">
                  <w:pPr>
                    <w:jc w:val="left"/>
                    <w:rPr>
                      <w:rFonts w:ascii="Arial" w:hAnsi="Arial" w:cs="Arial"/>
                      <w:sz w:val="24"/>
                      <w:szCs w:val="24"/>
                    </w:rPr>
                  </w:pPr>
                  <w:r>
                    <w:rPr>
                      <w:rFonts w:ascii="Arial" w:hAnsi="Arial" w:cs="Arial"/>
                      <w:sz w:val="24"/>
                      <w:szCs w:val="24"/>
                    </w:rPr>
                    <w:t>Statutory pre-tax profit</w:t>
                  </w:r>
                </w:p>
              </w:tc>
              <w:tc>
                <w:tcPr>
                  <w:tcW w:w="1545" w:type="dxa"/>
                  <w:tcBorders>
                    <w:top w:val="nil"/>
                    <w:left w:val="nil"/>
                    <w:bottom w:val="nil"/>
                    <w:right w:val="nil"/>
                  </w:tcBorders>
                </w:tcPr>
                <w:p w14:paraId="3C402622" w14:textId="42E35234" w:rsidR="007B718C" w:rsidRDefault="007B718C" w:rsidP="007B718C">
                  <w:pPr>
                    <w:jc w:val="right"/>
                  </w:pPr>
                </w:p>
              </w:tc>
              <w:tc>
                <w:tcPr>
                  <w:tcW w:w="1150" w:type="dxa"/>
                  <w:tcBorders>
                    <w:top w:val="nil"/>
                    <w:left w:val="nil"/>
                    <w:bottom w:val="nil"/>
                    <w:right w:val="nil"/>
                  </w:tcBorders>
                </w:tcPr>
                <w:p w14:paraId="0403CAD6" w14:textId="2EA5E8A6" w:rsidR="007B718C" w:rsidRDefault="007B718C" w:rsidP="007B718C">
                  <w:pPr>
                    <w:jc w:val="right"/>
                  </w:pPr>
                </w:p>
              </w:tc>
              <w:tc>
                <w:tcPr>
                  <w:tcW w:w="1276" w:type="dxa"/>
                  <w:tcBorders>
                    <w:top w:val="nil"/>
                    <w:left w:val="nil"/>
                    <w:bottom w:val="nil"/>
                    <w:right w:val="nil"/>
                  </w:tcBorders>
                </w:tcPr>
                <w:p w14:paraId="2089171C" w14:textId="1E5C2565" w:rsidR="007B718C" w:rsidRDefault="007B718C" w:rsidP="007B718C">
                  <w:pPr>
                    <w:jc w:val="right"/>
                  </w:pPr>
                  <w:r>
                    <w:rPr>
                      <w:rFonts w:ascii="Arial" w:hAnsi="Arial" w:cs="Arial"/>
                      <w:sz w:val="24"/>
                      <w:szCs w:val="24"/>
                    </w:rPr>
                    <w:t>£427m</w:t>
                  </w:r>
                </w:p>
              </w:tc>
              <w:tc>
                <w:tcPr>
                  <w:tcW w:w="1272" w:type="dxa"/>
                  <w:tcBorders>
                    <w:top w:val="nil"/>
                    <w:left w:val="nil"/>
                    <w:bottom w:val="nil"/>
                    <w:right w:val="nil"/>
                  </w:tcBorders>
                </w:tcPr>
                <w:p w14:paraId="46485CD2" w14:textId="07DF447F" w:rsidR="007B718C" w:rsidRDefault="007B718C" w:rsidP="007B718C">
                  <w:pPr>
                    <w:jc w:val="right"/>
                  </w:pPr>
                  <w:r>
                    <w:rPr>
                      <w:rFonts w:ascii="Arial" w:hAnsi="Arial" w:cs="Arial"/>
                      <w:sz w:val="24"/>
                      <w:szCs w:val="24"/>
                    </w:rPr>
                    <w:t>£386m</w:t>
                  </w:r>
                </w:p>
              </w:tc>
              <w:tc>
                <w:tcPr>
                  <w:tcW w:w="1277" w:type="dxa"/>
                  <w:tcBorders>
                    <w:top w:val="nil"/>
                    <w:left w:val="nil"/>
                    <w:bottom w:val="nil"/>
                    <w:right w:val="nil"/>
                  </w:tcBorders>
                </w:tcPr>
                <w:p w14:paraId="611DC159" w14:textId="17AC2624" w:rsidR="007B718C" w:rsidRPr="00925EFB" w:rsidRDefault="007B718C" w:rsidP="007B718C">
                  <w:pPr>
                    <w:jc w:val="right"/>
                    <w:rPr>
                      <w:rFonts w:ascii="Arial" w:hAnsi="Arial" w:cs="Arial"/>
                      <w:sz w:val="24"/>
                      <w:szCs w:val="24"/>
                    </w:rPr>
                  </w:pPr>
                  <w:r w:rsidRPr="00925EFB">
                    <w:rPr>
                      <w:rFonts w:ascii="Arial" w:hAnsi="Arial" w:cs="Arial"/>
                      <w:sz w:val="24"/>
                      <w:szCs w:val="24"/>
                    </w:rPr>
                    <w:t>+10.6%</w:t>
                  </w:r>
                </w:p>
              </w:tc>
            </w:tr>
            <w:tr w:rsidR="007B718C" w14:paraId="4A3EC87C" w14:textId="77777777" w:rsidTr="001F4E9A">
              <w:tc>
                <w:tcPr>
                  <w:tcW w:w="3001" w:type="dxa"/>
                  <w:tcBorders>
                    <w:top w:val="nil"/>
                    <w:left w:val="nil"/>
                    <w:bottom w:val="nil"/>
                    <w:right w:val="nil"/>
                  </w:tcBorders>
                </w:tcPr>
                <w:p w14:paraId="10FFFB16" w14:textId="49B0806D" w:rsidR="007B718C" w:rsidRPr="00D570CA" w:rsidRDefault="007B718C" w:rsidP="007B718C">
                  <w:pPr>
                    <w:jc w:val="left"/>
                    <w:rPr>
                      <w:rFonts w:ascii="Arial" w:hAnsi="Arial" w:cs="Arial"/>
                      <w:sz w:val="24"/>
                      <w:szCs w:val="24"/>
                    </w:rPr>
                  </w:pPr>
                  <w:r>
                    <w:rPr>
                      <w:rFonts w:ascii="Arial" w:hAnsi="Arial" w:cs="Arial"/>
                      <w:sz w:val="24"/>
                      <w:szCs w:val="24"/>
                    </w:rPr>
                    <w:t>Statutory post-tax profit</w:t>
                  </w:r>
                </w:p>
              </w:tc>
              <w:tc>
                <w:tcPr>
                  <w:tcW w:w="1545" w:type="dxa"/>
                  <w:tcBorders>
                    <w:top w:val="nil"/>
                    <w:left w:val="nil"/>
                    <w:bottom w:val="nil"/>
                    <w:right w:val="nil"/>
                  </w:tcBorders>
                </w:tcPr>
                <w:p w14:paraId="475032F7" w14:textId="5B637C66" w:rsidR="007B718C" w:rsidRDefault="007B718C" w:rsidP="007B718C">
                  <w:pPr>
                    <w:jc w:val="right"/>
                  </w:pPr>
                </w:p>
              </w:tc>
              <w:tc>
                <w:tcPr>
                  <w:tcW w:w="1150" w:type="dxa"/>
                  <w:tcBorders>
                    <w:top w:val="nil"/>
                    <w:left w:val="nil"/>
                    <w:bottom w:val="nil"/>
                    <w:right w:val="nil"/>
                  </w:tcBorders>
                </w:tcPr>
                <w:p w14:paraId="6ABFFB81" w14:textId="66E53226" w:rsidR="007B718C" w:rsidRDefault="007B718C" w:rsidP="007B718C">
                  <w:pPr>
                    <w:jc w:val="right"/>
                  </w:pPr>
                </w:p>
              </w:tc>
              <w:tc>
                <w:tcPr>
                  <w:tcW w:w="1276" w:type="dxa"/>
                  <w:tcBorders>
                    <w:top w:val="nil"/>
                    <w:left w:val="nil"/>
                    <w:bottom w:val="nil"/>
                    <w:right w:val="nil"/>
                  </w:tcBorders>
                </w:tcPr>
                <w:p w14:paraId="62207288" w14:textId="5187123A" w:rsidR="007B718C" w:rsidRDefault="007B718C" w:rsidP="007B718C">
                  <w:pPr>
                    <w:jc w:val="right"/>
                  </w:pPr>
                  <w:r>
                    <w:rPr>
                      <w:rFonts w:ascii="Arial" w:hAnsi="Arial" w:cs="Arial"/>
                      <w:sz w:val="24"/>
                      <w:szCs w:val="24"/>
                    </w:rPr>
                    <w:t>£321m</w:t>
                  </w:r>
                </w:p>
              </w:tc>
              <w:tc>
                <w:tcPr>
                  <w:tcW w:w="1272" w:type="dxa"/>
                  <w:tcBorders>
                    <w:top w:val="nil"/>
                    <w:left w:val="nil"/>
                    <w:bottom w:val="nil"/>
                    <w:right w:val="nil"/>
                  </w:tcBorders>
                </w:tcPr>
                <w:p w14:paraId="11D6B01D" w14:textId="45D3185B" w:rsidR="007B718C" w:rsidRPr="00925EFB" w:rsidRDefault="007B718C" w:rsidP="007B718C">
                  <w:pPr>
                    <w:jc w:val="right"/>
                    <w:rPr>
                      <w:rFonts w:ascii="Arial" w:hAnsi="Arial" w:cs="Arial"/>
                      <w:sz w:val="24"/>
                      <w:szCs w:val="24"/>
                    </w:rPr>
                  </w:pPr>
                  <w:r w:rsidRPr="00925EFB">
                    <w:rPr>
                      <w:rFonts w:ascii="Arial" w:hAnsi="Arial" w:cs="Arial"/>
                      <w:sz w:val="24"/>
                      <w:szCs w:val="24"/>
                    </w:rPr>
                    <w:t>£318m</w:t>
                  </w:r>
                </w:p>
              </w:tc>
              <w:tc>
                <w:tcPr>
                  <w:tcW w:w="1277" w:type="dxa"/>
                  <w:tcBorders>
                    <w:top w:val="nil"/>
                    <w:left w:val="nil"/>
                    <w:bottom w:val="nil"/>
                    <w:right w:val="nil"/>
                  </w:tcBorders>
                </w:tcPr>
                <w:p w14:paraId="742F00CE" w14:textId="4E5A3A5E" w:rsidR="007B718C" w:rsidRPr="00925EFB" w:rsidRDefault="007B718C" w:rsidP="007B718C">
                  <w:pPr>
                    <w:jc w:val="right"/>
                    <w:rPr>
                      <w:rFonts w:ascii="Arial" w:hAnsi="Arial" w:cs="Arial"/>
                      <w:sz w:val="24"/>
                      <w:szCs w:val="24"/>
                    </w:rPr>
                  </w:pPr>
                  <w:r w:rsidRPr="00925EFB">
                    <w:rPr>
                      <w:rFonts w:ascii="Arial" w:hAnsi="Arial" w:cs="Arial"/>
                      <w:sz w:val="24"/>
                      <w:szCs w:val="24"/>
                    </w:rPr>
                    <w:t>+0.9%</w:t>
                  </w:r>
                </w:p>
              </w:tc>
            </w:tr>
            <w:tr w:rsidR="007B718C" w14:paraId="2EF40DE3" w14:textId="77777777" w:rsidTr="001F4E9A">
              <w:tc>
                <w:tcPr>
                  <w:tcW w:w="3001" w:type="dxa"/>
                  <w:tcBorders>
                    <w:top w:val="nil"/>
                    <w:left w:val="nil"/>
                    <w:bottom w:val="nil"/>
                    <w:right w:val="nil"/>
                  </w:tcBorders>
                </w:tcPr>
                <w:p w14:paraId="659E1B61" w14:textId="79A80EFC" w:rsidR="007B718C" w:rsidRPr="00D570CA" w:rsidRDefault="007B718C" w:rsidP="007B718C">
                  <w:pPr>
                    <w:jc w:val="left"/>
                    <w:rPr>
                      <w:rFonts w:ascii="Arial" w:hAnsi="Arial" w:cs="Arial"/>
                      <w:sz w:val="24"/>
                      <w:szCs w:val="24"/>
                    </w:rPr>
                  </w:pPr>
                  <w:r>
                    <w:rPr>
                      <w:rFonts w:ascii="Arial" w:hAnsi="Arial" w:cs="Arial"/>
                      <w:sz w:val="24"/>
                      <w:szCs w:val="24"/>
                    </w:rPr>
                    <w:t>Basic EPS</w:t>
                  </w:r>
                </w:p>
              </w:tc>
              <w:tc>
                <w:tcPr>
                  <w:tcW w:w="1545" w:type="dxa"/>
                  <w:tcBorders>
                    <w:top w:val="nil"/>
                    <w:left w:val="nil"/>
                    <w:bottom w:val="nil"/>
                    <w:right w:val="nil"/>
                  </w:tcBorders>
                </w:tcPr>
                <w:p w14:paraId="7D8D4C60" w14:textId="08845277" w:rsidR="007B718C" w:rsidRDefault="007B718C" w:rsidP="007B718C">
                  <w:pPr>
                    <w:jc w:val="right"/>
                  </w:pPr>
                </w:p>
              </w:tc>
              <w:tc>
                <w:tcPr>
                  <w:tcW w:w="1150" w:type="dxa"/>
                  <w:tcBorders>
                    <w:top w:val="nil"/>
                    <w:left w:val="nil"/>
                    <w:bottom w:val="nil"/>
                    <w:right w:val="nil"/>
                  </w:tcBorders>
                </w:tcPr>
                <w:p w14:paraId="30B7ED8C" w14:textId="5A9D3E9B" w:rsidR="007B718C" w:rsidRDefault="007B718C" w:rsidP="007B718C">
                  <w:pPr>
                    <w:jc w:val="right"/>
                  </w:pPr>
                </w:p>
              </w:tc>
              <w:tc>
                <w:tcPr>
                  <w:tcW w:w="1276" w:type="dxa"/>
                  <w:tcBorders>
                    <w:top w:val="nil"/>
                    <w:left w:val="nil"/>
                    <w:bottom w:val="nil"/>
                    <w:right w:val="nil"/>
                  </w:tcBorders>
                </w:tcPr>
                <w:p w14:paraId="1B20D247" w14:textId="22091C80" w:rsidR="007B718C" w:rsidRDefault="007B718C" w:rsidP="007B718C">
                  <w:pPr>
                    <w:jc w:val="right"/>
                  </w:pPr>
                  <w:r>
                    <w:rPr>
                      <w:rFonts w:ascii="Arial" w:hAnsi="Arial" w:cs="Arial"/>
                      <w:sz w:val="24"/>
                      <w:szCs w:val="24"/>
                    </w:rPr>
                    <w:t>14.1p</w:t>
                  </w:r>
                </w:p>
              </w:tc>
              <w:tc>
                <w:tcPr>
                  <w:tcW w:w="1272" w:type="dxa"/>
                  <w:tcBorders>
                    <w:top w:val="nil"/>
                    <w:left w:val="nil"/>
                    <w:bottom w:val="nil"/>
                    <w:right w:val="nil"/>
                  </w:tcBorders>
                </w:tcPr>
                <w:p w14:paraId="552FAD08" w14:textId="09F9EABC" w:rsidR="007B718C" w:rsidRPr="00925EFB" w:rsidRDefault="007B718C" w:rsidP="00925EFB">
                  <w:pPr>
                    <w:jc w:val="right"/>
                    <w:rPr>
                      <w:rFonts w:ascii="Arial" w:hAnsi="Arial" w:cs="Arial"/>
                      <w:sz w:val="24"/>
                      <w:szCs w:val="24"/>
                    </w:rPr>
                  </w:pPr>
                  <w:r w:rsidRPr="00925EFB">
                    <w:rPr>
                      <w:rFonts w:ascii="Arial" w:hAnsi="Arial" w:cs="Arial"/>
                      <w:sz w:val="24"/>
                      <w:szCs w:val="24"/>
                    </w:rPr>
                    <w:t>13.6p</w:t>
                  </w:r>
                </w:p>
              </w:tc>
              <w:tc>
                <w:tcPr>
                  <w:tcW w:w="1277" w:type="dxa"/>
                  <w:tcBorders>
                    <w:top w:val="nil"/>
                    <w:left w:val="nil"/>
                    <w:bottom w:val="nil"/>
                    <w:right w:val="nil"/>
                  </w:tcBorders>
                </w:tcPr>
                <w:p w14:paraId="6989612E" w14:textId="77777777" w:rsidR="007B718C" w:rsidRDefault="007B718C" w:rsidP="00925EFB">
                  <w:pPr>
                    <w:jc w:val="right"/>
                    <w:rPr>
                      <w:rFonts w:ascii="Arial" w:hAnsi="Arial" w:cs="Arial"/>
                      <w:sz w:val="24"/>
                      <w:szCs w:val="24"/>
                    </w:rPr>
                  </w:pPr>
                  <w:r w:rsidRPr="00925EFB">
                    <w:rPr>
                      <w:rFonts w:ascii="Arial" w:hAnsi="Arial" w:cs="Arial"/>
                      <w:sz w:val="24"/>
                      <w:szCs w:val="24"/>
                    </w:rPr>
                    <w:t>+3.7%</w:t>
                  </w:r>
                </w:p>
                <w:p w14:paraId="210DF170" w14:textId="4DB1C546" w:rsidR="009404DD" w:rsidRPr="00925EFB" w:rsidRDefault="009404DD" w:rsidP="00925EFB">
                  <w:pPr>
                    <w:jc w:val="right"/>
                    <w:rPr>
                      <w:rFonts w:ascii="Arial" w:hAnsi="Arial" w:cs="Arial"/>
                      <w:sz w:val="24"/>
                      <w:szCs w:val="24"/>
                    </w:rPr>
                  </w:pPr>
                </w:p>
              </w:tc>
            </w:tr>
          </w:tbl>
          <w:p w14:paraId="39158B6A" w14:textId="77777777" w:rsidR="007B718C" w:rsidRDefault="007B718C" w:rsidP="00440B16">
            <w:pPr>
              <w:rPr>
                <w:rFonts w:ascii="Arial" w:hAnsi="Arial" w:cs="Arial"/>
                <w:b/>
                <w:bCs/>
                <w:sz w:val="24"/>
                <w:szCs w:val="24"/>
                <w:u w:val="single"/>
              </w:rPr>
            </w:pPr>
          </w:p>
        </w:tc>
      </w:tr>
    </w:tbl>
    <w:p w14:paraId="52C740A9" w14:textId="77777777" w:rsidR="009404DD" w:rsidRDefault="009404DD" w:rsidP="00FD4DC7">
      <w:pPr>
        <w:rPr>
          <w:rFonts w:ascii="Arial" w:hAnsi="Arial" w:cs="Arial"/>
          <w:b/>
          <w:sz w:val="24"/>
          <w:szCs w:val="24"/>
        </w:rPr>
      </w:pPr>
    </w:p>
    <w:p w14:paraId="2B0C3BEF" w14:textId="525B9A8B" w:rsidR="00FD4DC7" w:rsidRPr="000971B9" w:rsidRDefault="00FD4DC7" w:rsidP="00FD4DC7">
      <w:pPr>
        <w:rPr>
          <w:rFonts w:ascii="Arial" w:hAnsi="Arial" w:cs="Arial"/>
          <w:b/>
          <w:bCs/>
          <w:sz w:val="24"/>
          <w:szCs w:val="24"/>
        </w:rPr>
      </w:pPr>
      <w:r w:rsidRPr="008A515C">
        <w:rPr>
          <w:rFonts w:ascii="Arial" w:hAnsi="Arial" w:cs="Arial"/>
          <w:b/>
          <w:sz w:val="24"/>
          <w:szCs w:val="24"/>
        </w:rPr>
        <w:t>Véronique Laury, C</w:t>
      </w:r>
      <w:r>
        <w:rPr>
          <w:rFonts w:ascii="Arial" w:hAnsi="Arial" w:cs="Arial"/>
          <w:b/>
          <w:sz w:val="24"/>
          <w:szCs w:val="24"/>
        </w:rPr>
        <w:t>hief Executive</w:t>
      </w:r>
      <w:r w:rsidR="007C47AE">
        <w:rPr>
          <w:rFonts w:ascii="Arial" w:hAnsi="Arial" w:cs="Arial"/>
          <w:b/>
          <w:sz w:val="24"/>
          <w:szCs w:val="24"/>
        </w:rPr>
        <w:t xml:space="preserve"> Officer</w:t>
      </w:r>
      <w:r w:rsidRPr="008A515C">
        <w:rPr>
          <w:rFonts w:ascii="Arial" w:hAnsi="Arial" w:cs="Arial"/>
          <w:b/>
          <w:sz w:val="24"/>
          <w:szCs w:val="24"/>
        </w:rPr>
        <w:t>, said</w:t>
      </w:r>
      <w:r>
        <w:rPr>
          <w:rFonts w:ascii="Arial" w:hAnsi="Arial" w:cs="Arial"/>
          <w:b/>
          <w:bCs/>
          <w:sz w:val="24"/>
          <w:szCs w:val="24"/>
        </w:rPr>
        <w:t>:</w:t>
      </w:r>
    </w:p>
    <w:p w14:paraId="33495A26" w14:textId="1FC09E4C" w:rsidR="004F1839" w:rsidRDefault="004F1839" w:rsidP="00926779">
      <w:pPr>
        <w:jc w:val="left"/>
        <w:rPr>
          <w:rFonts w:ascii="Arial" w:hAnsi="Arial" w:cs="Arial"/>
          <w:bCs/>
          <w:sz w:val="24"/>
          <w:szCs w:val="24"/>
          <w:highlight w:val="yellow"/>
        </w:rPr>
      </w:pPr>
    </w:p>
    <w:p w14:paraId="182DD863" w14:textId="575141D7" w:rsidR="00DC3143" w:rsidRPr="00DC3143" w:rsidRDefault="00552592" w:rsidP="000F07BB">
      <w:pPr>
        <w:jc w:val="left"/>
        <w:rPr>
          <w:rFonts w:ascii="Arial" w:hAnsi="Arial" w:cs="Arial"/>
          <w:bCs/>
          <w:sz w:val="24"/>
          <w:szCs w:val="24"/>
        </w:rPr>
      </w:pPr>
      <w:r>
        <w:rPr>
          <w:rFonts w:ascii="Arial" w:hAnsi="Arial" w:cs="Arial"/>
          <w:bCs/>
          <w:sz w:val="24"/>
          <w:szCs w:val="24"/>
        </w:rPr>
        <w:t>“</w:t>
      </w:r>
      <w:r w:rsidR="000F3A45">
        <w:rPr>
          <w:rFonts w:ascii="Arial" w:hAnsi="Arial" w:cs="Arial"/>
          <w:bCs/>
          <w:sz w:val="24"/>
          <w:szCs w:val="24"/>
        </w:rPr>
        <w:t>It has</w:t>
      </w:r>
      <w:r w:rsidR="00DC3143" w:rsidRPr="00DC3143">
        <w:rPr>
          <w:rFonts w:ascii="Arial" w:hAnsi="Arial" w:cs="Arial"/>
          <w:bCs/>
          <w:sz w:val="24"/>
          <w:szCs w:val="24"/>
        </w:rPr>
        <w:t xml:space="preserve"> been a productive first half. </w:t>
      </w:r>
      <w:r w:rsidR="00D43BAC">
        <w:rPr>
          <w:rFonts w:ascii="Arial" w:hAnsi="Arial" w:cs="Arial"/>
          <w:bCs/>
          <w:sz w:val="24"/>
          <w:szCs w:val="24"/>
        </w:rPr>
        <w:t>W</w:t>
      </w:r>
      <w:r w:rsidR="00D43BAC" w:rsidRPr="00DC3143">
        <w:rPr>
          <w:rFonts w:ascii="Arial" w:hAnsi="Arial" w:cs="Arial"/>
          <w:bCs/>
          <w:sz w:val="24"/>
          <w:szCs w:val="24"/>
        </w:rPr>
        <w:t xml:space="preserve">e have delivered a </w:t>
      </w:r>
      <w:r w:rsidR="00D43BAC">
        <w:rPr>
          <w:rFonts w:ascii="Arial" w:hAnsi="Arial" w:cs="Arial"/>
          <w:bCs/>
          <w:sz w:val="24"/>
          <w:szCs w:val="24"/>
        </w:rPr>
        <w:t>good</w:t>
      </w:r>
      <w:r w:rsidR="00D43BAC" w:rsidRPr="00DC3143">
        <w:rPr>
          <w:rFonts w:ascii="Arial" w:hAnsi="Arial" w:cs="Arial"/>
          <w:bCs/>
          <w:sz w:val="24"/>
          <w:szCs w:val="24"/>
        </w:rPr>
        <w:t xml:space="preserve"> 'business as usual' result with both sales and profit growth. </w:t>
      </w:r>
      <w:r w:rsidR="000F3A45">
        <w:rPr>
          <w:rFonts w:ascii="Arial" w:hAnsi="Arial" w:cs="Arial"/>
          <w:bCs/>
          <w:sz w:val="24"/>
          <w:szCs w:val="24"/>
        </w:rPr>
        <w:t>Performance</w:t>
      </w:r>
      <w:r w:rsidR="00D43BAC" w:rsidRPr="00DC3143">
        <w:rPr>
          <w:rFonts w:ascii="Arial" w:hAnsi="Arial" w:cs="Arial"/>
          <w:bCs/>
          <w:sz w:val="24"/>
          <w:szCs w:val="24"/>
        </w:rPr>
        <w:t xml:space="preserve"> </w:t>
      </w:r>
      <w:r w:rsidR="000F3A45">
        <w:rPr>
          <w:rFonts w:ascii="Arial" w:hAnsi="Arial" w:cs="Arial"/>
          <w:bCs/>
          <w:sz w:val="24"/>
          <w:szCs w:val="24"/>
        </w:rPr>
        <w:t xml:space="preserve">has </w:t>
      </w:r>
      <w:r w:rsidR="00D43BAC" w:rsidRPr="00DC3143">
        <w:rPr>
          <w:rFonts w:ascii="Arial" w:hAnsi="Arial" w:cs="Arial"/>
          <w:bCs/>
          <w:sz w:val="24"/>
          <w:szCs w:val="24"/>
        </w:rPr>
        <w:t xml:space="preserve">been driven by Poland and the UK, especially Screwfix, and a stable </w:t>
      </w:r>
      <w:r w:rsidR="00D43BAC">
        <w:rPr>
          <w:rFonts w:ascii="Arial" w:hAnsi="Arial" w:cs="Arial"/>
          <w:bCs/>
          <w:sz w:val="24"/>
          <w:szCs w:val="24"/>
        </w:rPr>
        <w:t xml:space="preserve">profit </w:t>
      </w:r>
      <w:r w:rsidR="00D43BAC" w:rsidRPr="00DC3143">
        <w:rPr>
          <w:rFonts w:ascii="Arial" w:hAnsi="Arial" w:cs="Arial"/>
          <w:bCs/>
          <w:sz w:val="24"/>
          <w:szCs w:val="24"/>
        </w:rPr>
        <w:t xml:space="preserve">performance in France. </w:t>
      </w:r>
      <w:r w:rsidR="00D43BAC">
        <w:rPr>
          <w:rFonts w:ascii="Arial" w:hAnsi="Arial" w:cs="Arial"/>
          <w:bCs/>
          <w:sz w:val="24"/>
          <w:szCs w:val="24"/>
        </w:rPr>
        <w:t>This has been achieved a</w:t>
      </w:r>
      <w:r w:rsidR="00DC3143" w:rsidRPr="00DC3143">
        <w:rPr>
          <w:rFonts w:ascii="Arial" w:hAnsi="Arial" w:cs="Arial"/>
          <w:bCs/>
          <w:sz w:val="24"/>
          <w:szCs w:val="24"/>
        </w:rPr>
        <w:t xml:space="preserve">longside managing the start of our ambitious transformation plan, based on </w:t>
      </w:r>
      <w:r w:rsidR="00BF24D7">
        <w:rPr>
          <w:rFonts w:ascii="Arial" w:hAnsi="Arial" w:cs="Arial"/>
          <w:bCs/>
          <w:sz w:val="24"/>
          <w:szCs w:val="24"/>
        </w:rPr>
        <w:t xml:space="preserve">creating a unified company where </w:t>
      </w:r>
      <w:r w:rsidR="00DC3143" w:rsidRPr="00DC3143">
        <w:rPr>
          <w:rFonts w:ascii="Arial" w:hAnsi="Arial" w:cs="Arial"/>
          <w:bCs/>
          <w:sz w:val="24"/>
          <w:szCs w:val="24"/>
        </w:rPr>
        <w:t xml:space="preserve">customer needs </w:t>
      </w:r>
      <w:r w:rsidR="00BF24D7">
        <w:rPr>
          <w:rFonts w:ascii="Arial" w:hAnsi="Arial" w:cs="Arial"/>
          <w:bCs/>
          <w:sz w:val="24"/>
          <w:szCs w:val="24"/>
        </w:rPr>
        <w:t xml:space="preserve">come </w:t>
      </w:r>
      <w:r w:rsidR="00DC3143" w:rsidRPr="00DC3143">
        <w:rPr>
          <w:rFonts w:ascii="Arial" w:hAnsi="Arial" w:cs="Arial"/>
          <w:bCs/>
          <w:sz w:val="24"/>
          <w:szCs w:val="24"/>
        </w:rPr>
        <w:t>first</w:t>
      </w:r>
      <w:r w:rsidR="00BF24D7">
        <w:rPr>
          <w:rFonts w:ascii="Arial" w:hAnsi="Arial" w:cs="Arial"/>
          <w:bCs/>
          <w:sz w:val="24"/>
          <w:szCs w:val="24"/>
        </w:rPr>
        <w:t xml:space="preserve">. </w:t>
      </w:r>
      <w:r w:rsidR="00DC3143" w:rsidRPr="00DC3143">
        <w:rPr>
          <w:rFonts w:ascii="Arial" w:hAnsi="Arial" w:cs="Arial"/>
          <w:bCs/>
          <w:sz w:val="24"/>
          <w:szCs w:val="24"/>
        </w:rPr>
        <w:t xml:space="preserve"> </w:t>
      </w:r>
    </w:p>
    <w:p w14:paraId="31D2FB86" w14:textId="77777777" w:rsidR="00DC3143" w:rsidRPr="00DC3143" w:rsidRDefault="00DC3143" w:rsidP="000F07BB">
      <w:pPr>
        <w:jc w:val="left"/>
        <w:rPr>
          <w:rFonts w:ascii="Arial" w:hAnsi="Arial" w:cs="Arial"/>
          <w:bCs/>
          <w:sz w:val="24"/>
          <w:szCs w:val="24"/>
        </w:rPr>
      </w:pPr>
    </w:p>
    <w:p w14:paraId="2002CACA" w14:textId="0B0FC55C" w:rsidR="00DC3143" w:rsidRPr="00DC3143" w:rsidRDefault="00C0717D" w:rsidP="000F07BB">
      <w:pPr>
        <w:jc w:val="left"/>
        <w:rPr>
          <w:rFonts w:ascii="Arial" w:hAnsi="Arial" w:cs="Arial"/>
          <w:bCs/>
          <w:sz w:val="24"/>
          <w:szCs w:val="24"/>
        </w:rPr>
      </w:pPr>
      <w:r>
        <w:rPr>
          <w:rFonts w:ascii="Arial" w:hAnsi="Arial" w:cs="Arial"/>
          <w:bCs/>
          <w:sz w:val="24"/>
          <w:szCs w:val="24"/>
        </w:rPr>
        <w:t>“</w:t>
      </w:r>
      <w:r w:rsidR="007341CC">
        <w:rPr>
          <w:rFonts w:ascii="Arial" w:hAnsi="Arial" w:cs="Arial"/>
          <w:bCs/>
          <w:sz w:val="24"/>
          <w:szCs w:val="24"/>
        </w:rPr>
        <w:t>I</w:t>
      </w:r>
      <w:r w:rsidR="00DC3143" w:rsidRPr="00DC3143">
        <w:rPr>
          <w:rFonts w:ascii="Arial" w:hAnsi="Arial" w:cs="Arial"/>
          <w:bCs/>
          <w:sz w:val="24"/>
          <w:szCs w:val="24"/>
        </w:rPr>
        <w:t xml:space="preserve">n the UK, the EU referendum has created uncertainty for the economic outlook, even though there has been no clear evidence of an impact on demand so far on our businesses. In France we remain cautious on the short term outlook. </w:t>
      </w:r>
    </w:p>
    <w:p w14:paraId="262A7CE1" w14:textId="77777777" w:rsidR="00DC3143" w:rsidRPr="00DC3143" w:rsidRDefault="00DC3143" w:rsidP="000F07BB">
      <w:pPr>
        <w:jc w:val="left"/>
        <w:rPr>
          <w:rFonts w:ascii="Arial" w:hAnsi="Arial" w:cs="Arial"/>
          <w:bCs/>
          <w:sz w:val="24"/>
          <w:szCs w:val="24"/>
        </w:rPr>
      </w:pPr>
    </w:p>
    <w:p w14:paraId="470580E1" w14:textId="2AE54DAA" w:rsidR="00DC3143" w:rsidRPr="00DC3143" w:rsidRDefault="00C0717D" w:rsidP="000F07BB">
      <w:pPr>
        <w:jc w:val="left"/>
        <w:rPr>
          <w:rFonts w:ascii="Arial" w:hAnsi="Arial" w:cs="Arial"/>
          <w:bCs/>
          <w:sz w:val="24"/>
          <w:szCs w:val="24"/>
        </w:rPr>
      </w:pPr>
      <w:r>
        <w:rPr>
          <w:rFonts w:ascii="Arial" w:hAnsi="Arial" w:cs="Arial"/>
          <w:bCs/>
          <w:sz w:val="24"/>
          <w:szCs w:val="24"/>
        </w:rPr>
        <w:t>“</w:t>
      </w:r>
      <w:r w:rsidR="00DC3143" w:rsidRPr="00DC3143">
        <w:rPr>
          <w:rFonts w:ascii="Arial" w:hAnsi="Arial" w:cs="Arial"/>
          <w:bCs/>
          <w:sz w:val="24"/>
          <w:szCs w:val="24"/>
        </w:rPr>
        <w:t xml:space="preserve">Looking longer term, we are starting to build solid foundations to enable us to deliver our </w:t>
      </w:r>
      <w:r w:rsidR="00AC2B0B">
        <w:rPr>
          <w:rFonts w:ascii="Arial" w:hAnsi="Arial" w:cs="Arial"/>
          <w:bCs/>
          <w:sz w:val="24"/>
          <w:szCs w:val="24"/>
        </w:rPr>
        <w:t>five</w:t>
      </w:r>
      <w:r w:rsidR="00AC2B0B" w:rsidRPr="00DC3143">
        <w:rPr>
          <w:rFonts w:ascii="Arial" w:hAnsi="Arial" w:cs="Arial"/>
          <w:bCs/>
          <w:sz w:val="24"/>
          <w:szCs w:val="24"/>
        </w:rPr>
        <w:t xml:space="preserve"> </w:t>
      </w:r>
      <w:r w:rsidR="00DC3143" w:rsidRPr="00DC3143">
        <w:rPr>
          <w:rFonts w:ascii="Arial" w:hAnsi="Arial" w:cs="Arial"/>
          <w:bCs/>
          <w:sz w:val="24"/>
          <w:szCs w:val="24"/>
        </w:rPr>
        <w:t xml:space="preserve">year transformation, </w:t>
      </w:r>
      <w:r w:rsidR="00BF24D7">
        <w:rPr>
          <w:rFonts w:ascii="Arial" w:hAnsi="Arial" w:cs="Arial"/>
          <w:bCs/>
          <w:sz w:val="24"/>
          <w:szCs w:val="24"/>
        </w:rPr>
        <w:t xml:space="preserve">which is </w:t>
      </w:r>
      <w:r w:rsidR="00DC3143" w:rsidRPr="00DC3143">
        <w:rPr>
          <w:rFonts w:ascii="Arial" w:hAnsi="Arial" w:cs="Arial"/>
          <w:bCs/>
          <w:sz w:val="24"/>
          <w:szCs w:val="24"/>
        </w:rPr>
        <w:t xml:space="preserve">our key growth driver. We </w:t>
      </w:r>
      <w:r w:rsidR="007341CC">
        <w:rPr>
          <w:rFonts w:ascii="Arial" w:hAnsi="Arial" w:cs="Arial"/>
          <w:bCs/>
          <w:sz w:val="24"/>
          <w:szCs w:val="24"/>
        </w:rPr>
        <w:t>are</w:t>
      </w:r>
      <w:r w:rsidR="00DC3143" w:rsidRPr="00DC3143">
        <w:rPr>
          <w:rFonts w:ascii="Arial" w:hAnsi="Arial" w:cs="Arial"/>
          <w:bCs/>
          <w:sz w:val="24"/>
          <w:szCs w:val="24"/>
        </w:rPr>
        <w:t xml:space="preserve"> </w:t>
      </w:r>
      <w:r w:rsidR="00BF24D7">
        <w:rPr>
          <w:rFonts w:ascii="Arial" w:hAnsi="Arial" w:cs="Arial"/>
          <w:bCs/>
          <w:sz w:val="24"/>
          <w:szCs w:val="24"/>
        </w:rPr>
        <w:t>making</w:t>
      </w:r>
      <w:r w:rsidR="00DC3143" w:rsidRPr="00DC3143">
        <w:rPr>
          <w:rFonts w:ascii="Arial" w:hAnsi="Arial" w:cs="Arial"/>
          <w:bCs/>
          <w:sz w:val="24"/>
          <w:szCs w:val="24"/>
        </w:rPr>
        <w:t xml:space="preserve"> good progress on our </w:t>
      </w:r>
      <w:r w:rsidR="00DC3339">
        <w:rPr>
          <w:rFonts w:ascii="Arial" w:hAnsi="Arial" w:cs="Arial"/>
          <w:bCs/>
          <w:sz w:val="24"/>
          <w:szCs w:val="24"/>
        </w:rPr>
        <w:t>strategic</w:t>
      </w:r>
      <w:r w:rsidR="00DC3143" w:rsidRPr="00DC3143">
        <w:rPr>
          <w:rFonts w:ascii="Arial" w:hAnsi="Arial" w:cs="Arial"/>
          <w:bCs/>
          <w:sz w:val="24"/>
          <w:szCs w:val="24"/>
        </w:rPr>
        <w:t xml:space="preserve"> milestones for this first year and we are on track. </w:t>
      </w:r>
      <w:r w:rsidR="004509F0">
        <w:rPr>
          <w:rFonts w:ascii="Arial" w:hAnsi="Arial" w:cs="Arial"/>
          <w:bCs/>
          <w:sz w:val="24"/>
          <w:szCs w:val="24"/>
        </w:rPr>
        <w:t>The level of transformation activity will increase</w:t>
      </w:r>
      <w:r w:rsidR="00C70501">
        <w:rPr>
          <w:rFonts w:ascii="Arial" w:hAnsi="Arial" w:cs="Arial"/>
          <w:bCs/>
          <w:sz w:val="24"/>
          <w:szCs w:val="24"/>
        </w:rPr>
        <w:t xml:space="preserve"> significantly</w:t>
      </w:r>
      <w:r w:rsidR="000F3A45">
        <w:rPr>
          <w:rFonts w:ascii="Arial" w:hAnsi="Arial" w:cs="Arial"/>
          <w:bCs/>
          <w:sz w:val="24"/>
          <w:szCs w:val="24"/>
        </w:rPr>
        <w:t>,</w:t>
      </w:r>
      <w:r w:rsidR="004509F0">
        <w:rPr>
          <w:rFonts w:ascii="Arial" w:hAnsi="Arial" w:cs="Arial"/>
          <w:bCs/>
          <w:sz w:val="24"/>
          <w:szCs w:val="24"/>
        </w:rPr>
        <w:t xml:space="preserve"> however g</w:t>
      </w:r>
      <w:r w:rsidR="007341CC">
        <w:rPr>
          <w:rFonts w:ascii="Arial" w:hAnsi="Arial" w:cs="Arial"/>
          <w:bCs/>
          <w:sz w:val="24"/>
          <w:szCs w:val="24"/>
        </w:rPr>
        <w:t>iven</w:t>
      </w:r>
      <w:r w:rsidR="007341CC" w:rsidRPr="00DC3143">
        <w:rPr>
          <w:rFonts w:ascii="Arial" w:hAnsi="Arial" w:cs="Arial"/>
          <w:bCs/>
          <w:sz w:val="24"/>
          <w:szCs w:val="24"/>
        </w:rPr>
        <w:t xml:space="preserve"> the expertise and energy of our colleagues </w:t>
      </w:r>
      <w:r w:rsidR="007341CC">
        <w:rPr>
          <w:rFonts w:ascii="Arial" w:hAnsi="Arial" w:cs="Arial"/>
          <w:bCs/>
          <w:sz w:val="24"/>
          <w:szCs w:val="24"/>
        </w:rPr>
        <w:t>w</w:t>
      </w:r>
      <w:r w:rsidR="00DC3143" w:rsidRPr="00DC3143">
        <w:rPr>
          <w:rFonts w:ascii="Arial" w:hAnsi="Arial" w:cs="Arial"/>
          <w:bCs/>
          <w:sz w:val="24"/>
          <w:szCs w:val="24"/>
        </w:rPr>
        <w:t>e continue to feel confident</w:t>
      </w:r>
      <w:r w:rsidR="004509F0">
        <w:rPr>
          <w:rFonts w:ascii="Arial" w:hAnsi="Arial" w:cs="Arial"/>
          <w:bCs/>
          <w:sz w:val="24"/>
          <w:szCs w:val="24"/>
        </w:rPr>
        <w:t xml:space="preserve"> </w:t>
      </w:r>
      <w:r w:rsidR="007341CC">
        <w:rPr>
          <w:rFonts w:ascii="Arial" w:hAnsi="Arial" w:cs="Arial"/>
          <w:bCs/>
          <w:sz w:val="24"/>
          <w:szCs w:val="24"/>
        </w:rPr>
        <w:t>about</w:t>
      </w:r>
      <w:r w:rsidR="00DC3143" w:rsidRPr="00DC3143">
        <w:rPr>
          <w:rFonts w:ascii="Arial" w:hAnsi="Arial" w:cs="Arial"/>
          <w:bCs/>
          <w:sz w:val="24"/>
          <w:szCs w:val="24"/>
        </w:rPr>
        <w:t xml:space="preserve"> the challenges ahead.</w:t>
      </w:r>
      <w:r>
        <w:rPr>
          <w:rFonts w:ascii="Arial" w:hAnsi="Arial" w:cs="Arial"/>
          <w:bCs/>
          <w:sz w:val="24"/>
          <w:szCs w:val="24"/>
        </w:rPr>
        <w:t>”</w:t>
      </w:r>
    </w:p>
    <w:p w14:paraId="12D9BAD5" w14:textId="55621E58" w:rsidR="000F3EF1" w:rsidRDefault="000F3EF1" w:rsidP="00DC3143">
      <w:pPr>
        <w:jc w:val="left"/>
        <w:rPr>
          <w:rFonts w:ascii="Arial" w:hAnsi="Arial" w:cs="Arial"/>
          <w:bCs/>
          <w:sz w:val="24"/>
          <w:szCs w:val="24"/>
        </w:rPr>
      </w:pPr>
    </w:p>
    <w:p w14:paraId="02C0918A" w14:textId="75730D94" w:rsidR="00181E03" w:rsidRPr="00E209D7" w:rsidRDefault="003C4FFB" w:rsidP="00AD5BF9">
      <w:pPr>
        <w:jc w:val="left"/>
        <w:rPr>
          <w:rFonts w:ascii="Arial" w:hAnsi="Arial" w:cs="Arial"/>
          <w:b/>
          <w:bCs/>
          <w:sz w:val="24"/>
          <w:szCs w:val="24"/>
        </w:rPr>
      </w:pPr>
      <w:r w:rsidRPr="00E209D7">
        <w:rPr>
          <w:rFonts w:ascii="Arial" w:hAnsi="Arial" w:cs="Arial"/>
          <w:b/>
          <w:bCs/>
          <w:sz w:val="24"/>
          <w:szCs w:val="24"/>
        </w:rPr>
        <w:t>Contacts</w:t>
      </w:r>
    </w:p>
    <w:p w14:paraId="12CE66F1" w14:textId="77777777" w:rsidR="00E2024A" w:rsidRDefault="00E2024A" w:rsidP="00AD5BF9">
      <w:pPr>
        <w:jc w:val="left"/>
        <w:rPr>
          <w:rFonts w:ascii="Arial" w:hAnsi="Arial" w:cs="Arial"/>
          <w:b/>
          <w:bCs/>
          <w:sz w:val="24"/>
          <w:szCs w:val="24"/>
          <w:u w:val="single"/>
        </w:rPr>
      </w:pPr>
    </w:p>
    <w:tbl>
      <w:tblPr>
        <w:tblW w:w="4839"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06"/>
        <w:gridCol w:w="2615"/>
      </w:tblGrid>
      <w:tr w:rsidR="00E2024A" w14:paraId="6C93410F" w14:textId="77777777" w:rsidTr="008F7BE3">
        <w:tc>
          <w:tcPr>
            <w:tcW w:w="3597" w:type="pct"/>
            <w:tcBorders>
              <w:top w:val="single" w:sz="4" w:space="0" w:color="auto"/>
              <w:left w:val="single" w:sz="4" w:space="0" w:color="auto"/>
              <w:bottom w:val="nil"/>
              <w:right w:val="nil"/>
            </w:tcBorders>
            <w:hideMark/>
          </w:tcPr>
          <w:p w14:paraId="669147B8" w14:textId="77777777" w:rsidR="002C29DB" w:rsidRDefault="002C29DB" w:rsidP="008F7BE3">
            <w:pPr>
              <w:jc w:val="left"/>
              <w:rPr>
                <w:rFonts w:ascii="Arial" w:hAnsi="Arial" w:cs="Arial"/>
                <w:sz w:val="24"/>
                <w:szCs w:val="24"/>
              </w:rPr>
            </w:pPr>
          </w:p>
          <w:p w14:paraId="7B2E9592" w14:textId="77777777" w:rsidR="00E2024A" w:rsidRDefault="00E2024A" w:rsidP="008F7BE3">
            <w:pPr>
              <w:jc w:val="left"/>
              <w:rPr>
                <w:rFonts w:ascii="Arial" w:hAnsi="Arial" w:cs="Arial"/>
                <w:sz w:val="24"/>
                <w:szCs w:val="24"/>
              </w:rPr>
            </w:pPr>
            <w:r>
              <w:rPr>
                <w:rFonts w:ascii="Arial" w:hAnsi="Arial" w:cs="Arial"/>
                <w:sz w:val="24"/>
                <w:szCs w:val="24"/>
              </w:rPr>
              <w:t>Investor Relations</w:t>
            </w:r>
          </w:p>
        </w:tc>
        <w:tc>
          <w:tcPr>
            <w:tcW w:w="1403" w:type="pct"/>
            <w:tcBorders>
              <w:top w:val="single" w:sz="4" w:space="0" w:color="auto"/>
              <w:left w:val="nil"/>
              <w:bottom w:val="nil"/>
              <w:right w:val="single" w:sz="4" w:space="0" w:color="auto"/>
            </w:tcBorders>
            <w:hideMark/>
          </w:tcPr>
          <w:p w14:paraId="6E7957D3" w14:textId="77777777" w:rsidR="002C29DB" w:rsidRDefault="002C29DB" w:rsidP="008F7BE3">
            <w:pPr>
              <w:jc w:val="right"/>
              <w:rPr>
                <w:rFonts w:ascii="Arial" w:hAnsi="Arial" w:cs="Arial"/>
                <w:sz w:val="24"/>
                <w:szCs w:val="24"/>
              </w:rPr>
            </w:pPr>
          </w:p>
          <w:p w14:paraId="452D0E88" w14:textId="77777777" w:rsidR="00E2024A" w:rsidRDefault="00E2024A" w:rsidP="008F7BE3">
            <w:pPr>
              <w:jc w:val="right"/>
              <w:rPr>
                <w:rFonts w:ascii="Arial" w:hAnsi="Arial" w:cs="Arial"/>
                <w:sz w:val="24"/>
                <w:szCs w:val="24"/>
              </w:rPr>
            </w:pPr>
            <w:r>
              <w:rPr>
                <w:rFonts w:ascii="Arial" w:hAnsi="Arial" w:cs="Arial"/>
                <w:sz w:val="24"/>
                <w:szCs w:val="24"/>
              </w:rPr>
              <w:t>+44 (0) 20 7644 1029</w:t>
            </w:r>
          </w:p>
        </w:tc>
      </w:tr>
      <w:tr w:rsidR="00E2024A" w14:paraId="2F161DC7" w14:textId="77777777" w:rsidTr="008F7BE3">
        <w:tc>
          <w:tcPr>
            <w:tcW w:w="3597" w:type="pct"/>
            <w:tcBorders>
              <w:top w:val="nil"/>
              <w:left w:val="single" w:sz="4" w:space="0" w:color="auto"/>
              <w:bottom w:val="nil"/>
              <w:right w:val="nil"/>
            </w:tcBorders>
            <w:hideMark/>
          </w:tcPr>
          <w:p w14:paraId="6833CB7E" w14:textId="7AEF69A9" w:rsidR="00E2024A" w:rsidRDefault="00E2024A" w:rsidP="008F7BE3">
            <w:pPr>
              <w:jc w:val="left"/>
              <w:rPr>
                <w:rFonts w:ascii="Arial" w:hAnsi="Arial" w:cs="Arial"/>
                <w:sz w:val="24"/>
                <w:szCs w:val="24"/>
              </w:rPr>
            </w:pPr>
            <w:r>
              <w:rPr>
                <w:rFonts w:ascii="Arial" w:hAnsi="Arial" w:cs="Arial"/>
                <w:sz w:val="24"/>
                <w:szCs w:val="24"/>
              </w:rPr>
              <w:t>Media Relations</w:t>
            </w:r>
          </w:p>
        </w:tc>
        <w:tc>
          <w:tcPr>
            <w:tcW w:w="1403" w:type="pct"/>
            <w:tcBorders>
              <w:top w:val="nil"/>
              <w:left w:val="nil"/>
              <w:bottom w:val="nil"/>
              <w:right w:val="single" w:sz="4" w:space="0" w:color="auto"/>
            </w:tcBorders>
            <w:hideMark/>
          </w:tcPr>
          <w:p w14:paraId="2612821B" w14:textId="77777777" w:rsidR="00E2024A" w:rsidRDefault="00E2024A" w:rsidP="008F7BE3">
            <w:pPr>
              <w:jc w:val="right"/>
              <w:rPr>
                <w:rFonts w:ascii="Arial" w:hAnsi="Arial" w:cs="Arial"/>
                <w:sz w:val="24"/>
                <w:szCs w:val="24"/>
              </w:rPr>
            </w:pPr>
            <w:r>
              <w:rPr>
                <w:rFonts w:ascii="Arial" w:hAnsi="Arial" w:cs="Arial"/>
                <w:sz w:val="24"/>
                <w:szCs w:val="24"/>
              </w:rPr>
              <w:t>+44 (0) 20 7644 1030</w:t>
            </w:r>
          </w:p>
        </w:tc>
      </w:tr>
      <w:tr w:rsidR="00E2024A" w14:paraId="15B3B4C7" w14:textId="77777777" w:rsidTr="008F7BE3">
        <w:tc>
          <w:tcPr>
            <w:tcW w:w="3597" w:type="pct"/>
            <w:tcBorders>
              <w:top w:val="nil"/>
              <w:left w:val="single" w:sz="4" w:space="0" w:color="auto"/>
              <w:bottom w:val="single" w:sz="4" w:space="0" w:color="auto"/>
              <w:right w:val="nil"/>
            </w:tcBorders>
            <w:hideMark/>
          </w:tcPr>
          <w:p w14:paraId="7E811835" w14:textId="6E35CC62" w:rsidR="00E2024A" w:rsidRDefault="00012C99" w:rsidP="008356FD">
            <w:pPr>
              <w:jc w:val="left"/>
              <w:rPr>
                <w:rFonts w:ascii="Arial" w:hAnsi="Arial" w:cs="Arial"/>
                <w:sz w:val="16"/>
                <w:szCs w:val="16"/>
              </w:rPr>
            </w:pPr>
            <w:r>
              <w:rPr>
                <w:rFonts w:ascii="Arial" w:hAnsi="Arial" w:cs="Arial"/>
                <w:sz w:val="24"/>
                <w:szCs w:val="24"/>
              </w:rPr>
              <w:t xml:space="preserve">Teneo </w:t>
            </w:r>
            <w:r w:rsidR="008356FD">
              <w:rPr>
                <w:rFonts w:ascii="Arial" w:hAnsi="Arial" w:cs="Arial"/>
                <w:sz w:val="24"/>
                <w:szCs w:val="24"/>
              </w:rPr>
              <w:t>Blue Rubicon</w:t>
            </w:r>
          </w:p>
        </w:tc>
        <w:tc>
          <w:tcPr>
            <w:tcW w:w="1403" w:type="pct"/>
            <w:tcBorders>
              <w:top w:val="nil"/>
              <w:left w:val="nil"/>
              <w:bottom w:val="single" w:sz="4" w:space="0" w:color="auto"/>
              <w:right w:val="single" w:sz="4" w:space="0" w:color="auto"/>
            </w:tcBorders>
            <w:hideMark/>
          </w:tcPr>
          <w:p w14:paraId="4CA04A2D" w14:textId="4D63975C" w:rsidR="00E2024A" w:rsidRDefault="00E2024A">
            <w:pPr>
              <w:jc w:val="right"/>
              <w:rPr>
                <w:rFonts w:ascii="Arial" w:hAnsi="Arial" w:cs="Arial"/>
                <w:sz w:val="24"/>
                <w:szCs w:val="24"/>
              </w:rPr>
            </w:pPr>
            <w:r>
              <w:rPr>
                <w:rFonts w:ascii="Arial" w:hAnsi="Arial" w:cs="Arial"/>
                <w:sz w:val="24"/>
                <w:szCs w:val="24"/>
              </w:rPr>
              <w:t>+44 (0)</w:t>
            </w:r>
            <w:r w:rsidR="000810B7" w:rsidRPr="000810B7">
              <w:rPr>
                <w:rFonts w:ascii="Arial" w:hAnsi="Arial" w:cs="Arial"/>
                <w:sz w:val="24"/>
                <w:szCs w:val="24"/>
              </w:rPr>
              <w:t xml:space="preserve"> </w:t>
            </w:r>
            <w:r w:rsidR="000810B7">
              <w:rPr>
                <w:rFonts w:ascii="Arial" w:hAnsi="Arial" w:cs="Arial"/>
                <w:sz w:val="24"/>
                <w:szCs w:val="24"/>
              </w:rPr>
              <w:t xml:space="preserve">20 </w:t>
            </w:r>
            <w:r w:rsidR="008356FD">
              <w:rPr>
                <w:rFonts w:ascii="Arial" w:hAnsi="Arial" w:cs="Arial"/>
                <w:sz w:val="24"/>
                <w:szCs w:val="24"/>
              </w:rPr>
              <w:t>7</w:t>
            </w:r>
            <w:r w:rsidR="00D36828">
              <w:rPr>
                <w:rFonts w:ascii="Arial" w:hAnsi="Arial" w:cs="Arial"/>
                <w:sz w:val="24"/>
                <w:szCs w:val="24"/>
              </w:rPr>
              <w:t>260 2700</w:t>
            </w:r>
          </w:p>
          <w:p w14:paraId="398A9CF2" w14:textId="4B2ED2BB" w:rsidR="007E5B5D" w:rsidRDefault="007E5B5D">
            <w:pPr>
              <w:jc w:val="right"/>
              <w:rPr>
                <w:rFonts w:ascii="Arial" w:hAnsi="Arial" w:cs="Arial"/>
                <w:sz w:val="16"/>
                <w:szCs w:val="16"/>
              </w:rPr>
            </w:pPr>
          </w:p>
        </w:tc>
      </w:tr>
    </w:tbl>
    <w:p w14:paraId="2FE9CACA" w14:textId="77777777" w:rsidR="00FB1B43" w:rsidRDefault="00FB1B43" w:rsidP="00440B16">
      <w:pPr>
        <w:autoSpaceDE w:val="0"/>
        <w:autoSpaceDN w:val="0"/>
        <w:adjustRightInd w:val="0"/>
        <w:jc w:val="left"/>
        <w:rPr>
          <w:rFonts w:ascii="Arial" w:hAnsi="Arial" w:cs="Arial"/>
          <w:sz w:val="24"/>
          <w:szCs w:val="24"/>
        </w:rPr>
      </w:pPr>
    </w:p>
    <w:p w14:paraId="304C44E9" w14:textId="325E7DB9" w:rsidR="004F1839" w:rsidRDefault="00E2024A" w:rsidP="00440B16">
      <w:pPr>
        <w:autoSpaceDE w:val="0"/>
        <w:autoSpaceDN w:val="0"/>
        <w:adjustRightInd w:val="0"/>
        <w:jc w:val="left"/>
        <w:rPr>
          <w:rFonts w:ascii="Arial" w:hAnsi="Arial" w:cs="Arial"/>
          <w:sz w:val="24"/>
          <w:szCs w:val="24"/>
        </w:rPr>
      </w:pPr>
      <w:r>
        <w:rPr>
          <w:rFonts w:ascii="Arial" w:hAnsi="Arial" w:cs="Arial"/>
          <w:sz w:val="24"/>
          <w:szCs w:val="24"/>
        </w:rPr>
        <w:t>T</w:t>
      </w:r>
      <w:r w:rsidRPr="00F16A72">
        <w:rPr>
          <w:rFonts w:ascii="Arial" w:hAnsi="Arial" w:cs="Arial"/>
          <w:sz w:val="24"/>
          <w:szCs w:val="24"/>
        </w:rPr>
        <w:t xml:space="preserve">his announcement can be downloaded from </w:t>
      </w:r>
      <w:hyperlink r:id="rId8" w:history="1">
        <w:r w:rsidRPr="009020B1">
          <w:rPr>
            <w:rStyle w:val="Hyperlink"/>
            <w:rFonts w:ascii="Arial" w:hAnsi="Arial" w:cs="Arial"/>
            <w:sz w:val="24"/>
            <w:szCs w:val="24"/>
          </w:rPr>
          <w:t>www.kingfisher.com</w:t>
        </w:r>
      </w:hyperlink>
      <w:r>
        <w:rPr>
          <w:rFonts w:ascii="Arial" w:hAnsi="Arial" w:cs="Arial"/>
          <w:sz w:val="24"/>
          <w:szCs w:val="24"/>
        </w:rPr>
        <w:t xml:space="preserve"> o</w:t>
      </w:r>
      <w:r w:rsidRPr="00F16A72">
        <w:rPr>
          <w:rFonts w:ascii="Arial" w:hAnsi="Arial" w:cs="Arial"/>
          <w:sz w:val="24"/>
          <w:szCs w:val="24"/>
        </w:rPr>
        <w:t>r viewed on the Kingfisher IR iPad App</w:t>
      </w:r>
      <w:r>
        <w:rPr>
          <w:rFonts w:ascii="Arial" w:hAnsi="Arial" w:cs="Arial"/>
          <w:sz w:val="24"/>
          <w:szCs w:val="24"/>
        </w:rPr>
        <w:t>.</w:t>
      </w:r>
      <w:r w:rsidRPr="00F16A72">
        <w:rPr>
          <w:rFonts w:ascii="Arial" w:hAnsi="Arial" w:cs="Arial"/>
          <w:sz w:val="24"/>
          <w:szCs w:val="24"/>
        </w:rPr>
        <w:t xml:space="preserve"> </w:t>
      </w:r>
      <w:r w:rsidR="00BC7493">
        <w:rPr>
          <w:rFonts w:ascii="Arial" w:hAnsi="Arial" w:cs="Arial"/>
          <w:sz w:val="24"/>
          <w:szCs w:val="24"/>
        </w:rPr>
        <w:t>W</w:t>
      </w:r>
      <w:r w:rsidR="007C228C" w:rsidRPr="000971B9">
        <w:rPr>
          <w:rFonts w:ascii="Arial" w:hAnsi="Arial" w:cs="Arial"/>
          <w:sz w:val="24"/>
          <w:szCs w:val="24"/>
        </w:rPr>
        <w:t xml:space="preserve">e can be followed on </w:t>
      </w:r>
      <w:r w:rsidR="007A544D">
        <w:rPr>
          <w:rFonts w:ascii="Arial" w:hAnsi="Arial" w:cs="Arial"/>
          <w:sz w:val="24"/>
          <w:szCs w:val="24"/>
        </w:rPr>
        <w:t>T</w:t>
      </w:r>
      <w:r w:rsidR="007C228C" w:rsidRPr="000971B9">
        <w:rPr>
          <w:rFonts w:ascii="Arial" w:hAnsi="Arial" w:cs="Arial"/>
          <w:sz w:val="24"/>
          <w:szCs w:val="24"/>
        </w:rPr>
        <w:t>witter</w:t>
      </w:r>
      <w:r w:rsidR="00BC7493">
        <w:rPr>
          <w:rFonts w:ascii="Arial" w:hAnsi="Arial" w:cs="Arial"/>
          <w:sz w:val="24"/>
          <w:szCs w:val="24"/>
        </w:rPr>
        <w:t xml:space="preserve"> </w:t>
      </w:r>
      <w:r w:rsidR="007C228C" w:rsidRPr="000971B9">
        <w:rPr>
          <w:rFonts w:ascii="Arial" w:hAnsi="Arial" w:cs="Arial"/>
          <w:sz w:val="24"/>
          <w:szCs w:val="24"/>
        </w:rPr>
        <w:t>@kingfisherplc</w:t>
      </w:r>
      <w:r>
        <w:rPr>
          <w:rFonts w:ascii="Arial" w:hAnsi="Arial" w:cs="Arial"/>
          <w:sz w:val="24"/>
          <w:szCs w:val="24"/>
        </w:rPr>
        <w:t xml:space="preserve"> with the </w:t>
      </w:r>
      <w:r w:rsidR="00565E59">
        <w:rPr>
          <w:rFonts w:ascii="Arial" w:hAnsi="Arial" w:cs="Arial"/>
          <w:sz w:val="24"/>
          <w:szCs w:val="24"/>
        </w:rPr>
        <w:t xml:space="preserve">half </w:t>
      </w:r>
      <w:r w:rsidR="007A5E76">
        <w:rPr>
          <w:rFonts w:ascii="Arial" w:hAnsi="Arial" w:cs="Arial"/>
          <w:sz w:val="24"/>
          <w:szCs w:val="24"/>
        </w:rPr>
        <w:t xml:space="preserve">year </w:t>
      </w:r>
      <w:r>
        <w:rPr>
          <w:rFonts w:ascii="Arial" w:hAnsi="Arial" w:cs="Arial"/>
          <w:sz w:val="24"/>
          <w:szCs w:val="24"/>
        </w:rPr>
        <w:t xml:space="preserve">results </w:t>
      </w:r>
      <w:r w:rsidRPr="00CC45F6">
        <w:rPr>
          <w:rFonts w:ascii="Arial" w:hAnsi="Arial" w:cs="Arial"/>
          <w:sz w:val="24"/>
          <w:szCs w:val="24"/>
        </w:rPr>
        <w:t>tag #</w:t>
      </w:r>
      <w:r w:rsidR="00565E59" w:rsidRPr="00CC45F6">
        <w:rPr>
          <w:rFonts w:ascii="Arial" w:hAnsi="Arial" w:cs="Arial"/>
          <w:sz w:val="24"/>
          <w:szCs w:val="24"/>
        </w:rPr>
        <w:t>KG</w:t>
      </w:r>
      <w:r w:rsidR="00565E59">
        <w:rPr>
          <w:rFonts w:ascii="Arial" w:hAnsi="Arial" w:cs="Arial"/>
          <w:sz w:val="24"/>
          <w:szCs w:val="24"/>
        </w:rPr>
        <w:t>FHY</w:t>
      </w:r>
      <w:r w:rsidR="007C228C" w:rsidRPr="00CC45F6">
        <w:rPr>
          <w:rFonts w:ascii="Arial" w:hAnsi="Arial" w:cs="Arial"/>
          <w:sz w:val="24"/>
          <w:szCs w:val="24"/>
        </w:rPr>
        <w:t>.</w:t>
      </w:r>
      <w:r>
        <w:rPr>
          <w:rFonts w:ascii="Arial" w:hAnsi="Arial" w:cs="Arial"/>
          <w:sz w:val="24"/>
          <w:szCs w:val="24"/>
        </w:rPr>
        <w:t xml:space="preserve"> </w:t>
      </w:r>
      <w:r w:rsidR="004F1839" w:rsidRPr="000971B9">
        <w:rPr>
          <w:rFonts w:ascii="Arial" w:hAnsi="Arial" w:cs="Arial"/>
          <w:sz w:val="24"/>
          <w:szCs w:val="24"/>
        </w:rPr>
        <w:t>Kingfisher American Depository Receipts are traded in the US on the OTCQX platform:</w:t>
      </w:r>
      <w:r w:rsidR="004F1839">
        <w:rPr>
          <w:rFonts w:ascii="Arial" w:hAnsi="Arial" w:cs="Arial"/>
          <w:sz w:val="24"/>
          <w:szCs w:val="24"/>
        </w:rPr>
        <w:t xml:space="preserve"> </w:t>
      </w:r>
      <w:r w:rsidR="004F1839" w:rsidRPr="000971B9">
        <w:rPr>
          <w:rFonts w:ascii="Arial" w:hAnsi="Arial" w:cs="Arial"/>
          <w:sz w:val="24"/>
          <w:szCs w:val="24"/>
        </w:rPr>
        <w:t>(OTCQX: KGFHY)</w:t>
      </w:r>
      <w:r w:rsidR="004F1839">
        <w:rPr>
          <w:rFonts w:ascii="Arial" w:hAnsi="Arial" w:cs="Arial"/>
          <w:sz w:val="24"/>
          <w:szCs w:val="24"/>
        </w:rPr>
        <w:t xml:space="preserve"> </w:t>
      </w:r>
      <w:r w:rsidR="004F1839" w:rsidRPr="000971B9">
        <w:rPr>
          <w:rFonts w:ascii="Arial" w:hAnsi="Arial" w:cs="Arial"/>
          <w:sz w:val="24"/>
          <w:szCs w:val="24"/>
        </w:rPr>
        <w:t>http://www.otcmarkets.com/stock/KGFHY/quote</w:t>
      </w:r>
    </w:p>
    <w:p w14:paraId="055FA47C" w14:textId="77777777" w:rsidR="004F1839" w:rsidRDefault="004F1839" w:rsidP="007C228C">
      <w:pPr>
        <w:jc w:val="left"/>
        <w:rPr>
          <w:rFonts w:ascii="Arial" w:hAnsi="Arial" w:cs="Arial"/>
          <w:sz w:val="24"/>
          <w:szCs w:val="24"/>
        </w:rPr>
      </w:pPr>
    </w:p>
    <w:p w14:paraId="37A2BF57" w14:textId="3EEE691A" w:rsidR="00181E03" w:rsidRPr="000971B9" w:rsidRDefault="00E2024A" w:rsidP="007C228C">
      <w:pPr>
        <w:jc w:val="left"/>
        <w:rPr>
          <w:rFonts w:ascii="Arial" w:hAnsi="Arial" w:cs="Arial"/>
          <w:sz w:val="24"/>
          <w:szCs w:val="24"/>
        </w:rPr>
      </w:pPr>
      <w:r>
        <w:rPr>
          <w:rFonts w:ascii="Arial" w:hAnsi="Arial" w:cs="Arial"/>
          <w:sz w:val="24"/>
          <w:szCs w:val="24"/>
        </w:rPr>
        <w:t>Our next announcement</w:t>
      </w:r>
      <w:r w:rsidRPr="00B325A7">
        <w:rPr>
          <w:rFonts w:ascii="Arial" w:hAnsi="Arial" w:cs="Arial"/>
          <w:sz w:val="24"/>
          <w:szCs w:val="24"/>
        </w:rPr>
        <w:t xml:space="preserve"> will</w:t>
      </w:r>
      <w:r>
        <w:rPr>
          <w:rFonts w:ascii="Arial" w:hAnsi="Arial" w:cs="Arial"/>
          <w:sz w:val="24"/>
          <w:szCs w:val="24"/>
        </w:rPr>
        <w:t xml:space="preserve"> be </w:t>
      </w:r>
      <w:r w:rsidRPr="00B53777">
        <w:rPr>
          <w:rFonts w:ascii="Arial" w:hAnsi="Arial" w:cs="Arial"/>
          <w:sz w:val="24"/>
          <w:szCs w:val="24"/>
        </w:rPr>
        <w:t xml:space="preserve">the </w:t>
      </w:r>
      <w:r w:rsidR="00565E59">
        <w:rPr>
          <w:rFonts w:ascii="Arial" w:hAnsi="Arial" w:cs="Arial"/>
          <w:sz w:val="24"/>
          <w:szCs w:val="24"/>
        </w:rPr>
        <w:t>Q3</w:t>
      </w:r>
      <w:r w:rsidR="00565E59" w:rsidRPr="00B53777">
        <w:rPr>
          <w:rFonts w:ascii="Arial" w:hAnsi="Arial" w:cs="Arial"/>
          <w:sz w:val="24"/>
          <w:szCs w:val="24"/>
        </w:rPr>
        <w:t xml:space="preserve"> </w:t>
      </w:r>
      <w:r w:rsidR="008808D8">
        <w:rPr>
          <w:rFonts w:ascii="Arial" w:hAnsi="Arial" w:cs="Arial"/>
          <w:sz w:val="24"/>
          <w:szCs w:val="24"/>
        </w:rPr>
        <w:t xml:space="preserve">trading update </w:t>
      </w:r>
      <w:r w:rsidR="009B39BA">
        <w:rPr>
          <w:rFonts w:ascii="Arial" w:hAnsi="Arial" w:cs="Arial"/>
          <w:sz w:val="24"/>
          <w:szCs w:val="24"/>
        </w:rPr>
        <w:t xml:space="preserve">(sales only) </w:t>
      </w:r>
      <w:r>
        <w:rPr>
          <w:rFonts w:ascii="Arial" w:hAnsi="Arial" w:cs="Arial"/>
          <w:sz w:val="24"/>
          <w:szCs w:val="24"/>
        </w:rPr>
        <w:t xml:space="preserve">for </w:t>
      </w:r>
      <w:r w:rsidR="004F1839">
        <w:rPr>
          <w:rFonts w:ascii="Arial" w:hAnsi="Arial" w:cs="Arial"/>
          <w:sz w:val="24"/>
          <w:szCs w:val="24"/>
        </w:rPr>
        <w:t xml:space="preserve">the </w:t>
      </w:r>
      <w:r>
        <w:rPr>
          <w:rFonts w:ascii="Arial" w:hAnsi="Arial" w:cs="Arial"/>
          <w:sz w:val="24"/>
          <w:szCs w:val="24"/>
        </w:rPr>
        <w:t>period</w:t>
      </w:r>
      <w:r w:rsidRPr="00B53777">
        <w:rPr>
          <w:rFonts w:ascii="Arial" w:hAnsi="Arial" w:cs="Arial"/>
          <w:sz w:val="24"/>
          <w:szCs w:val="24"/>
        </w:rPr>
        <w:t xml:space="preserve"> ended</w:t>
      </w:r>
      <w:r w:rsidR="00ED7733">
        <w:rPr>
          <w:rFonts w:ascii="Arial" w:hAnsi="Arial" w:cs="Arial"/>
          <w:sz w:val="24"/>
          <w:szCs w:val="24"/>
        </w:rPr>
        <w:t xml:space="preserve"> </w:t>
      </w:r>
      <w:r w:rsidR="002F5458">
        <w:rPr>
          <w:rFonts w:ascii="Arial" w:hAnsi="Arial" w:cs="Arial"/>
          <w:sz w:val="24"/>
          <w:szCs w:val="24"/>
        </w:rPr>
        <w:t>31</w:t>
      </w:r>
      <w:r w:rsidR="00565E59">
        <w:rPr>
          <w:rFonts w:ascii="Arial" w:hAnsi="Arial" w:cs="Arial"/>
          <w:sz w:val="24"/>
          <w:szCs w:val="24"/>
        </w:rPr>
        <w:t xml:space="preserve"> </w:t>
      </w:r>
      <w:r w:rsidR="002F5458">
        <w:rPr>
          <w:rFonts w:ascii="Arial" w:hAnsi="Arial" w:cs="Arial"/>
          <w:sz w:val="24"/>
          <w:szCs w:val="24"/>
        </w:rPr>
        <w:t>October</w:t>
      </w:r>
      <w:r>
        <w:rPr>
          <w:rFonts w:ascii="Arial" w:hAnsi="Arial" w:cs="Arial"/>
          <w:sz w:val="24"/>
          <w:szCs w:val="24"/>
        </w:rPr>
        <w:t xml:space="preserve"> </w:t>
      </w:r>
      <w:r w:rsidRPr="00B53777">
        <w:rPr>
          <w:rFonts w:ascii="Arial" w:hAnsi="Arial" w:cs="Arial"/>
          <w:sz w:val="24"/>
          <w:szCs w:val="24"/>
        </w:rPr>
        <w:t>201</w:t>
      </w:r>
      <w:r w:rsidR="004F1839">
        <w:rPr>
          <w:rFonts w:ascii="Arial" w:hAnsi="Arial" w:cs="Arial"/>
          <w:sz w:val="24"/>
          <w:szCs w:val="24"/>
        </w:rPr>
        <w:t>6</w:t>
      </w:r>
      <w:r w:rsidRPr="00B53777">
        <w:rPr>
          <w:rFonts w:ascii="Arial" w:hAnsi="Arial" w:cs="Arial"/>
          <w:sz w:val="24"/>
          <w:szCs w:val="24"/>
        </w:rPr>
        <w:t xml:space="preserve"> on </w:t>
      </w:r>
      <w:r w:rsidR="002F5458">
        <w:rPr>
          <w:rFonts w:ascii="Arial" w:hAnsi="Arial" w:cs="Arial"/>
          <w:sz w:val="24"/>
          <w:szCs w:val="24"/>
        </w:rPr>
        <w:t>22 November</w:t>
      </w:r>
      <w:r>
        <w:rPr>
          <w:rFonts w:ascii="Arial" w:hAnsi="Arial" w:cs="Arial"/>
          <w:sz w:val="24"/>
          <w:szCs w:val="24"/>
        </w:rPr>
        <w:t xml:space="preserve"> </w:t>
      </w:r>
      <w:r w:rsidRPr="00B53777">
        <w:rPr>
          <w:rFonts w:ascii="Arial" w:hAnsi="Arial" w:cs="Arial"/>
          <w:sz w:val="24"/>
          <w:szCs w:val="24"/>
        </w:rPr>
        <w:t>201</w:t>
      </w:r>
      <w:r w:rsidR="0067546C">
        <w:rPr>
          <w:rFonts w:ascii="Arial" w:hAnsi="Arial" w:cs="Arial"/>
          <w:sz w:val="24"/>
          <w:szCs w:val="24"/>
        </w:rPr>
        <w:t>6</w:t>
      </w:r>
      <w:r w:rsidR="004F1839">
        <w:rPr>
          <w:rFonts w:ascii="Arial" w:hAnsi="Arial" w:cs="Arial"/>
          <w:sz w:val="24"/>
          <w:szCs w:val="24"/>
        </w:rPr>
        <w:t xml:space="preserve">. </w:t>
      </w:r>
    </w:p>
    <w:p w14:paraId="79934492" w14:textId="77777777" w:rsidR="00025774" w:rsidRPr="000971B9" w:rsidRDefault="00025774" w:rsidP="007C228C">
      <w:pPr>
        <w:jc w:val="left"/>
        <w:rPr>
          <w:rFonts w:ascii="Arial" w:hAnsi="Arial" w:cs="Arial"/>
          <w:sz w:val="24"/>
          <w:szCs w:val="24"/>
        </w:rPr>
      </w:pPr>
    </w:p>
    <w:p w14:paraId="4B7983F1" w14:textId="51285C9E" w:rsidR="00CC45F6" w:rsidRPr="00317387" w:rsidRDefault="00181E03" w:rsidP="00EE1E29">
      <w:pPr>
        <w:jc w:val="left"/>
        <w:rPr>
          <w:rFonts w:ascii="Arial" w:hAnsi="Arial" w:cs="Arial"/>
          <w:sz w:val="24"/>
          <w:szCs w:val="24"/>
        </w:rPr>
      </w:pPr>
      <w:r w:rsidRPr="00317387">
        <w:rPr>
          <w:rFonts w:ascii="Arial" w:hAnsi="Arial" w:cs="Arial"/>
          <w:sz w:val="24"/>
          <w:szCs w:val="24"/>
        </w:rPr>
        <w:t xml:space="preserve">The remainder of this release </w:t>
      </w:r>
      <w:r w:rsidR="009B6367" w:rsidRPr="00317387">
        <w:rPr>
          <w:rFonts w:ascii="Arial" w:hAnsi="Arial" w:cs="Arial"/>
          <w:sz w:val="24"/>
          <w:szCs w:val="24"/>
        </w:rPr>
        <w:t xml:space="preserve">is broken down into </w:t>
      </w:r>
      <w:r w:rsidR="004F4BB9">
        <w:rPr>
          <w:rFonts w:ascii="Arial" w:hAnsi="Arial" w:cs="Arial"/>
          <w:sz w:val="24"/>
          <w:szCs w:val="24"/>
        </w:rPr>
        <w:t>six</w:t>
      </w:r>
      <w:r w:rsidR="004F4BB9" w:rsidRPr="00317387">
        <w:rPr>
          <w:rFonts w:ascii="Arial" w:hAnsi="Arial" w:cs="Arial"/>
          <w:sz w:val="24"/>
          <w:szCs w:val="24"/>
        </w:rPr>
        <w:t xml:space="preserve"> </w:t>
      </w:r>
      <w:r w:rsidRPr="00317387">
        <w:rPr>
          <w:rFonts w:ascii="Arial" w:hAnsi="Arial" w:cs="Arial"/>
          <w:sz w:val="24"/>
          <w:szCs w:val="24"/>
        </w:rPr>
        <w:t>main sections:</w:t>
      </w:r>
    </w:p>
    <w:p w14:paraId="061CAF1A" w14:textId="31F18289" w:rsidR="00C34F2D" w:rsidRPr="00931630" w:rsidRDefault="00317387" w:rsidP="004B173A">
      <w:pPr>
        <w:numPr>
          <w:ilvl w:val="0"/>
          <w:numId w:val="1"/>
        </w:numPr>
        <w:ind w:left="360"/>
        <w:jc w:val="left"/>
        <w:rPr>
          <w:rFonts w:ascii="Arial" w:hAnsi="Arial" w:cs="Arial"/>
          <w:sz w:val="24"/>
          <w:szCs w:val="24"/>
        </w:rPr>
      </w:pPr>
      <w:r w:rsidRPr="00931630">
        <w:rPr>
          <w:rFonts w:ascii="Arial" w:hAnsi="Arial" w:cs="Arial"/>
          <w:sz w:val="24"/>
          <w:szCs w:val="24"/>
        </w:rPr>
        <w:t>ONE Kingfisher</w:t>
      </w:r>
      <w:r w:rsidR="007D43ED" w:rsidRPr="00931630">
        <w:rPr>
          <w:rFonts w:ascii="Arial" w:hAnsi="Arial" w:cs="Arial"/>
          <w:sz w:val="24"/>
          <w:szCs w:val="24"/>
        </w:rPr>
        <w:t xml:space="preserve"> update</w:t>
      </w:r>
      <w:r w:rsidR="004F1839" w:rsidRPr="00931630">
        <w:rPr>
          <w:rFonts w:ascii="Arial" w:hAnsi="Arial" w:cs="Arial"/>
          <w:sz w:val="24"/>
          <w:szCs w:val="24"/>
        </w:rPr>
        <w:t xml:space="preserve"> </w:t>
      </w:r>
    </w:p>
    <w:p w14:paraId="157630B8" w14:textId="36D5A09A" w:rsidR="003E3617" w:rsidRPr="00931630" w:rsidRDefault="0058650E" w:rsidP="004B173A">
      <w:pPr>
        <w:numPr>
          <w:ilvl w:val="0"/>
          <w:numId w:val="1"/>
        </w:numPr>
        <w:ind w:left="360"/>
        <w:jc w:val="left"/>
        <w:rPr>
          <w:rFonts w:ascii="Arial" w:hAnsi="Arial" w:cs="Arial"/>
          <w:sz w:val="24"/>
          <w:szCs w:val="24"/>
        </w:rPr>
      </w:pPr>
      <w:r w:rsidRPr="00931630">
        <w:rPr>
          <w:rFonts w:ascii="Arial" w:hAnsi="Arial" w:cs="Arial"/>
          <w:sz w:val="24"/>
          <w:szCs w:val="24"/>
        </w:rPr>
        <w:t>Trading</w:t>
      </w:r>
      <w:r w:rsidR="007B306A" w:rsidRPr="00931630">
        <w:rPr>
          <w:rFonts w:ascii="Arial" w:hAnsi="Arial" w:cs="Arial"/>
          <w:sz w:val="24"/>
          <w:szCs w:val="24"/>
        </w:rPr>
        <w:t xml:space="preserve"> rev</w:t>
      </w:r>
      <w:r w:rsidR="003E3617" w:rsidRPr="00931630">
        <w:rPr>
          <w:rFonts w:ascii="Arial" w:hAnsi="Arial" w:cs="Arial"/>
          <w:sz w:val="24"/>
          <w:szCs w:val="24"/>
        </w:rPr>
        <w:t xml:space="preserve">iew by </w:t>
      </w:r>
      <w:r w:rsidR="00130A12" w:rsidRPr="00931630">
        <w:rPr>
          <w:rFonts w:ascii="Arial" w:hAnsi="Arial" w:cs="Arial"/>
          <w:sz w:val="24"/>
          <w:szCs w:val="24"/>
        </w:rPr>
        <w:t>division</w:t>
      </w:r>
    </w:p>
    <w:p w14:paraId="12FDB545" w14:textId="7D049658" w:rsidR="0030578B" w:rsidRPr="00931630" w:rsidRDefault="0030578B" w:rsidP="0030578B">
      <w:pPr>
        <w:numPr>
          <w:ilvl w:val="0"/>
          <w:numId w:val="1"/>
        </w:numPr>
        <w:ind w:left="360"/>
        <w:jc w:val="left"/>
        <w:rPr>
          <w:rFonts w:ascii="Arial" w:hAnsi="Arial" w:cs="Arial"/>
          <w:sz w:val="24"/>
          <w:szCs w:val="24"/>
        </w:rPr>
      </w:pPr>
      <w:r w:rsidRPr="00931630">
        <w:rPr>
          <w:rFonts w:ascii="Arial" w:hAnsi="Arial" w:cs="Arial"/>
          <w:sz w:val="24"/>
          <w:szCs w:val="24"/>
        </w:rPr>
        <w:t>FY 201</w:t>
      </w:r>
      <w:r w:rsidR="004F1839" w:rsidRPr="00931630">
        <w:rPr>
          <w:rFonts w:ascii="Arial" w:hAnsi="Arial" w:cs="Arial"/>
          <w:sz w:val="24"/>
          <w:szCs w:val="24"/>
        </w:rPr>
        <w:t>6</w:t>
      </w:r>
      <w:r w:rsidRPr="00931630">
        <w:rPr>
          <w:rFonts w:ascii="Arial" w:hAnsi="Arial" w:cs="Arial"/>
          <w:sz w:val="24"/>
          <w:szCs w:val="24"/>
        </w:rPr>
        <w:t>/1</w:t>
      </w:r>
      <w:r w:rsidR="004F1839" w:rsidRPr="00931630">
        <w:rPr>
          <w:rFonts w:ascii="Arial" w:hAnsi="Arial" w:cs="Arial"/>
          <w:sz w:val="24"/>
          <w:szCs w:val="24"/>
        </w:rPr>
        <w:t>7</w:t>
      </w:r>
      <w:r w:rsidRPr="00931630">
        <w:rPr>
          <w:rFonts w:ascii="Arial" w:hAnsi="Arial" w:cs="Arial"/>
          <w:sz w:val="24"/>
          <w:szCs w:val="24"/>
        </w:rPr>
        <w:t xml:space="preserve"> Technical guidance</w:t>
      </w:r>
    </w:p>
    <w:p w14:paraId="7237C620" w14:textId="1475F543" w:rsidR="003A35D2" w:rsidRPr="00931630" w:rsidRDefault="00931630" w:rsidP="004B173A">
      <w:pPr>
        <w:numPr>
          <w:ilvl w:val="0"/>
          <w:numId w:val="1"/>
        </w:numPr>
        <w:ind w:left="360"/>
        <w:jc w:val="left"/>
        <w:rPr>
          <w:rFonts w:ascii="Arial" w:hAnsi="Arial" w:cs="Arial"/>
          <w:b/>
          <w:bCs/>
          <w:sz w:val="28"/>
          <w:szCs w:val="28"/>
        </w:rPr>
      </w:pPr>
      <w:r w:rsidRPr="00925EFB">
        <w:rPr>
          <w:rFonts w:ascii="Arial" w:hAnsi="Arial" w:cs="Arial"/>
          <w:sz w:val="24"/>
          <w:szCs w:val="24"/>
        </w:rPr>
        <w:t>H</w:t>
      </w:r>
      <w:r w:rsidRPr="00931630">
        <w:rPr>
          <w:rFonts w:ascii="Arial" w:hAnsi="Arial" w:cs="Arial"/>
          <w:sz w:val="24"/>
          <w:szCs w:val="24"/>
        </w:rPr>
        <w:t xml:space="preserve">Y </w:t>
      </w:r>
      <w:r w:rsidR="006B02CB" w:rsidRPr="00931630">
        <w:rPr>
          <w:rFonts w:ascii="Arial" w:hAnsi="Arial" w:cs="Arial"/>
          <w:sz w:val="24"/>
          <w:szCs w:val="24"/>
        </w:rPr>
        <w:t>2016</w:t>
      </w:r>
      <w:r w:rsidRPr="00925EFB">
        <w:rPr>
          <w:rFonts w:ascii="Arial" w:hAnsi="Arial" w:cs="Arial"/>
          <w:sz w:val="24"/>
          <w:szCs w:val="24"/>
        </w:rPr>
        <w:t>/17</w:t>
      </w:r>
      <w:r w:rsidR="006B02CB" w:rsidRPr="00931630">
        <w:rPr>
          <w:rFonts w:ascii="Arial" w:hAnsi="Arial" w:cs="Arial"/>
          <w:sz w:val="24"/>
          <w:szCs w:val="24"/>
        </w:rPr>
        <w:t xml:space="preserve"> </w:t>
      </w:r>
      <w:r w:rsidR="003A35D2" w:rsidRPr="00931630">
        <w:rPr>
          <w:rFonts w:ascii="Arial" w:hAnsi="Arial" w:cs="Arial"/>
          <w:sz w:val="24"/>
          <w:szCs w:val="24"/>
        </w:rPr>
        <w:t xml:space="preserve">Financial </w:t>
      </w:r>
      <w:r w:rsidR="007341CC">
        <w:rPr>
          <w:rFonts w:ascii="Arial" w:hAnsi="Arial" w:cs="Arial"/>
          <w:sz w:val="24"/>
          <w:szCs w:val="24"/>
        </w:rPr>
        <w:t>r</w:t>
      </w:r>
      <w:r w:rsidR="003A35D2" w:rsidRPr="00931630">
        <w:rPr>
          <w:rFonts w:ascii="Arial" w:hAnsi="Arial" w:cs="Arial"/>
          <w:sz w:val="24"/>
          <w:szCs w:val="24"/>
        </w:rPr>
        <w:t xml:space="preserve">eview and, in part 2 of this </w:t>
      </w:r>
      <w:r w:rsidR="0058650E" w:rsidRPr="00931630">
        <w:rPr>
          <w:rFonts w:ascii="Arial" w:hAnsi="Arial" w:cs="Arial"/>
          <w:sz w:val="24"/>
          <w:szCs w:val="24"/>
        </w:rPr>
        <w:t>announcement</w:t>
      </w:r>
      <w:r w:rsidR="003A35D2" w:rsidRPr="00931630">
        <w:rPr>
          <w:rFonts w:ascii="Arial" w:hAnsi="Arial" w:cs="Arial"/>
          <w:sz w:val="24"/>
          <w:szCs w:val="24"/>
        </w:rPr>
        <w:t>, the</w:t>
      </w:r>
      <w:r w:rsidR="007D43ED" w:rsidRPr="00931630">
        <w:rPr>
          <w:rFonts w:ascii="Arial" w:hAnsi="Arial" w:cs="Arial"/>
          <w:sz w:val="24"/>
          <w:szCs w:val="24"/>
        </w:rPr>
        <w:t xml:space="preserve"> </w:t>
      </w:r>
      <w:r w:rsidR="00265815">
        <w:rPr>
          <w:rFonts w:ascii="Arial" w:hAnsi="Arial" w:cs="Arial"/>
          <w:sz w:val="24"/>
          <w:szCs w:val="24"/>
        </w:rPr>
        <w:t>half</w:t>
      </w:r>
      <w:r w:rsidR="00265815" w:rsidRPr="00931630">
        <w:rPr>
          <w:rFonts w:ascii="Arial" w:hAnsi="Arial" w:cs="Arial"/>
          <w:sz w:val="24"/>
          <w:szCs w:val="24"/>
        </w:rPr>
        <w:t xml:space="preserve"> </w:t>
      </w:r>
      <w:r w:rsidR="007A5E76" w:rsidRPr="00931630">
        <w:rPr>
          <w:rFonts w:ascii="Arial" w:hAnsi="Arial" w:cs="Arial"/>
          <w:sz w:val="24"/>
          <w:szCs w:val="24"/>
        </w:rPr>
        <w:t xml:space="preserve">year </w:t>
      </w:r>
      <w:r w:rsidR="00265815" w:rsidRPr="009B39BA">
        <w:rPr>
          <w:rFonts w:ascii="Arial" w:hAnsi="Arial" w:cs="Arial"/>
          <w:sz w:val="24"/>
          <w:szCs w:val="24"/>
        </w:rPr>
        <w:t>condensed</w:t>
      </w:r>
      <w:r w:rsidR="00265815">
        <w:rPr>
          <w:rFonts w:ascii="Arial" w:hAnsi="Arial" w:cs="Arial"/>
          <w:sz w:val="24"/>
          <w:szCs w:val="24"/>
        </w:rPr>
        <w:t xml:space="preserve"> </w:t>
      </w:r>
      <w:r w:rsidR="003A35D2" w:rsidRPr="00931630">
        <w:rPr>
          <w:rFonts w:ascii="Arial" w:hAnsi="Arial" w:cs="Arial"/>
          <w:sz w:val="24"/>
          <w:szCs w:val="24"/>
        </w:rPr>
        <w:t>Financial Statements</w:t>
      </w:r>
    </w:p>
    <w:p w14:paraId="37468DDD" w14:textId="28BD17A6" w:rsidR="008B440F" w:rsidRPr="00931630" w:rsidRDefault="008B440F" w:rsidP="0047127B">
      <w:pPr>
        <w:numPr>
          <w:ilvl w:val="0"/>
          <w:numId w:val="1"/>
        </w:numPr>
        <w:ind w:left="360"/>
        <w:jc w:val="left"/>
        <w:rPr>
          <w:rFonts w:ascii="Arial" w:hAnsi="Arial" w:cs="Arial"/>
          <w:sz w:val="24"/>
          <w:szCs w:val="24"/>
        </w:rPr>
      </w:pPr>
      <w:r w:rsidRPr="00931630">
        <w:rPr>
          <w:rFonts w:ascii="Arial" w:hAnsi="Arial" w:cs="Arial"/>
          <w:sz w:val="24"/>
          <w:szCs w:val="24"/>
        </w:rPr>
        <w:t>Glossary</w:t>
      </w:r>
    </w:p>
    <w:p w14:paraId="4AB07DF0" w14:textId="77777777" w:rsidR="00BF0805" w:rsidRPr="00931630" w:rsidRDefault="00F865E8" w:rsidP="0047127B">
      <w:pPr>
        <w:numPr>
          <w:ilvl w:val="0"/>
          <w:numId w:val="1"/>
        </w:numPr>
        <w:ind w:left="360"/>
        <w:jc w:val="left"/>
        <w:rPr>
          <w:rFonts w:ascii="Arial" w:hAnsi="Arial" w:cs="Arial"/>
          <w:b/>
          <w:sz w:val="24"/>
          <w:szCs w:val="24"/>
        </w:rPr>
      </w:pPr>
      <w:r w:rsidRPr="00931630">
        <w:rPr>
          <w:rFonts w:ascii="Arial" w:hAnsi="Arial" w:cs="Arial"/>
          <w:sz w:val="24"/>
          <w:szCs w:val="24"/>
        </w:rPr>
        <w:t>Forward-looking statements</w:t>
      </w:r>
    </w:p>
    <w:p w14:paraId="7FD896FF" w14:textId="77777777" w:rsidR="00DA4C33" w:rsidRDefault="00DA4C33" w:rsidP="003E3617">
      <w:pPr>
        <w:jc w:val="left"/>
        <w:rPr>
          <w:rFonts w:ascii="Arial" w:hAnsi="Arial" w:cs="Arial"/>
          <w:b/>
          <w:sz w:val="24"/>
          <w:szCs w:val="24"/>
        </w:rPr>
      </w:pPr>
    </w:p>
    <w:p w14:paraId="21D27343" w14:textId="77777777" w:rsidR="008C7FE9" w:rsidRDefault="008C7FE9" w:rsidP="003E3617">
      <w:pPr>
        <w:jc w:val="left"/>
        <w:rPr>
          <w:rFonts w:ascii="Arial" w:hAnsi="Arial" w:cs="Arial"/>
          <w:b/>
          <w:sz w:val="24"/>
          <w:szCs w:val="24"/>
        </w:rPr>
      </w:pPr>
    </w:p>
    <w:p w14:paraId="2863D570" w14:textId="4353C5D0" w:rsidR="003E3617" w:rsidRPr="000971B9" w:rsidRDefault="003E3617" w:rsidP="003E3617">
      <w:pPr>
        <w:jc w:val="left"/>
        <w:rPr>
          <w:rFonts w:ascii="Arial" w:hAnsi="Arial" w:cs="Arial"/>
          <w:b/>
          <w:sz w:val="24"/>
          <w:szCs w:val="24"/>
        </w:rPr>
      </w:pPr>
      <w:r w:rsidRPr="000971B9">
        <w:rPr>
          <w:rFonts w:ascii="Arial" w:hAnsi="Arial" w:cs="Arial"/>
          <w:b/>
          <w:sz w:val="24"/>
          <w:szCs w:val="24"/>
        </w:rPr>
        <w:lastRenderedPageBreak/>
        <w:t>Section 1</w:t>
      </w:r>
      <w:r w:rsidR="00376255" w:rsidRPr="000971B9">
        <w:rPr>
          <w:rFonts w:ascii="Arial" w:hAnsi="Arial" w:cs="Arial"/>
          <w:b/>
          <w:sz w:val="24"/>
          <w:szCs w:val="24"/>
        </w:rPr>
        <w:t xml:space="preserve">: </w:t>
      </w:r>
      <w:r w:rsidR="00D7499F">
        <w:rPr>
          <w:rFonts w:ascii="Arial" w:hAnsi="Arial" w:cs="Arial"/>
          <w:b/>
          <w:sz w:val="24"/>
          <w:szCs w:val="24"/>
        </w:rPr>
        <w:t xml:space="preserve">ONE Kingfisher </w:t>
      </w:r>
      <w:r w:rsidR="007D43ED">
        <w:rPr>
          <w:rFonts w:ascii="Arial" w:hAnsi="Arial" w:cs="Arial"/>
          <w:b/>
          <w:sz w:val="24"/>
          <w:szCs w:val="24"/>
        </w:rPr>
        <w:t xml:space="preserve">update </w:t>
      </w:r>
    </w:p>
    <w:p w14:paraId="18FFEB1A" w14:textId="77777777" w:rsidR="00593A8E" w:rsidRDefault="00593A8E" w:rsidP="006C2C39">
      <w:pPr>
        <w:jc w:val="left"/>
        <w:rPr>
          <w:highlight w:val="yellow"/>
        </w:rPr>
      </w:pPr>
    </w:p>
    <w:p w14:paraId="41D8A946" w14:textId="0EBFE348" w:rsidR="009226A6" w:rsidRPr="00925EFB" w:rsidRDefault="0039782F" w:rsidP="00925EFB">
      <w:pPr>
        <w:jc w:val="left"/>
        <w:rPr>
          <w:rFonts w:ascii="Arial" w:hAnsi="Arial" w:cs="Arial"/>
          <w:sz w:val="24"/>
          <w:szCs w:val="24"/>
          <w:highlight w:val="yellow"/>
        </w:rPr>
      </w:pPr>
      <w:r>
        <w:rPr>
          <w:rFonts w:ascii="Arial" w:hAnsi="Arial" w:cs="Arial"/>
          <w:sz w:val="24"/>
          <w:szCs w:val="24"/>
        </w:rPr>
        <w:t xml:space="preserve">The </w:t>
      </w:r>
      <w:r w:rsidRPr="00925EFB">
        <w:rPr>
          <w:rFonts w:ascii="Arial" w:hAnsi="Arial" w:cs="Arial"/>
          <w:sz w:val="24"/>
          <w:szCs w:val="24"/>
        </w:rPr>
        <w:t xml:space="preserve">ONE Kingfisher </w:t>
      </w:r>
      <w:r w:rsidR="00847F4B">
        <w:rPr>
          <w:rFonts w:ascii="Arial" w:hAnsi="Arial" w:cs="Arial"/>
          <w:sz w:val="24"/>
          <w:szCs w:val="24"/>
        </w:rPr>
        <w:t xml:space="preserve">five year </w:t>
      </w:r>
      <w:r w:rsidRPr="0039782F">
        <w:rPr>
          <w:rFonts w:ascii="Arial" w:hAnsi="Arial" w:cs="Arial"/>
          <w:sz w:val="24"/>
          <w:szCs w:val="24"/>
        </w:rPr>
        <w:t>plan</w:t>
      </w:r>
      <w:r w:rsidR="00847F4B">
        <w:rPr>
          <w:rFonts w:ascii="Arial" w:hAnsi="Arial" w:cs="Arial"/>
          <w:sz w:val="24"/>
          <w:szCs w:val="24"/>
        </w:rPr>
        <w:t>, starting this year (FY 2016/17)</w:t>
      </w:r>
      <w:r>
        <w:rPr>
          <w:rFonts w:ascii="Arial" w:hAnsi="Arial" w:cs="Arial"/>
          <w:sz w:val="24"/>
          <w:szCs w:val="24"/>
        </w:rPr>
        <w:t xml:space="preserve"> </w:t>
      </w:r>
      <w:r w:rsidR="00847F4B">
        <w:rPr>
          <w:rFonts w:ascii="Arial" w:hAnsi="Arial" w:cs="Arial"/>
          <w:sz w:val="24"/>
          <w:szCs w:val="24"/>
        </w:rPr>
        <w:t xml:space="preserve">will </w:t>
      </w:r>
      <w:r w:rsidRPr="00FC61FB">
        <w:rPr>
          <w:rFonts w:ascii="Arial" w:hAnsi="Arial" w:cs="Arial"/>
          <w:sz w:val="24"/>
          <w:szCs w:val="24"/>
        </w:rPr>
        <w:t xml:space="preserve">leverage the scale of the business by </w:t>
      </w:r>
      <w:r>
        <w:rPr>
          <w:rFonts w:ascii="Arial" w:hAnsi="Arial" w:cs="Arial"/>
          <w:sz w:val="24"/>
          <w:szCs w:val="24"/>
        </w:rPr>
        <w:t>creating a</w:t>
      </w:r>
      <w:r w:rsidRPr="00FC61FB">
        <w:rPr>
          <w:rFonts w:ascii="Arial" w:hAnsi="Arial" w:cs="Arial"/>
          <w:sz w:val="24"/>
          <w:szCs w:val="24"/>
        </w:rPr>
        <w:t xml:space="preserve"> unified company</w:t>
      </w:r>
      <w:r>
        <w:rPr>
          <w:rFonts w:ascii="Arial" w:hAnsi="Arial" w:cs="Arial"/>
          <w:sz w:val="24"/>
          <w:szCs w:val="24"/>
        </w:rPr>
        <w:t>,</w:t>
      </w:r>
      <w:r w:rsidRPr="00FC61FB">
        <w:rPr>
          <w:rFonts w:ascii="Arial" w:hAnsi="Arial" w:cs="Arial"/>
          <w:sz w:val="24"/>
          <w:szCs w:val="24"/>
        </w:rPr>
        <w:t xml:space="preserve"> where customer needs </w:t>
      </w:r>
      <w:r>
        <w:rPr>
          <w:rFonts w:ascii="Arial" w:hAnsi="Arial" w:cs="Arial"/>
          <w:sz w:val="24"/>
          <w:szCs w:val="24"/>
        </w:rPr>
        <w:t xml:space="preserve">always </w:t>
      </w:r>
      <w:r w:rsidRPr="00FC61FB">
        <w:rPr>
          <w:rFonts w:ascii="Arial" w:hAnsi="Arial" w:cs="Arial"/>
          <w:sz w:val="24"/>
          <w:szCs w:val="24"/>
        </w:rPr>
        <w:t xml:space="preserve">come first. </w:t>
      </w:r>
    </w:p>
    <w:p w14:paraId="7D05E8ED" w14:textId="77777777" w:rsidR="00A77D26" w:rsidRDefault="00A77D26" w:rsidP="00566696">
      <w:pPr>
        <w:jc w:val="left"/>
        <w:rPr>
          <w:rFonts w:ascii="Arial" w:hAnsi="Arial" w:cs="Arial"/>
          <w:sz w:val="24"/>
          <w:szCs w:val="24"/>
        </w:rPr>
      </w:pPr>
    </w:p>
    <w:p w14:paraId="1A9423F2" w14:textId="00B2881E" w:rsidR="00566696" w:rsidRDefault="00A77D26" w:rsidP="00566696">
      <w:pPr>
        <w:jc w:val="left"/>
        <w:rPr>
          <w:rFonts w:ascii="Arial" w:hAnsi="Arial" w:cs="Arial"/>
          <w:sz w:val="24"/>
          <w:szCs w:val="24"/>
        </w:rPr>
      </w:pPr>
      <w:r>
        <w:rPr>
          <w:rFonts w:ascii="Arial" w:hAnsi="Arial" w:cs="Arial"/>
          <w:sz w:val="24"/>
          <w:szCs w:val="24"/>
        </w:rPr>
        <w:t xml:space="preserve">Our intention is that this </w:t>
      </w:r>
      <w:r w:rsidR="009226A6" w:rsidRPr="0075695B">
        <w:rPr>
          <w:rFonts w:ascii="Arial" w:hAnsi="Arial" w:cs="Arial"/>
          <w:sz w:val="24"/>
          <w:szCs w:val="24"/>
        </w:rPr>
        <w:t xml:space="preserve">five year transformation plan </w:t>
      </w:r>
      <w:r>
        <w:rPr>
          <w:rFonts w:ascii="Arial" w:hAnsi="Arial" w:cs="Arial"/>
          <w:sz w:val="24"/>
          <w:szCs w:val="24"/>
        </w:rPr>
        <w:t>will</w:t>
      </w:r>
      <w:r w:rsidR="0075695B" w:rsidRPr="00925EFB">
        <w:rPr>
          <w:rFonts w:ascii="Arial" w:hAnsi="Arial" w:cs="Arial"/>
          <w:sz w:val="24"/>
          <w:szCs w:val="24"/>
        </w:rPr>
        <w:t xml:space="preserve"> deliver </w:t>
      </w:r>
      <w:r w:rsidR="00012C99">
        <w:rPr>
          <w:rFonts w:ascii="Arial" w:hAnsi="Arial" w:cs="Arial"/>
          <w:sz w:val="24"/>
          <w:szCs w:val="24"/>
        </w:rPr>
        <w:t xml:space="preserve">a </w:t>
      </w:r>
      <w:r w:rsidR="0075695B" w:rsidRPr="00925EFB">
        <w:rPr>
          <w:rFonts w:ascii="Arial" w:hAnsi="Arial" w:cs="Arial"/>
          <w:sz w:val="24"/>
          <w:szCs w:val="24"/>
        </w:rPr>
        <w:t>£500m</w:t>
      </w:r>
      <w:r w:rsidR="0075695B" w:rsidRPr="00925EFB">
        <w:rPr>
          <w:rFonts w:ascii="Arial" w:hAnsi="Arial" w:cs="Arial"/>
          <w:b/>
          <w:sz w:val="24"/>
          <w:szCs w:val="24"/>
        </w:rPr>
        <w:t xml:space="preserve"> </w:t>
      </w:r>
      <w:r w:rsidR="0075695B" w:rsidRPr="00925EFB">
        <w:rPr>
          <w:rFonts w:ascii="Arial" w:hAnsi="Arial" w:cs="Arial"/>
          <w:sz w:val="24"/>
          <w:szCs w:val="24"/>
        </w:rPr>
        <w:t>sustainable annual profit uplift by end of year 5</w:t>
      </w:r>
      <w:r w:rsidR="00FE784B">
        <w:rPr>
          <w:rFonts w:ascii="Arial" w:hAnsi="Arial" w:cs="Arial"/>
          <w:sz w:val="24"/>
          <w:szCs w:val="24"/>
        </w:rPr>
        <w:t>,</w:t>
      </w:r>
      <w:r w:rsidR="0075695B" w:rsidRPr="00925EFB">
        <w:rPr>
          <w:rFonts w:ascii="Arial" w:hAnsi="Arial" w:cs="Arial"/>
          <w:sz w:val="24"/>
          <w:szCs w:val="24"/>
        </w:rPr>
        <w:t xml:space="preserve"> over and above business as usual</w:t>
      </w:r>
      <w:r w:rsidR="00AC2B0B">
        <w:rPr>
          <w:rFonts w:ascii="Arial" w:hAnsi="Arial" w:cs="Arial"/>
          <w:sz w:val="24"/>
          <w:szCs w:val="24"/>
        </w:rPr>
        <w:t xml:space="preserve"> (BAU)</w:t>
      </w:r>
      <w:r>
        <w:rPr>
          <w:rFonts w:ascii="Arial" w:hAnsi="Arial" w:cs="Arial"/>
          <w:sz w:val="24"/>
          <w:szCs w:val="24"/>
        </w:rPr>
        <w:t>*</w:t>
      </w:r>
      <w:r w:rsidR="0075695B">
        <w:rPr>
          <w:rFonts w:ascii="Arial" w:hAnsi="Arial" w:cs="Arial"/>
          <w:sz w:val="24"/>
          <w:szCs w:val="24"/>
        </w:rPr>
        <w:t xml:space="preserve">. </w:t>
      </w:r>
      <w:r>
        <w:rPr>
          <w:rFonts w:ascii="Arial" w:hAnsi="Arial" w:cs="Arial"/>
          <w:sz w:val="24"/>
          <w:szCs w:val="24"/>
        </w:rPr>
        <w:t>Furthermore, u</w:t>
      </w:r>
      <w:r w:rsidR="00566696" w:rsidRPr="0075695B">
        <w:rPr>
          <w:rFonts w:ascii="Arial" w:hAnsi="Arial" w:cs="Arial"/>
          <w:sz w:val="24"/>
          <w:szCs w:val="24"/>
        </w:rPr>
        <w:t>ntil we have unified our customer offer, we will have limited expansion, the focus of which</w:t>
      </w:r>
      <w:r w:rsidR="004752D0">
        <w:rPr>
          <w:rFonts w:ascii="Arial" w:hAnsi="Arial" w:cs="Arial"/>
          <w:sz w:val="24"/>
          <w:szCs w:val="24"/>
        </w:rPr>
        <w:t xml:space="preserve"> </w:t>
      </w:r>
      <w:r w:rsidR="00566696" w:rsidRPr="0075695B">
        <w:rPr>
          <w:rFonts w:ascii="Arial" w:hAnsi="Arial" w:cs="Arial"/>
          <w:sz w:val="24"/>
          <w:szCs w:val="24"/>
        </w:rPr>
        <w:t xml:space="preserve">will be Screwfix UK </w:t>
      </w:r>
      <w:r w:rsidR="00A359EE">
        <w:rPr>
          <w:rFonts w:ascii="Arial" w:hAnsi="Arial" w:cs="Arial"/>
          <w:sz w:val="24"/>
          <w:szCs w:val="24"/>
        </w:rPr>
        <w:t>and</w:t>
      </w:r>
      <w:r w:rsidR="00566696" w:rsidRPr="0075695B">
        <w:rPr>
          <w:rFonts w:ascii="Arial" w:hAnsi="Arial" w:cs="Arial"/>
          <w:sz w:val="24"/>
          <w:szCs w:val="24"/>
        </w:rPr>
        <w:t xml:space="preserve"> Europe</w:t>
      </w:r>
      <w:r w:rsidR="004752D0">
        <w:rPr>
          <w:rFonts w:ascii="Arial" w:hAnsi="Arial" w:cs="Arial"/>
          <w:sz w:val="24"/>
          <w:szCs w:val="24"/>
        </w:rPr>
        <w:t xml:space="preserve"> in the medium-term</w:t>
      </w:r>
      <w:r w:rsidR="00566696" w:rsidRPr="0075695B">
        <w:rPr>
          <w:rFonts w:ascii="Arial" w:hAnsi="Arial" w:cs="Arial"/>
          <w:sz w:val="24"/>
          <w:szCs w:val="24"/>
        </w:rPr>
        <w:t>.</w:t>
      </w:r>
      <w:r w:rsidR="00566696" w:rsidRPr="00C202B6">
        <w:rPr>
          <w:rFonts w:ascii="Arial" w:hAnsi="Arial" w:cs="Arial"/>
          <w:sz w:val="24"/>
          <w:szCs w:val="24"/>
        </w:rPr>
        <w:t xml:space="preserve"> </w:t>
      </w:r>
      <w:r w:rsidR="009707FB">
        <w:rPr>
          <w:rFonts w:ascii="Arial" w:hAnsi="Arial" w:cs="Arial"/>
          <w:sz w:val="24"/>
          <w:szCs w:val="24"/>
        </w:rPr>
        <w:t xml:space="preserve">The total expected cash cost </w:t>
      </w:r>
      <w:r w:rsidR="000F3A45">
        <w:rPr>
          <w:rFonts w:ascii="Arial" w:hAnsi="Arial" w:cs="Arial"/>
          <w:sz w:val="24"/>
          <w:szCs w:val="24"/>
        </w:rPr>
        <w:t xml:space="preserve">of the transformation </w:t>
      </w:r>
      <w:r w:rsidR="009707FB">
        <w:rPr>
          <w:rFonts w:ascii="Arial" w:hAnsi="Arial" w:cs="Arial"/>
          <w:sz w:val="24"/>
          <w:szCs w:val="24"/>
        </w:rPr>
        <w:t>is £800m</w:t>
      </w:r>
      <w:r w:rsidR="00CD0303">
        <w:rPr>
          <w:rFonts w:ascii="Arial" w:hAnsi="Arial" w:cs="Arial"/>
          <w:sz w:val="24"/>
          <w:szCs w:val="24"/>
        </w:rPr>
        <w:t xml:space="preserve"> (P&amp;L, exceptional and capex)</w:t>
      </w:r>
      <w:r w:rsidR="009707FB">
        <w:rPr>
          <w:rFonts w:ascii="Arial" w:hAnsi="Arial" w:cs="Arial"/>
          <w:sz w:val="24"/>
          <w:szCs w:val="24"/>
        </w:rPr>
        <w:t xml:space="preserve">. </w:t>
      </w:r>
    </w:p>
    <w:p w14:paraId="4033BD4D" w14:textId="77777777" w:rsidR="00566696" w:rsidRDefault="00566696">
      <w:pPr>
        <w:jc w:val="left"/>
        <w:rPr>
          <w:rFonts w:ascii="Arial" w:hAnsi="Arial" w:cs="Arial"/>
          <w:sz w:val="24"/>
          <w:szCs w:val="24"/>
        </w:rPr>
      </w:pPr>
    </w:p>
    <w:p w14:paraId="502E76BC" w14:textId="77777777" w:rsidR="004752D0" w:rsidRDefault="00A77D26">
      <w:pPr>
        <w:jc w:val="left"/>
        <w:rPr>
          <w:rFonts w:ascii="Arial" w:hAnsi="Arial" w:cs="Arial"/>
          <w:sz w:val="24"/>
          <w:szCs w:val="24"/>
        </w:rPr>
      </w:pPr>
      <w:r w:rsidRPr="00EF3963">
        <w:rPr>
          <w:rFonts w:ascii="Arial" w:hAnsi="Arial" w:cs="Arial"/>
          <w:sz w:val="24"/>
          <w:szCs w:val="24"/>
        </w:rPr>
        <w:t>T</w:t>
      </w:r>
      <w:r w:rsidRPr="0039782F">
        <w:rPr>
          <w:rFonts w:ascii="Arial" w:hAnsi="Arial" w:cs="Arial"/>
          <w:sz w:val="24"/>
          <w:szCs w:val="24"/>
        </w:rPr>
        <w:t xml:space="preserve">he focus </w:t>
      </w:r>
      <w:r>
        <w:rPr>
          <w:rFonts w:ascii="Arial" w:hAnsi="Arial" w:cs="Arial"/>
          <w:sz w:val="24"/>
          <w:szCs w:val="24"/>
        </w:rPr>
        <w:t xml:space="preserve">of the transformation plan is </w:t>
      </w:r>
      <w:r w:rsidRPr="0039782F">
        <w:rPr>
          <w:rFonts w:ascii="Arial" w:hAnsi="Arial" w:cs="Arial"/>
          <w:sz w:val="24"/>
          <w:szCs w:val="24"/>
        </w:rPr>
        <w:t xml:space="preserve">on three key </w:t>
      </w:r>
      <w:r w:rsidRPr="00EF3963">
        <w:rPr>
          <w:rFonts w:ascii="Arial" w:hAnsi="Arial" w:cs="Arial"/>
          <w:sz w:val="24"/>
          <w:szCs w:val="24"/>
        </w:rPr>
        <w:t xml:space="preserve">strategic </w:t>
      </w:r>
      <w:r w:rsidRPr="0039782F">
        <w:rPr>
          <w:rFonts w:ascii="Arial" w:hAnsi="Arial" w:cs="Arial"/>
          <w:sz w:val="24"/>
          <w:szCs w:val="24"/>
        </w:rPr>
        <w:t>pillars</w:t>
      </w:r>
      <w:r>
        <w:rPr>
          <w:rFonts w:ascii="Arial" w:hAnsi="Arial" w:cs="Arial"/>
          <w:sz w:val="24"/>
          <w:szCs w:val="24"/>
        </w:rPr>
        <w:t xml:space="preserve">: </w:t>
      </w:r>
    </w:p>
    <w:p w14:paraId="3931F815" w14:textId="56630485" w:rsidR="004752D0" w:rsidRDefault="00A77D26" w:rsidP="000F07BB">
      <w:pPr>
        <w:pStyle w:val="ListParagraph"/>
        <w:numPr>
          <w:ilvl w:val="0"/>
          <w:numId w:val="68"/>
        </w:numPr>
        <w:jc w:val="left"/>
        <w:rPr>
          <w:rFonts w:ascii="Arial" w:hAnsi="Arial" w:cs="Arial"/>
          <w:sz w:val="24"/>
          <w:szCs w:val="24"/>
        </w:rPr>
      </w:pPr>
      <w:r w:rsidRPr="000F07BB">
        <w:rPr>
          <w:rFonts w:ascii="Arial" w:hAnsi="Arial" w:cs="Arial"/>
          <w:sz w:val="24"/>
          <w:szCs w:val="24"/>
        </w:rPr>
        <w:t xml:space="preserve">creating a unified, unique and leading home improvement offer; </w:t>
      </w:r>
    </w:p>
    <w:p w14:paraId="25191CE3" w14:textId="2FB14346" w:rsidR="004752D0" w:rsidRDefault="00A77D26" w:rsidP="000F07BB">
      <w:pPr>
        <w:pStyle w:val="ListParagraph"/>
        <w:numPr>
          <w:ilvl w:val="0"/>
          <w:numId w:val="68"/>
        </w:numPr>
        <w:jc w:val="left"/>
        <w:rPr>
          <w:rFonts w:ascii="Arial" w:hAnsi="Arial" w:cs="Arial"/>
          <w:sz w:val="24"/>
          <w:szCs w:val="24"/>
        </w:rPr>
      </w:pPr>
      <w:r w:rsidRPr="000F07BB">
        <w:rPr>
          <w:rFonts w:ascii="Arial" w:hAnsi="Arial" w:cs="Arial"/>
          <w:sz w:val="24"/>
          <w:szCs w:val="24"/>
        </w:rPr>
        <w:t xml:space="preserve">driving our digital capability; and </w:t>
      </w:r>
    </w:p>
    <w:p w14:paraId="7BCA02C9" w14:textId="69EC6BA4" w:rsidR="004752D0" w:rsidRDefault="00A77D26" w:rsidP="000F07BB">
      <w:pPr>
        <w:pStyle w:val="ListParagraph"/>
        <w:numPr>
          <w:ilvl w:val="0"/>
          <w:numId w:val="68"/>
        </w:numPr>
        <w:jc w:val="left"/>
        <w:rPr>
          <w:rFonts w:ascii="Arial" w:hAnsi="Arial" w:cs="Arial"/>
          <w:sz w:val="24"/>
          <w:szCs w:val="24"/>
        </w:rPr>
      </w:pPr>
      <w:r w:rsidRPr="000F07BB">
        <w:rPr>
          <w:rFonts w:ascii="Arial" w:hAnsi="Arial" w:cs="Arial"/>
          <w:sz w:val="24"/>
          <w:szCs w:val="24"/>
        </w:rPr>
        <w:t xml:space="preserve">optimising our operational efficiency. </w:t>
      </w:r>
    </w:p>
    <w:p w14:paraId="291FAE94" w14:textId="77777777" w:rsidR="004752D0" w:rsidRDefault="004752D0" w:rsidP="000F07BB">
      <w:pPr>
        <w:jc w:val="left"/>
        <w:rPr>
          <w:rFonts w:ascii="Arial" w:hAnsi="Arial" w:cs="Arial"/>
          <w:sz w:val="24"/>
          <w:szCs w:val="24"/>
        </w:rPr>
      </w:pPr>
    </w:p>
    <w:p w14:paraId="7DE24601" w14:textId="39E1306D" w:rsidR="00A77D26" w:rsidRPr="000F07BB" w:rsidRDefault="00A77D26" w:rsidP="000F07BB">
      <w:pPr>
        <w:jc w:val="left"/>
        <w:rPr>
          <w:rFonts w:ascii="Arial" w:hAnsi="Arial" w:cs="Arial"/>
          <w:sz w:val="24"/>
          <w:szCs w:val="24"/>
        </w:rPr>
      </w:pPr>
      <w:r w:rsidRPr="000F07BB">
        <w:rPr>
          <w:rFonts w:ascii="Arial" w:hAnsi="Arial" w:cs="Arial"/>
          <w:sz w:val="24"/>
          <w:szCs w:val="24"/>
        </w:rPr>
        <w:t xml:space="preserve">See below for half year progress against </w:t>
      </w:r>
      <w:r w:rsidR="00E53A31">
        <w:rPr>
          <w:rFonts w:ascii="Arial" w:hAnsi="Arial" w:cs="Arial"/>
          <w:sz w:val="24"/>
          <w:szCs w:val="24"/>
        </w:rPr>
        <w:t xml:space="preserve">the </w:t>
      </w:r>
      <w:r w:rsidRPr="000F07BB">
        <w:rPr>
          <w:rFonts w:ascii="Arial" w:hAnsi="Arial" w:cs="Arial"/>
          <w:sz w:val="24"/>
          <w:szCs w:val="24"/>
        </w:rPr>
        <w:t xml:space="preserve">annual </w:t>
      </w:r>
      <w:r w:rsidR="00DC3339">
        <w:rPr>
          <w:rFonts w:ascii="Arial" w:hAnsi="Arial" w:cs="Arial"/>
          <w:sz w:val="24"/>
          <w:szCs w:val="24"/>
        </w:rPr>
        <w:t>strategic</w:t>
      </w:r>
      <w:r w:rsidRPr="000F07BB">
        <w:rPr>
          <w:rFonts w:ascii="Arial" w:hAnsi="Arial" w:cs="Arial"/>
          <w:sz w:val="24"/>
          <w:szCs w:val="24"/>
        </w:rPr>
        <w:t xml:space="preserve"> milestones</w:t>
      </w:r>
      <w:r w:rsidR="00E53A31">
        <w:rPr>
          <w:rFonts w:ascii="Arial" w:hAnsi="Arial" w:cs="Arial"/>
          <w:sz w:val="24"/>
          <w:szCs w:val="24"/>
        </w:rPr>
        <w:t xml:space="preserve"> of </w:t>
      </w:r>
      <w:r w:rsidR="00E53A31" w:rsidRPr="000F07BB">
        <w:rPr>
          <w:rFonts w:ascii="Arial" w:hAnsi="Arial" w:cs="Arial"/>
          <w:sz w:val="24"/>
          <w:szCs w:val="24"/>
        </w:rPr>
        <w:t xml:space="preserve">each of </w:t>
      </w:r>
      <w:r w:rsidR="00E53A31">
        <w:rPr>
          <w:rFonts w:ascii="Arial" w:hAnsi="Arial" w:cs="Arial"/>
          <w:sz w:val="24"/>
          <w:szCs w:val="24"/>
        </w:rPr>
        <w:t>these</w:t>
      </w:r>
      <w:r w:rsidR="00E53A31" w:rsidRPr="000F07BB">
        <w:rPr>
          <w:rFonts w:ascii="Arial" w:hAnsi="Arial" w:cs="Arial"/>
          <w:sz w:val="24"/>
          <w:szCs w:val="24"/>
        </w:rPr>
        <w:t xml:space="preserve"> strategic pillar</w:t>
      </w:r>
      <w:r w:rsidR="00E53A31">
        <w:rPr>
          <w:rFonts w:ascii="Arial" w:hAnsi="Arial" w:cs="Arial"/>
          <w:sz w:val="24"/>
          <w:szCs w:val="24"/>
        </w:rPr>
        <w:t>s</w:t>
      </w:r>
      <w:r w:rsidRPr="000F07BB">
        <w:rPr>
          <w:rFonts w:ascii="Arial" w:hAnsi="Arial" w:cs="Arial"/>
          <w:sz w:val="24"/>
          <w:szCs w:val="24"/>
        </w:rPr>
        <w:t>:</w:t>
      </w:r>
    </w:p>
    <w:p w14:paraId="56F72E92" w14:textId="77777777" w:rsidR="009014DF" w:rsidRDefault="009014DF" w:rsidP="009226A6">
      <w:pPr>
        <w:jc w:val="left"/>
        <w:rPr>
          <w:rFonts w:ascii="Arial" w:hAnsi="Arial" w:cs="Arial"/>
          <w:sz w:val="24"/>
          <w:szCs w:val="24"/>
        </w:rPr>
      </w:pPr>
    </w:p>
    <w:p w14:paraId="61BFE166" w14:textId="77777777" w:rsidR="00887ECC" w:rsidRDefault="00887ECC" w:rsidP="009226A6">
      <w:pPr>
        <w:jc w:val="left"/>
        <w:rPr>
          <w:rFonts w:ascii="Arial" w:hAnsi="Arial" w:cs="Arial"/>
          <w:sz w:val="24"/>
          <w:szCs w:val="24"/>
        </w:rPr>
      </w:pPr>
    </w:p>
    <w:tbl>
      <w:tblPr>
        <w:tblStyle w:val="TableGrid"/>
        <w:tblW w:w="0" w:type="auto"/>
        <w:tblLook w:val="04A0" w:firstRow="1" w:lastRow="0" w:firstColumn="1" w:lastColumn="0" w:noHBand="0" w:noVBand="1"/>
      </w:tblPr>
      <w:tblGrid>
        <w:gridCol w:w="9631"/>
      </w:tblGrid>
      <w:tr w:rsidR="009014DF" w14:paraId="390C420C" w14:textId="77777777" w:rsidTr="009014DF">
        <w:tc>
          <w:tcPr>
            <w:tcW w:w="9631" w:type="dxa"/>
          </w:tcPr>
          <w:p w14:paraId="4832716D" w14:textId="77777777" w:rsidR="009014DF" w:rsidRDefault="009014DF" w:rsidP="00925EFB">
            <w:pPr>
              <w:pStyle w:val="ListParagraph"/>
              <w:ind w:left="360"/>
              <w:rPr>
                <w:rFonts w:ascii="Arial" w:hAnsi="Arial" w:cs="Arial"/>
                <w:sz w:val="24"/>
                <w:szCs w:val="24"/>
                <w:u w:val="single"/>
              </w:rPr>
            </w:pPr>
          </w:p>
          <w:p w14:paraId="33C088FD" w14:textId="77777777" w:rsidR="009014DF" w:rsidRPr="002B547C" w:rsidRDefault="009014DF" w:rsidP="009014DF">
            <w:pPr>
              <w:pStyle w:val="ListParagraph"/>
              <w:numPr>
                <w:ilvl w:val="0"/>
                <w:numId w:val="66"/>
              </w:numPr>
              <w:ind w:left="360"/>
              <w:rPr>
                <w:rFonts w:ascii="Arial" w:hAnsi="Arial" w:cs="Arial"/>
                <w:sz w:val="24"/>
                <w:szCs w:val="24"/>
                <w:u w:val="single"/>
              </w:rPr>
            </w:pPr>
            <w:r w:rsidRPr="002B547C">
              <w:rPr>
                <w:rFonts w:ascii="Arial" w:hAnsi="Arial" w:cs="Arial"/>
                <w:sz w:val="24"/>
                <w:szCs w:val="24"/>
                <w:u w:val="single"/>
              </w:rPr>
              <w:t xml:space="preserve">Unified, unique and leading offer </w:t>
            </w:r>
          </w:p>
          <w:p w14:paraId="7C5410C6" w14:textId="77777777" w:rsidR="009014DF" w:rsidRDefault="009014DF" w:rsidP="009014DF">
            <w:pPr>
              <w:jc w:val="left"/>
              <w:rPr>
                <w:rFonts w:ascii="Arial" w:hAnsi="Arial" w:cs="Arial"/>
                <w:b/>
                <w:sz w:val="24"/>
                <w:szCs w:val="24"/>
                <w:u w:val="single"/>
              </w:rPr>
            </w:pPr>
          </w:p>
          <w:p w14:paraId="401464FB" w14:textId="3A357AE6" w:rsidR="009014DF" w:rsidRDefault="009014DF" w:rsidP="009014DF">
            <w:pPr>
              <w:jc w:val="left"/>
              <w:rPr>
                <w:rFonts w:ascii="Arial" w:hAnsi="Arial" w:cs="Arial"/>
                <w:sz w:val="24"/>
                <w:szCs w:val="24"/>
              </w:rPr>
            </w:pPr>
            <w:r>
              <w:rPr>
                <w:rFonts w:ascii="Arial" w:hAnsi="Arial" w:cs="Arial"/>
                <w:sz w:val="24"/>
                <w:szCs w:val="24"/>
              </w:rPr>
              <w:t>W</w:t>
            </w:r>
            <w:r w:rsidRPr="002B547C">
              <w:rPr>
                <w:rFonts w:ascii="Arial" w:hAnsi="Arial" w:cs="Arial"/>
                <w:sz w:val="24"/>
                <w:szCs w:val="24"/>
              </w:rPr>
              <w:t xml:space="preserve">e </w:t>
            </w:r>
            <w:r>
              <w:rPr>
                <w:rFonts w:ascii="Arial" w:hAnsi="Arial" w:cs="Arial"/>
                <w:sz w:val="24"/>
                <w:szCs w:val="24"/>
              </w:rPr>
              <w:t>have started</w:t>
            </w:r>
            <w:r w:rsidRPr="002B547C">
              <w:rPr>
                <w:rFonts w:ascii="Arial" w:hAnsi="Arial" w:cs="Arial"/>
                <w:sz w:val="24"/>
                <w:szCs w:val="24"/>
              </w:rPr>
              <w:t xml:space="preserve"> unif</w:t>
            </w:r>
            <w:r>
              <w:rPr>
                <w:rFonts w:ascii="Arial" w:hAnsi="Arial" w:cs="Arial"/>
                <w:sz w:val="24"/>
                <w:szCs w:val="24"/>
              </w:rPr>
              <w:t>ying our</w:t>
            </w:r>
            <w:r w:rsidRPr="002B547C">
              <w:rPr>
                <w:rFonts w:ascii="Arial" w:hAnsi="Arial" w:cs="Arial"/>
                <w:sz w:val="24"/>
                <w:szCs w:val="24"/>
              </w:rPr>
              <w:t xml:space="preserve"> offer, with the same products, presented everywhere in the same way</w:t>
            </w:r>
            <w:r>
              <w:rPr>
                <w:rFonts w:ascii="Arial" w:hAnsi="Arial" w:cs="Arial"/>
                <w:sz w:val="24"/>
                <w:szCs w:val="24"/>
              </w:rPr>
              <w:t>. This will deliver significant customer benefits (</w:t>
            </w:r>
            <w:r w:rsidR="00FE784B">
              <w:rPr>
                <w:rFonts w:ascii="Arial" w:hAnsi="Arial" w:cs="Arial"/>
                <w:sz w:val="24"/>
                <w:szCs w:val="24"/>
              </w:rPr>
              <w:t xml:space="preserve">newer products, higher quality, better sustainability, lower prices, </w:t>
            </w:r>
            <w:r>
              <w:rPr>
                <w:rFonts w:ascii="Arial" w:hAnsi="Arial" w:cs="Arial"/>
                <w:sz w:val="24"/>
                <w:szCs w:val="24"/>
              </w:rPr>
              <w:t>simpler ranges, clearer merchandising</w:t>
            </w:r>
            <w:r w:rsidR="00FE784B">
              <w:rPr>
                <w:rFonts w:ascii="Arial" w:hAnsi="Arial" w:cs="Arial"/>
                <w:sz w:val="24"/>
                <w:szCs w:val="24"/>
              </w:rPr>
              <w:t xml:space="preserve"> and</w:t>
            </w:r>
            <w:r>
              <w:rPr>
                <w:rFonts w:ascii="Arial" w:hAnsi="Arial" w:cs="Arial"/>
                <w:sz w:val="24"/>
                <w:szCs w:val="24"/>
              </w:rPr>
              <w:t xml:space="preserve"> </w:t>
            </w:r>
            <w:r w:rsidR="00FE784B">
              <w:rPr>
                <w:rFonts w:ascii="Arial" w:hAnsi="Arial" w:cs="Arial"/>
                <w:sz w:val="24"/>
                <w:szCs w:val="24"/>
              </w:rPr>
              <w:t>better packaging</w:t>
            </w:r>
            <w:r>
              <w:rPr>
                <w:rFonts w:ascii="Arial" w:hAnsi="Arial" w:cs="Arial"/>
                <w:sz w:val="24"/>
                <w:szCs w:val="24"/>
              </w:rPr>
              <w:t xml:space="preserve">) alongside significant business benefits (higher sales, fewer SKUs*, fewer suppliers, cost price reduction (CPR) and improved processes). </w:t>
            </w:r>
          </w:p>
          <w:p w14:paraId="6972BE22" w14:textId="77777777" w:rsidR="009014DF" w:rsidRDefault="009014DF" w:rsidP="009014DF">
            <w:pPr>
              <w:jc w:val="left"/>
              <w:rPr>
                <w:rFonts w:ascii="Arial" w:hAnsi="Arial" w:cs="Arial"/>
                <w:i/>
                <w:sz w:val="24"/>
                <w:szCs w:val="24"/>
              </w:rPr>
            </w:pPr>
          </w:p>
          <w:p w14:paraId="666DA4FF" w14:textId="4F8D3E0B" w:rsidR="009014DF" w:rsidRDefault="009014DF" w:rsidP="000F07BB">
            <w:pPr>
              <w:pStyle w:val="ListParagraph"/>
              <w:numPr>
                <w:ilvl w:val="0"/>
                <w:numId w:val="60"/>
              </w:numPr>
              <w:jc w:val="left"/>
              <w:rPr>
                <w:rFonts w:ascii="Arial" w:hAnsi="Arial" w:cs="Arial"/>
                <w:i/>
                <w:sz w:val="24"/>
                <w:szCs w:val="24"/>
              </w:rPr>
            </w:pPr>
            <w:r w:rsidRPr="00E304FD">
              <w:rPr>
                <w:rFonts w:ascii="Arial" w:hAnsi="Arial" w:cs="Arial"/>
                <w:i/>
                <w:sz w:val="24"/>
                <w:szCs w:val="24"/>
              </w:rPr>
              <w:t>Achieve 4% unified cost of goods sold</w:t>
            </w:r>
            <w:r w:rsidR="00AC2B0B">
              <w:rPr>
                <w:rFonts w:ascii="Arial" w:hAnsi="Arial" w:cs="Arial"/>
                <w:i/>
                <w:sz w:val="24"/>
                <w:szCs w:val="24"/>
              </w:rPr>
              <w:t xml:space="preserve"> (COGS)</w:t>
            </w:r>
          </w:p>
          <w:p w14:paraId="2C155DD8" w14:textId="77777777" w:rsidR="00BE0412" w:rsidRPr="00E304FD" w:rsidRDefault="00BE0412" w:rsidP="002E570E">
            <w:pPr>
              <w:pStyle w:val="ListParagraph"/>
              <w:jc w:val="left"/>
              <w:rPr>
                <w:rFonts w:ascii="Arial" w:hAnsi="Arial" w:cs="Arial"/>
                <w:i/>
                <w:sz w:val="24"/>
                <w:szCs w:val="24"/>
              </w:rPr>
            </w:pPr>
          </w:p>
          <w:p w14:paraId="175FC78C" w14:textId="73BDF295" w:rsidR="009014DF" w:rsidRDefault="009014DF" w:rsidP="009014DF">
            <w:pPr>
              <w:jc w:val="left"/>
              <w:rPr>
                <w:rFonts w:ascii="Arial" w:hAnsi="Arial" w:cs="Arial"/>
                <w:sz w:val="24"/>
                <w:szCs w:val="24"/>
              </w:rPr>
            </w:pPr>
            <w:r>
              <w:rPr>
                <w:rFonts w:ascii="Arial" w:hAnsi="Arial" w:cs="Arial"/>
                <w:sz w:val="24"/>
                <w:szCs w:val="24"/>
              </w:rPr>
              <w:t xml:space="preserve">The first unified ranges (e.g. air treatment, light bulbs, batteries and kitchen sinks) are being implemented, as planned, from March 2016. Sales </w:t>
            </w:r>
            <w:r w:rsidR="00EC16C8">
              <w:rPr>
                <w:rFonts w:ascii="Arial" w:hAnsi="Arial" w:cs="Arial"/>
                <w:sz w:val="24"/>
                <w:szCs w:val="24"/>
              </w:rPr>
              <w:t xml:space="preserve">are encouraging </w:t>
            </w:r>
            <w:r>
              <w:rPr>
                <w:rFonts w:ascii="Arial" w:hAnsi="Arial" w:cs="Arial"/>
                <w:sz w:val="24"/>
                <w:szCs w:val="24"/>
              </w:rPr>
              <w:t xml:space="preserve">and cost of change to date </w:t>
            </w:r>
            <w:r w:rsidR="00EC16C8">
              <w:rPr>
                <w:rFonts w:ascii="Arial" w:hAnsi="Arial" w:cs="Arial"/>
                <w:sz w:val="24"/>
                <w:szCs w:val="24"/>
              </w:rPr>
              <w:t xml:space="preserve">is </w:t>
            </w:r>
            <w:r>
              <w:rPr>
                <w:rFonts w:ascii="Arial" w:hAnsi="Arial" w:cs="Arial"/>
                <w:sz w:val="24"/>
                <w:szCs w:val="24"/>
              </w:rPr>
              <w:t>in line with expectations.</w:t>
            </w:r>
          </w:p>
          <w:p w14:paraId="5076F178" w14:textId="77777777" w:rsidR="009014DF" w:rsidRDefault="009014DF" w:rsidP="009014DF">
            <w:pPr>
              <w:jc w:val="left"/>
              <w:rPr>
                <w:rFonts w:ascii="Arial" w:hAnsi="Arial" w:cs="Arial"/>
                <w:sz w:val="24"/>
                <w:szCs w:val="24"/>
              </w:rPr>
            </w:pPr>
          </w:p>
          <w:p w14:paraId="539B60E0" w14:textId="405C9A14" w:rsidR="009014DF" w:rsidRDefault="009014DF" w:rsidP="000F07BB">
            <w:pPr>
              <w:pStyle w:val="ListParagraph"/>
              <w:numPr>
                <w:ilvl w:val="0"/>
                <w:numId w:val="60"/>
              </w:numPr>
              <w:jc w:val="left"/>
              <w:rPr>
                <w:rFonts w:ascii="Arial" w:hAnsi="Arial" w:cs="Arial"/>
                <w:i/>
                <w:sz w:val="24"/>
                <w:szCs w:val="24"/>
              </w:rPr>
            </w:pPr>
            <w:r w:rsidRPr="00E304FD">
              <w:rPr>
                <w:rFonts w:ascii="Arial" w:hAnsi="Arial" w:cs="Arial"/>
                <w:i/>
                <w:sz w:val="24"/>
                <w:szCs w:val="24"/>
              </w:rPr>
              <w:t xml:space="preserve">Deliver new ONE Offer &amp; Supply Chain Organisation </w:t>
            </w:r>
          </w:p>
          <w:p w14:paraId="4ABDF64B" w14:textId="77777777" w:rsidR="00BE0412" w:rsidRPr="00E304FD" w:rsidRDefault="00BE0412" w:rsidP="002E570E">
            <w:pPr>
              <w:pStyle w:val="ListParagraph"/>
              <w:jc w:val="left"/>
              <w:rPr>
                <w:rFonts w:ascii="Arial" w:hAnsi="Arial" w:cs="Arial"/>
                <w:i/>
                <w:sz w:val="24"/>
                <w:szCs w:val="24"/>
              </w:rPr>
            </w:pPr>
          </w:p>
          <w:p w14:paraId="0AE064FE" w14:textId="2AC70D4B" w:rsidR="009014DF" w:rsidRDefault="009014DF" w:rsidP="009014DF">
            <w:pPr>
              <w:jc w:val="left"/>
              <w:rPr>
                <w:rFonts w:ascii="Arial" w:hAnsi="Arial" w:cs="Arial"/>
                <w:sz w:val="24"/>
                <w:szCs w:val="24"/>
              </w:rPr>
            </w:pPr>
            <w:r>
              <w:rPr>
                <w:rFonts w:ascii="Arial" w:hAnsi="Arial" w:cs="Arial"/>
                <w:sz w:val="24"/>
                <w:szCs w:val="24"/>
              </w:rPr>
              <w:t>We are m</w:t>
            </w:r>
            <w:r w:rsidRPr="002B547C">
              <w:rPr>
                <w:rFonts w:ascii="Arial" w:hAnsi="Arial" w:cs="Arial"/>
                <w:sz w:val="24"/>
                <w:szCs w:val="24"/>
              </w:rPr>
              <w:t xml:space="preserve">oving </w:t>
            </w:r>
            <w:r>
              <w:rPr>
                <w:rFonts w:ascii="Arial" w:hAnsi="Arial" w:cs="Arial"/>
                <w:sz w:val="24"/>
                <w:szCs w:val="24"/>
              </w:rPr>
              <w:t xml:space="preserve">away </w:t>
            </w:r>
            <w:r w:rsidRPr="002B547C">
              <w:rPr>
                <w:rFonts w:ascii="Arial" w:hAnsi="Arial" w:cs="Arial"/>
                <w:sz w:val="24"/>
                <w:szCs w:val="24"/>
              </w:rPr>
              <w:t xml:space="preserve">from an organisation </w:t>
            </w:r>
            <w:r w:rsidR="00644C12">
              <w:rPr>
                <w:rFonts w:ascii="Arial" w:hAnsi="Arial" w:cs="Arial"/>
                <w:sz w:val="24"/>
                <w:szCs w:val="24"/>
              </w:rPr>
              <w:t xml:space="preserve">structure </w:t>
            </w:r>
            <w:r w:rsidRPr="002B547C">
              <w:rPr>
                <w:rFonts w:ascii="Arial" w:hAnsi="Arial" w:cs="Arial"/>
                <w:sz w:val="24"/>
                <w:szCs w:val="24"/>
              </w:rPr>
              <w:t>with</w:t>
            </w:r>
            <w:r w:rsidRPr="004F1059">
              <w:rPr>
                <w:rFonts w:ascii="Arial" w:hAnsi="Arial" w:cs="Arial"/>
                <w:sz w:val="24"/>
                <w:szCs w:val="24"/>
              </w:rPr>
              <w:t xml:space="preserve"> nine buying </w:t>
            </w:r>
            <w:r w:rsidR="00E27B98">
              <w:rPr>
                <w:rFonts w:ascii="Arial" w:hAnsi="Arial" w:cs="Arial"/>
                <w:sz w:val="24"/>
                <w:szCs w:val="24"/>
              </w:rPr>
              <w:t xml:space="preserve">and logistics </w:t>
            </w:r>
            <w:r w:rsidRPr="004F1059">
              <w:rPr>
                <w:rFonts w:ascii="Arial" w:hAnsi="Arial" w:cs="Arial"/>
                <w:sz w:val="24"/>
                <w:szCs w:val="24"/>
              </w:rPr>
              <w:t>teams, in nine operating companies</w:t>
            </w:r>
            <w:r w:rsidR="00644C12">
              <w:rPr>
                <w:rFonts w:ascii="Arial" w:hAnsi="Arial" w:cs="Arial"/>
                <w:sz w:val="24"/>
                <w:szCs w:val="24"/>
              </w:rPr>
              <w:t xml:space="preserve"> which</w:t>
            </w:r>
            <w:r w:rsidRPr="004F1059">
              <w:rPr>
                <w:rFonts w:ascii="Arial" w:hAnsi="Arial" w:cs="Arial"/>
                <w:sz w:val="24"/>
                <w:szCs w:val="24"/>
              </w:rPr>
              <w:t xml:space="preserve"> sourc</w:t>
            </w:r>
            <w:r w:rsidR="00644C12">
              <w:rPr>
                <w:rFonts w:ascii="Arial" w:hAnsi="Arial" w:cs="Arial"/>
                <w:sz w:val="24"/>
                <w:szCs w:val="24"/>
              </w:rPr>
              <w:t>e</w:t>
            </w:r>
            <w:r>
              <w:rPr>
                <w:rFonts w:ascii="Arial" w:hAnsi="Arial" w:cs="Arial"/>
                <w:sz w:val="24"/>
                <w:szCs w:val="24"/>
              </w:rPr>
              <w:t xml:space="preserve"> and merchandis</w:t>
            </w:r>
            <w:r w:rsidR="00644C12">
              <w:rPr>
                <w:rFonts w:ascii="Arial" w:hAnsi="Arial" w:cs="Arial"/>
                <w:sz w:val="24"/>
                <w:szCs w:val="24"/>
              </w:rPr>
              <w:t>e</w:t>
            </w:r>
            <w:r w:rsidRPr="004F1059">
              <w:rPr>
                <w:rFonts w:ascii="Arial" w:hAnsi="Arial" w:cs="Arial"/>
                <w:sz w:val="24"/>
                <w:szCs w:val="24"/>
              </w:rPr>
              <w:t xml:space="preserve"> their own range</w:t>
            </w:r>
            <w:r>
              <w:rPr>
                <w:rFonts w:ascii="Arial" w:hAnsi="Arial" w:cs="Arial"/>
                <w:sz w:val="24"/>
                <w:szCs w:val="24"/>
              </w:rPr>
              <w:t>s</w:t>
            </w:r>
            <w:r w:rsidR="00644C12">
              <w:rPr>
                <w:rFonts w:ascii="Arial" w:hAnsi="Arial" w:cs="Arial"/>
                <w:sz w:val="24"/>
                <w:szCs w:val="24"/>
              </w:rPr>
              <w:t xml:space="preserve"> independently</w:t>
            </w:r>
            <w:r w:rsidR="00B53210">
              <w:rPr>
                <w:rFonts w:ascii="Arial" w:hAnsi="Arial" w:cs="Arial"/>
                <w:sz w:val="24"/>
                <w:szCs w:val="24"/>
              </w:rPr>
              <w:t xml:space="preserve">. Instead, we are reorganising as </w:t>
            </w:r>
            <w:r>
              <w:rPr>
                <w:rFonts w:ascii="Arial" w:hAnsi="Arial" w:cs="Arial"/>
                <w:sz w:val="24"/>
                <w:szCs w:val="24"/>
              </w:rPr>
              <w:t>ONE</w:t>
            </w:r>
            <w:r w:rsidRPr="004F1059">
              <w:rPr>
                <w:rFonts w:ascii="Arial" w:hAnsi="Arial" w:cs="Arial"/>
                <w:sz w:val="24"/>
                <w:szCs w:val="24"/>
              </w:rPr>
              <w:t xml:space="preserve"> organisation</w:t>
            </w:r>
            <w:r w:rsidR="008411FC">
              <w:rPr>
                <w:rFonts w:ascii="Arial" w:hAnsi="Arial" w:cs="Arial"/>
                <w:sz w:val="24"/>
                <w:szCs w:val="24"/>
              </w:rPr>
              <w:t>, starting with our offer</w:t>
            </w:r>
            <w:r>
              <w:rPr>
                <w:rFonts w:ascii="Arial" w:hAnsi="Arial" w:cs="Arial"/>
                <w:sz w:val="24"/>
                <w:szCs w:val="24"/>
              </w:rPr>
              <w:t>.</w:t>
            </w:r>
          </w:p>
          <w:p w14:paraId="5D8F222A" w14:textId="77777777" w:rsidR="009014DF" w:rsidRDefault="009014DF" w:rsidP="009014DF">
            <w:pPr>
              <w:jc w:val="left"/>
              <w:rPr>
                <w:rFonts w:ascii="Arial" w:hAnsi="Arial" w:cs="Arial"/>
                <w:sz w:val="24"/>
                <w:szCs w:val="24"/>
              </w:rPr>
            </w:pPr>
          </w:p>
          <w:p w14:paraId="571E8072" w14:textId="0F0B8BE2" w:rsidR="009014DF" w:rsidRDefault="009014DF" w:rsidP="009014DF">
            <w:pPr>
              <w:jc w:val="left"/>
              <w:rPr>
                <w:rFonts w:ascii="Arial" w:hAnsi="Arial" w:cs="Arial"/>
                <w:sz w:val="24"/>
                <w:szCs w:val="24"/>
              </w:rPr>
            </w:pPr>
            <w:r>
              <w:rPr>
                <w:rFonts w:ascii="Arial" w:hAnsi="Arial" w:cs="Arial"/>
                <w:sz w:val="24"/>
                <w:szCs w:val="24"/>
              </w:rPr>
              <w:t>New unified global functions and roles started from June, mostly as a result of internal moves</w:t>
            </w:r>
            <w:r w:rsidR="007356C2">
              <w:rPr>
                <w:rFonts w:ascii="Arial" w:hAnsi="Arial" w:cs="Arial"/>
                <w:sz w:val="24"/>
                <w:szCs w:val="24"/>
              </w:rPr>
              <w:t xml:space="preserve">, leading to </w:t>
            </w:r>
            <w:r w:rsidR="00291BBE">
              <w:rPr>
                <w:rFonts w:ascii="Arial" w:hAnsi="Arial" w:cs="Arial"/>
                <w:sz w:val="24"/>
                <w:szCs w:val="24"/>
              </w:rPr>
              <w:t xml:space="preserve">lower </w:t>
            </w:r>
            <w:r w:rsidR="008411FC">
              <w:rPr>
                <w:rFonts w:ascii="Arial" w:hAnsi="Arial" w:cs="Arial"/>
                <w:sz w:val="24"/>
                <w:szCs w:val="24"/>
              </w:rPr>
              <w:t xml:space="preserve">transformation </w:t>
            </w:r>
            <w:r w:rsidR="007356C2">
              <w:rPr>
                <w:rFonts w:ascii="Arial" w:hAnsi="Arial" w:cs="Arial"/>
                <w:sz w:val="24"/>
                <w:szCs w:val="24"/>
              </w:rPr>
              <w:t>exceptional costs than originally anticipated</w:t>
            </w:r>
            <w:r w:rsidR="00E53A31">
              <w:rPr>
                <w:rFonts w:ascii="Arial" w:hAnsi="Arial" w:cs="Arial"/>
                <w:sz w:val="24"/>
                <w:szCs w:val="24"/>
              </w:rPr>
              <w:t xml:space="preserve"> for this year</w:t>
            </w:r>
            <w:r>
              <w:rPr>
                <w:rFonts w:ascii="Arial" w:hAnsi="Arial" w:cs="Arial"/>
                <w:sz w:val="24"/>
                <w:szCs w:val="24"/>
              </w:rPr>
              <w:t xml:space="preserve">. New range teams, located across the UK </w:t>
            </w:r>
            <w:r w:rsidR="00291BBE">
              <w:rPr>
                <w:rFonts w:ascii="Arial" w:hAnsi="Arial" w:cs="Arial"/>
                <w:sz w:val="24"/>
                <w:szCs w:val="24"/>
              </w:rPr>
              <w:t>and</w:t>
            </w:r>
            <w:r>
              <w:rPr>
                <w:rFonts w:ascii="Arial" w:hAnsi="Arial" w:cs="Arial"/>
                <w:sz w:val="24"/>
                <w:szCs w:val="24"/>
              </w:rPr>
              <w:t xml:space="preserve"> France, will work closely with operating companies, who retain responsibility for </w:t>
            </w:r>
            <w:r w:rsidR="00644C12">
              <w:rPr>
                <w:rFonts w:ascii="Arial" w:hAnsi="Arial" w:cs="Arial"/>
                <w:sz w:val="24"/>
                <w:szCs w:val="24"/>
              </w:rPr>
              <w:t>activities such as</w:t>
            </w:r>
            <w:r>
              <w:rPr>
                <w:rFonts w:ascii="Arial" w:hAnsi="Arial" w:cs="Arial"/>
                <w:sz w:val="24"/>
                <w:szCs w:val="24"/>
              </w:rPr>
              <w:t xml:space="preserve"> trading, range implementation, </w:t>
            </w:r>
            <w:r w:rsidR="00E27B98">
              <w:rPr>
                <w:rFonts w:ascii="Arial" w:hAnsi="Arial" w:cs="Arial"/>
                <w:sz w:val="24"/>
                <w:szCs w:val="24"/>
              </w:rPr>
              <w:t xml:space="preserve">local </w:t>
            </w:r>
            <w:r>
              <w:rPr>
                <w:rFonts w:ascii="Arial" w:hAnsi="Arial" w:cs="Arial"/>
                <w:sz w:val="24"/>
                <w:szCs w:val="24"/>
              </w:rPr>
              <w:t xml:space="preserve">pricing and customer </w:t>
            </w:r>
            <w:r w:rsidR="00242F12">
              <w:rPr>
                <w:rFonts w:ascii="Arial" w:hAnsi="Arial" w:cs="Arial"/>
                <w:sz w:val="24"/>
                <w:szCs w:val="24"/>
              </w:rPr>
              <w:t>needs</w:t>
            </w:r>
            <w:r>
              <w:rPr>
                <w:rFonts w:ascii="Arial" w:hAnsi="Arial" w:cs="Arial"/>
                <w:sz w:val="24"/>
                <w:szCs w:val="24"/>
              </w:rPr>
              <w:t xml:space="preserve">. </w:t>
            </w:r>
          </w:p>
          <w:p w14:paraId="6FC02304" w14:textId="77777777" w:rsidR="009014DF" w:rsidRDefault="009014DF" w:rsidP="009226A6">
            <w:pPr>
              <w:jc w:val="left"/>
              <w:rPr>
                <w:rFonts w:ascii="Arial" w:hAnsi="Arial" w:cs="Arial"/>
                <w:sz w:val="24"/>
                <w:szCs w:val="24"/>
              </w:rPr>
            </w:pPr>
          </w:p>
        </w:tc>
      </w:tr>
    </w:tbl>
    <w:p w14:paraId="519974B1" w14:textId="77777777" w:rsidR="009014DF" w:rsidRDefault="009014DF" w:rsidP="009226A6">
      <w:pPr>
        <w:jc w:val="left"/>
        <w:rPr>
          <w:rFonts w:ascii="Arial" w:hAnsi="Arial" w:cs="Arial"/>
          <w:sz w:val="24"/>
          <w:szCs w:val="24"/>
        </w:rPr>
      </w:pPr>
    </w:p>
    <w:p w14:paraId="5B3A81E5" w14:textId="77777777" w:rsidR="00887ECC" w:rsidRDefault="00887ECC" w:rsidP="009226A6">
      <w:pPr>
        <w:jc w:val="left"/>
        <w:rPr>
          <w:rFonts w:ascii="Arial" w:hAnsi="Arial" w:cs="Arial"/>
          <w:sz w:val="24"/>
          <w:szCs w:val="24"/>
        </w:rPr>
      </w:pPr>
    </w:p>
    <w:p w14:paraId="6E960FF8" w14:textId="77777777" w:rsidR="00887ECC" w:rsidRDefault="00887ECC" w:rsidP="009226A6">
      <w:pPr>
        <w:jc w:val="left"/>
        <w:rPr>
          <w:rFonts w:ascii="Arial" w:hAnsi="Arial" w:cs="Arial"/>
          <w:sz w:val="24"/>
          <w:szCs w:val="24"/>
        </w:rPr>
      </w:pPr>
    </w:p>
    <w:p w14:paraId="0DEF9EDF" w14:textId="77777777" w:rsidR="00887ECC" w:rsidRDefault="00887ECC" w:rsidP="009226A6">
      <w:pPr>
        <w:jc w:val="left"/>
        <w:rPr>
          <w:rFonts w:ascii="Arial" w:hAnsi="Arial" w:cs="Arial"/>
          <w:sz w:val="24"/>
          <w:szCs w:val="24"/>
        </w:rPr>
      </w:pPr>
    </w:p>
    <w:p w14:paraId="3CAE9B91" w14:textId="77777777" w:rsidR="00887ECC" w:rsidRDefault="00887ECC" w:rsidP="009226A6">
      <w:pPr>
        <w:jc w:val="left"/>
        <w:rPr>
          <w:rFonts w:ascii="Arial" w:hAnsi="Arial" w:cs="Arial"/>
          <w:sz w:val="24"/>
          <w:szCs w:val="24"/>
        </w:rPr>
      </w:pPr>
    </w:p>
    <w:tbl>
      <w:tblPr>
        <w:tblStyle w:val="TableGrid"/>
        <w:tblW w:w="0" w:type="auto"/>
        <w:tblLook w:val="04A0" w:firstRow="1" w:lastRow="0" w:firstColumn="1" w:lastColumn="0" w:noHBand="0" w:noVBand="1"/>
      </w:tblPr>
      <w:tblGrid>
        <w:gridCol w:w="9631"/>
      </w:tblGrid>
      <w:tr w:rsidR="009014DF" w14:paraId="10844478" w14:textId="77777777" w:rsidTr="009014DF">
        <w:tc>
          <w:tcPr>
            <w:tcW w:w="9631" w:type="dxa"/>
          </w:tcPr>
          <w:p w14:paraId="12E15AF4" w14:textId="77777777" w:rsidR="009014DF" w:rsidRDefault="009014DF" w:rsidP="00925EFB">
            <w:pPr>
              <w:pStyle w:val="ListParagraph"/>
              <w:ind w:left="360"/>
              <w:rPr>
                <w:rFonts w:ascii="Arial" w:hAnsi="Arial" w:cs="Arial"/>
                <w:sz w:val="24"/>
                <w:szCs w:val="24"/>
                <w:u w:val="single"/>
              </w:rPr>
            </w:pPr>
          </w:p>
          <w:p w14:paraId="4C2625DB" w14:textId="77777777" w:rsidR="009014DF" w:rsidRPr="00F97716" w:rsidRDefault="009014DF" w:rsidP="009014DF">
            <w:pPr>
              <w:pStyle w:val="ListParagraph"/>
              <w:numPr>
                <w:ilvl w:val="0"/>
                <w:numId w:val="66"/>
              </w:numPr>
              <w:ind w:left="360"/>
              <w:rPr>
                <w:rFonts w:ascii="Arial" w:hAnsi="Arial" w:cs="Arial"/>
                <w:sz w:val="24"/>
                <w:szCs w:val="24"/>
                <w:u w:val="single"/>
              </w:rPr>
            </w:pPr>
            <w:r w:rsidRPr="00F97716">
              <w:rPr>
                <w:rFonts w:ascii="Arial" w:hAnsi="Arial" w:cs="Arial"/>
                <w:sz w:val="24"/>
                <w:szCs w:val="24"/>
                <w:u w:val="single"/>
              </w:rPr>
              <w:t>Driving our digital capability</w:t>
            </w:r>
          </w:p>
          <w:p w14:paraId="6E872B02" w14:textId="77777777" w:rsidR="009014DF" w:rsidRPr="009747E4" w:rsidRDefault="009014DF" w:rsidP="009014DF">
            <w:pPr>
              <w:jc w:val="left"/>
              <w:rPr>
                <w:rFonts w:ascii="Arial" w:hAnsi="Arial" w:cs="Arial"/>
                <w:i/>
                <w:sz w:val="24"/>
                <w:szCs w:val="24"/>
              </w:rPr>
            </w:pPr>
          </w:p>
          <w:p w14:paraId="5289CD82" w14:textId="160A762B" w:rsidR="009014DF" w:rsidRDefault="009014DF" w:rsidP="009014DF">
            <w:pPr>
              <w:spacing w:after="200"/>
              <w:contextualSpacing/>
              <w:jc w:val="left"/>
              <w:rPr>
                <w:rFonts w:ascii="Arial" w:hAnsi="Arial" w:cs="Arial"/>
                <w:sz w:val="24"/>
                <w:szCs w:val="24"/>
              </w:rPr>
            </w:pPr>
            <w:r>
              <w:rPr>
                <w:rFonts w:ascii="Arial" w:hAnsi="Arial" w:cs="Arial"/>
                <w:sz w:val="24"/>
                <w:szCs w:val="24"/>
              </w:rPr>
              <w:t xml:space="preserve">Implementation of a </w:t>
            </w:r>
            <w:r w:rsidRPr="00440B16">
              <w:rPr>
                <w:rFonts w:ascii="Arial" w:hAnsi="Arial" w:cs="Arial"/>
                <w:sz w:val="24"/>
                <w:szCs w:val="24"/>
              </w:rPr>
              <w:t xml:space="preserve">unified IT </w:t>
            </w:r>
            <w:r>
              <w:rPr>
                <w:rFonts w:ascii="Arial" w:hAnsi="Arial" w:cs="Arial"/>
                <w:sz w:val="24"/>
                <w:szCs w:val="24"/>
              </w:rPr>
              <w:t>system is a key enabler of our ONE</w:t>
            </w:r>
            <w:r w:rsidR="0093770F">
              <w:rPr>
                <w:rFonts w:ascii="Arial" w:hAnsi="Arial" w:cs="Arial"/>
                <w:sz w:val="24"/>
                <w:szCs w:val="24"/>
              </w:rPr>
              <w:t xml:space="preserve"> Kingfisher plan. It </w:t>
            </w:r>
            <w:r>
              <w:rPr>
                <w:rFonts w:ascii="Arial" w:hAnsi="Arial" w:cs="Arial"/>
                <w:sz w:val="24"/>
                <w:szCs w:val="24"/>
              </w:rPr>
              <w:t xml:space="preserve">will </w:t>
            </w:r>
            <w:r w:rsidR="000E5933">
              <w:rPr>
                <w:rFonts w:ascii="Arial" w:hAnsi="Arial" w:cs="Arial"/>
                <w:sz w:val="24"/>
                <w:szCs w:val="24"/>
              </w:rPr>
              <w:t xml:space="preserve">also </w:t>
            </w:r>
            <w:r>
              <w:rPr>
                <w:rFonts w:ascii="Arial" w:hAnsi="Arial" w:cs="Arial"/>
                <w:sz w:val="24"/>
                <w:szCs w:val="24"/>
              </w:rPr>
              <w:t xml:space="preserve">provide </w:t>
            </w:r>
            <w:r w:rsidR="001F74B0">
              <w:rPr>
                <w:rFonts w:ascii="Arial" w:hAnsi="Arial" w:cs="Arial"/>
                <w:sz w:val="24"/>
                <w:szCs w:val="24"/>
              </w:rPr>
              <w:t>a significant opportunity, with a seamless and stronger digital offer for our customers, to substantially increase</w:t>
            </w:r>
            <w:r w:rsidRPr="00981B59">
              <w:rPr>
                <w:rFonts w:ascii="Arial" w:hAnsi="Arial" w:cs="Arial"/>
                <w:sz w:val="24"/>
                <w:szCs w:val="24"/>
              </w:rPr>
              <w:t xml:space="preserve"> sales </w:t>
            </w:r>
            <w:r w:rsidR="001F74B0">
              <w:rPr>
                <w:rFonts w:ascii="Arial" w:hAnsi="Arial" w:cs="Arial"/>
                <w:sz w:val="24"/>
                <w:szCs w:val="24"/>
              </w:rPr>
              <w:t>and digital penetration</w:t>
            </w:r>
            <w:r>
              <w:rPr>
                <w:rFonts w:ascii="Arial" w:hAnsi="Arial" w:cs="Arial"/>
                <w:sz w:val="24"/>
                <w:szCs w:val="24"/>
              </w:rPr>
              <w:t xml:space="preserve">. </w:t>
            </w:r>
          </w:p>
          <w:p w14:paraId="0E84E3B3" w14:textId="4B64E177" w:rsidR="009014DF" w:rsidRDefault="009014DF" w:rsidP="000F07BB">
            <w:pPr>
              <w:pStyle w:val="ListParagraph"/>
              <w:numPr>
                <w:ilvl w:val="0"/>
                <w:numId w:val="61"/>
              </w:numPr>
              <w:jc w:val="left"/>
              <w:rPr>
                <w:rFonts w:ascii="Arial" w:hAnsi="Arial" w:cs="Arial"/>
                <w:i/>
                <w:sz w:val="24"/>
                <w:szCs w:val="24"/>
              </w:rPr>
            </w:pPr>
            <w:r w:rsidRPr="00E304FD">
              <w:rPr>
                <w:rFonts w:ascii="Arial" w:hAnsi="Arial" w:cs="Arial"/>
                <w:i/>
                <w:sz w:val="24"/>
                <w:szCs w:val="24"/>
              </w:rPr>
              <w:t>Complete unified IT platform roll out in B&amp;Q and start Castorama France roll out</w:t>
            </w:r>
          </w:p>
          <w:p w14:paraId="749E7861" w14:textId="77777777" w:rsidR="00BE0412" w:rsidRPr="00E304FD" w:rsidRDefault="00BE0412" w:rsidP="002E570E">
            <w:pPr>
              <w:pStyle w:val="ListParagraph"/>
              <w:jc w:val="left"/>
              <w:rPr>
                <w:rFonts w:ascii="Arial" w:hAnsi="Arial" w:cs="Arial"/>
                <w:i/>
                <w:sz w:val="24"/>
                <w:szCs w:val="24"/>
              </w:rPr>
            </w:pPr>
          </w:p>
          <w:p w14:paraId="4A849B83" w14:textId="33C03F70" w:rsidR="000E5933" w:rsidRDefault="000E5933" w:rsidP="009014DF">
            <w:pPr>
              <w:spacing w:after="200"/>
              <w:contextualSpacing/>
              <w:jc w:val="left"/>
              <w:rPr>
                <w:rFonts w:ascii="Arial" w:hAnsi="Arial" w:cs="Arial"/>
                <w:sz w:val="24"/>
                <w:szCs w:val="24"/>
              </w:rPr>
            </w:pPr>
            <w:r>
              <w:rPr>
                <w:rFonts w:ascii="Arial" w:hAnsi="Arial" w:cs="Arial"/>
                <w:sz w:val="24"/>
                <w:szCs w:val="24"/>
              </w:rPr>
              <w:t xml:space="preserve">Roll out completed in all B&amp;Q stores </w:t>
            </w:r>
            <w:r w:rsidR="00A30738">
              <w:rPr>
                <w:rFonts w:ascii="Arial" w:hAnsi="Arial" w:cs="Arial"/>
                <w:sz w:val="24"/>
                <w:szCs w:val="24"/>
              </w:rPr>
              <w:t>in Q1</w:t>
            </w:r>
            <w:r>
              <w:rPr>
                <w:rFonts w:ascii="Arial" w:hAnsi="Arial" w:cs="Arial"/>
                <w:sz w:val="24"/>
                <w:szCs w:val="24"/>
              </w:rPr>
              <w:t xml:space="preserve"> ahead of plan, with back office and supply chain well underway. The first Castorama pilot store is on track for launch in Q3. </w:t>
            </w:r>
          </w:p>
          <w:p w14:paraId="51E49D6F" w14:textId="77777777" w:rsidR="009014DF" w:rsidRPr="00F97716" w:rsidRDefault="009014DF" w:rsidP="009014DF">
            <w:pPr>
              <w:jc w:val="left"/>
              <w:rPr>
                <w:rFonts w:ascii="Arial" w:hAnsi="Arial" w:cs="Arial"/>
                <w:sz w:val="24"/>
                <w:szCs w:val="24"/>
              </w:rPr>
            </w:pPr>
          </w:p>
          <w:p w14:paraId="3756C931" w14:textId="714E71E5" w:rsidR="00A30738" w:rsidRDefault="009014DF" w:rsidP="000F07BB">
            <w:pPr>
              <w:pStyle w:val="ListParagraph"/>
              <w:numPr>
                <w:ilvl w:val="0"/>
                <w:numId w:val="61"/>
              </w:numPr>
              <w:jc w:val="left"/>
              <w:rPr>
                <w:rFonts w:ascii="Arial" w:hAnsi="Arial" w:cs="Arial"/>
                <w:i/>
                <w:sz w:val="24"/>
                <w:szCs w:val="24"/>
              </w:rPr>
            </w:pPr>
            <w:r w:rsidRPr="00E304FD">
              <w:rPr>
                <w:rFonts w:ascii="Arial" w:hAnsi="Arial" w:cs="Arial"/>
                <w:i/>
                <w:sz w:val="24"/>
                <w:szCs w:val="24"/>
              </w:rPr>
              <w:t>Build Digital ‘Brilliant Basics’ platform for B&amp;Q</w:t>
            </w:r>
          </w:p>
          <w:p w14:paraId="7E7D18F8" w14:textId="77777777" w:rsidR="00BE0412" w:rsidRPr="00E304FD" w:rsidRDefault="00BE0412" w:rsidP="002E570E">
            <w:pPr>
              <w:pStyle w:val="ListParagraph"/>
              <w:jc w:val="left"/>
              <w:rPr>
                <w:rFonts w:ascii="Arial" w:hAnsi="Arial" w:cs="Arial"/>
                <w:i/>
                <w:sz w:val="24"/>
                <w:szCs w:val="24"/>
              </w:rPr>
            </w:pPr>
          </w:p>
          <w:p w14:paraId="14F4D0EB" w14:textId="2BB8AF85" w:rsidR="00186FB0" w:rsidRDefault="00EC1CC5" w:rsidP="009014DF">
            <w:pPr>
              <w:spacing w:after="200"/>
              <w:contextualSpacing/>
              <w:jc w:val="left"/>
              <w:rPr>
                <w:rFonts w:ascii="Arial" w:hAnsi="Arial" w:cs="Arial"/>
                <w:sz w:val="24"/>
                <w:szCs w:val="24"/>
              </w:rPr>
            </w:pPr>
            <w:r>
              <w:rPr>
                <w:rFonts w:ascii="Arial" w:hAnsi="Arial" w:cs="Arial"/>
                <w:sz w:val="24"/>
                <w:szCs w:val="24"/>
              </w:rPr>
              <w:t xml:space="preserve">This involves </w:t>
            </w:r>
            <w:r w:rsidR="00A30738">
              <w:rPr>
                <w:rFonts w:ascii="Arial" w:hAnsi="Arial" w:cs="Arial"/>
                <w:sz w:val="24"/>
                <w:szCs w:val="24"/>
              </w:rPr>
              <w:t>i</w:t>
            </w:r>
            <w:r w:rsidR="00A30738" w:rsidRPr="00925EFB">
              <w:rPr>
                <w:rFonts w:ascii="Arial" w:hAnsi="Arial" w:cs="Arial"/>
                <w:sz w:val="24"/>
                <w:szCs w:val="24"/>
              </w:rPr>
              <w:t xml:space="preserve">nvesting in our core e-commerce platforms, </w:t>
            </w:r>
            <w:r>
              <w:rPr>
                <w:rFonts w:ascii="Arial" w:hAnsi="Arial" w:cs="Arial"/>
                <w:sz w:val="24"/>
                <w:szCs w:val="24"/>
              </w:rPr>
              <w:t xml:space="preserve">enabled by the new unified IT platform, and </w:t>
            </w:r>
            <w:r w:rsidR="00A30738" w:rsidRPr="00925EFB">
              <w:rPr>
                <w:rFonts w:ascii="Arial" w:hAnsi="Arial" w:cs="Arial"/>
                <w:sz w:val="24"/>
                <w:szCs w:val="24"/>
              </w:rPr>
              <w:t>leveraging our Screwfix best</w:t>
            </w:r>
            <w:r w:rsidR="00B53210">
              <w:rPr>
                <w:rFonts w:ascii="Arial" w:hAnsi="Arial" w:cs="Arial"/>
                <w:sz w:val="24"/>
                <w:szCs w:val="24"/>
              </w:rPr>
              <w:t>-</w:t>
            </w:r>
            <w:r w:rsidR="00A30738" w:rsidRPr="00925EFB">
              <w:rPr>
                <w:rFonts w:ascii="Arial" w:hAnsi="Arial" w:cs="Arial"/>
                <w:sz w:val="24"/>
                <w:szCs w:val="24"/>
              </w:rPr>
              <w:t>in</w:t>
            </w:r>
            <w:r w:rsidR="00B53210">
              <w:rPr>
                <w:rFonts w:ascii="Arial" w:hAnsi="Arial" w:cs="Arial"/>
                <w:sz w:val="24"/>
                <w:szCs w:val="24"/>
              </w:rPr>
              <w:t>-</w:t>
            </w:r>
            <w:r w:rsidR="00A30738" w:rsidRPr="00925EFB">
              <w:rPr>
                <w:rFonts w:ascii="Arial" w:hAnsi="Arial" w:cs="Arial"/>
                <w:sz w:val="24"/>
                <w:szCs w:val="24"/>
              </w:rPr>
              <w:t xml:space="preserve">class </w:t>
            </w:r>
            <w:r w:rsidR="00A30738">
              <w:rPr>
                <w:rFonts w:ascii="Arial" w:hAnsi="Arial" w:cs="Arial"/>
                <w:sz w:val="24"/>
                <w:szCs w:val="24"/>
              </w:rPr>
              <w:t>capability.</w:t>
            </w:r>
            <w:r>
              <w:rPr>
                <w:rFonts w:ascii="Arial" w:hAnsi="Arial" w:cs="Arial"/>
                <w:sz w:val="24"/>
                <w:szCs w:val="24"/>
              </w:rPr>
              <w:t xml:space="preserve"> </w:t>
            </w:r>
          </w:p>
          <w:p w14:paraId="7CB38A7F" w14:textId="77777777" w:rsidR="00186FB0" w:rsidRDefault="00186FB0" w:rsidP="009014DF">
            <w:pPr>
              <w:spacing w:after="200"/>
              <w:contextualSpacing/>
              <w:jc w:val="left"/>
              <w:rPr>
                <w:rFonts w:ascii="Arial" w:hAnsi="Arial" w:cs="Arial"/>
                <w:sz w:val="24"/>
                <w:szCs w:val="24"/>
              </w:rPr>
            </w:pPr>
          </w:p>
          <w:p w14:paraId="2DB84FFD" w14:textId="521578FC" w:rsidR="009014DF" w:rsidRPr="00F97716" w:rsidRDefault="00EC1CC5" w:rsidP="009014DF">
            <w:pPr>
              <w:spacing w:after="200"/>
              <w:contextualSpacing/>
              <w:jc w:val="left"/>
              <w:rPr>
                <w:rFonts w:ascii="Arial" w:hAnsi="Arial" w:cs="Arial"/>
                <w:sz w:val="24"/>
                <w:szCs w:val="24"/>
              </w:rPr>
            </w:pPr>
            <w:r>
              <w:rPr>
                <w:rFonts w:ascii="Arial" w:hAnsi="Arial" w:cs="Arial"/>
                <w:sz w:val="24"/>
                <w:szCs w:val="24"/>
              </w:rPr>
              <w:t xml:space="preserve">Upweighted digital marketing, improved site search and new checkout are all </w:t>
            </w:r>
            <w:r w:rsidR="00B53210">
              <w:rPr>
                <w:rFonts w:ascii="Arial" w:hAnsi="Arial" w:cs="Arial"/>
                <w:sz w:val="24"/>
                <w:szCs w:val="24"/>
              </w:rPr>
              <w:t>being developed</w:t>
            </w:r>
            <w:r>
              <w:rPr>
                <w:rFonts w:ascii="Arial" w:hAnsi="Arial" w:cs="Arial"/>
                <w:sz w:val="24"/>
                <w:szCs w:val="24"/>
              </w:rPr>
              <w:t xml:space="preserve"> for both diy.com and castorama.fr. We are also develop</w:t>
            </w:r>
            <w:r w:rsidR="002C020D">
              <w:rPr>
                <w:rFonts w:ascii="Arial" w:hAnsi="Arial" w:cs="Arial"/>
                <w:sz w:val="24"/>
                <w:szCs w:val="24"/>
              </w:rPr>
              <w:t>ing</w:t>
            </w:r>
            <w:r>
              <w:rPr>
                <w:rFonts w:ascii="Arial" w:hAnsi="Arial" w:cs="Arial"/>
                <w:sz w:val="24"/>
                <w:szCs w:val="24"/>
              </w:rPr>
              <w:t xml:space="preserve"> a new company wide mobile platform.  </w:t>
            </w:r>
            <w:r w:rsidR="00A30738" w:rsidRPr="00925EFB">
              <w:rPr>
                <w:rFonts w:ascii="Arial" w:hAnsi="Arial" w:cs="Arial"/>
                <w:sz w:val="24"/>
                <w:szCs w:val="24"/>
              </w:rPr>
              <w:t xml:space="preserve"> </w:t>
            </w:r>
          </w:p>
          <w:p w14:paraId="3D1CAF77" w14:textId="77777777" w:rsidR="009014DF" w:rsidRDefault="009014DF" w:rsidP="009226A6">
            <w:pPr>
              <w:jc w:val="left"/>
              <w:rPr>
                <w:rFonts w:ascii="Arial" w:hAnsi="Arial" w:cs="Arial"/>
                <w:sz w:val="24"/>
                <w:szCs w:val="24"/>
              </w:rPr>
            </w:pPr>
          </w:p>
        </w:tc>
      </w:tr>
    </w:tbl>
    <w:p w14:paraId="5F83C44A" w14:textId="77777777" w:rsidR="0075695B" w:rsidRDefault="0075695B" w:rsidP="009226A6">
      <w:pPr>
        <w:jc w:val="left"/>
        <w:rPr>
          <w:rFonts w:ascii="Arial" w:hAnsi="Arial" w:cs="Arial"/>
          <w:sz w:val="24"/>
          <w:szCs w:val="24"/>
        </w:rPr>
      </w:pPr>
    </w:p>
    <w:tbl>
      <w:tblPr>
        <w:tblStyle w:val="TableGrid"/>
        <w:tblW w:w="0" w:type="auto"/>
        <w:tblLook w:val="04A0" w:firstRow="1" w:lastRow="0" w:firstColumn="1" w:lastColumn="0" w:noHBand="0" w:noVBand="1"/>
      </w:tblPr>
      <w:tblGrid>
        <w:gridCol w:w="9631"/>
      </w:tblGrid>
      <w:tr w:rsidR="006E508D" w14:paraId="7FE1C700" w14:textId="77777777" w:rsidTr="006E508D">
        <w:tc>
          <w:tcPr>
            <w:tcW w:w="9631" w:type="dxa"/>
          </w:tcPr>
          <w:p w14:paraId="07ED3D01" w14:textId="77777777" w:rsidR="006E508D" w:rsidRDefault="006E508D" w:rsidP="00925EFB">
            <w:pPr>
              <w:pStyle w:val="ListParagraph"/>
              <w:ind w:left="360"/>
              <w:jc w:val="left"/>
              <w:rPr>
                <w:rFonts w:ascii="Arial" w:hAnsi="Arial" w:cs="Arial"/>
                <w:b/>
                <w:sz w:val="24"/>
                <w:szCs w:val="24"/>
                <w:u w:val="single"/>
              </w:rPr>
            </w:pPr>
          </w:p>
          <w:p w14:paraId="386EC93B" w14:textId="77777777" w:rsidR="006E508D" w:rsidRPr="00925EFB" w:rsidRDefault="006E508D" w:rsidP="00925EFB">
            <w:pPr>
              <w:pStyle w:val="ListParagraph"/>
              <w:numPr>
                <w:ilvl w:val="0"/>
                <w:numId w:val="66"/>
              </w:numPr>
              <w:ind w:left="360"/>
              <w:rPr>
                <w:rFonts w:ascii="Arial" w:hAnsi="Arial" w:cs="Arial"/>
                <w:sz w:val="24"/>
                <w:szCs w:val="24"/>
                <w:u w:val="single"/>
              </w:rPr>
            </w:pPr>
            <w:r w:rsidRPr="00925EFB">
              <w:rPr>
                <w:rFonts w:ascii="Arial" w:hAnsi="Arial" w:cs="Arial"/>
                <w:sz w:val="24"/>
                <w:szCs w:val="24"/>
                <w:u w:val="single"/>
              </w:rPr>
              <w:t>Optimising our operational efficiency</w:t>
            </w:r>
          </w:p>
          <w:p w14:paraId="0D2AA425" w14:textId="77777777" w:rsidR="006E508D" w:rsidRDefault="006E508D" w:rsidP="006E508D">
            <w:pPr>
              <w:jc w:val="left"/>
              <w:rPr>
                <w:rFonts w:ascii="Arial" w:hAnsi="Arial" w:cs="Arial"/>
                <w:b/>
                <w:sz w:val="24"/>
                <w:szCs w:val="24"/>
                <w:u w:val="single"/>
              </w:rPr>
            </w:pPr>
          </w:p>
          <w:p w14:paraId="37E7CC66" w14:textId="6635A9C0" w:rsidR="006E508D" w:rsidRPr="0039746B" w:rsidRDefault="006E508D" w:rsidP="006E508D">
            <w:pPr>
              <w:autoSpaceDE w:val="0"/>
              <w:autoSpaceDN w:val="0"/>
              <w:adjustRightInd w:val="0"/>
              <w:jc w:val="left"/>
              <w:rPr>
                <w:rFonts w:ascii="Arial" w:hAnsi="Arial" w:cs="Arial"/>
                <w:color w:val="000000"/>
                <w:sz w:val="24"/>
                <w:szCs w:val="24"/>
              </w:rPr>
            </w:pPr>
            <w:r>
              <w:rPr>
                <w:rFonts w:ascii="Arial" w:hAnsi="Arial" w:cs="Arial"/>
                <w:color w:val="000000"/>
                <w:sz w:val="24"/>
                <w:szCs w:val="24"/>
              </w:rPr>
              <w:t>T</w:t>
            </w:r>
            <w:r w:rsidRPr="0039746B">
              <w:rPr>
                <w:rFonts w:ascii="Arial" w:hAnsi="Arial" w:cs="Arial"/>
                <w:color w:val="000000"/>
                <w:sz w:val="24"/>
                <w:szCs w:val="24"/>
              </w:rPr>
              <w:t xml:space="preserve">he </w:t>
            </w:r>
            <w:r>
              <w:rPr>
                <w:rFonts w:ascii="Arial" w:hAnsi="Arial" w:cs="Arial"/>
                <w:color w:val="000000"/>
                <w:sz w:val="24"/>
                <w:szCs w:val="24"/>
              </w:rPr>
              <w:t xml:space="preserve">main </w:t>
            </w:r>
            <w:r w:rsidRPr="0039746B">
              <w:rPr>
                <w:rFonts w:ascii="Arial" w:hAnsi="Arial" w:cs="Arial"/>
                <w:color w:val="000000"/>
                <w:sz w:val="24"/>
                <w:szCs w:val="24"/>
              </w:rPr>
              <w:t xml:space="preserve">driver </w:t>
            </w:r>
            <w:r>
              <w:rPr>
                <w:rFonts w:ascii="Arial" w:hAnsi="Arial" w:cs="Arial"/>
                <w:color w:val="000000"/>
                <w:sz w:val="24"/>
                <w:szCs w:val="24"/>
              </w:rPr>
              <w:t>will</w:t>
            </w:r>
            <w:r w:rsidRPr="0039746B">
              <w:rPr>
                <w:rFonts w:ascii="Arial" w:hAnsi="Arial" w:cs="Arial"/>
                <w:color w:val="000000"/>
                <w:sz w:val="24"/>
                <w:szCs w:val="24"/>
              </w:rPr>
              <w:t xml:space="preserve"> come from </w:t>
            </w:r>
            <w:r w:rsidRPr="006E508D">
              <w:rPr>
                <w:rFonts w:ascii="Arial" w:hAnsi="Arial" w:cs="Arial"/>
                <w:color w:val="000000"/>
                <w:sz w:val="24"/>
                <w:szCs w:val="24"/>
              </w:rPr>
              <w:t xml:space="preserve">unifying </w:t>
            </w:r>
            <w:r w:rsidRPr="00925EFB">
              <w:rPr>
                <w:rFonts w:ascii="Arial" w:hAnsi="Arial" w:cs="Arial"/>
                <w:color w:val="000000"/>
                <w:sz w:val="24"/>
                <w:szCs w:val="24"/>
              </w:rPr>
              <w:t>c.90%</w:t>
            </w:r>
            <w:r w:rsidRPr="006E508D">
              <w:rPr>
                <w:rFonts w:ascii="Arial" w:hAnsi="Arial" w:cs="Arial"/>
                <w:color w:val="000000"/>
                <w:sz w:val="24"/>
                <w:szCs w:val="24"/>
              </w:rPr>
              <w:t xml:space="preserve"> of</w:t>
            </w:r>
            <w:r>
              <w:rPr>
                <w:rFonts w:ascii="Arial" w:hAnsi="Arial" w:cs="Arial"/>
                <w:color w:val="000000"/>
                <w:sz w:val="24"/>
                <w:szCs w:val="24"/>
              </w:rPr>
              <w:t xml:space="preserve"> the £1.2bn annual spend on GNFR</w:t>
            </w:r>
            <w:r w:rsidRPr="0039746B">
              <w:rPr>
                <w:rFonts w:ascii="Arial" w:hAnsi="Arial" w:cs="Arial"/>
                <w:color w:val="000000"/>
                <w:sz w:val="24"/>
                <w:szCs w:val="24"/>
              </w:rPr>
              <w:t>.</w:t>
            </w:r>
            <w:r>
              <w:rPr>
                <w:rFonts w:ascii="Arial" w:hAnsi="Arial" w:cs="Arial"/>
                <w:color w:val="000000"/>
                <w:sz w:val="24"/>
                <w:szCs w:val="24"/>
              </w:rPr>
              <w:t xml:space="preserve"> </w:t>
            </w:r>
            <w:r>
              <w:rPr>
                <w:rFonts w:ascii="Arial" w:hAnsi="Arial" w:cs="Arial"/>
                <w:sz w:val="24"/>
                <w:szCs w:val="24"/>
              </w:rPr>
              <w:t xml:space="preserve">This programme is a combination of cost savings, and also an opportunity to </w:t>
            </w:r>
            <w:r w:rsidRPr="0039746B">
              <w:rPr>
                <w:rFonts w:ascii="Arial" w:hAnsi="Arial" w:cs="Arial"/>
                <w:sz w:val="24"/>
                <w:szCs w:val="24"/>
              </w:rPr>
              <w:t xml:space="preserve">work </w:t>
            </w:r>
            <w:r>
              <w:rPr>
                <w:rFonts w:ascii="Arial" w:hAnsi="Arial" w:cs="Arial"/>
                <w:sz w:val="24"/>
                <w:szCs w:val="24"/>
              </w:rPr>
              <w:t xml:space="preserve">in a simpler and </w:t>
            </w:r>
            <w:r w:rsidRPr="0039746B">
              <w:rPr>
                <w:rFonts w:ascii="Arial" w:hAnsi="Arial" w:cs="Arial"/>
                <w:sz w:val="24"/>
                <w:szCs w:val="24"/>
              </w:rPr>
              <w:t>more effective</w:t>
            </w:r>
            <w:r>
              <w:rPr>
                <w:rFonts w:ascii="Arial" w:hAnsi="Arial" w:cs="Arial"/>
                <w:sz w:val="24"/>
                <w:szCs w:val="24"/>
              </w:rPr>
              <w:t xml:space="preserve"> way across the business.</w:t>
            </w:r>
            <w:r w:rsidRPr="0039746B">
              <w:rPr>
                <w:rFonts w:ascii="Arial" w:hAnsi="Arial" w:cs="Arial"/>
                <w:sz w:val="24"/>
                <w:szCs w:val="24"/>
              </w:rPr>
              <w:t xml:space="preserve"> </w:t>
            </w:r>
          </w:p>
          <w:p w14:paraId="52993E4B" w14:textId="77777777" w:rsidR="006E508D" w:rsidRDefault="006E508D" w:rsidP="006E508D">
            <w:pPr>
              <w:jc w:val="left"/>
              <w:rPr>
                <w:rFonts w:ascii="Arial" w:hAnsi="Arial" w:cs="Arial"/>
                <w:b/>
                <w:sz w:val="24"/>
                <w:szCs w:val="24"/>
                <w:u w:val="single"/>
              </w:rPr>
            </w:pPr>
          </w:p>
          <w:p w14:paraId="531CE8B0" w14:textId="11F14F4E" w:rsidR="00352523" w:rsidRDefault="006E508D" w:rsidP="000F07BB">
            <w:pPr>
              <w:pStyle w:val="ListParagraph"/>
              <w:numPr>
                <w:ilvl w:val="0"/>
                <w:numId w:val="69"/>
              </w:numPr>
              <w:jc w:val="left"/>
              <w:rPr>
                <w:rFonts w:ascii="Arial" w:hAnsi="Arial" w:cs="Arial"/>
                <w:i/>
                <w:sz w:val="24"/>
                <w:szCs w:val="24"/>
              </w:rPr>
            </w:pPr>
            <w:r w:rsidRPr="00E304FD">
              <w:rPr>
                <w:rFonts w:ascii="Arial" w:hAnsi="Arial" w:cs="Arial"/>
                <w:i/>
                <w:sz w:val="24"/>
                <w:szCs w:val="24"/>
              </w:rPr>
              <w:t>Deliver benefits from unified Wave 1 of GNFR programme</w:t>
            </w:r>
          </w:p>
          <w:p w14:paraId="2033EC7D" w14:textId="77777777" w:rsidR="00BE0412" w:rsidRPr="00E304FD" w:rsidRDefault="00BE0412" w:rsidP="002E570E">
            <w:pPr>
              <w:pStyle w:val="ListParagraph"/>
              <w:jc w:val="left"/>
              <w:rPr>
                <w:rFonts w:ascii="Arial" w:hAnsi="Arial" w:cs="Arial"/>
                <w:i/>
                <w:sz w:val="24"/>
                <w:szCs w:val="24"/>
              </w:rPr>
            </w:pPr>
          </w:p>
          <w:p w14:paraId="10373B60" w14:textId="4EB8781A" w:rsidR="006E508D" w:rsidRPr="000F07BB" w:rsidRDefault="006E508D" w:rsidP="000F07BB">
            <w:pPr>
              <w:jc w:val="left"/>
              <w:rPr>
                <w:rFonts w:ascii="Arial" w:hAnsi="Arial" w:cs="Arial"/>
                <w:sz w:val="24"/>
                <w:szCs w:val="24"/>
              </w:rPr>
            </w:pPr>
            <w:r w:rsidRPr="000F07BB">
              <w:rPr>
                <w:rFonts w:ascii="Arial" w:hAnsi="Arial" w:cs="Arial"/>
                <w:sz w:val="24"/>
                <w:szCs w:val="24"/>
              </w:rPr>
              <w:t>Wave 1</w:t>
            </w:r>
            <w:r w:rsidR="00352523" w:rsidRPr="000F07BB">
              <w:rPr>
                <w:rFonts w:ascii="Arial" w:hAnsi="Arial" w:cs="Arial"/>
                <w:sz w:val="24"/>
                <w:szCs w:val="24"/>
              </w:rPr>
              <w:t xml:space="preserve"> (£350m of the total GNFR programme including media buying, printing &amp; paper)</w:t>
            </w:r>
            <w:r w:rsidRPr="000F07BB">
              <w:rPr>
                <w:rFonts w:ascii="Arial" w:hAnsi="Arial" w:cs="Arial"/>
                <w:sz w:val="24"/>
                <w:szCs w:val="24"/>
              </w:rPr>
              <w:t xml:space="preserve"> is now well advanced. Wave 2 </w:t>
            </w:r>
            <w:r w:rsidR="00352523" w:rsidRPr="000F07BB">
              <w:rPr>
                <w:rFonts w:ascii="Arial" w:hAnsi="Arial" w:cs="Arial"/>
                <w:sz w:val="24"/>
                <w:szCs w:val="24"/>
              </w:rPr>
              <w:t>(</w:t>
            </w:r>
            <w:r w:rsidR="009D4F50" w:rsidRPr="000F07BB">
              <w:rPr>
                <w:rFonts w:ascii="Arial" w:hAnsi="Arial" w:cs="Arial"/>
                <w:sz w:val="24"/>
                <w:szCs w:val="24"/>
              </w:rPr>
              <w:t xml:space="preserve">next </w:t>
            </w:r>
            <w:r w:rsidR="00352523" w:rsidRPr="000F07BB">
              <w:rPr>
                <w:rFonts w:ascii="Arial" w:hAnsi="Arial" w:cs="Arial"/>
                <w:sz w:val="24"/>
                <w:szCs w:val="24"/>
              </w:rPr>
              <w:t xml:space="preserve">£400m) is also progressing well. </w:t>
            </w:r>
          </w:p>
          <w:p w14:paraId="31ED99CF" w14:textId="77777777" w:rsidR="006E508D" w:rsidRDefault="006E508D" w:rsidP="006E508D">
            <w:pPr>
              <w:spacing w:after="200"/>
              <w:contextualSpacing/>
              <w:jc w:val="left"/>
              <w:rPr>
                <w:rFonts w:ascii="Arial" w:hAnsi="Arial" w:cs="Arial"/>
                <w:sz w:val="24"/>
                <w:szCs w:val="24"/>
              </w:rPr>
            </w:pPr>
          </w:p>
          <w:p w14:paraId="24C72BEF" w14:textId="5C1CA10B" w:rsidR="006E508D" w:rsidRDefault="009D4F50" w:rsidP="006E508D">
            <w:pPr>
              <w:spacing w:after="200"/>
              <w:contextualSpacing/>
              <w:jc w:val="left"/>
              <w:rPr>
                <w:rFonts w:ascii="Arial" w:hAnsi="Arial" w:cs="Arial"/>
                <w:sz w:val="24"/>
                <w:szCs w:val="24"/>
              </w:rPr>
            </w:pPr>
            <w:r>
              <w:rPr>
                <w:rFonts w:ascii="Arial" w:hAnsi="Arial" w:cs="Arial"/>
                <w:sz w:val="24"/>
                <w:szCs w:val="24"/>
              </w:rPr>
              <w:t>In H1, a</w:t>
            </w:r>
            <w:r w:rsidR="00484EB7">
              <w:rPr>
                <w:rFonts w:ascii="Arial" w:hAnsi="Arial" w:cs="Arial"/>
                <w:sz w:val="24"/>
                <w:szCs w:val="24"/>
              </w:rPr>
              <w:t>longside helping us to work in a simpler more effective way, w</w:t>
            </w:r>
            <w:r w:rsidR="006E508D">
              <w:rPr>
                <w:rFonts w:ascii="Arial" w:hAnsi="Arial" w:cs="Arial"/>
                <w:sz w:val="24"/>
                <w:szCs w:val="24"/>
              </w:rPr>
              <w:t>e have achieved cost savings on categories reviewed</w:t>
            </w:r>
            <w:r>
              <w:rPr>
                <w:rFonts w:ascii="Arial" w:hAnsi="Arial" w:cs="Arial"/>
                <w:sz w:val="24"/>
                <w:szCs w:val="24"/>
              </w:rPr>
              <w:t xml:space="preserve"> so far</w:t>
            </w:r>
            <w:r w:rsidR="00CB656C">
              <w:rPr>
                <w:rFonts w:ascii="Arial" w:hAnsi="Arial" w:cs="Arial"/>
                <w:sz w:val="24"/>
                <w:szCs w:val="24"/>
              </w:rPr>
              <w:t>,</w:t>
            </w:r>
            <w:r w:rsidR="006E508D">
              <w:rPr>
                <w:rFonts w:ascii="Arial" w:hAnsi="Arial" w:cs="Arial"/>
                <w:sz w:val="24"/>
                <w:szCs w:val="24"/>
              </w:rPr>
              <w:t xml:space="preserve"> </w:t>
            </w:r>
            <w:r w:rsidR="00484EB7">
              <w:rPr>
                <w:rFonts w:ascii="Arial" w:hAnsi="Arial" w:cs="Arial"/>
                <w:sz w:val="24"/>
                <w:szCs w:val="24"/>
              </w:rPr>
              <w:t xml:space="preserve">delivering </w:t>
            </w:r>
            <w:r w:rsidR="0065238B">
              <w:rPr>
                <w:rFonts w:ascii="Arial" w:hAnsi="Arial" w:cs="Arial"/>
                <w:sz w:val="24"/>
                <w:szCs w:val="24"/>
              </w:rPr>
              <w:t xml:space="preserve">a </w:t>
            </w:r>
            <w:r w:rsidR="00484EB7">
              <w:rPr>
                <w:rFonts w:ascii="Arial" w:hAnsi="Arial" w:cs="Arial"/>
                <w:sz w:val="24"/>
                <w:szCs w:val="24"/>
              </w:rPr>
              <w:t>£12m benefit</w:t>
            </w:r>
            <w:r>
              <w:rPr>
                <w:rFonts w:ascii="Arial" w:hAnsi="Arial" w:cs="Arial"/>
                <w:sz w:val="24"/>
                <w:szCs w:val="24"/>
              </w:rPr>
              <w:t xml:space="preserve"> </w:t>
            </w:r>
            <w:r w:rsidR="00484EB7">
              <w:rPr>
                <w:rFonts w:ascii="Arial" w:hAnsi="Arial" w:cs="Arial"/>
                <w:sz w:val="24"/>
                <w:szCs w:val="24"/>
              </w:rPr>
              <w:t xml:space="preserve">and earlier than plan. </w:t>
            </w:r>
            <w:r w:rsidR="006E508D">
              <w:rPr>
                <w:rFonts w:ascii="Arial" w:hAnsi="Arial" w:cs="Arial"/>
                <w:sz w:val="24"/>
                <w:szCs w:val="24"/>
              </w:rPr>
              <w:t xml:space="preserve">We are </w:t>
            </w:r>
            <w:r w:rsidR="00484EB7">
              <w:rPr>
                <w:rFonts w:ascii="Arial" w:hAnsi="Arial" w:cs="Arial"/>
                <w:sz w:val="24"/>
                <w:szCs w:val="24"/>
              </w:rPr>
              <w:t>therefore</w:t>
            </w:r>
            <w:r w:rsidR="006E508D">
              <w:rPr>
                <w:rFonts w:ascii="Arial" w:hAnsi="Arial" w:cs="Arial"/>
                <w:sz w:val="24"/>
                <w:szCs w:val="24"/>
              </w:rPr>
              <w:t xml:space="preserve"> raising our FY 2016/17 target </w:t>
            </w:r>
            <w:r w:rsidR="00484EB7">
              <w:rPr>
                <w:rFonts w:ascii="Arial" w:hAnsi="Arial" w:cs="Arial"/>
                <w:sz w:val="24"/>
                <w:szCs w:val="24"/>
              </w:rPr>
              <w:t xml:space="preserve">benefit from up to </w:t>
            </w:r>
            <w:r w:rsidR="006E508D">
              <w:rPr>
                <w:rFonts w:ascii="Arial" w:hAnsi="Arial" w:cs="Arial"/>
                <w:sz w:val="24"/>
                <w:szCs w:val="24"/>
              </w:rPr>
              <w:t>£2</w:t>
            </w:r>
            <w:r w:rsidR="00484EB7">
              <w:rPr>
                <w:rFonts w:ascii="Arial" w:hAnsi="Arial" w:cs="Arial"/>
                <w:sz w:val="24"/>
                <w:szCs w:val="24"/>
              </w:rPr>
              <w:t>0</w:t>
            </w:r>
            <w:r w:rsidR="006E508D">
              <w:rPr>
                <w:rFonts w:ascii="Arial" w:hAnsi="Arial" w:cs="Arial"/>
                <w:sz w:val="24"/>
                <w:szCs w:val="24"/>
              </w:rPr>
              <w:t>m</w:t>
            </w:r>
            <w:r w:rsidR="00484EB7">
              <w:rPr>
                <w:rFonts w:ascii="Arial" w:hAnsi="Arial" w:cs="Arial"/>
                <w:sz w:val="24"/>
                <w:szCs w:val="24"/>
              </w:rPr>
              <w:t xml:space="preserve"> to up to </w:t>
            </w:r>
            <w:r w:rsidR="006E508D">
              <w:rPr>
                <w:rFonts w:ascii="Arial" w:hAnsi="Arial" w:cs="Arial"/>
                <w:sz w:val="24"/>
                <w:szCs w:val="24"/>
              </w:rPr>
              <w:t>£2</w:t>
            </w:r>
            <w:r w:rsidR="00484EB7">
              <w:rPr>
                <w:rFonts w:ascii="Arial" w:hAnsi="Arial" w:cs="Arial"/>
                <w:sz w:val="24"/>
                <w:szCs w:val="24"/>
              </w:rPr>
              <w:t>5</w:t>
            </w:r>
            <w:r>
              <w:rPr>
                <w:rFonts w:ascii="Arial" w:hAnsi="Arial" w:cs="Arial"/>
                <w:sz w:val="24"/>
                <w:szCs w:val="24"/>
              </w:rPr>
              <w:t>m</w:t>
            </w:r>
            <w:r w:rsidR="006E508D">
              <w:rPr>
                <w:rFonts w:ascii="Arial" w:hAnsi="Arial" w:cs="Arial"/>
                <w:sz w:val="24"/>
                <w:szCs w:val="24"/>
              </w:rPr>
              <w:t xml:space="preserve">.  </w:t>
            </w:r>
          </w:p>
          <w:p w14:paraId="3FA026F5" w14:textId="77777777" w:rsidR="006E508D" w:rsidRDefault="006E508D" w:rsidP="000550AF">
            <w:pPr>
              <w:jc w:val="left"/>
              <w:rPr>
                <w:rFonts w:ascii="Arial" w:hAnsi="Arial" w:cs="Arial"/>
                <w:b/>
                <w:sz w:val="24"/>
                <w:szCs w:val="24"/>
              </w:rPr>
            </w:pPr>
          </w:p>
          <w:p w14:paraId="7E0350E7" w14:textId="77777777" w:rsidR="00E53A31" w:rsidRDefault="00E53A31" w:rsidP="00E53A31">
            <w:pPr>
              <w:pStyle w:val="ListParagraph"/>
              <w:numPr>
                <w:ilvl w:val="0"/>
                <w:numId w:val="69"/>
              </w:numPr>
              <w:jc w:val="left"/>
              <w:rPr>
                <w:rFonts w:ascii="Arial" w:hAnsi="Arial" w:cs="Arial"/>
                <w:i/>
                <w:sz w:val="24"/>
                <w:szCs w:val="24"/>
              </w:rPr>
            </w:pPr>
            <w:r w:rsidRPr="00310480">
              <w:rPr>
                <w:rFonts w:ascii="Arial" w:hAnsi="Arial" w:cs="Arial"/>
                <w:i/>
                <w:sz w:val="24"/>
                <w:szCs w:val="24"/>
              </w:rPr>
              <w:t>Complete closure of c.15% surplus space at B&amp;Q (65 stores)</w:t>
            </w:r>
          </w:p>
          <w:p w14:paraId="03043DC6" w14:textId="77777777" w:rsidR="00BE0412" w:rsidRPr="00310480" w:rsidRDefault="00BE0412" w:rsidP="002E570E">
            <w:pPr>
              <w:pStyle w:val="ListParagraph"/>
              <w:jc w:val="left"/>
              <w:rPr>
                <w:rFonts w:ascii="Arial" w:hAnsi="Arial" w:cs="Arial"/>
                <w:i/>
                <w:sz w:val="24"/>
                <w:szCs w:val="24"/>
              </w:rPr>
            </w:pPr>
          </w:p>
          <w:p w14:paraId="6043AE32" w14:textId="515AFB0A" w:rsidR="00E53A31" w:rsidRDefault="00E53A31" w:rsidP="00E53A31">
            <w:pPr>
              <w:jc w:val="left"/>
              <w:rPr>
                <w:rFonts w:ascii="Arial" w:hAnsi="Arial" w:cs="Arial"/>
                <w:sz w:val="24"/>
                <w:szCs w:val="24"/>
              </w:rPr>
            </w:pPr>
            <w:r>
              <w:rPr>
                <w:rFonts w:ascii="Arial" w:hAnsi="Arial" w:cs="Arial"/>
                <w:sz w:val="24"/>
                <w:szCs w:val="24"/>
              </w:rPr>
              <w:t>C</w:t>
            </w:r>
            <w:r w:rsidRPr="00C34BD7">
              <w:rPr>
                <w:rFonts w:ascii="Arial" w:hAnsi="Arial" w:cs="Arial"/>
                <w:sz w:val="24"/>
                <w:szCs w:val="24"/>
              </w:rPr>
              <w:t>los</w:t>
            </w:r>
            <w:r>
              <w:rPr>
                <w:rFonts w:ascii="Arial" w:hAnsi="Arial" w:cs="Arial"/>
                <w:sz w:val="24"/>
                <w:szCs w:val="24"/>
              </w:rPr>
              <w:t xml:space="preserve">ure </w:t>
            </w:r>
            <w:r w:rsidRPr="002D364B">
              <w:rPr>
                <w:rFonts w:ascii="Arial" w:hAnsi="Arial" w:cs="Arial"/>
                <w:sz w:val="24"/>
                <w:szCs w:val="24"/>
              </w:rPr>
              <w:t xml:space="preserve">now </w:t>
            </w:r>
            <w:r>
              <w:rPr>
                <w:rFonts w:ascii="Arial" w:hAnsi="Arial" w:cs="Arial"/>
                <w:sz w:val="24"/>
                <w:szCs w:val="24"/>
              </w:rPr>
              <w:t>80% complete following the closure in H1 of a further 22 stores, taking the total to 52. Sales transference to date continues to support the business case for the closures.</w:t>
            </w:r>
          </w:p>
          <w:p w14:paraId="1F7E8CCE" w14:textId="77777777" w:rsidR="00E53A31" w:rsidRDefault="00E53A31" w:rsidP="00E53A31">
            <w:pPr>
              <w:jc w:val="left"/>
              <w:rPr>
                <w:rFonts w:ascii="Arial" w:hAnsi="Arial" w:cs="Arial"/>
                <w:sz w:val="24"/>
                <w:szCs w:val="24"/>
              </w:rPr>
            </w:pPr>
          </w:p>
          <w:p w14:paraId="34A4C660" w14:textId="58D3DE24" w:rsidR="00E53A31" w:rsidRDefault="00E53A31" w:rsidP="000550AF">
            <w:pPr>
              <w:jc w:val="left"/>
              <w:rPr>
                <w:rFonts w:ascii="Arial" w:hAnsi="Arial" w:cs="Arial"/>
                <w:sz w:val="24"/>
                <w:szCs w:val="24"/>
              </w:rPr>
            </w:pPr>
            <w:r>
              <w:rPr>
                <w:rFonts w:ascii="Arial" w:hAnsi="Arial" w:cs="Arial"/>
                <w:sz w:val="24"/>
                <w:szCs w:val="24"/>
              </w:rPr>
              <w:t>In Q1</w:t>
            </w:r>
            <w:r w:rsidRPr="002D364B">
              <w:rPr>
                <w:rFonts w:ascii="Arial" w:hAnsi="Arial" w:cs="Arial"/>
                <w:sz w:val="24"/>
                <w:szCs w:val="24"/>
              </w:rPr>
              <w:t xml:space="preserve"> </w:t>
            </w:r>
            <w:r>
              <w:rPr>
                <w:rFonts w:ascii="Arial" w:hAnsi="Arial" w:cs="Arial"/>
                <w:sz w:val="24"/>
                <w:szCs w:val="24"/>
              </w:rPr>
              <w:t xml:space="preserve">B&amp;Q outsourced </w:t>
            </w:r>
            <w:r w:rsidRPr="002D364B">
              <w:rPr>
                <w:rFonts w:ascii="Arial" w:hAnsi="Arial" w:cs="Arial"/>
                <w:sz w:val="24"/>
                <w:szCs w:val="24"/>
              </w:rPr>
              <w:t>remaining lease exits to a third party via a lease liability transaction.</w:t>
            </w:r>
            <w:r>
              <w:rPr>
                <w:rFonts w:ascii="Arial" w:hAnsi="Arial" w:cs="Arial"/>
                <w:sz w:val="24"/>
                <w:szCs w:val="24"/>
              </w:rPr>
              <w:t xml:space="preserve"> Of the </w:t>
            </w:r>
            <w:r w:rsidR="0026145B">
              <w:rPr>
                <w:rFonts w:ascii="Arial" w:hAnsi="Arial" w:cs="Arial"/>
                <w:sz w:val="24"/>
                <w:szCs w:val="24"/>
              </w:rPr>
              <w:t>1</w:t>
            </w:r>
            <w:r w:rsidR="00661C46">
              <w:rPr>
                <w:rFonts w:ascii="Arial" w:hAnsi="Arial" w:cs="Arial"/>
                <w:sz w:val="24"/>
                <w:szCs w:val="24"/>
              </w:rPr>
              <w:t>0</w:t>
            </w:r>
            <w:r w:rsidR="0026145B">
              <w:rPr>
                <w:rFonts w:ascii="Arial" w:hAnsi="Arial" w:cs="Arial"/>
                <w:sz w:val="24"/>
                <w:szCs w:val="24"/>
              </w:rPr>
              <w:t xml:space="preserve"> </w:t>
            </w:r>
            <w:r>
              <w:rPr>
                <w:rFonts w:ascii="Arial" w:hAnsi="Arial" w:cs="Arial"/>
                <w:sz w:val="24"/>
                <w:szCs w:val="24"/>
              </w:rPr>
              <w:t xml:space="preserve">exits secured </w:t>
            </w:r>
            <w:r w:rsidR="000B34A0">
              <w:rPr>
                <w:rFonts w:ascii="Arial" w:hAnsi="Arial" w:cs="Arial"/>
                <w:sz w:val="24"/>
                <w:szCs w:val="24"/>
              </w:rPr>
              <w:t xml:space="preserve">year </w:t>
            </w:r>
            <w:r w:rsidR="00875F9A">
              <w:rPr>
                <w:rFonts w:ascii="Arial" w:hAnsi="Arial" w:cs="Arial"/>
                <w:sz w:val="24"/>
                <w:szCs w:val="24"/>
              </w:rPr>
              <w:t>to date</w:t>
            </w:r>
            <w:r>
              <w:rPr>
                <w:rFonts w:ascii="Arial" w:hAnsi="Arial" w:cs="Arial"/>
                <w:sz w:val="24"/>
                <w:szCs w:val="24"/>
              </w:rPr>
              <w:t xml:space="preserve">, </w:t>
            </w:r>
            <w:r w:rsidR="00661C46">
              <w:rPr>
                <w:rFonts w:ascii="Arial" w:hAnsi="Arial" w:cs="Arial"/>
                <w:sz w:val="24"/>
                <w:szCs w:val="24"/>
              </w:rPr>
              <w:t xml:space="preserve">six </w:t>
            </w:r>
            <w:r>
              <w:rPr>
                <w:rFonts w:ascii="Arial" w:hAnsi="Arial" w:cs="Arial"/>
                <w:sz w:val="24"/>
                <w:szCs w:val="24"/>
              </w:rPr>
              <w:t xml:space="preserve">were undertaken by this third party. Of the 65 stores, we have now secured exits on a total of </w:t>
            </w:r>
            <w:r w:rsidR="0026145B">
              <w:rPr>
                <w:rFonts w:ascii="Arial" w:hAnsi="Arial" w:cs="Arial"/>
                <w:sz w:val="24"/>
                <w:szCs w:val="24"/>
              </w:rPr>
              <w:t>5</w:t>
            </w:r>
            <w:r w:rsidR="00661C46">
              <w:rPr>
                <w:rFonts w:ascii="Arial" w:hAnsi="Arial" w:cs="Arial"/>
                <w:sz w:val="24"/>
                <w:szCs w:val="24"/>
              </w:rPr>
              <w:t>0</w:t>
            </w:r>
            <w:r>
              <w:rPr>
                <w:rFonts w:ascii="Arial" w:hAnsi="Arial" w:cs="Arial"/>
                <w:sz w:val="24"/>
                <w:szCs w:val="24"/>
              </w:rPr>
              <w:t xml:space="preserve">. </w:t>
            </w:r>
          </w:p>
          <w:p w14:paraId="61E095DA" w14:textId="12612A69" w:rsidR="00E53A31" w:rsidRPr="00E304FD" w:rsidRDefault="00E53A31" w:rsidP="000550AF">
            <w:pPr>
              <w:jc w:val="left"/>
              <w:rPr>
                <w:rFonts w:ascii="Arial" w:hAnsi="Arial" w:cs="Arial"/>
                <w:sz w:val="24"/>
                <w:szCs w:val="24"/>
              </w:rPr>
            </w:pPr>
          </w:p>
        </w:tc>
      </w:tr>
    </w:tbl>
    <w:p w14:paraId="54C2778C" w14:textId="77777777" w:rsidR="00BE0412" w:rsidRDefault="00BE0412" w:rsidP="000550AF">
      <w:pPr>
        <w:jc w:val="left"/>
        <w:rPr>
          <w:rFonts w:ascii="Arial" w:hAnsi="Arial" w:cs="Arial"/>
          <w:sz w:val="24"/>
          <w:szCs w:val="24"/>
        </w:rPr>
      </w:pPr>
    </w:p>
    <w:p w14:paraId="43A8CABB" w14:textId="77777777" w:rsidR="008C7FE9" w:rsidRDefault="008C7FE9" w:rsidP="00134B83">
      <w:pPr>
        <w:spacing w:after="200"/>
        <w:contextualSpacing/>
        <w:jc w:val="left"/>
        <w:rPr>
          <w:rFonts w:ascii="Arial" w:hAnsi="Arial" w:cs="Arial"/>
          <w:b/>
          <w:sz w:val="24"/>
          <w:szCs w:val="24"/>
        </w:rPr>
      </w:pPr>
    </w:p>
    <w:p w14:paraId="3D7632CA" w14:textId="77777777" w:rsidR="008C7FE9" w:rsidRDefault="008C7FE9" w:rsidP="00134B83">
      <w:pPr>
        <w:spacing w:after="200"/>
        <w:contextualSpacing/>
        <w:jc w:val="left"/>
        <w:rPr>
          <w:rFonts w:ascii="Arial" w:hAnsi="Arial" w:cs="Arial"/>
          <w:b/>
          <w:sz w:val="24"/>
          <w:szCs w:val="24"/>
        </w:rPr>
      </w:pPr>
    </w:p>
    <w:p w14:paraId="7A873477" w14:textId="77777777" w:rsidR="008C7FE9" w:rsidRDefault="008C7FE9" w:rsidP="00134B83">
      <w:pPr>
        <w:spacing w:after="200"/>
        <w:contextualSpacing/>
        <w:jc w:val="left"/>
        <w:rPr>
          <w:rFonts w:ascii="Arial" w:hAnsi="Arial" w:cs="Arial"/>
          <w:b/>
          <w:sz w:val="24"/>
          <w:szCs w:val="24"/>
        </w:rPr>
      </w:pPr>
    </w:p>
    <w:p w14:paraId="4EE2ACB7" w14:textId="77777777" w:rsidR="00134B83" w:rsidRPr="00440B16" w:rsidRDefault="00134B83" w:rsidP="00134B83">
      <w:pPr>
        <w:spacing w:after="200"/>
        <w:contextualSpacing/>
        <w:jc w:val="left"/>
        <w:rPr>
          <w:rFonts w:ascii="Arial" w:hAnsi="Arial" w:cs="Arial"/>
          <w:b/>
          <w:sz w:val="24"/>
          <w:szCs w:val="24"/>
        </w:rPr>
      </w:pPr>
      <w:r w:rsidRPr="00440B16">
        <w:rPr>
          <w:rFonts w:ascii="Arial" w:hAnsi="Arial" w:cs="Arial"/>
          <w:b/>
          <w:sz w:val="24"/>
          <w:szCs w:val="24"/>
        </w:rPr>
        <w:t>Summary</w:t>
      </w:r>
    </w:p>
    <w:p w14:paraId="6908CAA2" w14:textId="77777777" w:rsidR="00134B83" w:rsidRPr="00AA04BA" w:rsidRDefault="00134B83" w:rsidP="00134B83">
      <w:pPr>
        <w:spacing w:after="200"/>
        <w:contextualSpacing/>
        <w:jc w:val="left"/>
        <w:rPr>
          <w:rFonts w:ascii="Arial" w:hAnsi="Arial" w:cs="Arial"/>
          <w:sz w:val="24"/>
          <w:szCs w:val="24"/>
          <w:highlight w:val="yellow"/>
        </w:rPr>
      </w:pPr>
    </w:p>
    <w:p w14:paraId="322D2441" w14:textId="69459033" w:rsidR="00FA6F68" w:rsidRPr="002E570E" w:rsidRDefault="003445C3" w:rsidP="002E570E">
      <w:pPr>
        <w:jc w:val="left"/>
        <w:rPr>
          <w:rFonts w:ascii="Arial" w:hAnsi="Arial" w:cs="Arial"/>
          <w:sz w:val="24"/>
          <w:szCs w:val="24"/>
        </w:rPr>
      </w:pPr>
      <w:r>
        <w:rPr>
          <w:rFonts w:ascii="Arial" w:hAnsi="Arial" w:cs="Arial"/>
          <w:bCs/>
          <w:sz w:val="24"/>
          <w:szCs w:val="24"/>
        </w:rPr>
        <w:t xml:space="preserve">Good progress has been made so far against our first year </w:t>
      </w:r>
      <w:r w:rsidR="00DC3339">
        <w:rPr>
          <w:rFonts w:ascii="Arial" w:hAnsi="Arial" w:cs="Arial"/>
          <w:bCs/>
          <w:sz w:val="24"/>
          <w:szCs w:val="24"/>
        </w:rPr>
        <w:t>strategic</w:t>
      </w:r>
      <w:r>
        <w:rPr>
          <w:rFonts w:ascii="Arial" w:hAnsi="Arial" w:cs="Arial"/>
          <w:bCs/>
          <w:sz w:val="24"/>
          <w:szCs w:val="24"/>
        </w:rPr>
        <w:t xml:space="preserve"> milestones and</w:t>
      </w:r>
      <w:r w:rsidR="00241697">
        <w:rPr>
          <w:rFonts w:ascii="Arial" w:hAnsi="Arial" w:cs="Arial"/>
          <w:bCs/>
          <w:sz w:val="24"/>
          <w:szCs w:val="24"/>
        </w:rPr>
        <w:t xml:space="preserve"> we are</w:t>
      </w:r>
      <w:r w:rsidR="001D0081">
        <w:rPr>
          <w:rFonts w:ascii="Arial" w:hAnsi="Arial" w:cs="Arial"/>
          <w:bCs/>
          <w:sz w:val="24"/>
          <w:szCs w:val="24"/>
        </w:rPr>
        <w:t xml:space="preserve"> </w:t>
      </w:r>
      <w:r>
        <w:rPr>
          <w:rFonts w:ascii="Arial" w:hAnsi="Arial" w:cs="Arial"/>
          <w:bCs/>
          <w:sz w:val="24"/>
          <w:szCs w:val="24"/>
        </w:rPr>
        <w:t>on track</w:t>
      </w:r>
      <w:r w:rsidR="00241697">
        <w:rPr>
          <w:rFonts w:ascii="Arial" w:hAnsi="Arial" w:cs="Arial"/>
          <w:bCs/>
          <w:sz w:val="24"/>
          <w:szCs w:val="24"/>
        </w:rPr>
        <w:t xml:space="preserve"> to achieve them</w:t>
      </w:r>
      <w:r w:rsidR="002C020D">
        <w:rPr>
          <w:rFonts w:ascii="Arial" w:hAnsi="Arial" w:cs="Arial"/>
          <w:bCs/>
          <w:sz w:val="24"/>
          <w:szCs w:val="24"/>
        </w:rPr>
        <w:t xml:space="preserve"> and the associated benefits</w:t>
      </w:r>
      <w:r>
        <w:rPr>
          <w:rFonts w:ascii="Arial" w:hAnsi="Arial" w:cs="Arial"/>
          <w:bCs/>
          <w:sz w:val="24"/>
          <w:szCs w:val="24"/>
        </w:rPr>
        <w:t xml:space="preserve">. </w:t>
      </w:r>
      <w:r w:rsidR="00FA6F68" w:rsidRPr="002E570E">
        <w:rPr>
          <w:rFonts w:ascii="Arial" w:hAnsi="Arial" w:cs="Arial"/>
          <w:bCs/>
          <w:sz w:val="24"/>
          <w:szCs w:val="24"/>
        </w:rPr>
        <w:t xml:space="preserve">Total expected transformation costs for this year are lower than originally guided, </w:t>
      </w:r>
      <w:r w:rsidR="00FA6F68" w:rsidRPr="00883882">
        <w:rPr>
          <w:rFonts w:ascii="Arial" w:hAnsi="Arial" w:cs="Arial"/>
          <w:bCs/>
          <w:sz w:val="24"/>
          <w:szCs w:val="24"/>
        </w:rPr>
        <w:t xml:space="preserve">reflecting lower </w:t>
      </w:r>
      <w:r w:rsidR="00A2041B" w:rsidRPr="00883882">
        <w:rPr>
          <w:rFonts w:ascii="Arial" w:hAnsi="Arial" w:cs="Arial"/>
          <w:bCs/>
          <w:sz w:val="24"/>
          <w:szCs w:val="24"/>
        </w:rPr>
        <w:t xml:space="preserve">initial </w:t>
      </w:r>
      <w:r w:rsidR="006058FA">
        <w:rPr>
          <w:rFonts w:ascii="Arial" w:hAnsi="Arial" w:cs="Arial"/>
          <w:bCs/>
          <w:sz w:val="24"/>
          <w:szCs w:val="24"/>
        </w:rPr>
        <w:t>reorganisation</w:t>
      </w:r>
      <w:r w:rsidR="00FA6F68" w:rsidRPr="00883882">
        <w:rPr>
          <w:rFonts w:ascii="Arial" w:hAnsi="Arial" w:cs="Arial"/>
          <w:bCs/>
          <w:sz w:val="24"/>
          <w:szCs w:val="24"/>
        </w:rPr>
        <w:t xml:space="preserve"> costs</w:t>
      </w:r>
      <w:r w:rsidR="00A2041B" w:rsidRPr="00883882">
        <w:rPr>
          <w:rFonts w:ascii="Arial" w:hAnsi="Arial" w:cs="Arial"/>
          <w:bCs/>
          <w:sz w:val="24"/>
          <w:szCs w:val="24"/>
        </w:rPr>
        <w:t xml:space="preserve"> and phasing on spend</w:t>
      </w:r>
      <w:r w:rsidR="00FA6F68" w:rsidRPr="00241539">
        <w:rPr>
          <w:rFonts w:ascii="Arial" w:hAnsi="Arial" w:cs="Arial"/>
          <w:bCs/>
          <w:sz w:val="24"/>
          <w:szCs w:val="24"/>
        </w:rPr>
        <w:t>.</w:t>
      </w:r>
      <w:r w:rsidR="00FA6F68" w:rsidRPr="002E570E">
        <w:rPr>
          <w:rFonts w:ascii="Arial" w:hAnsi="Arial" w:cs="Arial"/>
          <w:bCs/>
          <w:sz w:val="24"/>
          <w:szCs w:val="24"/>
        </w:rPr>
        <w:t xml:space="preserve"> We are not however changing our five year total transformation cost </w:t>
      </w:r>
      <w:r w:rsidR="00BE0412">
        <w:rPr>
          <w:rFonts w:ascii="Arial" w:hAnsi="Arial" w:cs="Arial"/>
          <w:bCs/>
          <w:sz w:val="24"/>
          <w:szCs w:val="24"/>
        </w:rPr>
        <w:t xml:space="preserve">guidance </w:t>
      </w:r>
      <w:r w:rsidR="00FA6F68" w:rsidRPr="002E570E">
        <w:rPr>
          <w:rFonts w:ascii="Arial" w:hAnsi="Arial" w:cs="Arial"/>
          <w:bCs/>
          <w:sz w:val="24"/>
          <w:szCs w:val="24"/>
        </w:rPr>
        <w:t>of £800m</w:t>
      </w:r>
      <w:r w:rsidR="00BE0412">
        <w:rPr>
          <w:rFonts w:ascii="Arial" w:hAnsi="Arial" w:cs="Arial"/>
          <w:bCs/>
          <w:sz w:val="24"/>
          <w:szCs w:val="24"/>
        </w:rPr>
        <w:t>. It</w:t>
      </w:r>
      <w:r w:rsidR="00FA6F68" w:rsidRPr="002E570E">
        <w:rPr>
          <w:rFonts w:ascii="Arial" w:hAnsi="Arial" w:cs="Arial"/>
          <w:bCs/>
          <w:sz w:val="24"/>
          <w:szCs w:val="24"/>
        </w:rPr>
        <w:t xml:space="preserve"> is early days and given the nature of the plan, phasing differences are to be expected. </w:t>
      </w:r>
    </w:p>
    <w:p w14:paraId="08D4AB3B" w14:textId="77777777" w:rsidR="00FA6F68" w:rsidRPr="002E570E" w:rsidRDefault="00FA6F68" w:rsidP="002E570E">
      <w:pPr>
        <w:jc w:val="left"/>
        <w:rPr>
          <w:rFonts w:ascii="Arial" w:hAnsi="Arial" w:cs="Arial"/>
          <w:bCs/>
          <w:sz w:val="24"/>
          <w:szCs w:val="24"/>
        </w:rPr>
      </w:pPr>
    </w:p>
    <w:p w14:paraId="61B9B333" w14:textId="3802EB95" w:rsidR="00FA6F68" w:rsidRPr="002E570E" w:rsidRDefault="00BE0412" w:rsidP="002E570E">
      <w:pPr>
        <w:jc w:val="left"/>
        <w:rPr>
          <w:rFonts w:ascii="Arial" w:hAnsi="Arial" w:cs="Arial"/>
          <w:bCs/>
          <w:sz w:val="24"/>
          <w:szCs w:val="24"/>
        </w:rPr>
      </w:pPr>
      <w:r w:rsidRPr="00A2041B">
        <w:rPr>
          <w:rFonts w:ascii="Arial" w:hAnsi="Arial" w:cs="Arial"/>
          <w:bCs/>
          <w:sz w:val="24"/>
          <w:szCs w:val="24"/>
        </w:rPr>
        <w:t xml:space="preserve">We are </w:t>
      </w:r>
      <w:r w:rsidR="00FA6F68" w:rsidRPr="002E570E">
        <w:rPr>
          <w:rFonts w:ascii="Arial" w:hAnsi="Arial" w:cs="Arial"/>
          <w:bCs/>
          <w:sz w:val="24"/>
          <w:szCs w:val="24"/>
        </w:rPr>
        <w:t xml:space="preserve">very aware of the challenges ahead and we are planning accordingly. The level of transformation activity will significantly increase next year as we </w:t>
      </w:r>
      <w:r w:rsidR="00A2041B">
        <w:rPr>
          <w:rFonts w:ascii="Arial" w:hAnsi="Arial" w:cs="Arial"/>
          <w:bCs/>
          <w:sz w:val="24"/>
          <w:szCs w:val="24"/>
        </w:rPr>
        <w:t xml:space="preserve">step up the unification of </w:t>
      </w:r>
      <w:r w:rsidR="00FA6F68" w:rsidRPr="002E570E">
        <w:rPr>
          <w:rFonts w:ascii="Arial" w:hAnsi="Arial" w:cs="Arial"/>
          <w:bCs/>
          <w:sz w:val="24"/>
          <w:szCs w:val="24"/>
        </w:rPr>
        <w:t>ranges across the company</w:t>
      </w:r>
      <w:r>
        <w:rPr>
          <w:rFonts w:ascii="Arial" w:hAnsi="Arial" w:cs="Arial"/>
          <w:bCs/>
          <w:sz w:val="24"/>
          <w:szCs w:val="24"/>
        </w:rPr>
        <w:t xml:space="preserve">. This </w:t>
      </w:r>
      <w:r w:rsidRPr="00A2041B">
        <w:rPr>
          <w:rFonts w:ascii="Arial" w:hAnsi="Arial" w:cs="Arial"/>
          <w:bCs/>
          <w:sz w:val="24"/>
          <w:szCs w:val="24"/>
        </w:rPr>
        <w:t xml:space="preserve">activity </w:t>
      </w:r>
      <w:r w:rsidR="00FA6F68" w:rsidRPr="002E570E">
        <w:rPr>
          <w:rFonts w:ascii="Arial" w:hAnsi="Arial" w:cs="Arial"/>
          <w:bCs/>
          <w:sz w:val="24"/>
          <w:szCs w:val="24"/>
        </w:rPr>
        <w:t xml:space="preserve">will involve more clearance of old ranges, more </w:t>
      </w:r>
      <w:r w:rsidR="009E52DA">
        <w:rPr>
          <w:rFonts w:ascii="Arial" w:hAnsi="Arial" w:cs="Arial"/>
          <w:bCs/>
          <w:sz w:val="24"/>
          <w:szCs w:val="24"/>
        </w:rPr>
        <w:t>re</w:t>
      </w:r>
      <w:r w:rsidR="00FA6F68" w:rsidRPr="002E570E">
        <w:rPr>
          <w:rFonts w:ascii="Arial" w:hAnsi="Arial" w:cs="Arial"/>
          <w:bCs/>
          <w:sz w:val="24"/>
          <w:szCs w:val="24"/>
        </w:rPr>
        <w:t xml:space="preserve">merchandising of new ranges </w:t>
      </w:r>
      <w:r w:rsidR="002C020D">
        <w:rPr>
          <w:rFonts w:ascii="Arial" w:hAnsi="Arial" w:cs="Arial"/>
          <w:bCs/>
          <w:sz w:val="24"/>
          <w:szCs w:val="24"/>
        </w:rPr>
        <w:t xml:space="preserve">in stores </w:t>
      </w:r>
      <w:r w:rsidR="00FA6F68" w:rsidRPr="002E570E">
        <w:rPr>
          <w:rFonts w:ascii="Arial" w:hAnsi="Arial" w:cs="Arial"/>
          <w:bCs/>
          <w:sz w:val="24"/>
          <w:szCs w:val="24"/>
        </w:rPr>
        <w:t xml:space="preserve">and more pressure on the logistics networks. </w:t>
      </w:r>
    </w:p>
    <w:p w14:paraId="2C1C9148" w14:textId="77777777" w:rsidR="00FA6F68" w:rsidRPr="002E570E" w:rsidRDefault="00FA6F68" w:rsidP="002E570E">
      <w:pPr>
        <w:jc w:val="left"/>
        <w:rPr>
          <w:rFonts w:ascii="Arial" w:hAnsi="Arial" w:cs="Arial"/>
          <w:bCs/>
          <w:sz w:val="24"/>
          <w:szCs w:val="24"/>
        </w:rPr>
      </w:pPr>
    </w:p>
    <w:p w14:paraId="3E896B6E" w14:textId="2B1A8E09" w:rsidR="00FA6F68" w:rsidRPr="00440B16" w:rsidRDefault="00FA6F68" w:rsidP="00B6158A">
      <w:pPr>
        <w:jc w:val="left"/>
        <w:rPr>
          <w:rFonts w:ascii="Arial" w:hAnsi="Arial" w:cs="Arial"/>
          <w:bCs/>
          <w:sz w:val="24"/>
          <w:szCs w:val="24"/>
        </w:rPr>
      </w:pPr>
      <w:r>
        <w:rPr>
          <w:rFonts w:ascii="Arial" w:hAnsi="Arial" w:cs="Arial"/>
          <w:sz w:val="24"/>
          <w:szCs w:val="24"/>
        </w:rPr>
        <w:t xml:space="preserve">We continue to monitor our progress against our financial and </w:t>
      </w:r>
      <w:r w:rsidR="00DC3339">
        <w:rPr>
          <w:rFonts w:ascii="Arial" w:hAnsi="Arial" w:cs="Arial"/>
          <w:sz w:val="24"/>
          <w:szCs w:val="24"/>
        </w:rPr>
        <w:t>strategic</w:t>
      </w:r>
      <w:r>
        <w:rPr>
          <w:rFonts w:ascii="Arial" w:hAnsi="Arial" w:cs="Arial"/>
          <w:sz w:val="24"/>
          <w:szCs w:val="24"/>
        </w:rPr>
        <w:t xml:space="preserve"> milestones, and we will update as we progress.</w:t>
      </w:r>
    </w:p>
    <w:p w14:paraId="20EBDE2F" w14:textId="7CD39758" w:rsidR="003445C3" w:rsidRDefault="003445C3" w:rsidP="00134B83">
      <w:pPr>
        <w:spacing w:after="200"/>
        <w:contextualSpacing/>
        <w:jc w:val="left"/>
        <w:rPr>
          <w:rFonts w:ascii="Arial" w:hAnsi="Arial" w:cs="Arial"/>
          <w:bCs/>
          <w:sz w:val="24"/>
          <w:szCs w:val="24"/>
        </w:rPr>
      </w:pPr>
    </w:p>
    <w:p w14:paraId="62E5EBEE" w14:textId="59985CD5" w:rsidR="00B53210" w:rsidRDefault="00B53210" w:rsidP="00C62542">
      <w:pPr>
        <w:jc w:val="left"/>
        <w:rPr>
          <w:rFonts w:ascii="Arial" w:hAnsi="Arial" w:cs="Arial"/>
          <w:b/>
          <w:bCs/>
          <w:sz w:val="24"/>
          <w:szCs w:val="24"/>
        </w:rPr>
      </w:pPr>
    </w:p>
    <w:p w14:paraId="28C3993C" w14:textId="77777777" w:rsidR="00BE0412" w:rsidRDefault="00BE0412">
      <w:pPr>
        <w:jc w:val="left"/>
        <w:rPr>
          <w:rFonts w:ascii="Arial" w:hAnsi="Arial" w:cs="Arial"/>
          <w:b/>
          <w:bCs/>
          <w:sz w:val="24"/>
          <w:szCs w:val="24"/>
        </w:rPr>
      </w:pPr>
      <w:r>
        <w:rPr>
          <w:rFonts w:ascii="Arial" w:hAnsi="Arial" w:cs="Arial"/>
          <w:b/>
          <w:bCs/>
          <w:sz w:val="24"/>
          <w:szCs w:val="24"/>
        </w:rPr>
        <w:br w:type="page"/>
      </w:r>
    </w:p>
    <w:p w14:paraId="196F81F3" w14:textId="46759AE2" w:rsidR="00C62542" w:rsidRDefault="00C62542" w:rsidP="00C62542">
      <w:pPr>
        <w:jc w:val="left"/>
        <w:rPr>
          <w:rFonts w:ascii="Arial" w:hAnsi="Arial" w:cs="Arial"/>
          <w:b/>
          <w:bCs/>
          <w:sz w:val="24"/>
          <w:szCs w:val="24"/>
        </w:rPr>
      </w:pPr>
      <w:r w:rsidRPr="000971B9">
        <w:rPr>
          <w:rFonts w:ascii="Arial" w:hAnsi="Arial" w:cs="Arial"/>
          <w:b/>
          <w:bCs/>
          <w:sz w:val="24"/>
          <w:szCs w:val="24"/>
        </w:rPr>
        <w:lastRenderedPageBreak/>
        <w:t xml:space="preserve">Section </w:t>
      </w:r>
      <w:r>
        <w:rPr>
          <w:rFonts w:ascii="Arial" w:hAnsi="Arial" w:cs="Arial"/>
          <w:b/>
          <w:bCs/>
          <w:sz w:val="24"/>
          <w:szCs w:val="24"/>
        </w:rPr>
        <w:t>2</w:t>
      </w:r>
      <w:r w:rsidRPr="00926779">
        <w:rPr>
          <w:rFonts w:ascii="Arial" w:hAnsi="Arial" w:cs="Arial"/>
          <w:b/>
          <w:bCs/>
          <w:sz w:val="24"/>
          <w:szCs w:val="24"/>
        </w:rPr>
        <w:t xml:space="preserve">: </w:t>
      </w:r>
      <w:r>
        <w:rPr>
          <w:rFonts w:ascii="Arial" w:hAnsi="Arial" w:cs="Arial"/>
          <w:b/>
          <w:bCs/>
          <w:sz w:val="24"/>
          <w:szCs w:val="24"/>
        </w:rPr>
        <w:t xml:space="preserve">Trading review by </w:t>
      </w:r>
      <w:r w:rsidR="00130A12">
        <w:rPr>
          <w:rFonts w:ascii="Arial" w:hAnsi="Arial" w:cs="Arial"/>
          <w:b/>
          <w:bCs/>
          <w:sz w:val="24"/>
          <w:szCs w:val="24"/>
        </w:rPr>
        <w:t>division</w:t>
      </w:r>
      <w:r>
        <w:rPr>
          <w:rFonts w:ascii="Arial" w:hAnsi="Arial" w:cs="Arial"/>
          <w:b/>
          <w:bCs/>
          <w:sz w:val="24"/>
          <w:szCs w:val="24"/>
        </w:rPr>
        <w:t xml:space="preserve">  </w:t>
      </w:r>
    </w:p>
    <w:p w14:paraId="4FF9B413" w14:textId="06A9ED73" w:rsidR="00DA4C33" w:rsidRDefault="00DA4C33" w:rsidP="00C62542">
      <w:pPr>
        <w:jc w:val="left"/>
        <w:rPr>
          <w:rFonts w:ascii="Arial" w:hAnsi="Arial" w:cs="Arial"/>
          <w:b/>
          <w:bCs/>
          <w:sz w:val="24"/>
          <w:szCs w:val="24"/>
        </w:rPr>
      </w:pPr>
    </w:p>
    <w:p w14:paraId="4006F752" w14:textId="779203A9" w:rsidR="00DA4C33" w:rsidRPr="00E304FD" w:rsidRDefault="00DA4C33" w:rsidP="00C62542">
      <w:pPr>
        <w:jc w:val="left"/>
        <w:rPr>
          <w:rFonts w:ascii="Arial" w:hAnsi="Arial" w:cs="Arial"/>
          <w:bCs/>
          <w:i/>
          <w:sz w:val="24"/>
          <w:szCs w:val="24"/>
        </w:rPr>
      </w:pPr>
      <w:r w:rsidRPr="00E304FD">
        <w:rPr>
          <w:rFonts w:ascii="Arial" w:hAnsi="Arial" w:cs="Arial"/>
          <w:bCs/>
          <w:i/>
          <w:sz w:val="24"/>
          <w:szCs w:val="24"/>
        </w:rPr>
        <w:t xml:space="preserve">Note: all commentary </w:t>
      </w:r>
      <w:r>
        <w:rPr>
          <w:rFonts w:ascii="Arial" w:hAnsi="Arial" w:cs="Arial"/>
          <w:bCs/>
          <w:i/>
          <w:sz w:val="24"/>
          <w:szCs w:val="24"/>
        </w:rPr>
        <w:t xml:space="preserve">below </w:t>
      </w:r>
      <w:r w:rsidRPr="00E304FD">
        <w:rPr>
          <w:rFonts w:ascii="Arial" w:hAnsi="Arial" w:cs="Arial"/>
          <w:bCs/>
          <w:i/>
          <w:sz w:val="24"/>
          <w:szCs w:val="24"/>
        </w:rPr>
        <w:t>is in constant currencies</w:t>
      </w:r>
    </w:p>
    <w:p w14:paraId="287E898C" w14:textId="77777777" w:rsidR="00C62542" w:rsidRDefault="00C62542" w:rsidP="007D43ED">
      <w:pPr>
        <w:jc w:val="left"/>
        <w:rPr>
          <w:rFonts w:ascii="Arial" w:hAnsi="Arial" w:cs="Arial"/>
          <w:b/>
          <w:bCs/>
          <w:sz w:val="24"/>
          <w:szCs w:val="24"/>
        </w:rPr>
      </w:pPr>
    </w:p>
    <w:p w14:paraId="5227C549" w14:textId="0372F476" w:rsidR="007D43ED" w:rsidRDefault="007D43ED" w:rsidP="007D43ED">
      <w:pPr>
        <w:jc w:val="left"/>
        <w:rPr>
          <w:rFonts w:ascii="Arial" w:hAnsi="Arial" w:cs="Arial"/>
          <w:b/>
          <w:bCs/>
          <w:sz w:val="24"/>
          <w:szCs w:val="24"/>
        </w:rPr>
      </w:pPr>
      <w:r w:rsidRPr="000971B9">
        <w:rPr>
          <w:rFonts w:ascii="Arial" w:hAnsi="Arial" w:cs="Arial"/>
          <w:b/>
          <w:bCs/>
          <w:sz w:val="24"/>
          <w:szCs w:val="24"/>
        </w:rPr>
        <w:t>UK &amp; IRELAND</w:t>
      </w:r>
    </w:p>
    <w:p w14:paraId="5AC85596" w14:textId="77777777" w:rsidR="007D43ED" w:rsidRDefault="007D43ED" w:rsidP="007D43ED">
      <w:pPr>
        <w:jc w:val="left"/>
        <w:rPr>
          <w:rFonts w:ascii="Arial" w:hAnsi="Arial" w:cs="Arial"/>
          <w:b/>
          <w:bCs/>
          <w:sz w:val="24"/>
          <w:szCs w:val="24"/>
        </w:rPr>
      </w:pPr>
    </w:p>
    <w:tbl>
      <w:tblPr>
        <w:tblW w:w="48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4"/>
        <w:gridCol w:w="1280"/>
        <w:gridCol w:w="1276"/>
        <w:gridCol w:w="1559"/>
        <w:gridCol w:w="1701"/>
        <w:gridCol w:w="1135"/>
      </w:tblGrid>
      <w:tr w:rsidR="007D43ED" w:rsidRPr="000971B9" w14:paraId="13623A01" w14:textId="77777777" w:rsidTr="00925EFB">
        <w:tc>
          <w:tcPr>
            <w:tcW w:w="1269" w:type="pct"/>
            <w:tcBorders>
              <w:bottom w:val="single" w:sz="4" w:space="0" w:color="auto"/>
            </w:tcBorders>
          </w:tcPr>
          <w:p w14:paraId="5288540D" w14:textId="77777777" w:rsidR="007D43ED" w:rsidRPr="000971B9" w:rsidRDefault="007D43ED" w:rsidP="00C51098">
            <w:pPr>
              <w:rPr>
                <w:rFonts w:ascii="Arial" w:hAnsi="Arial" w:cs="Arial"/>
                <w:sz w:val="24"/>
                <w:szCs w:val="24"/>
              </w:rPr>
            </w:pPr>
            <w:r>
              <w:rPr>
                <w:rFonts w:ascii="Arial" w:hAnsi="Arial" w:cs="Arial"/>
                <w:sz w:val="24"/>
                <w:szCs w:val="24"/>
              </w:rPr>
              <w:t>£m</w:t>
            </w:r>
          </w:p>
        </w:tc>
        <w:tc>
          <w:tcPr>
            <w:tcW w:w="687" w:type="pct"/>
            <w:tcBorders>
              <w:bottom w:val="single" w:sz="4" w:space="0" w:color="auto"/>
            </w:tcBorders>
          </w:tcPr>
          <w:p w14:paraId="530D5A87" w14:textId="423A16F1" w:rsidR="007D43ED" w:rsidRPr="000971B9" w:rsidRDefault="007D43ED">
            <w:pPr>
              <w:jc w:val="right"/>
              <w:rPr>
                <w:rFonts w:ascii="Arial" w:hAnsi="Arial" w:cs="Arial"/>
                <w:sz w:val="24"/>
                <w:szCs w:val="24"/>
              </w:rPr>
            </w:pPr>
            <w:r>
              <w:rPr>
                <w:rFonts w:ascii="Arial" w:hAnsi="Arial" w:cs="Arial"/>
                <w:b/>
                <w:bCs/>
                <w:sz w:val="24"/>
                <w:szCs w:val="24"/>
              </w:rPr>
              <w:t>2016</w:t>
            </w:r>
            <w:r w:rsidR="002F5458">
              <w:rPr>
                <w:rFonts w:ascii="Arial" w:hAnsi="Arial" w:cs="Arial"/>
                <w:b/>
                <w:bCs/>
                <w:sz w:val="24"/>
                <w:szCs w:val="24"/>
              </w:rPr>
              <w:t>/17</w:t>
            </w:r>
          </w:p>
        </w:tc>
        <w:tc>
          <w:tcPr>
            <w:tcW w:w="685" w:type="pct"/>
            <w:tcBorders>
              <w:bottom w:val="single" w:sz="4" w:space="0" w:color="auto"/>
            </w:tcBorders>
          </w:tcPr>
          <w:p w14:paraId="4256C4C9" w14:textId="0DA7E0A6" w:rsidR="007D43ED" w:rsidRPr="000971B9" w:rsidRDefault="007D43ED">
            <w:pPr>
              <w:jc w:val="right"/>
              <w:rPr>
                <w:rFonts w:ascii="Arial" w:hAnsi="Arial" w:cs="Arial"/>
                <w:b/>
                <w:bCs/>
                <w:sz w:val="24"/>
                <w:szCs w:val="24"/>
              </w:rPr>
            </w:pPr>
            <w:r>
              <w:rPr>
                <w:rFonts w:ascii="Arial" w:hAnsi="Arial" w:cs="Arial"/>
                <w:b/>
                <w:bCs/>
                <w:sz w:val="24"/>
                <w:szCs w:val="24"/>
              </w:rPr>
              <w:t>2015</w:t>
            </w:r>
            <w:r w:rsidR="002F5458">
              <w:rPr>
                <w:rFonts w:ascii="Arial" w:hAnsi="Arial" w:cs="Arial"/>
                <w:b/>
                <w:bCs/>
                <w:sz w:val="24"/>
                <w:szCs w:val="24"/>
              </w:rPr>
              <w:t>/16</w:t>
            </w:r>
          </w:p>
        </w:tc>
        <w:tc>
          <w:tcPr>
            <w:tcW w:w="837" w:type="pct"/>
            <w:tcBorders>
              <w:bottom w:val="single" w:sz="4" w:space="0" w:color="auto"/>
            </w:tcBorders>
          </w:tcPr>
          <w:p w14:paraId="15C82166" w14:textId="77777777" w:rsidR="007D43ED" w:rsidRPr="000971B9" w:rsidRDefault="007D43ED" w:rsidP="00C51098">
            <w:pPr>
              <w:jc w:val="right"/>
              <w:rPr>
                <w:rFonts w:ascii="Arial" w:hAnsi="Arial" w:cs="Arial"/>
                <w:b/>
                <w:bCs/>
                <w:sz w:val="24"/>
                <w:szCs w:val="24"/>
              </w:rPr>
            </w:pPr>
            <w:r w:rsidRPr="000971B9">
              <w:rPr>
                <w:rFonts w:ascii="Arial" w:hAnsi="Arial" w:cs="Arial"/>
                <w:b/>
                <w:bCs/>
                <w:sz w:val="24"/>
                <w:szCs w:val="24"/>
              </w:rPr>
              <w:t>% Reported</w:t>
            </w:r>
            <w:r w:rsidRPr="000971B9" w:rsidDel="00197636">
              <w:rPr>
                <w:rFonts w:ascii="Arial" w:hAnsi="Arial" w:cs="Arial"/>
                <w:b/>
                <w:bCs/>
                <w:sz w:val="24"/>
                <w:szCs w:val="24"/>
              </w:rPr>
              <w:t xml:space="preserve"> </w:t>
            </w:r>
            <w:r w:rsidRPr="000971B9">
              <w:rPr>
                <w:rFonts w:ascii="Arial" w:hAnsi="Arial" w:cs="Arial"/>
                <w:b/>
                <w:bCs/>
                <w:sz w:val="24"/>
                <w:szCs w:val="24"/>
              </w:rPr>
              <w:t>Change</w:t>
            </w:r>
          </w:p>
          <w:p w14:paraId="39B5F962" w14:textId="77777777" w:rsidR="007D43ED" w:rsidRPr="000971B9" w:rsidRDefault="007D43ED" w:rsidP="00C51098">
            <w:pPr>
              <w:jc w:val="right"/>
              <w:rPr>
                <w:rFonts w:ascii="Arial" w:hAnsi="Arial" w:cs="Arial"/>
                <w:b/>
                <w:bCs/>
                <w:sz w:val="24"/>
                <w:szCs w:val="24"/>
              </w:rPr>
            </w:pPr>
          </w:p>
        </w:tc>
        <w:tc>
          <w:tcPr>
            <w:tcW w:w="913" w:type="pct"/>
            <w:tcBorders>
              <w:bottom w:val="single" w:sz="4" w:space="0" w:color="auto"/>
            </w:tcBorders>
          </w:tcPr>
          <w:p w14:paraId="152CE857" w14:textId="77777777" w:rsidR="007D43ED" w:rsidRPr="000971B9" w:rsidRDefault="007D43ED" w:rsidP="00C51098">
            <w:pPr>
              <w:jc w:val="right"/>
              <w:rPr>
                <w:rFonts w:ascii="Arial" w:hAnsi="Arial" w:cs="Arial"/>
                <w:b/>
                <w:bCs/>
                <w:sz w:val="24"/>
                <w:szCs w:val="24"/>
              </w:rPr>
            </w:pPr>
            <w:r w:rsidRPr="000971B9">
              <w:rPr>
                <w:rFonts w:ascii="Arial" w:hAnsi="Arial" w:cs="Arial"/>
                <w:b/>
                <w:bCs/>
                <w:sz w:val="24"/>
                <w:szCs w:val="24"/>
              </w:rPr>
              <w:t>%</w:t>
            </w:r>
            <w:r>
              <w:rPr>
                <w:rFonts w:ascii="Arial" w:hAnsi="Arial" w:cs="Arial"/>
                <w:b/>
                <w:bCs/>
                <w:sz w:val="24"/>
                <w:szCs w:val="24"/>
              </w:rPr>
              <w:t xml:space="preserve"> </w:t>
            </w:r>
            <w:r w:rsidRPr="000971B9">
              <w:rPr>
                <w:rFonts w:ascii="Arial" w:hAnsi="Arial" w:cs="Arial"/>
                <w:b/>
                <w:bCs/>
                <w:sz w:val="24"/>
                <w:szCs w:val="24"/>
              </w:rPr>
              <w:t>Constant</w:t>
            </w:r>
          </w:p>
          <w:p w14:paraId="76DA0CDF" w14:textId="77777777" w:rsidR="007D43ED" w:rsidRDefault="007D43ED" w:rsidP="00C51098">
            <w:pPr>
              <w:jc w:val="right"/>
              <w:rPr>
                <w:rFonts w:ascii="Arial" w:hAnsi="Arial" w:cs="Arial"/>
                <w:b/>
                <w:bCs/>
                <w:sz w:val="24"/>
                <w:szCs w:val="24"/>
              </w:rPr>
            </w:pPr>
            <w:r>
              <w:rPr>
                <w:rFonts w:ascii="Arial" w:hAnsi="Arial" w:cs="Arial"/>
                <w:b/>
                <w:bCs/>
                <w:sz w:val="24"/>
                <w:szCs w:val="24"/>
              </w:rPr>
              <w:t>Currency</w:t>
            </w:r>
          </w:p>
          <w:p w14:paraId="262CBADA" w14:textId="77777777" w:rsidR="007D43ED" w:rsidRPr="000971B9" w:rsidRDefault="007D43ED" w:rsidP="00C51098">
            <w:pPr>
              <w:jc w:val="right"/>
              <w:rPr>
                <w:rFonts w:ascii="Arial" w:hAnsi="Arial" w:cs="Arial"/>
                <w:b/>
                <w:bCs/>
                <w:sz w:val="24"/>
                <w:szCs w:val="24"/>
              </w:rPr>
            </w:pPr>
            <w:r w:rsidRPr="000971B9">
              <w:rPr>
                <w:rFonts w:ascii="Arial" w:hAnsi="Arial" w:cs="Arial"/>
                <w:b/>
                <w:bCs/>
                <w:sz w:val="24"/>
                <w:szCs w:val="24"/>
              </w:rPr>
              <w:t xml:space="preserve">Change  </w:t>
            </w:r>
          </w:p>
        </w:tc>
        <w:tc>
          <w:tcPr>
            <w:tcW w:w="609" w:type="pct"/>
            <w:tcBorders>
              <w:bottom w:val="single" w:sz="4" w:space="0" w:color="auto"/>
            </w:tcBorders>
          </w:tcPr>
          <w:p w14:paraId="1D091025" w14:textId="77777777" w:rsidR="007D43ED" w:rsidRPr="000971B9" w:rsidRDefault="007D43ED" w:rsidP="00C51098">
            <w:pPr>
              <w:ind w:hanging="108"/>
              <w:jc w:val="right"/>
              <w:rPr>
                <w:rFonts w:ascii="Arial" w:hAnsi="Arial" w:cs="Arial"/>
                <w:b/>
                <w:bCs/>
                <w:sz w:val="24"/>
                <w:szCs w:val="24"/>
              </w:rPr>
            </w:pPr>
            <w:r w:rsidRPr="000971B9">
              <w:rPr>
                <w:rFonts w:ascii="Arial" w:hAnsi="Arial" w:cs="Arial"/>
                <w:b/>
                <w:bCs/>
                <w:sz w:val="24"/>
                <w:szCs w:val="24"/>
              </w:rPr>
              <w:t>% LFL</w:t>
            </w:r>
          </w:p>
          <w:p w14:paraId="7FBD11D6" w14:textId="77777777" w:rsidR="007D43ED" w:rsidRPr="000971B9" w:rsidRDefault="007D43ED" w:rsidP="00C51098">
            <w:pPr>
              <w:ind w:hanging="108"/>
              <w:jc w:val="right"/>
              <w:rPr>
                <w:rFonts w:ascii="Arial" w:hAnsi="Arial" w:cs="Arial"/>
                <w:b/>
                <w:bCs/>
                <w:sz w:val="24"/>
                <w:szCs w:val="24"/>
              </w:rPr>
            </w:pPr>
            <w:r w:rsidRPr="000971B9">
              <w:rPr>
                <w:rFonts w:ascii="Arial" w:hAnsi="Arial" w:cs="Arial"/>
                <w:b/>
                <w:bCs/>
                <w:sz w:val="24"/>
                <w:szCs w:val="24"/>
              </w:rPr>
              <w:t>Change</w:t>
            </w:r>
          </w:p>
        </w:tc>
      </w:tr>
      <w:tr w:rsidR="007D43ED" w:rsidRPr="000971B9" w14:paraId="1E76307D" w14:textId="77777777" w:rsidTr="00925EFB">
        <w:trPr>
          <w:trHeight w:val="147"/>
        </w:trPr>
        <w:tc>
          <w:tcPr>
            <w:tcW w:w="1269" w:type="pct"/>
            <w:tcBorders>
              <w:bottom w:val="single" w:sz="4" w:space="0" w:color="auto"/>
            </w:tcBorders>
          </w:tcPr>
          <w:p w14:paraId="3A57E432" w14:textId="77777777" w:rsidR="007D43ED" w:rsidRPr="004E7075" w:rsidRDefault="007D43ED" w:rsidP="00C51098">
            <w:pPr>
              <w:rPr>
                <w:rFonts w:ascii="Arial" w:hAnsi="Arial" w:cs="Arial"/>
                <w:b/>
                <w:sz w:val="24"/>
                <w:szCs w:val="24"/>
              </w:rPr>
            </w:pPr>
            <w:r w:rsidRPr="004E7075">
              <w:rPr>
                <w:rFonts w:ascii="Arial" w:hAnsi="Arial" w:cs="Arial"/>
                <w:b/>
                <w:bCs/>
                <w:sz w:val="24"/>
                <w:szCs w:val="24"/>
              </w:rPr>
              <w:t>Sales</w:t>
            </w:r>
          </w:p>
        </w:tc>
        <w:tc>
          <w:tcPr>
            <w:tcW w:w="687" w:type="pct"/>
            <w:tcBorders>
              <w:bottom w:val="single" w:sz="4" w:space="0" w:color="auto"/>
            </w:tcBorders>
          </w:tcPr>
          <w:p w14:paraId="58DA35F8" w14:textId="7C61F640" w:rsidR="007D43ED" w:rsidRPr="000971B9" w:rsidRDefault="002E5D72" w:rsidP="00C51098">
            <w:pPr>
              <w:jc w:val="right"/>
              <w:rPr>
                <w:rFonts w:ascii="Arial" w:hAnsi="Arial" w:cs="Arial"/>
                <w:sz w:val="24"/>
                <w:szCs w:val="24"/>
              </w:rPr>
            </w:pPr>
            <w:r>
              <w:rPr>
                <w:rFonts w:ascii="Arial" w:hAnsi="Arial" w:cs="Arial"/>
                <w:sz w:val="24"/>
                <w:szCs w:val="24"/>
              </w:rPr>
              <w:t>2,609</w:t>
            </w:r>
          </w:p>
        </w:tc>
        <w:tc>
          <w:tcPr>
            <w:tcW w:w="685" w:type="pct"/>
            <w:tcBorders>
              <w:bottom w:val="single" w:sz="4" w:space="0" w:color="auto"/>
            </w:tcBorders>
          </w:tcPr>
          <w:p w14:paraId="465542D6" w14:textId="5530ED0F" w:rsidR="007D43ED" w:rsidRPr="000971B9" w:rsidRDefault="00CB655D" w:rsidP="00C51098">
            <w:pPr>
              <w:jc w:val="right"/>
              <w:rPr>
                <w:rFonts w:ascii="Arial" w:hAnsi="Arial" w:cs="Arial"/>
                <w:sz w:val="24"/>
                <w:szCs w:val="24"/>
              </w:rPr>
            </w:pPr>
            <w:r w:rsidRPr="000533AE">
              <w:rPr>
                <w:rFonts w:ascii="Arial" w:hAnsi="Arial" w:cs="Arial"/>
                <w:sz w:val="24"/>
                <w:szCs w:val="24"/>
              </w:rPr>
              <w:t>2,527</w:t>
            </w:r>
          </w:p>
        </w:tc>
        <w:tc>
          <w:tcPr>
            <w:tcW w:w="837" w:type="pct"/>
            <w:tcBorders>
              <w:bottom w:val="single" w:sz="4" w:space="0" w:color="auto"/>
            </w:tcBorders>
          </w:tcPr>
          <w:p w14:paraId="4FF1DA1E" w14:textId="5103435F" w:rsidR="007D43ED" w:rsidRPr="000971B9" w:rsidRDefault="000533AE" w:rsidP="00C51098">
            <w:pPr>
              <w:jc w:val="right"/>
              <w:rPr>
                <w:rFonts w:ascii="Arial" w:hAnsi="Arial" w:cs="Arial"/>
                <w:sz w:val="24"/>
                <w:szCs w:val="24"/>
              </w:rPr>
            </w:pPr>
            <w:r>
              <w:rPr>
                <w:rFonts w:ascii="Arial" w:hAnsi="Arial" w:cs="Arial"/>
                <w:sz w:val="24"/>
                <w:szCs w:val="24"/>
              </w:rPr>
              <w:t>+</w:t>
            </w:r>
            <w:r w:rsidR="002E5D72">
              <w:rPr>
                <w:rFonts w:ascii="Arial" w:hAnsi="Arial" w:cs="Arial"/>
                <w:sz w:val="24"/>
                <w:szCs w:val="24"/>
              </w:rPr>
              <w:t>3.3%</w:t>
            </w:r>
          </w:p>
        </w:tc>
        <w:tc>
          <w:tcPr>
            <w:tcW w:w="913" w:type="pct"/>
            <w:tcBorders>
              <w:bottom w:val="single" w:sz="4" w:space="0" w:color="auto"/>
            </w:tcBorders>
          </w:tcPr>
          <w:p w14:paraId="0C498A97" w14:textId="053C7513" w:rsidR="007D43ED" w:rsidRPr="000971B9" w:rsidRDefault="000533AE" w:rsidP="00C51098">
            <w:pPr>
              <w:jc w:val="right"/>
              <w:rPr>
                <w:rFonts w:ascii="Arial" w:hAnsi="Arial" w:cs="Arial"/>
                <w:sz w:val="24"/>
                <w:szCs w:val="24"/>
              </w:rPr>
            </w:pPr>
            <w:r>
              <w:rPr>
                <w:rFonts w:ascii="Arial" w:hAnsi="Arial" w:cs="Arial"/>
                <w:sz w:val="24"/>
                <w:szCs w:val="24"/>
              </w:rPr>
              <w:t>+</w:t>
            </w:r>
            <w:r w:rsidR="002E5D72">
              <w:rPr>
                <w:rFonts w:ascii="Arial" w:hAnsi="Arial" w:cs="Arial"/>
                <w:sz w:val="24"/>
                <w:szCs w:val="24"/>
              </w:rPr>
              <w:t>3.1%</w:t>
            </w:r>
          </w:p>
        </w:tc>
        <w:tc>
          <w:tcPr>
            <w:tcW w:w="609" w:type="pct"/>
            <w:tcBorders>
              <w:bottom w:val="single" w:sz="4" w:space="0" w:color="auto"/>
            </w:tcBorders>
          </w:tcPr>
          <w:p w14:paraId="7C568696" w14:textId="7B63FA0B" w:rsidR="007D43ED" w:rsidRPr="000971B9" w:rsidRDefault="000533AE" w:rsidP="00C51098">
            <w:pPr>
              <w:jc w:val="right"/>
              <w:rPr>
                <w:rFonts w:ascii="Arial" w:hAnsi="Arial" w:cs="Arial"/>
                <w:sz w:val="24"/>
                <w:szCs w:val="24"/>
              </w:rPr>
            </w:pPr>
            <w:r>
              <w:rPr>
                <w:rFonts w:ascii="Arial" w:hAnsi="Arial" w:cs="Arial"/>
                <w:sz w:val="24"/>
                <w:szCs w:val="24"/>
              </w:rPr>
              <w:t>+</w:t>
            </w:r>
            <w:r w:rsidR="002E5D72">
              <w:rPr>
                <w:rFonts w:ascii="Arial" w:hAnsi="Arial" w:cs="Arial"/>
                <w:sz w:val="24"/>
                <w:szCs w:val="24"/>
              </w:rPr>
              <w:t>6.7%</w:t>
            </w:r>
          </w:p>
        </w:tc>
      </w:tr>
      <w:tr w:rsidR="007D43ED" w:rsidRPr="000971B9" w14:paraId="6BBBF499" w14:textId="77777777" w:rsidTr="00925EFB">
        <w:trPr>
          <w:gridAfter w:val="1"/>
          <w:wAfter w:w="609" w:type="pct"/>
        </w:trPr>
        <w:tc>
          <w:tcPr>
            <w:tcW w:w="1269" w:type="pct"/>
            <w:tcBorders>
              <w:top w:val="nil"/>
              <w:left w:val="nil"/>
              <w:bottom w:val="single" w:sz="4" w:space="0" w:color="auto"/>
              <w:right w:val="nil"/>
            </w:tcBorders>
          </w:tcPr>
          <w:p w14:paraId="372EF8F6" w14:textId="77777777" w:rsidR="007D43ED" w:rsidRPr="004E7075" w:rsidRDefault="007D43ED" w:rsidP="00C51098">
            <w:pPr>
              <w:rPr>
                <w:rFonts w:ascii="Arial" w:hAnsi="Arial" w:cs="Arial"/>
                <w:bCs/>
                <w:sz w:val="24"/>
                <w:szCs w:val="24"/>
              </w:rPr>
            </w:pPr>
          </w:p>
        </w:tc>
        <w:tc>
          <w:tcPr>
            <w:tcW w:w="687" w:type="pct"/>
            <w:tcBorders>
              <w:top w:val="nil"/>
              <w:left w:val="nil"/>
              <w:bottom w:val="single" w:sz="4" w:space="0" w:color="auto"/>
              <w:right w:val="nil"/>
            </w:tcBorders>
          </w:tcPr>
          <w:p w14:paraId="2011CF22" w14:textId="77777777" w:rsidR="007D43ED" w:rsidRPr="000971B9" w:rsidRDefault="007D43ED" w:rsidP="00C51098">
            <w:pPr>
              <w:jc w:val="right"/>
              <w:rPr>
                <w:rFonts w:ascii="Arial" w:hAnsi="Arial" w:cs="Arial"/>
                <w:sz w:val="24"/>
                <w:szCs w:val="24"/>
              </w:rPr>
            </w:pPr>
          </w:p>
        </w:tc>
        <w:tc>
          <w:tcPr>
            <w:tcW w:w="685" w:type="pct"/>
            <w:tcBorders>
              <w:top w:val="nil"/>
              <w:left w:val="nil"/>
              <w:bottom w:val="single" w:sz="4" w:space="0" w:color="auto"/>
              <w:right w:val="nil"/>
            </w:tcBorders>
          </w:tcPr>
          <w:p w14:paraId="6644160E" w14:textId="77777777" w:rsidR="007D43ED" w:rsidRPr="000971B9" w:rsidRDefault="007D43ED" w:rsidP="00C51098">
            <w:pPr>
              <w:jc w:val="right"/>
              <w:rPr>
                <w:rFonts w:ascii="Arial" w:hAnsi="Arial" w:cs="Arial"/>
                <w:sz w:val="24"/>
                <w:szCs w:val="24"/>
              </w:rPr>
            </w:pPr>
          </w:p>
        </w:tc>
        <w:tc>
          <w:tcPr>
            <w:tcW w:w="837" w:type="pct"/>
            <w:tcBorders>
              <w:top w:val="nil"/>
              <w:left w:val="nil"/>
              <w:bottom w:val="single" w:sz="4" w:space="0" w:color="auto"/>
              <w:right w:val="nil"/>
            </w:tcBorders>
          </w:tcPr>
          <w:p w14:paraId="5D0EF498" w14:textId="77777777" w:rsidR="007D43ED" w:rsidRPr="000971B9" w:rsidRDefault="007D43ED" w:rsidP="00C51098">
            <w:pPr>
              <w:jc w:val="right"/>
              <w:rPr>
                <w:rFonts w:ascii="Arial" w:hAnsi="Arial" w:cs="Arial"/>
                <w:sz w:val="24"/>
                <w:szCs w:val="24"/>
              </w:rPr>
            </w:pPr>
          </w:p>
        </w:tc>
        <w:tc>
          <w:tcPr>
            <w:tcW w:w="913" w:type="pct"/>
            <w:tcBorders>
              <w:top w:val="nil"/>
              <w:left w:val="nil"/>
              <w:bottom w:val="single" w:sz="4" w:space="0" w:color="auto"/>
              <w:right w:val="nil"/>
            </w:tcBorders>
          </w:tcPr>
          <w:p w14:paraId="21CA5F6F" w14:textId="77777777" w:rsidR="007D43ED" w:rsidRPr="000971B9" w:rsidRDefault="007D43ED" w:rsidP="00C51098">
            <w:pPr>
              <w:jc w:val="right"/>
              <w:rPr>
                <w:rFonts w:ascii="Arial" w:hAnsi="Arial" w:cs="Arial"/>
                <w:sz w:val="24"/>
                <w:szCs w:val="24"/>
              </w:rPr>
            </w:pPr>
          </w:p>
        </w:tc>
      </w:tr>
      <w:tr w:rsidR="007D43ED" w:rsidRPr="000971B9" w14:paraId="358614F0" w14:textId="77777777" w:rsidTr="00925EFB">
        <w:trPr>
          <w:gridAfter w:val="1"/>
          <w:wAfter w:w="609" w:type="pct"/>
        </w:trPr>
        <w:tc>
          <w:tcPr>
            <w:tcW w:w="1269" w:type="pct"/>
            <w:tcBorders>
              <w:top w:val="single" w:sz="4" w:space="0" w:color="auto"/>
            </w:tcBorders>
          </w:tcPr>
          <w:p w14:paraId="24A3722B" w14:textId="77777777" w:rsidR="007D43ED" w:rsidRPr="004E7075" w:rsidRDefault="007D43ED" w:rsidP="00C51098">
            <w:pPr>
              <w:rPr>
                <w:rFonts w:ascii="Arial" w:hAnsi="Arial" w:cs="Arial"/>
                <w:b/>
                <w:sz w:val="24"/>
                <w:szCs w:val="24"/>
              </w:rPr>
            </w:pPr>
            <w:r w:rsidRPr="004E7075">
              <w:rPr>
                <w:rFonts w:ascii="Arial" w:hAnsi="Arial" w:cs="Arial"/>
                <w:b/>
                <w:bCs/>
                <w:sz w:val="24"/>
                <w:szCs w:val="24"/>
              </w:rPr>
              <w:t>Retail profit</w:t>
            </w:r>
          </w:p>
        </w:tc>
        <w:tc>
          <w:tcPr>
            <w:tcW w:w="687" w:type="pct"/>
            <w:tcBorders>
              <w:top w:val="single" w:sz="4" w:space="0" w:color="auto"/>
            </w:tcBorders>
          </w:tcPr>
          <w:p w14:paraId="2D5F9458" w14:textId="215A6620" w:rsidR="007D43ED" w:rsidRPr="0047756B" w:rsidRDefault="00721073">
            <w:pPr>
              <w:jc w:val="right"/>
              <w:rPr>
                <w:rFonts w:ascii="Arial" w:hAnsi="Arial" w:cs="Arial"/>
                <w:sz w:val="24"/>
                <w:szCs w:val="24"/>
              </w:rPr>
            </w:pPr>
            <w:r w:rsidRPr="0047756B">
              <w:rPr>
                <w:rFonts w:ascii="Arial" w:hAnsi="Arial" w:cs="Arial"/>
                <w:sz w:val="24"/>
                <w:szCs w:val="24"/>
              </w:rPr>
              <w:t>21</w:t>
            </w:r>
            <w:r w:rsidR="00050886">
              <w:rPr>
                <w:rFonts w:ascii="Arial" w:hAnsi="Arial" w:cs="Arial"/>
                <w:sz w:val="24"/>
                <w:szCs w:val="24"/>
              </w:rPr>
              <w:t>1</w:t>
            </w:r>
          </w:p>
        </w:tc>
        <w:tc>
          <w:tcPr>
            <w:tcW w:w="685" w:type="pct"/>
            <w:tcBorders>
              <w:top w:val="single" w:sz="4" w:space="0" w:color="auto"/>
            </w:tcBorders>
          </w:tcPr>
          <w:p w14:paraId="46CABAB3" w14:textId="52ABF33E" w:rsidR="007D43ED" w:rsidRPr="0047756B" w:rsidRDefault="002E5D72" w:rsidP="00C51098">
            <w:pPr>
              <w:jc w:val="right"/>
              <w:rPr>
                <w:rFonts w:ascii="Arial" w:hAnsi="Arial" w:cs="Arial"/>
                <w:sz w:val="24"/>
                <w:szCs w:val="24"/>
              </w:rPr>
            </w:pPr>
            <w:r w:rsidRPr="0047756B">
              <w:rPr>
                <w:rFonts w:ascii="Arial" w:hAnsi="Arial" w:cs="Arial"/>
                <w:sz w:val="24"/>
                <w:szCs w:val="24"/>
              </w:rPr>
              <w:t>194</w:t>
            </w:r>
          </w:p>
        </w:tc>
        <w:tc>
          <w:tcPr>
            <w:tcW w:w="837" w:type="pct"/>
            <w:tcBorders>
              <w:top w:val="single" w:sz="4" w:space="0" w:color="auto"/>
            </w:tcBorders>
          </w:tcPr>
          <w:p w14:paraId="6A6950D9" w14:textId="240C9FFC" w:rsidR="007D43ED" w:rsidRPr="0047756B" w:rsidRDefault="0047756B">
            <w:pPr>
              <w:jc w:val="right"/>
              <w:rPr>
                <w:rFonts w:ascii="Arial" w:hAnsi="Arial" w:cs="Arial"/>
                <w:sz w:val="24"/>
                <w:szCs w:val="24"/>
              </w:rPr>
            </w:pPr>
            <w:r w:rsidRPr="00925EFB">
              <w:rPr>
                <w:rFonts w:ascii="Arial" w:hAnsi="Arial" w:cs="Arial"/>
                <w:sz w:val="24"/>
                <w:szCs w:val="24"/>
              </w:rPr>
              <w:t>+</w:t>
            </w:r>
            <w:r w:rsidR="00A45362">
              <w:rPr>
                <w:rFonts w:ascii="Arial" w:hAnsi="Arial" w:cs="Arial"/>
                <w:sz w:val="24"/>
                <w:szCs w:val="24"/>
              </w:rPr>
              <w:t>8.</w:t>
            </w:r>
            <w:r w:rsidR="00A602A0">
              <w:rPr>
                <w:rFonts w:ascii="Arial" w:hAnsi="Arial" w:cs="Arial"/>
                <w:sz w:val="24"/>
                <w:szCs w:val="24"/>
              </w:rPr>
              <w:t>8</w:t>
            </w:r>
            <w:r w:rsidR="00316CF3" w:rsidRPr="0047756B">
              <w:rPr>
                <w:rFonts w:ascii="Arial" w:hAnsi="Arial" w:cs="Arial"/>
                <w:sz w:val="24"/>
                <w:szCs w:val="24"/>
              </w:rPr>
              <w:t>%</w:t>
            </w:r>
            <w:r w:rsidR="00316CF3" w:rsidRPr="0047756B">
              <w:rPr>
                <w:rFonts w:ascii="Arial" w:hAnsi="Arial" w:cs="Arial"/>
                <w:sz w:val="24"/>
                <w:szCs w:val="24"/>
              </w:rPr>
              <w:tab/>
            </w:r>
          </w:p>
        </w:tc>
        <w:tc>
          <w:tcPr>
            <w:tcW w:w="913" w:type="pct"/>
            <w:tcBorders>
              <w:top w:val="single" w:sz="4" w:space="0" w:color="auto"/>
            </w:tcBorders>
          </w:tcPr>
          <w:p w14:paraId="654F7D48" w14:textId="13624F88" w:rsidR="007D43ED" w:rsidRPr="0047756B" w:rsidRDefault="0047756B" w:rsidP="00DC3143">
            <w:pPr>
              <w:jc w:val="right"/>
              <w:rPr>
                <w:rFonts w:ascii="Arial" w:hAnsi="Arial" w:cs="Arial"/>
                <w:sz w:val="24"/>
                <w:szCs w:val="24"/>
              </w:rPr>
            </w:pPr>
            <w:r w:rsidRPr="0047756B">
              <w:rPr>
                <w:rFonts w:ascii="Arial" w:hAnsi="Arial" w:cs="Arial"/>
                <w:sz w:val="24"/>
                <w:szCs w:val="24"/>
              </w:rPr>
              <w:t>+</w:t>
            </w:r>
            <w:r w:rsidR="00A45362">
              <w:rPr>
                <w:rFonts w:ascii="Arial" w:hAnsi="Arial" w:cs="Arial"/>
                <w:sz w:val="24"/>
                <w:szCs w:val="24"/>
              </w:rPr>
              <w:t>8.</w:t>
            </w:r>
            <w:r w:rsidR="00DC3143">
              <w:rPr>
                <w:rFonts w:ascii="Arial" w:hAnsi="Arial" w:cs="Arial"/>
                <w:sz w:val="24"/>
                <w:szCs w:val="24"/>
              </w:rPr>
              <w:t>8</w:t>
            </w:r>
            <w:r w:rsidR="00721073" w:rsidRPr="0047756B">
              <w:rPr>
                <w:rFonts w:ascii="Arial" w:hAnsi="Arial" w:cs="Arial"/>
                <w:sz w:val="24"/>
                <w:szCs w:val="24"/>
              </w:rPr>
              <w:t>%</w:t>
            </w:r>
          </w:p>
        </w:tc>
      </w:tr>
    </w:tbl>
    <w:p w14:paraId="73DE1699" w14:textId="77777777" w:rsidR="007D43ED" w:rsidRDefault="007D43ED" w:rsidP="007D43ED">
      <w:pPr>
        <w:jc w:val="left"/>
        <w:rPr>
          <w:rFonts w:ascii="Arial" w:hAnsi="Arial" w:cs="Arial"/>
          <w:sz w:val="24"/>
          <w:szCs w:val="24"/>
        </w:rPr>
      </w:pPr>
    </w:p>
    <w:p w14:paraId="0AC1C40F" w14:textId="2CD0E42A" w:rsidR="00E16A6C" w:rsidRDefault="007D43ED" w:rsidP="007D43ED">
      <w:pPr>
        <w:jc w:val="left"/>
        <w:rPr>
          <w:rFonts w:ascii="Arial" w:hAnsi="Arial" w:cs="Arial"/>
          <w:sz w:val="24"/>
          <w:szCs w:val="24"/>
          <w:highlight w:val="yellow"/>
        </w:rPr>
      </w:pPr>
      <w:r w:rsidRPr="00721073">
        <w:rPr>
          <w:rFonts w:ascii="Arial" w:hAnsi="Arial" w:cs="Arial"/>
          <w:sz w:val="24"/>
          <w:szCs w:val="24"/>
        </w:rPr>
        <w:t>Kingfisher UK &amp; Ireland sales we</w:t>
      </w:r>
      <w:r w:rsidRPr="00645DC4">
        <w:rPr>
          <w:rFonts w:ascii="Arial" w:hAnsi="Arial" w:cs="Arial"/>
          <w:sz w:val="24"/>
          <w:szCs w:val="24"/>
        </w:rPr>
        <w:t xml:space="preserve">re up </w:t>
      </w:r>
      <w:r w:rsidR="002E5D72" w:rsidRPr="00925EFB">
        <w:rPr>
          <w:rFonts w:ascii="Arial" w:hAnsi="Arial" w:cs="Arial"/>
          <w:sz w:val="24"/>
          <w:szCs w:val="24"/>
        </w:rPr>
        <w:t>3.1</w:t>
      </w:r>
      <w:r w:rsidRPr="00645DC4">
        <w:rPr>
          <w:rFonts w:ascii="Arial" w:hAnsi="Arial" w:cs="Arial"/>
          <w:sz w:val="24"/>
          <w:szCs w:val="24"/>
        </w:rPr>
        <w:t>% (+</w:t>
      </w:r>
      <w:r w:rsidR="002E5D72" w:rsidRPr="00925EFB">
        <w:rPr>
          <w:rFonts w:ascii="Arial" w:hAnsi="Arial" w:cs="Arial"/>
          <w:sz w:val="24"/>
          <w:szCs w:val="24"/>
        </w:rPr>
        <w:t>6.7</w:t>
      </w:r>
      <w:r w:rsidRPr="00645DC4">
        <w:rPr>
          <w:rFonts w:ascii="Arial" w:hAnsi="Arial" w:cs="Arial"/>
          <w:sz w:val="24"/>
          <w:szCs w:val="24"/>
        </w:rPr>
        <w:t>% LFL) to £</w:t>
      </w:r>
      <w:r w:rsidR="002E5D72" w:rsidRPr="00925EFB">
        <w:rPr>
          <w:rFonts w:ascii="Arial" w:hAnsi="Arial" w:cs="Arial"/>
          <w:sz w:val="24"/>
          <w:szCs w:val="24"/>
        </w:rPr>
        <w:t>2,609</w:t>
      </w:r>
      <w:r w:rsidRPr="00645DC4">
        <w:rPr>
          <w:rFonts w:ascii="Arial" w:hAnsi="Arial" w:cs="Arial"/>
          <w:sz w:val="24"/>
          <w:szCs w:val="24"/>
        </w:rPr>
        <w:t xml:space="preserve"> million</w:t>
      </w:r>
      <w:r w:rsidR="0027369E" w:rsidRPr="00645DC4">
        <w:rPr>
          <w:rFonts w:ascii="Arial" w:hAnsi="Arial" w:cs="Arial"/>
          <w:sz w:val="24"/>
          <w:szCs w:val="24"/>
        </w:rPr>
        <w:t xml:space="preserve"> benefi</w:t>
      </w:r>
      <w:r w:rsidRPr="00645DC4">
        <w:rPr>
          <w:rFonts w:ascii="Arial" w:hAnsi="Arial" w:cs="Arial"/>
          <w:sz w:val="24"/>
          <w:szCs w:val="24"/>
        </w:rPr>
        <w:t xml:space="preserve">ting from a </w:t>
      </w:r>
      <w:r w:rsidR="00645DC4">
        <w:rPr>
          <w:rFonts w:ascii="Arial" w:hAnsi="Arial" w:cs="Arial"/>
          <w:sz w:val="24"/>
          <w:szCs w:val="24"/>
        </w:rPr>
        <w:t xml:space="preserve">broadly </w:t>
      </w:r>
      <w:r w:rsidR="00080DD2" w:rsidRPr="00645DC4">
        <w:rPr>
          <w:rFonts w:ascii="Arial" w:hAnsi="Arial" w:cs="Arial"/>
          <w:sz w:val="24"/>
          <w:szCs w:val="24"/>
        </w:rPr>
        <w:t>s</w:t>
      </w:r>
      <w:r w:rsidR="00080DD2" w:rsidRPr="00925EFB">
        <w:rPr>
          <w:rFonts w:ascii="Arial" w:hAnsi="Arial" w:cs="Arial"/>
          <w:sz w:val="24"/>
          <w:szCs w:val="24"/>
        </w:rPr>
        <w:t>up</w:t>
      </w:r>
      <w:r w:rsidR="00645DC4" w:rsidRPr="00925EFB">
        <w:rPr>
          <w:rFonts w:ascii="Arial" w:hAnsi="Arial" w:cs="Arial"/>
          <w:sz w:val="24"/>
          <w:szCs w:val="24"/>
        </w:rPr>
        <w:t>p</w:t>
      </w:r>
      <w:r w:rsidR="00080DD2" w:rsidRPr="00925EFB">
        <w:rPr>
          <w:rFonts w:ascii="Arial" w:hAnsi="Arial" w:cs="Arial"/>
          <w:sz w:val="24"/>
          <w:szCs w:val="24"/>
        </w:rPr>
        <w:t>ortive</w:t>
      </w:r>
      <w:r w:rsidR="00080DD2" w:rsidRPr="00645DC4">
        <w:rPr>
          <w:rFonts w:ascii="Arial" w:hAnsi="Arial" w:cs="Arial"/>
          <w:sz w:val="24"/>
          <w:szCs w:val="24"/>
        </w:rPr>
        <w:t xml:space="preserve"> </w:t>
      </w:r>
      <w:r w:rsidR="00645DC4" w:rsidRPr="00925EFB">
        <w:rPr>
          <w:rFonts w:ascii="Arial" w:hAnsi="Arial" w:cs="Arial"/>
          <w:sz w:val="24"/>
          <w:szCs w:val="24"/>
        </w:rPr>
        <w:t xml:space="preserve">backdrop </w:t>
      </w:r>
      <w:r w:rsidRPr="00645DC4">
        <w:rPr>
          <w:rFonts w:ascii="Arial" w:hAnsi="Arial" w:cs="Arial"/>
          <w:sz w:val="24"/>
          <w:szCs w:val="24"/>
        </w:rPr>
        <w:t xml:space="preserve">and </w:t>
      </w:r>
      <w:r w:rsidR="00645DC4" w:rsidRPr="00645DC4">
        <w:rPr>
          <w:rFonts w:ascii="Arial" w:hAnsi="Arial" w:cs="Arial"/>
          <w:sz w:val="24"/>
          <w:szCs w:val="24"/>
        </w:rPr>
        <w:t>contin</w:t>
      </w:r>
      <w:r w:rsidR="00645DC4">
        <w:rPr>
          <w:rFonts w:ascii="Arial" w:hAnsi="Arial" w:cs="Arial"/>
          <w:sz w:val="24"/>
          <w:szCs w:val="24"/>
        </w:rPr>
        <w:t>ued strong Screwfix performance</w:t>
      </w:r>
      <w:r w:rsidRPr="00721073">
        <w:rPr>
          <w:rFonts w:ascii="Arial" w:hAnsi="Arial" w:cs="Arial"/>
          <w:sz w:val="24"/>
          <w:szCs w:val="24"/>
        </w:rPr>
        <w:t xml:space="preserve">. Retail profit grew by </w:t>
      </w:r>
      <w:r w:rsidR="003C304F">
        <w:rPr>
          <w:rFonts w:ascii="Arial" w:hAnsi="Arial" w:cs="Arial"/>
          <w:sz w:val="24"/>
          <w:szCs w:val="24"/>
        </w:rPr>
        <w:t>8.</w:t>
      </w:r>
      <w:r w:rsidR="00DC3143">
        <w:rPr>
          <w:rFonts w:ascii="Arial" w:hAnsi="Arial" w:cs="Arial"/>
          <w:sz w:val="24"/>
          <w:szCs w:val="24"/>
        </w:rPr>
        <w:t>8</w:t>
      </w:r>
      <w:r w:rsidRPr="00721073">
        <w:rPr>
          <w:rFonts w:ascii="Arial" w:hAnsi="Arial" w:cs="Arial"/>
          <w:sz w:val="24"/>
          <w:szCs w:val="24"/>
        </w:rPr>
        <w:t>% to £</w:t>
      </w:r>
      <w:r w:rsidR="00721073" w:rsidRPr="00925EFB">
        <w:rPr>
          <w:rFonts w:ascii="Arial" w:hAnsi="Arial" w:cs="Arial"/>
          <w:sz w:val="24"/>
          <w:szCs w:val="24"/>
        </w:rPr>
        <w:t>21</w:t>
      </w:r>
      <w:r w:rsidR="00050886">
        <w:rPr>
          <w:rFonts w:ascii="Arial" w:hAnsi="Arial" w:cs="Arial"/>
          <w:sz w:val="24"/>
          <w:szCs w:val="24"/>
        </w:rPr>
        <w:t>1</w:t>
      </w:r>
      <w:r w:rsidR="002E5D72" w:rsidRPr="00721073">
        <w:rPr>
          <w:rFonts w:ascii="Arial" w:hAnsi="Arial" w:cs="Arial"/>
          <w:sz w:val="24"/>
          <w:szCs w:val="24"/>
        </w:rPr>
        <w:t xml:space="preserve"> </w:t>
      </w:r>
      <w:r w:rsidRPr="00721073">
        <w:rPr>
          <w:rFonts w:ascii="Arial" w:hAnsi="Arial" w:cs="Arial"/>
          <w:sz w:val="24"/>
          <w:szCs w:val="24"/>
        </w:rPr>
        <w:t xml:space="preserve">million. Gross margins were down </w:t>
      </w:r>
      <w:r w:rsidR="00292E9C">
        <w:rPr>
          <w:rFonts w:ascii="Arial" w:hAnsi="Arial" w:cs="Arial"/>
          <w:sz w:val="24"/>
          <w:szCs w:val="24"/>
        </w:rPr>
        <w:t>100</w:t>
      </w:r>
      <w:r w:rsidR="002E5D72" w:rsidRPr="00721073">
        <w:rPr>
          <w:rFonts w:ascii="Arial" w:hAnsi="Arial" w:cs="Arial"/>
          <w:sz w:val="24"/>
          <w:szCs w:val="24"/>
        </w:rPr>
        <w:t xml:space="preserve"> </w:t>
      </w:r>
      <w:r w:rsidRPr="00721073">
        <w:rPr>
          <w:rFonts w:ascii="Arial" w:hAnsi="Arial" w:cs="Arial"/>
          <w:sz w:val="24"/>
          <w:szCs w:val="24"/>
        </w:rPr>
        <w:t>b</w:t>
      </w:r>
      <w:r w:rsidR="00CC45F6" w:rsidRPr="00721073">
        <w:rPr>
          <w:rFonts w:ascii="Arial" w:hAnsi="Arial" w:cs="Arial"/>
          <w:sz w:val="24"/>
          <w:szCs w:val="24"/>
        </w:rPr>
        <w:t xml:space="preserve">asis </w:t>
      </w:r>
      <w:r w:rsidRPr="00721073">
        <w:rPr>
          <w:rFonts w:ascii="Arial" w:hAnsi="Arial" w:cs="Arial"/>
          <w:sz w:val="24"/>
          <w:szCs w:val="24"/>
        </w:rPr>
        <w:t>p</w:t>
      </w:r>
      <w:r w:rsidR="00CC45F6" w:rsidRPr="00721073">
        <w:rPr>
          <w:rFonts w:ascii="Arial" w:hAnsi="Arial" w:cs="Arial"/>
          <w:sz w:val="24"/>
          <w:szCs w:val="24"/>
        </w:rPr>
        <w:t>oint</w:t>
      </w:r>
      <w:r w:rsidRPr="00721073">
        <w:rPr>
          <w:rFonts w:ascii="Arial" w:hAnsi="Arial" w:cs="Arial"/>
          <w:sz w:val="24"/>
          <w:szCs w:val="24"/>
        </w:rPr>
        <w:t>s</w:t>
      </w:r>
      <w:r w:rsidR="0027369E" w:rsidRPr="00721073">
        <w:rPr>
          <w:rFonts w:ascii="Arial" w:hAnsi="Arial" w:cs="Arial"/>
          <w:sz w:val="24"/>
          <w:szCs w:val="24"/>
        </w:rPr>
        <w:t xml:space="preserve"> </w:t>
      </w:r>
      <w:r w:rsidR="006C517B" w:rsidRPr="00721073">
        <w:rPr>
          <w:rFonts w:ascii="Arial" w:hAnsi="Arial" w:cs="Arial"/>
          <w:sz w:val="24"/>
          <w:szCs w:val="24"/>
        </w:rPr>
        <w:t xml:space="preserve">reflecting </w:t>
      </w:r>
      <w:r w:rsidR="0027369E" w:rsidRPr="00721073">
        <w:rPr>
          <w:rFonts w:ascii="Arial" w:hAnsi="Arial" w:cs="Arial"/>
          <w:sz w:val="24"/>
          <w:szCs w:val="24"/>
        </w:rPr>
        <w:t>mix effects from strong growth in Screwfix</w:t>
      </w:r>
      <w:r w:rsidR="00A511F0" w:rsidRPr="00721073">
        <w:rPr>
          <w:rFonts w:ascii="Arial" w:hAnsi="Arial" w:cs="Arial"/>
          <w:sz w:val="24"/>
          <w:szCs w:val="24"/>
        </w:rPr>
        <w:t>,</w:t>
      </w:r>
      <w:r w:rsidR="006C517B" w:rsidRPr="00721073">
        <w:rPr>
          <w:rFonts w:ascii="Arial" w:hAnsi="Arial" w:cs="Arial"/>
          <w:sz w:val="24"/>
          <w:szCs w:val="24"/>
        </w:rPr>
        <w:t xml:space="preserve"> clearance related to the B&amp;Q store closures</w:t>
      </w:r>
      <w:r w:rsidR="00A511F0" w:rsidRPr="00721073">
        <w:rPr>
          <w:rFonts w:ascii="Arial" w:hAnsi="Arial" w:cs="Arial"/>
          <w:sz w:val="24"/>
          <w:szCs w:val="24"/>
        </w:rPr>
        <w:t xml:space="preserve"> and higher</w:t>
      </w:r>
      <w:r w:rsidR="00706F8F">
        <w:rPr>
          <w:rFonts w:ascii="Arial" w:hAnsi="Arial" w:cs="Arial"/>
          <w:sz w:val="24"/>
          <w:szCs w:val="24"/>
        </w:rPr>
        <w:t xml:space="preserve"> digital</w:t>
      </w:r>
      <w:r w:rsidR="00A511F0" w:rsidRPr="00721073">
        <w:rPr>
          <w:rFonts w:ascii="Arial" w:hAnsi="Arial" w:cs="Arial"/>
          <w:sz w:val="24"/>
          <w:szCs w:val="24"/>
        </w:rPr>
        <w:t xml:space="preserve"> sales</w:t>
      </w:r>
      <w:r w:rsidRPr="00721073">
        <w:rPr>
          <w:rFonts w:ascii="Arial" w:hAnsi="Arial" w:cs="Arial"/>
          <w:sz w:val="24"/>
          <w:szCs w:val="24"/>
        </w:rPr>
        <w:t xml:space="preserve">. </w:t>
      </w:r>
      <w:r w:rsidR="00033A05">
        <w:rPr>
          <w:rFonts w:ascii="Arial" w:hAnsi="Arial" w:cs="Arial"/>
          <w:sz w:val="24"/>
          <w:szCs w:val="24"/>
        </w:rPr>
        <w:t xml:space="preserve">Focus on </w:t>
      </w:r>
      <w:r w:rsidR="000B34A0">
        <w:rPr>
          <w:rFonts w:ascii="Arial" w:hAnsi="Arial" w:cs="Arial"/>
          <w:sz w:val="24"/>
          <w:szCs w:val="24"/>
        </w:rPr>
        <w:t>cost</w:t>
      </w:r>
      <w:r w:rsidR="00791A78">
        <w:rPr>
          <w:rFonts w:ascii="Arial" w:hAnsi="Arial" w:cs="Arial"/>
          <w:sz w:val="24"/>
          <w:szCs w:val="24"/>
        </w:rPr>
        <w:t xml:space="preserve"> </w:t>
      </w:r>
      <w:r w:rsidRPr="00DC0114">
        <w:rPr>
          <w:rFonts w:ascii="Arial" w:hAnsi="Arial" w:cs="Arial"/>
          <w:sz w:val="24"/>
          <w:szCs w:val="24"/>
        </w:rPr>
        <w:t xml:space="preserve">control continued. </w:t>
      </w:r>
    </w:p>
    <w:p w14:paraId="66917F0A" w14:textId="77777777" w:rsidR="00E16A6C" w:rsidRDefault="00E16A6C" w:rsidP="007D43ED">
      <w:pPr>
        <w:jc w:val="left"/>
        <w:rPr>
          <w:rFonts w:ascii="Arial" w:hAnsi="Arial" w:cs="Arial"/>
          <w:sz w:val="24"/>
          <w:szCs w:val="24"/>
          <w:highlight w:val="yellow"/>
        </w:rPr>
      </w:pPr>
    </w:p>
    <w:p w14:paraId="2A15DC80" w14:textId="1332D754" w:rsidR="007D43ED" w:rsidRPr="00645DC4" w:rsidRDefault="00E16A6C" w:rsidP="007D43ED">
      <w:pPr>
        <w:jc w:val="left"/>
        <w:rPr>
          <w:rFonts w:ascii="Arial" w:hAnsi="Arial" w:cs="Arial"/>
          <w:sz w:val="24"/>
          <w:szCs w:val="24"/>
        </w:rPr>
      </w:pPr>
      <w:r w:rsidRPr="00645DC4">
        <w:rPr>
          <w:rFonts w:ascii="Arial" w:hAnsi="Arial" w:cs="Arial"/>
          <w:color w:val="000000"/>
          <w:sz w:val="24"/>
          <w:szCs w:val="24"/>
        </w:rPr>
        <w:t xml:space="preserve">Following the outcome of the EU referendum </w:t>
      </w:r>
      <w:r w:rsidR="007341CC">
        <w:rPr>
          <w:rFonts w:ascii="Arial" w:hAnsi="Arial" w:cs="Arial"/>
          <w:color w:val="000000"/>
          <w:sz w:val="24"/>
          <w:szCs w:val="24"/>
        </w:rPr>
        <w:t xml:space="preserve">result in the UK </w:t>
      </w:r>
      <w:r w:rsidRPr="00645DC4">
        <w:rPr>
          <w:rFonts w:ascii="Arial" w:hAnsi="Arial" w:cs="Arial"/>
          <w:color w:val="000000"/>
          <w:sz w:val="24"/>
          <w:szCs w:val="24"/>
        </w:rPr>
        <w:t>there has been no clear evidence of an impact on demand so far on our businesses.</w:t>
      </w:r>
    </w:p>
    <w:p w14:paraId="23B8EA27" w14:textId="77777777" w:rsidR="007D43ED" w:rsidRPr="002F5458" w:rsidRDefault="007D43ED" w:rsidP="007D43ED">
      <w:pPr>
        <w:jc w:val="left"/>
        <w:rPr>
          <w:rFonts w:ascii="Arial" w:hAnsi="Arial" w:cs="Arial"/>
          <w:sz w:val="24"/>
          <w:szCs w:val="24"/>
          <w:highlight w:val="yellow"/>
        </w:rPr>
      </w:pPr>
    </w:p>
    <w:p w14:paraId="07FB90DF" w14:textId="15C4DEC6" w:rsidR="007D43ED" w:rsidRPr="0047756B" w:rsidRDefault="007D43ED" w:rsidP="007D43ED">
      <w:pPr>
        <w:jc w:val="left"/>
        <w:rPr>
          <w:rFonts w:ascii="Arial" w:hAnsi="Arial" w:cs="Arial"/>
          <w:sz w:val="24"/>
          <w:szCs w:val="24"/>
        </w:rPr>
      </w:pPr>
      <w:r w:rsidRPr="0047756B">
        <w:rPr>
          <w:rFonts w:ascii="Arial" w:hAnsi="Arial" w:cs="Arial"/>
          <w:b/>
          <w:bCs/>
          <w:sz w:val="24"/>
          <w:szCs w:val="24"/>
        </w:rPr>
        <w:t>B&amp;Q</w:t>
      </w:r>
      <w:r w:rsidRPr="0047756B">
        <w:rPr>
          <w:rFonts w:ascii="Arial" w:hAnsi="Arial" w:cs="Arial"/>
          <w:sz w:val="24"/>
          <w:szCs w:val="24"/>
        </w:rPr>
        <w:t xml:space="preserve"> total sales </w:t>
      </w:r>
      <w:r w:rsidR="002E5D72" w:rsidRPr="00925EFB">
        <w:rPr>
          <w:rFonts w:ascii="Arial" w:hAnsi="Arial" w:cs="Arial"/>
          <w:sz w:val="24"/>
          <w:szCs w:val="24"/>
        </w:rPr>
        <w:t xml:space="preserve">declined by </w:t>
      </w:r>
      <w:r w:rsidR="000533AE" w:rsidRPr="00925EFB">
        <w:rPr>
          <w:rFonts w:ascii="Arial" w:hAnsi="Arial" w:cs="Arial"/>
          <w:sz w:val="24"/>
          <w:szCs w:val="24"/>
        </w:rPr>
        <w:t>1.9</w:t>
      </w:r>
      <w:r w:rsidRPr="0047756B">
        <w:rPr>
          <w:rFonts w:ascii="Arial" w:hAnsi="Arial" w:cs="Arial"/>
          <w:sz w:val="24"/>
          <w:szCs w:val="24"/>
        </w:rPr>
        <w:t xml:space="preserve">% </w:t>
      </w:r>
      <w:r w:rsidR="002E5D72" w:rsidRPr="00925EFB">
        <w:rPr>
          <w:rFonts w:ascii="Arial" w:hAnsi="Arial" w:cs="Arial"/>
          <w:sz w:val="24"/>
          <w:szCs w:val="24"/>
        </w:rPr>
        <w:t>reflecting store closures</w:t>
      </w:r>
      <w:r w:rsidR="00E53A31">
        <w:rPr>
          <w:rFonts w:ascii="Arial" w:hAnsi="Arial" w:cs="Arial"/>
          <w:sz w:val="24"/>
          <w:szCs w:val="24"/>
        </w:rPr>
        <w:t xml:space="preserve"> and sales transference</w:t>
      </w:r>
      <w:r w:rsidR="002E5D72" w:rsidRPr="00925EFB">
        <w:rPr>
          <w:rFonts w:ascii="Arial" w:hAnsi="Arial" w:cs="Arial"/>
          <w:sz w:val="24"/>
          <w:szCs w:val="24"/>
        </w:rPr>
        <w:t xml:space="preserve"> </w:t>
      </w:r>
      <w:r w:rsidRPr="0047756B">
        <w:rPr>
          <w:rFonts w:ascii="Arial" w:hAnsi="Arial" w:cs="Arial"/>
          <w:sz w:val="24"/>
          <w:szCs w:val="24"/>
        </w:rPr>
        <w:t>(+</w:t>
      </w:r>
      <w:r w:rsidR="002E5D72" w:rsidRPr="00925EFB">
        <w:rPr>
          <w:rFonts w:ascii="Arial" w:hAnsi="Arial" w:cs="Arial"/>
          <w:sz w:val="24"/>
          <w:szCs w:val="24"/>
        </w:rPr>
        <w:t>4.6</w:t>
      </w:r>
      <w:r w:rsidRPr="0047756B">
        <w:rPr>
          <w:rFonts w:ascii="Arial" w:hAnsi="Arial" w:cs="Arial"/>
          <w:sz w:val="24"/>
          <w:szCs w:val="24"/>
        </w:rPr>
        <w:t>% LFL) to £</w:t>
      </w:r>
      <w:r w:rsidR="000533AE" w:rsidRPr="00925EFB">
        <w:rPr>
          <w:rFonts w:ascii="Arial" w:hAnsi="Arial" w:cs="Arial"/>
          <w:sz w:val="24"/>
          <w:szCs w:val="24"/>
        </w:rPr>
        <w:t>1,997</w:t>
      </w:r>
      <w:r w:rsidRPr="0047756B">
        <w:rPr>
          <w:rFonts w:ascii="Arial" w:hAnsi="Arial" w:cs="Arial"/>
          <w:sz w:val="24"/>
          <w:szCs w:val="24"/>
        </w:rPr>
        <w:t xml:space="preserve"> million.</w:t>
      </w:r>
      <w:r w:rsidR="0036279F">
        <w:rPr>
          <w:rFonts w:ascii="Arial" w:hAnsi="Arial" w:cs="Arial"/>
          <w:sz w:val="24"/>
          <w:szCs w:val="24"/>
        </w:rPr>
        <w:t xml:space="preserve"> </w:t>
      </w:r>
      <w:r w:rsidR="00875F9A" w:rsidRPr="00D435DA">
        <w:rPr>
          <w:rFonts w:ascii="Arial" w:hAnsi="Arial" w:cs="Arial"/>
          <w:sz w:val="24"/>
          <w:szCs w:val="24"/>
        </w:rPr>
        <w:t xml:space="preserve">LFL sales benefited by </w:t>
      </w:r>
      <w:r w:rsidR="00875F9A" w:rsidRPr="00925EFB">
        <w:rPr>
          <w:rFonts w:ascii="Arial" w:hAnsi="Arial" w:cs="Arial"/>
          <w:sz w:val="24"/>
          <w:szCs w:val="24"/>
        </w:rPr>
        <w:t>c.2</w:t>
      </w:r>
      <w:r w:rsidR="00875F9A" w:rsidRPr="00D435DA">
        <w:rPr>
          <w:rFonts w:ascii="Arial" w:hAnsi="Arial" w:cs="Arial"/>
          <w:sz w:val="24"/>
          <w:szCs w:val="24"/>
        </w:rPr>
        <w:t>% from sales transference</w:t>
      </w:r>
      <w:r w:rsidR="00875F9A" w:rsidRPr="0047756B">
        <w:rPr>
          <w:rFonts w:ascii="Arial" w:hAnsi="Arial" w:cs="Arial"/>
          <w:sz w:val="24"/>
          <w:szCs w:val="24"/>
        </w:rPr>
        <w:t xml:space="preserve"> associated with the store closures. </w:t>
      </w:r>
      <w:r w:rsidR="00D02AC2">
        <w:rPr>
          <w:rFonts w:ascii="Arial" w:hAnsi="Arial" w:cs="Arial"/>
          <w:sz w:val="24"/>
          <w:szCs w:val="24"/>
        </w:rPr>
        <w:t>LFL s</w:t>
      </w:r>
      <w:r w:rsidRPr="0047756B">
        <w:rPr>
          <w:rFonts w:ascii="Arial" w:hAnsi="Arial" w:cs="Arial"/>
          <w:sz w:val="24"/>
          <w:szCs w:val="24"/>
        </w:rPr>
        <w:t xml:space="preserve">ales of outdoor seasonal products were </w:t>
      </w:r>
      <w:r w:rsidR="0047756B" w:rsidRPr="00925EFB">
        <w:rPr>
          <w:rFonts w:ascii="Arial" w:hAnsi="Arial" w:cs="Arial"/>
          <w:sz w:val="24"/>
          <w:szCs w:val="24"/>
        </w:rPr>
        <w:t>up</w:t>
      </w:r>
      <w:r w:rsidR="0047756B" w:rsidRPr="0047756B">
        <w:rPr>
          <w:rFonts w:ascii="Arial" w:hAnsi="Arial" w:cs="Arial"/>
          <w:sz w:val="24"/>
          <w:szCs w:val="24"/>
        </w:rPr>
        <w:t xml:space="preserve"> </w:t>
      </w:r>
      <w:r w:rsidR="00597978">
        <w:rPr>
          <w:rFonts w:ascii="Arial" w:hAnsi="Arial" w:cs="Arial"/>
          <w:sz w:val="24"/>
          <w:szCs w:val="24"/>
        </w:rPr>
        <w:t>1.6</w:t>
      </w:r>
      <w:r w:rsidRPr="0047756B">
        <w:rPr>
          <w:rFonts w:ascii="Arial" w:hAnsi="Arial" w:cs="Arial"/>
          <w:sz w:val="24"/>
          <w:szCs w:val="24"/>
        </w:rPr>
        <w:t xml:space="preserve">% while sales of indoor products, </w:t>
      </w:r>
      <w:r w:rsidR="0047756B" w:rsidRPr="00925EFB">
        <w:rPr>
          <w:rFonts w:ascii="Arial" w:hAnsi="Arial" w:cs="Arial"/>
          <w:sz w:val="24"/>
          <w:szCs w:val="24"/>
        </w:rPr>
        <w:t>including</w:t>
      </w:r>
      <w:r w:rsidR="0047756B" w:rsidRPr="0047756B">
        <w:rPr>
          <w:rFonts w:ascii="Arial" w:hAnsi="Arial" w:cs="Arial"/>
          <w:sz w:val="24"/>
          <w:szCs w:val="24"/>
        </w:rPr>
        <w:t xml:space="preserve"> </w:t>
      </w:r>
      <w:r w:rsidRPr="00D435DA">
        <w:rPr>
          <w:rFonts w:ascii="Arial" w:hAnsi="Arial" w:cs="Arial"/>
          <w:sz w:val="24"/>
          <w:szCs w:val="24"/>
        </w:rPr>
        <w:t xml:space="preserve">showroom, were up </w:t>
      </w:r>
      <w:r w:rsidR="00D435DA" w:rsidRPr="00925EFB">
        <w:rPr>
          <w:rFonts w:ascii="Arial" w:hAnsi="Arial" w:cs="Arial"/>
          <w:sz w:val="24"/>
          <w:szCs w:val="24"/>
        </w:rPr>
        <w:t>5.9</w:t>
      </w:r>
      <w:r w:rsidRPr="00D435DA">
        <w:rPr>
          <w:rFonts w:ascii="Arial" w:hAnsi="Arial" w:cs="Arial"/>
          <w:sz w:val="24"/>
          <w:szCs w:val="24"/>
        </w:rPr>
        <w:t>%.</w:t>
      </w:r>
      <w:r w:rsidR="0027369E" w:rsidRPr="0047756B">
        <w:rPr>
          <w:rFonts w:ascii="Arial" w:hAnsi="Arial" w:cs="Arial"/>
          <w:sz w:val="24"/>
          <w:szCs w:val="24"/>
        </w:rPr>
        <w:t xml:space="preserve"> </w:t>
      </w:r>
    </w:p>
    <w:p w14:paraId="51967FBC" w14:textId="77777777" w:rsidR="007D43ED" w:rsidRPr="002F5458" w:rsidRDefault="007D43ED" w:rsidP="007D43ED">
      <w:pPr>
        <w:jc w:val="left"/>
        <w:rPr>
          <w:rFonts w:ascii="Arial" w:hAnsi="Arial" w:cs="Arial"/>
          <w:sz w:val="24"/>
          <w:szCs w:val="24"/>
          <w:highlight w:val="yellow"/>
        </w:rPr>
      </w:pPr>
    </w:p>
    <w:p w14:paraId="15AF3414" w14:textId="2A5D7DFC" w:rsidR="007D43ED" w:rsidRPr="00925EFB" w:rsidRDefault="007D43ED" w:rsidP="007D43ED">
      <w:pPr>
        <w:jc w:val="left"/>
        <w:rPr>
          <w:rFonts w:ascii="Arial" w:hAnsi="Arial" w:cs="Arial"/>
          <w:sz w:val="24"/>
          <w:szCs w:val="24"/>
          <w:highlight w:val="yellow"/>
        </w:rPr>
      </w:pPr>
      <w:r w:rsidRPr="00615542">
        <w:rPr>
          <w:rFonts w:ascii="Arial" w:hAnsi="Arial" w:cs="Arial"/>
          <w:sz w:val="24"/>
          <w:szCs w:val="24"/>
        </w:rPr>
        <w:t>B</w:t>
      </w:r>
      <w:r w:rsidRPr="00E16A6C">
        <w:rPr>
          <w:rFonts w:ascii="Arial" w:hAnsi="Arial" w:cs="Arial"/>
          <w:sz w:val="24"/>
          <w:szCs w:val="24"/>
        </w:rPr>
        <w:t xml:space="preserve">&amp;Q’s </w:t>
      </w:r>
      <w:r w:rsidR="00875F9A">
        <w:rPr>
          <w:rFonts w:ascii="Arial" w:hAnsi="Arial" w:cs="Arial"/>
          <w:sz w:val="24"/>
          <w:szCs w:val="24"/>
        </w:rPr>
        <w:t>c</w:t>
      </w:r>
      <w:r w:rsidRPr="00E16A6C">
        <w:rPr>
          <w:rFonts w:ascii="Arial" w:hAnsi="Arial" w:cs="Arial"/>
          <w:sz w:val="24"/>
          <w:szCs w:val="24"/>
        </w:rPr>
        <w:t xml:space="preserve">lick &amp; </w:t>
      </w:r>
      <w:r w:rsidR="00875F9A">
        <w:rPr>
          <w:rFonts w:ascii="Arial" w:hAnsi="Arial" w:cs="Arial"/>
          <w:sz w:val="24"/>
          <w:szCs w:val="24"/>
        </w:rPr>
        <w:t>c</w:t>
      </w:r>
      <w:r w:rsidRPr="00E16A6C">
        <w:rPr>
          <w:rFonts w:ascii="Arial" w:hAnsi="Arial" w:cs="Arial"/>
          <w:sz w:val="24"/>
          <w:szCs w:val="24"/>
        </w:rPr>
        <w:t>ollect is now available</w:t>
      </w:r>
      <w:r w:rsidR="006C517B" w:rsidRPr="00E16A6C">
        <w:rPr>
          <w:rFonts w:ascii="Arial" w:hAnsi="Arial" w:cs="Arial"/>
          <w:sz w:val="24"/>
          <w:szCs w:val="24"/>
        </w:rPr>
        <w:t xml:space="preserve"> on </w:t>
      </w:r>
      <w:r w:rsidR="003678C1" w:rsidRPr="00E16A6C">
        <w:rPr>
          <w:rFonts w:ascii="Arial" w:hAnsi="Arial" w:cs="Arial"/>
          <w:sz w:val="24"/>
          <w:szCs w:val="24"/>
        </w:rPr>
        <w:t xml:space="preserve">over </w:t>
      </w:r>
      <w:r w:rsidR="00E16A6C" w:rsidRPr="00925EFB">
        <w:rPr>
          <w:rFonts w:ascii="Arial" w:hAnsi="Arial" w:cs="Arial"/>
          <w:sz w:val="24"/>
          <w:szCs w:val="24"/>
        </w:rPr>
        <w:t>18</w:t>
      </w:r>
      <w:r w:rsidR="00937988" w:rsidRPr="00925EFB">
        <w:rPr>
          <w:rFonts w:ascii="Arial" w:hAnsi="Arial" w:cs="Arial"/>
          <w:sz w:val="24"/>
          <w:szCs w:val="24"/>
        </w:rPr>
        <w:t>,</w:t>
      </w:r>
      <w:r w:rsidR="00E16A6C" w:rsidRPr="00925EFB">
        <w:rPr>
          <w:rFonts w:ascii="Arial" w:hAnsi="Arial" w:cs="Arial"/>
          <w:sz w:val="24"/>
          <w:szCs w:val="24"/>
        </w:rPr>
        <w:t>000</w:t>
      </w:r>
      <w:r w:rsidR="00336FF8" w:rsidRPr="00E16A6C">
        <w:rPr>
          <w:rFonts w:ascii="Arial" w:hAnsi="Arial" w:cs="Arial"/>
          <w:sz w:val="24"/>
          <w:szCs w:val="24"/>
        </w:rPr>
        <w:t xml:space="preserve"> </w:t>
      </w:r>
      <w:r w:rsidRPr="00E16A6C">
        <w:rPr>
          <w:rFonts w:ascii="Arial" w:hAnsi="Arial" w:cs="Arial"/>
          <w:sz w:val="24"/>
          <w:szCs w:val="24"/>
        </w:rPr>
        <w:t>products. Total online sales</w:t>
      </w:r>
      <w:r w:rsidR="00461A73">
        <w:rPr>
          <w:rFonts w:ascii="Arial" w:hAnsi="Arial" w:cs="Arial"/>
          <w:sz w:val="24"/>
          <w:szCs w:val="24"/>
        </w:rPr>
        <w:t>*</w:t>
      </w:r>
      <w:r w:rsidRPr="00E16A6C">
        <w:rPr>
          <w:rFonts w:ascii="Arial" w:hAnsi="Arial" w:cs="Arial"/>
          <w:sz w:val="24"/>
          <w:szCs w:val="24"/>
        </w:rPr>
        <w:t xml:space="preserve">, including home delivery, continued to make good progress with sales growing by </w:t>
      </w:r>
      <w:r w:rsidR="001C14B2">
        <w:rPr>
          <w:rFonts w:ascii="Arial" w:hAnsi="Arial" w:cs="Arial"/>
          <w:sz w:val="24"/>
          <w:szCs w:val="24"/>
        </w:rPr>
        <w:t>39</w:t>
      </w:r>
      <w:r w:rsidRPr="00E16A6C">
        <w:rPr>
          <w:rFonts w:ascii="Arial" w:hAnsi="Arial" w:cs="Arial"/>
          <w:sz w:val="24"/>
          <w:szCs w:val="24"/>
        </w:rPr>
        <w:t>%.</w:t>
      </w:r>
    </w:p>
    <w:p w14:paraId="7D6DA280" w14:textId="77777777" w:rsidR="007D43ED" w:rsidRPr="002F5458" w:rsidRDefault="007D43ED" w:rsidP="007D43ED">
      <w:pPr>
        <w:jc w:val="left"/>
        <w:rPr>
          <w:rFonts w:ascii="Arial" w:hAnsi="Arial" w:cs="Arial"/>
          <w:sz w:val="24"/>
          <w:szCs w:val="24"/>
          <w:highlight w:val="yellow"/>
        </w:rPr>
      </w:pPr>
    </w:p>
    <w:p w14:paraId="72001463" w14:textId="4BF6EFF8" w:rsidR="007D43ED" w:rsidRPr="00B35241" w:rsidRDefault="007D43ED" w:rsidP="007D43ED">
      <w:pPr>
        <w:pStyle w:val="PlainText"/>
        <w:rPr>
          <w:rFonts w:ascii="Arial" w:hAnsi="Arial" w:cs="Arial"/>
          <w:sz w:val="24"/>
          <w:szCs w:val="24"/>
        </w:rPr>
      </w:pPr>
      <w:r w:rsidRPr="00B35241">
        <w:rPr>
          <w:rFonts w:ascii="Arial" w:hAnsi="Arial" w:cs="Arial"/>
          <w:b/>
          <w:sz w:val="24"/>
          <w:szCs w:val="24"/>
        </w:rPr>
        <w:t>Screwfix</w:t>
      </w:r>
      <w:r w:rsidRPr="00B35241">
        <w:rPr>
          <w:rFonts w:ascii="Arial" w:hAnsi="Arial" w:cs="Arial"/>
          <w:sz w:val="24"/>
          <w:szCs w:val="24"/>
        </w:rPr>
        <w:t xml:space="preserve"> grew total sales by </w:t>
      </w:r>
      <w:r w:rsidR="002E5D72" w:rsidRPr="00925EFB">
        <w:rPr>
          <w:rFonts w:ascii="Arial" w:hAnsi="Arial" w:cs="Arial"/>
          <w:sz w:val="24"/>
          <w:szCs w:val="24"/>
        </w:rPr>
        <w:t>24.0</w:t>
      </w:r>
      <w:r w:rsidRPr="00B35241">
        <w:rPr>
          <w:rFonts w:ascii="Arial" w:hAnsi="Arial" w:cs="Arial"/>
          <w:sz w:val="24"/>
          <w:szCs w:val="24"/>
        </w:rPr>
        <w:t>% (+</w:t>
      </w:r>
      <w:r w:rsidR="002E5D72" w:rsidRPr="00925EFB">
        <w:rPr>
          <w:rFonts w:ascii="Arial" w:hAnsi="Arial" w:cs="Arial"/>
          <w:sz w:val="24"/>
          <w:szCs w:val="24"/>
        </w:rPr>
        <w:t>14.7</w:t>
      </w:r>
      <w:r w:rsidRPr="00B35241">
        <w:rPr>
          <w:rFonts w:ascii="Arial" w:hAnsi="Arial" w:cs="Arial"/>
          <w:sz w:val="24"/>
          <w:szCs w:val="24"/>
        </w:rPr>
        <w:t>% LFL) to £</w:t>
      </w:r>
      <w:r w:rsidR="002E5D72" w:rsidRPr="00925EFB">
        <w:rPr>
          <w:rFonts w:ascii="Arial" w:hAnsi="Arial" w:cs="Arial"/>
          <w:sz w:val="24"/>
          <w:szCs w:val="24"/>
        </w:rPr>
        <w:t>612</w:t>
      </w:r>
      <w:r w:rsidRPr="00B35241">
        <w:rPr>
          <w:rFonts w:ascii="Arial" w:hAnsi="Arial" w:cs="Arial"/>
          <w:sz w:val="24"/>
          <w:szCs w:val="24"/>
        </w:rPr>
        <w:t xml:space="preserve"> million, driven by strong growth from the specialist trade desks exclusive to plumbers and electricians, strong digital </w:t>
      </w:r>
      <w:r w:rsidRPr="003B06F1">
        <w:rPr>
          <w:rFonts w:ascii="Arial" w:hAnsi="Arial" w:cs="Arial"/>
          <w:sz w:val="24"/>
          <w:szCs w:val="24"/>
        </w:rPr>
        <w:t>growth</w:t>
      </w:r>
      <w:r w:rsidR="008669E9" w:rsidRPr="003B06F1">
        <w:rPr>
          <w:rFonts w:ascii="Arial" w:hAnsi="Arial" w:cs="Arial"/>
          <w:sz w:val="24"/>
          <w:szCs w:val="24"/>
        </w:rPr>
        <w:t xml:space="preserve"> (e.g. mobile +</w:t>
      </w:r>
      <w:r w:rsidR="00B36454" w:rsidRPr="00925EFB">
        <w:rPr>
          <w:rFonts w:ascii="Arial" w:hAnsi="Arial" w:cs="Arial"/>
          <w:sz w:val="24"/>
          <w:szCs w:val="24"/>
        </w:rPr>
        <w:t>117</w:t>
      </w:r>
      <w:r w:rsidR="008669E9" w:rsidRPr="003B06F1">
        <w:rPr>
          <w:rFonts w:ascii="Arial" w:hAnsi="Arial" w:cs="Arial"/>
          <w:sz w:val="24"/>
          <w:szCs w:val="24"/>
        </w:rPr>
        <w:t>%; click &amp; collect +</w:t>
      </w:r>
      <w:r w:rsidR="00B36454" w:rsidRPr="00925EFB">
        <w:rPr>
          <w:rFonts w:ascii="Arial" w:hAnsi="Arial" w:cs="Arial"/>
          <w:sz w:val="24"/>
          <w:szCs w:val="24"/>
        </w:rPr>
        <w:t>59</w:t>
      </w:r>
      <w:r w:rsidR="008669E9" w:rsidRPr="003B06F1">
        <w:rPr>
          <w:rFonts w:ascii="Arial" w:hAnsi="Arial" w:cs="Arial"/>
          <w:sz w:val="24"/>
          <w:szCs w:val="24"/>
        </w:rPr>
        <w:t>%)</w:t>
      </w:r>
      <w:r w:rsidR="009A66A7" w:rsidRPr="003B06F1">
        <w:rPr>
          <w:rFonts w:ascii="Arial" w:hAnsi="Arial" w:cs="Arial"/>
          <w:sz w:val="24"/>
          <w:szCs w:val="24"/>
        </w:rPr>
        <w:t>;</w:t>
      </w:r>
      <w:r w:rsidRPr="003B06F1">
        <w:rPr>
          <w:rFonts w:ascii="Arial" w:hAnsi="Arial" w:cs="Arial"/>
          <w:sz w:val="24"/>
          <w:szCs w:val="24"/>
        </w:rPr>
        <w:t xml:space="preserve"> </w:t>
      </w:r>
      <w:r w:rsidR="009A66A7" w:rsidRPr="003B06F1">
        <w:rPr>
          <w:rFonts w:ascii="Arial" w:hAnsi="Arial" w:cs="Arial"/>
          <w:sz w:val="24"/>
          <w:szCs w:val="24"/>
        </w:rPr>
        <w:t>and</w:t>
      </w:r>
      <w:r w:rsidR="009A66A7" w:rsidRPr="00B35241">
        <w:rPr>
          <w:rFonts w:ascii="Arial" w:hAnsi="Arial" w:cs="Arial"/>
          <w:sz w:val="24"/>
          <w:szCs w:val="24"/>
        </w:rPr>
        <w:t xml:space="preserve"> </w:t>
      </w:r>
      <w:r w:rsidRPr="00B35241">
        <w:rPr>
          <w:rFonts w:ascii="Arial" w:hAnsi="Arial" w:cs="Arial"/>
          <w:sz w:val="24"/>
          <w:szCs w:val="24"/>
        </w:rPr>
        <w:t>the continued roll out of new outlets. </w:t>
      </w:r>
      <w:r w:rsidR="00BA4620" w:rsidRPr="00925EFB">
        <w:rPr>
          <w:rFonts w:ascii="Arial" w:hAnsi="Arial" w:cs="Arial"/>
          <w:sz w:val="24"/>
          <w:szCs w:val="24"/>
        </w:rPr>
        <w:t>20</w:t>
      </w:r>
      <w:r w:rsidR="009C6430" w:rsidRPr="00B35241">
        <w:rPr>
          <w:rFonts w:ascii="Arial" w:hAnsi="Arial" w:cs="Arial"/>
          <w:sz w:val="24"/>
          <w:szCs w:val="24"/>
        </w:rPr>
        <w:t xml:space="preserve"> </w:t>
      </w:r>
      <w:r w:rsidRPr="00B35241">
        <w:rPr>
          <w:rFonts w:ascii="Arial" w:hAnsi="Arial" w:cs="Arial"/>
          <w:sz w:val="24"/>
          <w:szCs w:val="24"/>
        </w:rPr>
        <w:t xml:space="preserve">net new outlets were opened, taking the total to </w:t>
      </w:r>
      <w:r w:rsidR="00BA4620" w:rsidRPr="00925EFB">
        <w:rPr>
          <w:rFonts w:ascii="Arial" w:hAnsi="Arial" w:cs="Arial"/>
          <w:sz w:val="24"/>
          <w:szCs w:val="24"/>
        </w:rPr>
        <w:t>477</w:t>
      </w:r>
      <w:r w:rsidRPr="00B35241">
        <w:rPr>
          <w:rFonts w:ascii="Arial" w:hAnsi="Arial" w:cs="Arial"/>
          <w:sz w:val="24"/>
          <w:szCs w:val="24"/>
        </w:rPr>
        <w:t>.</w:t>
      </w:r>
      <w:r w:rsidR="00332A96">
        <w:rPr>
          <w:rFonts w:ascii="Arial" w:hAnsi="Arial" w:cs="Arial"/>
          <w:sz w:val="24"/>
          <w:szCs w:val="24"/>
        </w:rPr>
        <w:t xml:space="preserve"> </w:t>
      </w:r>
    </w:p>
    <w:p w14:paraId="081B1EF7" w14:textId="676E1CF0" w:rsidR="002F5458" w:rsidRPr="00925EFB" w:rsidRDefault="002F5458">
      <w:pPr>
        <w:jc w:val="left"/>
        <w:rPr>
          <w:rFonts w:ascii="Arial" w:hAnsi="Arial" w:cs="Arial"/>
          <w:sz w:val="24"/>
          <w:szCs w:val="24"/>
          <w:highlight w:val="yellow"/>
        </w:rPr>
      </w:pPr>
      <w:r w:rsidRPr="00925EFB">
        <w:rPr>
          <w:rFonts w:ascii="Arial" w:hAnsi="Arial" w:cs="Arial"/>
          <w:sz w:val="24"/>
          <w:szCs w:val="24"/>
          <w:highlight w:val="yellow"/>
        </w:rPr>
        <w:br w:type="page"/>
      </w:r>
    </w:p>
    <w:p w14:paraId="2142CC72" w14:textId="1DF32C20" w:rsidR="002F5458" w:rsidRPr="000971B9" w:rsidRDefault="002F5458" w:rsidP="002F5458">
      <w:pPr>
        <w:jc w:val="left"/>
        <w:rPr>
          <w:rFonts w:ascii="Arial" w:hAnsi="Arial" w:cs="Arial"/>
          <w:sz w:val="24"/>
          <w:szCs w:val="24"/>
        </w:rPr>
      </w:pPr>
      <w:r w:rsidRPr="000971B9">
        <w:rPr>
          <w:rFonts w:ascii="Arial" w:hAnsi="Arial" w:cs="Arial"/>
          <w:b/>
          <w:bCs/>
          <w:sz w:val="24"/>
          <w:szCs w:val="24"/>
        </w:rPr>
        <w:lastRenderedPageBreak/>
        <w:t>FRANCE</w:t>
      </w:r>
      <w:r>
        <w:rPr>
          <w:rFonts w:ascii="Arial" w:hAnsi="Arial" w:cs="Arial"/>
          <w:b/>
          <w:bCs/>
          <w:sz w:val="24"/>
          <w:szCs w:val="24"/>
        </w:rPr>
        <w:t xml:space="preserve"> </w:t>
      </w:r>
    </w:p>
    <w:p w14:paraId="1AAA01BD" w14:textId="77777777" w:rsidR="002F5458" w:rsidRPr="000971B9" w:rsidRDefault="002F5458" w:rsidP="002F5458">
      <w:pPr>
        <w:rPr>
          <w:rFonts w:ascii="Arial" w:hAnsi="Arial" w:cs="Arial"/>
          <w:b/>
          <w:bCs/>
          <w:sz w:val="24"/>
          <w:szCs w:val="24"/>
        </w:rPr>
      </w:pP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4"/>
        <w:gridCol w:w="1281"/>
        <w:gridCol w:w="1134"/>
        <w:gridCol w:w="1559"/>
        <w:gridCol w:w="1701"/>
        <w:gridCol w:w="1134"/>
      </w:tblGrid>
      <w:tr w:rsidR="002F5458" w:rsidRPr="000971B9" w14:paraId="7F771F73" w14:textId="77777777" w:rsidTr="009C6430">
        <w:tc>
          <w:tcPr>
            <w:tcW w:w="1289" w:type="pct"/>
            <w:tcBorders>
              <w:bottom w:val="single" w:sz="4" w:space="0" w:color="auto"/>
            </w:tcBorders>
          </w:tcPr>
          <w:p w14:paraId="07117EB7" w14:textId="77777777" w:rsidR="002F5458" w:rsidRPr="000971B9" w:rsidRDefault="002F5458" w:rsidP="009C6430">
            <w:pPr>
              <w:rPr>
                <w:rFonts w:ascii="Arial" w:hAnsi="Arial" w:cs="Arial"/>
                <w:sz w:val="24"/>
                <w:szCs w:val="24"/>
              </w:rPr>
            </w:pPr>
            <w:r>
              <w:rPr>
                <w:rFonts w:ascii="Arial" w:hAnsi="Arial" w:cs="Arial"/>
                <w:sz w:val="24"/>
                <w:szCs w:val="24"/>
              </w:rPr>
              <w:t>£m</w:t>
            </w:r>
          </w:p>
        </w:tc>
        <w:tc>
          <w:tcPr>
            <w:tcW w:w="698" w:type="pct"/>
            <w:tcBorders>
              <w:bottom w:val="single" w:sz="4" w:space="0" w:color="auto"/>
            </w:tcBorders>
          </w:tcPr>
          <w:p w14:paraId="4536D7CB" w14:textId="77777777" w:rsidR="002F5458" w:rsidRPr="000971B9" w:rsidRDefault="002F5458" w:rsidP="009C6430">
            <w:pPr>
              <w:jc w:val="right"/>
              <w:rPr>
                <w:rFonts w:ascii="Arial" w:hAnsi="Arial" w:cs="Arial"/>
                <w:sz w:val="24"/>
                <w:szCs w:val="24"/>
              </w:rPr>
            </w:pPr>
            <w:r>
              <w:rPr>
                <w:rFonts w:ascii="Arial" w:hAnsi="Arial" w:cs="Arial"/>
                <w:b/>
                <w:bCs/>
                <w:sz w:val="24"/>
                <w:szCs w:val="24"/>
              </w:rPr>
              <w:t>2016/17</w:t>
            </w:r>
          </w:p>
        </w:tc>
        <w:tc>
          <w:tcPr>
            <w:tcW w:w="618" w:type="pct"/>
            <w:tcBorders>
              <w:bottom w:val="single" w:sz="4" w:space="0" w:color="auto"/>
            </w:tcBorders>
          </w:tcPr>
          <w:p w14:paraId="6401721E" w14:textId="77777777" w:rsidR="002F5458" w:rsidRPr="000971B9" w:rsidRDefault="002F5458" w:rsidP="009C6430">
            <w:pPr>
              <w:jc w:val="right"/>
              <w:rPr>
                <w:rFonts w:ascii="Arial" w:hAnsi="Arial" w:cs="Arial"/>
                <w:b/>
                <w:bCs/>
                <w:sz w:val="24"/>
                <w:szCs w:val="24"/>
              </w:rPr>
            </w:pPr>
            <w:r>
              <w:rPr>
                <w:rFonts w:ascii="Arial" w:hAnsi="Arial" w:cs="Arial"/>
                <w:b/>
                <w:bCs/>
                <w:sz w:val="24"/>
                <w:szCs w:val="24"/>
              </w:rPr>
              <w:t>2015/16</w:t>
            </w:r>
          </w:p>
        </w:tc>
        <w:tc>
          <w:tcPr>
            <w:tcW w:w="850" w:type="pct"/>
            <w:tcBorders>
              <w:bottom w:val="single" w:sz="4" w:space="0" w:color="auto"/>
            </w:tcBorders>
          </w:tcPr>
          <w:p w14:paraId="2683CDE7" w14:textId="77777777" w:rsidR="002F5458" w:rsidRPr="000971B9" w:rsidRDefault="002F5458" w:rsidP="009C6430">
            <w:pPr>
              <w:jc w:val="right"/>
              <w:rPr>
                <w:rFonts w:ascii="Arial" w:hAnsi="Arial" w:cs="Arial"/>
                <w:b/>
                <w:bCs/>
                <w:sz w:val="24"/>
                <w:szCs w:val="24"/>
              </w:rPr>
            </w:pPr>
            <w:r w:rsidRPr="000971B9">
              <w:rPr>
                <w:rFonts w:ascii="Arial" w:hAnsi="Arial" w:cs="Arial"/>
                <w:b/>
                <w:bCs/>
                <w:sz w:val="24"/>
                <w:szCs w:val="24"/>
              </w:rPr>
              <w:t>% Reported</w:t>
            </w:r>
            <w:r w:rsidRPr="000971B9" w:rsidDel="00197636">
              <w:rPr>
                <w:rFonts w:ascii="Arial" w:hAnsi="Arial" w:cs="Arial"/>
                <w:b/>
                <w:bCs/>
                <w:sz w:val="24"/>
                <w:szCs w:val="24"/>
              </w:rPr>
              <w:t xml:space="preserve"> </w:t>
            </w:r>
            <w:r w:rsidRPr="000971B9">
              <w:rPr>
                <w:rFonts w:ascii="Arial" w:hAnsi="Arial" w:cs="Arial"/>
                <w:b/>
                <w:bCs/>
                <w:sz w:val="24"/>
                <w:szCs w:val="24"/>
              </w:rPr>
              <w:t>Change</w:t>
            </w:r>
          </w:p>
          <w:p w14:paraId="297EEB10" w14:textId="77777777" w:rsidR="002F5458" w:rsidRPr="000971B9" w:rsidRDefault="002F5458" w:rsidP="009C6430">
            <w:pPr>
              <w:jc w:val="right"/>
              <w:rPr>
                <w:rFonts w:ascii="Arial" w:hAnsi="Arial" w:cs="Arial"/>
                <w:b/>
                <w:bCs/>
                <w:sz w:val="24"/>
                <w:szCs w:val="24"/>
              </w:rPr>
            </w:pPr>
          </w:p>
        </w:tc>
        <w:tc>
          <w:tcPr>
            <w:tcW w:w="927" w:type="pct"/>
            <w:tcBorders>
              <w:bottom w:val="single" w:sz="4" w:space="0" w:color="auto"/>
            </w:tcBorders>
          </w:tcPr>
          <w:p w14:paraId="050C9DFB" w14:textId="77777777" w:rsidR="002F5458" w:rsidRPr="000971B9" w:rsidRDefault="002F5458" w:rsidP="009C6430">
            <w:pPr>
              <w:jc w:val="right"/>
              <w:rPr>
                <w:rFonts w:ascii="Arial" w:hAnsi="Arial" w:cs="Arial"/>
                <w:b/>
                <w:bCs/>
                <w:sz w:val="24"/>
                <w:szCs w:val="24"/>
              </w:rPr>
            </w:pPr>
            <w:r w:rsidRPr="000971B9">
              <w:rPr>
                <w:rFonts w:ascii="Arial" w:hAnsi="Arial" w:cs="Arial"/>
                <w:b/>
                <w:bCs/>
                <w:sz w:val="24"/>
                <w:szCs w:val="24"/>
              </w:rPr>
              <w:t>%</w:t>
            </w:r>
            <w:r>
              <w:rPr>
                <w:rFonts w:ascii="Arial" w:hAnsi="Arial" w:cs="Arial"/>
                <w:b/>
                <w:bCs/>
                <w:sz w:val="24"/>
                <w:szCs w:val="24"/>
              </w:rPr>
              <w:t xml:space="preserve"> </w:t>
            </w:r>
            <w:r w:rsidRPr="000971B9">
              <w:rPr>
                <w:rFonts w:ascii="Arial" w:hAnsi="Arial" w:cs="Arial"/>
                <w:b/>
                <w:bCs/>
                <w:sz w:val="24"/>
                <w:szCs w:val="24"/>
              </w:rPr>
              <w:t>Constant</w:t>
            </w:r>
          </w:p>
          <w:p w14:paraId="50155F81" w14:textId="77777777" w:rsidR="002F5458" w:rsidRDefault="002F5458" w:rsidP="009C6430">
            <w:pPr>
              <w:jc w:val="right"/>
              <w:rPr>
                <w:rFonts w:ascii="Arial" w:hAnsi="Arial" w:cs="Arial"/>
                <w:b/>
                <w:bCs/>
                <w:sz w:val="24"/>
                <w:szCs w:val="24"/>
              </w:rPr>
            </w:pPr>
            <w:r>
              <w:rPr>
                <w:rFonts w:ascii="Arial" w:hAnsi="Arial" w:cs="Arial"/>
                <w:b/>
                <w:bCs/>
                <w:sz w:val="24"/>
                <w:szCs w:val="24"/>
              </w:rPr>
              <w:t>Currency</w:t>
            </w:r>
          </w:p>
          <w:p w14:paraId="5EFDAFFA" w14:textId="77777777" w:rsidR="002F5458" w:rsidRPr="000971B9" w:rsidRDefault="002F5458" w:rsidP="009C6430">
            <w:pPr>
              <w:jc w:val="right"/>
              <w:rPr>
                <w:rFonts w:ascii="Arial" w:hAnsi="Arial" w:cs="Arial"/>
                <w:b/>
                <w:bCs/>
                <w:sz w:val="24"/>
                <w:szCs w:val="24"/>
              </w:rPr>
            </w:pPr>
            <w:r w:rsidRPr="000971B9">
              <w:rPr>
                <w:rFonts w:ascii="Arial" w:hAnsi="Arial" w:cs="Arial"/>
                <w:b/>
                <w:bCs/>
                <w:sz w:val="24"/>
                <w:szCs w:val="24"/>
              </w:rPr>
              <w:t xml:space="preserve">Change  </w:t>
            </w:r>
          </w:p>
        </w:tc>
        <w:tc>
          <w:tcPr>
            <w:tcW w:w="618" w:type="pct"/>
            <w:tcBorders>
              <w:bottom w:val="single" w:sz="4" w:space="0" w:color="auto"/>
            </w:tcBorders>
          </w:tcPr>
          <w:p w14:paraId="4554FB09" w14:textId="77777777" w:rsidR="002F5458" w:rsidRPr="000971B9" w:rsidRDefault="002F5458" w:rsidP="009C6430">
            <w:pPr>
              <w:ind w:hanging="108"/>
              <w:jc w:val="right"/>
              <w:rPr>
                <w:rFonts w:ascii="Arial" w:hAnsi="Arial" w:cs="Arial"/>
                <w:b/>
                <w:bCs/>
                <w:sz w:val="24"/>
                <w:szCs w:val="24"/>
              </w:rPr>
            </w:pPr>
            <w:r w:rsidRPr="000971B9">
              <w:rPr>
                <w:rFonts w:ascii="Arial" w:hAnsi="Arial" w:cs="Arial"/>
                <w:b/>
                <w:bCs/>
                <w:sz w:val="24"/>
                <w:szCs w:val="24"/>
              </w:rPr>
              <w:t>% LFL</w:t>
            </w:r>
          </w:p>
          <w:p w14:paraId="682F73B7" w14:textId="77777777" w:rsidR="002F5458" w:rsidRPr="000971B9" w:rsidRDefault="002F5458" w:rsidP="009C6430">
            <w:pPr>
              <w:ind w:hanging="108"/>
              <w:jc w:val="right"/>
              <w:rPr>
                <w:rFonts w:ascii="Arial" w:hAnsi="Arial" w:cs="Arial"/>
                <w:b/>
                <w:bCs/>
                <w:sz w:val="24"/>
                <w:szCs w:val="24"/>
              </w:rPr>
            </w:pPr>
            <w:r w:rsidRPr="000971B9">
              <w:rPr>
                <w:rFonts w:ascii="Arial" w:hAnsi="Arial" w:cs="Arial"/>
                <w:b/>
                <w:bCs/>
                <w:sz w:val="24"/>
                <w:szCs w:val="24"/>
              </w:rPr>
              <w:t>Change</w:t>
            </w:r>
          </w:p>
        </w:tc>
      </w:tr>
      <w:tr w:rsidR="002F5458" w:rsidRPr="000971B9" w14:paraId="4BA20A86" w14:textId="77777777" w:rsidTr="009C6430">
        <w:trPr>
          <w:trHeight w:val="147"/>
        </w:trPr>
        <w:tc>
          <w:tcPr>
            <w:tcW w:w="1289" w:type="pct"/>
            <w:tcBorders>
              <w:bottom w:val="single" w:sz="4" w:space="0" w:color="auto"/>
            </w:tcBorders>
          </w:tcPr>
          <w:p w14:paraId="17FE752B" w14:textId="77777777" w:rsidR="002F5458" w:rsidRPr="004E7075" w:rsidRDefault="002F5458" w:rsidP="009C6430">
            <w:pPr>
              <w:rPr>
                <w:rFonts w:ascii="Arial" w:hAnsi="Arial" w:cs="Arial"/>
                <w:b/>
                <w:sz w:val="24"/>
                <w:szCs w:val="24"/>
              </w:rPr>
            </w:pPr>
            <w:r w:rsidRPr="004E7075">
              <w:rPr>
                <w:rFonts w:ascii="Arial" w:hAnsi="Arial" w:cs="Arial"/>
                <w:b/>
                <w:bCs/>
                <w:sz w:val="24"/>
                <w:szCs w:val="24"/>
              </w:rPr>
              <w:t>Sales</w:t>
            </w:r>
          </w:p>
        </w:tc>
        <w:tc>
          <w:tcPr>
            <w:tcW w:w="698" w:type="pct"/>
            <w:tcBorders>
              <w:bottom w:val="single" w:sz="4" w:space="0" w:color="auto"/>
            </w:tcBorders>
          </w:tcPr>
          <w:p w14:paraId="17E1A5CD" w14:textId="615C0D5B" w:rsidR="002F5458" w:rsidRPr="000971B9" w:rsidRDefault="002E5D72" w:rsidP="009C6430">
            <w:pPr>
              <w:jc w:val="right"/>
              <w:rPr>
                <w:rFonts w:ascii="Arial" w:hAnsi="Arial" w:cs="Arial"/>
                <w:sz w:val="24"/>
                <w:szCs w:val="24"/>
              </w:rPr>
            </w:pPr>
            <w:r>
              <w:rPr>
                <w:rFonts w:ascii="Arial" w:hAnsi="Arial" w:cs="Arial"/>
                <w:sz w:val="24"/>
                <w:szCs w:val="24"/>
              </w:rPr>
              <w:t>2,175</w:t>
            </w:r>
          </w:p>
        </w:tc>
        <w:tc>
          <w:tcPr>
            <w:tcW w:w="618" w:type="pct"/>
            <w:tcBorders>
              <w:bottom w:val="single" w:sz="4" w:space="0" w:color="auto"/>
            </w:tcBorders>
          </w:tcPr>
          <w:p w14:paraId="46A25F45" w14:textId="6F9CD3F7" w:rsidR="002F5458" w:rsidRPr="000971B9" w:rsidRDefault="00CB655D" w:rsidP="009C6430">
            <w:pPr>
              <w:jc w:val="right"/>
              <w:rPr>
                <w:rFonts w:ascii="Arial" w:hAnsi="Arial" w:cs="Arial"/>
                <w:sz w:val="24"/>
                <w:szCs w:val="24"/>
              </w:rPr>
            </w:pPr>
            <w:r>
              <w:rPr>
                <w:rFonts w:ascii="Arial" w:hAnsi="Arial" w:cs="Arial"/>
                <w:sz w:val="24"/>
                <w:szCs w:val="24"/>
              </w:rPr>
              <w:t>1,976</w:t>
            </w:r>
          </w:p>
        </w:tc>
        <w:tc>
          <w:tcPr>
            <w:tcW w:w="850" w:type="pct"/>
            <w:tcBorders>
              <w:bottom w:val="single" w:sz="4" w:space="0" w:color="auto"/>
            </w:tcBorders>
          </w:tcPr>
          <w:p w14:paraId="5E2DC3F0" w14:textId="5025F756" w:rsidR="002F5458" w:rsidRPr="000971B9" w:rsidRDefault="002E5D72">
            <w:pPr>
              <w:jc w:val="right"/>
              <w:rPr>
                <w:rFonts w:ascii="Arial" w:hAnsi="Arial" w:cs="Arial"/>
                <w:sz w:val="24"/>
                <w:szCs w:val="24"/>
              </w:rPr>
            </w:pPr>
            <w:r>
              <w:rPr>
                <w:rFonts w:ascii="Arial" w:hAnsi="Arial" w:cs="Arial"/>
                <w:sz w:val="24"/>
                <w:szCs w:val="24"/>
              </w:rPr>
              <w:t>+10.1%</w:t>
            </w:r>
          </w:p>
        </w:tc>
        <w:tc>
          <w:tcPr>
            <w:tcW w:w="927" w:type="pct"/>
            <w:tcBorders>
              <w:bottom w:val="single" w:sz="4" w:space="0" w:color="auto"/>
            </w:tcBorders>
          </w:tcPr>
          <w:p w14:paraId="1CC2C148" w14:textId="5B8E6EB7" w:rsidR="002F5458" w:rsidRPr="000971B9" w:rsidRDefault="002E5D72" w:rsidP="009C6430">
            <w:pPr>
              <w:jc w:val="right"/>
              <w:rPr>
                <w:rFonts w:ascii="Arial" w:hAnsi="Arial" w:cs="Arial"/>
                <w:sz w:val="24"/>
                <w:szCs w:val="24"/>
              </w:rPr>
            </w:pPr>
            <w:r>
              <w:rPr>
                <w:rFonts w:ascii="Arial" w:hAnsi="Arial" w:cs="Arial"/>
                <w:sz w:val="24"/>
                <w:szCs w:val="24"/>
              </w:rPr>
              <w:t>+0.3%</w:t>
            </w:r>
          </w:p>
        </w:tc>
        <w:tc>
          <w:tcPr>
            <w:tcW w:w="618" w:type="pct"/>
            <w:tcBorders>
              <w:bottom w:val="single" w:sz="4" w:space="0" w:color="auto"/>
            </w:tcBorders>
          </w:tcPr>
          <w:p w14:paraId="767D9AA1" w14:textId="265DFBAC" w:rsidR="002F5458" w:rsidRPr="000971B9" w:rsidRDefault="0047756B" w:rsidP="009C6430">
            <w:pPr>
              <w:jc w:val="right"/>
              <w:rPr>
                <w:rFonts w:ascii="Arial" w:hAnsi="Arial" w:cs="Arial"/>
                <w:sz w:val="24"/>
                <w:szCs w:val="24"/>
              </w:rPr>
            </w:pPr>
            <w:r>
              <w:rPr>
                <w:rFonts w:ascii="Arial" w:hAnsi="Arial" w:cs="Arial"/>
                <w:sz w:val="24"/>
                <w:szCs w:val="24"/>
              </w:rPr>
              <w:t>(</w:t>
            </w:r>
            <w:r w:rsidR="002E5D72">
              <w:rPr>
                <w:rFonts w:ascii="Arial" w:hAnsi="Arial" w:cs="Arial"/>
                <w:sz w:val="24"/>
                <w:szCs w:val="24"/>
              </w:rPr>
              <w:t>1.6</w:t>
            </w:r>
            <w:r>
              <w:rPr>
                <w:rFonts w:ascii="Arial" w:hAnsi="Arial" w:cs="Arial"/>
                <w:sz w:val="24"/>
                <w:szCs w:val="24"/>
              </w:rPr>
              <w:t>)</w:t>
            </w:r>
            <w:r w:rsidR="002E5D72">
              <w:rPr>
                <w:rFonts w:ascii="Arial" w:hAnsi="Arial" w:cs="Arial"/>
                <w:sz w:val="24"/>
                <w:szCs w:val="24"/>
              </w:rPr>
              <w:t>%</w:t>
            </w:r>
          </w:p>
        </w:tc>
      </w:tr>
      <w:tr w:rsidR="002F5458" w:rsidRPr="000971B9" w14:paraId="28C26082" w14:textId="77777777" w:rsidTr="00925EFB">
        <w:trPr>
          <w:gridAfter w:val="1"/>
          <w:wAfter w:w="618" w:type="pct"/>
        </w:trPr>
        <w:tc>
          <w:tcPr>
            <w:tcW w:w="1289" w:type="pct"/>
            <w:tcBorders>
              <w:top w:val="nil"/>
              <w:left w:val="nil"/>
              <w:bottom w:val="single" w:sz="4" w:space="0" w:color="auto"/>
              <w:right w:val="nil"/>
            </w:tcBorders>
          </w:tcPr>
          <w:p w14:paraId="227A9039" w14:textId="77777777" w:rsidR="002F5458" w:rsidRPr="004E7075" w:rsidRDefault="002F5458" w:rsidP="009C6430">
            <w:pPr>
              <w:rPr>
                <w:rFonts w:ascii="Arial" w:hAnsi="Arial" w:cs="Arial"/>
                <w:bCs/>
                <w:sz w:val="24"/>
                <w:szCs w:val="24"/>
              </w:rPr>
            </w:pPr>
          </w:p>
        </w:tc>
        <w:tc>
          <w:tcPr>
            <w:tcW w:w="698" w:type="pct"/>
            <w:tcBorders>
              <w:top w:val="nil"/>
              <w:left w:val="nil"/>
              <w:bottom w:val="single" w:sz="4" w:space="0" w:color="auto"/>
              <w:right w:val="nil"/>
            </w:tcBorders>
          </w:tcPr>
          <w:p w14:paraId="52FB9081" w14:textId="77777777" w:rsidR="002F5458" w:rsidRPr="000971B9" w:rsidRDefault="002F5458" w:rsidP="009C6430">
            <w:pPr>
              <w:jc w:val="right"/>
              <w:rPr>
                <w:rFonts w:ascii="Arial" w:hAnsi="Arial" w:cs="Arial"/>
                <w:sz w:val="24"/>
                <w:szCs w:val="24"/>
              </w:rPr>
            </w:pPr>
          </w:p>
        </w:tc>
        <w:tc>
          <w:tcPr>
            <w:tcW w:w="618" w:type="pct"/>
            <w:tcBorders>
              <w:top w:val="nil"/>
              <w:left w:val="nil"/>
              <w:bottom w:val="single" w:sz="4" w:space="0" w:color="auto"/>
              <w:right w:val="nil"/>
            </w:tcBorders>
          </w:tcPr>
          <w:p w14:paraId="17E38EBD" w14:textId="77777777" w:rsidR="002F5458" w:rsidRPr="000971B9" w:rsidRDefault="002F5458" w:rsidP="009C6430">
            <w:pPr>
              <w:jc w:val="right"/>
              <w:rPr>
                <w:rFonts w:ascii="Arial" w:hAnsi="Arial" w:cs="Arial"/>
                <w:sz w:val="24"/>
                <w:szCs w:val="24"/>
              </w:rPr>
            </w:pPr>
          </w:p>
        </w:tc>
        <w:tc>
          <w:tcPr>
            <w:tcW w:w="850" w:type="pct"/>
            <w:tcBorders>
              <w:top w:val="nil"/>
              <w:left w:val="nil"/>
              <w:bottom w:val="single" w:sz="4" w:space="0" w:color="auto"/>
              <w:right w:val="nil"/>
            </w:tcBorders>
          </w:tcPr>
          <w:p w14:paraId="0FE7B564" w14:textId="77777777" w:rsidR="002F5458" w:rsidRPr="000971B9" w:rsidRDefault="002F5458" w:rsidP="009C6430">
            <w:pPr>
              <w:jc w:val="right"/>
              <w:rPr>
                <w:rFonts w:ascii="Arial" w:hAnsi="Arial" w:cs="Arial"/>
                <w:sz w:val="24"/>
                <w:szCs w:val="24"/>
              </w:rPr>
            </w:pPr>
          </w:p>
        </w:tc>
        <w:tc>
          <w:tcPr>
            <w:tcW w:w="927" w:type="pct"/>
            <w:tcBorders>
              <w:top w:val="nil"/>
              <w:left w:val="nil"/>
              <w:bottom w:val="single" w:sz="4" w:space="0" w:color="auto"/>
              <w:right w:val="nil"/>
            </w:tcBorders>
          </w:tcPr>
          <w:p w14:paraId="472670CE" w14:textId="77777777" w:rsidR="002F5458" w:rsidRPr="000971B9" w:rsidRDefault="002F5458" w:rsidP="009C6430">
            <w:pPr>
              <w:jc w:val="right"/>
              <w:rPr>
                <w:rFonts w:ascii="Arial" w:hAnsi="Arial" w:cs="Arial"/>
                <w:sz w:val="24"/>
                <w:szCs w:val="24"/>
              </w:rPr>
            </w:pPr>
          </w:p>
        </w:tc>
      </w:tr>
      <w:tr w:rsidR="002F5458" w:rsidRPr="000971B9" w14:paraId="71ECC01E" w14:textId="77777777" w:rsidTr="00925EFB">
        <w:trPr>
          <w:gridAfter w:val="1"/>
          <w:wAfter w:w="618" w:type="pct"/>
        </w:trPr>
        <w:tc>
          <w:tcPr>
            <w:tcW w:w="1289" w:type="pct"/>
            <w:tcBorders>
              <w:top w:val="single" w:sz="4" w:space="0" w:color="auto"/>
              <w:bottom w:val="single" w:sz="4" w:space="0" w:color="auto"/>
            </w:tcBorders>
          </w:tcPr>
          <w:p w14:paraId="43FD349E" w14:textId="77777777" w:rsidR="002F5458" w:rsidRPr="004E7075" w:rsidRDefault="002F5458" w:rsidP="009C6430">
            <w:pPr>
              <w:rPr>
                <w:rFonts w:ascii="Arial" w:hAnsi="Arial" w:cs="Arial"/>
                <w:b/>
                <w:sz w:val="24"/>
                <w:szCs w:val="24"/>
              </w:rPr>
            </w:pPr>
            <w:r w:rsidRPr="004E7075">
              <w:rPr>
                <w:rFonts w:ascii="Arial" w:hAnsi="Arial" w:cs="Arial"/>
                <w:b/>
                <w:bCs/>
                <w:sz w:val="24"/>
                <w:szCs w:val="24"/>
              </w:rPr>
              <w:t>Retail profit</w:t>
            </w:r>
          </w:p>
        </w:tc>
        <w:tc>
          <w:tcPr>
            <w:tcW w:w="698" w:type="pct"/>
            <w:tcBorders>
              <w:top w:val="single" w:sz="4" w:space="0" w:color="auto"/>
              <w:bottom w:val="single" w:sz="4" w:space="0" w:color="auto"/>
            </w:tcBorders>
          </w:tcPr>
          <w:p w14:paraId="63D85F9F" w14:textId="34775CB7" w:rsidR="002F5458" w:rsidRPr="000971B9" w:rsidRDefault="0047756B" w:rsidP="009C6430">
            <w:pPr>
              <w:jc w:val="right"/>
              <w:rPr>
                <w:rFonts w:ascii="Arial" w:hAnsi="Arial" w:cs="Arial"/>
                <w:sz w:val="24"/>
                <w:szCs w:val="24"/>
              </w:rPr>
            </w:pPr>
            <w:r>
              <w:rPr>
                <w:rFonts w:ascii="Arial" w:hAnsi="Arial" w:cs="Arial"/>
                <w:sz w:val="24"/>
                <w:szCs w:val="24"/>
              </w:rPr>
              <w:t>187</w:t>
            </w:r>
          </w:p>
        </w:tc>
        <w:tc>
          <w:tcPr>
            <w:tcW w:w="618" w:type="pct"/>
            <w:tcBorders>
              <w:top w:val="single" w:sz="4" w:space="0" w:color="auto"/>
              <w:bottom w:val="single" w:sz="4" w:space="0" w:color="auto"/>
            </w:tcBorders>
          </w:tcPr>
          <w:p w14:paraId="7ED948E0" w14:textId="0FA1A208" w:rsidR="002F5458" w:rsidRPr="000971B9" w:rsidRDefault="002E5D72" w:rsidP="009C6430">
            <w:pPr>
              <w:jc w:val="right"/>
              <w:rPr>
                <w:rFonts w:ascii="Arial" w:hAnsi="Arial" w:cs="Arial"/>
                <w:sz w:val="24"/>
                <w:szCs w:val="24"/>
              </w:rPr>
            </w:pPr>
            <w:r>
              <w:rPr>
                <w:rFonts w:ascii="Arial" w:hAnsi="Arial" w:cs="Arial"/>
                <w:sz w:val="24"/>
                <w:szCs w:val="24"/>
              </w:rPr>
              <w:t>167</w:t>
            </w:r>
          </w:p>
        </w:tc>
        <w:tc>
          <w:tcPr>
            <w:tcW w:w="850" w:type="pct"/>
            <w:tcBorders>
              <w:top w:val="single" w:sz="4" w:space="0" w:color="auto"/>
              <w:bottom w:val="single" w:sz="4" w:space="0" w:color="auto"/>
            </w:tcBorders>
          </w:tcPr>
          <w:p w14:paraId="70CDABB7" w14:textId="6065D3B1" w:rsidR="002F5458" w:rsidRPr="0047756B" w:rsidRDefault="00316CF3">
            <w:pPr>
              <w:jc w:val="right"/>
              <w:rPr>
                <w:rFonts w:ascii="Arial" w:hAnsi="Arial" w:cs="Arial"/>
                <w:sz w:val="24"/>
                <w:szCs w:val="24"/>
              </w:rPr>
            </w:pPr>
            <w:r w:rsidRPr="0047756B">
              <w:rPr>
                <w:rFonts w:ascii="Arial" w:hAnsi="Arial" w:cs="Arial"/>
                <w:sz w:val="24"/>
                <w:szCs w:val="24"/>
              </w:rPr>
              <w:t>+</w:t>
            </w:r>
            <w:r w:rsidR="00A81B8B">
              <w:rPr>
                <w:rFonts w:ascii="Arial" w:hAnsi="Arial" w:cs="Arial"/>
                <w:sz w:val="24"/>
                <w:szCs w:val="24"/>
              </w:rPr>
              <w:t>11.5</w:t>
            </w:r>
            <w:r w:rsidRPr="0047756B">
              <w:rPr>
                <w:rFonts w:ascii="Arial" w:hAnsi="Arial" w:cs="Arial"/>
                <w:sz w:val="24"/>
                <w:szCs w:val="24"/>
              </w:rPr>
              <w:t>%</w:t>
            </w:r>
          </w:p>
        </w:tc>
        <w:tc>
          <w:tcPr>
            <w:tcW w:w="927" w:type="pct"/>
            <w:tcBorders>
              <w:top w:val="single" w:sz="4" w:space="0" w:color="auto"/>
              <w:bottom w:val="single" w:sz="4" w:space="0" w:color="auto"/>
            </w:tcBorders>
          </w:tcPr>
          <w:p w14:paraId="1D416C84" w14:textId="41ECF7E9" w:rsidR="002F5458" w:rsidRPr="0047756B" w:rsidRDefault="00721073" w:rsidP="009C6430">
            <w:pPr>
              <w:jc w:val="right"/>
              <w:rPr>
                <w:rFonts w:ascii="Arial" w:hAnsi="Arial" w:cs="Arial"/>
                <w:sz w:val="24"/>
                <w:szCs w:val="24"/>
              </w:rPr>
            </w:pPr>
            <w:r w:rsidRPr="0047756B">
              <w:rPr>
                <w:rFonts w:ascii="Arial" w:hAnsi="Arial" w:cs="Arial"/>
                <w:sz w:val="24"/>
                <w:szCs w:val="24"/>
              </w:rPr>
              <w:t>+</w:t>
            </w:r>
            <w:r w:rsidR="0047756B">
              <w:rPr>
                <w:rFonts w:ascii="Arial" w:hAnsi="Arial" w:cs="Arial"/>
                <w:sz w:val="24"/>
                <w:szCs w:val="24"/>
              </w:rPr>
              <w:t>1</w:t>
            </w:r>
            <w:r w:rsidR="00A81B8B">
              <w:rPr>
                <w:rFonts w:ascii="Arial" w:hAnsi="Arial" w:cs="Arial"/>
                <w:sz w:val="24"/>
                <w:szCs w:val="24"/>
              </w:rPr>
              <w:t>.</w:t>
            </w:r>
            <w:r w:rsidR="00DC3143">
              <w:rPr>
                <w:rFonts w:ascii="Arial" w:hAnsi="Arial" w:cs="Arial"/>
                <w:sz w:val="24"/>
                <w:szCs w:val="24"/>
              </w:rPr>
              <w:t>6</w:t>
            </w:r>
            <w:r w:rsidRPr="0047756B">
              <w:rPr>
                <w:rFonts w:ascii="Arial" w:hAnsi="Arial" w:cs="Arial"/>
                <w:sz w:val="24"/>
                <w:szCs w:val="24"/>
              </w:rPr>
              <w:t>%</w:t>
            </w:r>
          </w:p>
        </w:tc>
      </w:tr>
    </w:tbl>
    <w:p w14:paraId="229339A2" w14:textId="77777777" w:rsidR="002F5458" w:rsidRDefault="002F5458" w:rsidP="002F5458">
      <w:pPr>
        <w:jc w:val="left"/>
        <w:rPr>
          <w:rFonts w:ascii="Arial" w:hAnsi="Arial" w:cs="Arial"/>
          <w:b/>
          <w:bCs/>
          <w:sz w:val="24"/>
          <w:szCs w:val="24"/>
        </w:rPr>
      </w:pPr>
    </w:p>
    <w:p w14:paraId="0516C3B6" w14:textId="77777777" w:rsidR="002F5458" w:rsidRPr="000971B9" w:rsidRDefault="002F5458" w:rsidP="002F5458">
      <w:pPr>
        <w:jc w:val="left"/>
        <w:rPr>
          <w:rFonts w:ascii="Arial" w:hAnsi="Arial" w:cs="Arial"/>
          <w:b/>
          <w:bCs/>
          <w:sz w:val="24"/>
          <w:szCs w:val="24"/>
        </w:rPr>
      </w:pPr>
    </w:p>
    <w:p w14:paraId="555ED803" w14:textId="07CB2030" w:rsidR="002F5458" w:rsidRPr="00925EFB" w:rsidRDefault="002F5458" w:rsidP="002F5458">
      <w:pPr>
        <w:jc w:val="left"/>
        <w:rPr>
          <w:rFonts w:ascii="Arial" w:hAnsi="Arial" w:cs="Arial"/>
          <w:b/>
          <w:bCs/>
          <w:sz w:val="24"/>
          <w:szCs w:val="24"/>
        </w:rPr>
      </w:pPr>
      <w:r w:rsidRPr="0088235B">
        <w:rPr>
          <w:rFonts w:ascii="Arial" w:hAnsi="Arial" w:cs="Arial"/>
          <w:bCs/>
          <w:sz w:val="24"/>
          <w:szCs w:val="24"/>
        </w:rPr>
        <w:t xml:space="preserve">Kingfisher France sales increased </w:t>
      </w:r>
      <w:r w:rsidR="00921FFC">
        <w:rPr>
          <w:rFonts w:ascii="Arial" w:hAnsi="Arial" w:cs="Arial"/>
          <w:bCs/>
          <w:sz w:val="24"/>
          <w:szCs w:val="24"/>
        </w:rPr>
        <w:t xml:space="preserve">slightly </w:t>
      </w:r>
      <w:r w:rsidRPr="0088235B">
        <w:rPr>
          <w:rFonts w:ascii="Arial" w:hAnsi="Arial" w:cs="Arial"/>
          <w:bCs/>
          <w:sz w:val="24"/>
          <w:szCs w:val="24"/>
        </w:rPr>
        <w:t>by +</w:t>
      </w:r>
      <w:r w:rsidR="009C6430">
        <w:rPr>
          <w:rFonts w:ascii="Arial" w:hAnsi="Arial" w:cs="Arial"/>
          <w:bCs/>
          <w:sz w:val="24"/>
          <w:szCs w:val="24"/>
        </w:rPr>
        <w:t>0.3</w:t>
      </w:r>
      <w:r w:rsidRPr="0088235B">
        <w:rPr>
          <w:rFonts w:ascii="Arial" w:hAnsi="Arial" w:cs="Arial"/>
          <w:bCs/>
          <w:sz w:val="24"/>
          <w:szCs w:val="24"/>
        </w:rPr>
        <w:t>% (-</w:t>
      </w:r>
      <w:r w:rsidR="009C6430">
        <w:rPr>
          <w:rFonts w:ascii="Arial" w:hAnsi="Arial" w:cs="Arial"/>
          <w:bCs/>
          <w:sz w:val="24"/>
          <w:szCs w:val="24"/>
        </w:rPr>
        <w:t>1.6</w:t>
      </w:r>
      <w:r w:rsidRPr="0088235B">
        <w:rPr>
          <w:rFonts w:ascii="Arial" w:hAnsi="Arial" w:cs="Arial"/>
          <w:bCs/>
          <w:sz w:val="24"/>
          <w:szCs w:val="24"/>
        </w:rPr>
        <w:t>% LFL) to £</w:t>
      </w:r>
      <w:r w:rsidR="009C6430">
        <w:rPr>
          <w:rFonts w:ascii="Arial" w:hAnsi="Arial" w:cs="Arial"/>
          <w:bCs/>
          <w:sz w:val="24"/>
          <w:szCs w:val="24"/>
        </w:rPr>
        <w:t>2,175</w:t>
      </w:r>
      <w:r w:rsidRPr="0088235B">
        <w:rPr>
          <w:rFonts w:ascii="Arial" w:hAnsi="Arial" w:cs="Arial"/>
          <w:bCs/>
          <w:sz w:val="24"/>
          <w:szCs w:val="24"/>
        </w:rPr>
        <w:t xml:space="preserve"> million</w:t>
      </w:r>
      <w:r w:rsidR="00E16A6C">
        <w:rPr>
          <w:rFonts w:ascii="Arial" w:hAnsi="Arial" w:cs="Arial"/>
          <w:bCs/>
          <w:sz w:val="24"/>
          <w:szCs w:val="24"/>
        </w:rPr>
        <w:t xml:space="preserve">. </w:t>
      </w:r>
      <w:r w:rsidR="006D7C59" w:rsidRPr="00794760">
        <w:rPr>
          <w:rFonts w:ascii="Arial" w:hAnsi="Arial" w:cs="Arial"/>
          <w:sz w:val="24"/>
          <w:szCs w:val="24"/>
        </w:rPr>
        <w:t>According to Banque de France data</w:t>
      </w:r>
      <w:r w:rsidR="00A359EE">
        <w:rPr>
          <w:rFonts w:ascii="Arial" w:hAnsi="Arial" w:cs="Arial"/>
          <w:bCs/>
          <w:sz w:val="24"/>
          <w:szCs w:val="24"/>
        </w:rPr>
        <w:t>*</w:t>
      </w:r>
      <w:r w:rsidR="006D7C59" w:rsidRPr="00A359EE">
        <w:rPr>
          <w:rFonts w:ascii="Arial" w:hAnsi="Arial" w:cs="Arial"/>
          <w:sz w:val="24"/>
          <w:szCs w:val="24"/>
        </w:rPr>
        <w:t>,</w:t>
      </w:r>
      <w:r w:rsidR="00A359EE">
        <w:rPr>
          <w:rFonts w:ascii="Arial" w:hAnsi="Arial" w:cs="Arial"/>
          <w:sz w:val="24"/>
          <w:szCs w:val="24"/>
        </w:rPr>
        <w:t xml:space="preserve"> </w:t>
      </w:r>
      <w:r w:rsidR="006D7C59" w:rsidRPr="00794760">
        <w:rPr>
          <w:rFonts w:ascii="Arial" w:hAnsi="Arial" w:cs="Arial"/>
          <w:sz w:val="24"/>
          <w:szCs w:val="24"/>
        </w:rPr>
        <w:t xml:space="preserve">sales for the home improvement market </w:t>
      </w:r>
      <w:r w:rsidR="006D7C59" w:rsidRPr="00BA4620">
        <w:rPr>
          <w:rFonts w:ascii="Arial" w:hAnsi="Arial" w:cs="Arial"/>
          <w:sz w:val="24"/>
          <w:szCs w:val="24"/>
        </w:rPr>
        <w:t xml:space="preserve">were up </w:t>
      </w:r>
      <w:r w:rsidR="006D7C59" w:rsidRPr="002D364B">
        <w:rPr>
          <w:rFonts w:ascii="Arial" w:hAnsi="Arial" w:cs="Arial"/>
          <w:sz w:val="24"/>
          <w:szCs w:val="24"/>
        </w:rPr>
        <w:t>0.2</w:t>
      </w:r>
      <w:r w:rsidR="006D7C59" w:rsidRPr="00BA4620">
        <w:rPr>
          <w:rFonts w:ascii="Arial" w:hAnsi="Arial" w:cs="Arial"/>
          <w:sz w:val="24"/>
          <w:szCs w:val="24"/>
        </w:rPr>
        <w:t>%.</w:t>
      </w:r>
      <w:r w:rsidR="006D7C59">
        <w:rPr>
          <w:rFonts w:ascii="Arial" w:hAnsi="Arial" w:cs="Arial"/>
          <w:sz w:val="24"/>
          <w:szCs w:val="24"/>
        </w:rPr>
        <w:t xml:space="preserve"> </w:t>
      </w:r>
      <w:r w:rsidR="006042D8" w:rsidRPr="002D364B">
        <w:rPr>
          <w:rFonts w:ascii="Arial" w:hAnsi="Arial" w:cs="Arial"/>
          <w:bCs/>
          <w:sz w:val="24"/>
          <w:szCs w:val="24"/>
        </w:rPr>
        <w:t xml:space="preserve">New </w:t>
      </w:r>
      <w:r w:rsidR="00CE0CBC">
        <w:rPr>
          <w:rFonts w:ascii="Arial" w:hAnsi="Arial" w:cs="Arial"/>
          <w:bCs/>
          <w:sz w:val="24"/>
          <w:szCs w:val="24"/>
        </w:rPr>
        <w:t xml:space="preserve">private </w:t>
      </w:r>
      <w:r w:rsidR="006042D8" w:rsidRPr="002D364B">
        <w:rPr>
          <w:rFonts w:ascii="Arial" w:hAnsi="Arial" w:cs="Arial"/>
          <w:bCs/>
          <w:sz w:val="24"/>
          <w:szCs w:val="24"/>
        </w:rPr>
        <w:t>housing starts</w:t>
      </w:r>
      <w:r w:rsidR="006042D8" w:rsidRPr="001D7300">
        <w:rPr>
          <w:rFonts w:ascii="Arial" w:hAnsi="Arial" w:cs="Arial"/>
          <w:bCs/>
          <w:sz w:val="24"/>
          <w:szCs w:val="24"/>
        </w:rPr>
        <w:t xml:space="preserve"> </w:t>
      </w:r>
      <w:r w:rsidR="006042D8" w:rsidRPr="002D364B">
        <w:rPr>
          <w:rFonts w:ascii="Arial" w:hAnsi="Arial" w:cs="Arial"/>
          <w:bCs/>
          <w:sz w:val="24"/>
          <w:szCs w:val="24"/>
        </w:rPr>
        <w:t>and planning permits</w:t>
      </w:r>
      <w:r w:rsidR="006042D8">
        <w:rPr>
          <w:rFonts w:ascii="Arial" w:hAnsi="Arial" w:cs="Arial"/>
          <w:bCs/>
          <w:sz w:val="24"/>
          <w:szCs w:val="24"/>
        </w:rPr>
        <w:t>* were</w:t>
      </w:r>
      <w:r w:rsidR="006042D8" w:rsidRPr="002D364B">
        <w:rPr>
          <w:rFonts w:ascii="Arial" w:hAnsi="Arial" w:cs="Arial"/>
          <w:bCs/>
          <w:sz w:val="24"/>
          <w:szCs w:val="24"/>
        </w:rPr>
        <w:t xml:space="preserve"> up</w:t>
      </w:r>
      <w:r w:rsidR="006042D8">
        <w:rPr>
          <w:rFonts w:ascii="Arial" w:hAnsi="Arial" w:cs="Arial"/>
          <w:bCs/>
          <w:sz w:val="24"/>
          <w:szCs w:val="24"/>
        </w:rPr>
        <w:t xml:space="preserve"> </w:t>
      </w:r>
      <w:r w:rsidR="00CE0CBC">
        <w:rPr>
          <w:rFonts w:ascii="Arial" w:hAnsi="Arial" w:cs="Arial"/>
          <w:bCs/>
          <w:sz w:val="24"/>
          <w:szCs w:val="24"/>
        </w:rPr>
        <w:t>2.5</w:t>
      </w:r>
      <w:r w:rsidR="006042D8" w:rsidRPr="0020209B">
        <w:rPr>
          <w:rFonts w:ascii="Arial" w:hAnsi="Arial" w:cs="Arial"/>
          <w:bCs/>
          <w:sz w:val="24"/>
          <w:szCs w:val="24"/>
        </w:rPr>
        <w:t>%</w:t>
      </w:r>
      <w:r w:rsidR="006042D8" w:rsidRPr="00354A9E">
        <w:rPr>
          <w:rFonts w:ascii="Arial" w:hAnsi="Arial" w:cs="Arial"/>
          <w:bCs/>
          <w:sz w:val="24"/>
          <w:szCs w:val="24"/>
        </w:rPr>
        <w:t xml:space="preserve"> and </w:t>
      </w:r>
      <w:r w:rsidR="00CE0CBC">
        <w:rPr>
          <w:rFonts w:ascii="Arial" w:hAnsi="Arial" w:cs="Arial"/>
          <w:bCs/>
          <w:sz w:val="24"/>
          <w:szCs w:val="24"/>
        </w:rPr>
        <w:t>1.4</w:t>
      </w:r>
      <w:r w:rsidR="006042D8" w:rsidRPr="0020209B">
        <w:rPr>
          <w:rFonts w:ascii="Arial" w:hAnsi="Arial" w:cs="Arial"/>
          <w:bCs/>
          <w:sz w:val="24"/>
          <w:szCs w:val="24"/>
        </w:rPr>
        <w:t>%</w:t>
      </w:r>
      <w:r w:rsidR="006042D8">
        <w:rPr>
          <w:rFonts w:ascii="Arial" w:hAnsi="Arial" w:cs="Arial"/>
          <w:bCs/>
          <w:sz w:val="24"/>
          <w:szCs w:val="24"/>
        </w:rPr>
        <w:t xml:space="preserve"> respectively</w:t>
      </w:r>
      <w:r w:rsidR="00E53A31">
        <w:rPr>
          <w:rFonts w:ascii="Arial" w:hAnsi="Arial" w:cs="Arial"/>
          <w:bCs/>
          <w:sz w:val="24"/>
          <w:szCs w:val="24"/>
        </w:rPr>
        <w:t xml:space="preserve"> in the six months to </w:t>
      </w:r>
      <w:r w:rsidR="00106BDC">
        <w:rPr>
          <w:rFonts w:ascii="Arial" w:hAnsi="Arial" w:cs="Arial"/>
          <w:bCs/>
          <w:sz w:val="24"/>
          <w:szCs w:val="24"/>
        </w:rPr>
        <w:t xml:space="preserve">the </w:t>
      </w:r>
      <w:r w:rsidR="00E53A31">
        <w:rPr>
          <w:rFonts w:ascii="Arial" w:hAnsi="Arial" w:cs="Arial"/>
          <w:bCs/>
          <w:sz w:val="24"/>
          <w:szCs w:val="24"/>
        </w:rPr>
        <w:t>end of July</w:t>
      </w:r>
      <w:r w:rsidR="006042D8">
        <w:rPr>
          <w:rFonts w:ascii="Arial" w:hAnsi="Arial" w:cs="Arial"/>
          <w:bCs/>
          <w:sz w:val="24"/>
          <w:szCs w:val="24"/>
        </w:rPr>
        <w:t>.</w:t>
      </w:r>
      <w:r w:rsidR="006042D8" w:rsidRPr="00794760">
        <w:rPr>
          <w:rFonts w:ascii="Arial" w:hAnsi="Arial" w:cs="Arial"/>
          <w:bCs/>
          <w:sz w:val="24"/>
          <w:szCs w:val="24"/>
        </w:rPr>
        <w:t xml:space="preserve"> </w:t>
      </w:r>
      <w:r w:rsidR="00E16A6C" w:rsidRPr="00E16A6C">
        <w:rPr>
          <w:rFonts w:ascii="Arial" w:hAnsi="Arial" w:cs="Arial"/>
          <w:bCs/>
          <w:sz w:val="24"/>
          <w:szCs w:val="24"/>
        </w:rPr>
        <w:t>W</w:t>
      </w:r>
      <w:r w:rsidR="00E16A6C" w:rsidRPr="00E16A6C">
        <w:rPr>
          <w:rFonts w:ascii="Arial" w:hAnsi="Arial" w:cs="Arial"/>
          <w:color w:val="000000"/>
          <w:sz w:val="24"/>
          <w:szCs w:val="24"/>
        </w:rPr>
        <w:t>idespread industrial action and exceptionally wet weather created a more challenging environment in Q2 after a more encouraging Q1</w:t>
      </w:r>
      <w:r w:rsidR="00B35241" w:rsidRPr="00E16A6C">
        <w:rPr>
          <w:rFonts w:ascii="Arial" w:hAnsi="Arial" w:cs="Arial"/>
          <w:bCs/>
          <w:sz w:val="24"/>
          <w:szCs w:val="24"/>
        </w:rPr>
        <w:t>.</w:t>
      </w:r>
      <w:r w:rsidR="006D7C59">
        <w:rPr>
          <w:rFonts w:ascii="Arial" w:hAnsi="Arial" w:cs="Arial"/>
          <w:bCs/>
          <w:sz w:val="24"/>
          <w:szCs w:val="24"/>
        </w:rPr>
        <w:t xml:space="preserve"> </w:t>
      </w:r>
    </w:p>
    <w:p w14:paraId="3291BC17" w14:textId="77777777" w:rsidR="002F5458" w:rsidRPr="001F13CA" w:rsidRDefault="002F5458" w:rsidP="002F5458">
      <w:pPr>
        <w:jc w:val="left"/>
        <w:rPr>
          <w:rFonts w:ascii="Arial" w:hAnsi="Arial" w:cs="Arial"/>
          <w:bCs/>
          <w:sz w:val="24"/>
          <w:szCs w:val="24"/>
          <w:highlight w:val="yellow"/>
        </w:rPr>
      </w:pPr>
    </w:p>
    <w:p w14:paraId="1BE97F65" w14:textId="08E5ACDE" w:rsidR="002F5458" w:rsidRPr="001F13CA" w:rsidRDefault="002F5458" w:rsidP="002F5458">
      <w:pPr>
        <w:jc w:val="left"/>
        <w:rPr>
          <w:rFonts w:ascii="Arial" w:hAnsi="Arial" w:cs="Arial"/>
          <w:bCs/>
          <w:sz w:val="24"/>
          <w:szCs w:val="24"/>
          <w:highlight w:val="yellow"/>
        </w:rPr>
      </w:pPr>
      <w:r w:rsidRPr="00A3536C">
        <w:rPr>
          <w:rFonts w:ascii="Arial" w:hAnsi="Arial" w:cs="Arial"/>
          <w:bCs/>
          <w:sz w:val="24"/>
          <w:szCs w:val="24"/>
        </w:rPr>
        <w:t xml:space="preserve">Across the two businesses, </w:t>
      </w:r>
      <w:r w:rsidR="0036279F">
        <w:rPr>
          <w:rFonts w:ascii="Arial" w:hAnsi="Arial" w:cs="Arial"/>
          <w:bCs/>
          <w:sz w:val="24"/>
          <w:szCs w:val="24"/>
        </w:rPr>
        <w:t>one</w:t>
      </w:r>
      <w:r w:rsidRPr="00A3536C">
        <w:rPr>
          <w:rFonts w:ascii="Arial" w:hAnsi="Arial" w:cs="Arial"/>
          <w:bCs/>
          <w:sz w:val="24"/>
          <w:szCs w:val="24"/>
        </w:rPr>
        <w:t xml:space="preserve"> </w:t>
      </w:r>
      <w:r>
        <w:rPr>
          <w:rFonts w:ascii="Arial" w:hAnsi="Arial" w:cs="Arial"/>
          <w:bCs/>
          <w:sz w:val="24"/>
          <w:szCs w:val="24"/>
        </w:rPr>
        <w:t xml:space="preserve">net </w:t>
      </w:r>
      <w:r w:rsidRPr="00A3536C">
        <w:rPr>
          <w:rFonts w:ascii="Arial" w:hAnsi="Arial" w:cs="Arial"/>
          <w:bCs/>
          <w:sz w:val="24"/>
          <w:szCs w:val="24"/>
        </w:rPr>
        <w:t>new store w</w:t>
      </w:r>
      <w:r w:rsidR="00BA4620">
        <w:rPr>
          <w:rFonts w:ascii="Arial" w:hAnsi="Arial" w:cs="Arial"/>
          <w:bCs/>
          <w:sz w:val="24"/>
          <w:szCs w:val="24"/>
        </w:rPr>
        <w:t>as</w:t>
      </w:r>
      <w:r w:rsidRPr="00A3536C">
        <w:rPr>
          <w:rFonts w:ascii="Arial" w:hAnsi="Arial" w:cs="Arial"/>
          <w:bCs/>
          <w:sz w:val="24"/>
          <w:szCs w:val="24"/>
        </w:rPr>
        <w:t xml:space="preserve"> opened and </w:t>
      </w:r>
      <w:r w:rsidR="0036279F">
        <w:rPr>
          <w:rFonts w:ascii="Arial" w:hAnsi="Arial" w:cs="Arial"/>
          <w:bCs/>
          <w:sz w:val="24"/>
          <w:szCs w:val="24"/>
        </w:rPr>
        <w:t>four</w:t>
      </w:r>
      <w:r>
        <w:rPr>
          <w:rFonts w:ascii="Arial" w:hAnsi="Arial" w:cs="Arial"/>
          <w:bCs/>
          <w:sz w:val="24"/>
          <w:szCs w:val="24"/>
        </w:rPr>
        <w:t xml:space="preserve"> were</w:t>
      </w:r>
      <w:r w:rsidRPr="009B2EEF">
        <w:rPr>
          <w:rFonts w:ascii="Arial" w:hAnsi="Arial" w:cs="Arial"/>
          <w:bCs/>
          <w:sz w:val="24"/>
          <w:szCs w:val="24"/>
        </w:rPr>
        <w:t xml:space="preserve"> revamped,</w:t>
      </w:r>
      <w:r w:rsidRPr="00A3536C">
        <w:rPr>
          <w:rFonts w:ascii="Arial" w:hAnsi="Arial" w:cs="Arial"/>
          <w:bCs/>
          <w:sz w:val="24"/>
          <w:szCs w:val="24"/>
        </w:rPr>
        <w:t xml:space="preserve"> </w:t>
      </w:r>
      <w:r w:rsidRPr="0036279F">
        <w:rPr>
          <w:rFonts w:ascii="Arial" w:hAnsi="Arial" w:cs="Arial"/>
          <w:bCs/>
          <w:sz w:val="24"/>
          <w:szCs w:val="24"/>
        </w:rPr>
        <w:t xml:space="preserve">adding around </w:t>
      </w:r>
      <w:r w:rsidR="0036279F" w:rsidRPr="00925EFB">
        <w:rPr>
          <w:rFonts w:ascii="Arial" w:hAnsi="Arial" w:cs="Arial"/>
          <w:bCs/>
          <w:sz w:val="24"/>
          <w:szCs w:val="24"/>
        </w:rPr>
        <w:t>1</w:t>
      </w:r>
      <w:r w:rsidRPr="0036279F">
        <w:rPr>
          <w:rFonts w:ascii="Arial" w:hAnsi="Arial" w:cs="Arial"/>
          <w:bCs/>
          <w:sz w:val="24"/>
          <w:szCs w:val="24"/>
        </w:rPr>
        <w:t xml:space="preserve">% new space. </w:t>
      </w:r>
    </w:p>
    <w:p w14:paraId="67C912A4" w14:textId="77777777" w:rsidR="002F5458" w:rsidRPr="001F13CA" w:rsidRDefault="002F5458" w:rsidP="002F5458">
      <w:pPr>
        <w:jc w:val="left"/>
        <w:rPr>
          <w:rFonts w:ascii="Arial" w:hAnsi="Arial" w:cs="Arial"/>
          <w:bCs/>
          <w:sz w:val="24"/>
          <w:szCs w:val="24"/>
          <w:highlight w:val="yellow"/>
        </w:rPr>
      </w:pPr>
    </w:p>
    <w:p w14:paraId="3F86F6A5" w14:textId="169E9194" w:rsidR="008011DB" w:rsidRDefault="008011DB" w:rsidP="002F5458">
      <w:pPr>
        <w:jc w:val="left"/>
        <w:rPr>
          <w:rFonts w:ascii="Arial" w:hAnsi="Arial" w:cs="Arial"/>
          <w:bCs/>
          <w:sz w:val="24"/>
          <w:szCs w:val="24"/>
        </w:rPr>
      </w:pPr>
      <w:r>
        <w:rPr>
          <w:rFonts w:ascii="Arial" w:hAnsi="Arial" w:cs="Arial"/>
          <w:bCs/>
          <w:sz w:val="24"/>
          <w:szCs w:val="24"/>
        </w:rPr>
        <w:t>Retail profit grew by 1.</w:t>
      </w:r>
      <w:r w:rsidR="00DC3143">
        <w:rPr>
          <w:rFonts w:ascii="Arial" w:hAnsi="Arial" w:cs="Arial"/>
          <w:bCs/>
          <w:sz w:val="24"/>
          <w:szCs w:val="24"/>
        </w:rPr>
        <w:t>6</w:t>
      </w:r>
      <w:r>
        <w:rPr>
          <w:rFonts w:ascii="Arial" w:hAnsi="Arial" w:cs="Arial"/>
          <w:bCs/>
          <w:sz w:val="24"/>
          <w:szCs w:val="24"/>
        </w:rPr>
        <w:t>% to £187</w:t>
      </w:r>
      <w:r w:rsidR="00A359EE">
        <w:rPr>
          <w:rFonts w:ascii="Arial" w:hAnsi="Arial" w:cs="Arial"/>
          <w:bCs/>
          <w:sz w:val="24"/>
          <w:szCs w:val="24"/>
        </w:rPr>
        <w:t xml:space="preserve"> </w:t>
      </w:r>
      <w:r>
        <w:rPr>
          <w:rFonts w:ascii="Arial" w:hAnsi="Arial" w:cs="Arial"/>
          <w:bCs/>
          <w:sz w:val="24"/>
          <w:szCs w:val="24"/>
        </w:rPr>
        <w:t>million</w:t>
      </w:r>
      <w:r w:rsidR="000B34A0">
        <w:rPr>
          <w:rFonts w:ascii="Arial" w:hAnsi="Arial" w:cs="Arial"/>
          <w:bCs/>
          <w:sz w:val="24"/>
          <w:szCs w:val="24"/>
        </w:rPr>
        <w:t xml:space="preserve"> </w:t>
      </w:r>
      <w:r w:rsidR="000B34A0" w:rsidRPr="00B747EB">
        <w:rPr>
          <w:rFonts w:ascii="Arial" w:hAnsi="Arial" w:cs="Arial"/>
          <w:bCs/>
          <w:sz w:val="24"/>
          <w:szCs w:val="24"/>
          <w:vertAlign w:val="superscript"/>
        </w:rPr>
        <w:t>(1)</w:t>
      </w:r>
      <w:r>
        <w:rPr>
          <w:rFonts w:ascii="Arial" w:hAnsi="Arial" w:cs="Arial"/>
          <w:bCs/>
          <w:sz w:val="24"/>
          <w:szCs w:val="24"/>
        </w:rPr>
        <w:t>, despite the weaker sales, reflecting higher gross margins (+70 basis points)</w:t>
      </w:r>
      <w:r w:rsidR="00E31BE7">
        <w:rPr>
          <w:rFonts w:ascii="Arial" w:hAnsi="Arial" w:cs="Arial"/>
          <w:bCs/>
          <w:sz w:val="24"/>
          <w:szCs w:val="24"/>
        </w:rPr>
        <w:t xml:space="preserve"> benefitting from less promotional activity,</w:t>
      </w:r>
      <w:r>
        <w:rPr>
          <w:rFonts w:ascii="Arial" w:hAnsi="Arial" w:cs="Arial"/>
          <w:bCs/>
          <w:sz w:val="24"/>
          <w:szCs w:val="24"/>
        </w:rPr>
        <w:t xml:space="preserve"> and continued focus on cost control.</w:t>
      </w:r>
      <w:r w:rsidR="00050886">
        <w:rPr>
          <w:rFonts w:ascii="Arial" w:hAnsi="Arial" w:cs="Arial"/>
          <w:bCs/>
          <w:sz w:val="24"/>
          <w:szCs w:val="24"/>
        </w:rPr>
        <w:t xml:space="preserve"> </w:t>
      </w:r>
    </w:p>
    <w:p w14:paraId="662E9176" w14:textId="77777777" w:rsidR="002F5458" w:rsidRPr="001F13CA" w:rsidRDefault="002F5458" w:rsidP="002F5458">
      <w:pPr>
        <w:jc w:val="left"/>
        <w:rPr>
          <w:rFonts w:ascii="Arial" w:hAnsi="Arial" w:cs="Arial"/>
          <w:color w:val="FF0000"/>
          <w:sz w:val="24"/>
          <w:szCs w:val="24"/>
          <w:highlight w:val="yellow"/>
        </w:rPr>
      </w:pPr>
    </w:p>
    <w:p w14:paraId="238F3662" w14:textId="6CA78B32" w:rsidR="002F5458" w:rsidRPr="00737617" w:rsidRDefault="002F5458" w:rsidP="002F5458">
      <w:pPr>
        <w:jc w:val="left"/>
        <w:rPr>
          <w:rFonts w:ascii="Arial" w:hAnsi="Arial" w:cs="Arial"/>
          <w:sz w:val="24"/>
          <w:szCs w:val="24"/>
        </w:rPr>
      </w:pPr>
      <w:r w:rsidRPr="00794760">
        <w:rPr>
          <w:rFonts w:ascii="Arial" w:hAnsi="Arial" w:cs="Arial"/>
          <w:b/>
          <w:bCs/>
          <w:sz w:val="24"/>
          <w:szCs w:val="24"/>
        </w:rPr>
        <w:t>Castorama</w:t>
      </w:r>
      <w:r w:rsidRPr="00794760">
        <w:rPr>
          <w:rFonts w:ascii="Arial" w:hAnsi="Arial" w:cs="Arial"/>
          <w:sz w:val="24"/>
          <w:szCs w:val="24"/>
        </w:rPr>
        <w:t xml:space="preserve"> total sales </w:t>
      </w:r>
      <w:r w:rsidR="009C6430">
        <w:rPr>
          <w:rFonts w:ascii="Arial" w:hAnsi="Arial" w:cs="Arial"/>
          <w:sz w:val="24"/>
          <w:szCs w:val="24"/>
        </w:rPr>
        <w:t>declined</w:t>
      </w:r>
      <w:r w:rsidRPr="00794760">
        <w:rPr>
          <w:rFonts w:ascii="Arial" w:hAnsi="Arial" w:cs="Arial"/>
          <w:sz w:val="24"/>
          <w:szCs w:val="24"/>
        </w:rPr>
        <w:t xml:space="preserve"> by </w:t>
      </w:r>
      <w:r w:rsidR="009C6430">
        <w:rPr>
          <w:rFonts w:ascii="Arial" w:hAnsi="Arial" w:cs="Arial"/>
          <w:sz w:val="24"/>
          <w:szCs w:val="24"/>
        </w:rPr>
        <w:t>1.1</w:t>
      </w:r>
      <w:r w:rsidRPr="00794760">
        <w:rPr>
          <w:rFonts w:ascii="Arial" w:hAnsi="Arial" w:cs="Arial"/>
          <w:sz w:val="24"/>
          <w:szCs w:val="24"/>
        </w:rPr>
        <w:t>% (-</w:t>
      </w:r>
      <w:r w:rsidR="009C6430">
        <w:rPr>
          <w:rFonts w:ascii="Arial" w:hAnsi="Arial" w:cs="Arial"/>
          <w:sz w:val="24"/>
          <w:szCs w:val="24"/>
        </w:rPr>
        <w:t>2.1</w:t>
      </w:r>
      <w:r w:rsidRPr="00794760">
        <w:rPr>
          <w:rFonts w:ascii="Arial" w:hAnsi="Arial" w:cs="Arial"/>
          <w:sz w:val="24"/>
          <w:szCs w:val="24"/>
        </w:rPr>
        <w:t>% LFL) to £</w:t>
      </w:r>
      <w:r w:rsidR="00AC2B0B">
        <w:rPr>
          <w:rFonts w:ascii="Arial" w:hAnsi="Arial" w:cs="Arial"/>
          <w:sz w:val="24"/>
          <w:szCs w:val="24"/>
        </w:rPr>
        <w:t>1</w:t>
      </w:r>
      <w:r w:rsidRPr="00794760">
        <w:rPr>
          <w:rFonts w:ascii="Arial" w:hAnsi="Arial" w:cs="Arial"/>
          <w:sz w:val="24"/>
          <w:szCs w:val="24"/>
        </w:rPr>
        <w:t>,</w:t>
      </w:r>
      <w:r w:rsidR="00AC2B0B">
        <w:rPr>
          <w:rFonts w:ascii="Arial" w:hAnsi="Arial" w:cs="Arial"/>
          <w:sz w:val="24"/>
          <w:szCs w:val="24"/>
        </w:rPr>
        <w:t>188</w:t>
      </w:r>
      <w:r w:rsidR="00AC2B0B" w:rsidRPr="00794760">
        <w:rPr>
          <w:rFonts w:ascii="Arial" w:hAnsi="Arial" w:cs="Arial"/>
          <w:sz w:val="24"/>
          <w:szCs w:val="24"/>
        </w:rPr>
        <w:t xml:space="preserve"> </w:t>
      </w:r>
      <w:r w:rsidRPr="00794760">
        <w:rPr>
          <w:rFonts w:ascii="Arial" w:hAnsi="Arial" w:cs="Arial"/>
          <w:sz w:val="24"/>
          <w:szCs w:val="24"/>
        </w:rPr>
        <w:t>million</w:t>
      </w:r>
      <w:r w:rsidR="006D7C59">
        <w:rPr>
          <w:rFonts w:ascii="Arial" w:hAnsi="Arial" w:cs="Arial"/>
          <w:sz w:val="24"/>
          <w:szCs w:val="24"/>
        </w:rPr>
        <w:t>.</w:t>
      </w:r>
      <w:r w:rsidRPr="00794760">
        <w:rPr>
          <w:rFonts w:ascii="Arial" w:hAnsi="Arial" w:cs="Arial"/>
          <w:sz w:val="24"/>
          <w:szCs w:val="24"/>
        </w:rPr>
        <w:t xml:space="preserve"> </w:t>
      </w:r>
      <w:r w:rsidRPr="00737617">
        <w:rPr>
          <w:rFonts w:ascii="Arial" w:hAnsi="Arial" w:cs="Arial"/>
          <w:sz w:val="24"/>
          <w:szCs w:val="24"/>
        </w:rPr>
        <w:t xml:space="preserve">LFL sales of outdoor seasonal products were </w:t>
      </w:r>
      <w:r w:rsidR="00BA4620">
        <w:rPr>
          <w:rFonts w:ascii="Arial" w:hAnsi="Arial" w:cs="Arial"/>
          <w:sz w:val="24"/>
          <w:szCs w:val="24"/>
        </w:rPr>
        <w:t>down</w:t>
      </w:r>
      <w:r w:rsidRPr="00737617">
        <w:rPr>
          <w:rFonts w:ascii="Arial" w:hAnsi="Arial" w:cs="Arial"/>
          <w:sz w:val="24"/>
          <w:szCs w:val="24"/>
        </w:rPr>
        <w:t xml:space="preserve"> </w:t>
      </w:r>
      <w:r w:rsidR="00BA4620">
        <w:rPr>
          <w:rFonts w:ascii="Arial" w:hAnsi="Arial" w:cs="Arial"/>
          <w:sz w:val="24"/>
          <w:szCs w:val="24"/>
        </w:rPr>
        <w:t>6.2</w:t>
      </w:r>
      <w:r w:rsidRPr="00737617">
        <w:rPr>
          <w:rFonts w:ascii="Arial" w:hAnsi="Arial" w:cs="Arial"/>
          <w:sz w:val="24"/>
          <w:szCs w:val="24"/>
        </w:rPr>
        <w:t xml:space="preserve">% and sales of indoor and building products were down </w:t>
      </w:r>
      <w:r w:rsidR="00BA4620">
        <w:rPr>
          <w:rFonts w:ascii="Arial" w:hAnsi="Arial" w:cs="Arial"/>
          <w:sz w:val="24"/>
          <w:szCs w:val="24"/>
        </w:rPr>
        <w:t>1.3</w:t>
      </w:r>
      <w:r w:rsidRPr="00737617">
        <w:rPr>
          <w:rFonts w:ascii="Arial" w:hAnsi="Arial" w:cs="Arial"/>
          <w:sz w:val="24"/>
          <w:szCs w:val="24"/>
        </w:rPr>
        <w:t xml:space="preserve">%.  </w:t>
      </w:r>
    </w:p>
    <w:p w14:paraId="48261143" w14:textId="77777777" w:rsidR="002F5458" w:rsidRPr="001F13CA" w:rsidRDefault="002F5458" w:rsidP="002F5458">
      <w:pPr>
        <w:jc w:val="left"/>
        <w:rPr>
          <w:rFonts w:ascii="Arial" w:hAnsi="Arial" w:cs="Arial"/>
          <w:color w:val="FF0000"/>
          <w:sz w:val="24"/>
          <w:szCs w:val="24"/>
          <w:highlight w:val="yellow"/>
        </w:rPr>
      </w:pPr>
    </w:p>
    <w:p w14:paraId="0BA28CDE" w14:textId="0AF79DC6" w:rsidR="002F5458" w:rsidRDefault="002F5458">
      <w:pPr>
        <w:jc w:val="left"/>
        <w:rPr>
          <w:rFonts w:ascii="Arial" w:hAnsi="Arial" w:cs="Arial"/>
          <w:b/>
          <w:bCs/>
          <w:sz w:val="24"/>
          <w:szCs w:val="24"/>
        </w:rPr>
      </w:pPr>
      <w:r w:rsidRPr="00794760">
        <w:rPr>
          <w:rFonts w:ascii="Arial" w:hAnsi="Arial" w:cs="Arial"/>
          <w:b/>
          <w:bCs/>
          <w:sz w:val="24"/>
          <w:szCs w:val="24"/>
        </w:rPr>
        <w:t>Brico Dépôt</w:t>
      </w:r>
      <w:r>
        <w:rPr>
          <w:rFonts w:ascii="Arial" w:hAnsi="Arial" w:cs="Arial"/>
          <w:bCs/>
          <w:sz w:val="24"/>
          <w:szCs w:val="24"/>
        </w:rPr>
        <w:t xml:space="preserve"> t</w:t>
      </w:r>
      <w:r w:rsidRPr="00794760">
        <w:rPr>
          <w:rFonts w:ascii="Arial" w:hAnsi="Arial" w:cs="Arial"/>
          <w:bCs/>
          <w:sz w:val="24"/>
          <w:szCs w:val="24"/>
        </w:rPr>
        <w:t xml:space="preserve">otal sales increased by </w:t>
      </w:r>
      <w:r w:rsidR="009C6430">
        <w:rPr>
          <w:rFonts w:ascii="Arial" w:hAnsi="Arial" w:cs="Arial"/>
          <w:bCs/>
          <w:sz w:val="24"/>
          <w:szCs w:val="24"/>
        </w:rPr>
        <w:t>2.1</w:t>
      </w:r>
      <w:r w:rsidRPr="00794760">
        <w:rPr>
          <w:rFonts w:ascii="Arial" w:hAnsi="Arial" w:cs="Arial"/>
          <w:bCs/>
          <w:sz w:val="24"/>
          <w:szCs w:val="24"/>
        </w:rPr>
        <w:t>% (-0.</w:t>
      </w:r>
      <w:r w:rsidR="009C6430">
        <w:rPr>
          <w:rFonts w:ascii="Arial" w:hAnsi="Arial" w:cs="Arial"/>
          <w:bCs/>
          <w:sz w:val="24"/>
          <w:szCs w:val="24"/>
        </w:rPr>
        <w:t>9</w:t>
      </w:r>
      <w:r w:rsidRPr="00794760">
        <w:rPr>
          <w:rFonts w:ascii="Arial" w:hAnsi="Arial" w:cs="Arial"/>
          <w:bCs/>
          <w:sz w:val="24"/>
          <w:szCs w:val="24"/>
        </w:rPr>
        <w:t>% LFL) to £</w:t>
      </w:r>
      <w:r w:rsidR="009C6430">
        <w:rPr>
          <w:rFonts w:ascii="Arial" w:hAnsi="Arial" w:cs="Arial"/>
          <w:bCs/>
          <w:sz w:val="24"/>
          <w:szCs w:val="24"/>
        </w:rPr>
        <w:t>987</w:t>
      </w:r>
      <w:r w:rsidRPr="00794760">
        <w:rPr>
          <w:rFonts w:ascii="Arial" w:hAnsi="Arial" w:cs="Arial"/>
          <w:bCs/>
          <w:sz w:val="24"/>
          <w:szCs w:val="24"/>
        </w:rPr>
        <w:t xml:space="preserve"> million</w:t>
      </w:r>
      <w:r w:rsidRPr="00921FFC">
        <w:rPr>
          <w:rFonts w:ascii="Arial" w:hAnsi="Arial" w:cs="Arial"/>
          <w:bCs/>
          <w:sz w:val="24"/>
          <w:szCs w:val="24"/>
        </w:rPr>
        <w:t xml:space="preserve"> reflect</w:t>
      </w:r>
      <w:r w:rsidR="00921FFC" w:rsidRPr="00925EFB">
        <w:rPr>
          <w:rFonts w:ascii="Arial" w:hAnsi="Arial" w:cs="Arial"/>
          <w:bCs/>
          <w:sz w:val="24"/>
          <w:szCs w:val="24"/>
        </w:rPr>
        <w:t>ing</w:t>
      </w:r>
      <w:r w:rsidRPr="00921FFC">
        <w:rPr>
          <w:rFonts w:ascii="Arial" w:hAnsi="Arial" w:cs="Arial"/>
          <w:bCs/>
          <w:sz w:val="24"/>
          <w:szCs w:val="24"/>
        </w:rPr>
        <w:t xml:space="preserve"> store openings</w:t>
      </w:r>
      <w:r w:rsidR="00921FFC" w:rsidRPr="00925EFB">
        <w:rPr>
          <w:rFonts w:ascii="Arial" w:hAnsi="Arial" w:cs="Arial"/>
          <w:bCs/>
          <w:sz w:val="24"/>
          <w:szCs w:val="24"/>
        </w:rPr>
        <w:t>.</w:t>
      </w:r>
      <w:r w:rsidRPr="00921FFC">
        <w:rPr>
          <w:rFonts w:ascii="Arial" w:hAnsi="Arial" w:cs="Arial"/>
          <w:bCs/>
          <w:sz w:val="24"/>
          <w:szCs w:val="24"/>
        </w:rPr>
        <w:t xml:space="preserve"> </w:t>
      </w:r>
    </w:p>
    <w:p w14:paraId="06590C8A" w14:textId="77777777" w:rsidR="007D43ED" w:rsidRDefault="007D43ED" w:rsidP="007D43ED">
      <w:pPr>
        <w:pStyle w:val="PlainText"/>
        <w:rPr>
          <w:rFonts w:ascii="Arial" w:hAnsi="Arial" w:cs="Arial"/>
          <w:color w:val="FF0000"/>
          <w:sz w:val="24"/>
          <w:szCs w:val="24"/>
          <w:highlight w:val="yellow"/>
        </w:rPr>
      </w:pPr>
    </w:p>
    <w:p w14:paraId="6740263A" w14:textId="24003DCD" w:rsidR="00050886" w:rsidRPr="007429E1" w:rsidRDefault="00050886" w:rsidP="00050886">
      <w:pPr>
        <w:jc w:val="left"/>
        <w:rPr>
          <w:rFonts w:ascii="Arial" w:hAnsi="Arial" w:cs="Arial"/>
          <w:sz w:val="24"/>
          <w:szCs w:val="24"/>
        </w:rPr>
      </w:pPr>
      <w:r w:rsidRPr="000952F8">
        <w:rPr>
          <w:rFonts w:ascii="Arial" w:hAnsi="Arial" w:cs="Arial"/>
          <w:sz w:val="24"/>
          <w:szCs w:val="24"/>
          <w:vertAlign w:val="superscript"/>
        </w:rPr>
        <w:t>(1)</w:t>
      </w:r>
      <w:r w:rsidRPr="000952F8">
        <w:rPr>
          <w:rFonts w:ascii="Arial" w:hAnsi="Arial" w:cs="Arial"/>
          <w:sz w:val="24"/>
          <w:szCs w:val="24"/>
        </w:rPr>
        <w:t xml:space="preserve"> </w:t>
      </w:r>
      <w:r>
        <w:rPr>
          <w:rFonts w:ascii="Arial" w:hAnsi="Arial" w:cs="Arial"/>
          <w:sz w:val="18"/>
          <w:szCs w:val="24"/>
        </w:rPr>
        <w:t xml:space="preserve">See </w:t>
      </w:r>
      <w:r w:rsidR="00C95291">
        <w:rPr>
          <w:rFonts w:ascii="Arial" w:hAnsi="Arial" w:cs="Arial"/>
          <w:sz w:val="18"/>
          <w:szCs w:val="24"/>
        </w:rPr>
        <w:t xml:space="preserve">Section 3 (FY 2016/17 Technical Guidance) </w:t>
      </w:r>
      <w:r>
        <w:rPr>
          <w:rFonts w:ascii="Arial" w:hAnsi="Arial" w:cs="Arial"/>
          <w:sz w:val="18"/>
          <w:szCs w:val="24"/>
        </w:rPr>
        <w:t>for explanation of cost phasing from TASCOM</w:t>
      </w:r>
      <w:r w:rsidR="00C95291">
        <w:rPr>
          <w:rFonts w:ascii="Arial" w:hAnsi="Arial" w:cs="Arial"/>
          <w:sz w:val="18"/>
          <w:szCs w:val="24"/>
        </w:rPr>
        <w:t>*</w:t>
      </w:r>
      <w:r>
        <w:rPr>
          <w:rFonts w:ascii="Arial" w:hAnsi="Arial" w:cs="Arial"/>
          <w:sz w:val="18"/>
          <w:szCs w:val="24"/>
        </w:rPr>
        <w:t xml:space="preserve"> legislation change</w:t>
      </w:r>
    </w:p>
    <w:p w14:paraId="137FAD18" w14:textId="77777777" w:rsidR="007D43ED" w:rsidRDefault="007D43ED" w:rsidP="007D43ED">
      <w:pPr>
        <w:jc w:val="left"/>
        <w:rPr>
          <w:rFonts w:ascii="Arial" w:hAnsi="Arial" w:cs="Arial"/>
          <w:b/>
          <w:bCs/>
          <w:sz w:val="24"/>
          <w:szCs w:val="24"/>
        </w:rPr>
      </w:pPr>
      <w:r>
        <w:rPr>
          <w:rFonts w:ascii="Arial" w:hAnsi="Arial" w:cs="Arial"/>
          <w:b/>
          <w:bCs/>
          <w:sz w:val="24"/>
          <w:szCs w:val="24"/>
        </w:rPr>
        <w:br w:type="page"/>
      </w:r>
    </w:p>
    <w:p w14:paraId="24203083" w14:textId="14F0770F" w:rsidR="007D43ED" w:rsidRDefault="007D43ED" w:rsidP="007D43ED">
      <w:pPr>
        <w:rPr>
          <w:rFonts w:ascii="Arial" w:hAnsi="Arial" w:cs="Arial"/>
          <w:b/>
          <w:bCs/>
          <w:sz w:val="24"/>
          <w:szCs w:val="24"/>
        </w:rPr>
      </w:pPr>
      <w:r w:rsidRPr="000971B9">
        <w:rPr>
          <w:rFonts w:ascii="Arial" w:hAnsi="Arial" w:cs="Arial"/>
          <w:b/>
          <w:bCs/>
          <w:sz w:val="24"/>
          <w:szCs w:val="24"/>
        </w:rPr>
        <w:lastRenderedPageBreak/>
        <w:t>OTHER INTERNATIONAL</w:t>
      </w:r>
      <w:r w:rsidR="00013088">
        <w:rPr>
          <w:rFonts w:ascii="Arial" w:hAnsi="Arial" w:cs="Arial"/>
          <w:b/>
          <w:bCs/>
          <w:sz w:val="24"/>
          <w:szCs w:val="24"/>
        </w:rPr>
        <w:t xml:space="preserve"> </w:t>
      </w:r>
    </w:p>
    <w:p w14:paraId="01F1CD50" w14:textId="77777777" w:rsidR="007D43ED" w:rsidRDefault="007D43ED" w:rsidP="007D43ED">
      <w:pPr>
        <w:rPr>
          <w:rFonts w:ascii="Arial" w:hAnsi="Arial" w:cs="Arial"/>
          <w:b/>
          <w:bCs/>
          <w:sz w:val="24"/>
          <w:szCs w:val="24"/>
        </w:rPr>
      </w:pP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1"/>
        <w:gridCol w:w="1281"/>
        <w:gridCol w:w="1136"/>
        <w:gridCol w:w="1559"/>
        <w:gridCol w:w="1561"/>
        <w:gridCol w:w="1275"/>
      </w:tblGrid>
      <w:tr w:rsidR="006B02CB" w:rsidRPr="000971B9" w14:paraId="07299DA6" w14:textId="77777777" w:rsidTr="00931630">
        <w:tc>
          <w:tcPr>
            <w:tcW w:w="1287" w:type="pct"/>
            <w:tcBorders>
              <w:bottom w:val="single" w:sz="4" w:space="0" w:color="auto"/>
            </w:tcBorders>
          </w:tcPr>
          <w:p w14:paraId="345E209F" w14:textId="77777777" w:rsidR="007D43ED" w:rsidRPr="004E7075" w:rsidRDefault="007D43ED" w:rsidP="00C51098">
            <w:pPr>
              <w:rPr>
                <w:rFonts w:ascii="Arial" w:hAnsi="Arial" w:cs="Arial"/>
                <w:b/>
                <w:sz w:val="24"/>
                <w:szCs w:val="24"/>
              </w:rPr>
            </w:pPr>
            <w:r w:rsidRPr="004E7075">
              <w:rPr>
                <w:rFonts w:ascii="Arial" w:hAnsi="Arial" w:cs="Arial"/>
                <w:b/>
                <w:sz w:val="24"/>
                <w:szCs w:val="24"/>
              </w:rPr>
              <w:t>£m</w:t>
            </w:r>
          </w:p>
        </w:tc>
        <w:tc>
          <w:tcPr>
            <w:tcW w:w="698" w:type="pct"/>
            <w:tcBorders>
              <w:bottom w:val="single" w:sz="4" w:space="0" w:color="auto"/>
            </w:tcBorders>
          </w:tcPr>
          <w:p w14:paraId="1A165433" w14:textId="4D3EC1DD" w:rsidR="007D43ED" w:rsidRPr="000971B9" w:rsidRDefault="007D43ED">
            <w:pPr>
              <w:jc w:val="right"/>
              <w:rPr>
                <w:rFonts w:ascii="Arial" w:hAnsi="Arial" w:cs="Arial"/>
                <w:sz w:val="24"/>
                <w:szCs w:val="24"/>
              </w:rPr>
            </w:pPr>
            <w:r>
              <w:rPr>
                <w:rFonts w:ascii="Arial" w:hAnsi="Arial" w:cs="Arial"/>
                <w:b/>
                <w:bCs/>
                <w:sz w:val="24"/>
                <w:szCs w:val="24"/>
              </w:rPr>
              <w:t>2016</w:t>
            </w:r>
            <w:r w:rsidR="00931630">
              <w:rPr>
                <w:rFonts w:ascii="Arial" w:hAnsi="Arial" w:cs="Arial"/>
                <w:b/>
                <w:bCs/>
                <w:sz w:val="24"/>
                <w:szCs w:val="24"/>
              </w:rPr>
              <w:t>/17</w:t>
            </w:r>
          </w:p>
        </w:tc>
        <w:tc>
          <w:tcPr>
            <w:tcW w:w="619" w:type="pct"/>
            <w:tcBorders>
              <w:bottom w:val="single" w:sz="4" w:space="0" w:color="auto"/>
            </w:tcBorders>
          </w:tcPr>
          <w:p w14:paraId="65A8EA3D" w14:textId="7BA010DA" w:rsidR="007D43ED" w:rsidRPr="000971B9" w:rsidRDefault="007D43ED">
            <w:pPr>
              <w:jc w:val="right"/>
              <w:rPr>
                <w:rFonts w:ascii="Arial" w:hAnsi="Arial" w:cs="Arial"/>
                <w:b/>
                <w:bCs/>
                <w:sz w:val="24"/>
                <w:szCs w:val="24"/>
              </w:rPr>
            </w:pPr>
            <w:r>
              <w:rPr>
                <w:rFonts w:ascii="Arial" w:hAnsi="Arial" w:cs="Arial"/>
                <w:b/>
                <w:bCs/>
                <w:sz w:val="24"/>
                <w:szCs w:val="24"/>
              </w:rPr>
              <w:t>2015</w:t>
            </w:r>
            <w:r w:rsidR="00931630">
              <w:rPr>
                <w:rFonts w:ascii="Arial" w:hAnsi="Arial" w:cs="Arial"/>
                <w:b/>
                <w:bCs/>
                <w:sz w:val="24"/>
                <w:szCs w:val="24"/>
              </w:rPr>
              <w:t>/16</w:t>
            </w:r>
          </w:p>
        </w:tc>
        <w:tc>
          <w:tcPr>
            <w:tcW w:w="850" w:type="pct"/>
            <w:tcBorders>
              <w:bottom w:val="single" w:sz="4" w:space="0" w:color="auto"/>
            </w:tcBorders>
          </w:tcPr>
          <w:p w14:paraId="1C2F0B77" w14:textId="77777777" w:rsidR="007D43ED" w:rsidRPr="000971B9" w:rsidRDefault="007D43ED" w:rsidP="00C51098">
            <w:pPr>
              <w:jc w:val="right"/>
              <w:rPr>
                <w:rFonts w:ascii="Arial" w:hAnsi="Arial" w:cs="Arial"/>
                <w:b/>
                <w:bCs/>
                <w:sz w:val="24"/>
                <w:szCs w:val="24"/>
              </w:rPr>
            </w:pPr>
            <w:r w:rsidRPr="000971B9">
              <w:rPr>
                <w:rFonts w:ascii="Arial" w:hAnsi="Arial" w:cs="Arial"/>
                <w:b/>
                <w:bCs/>
                <w:sz w:val="24"/>
                <w:szCs w:val="24"/>
              </w:rPr>
              <w:t>% Reported</w:t>
            </w:r>
            <w:r w:rsidRPr="000971B9" w:rsidDel="00197636">
              <w:rPr>
                <w:rFonts w:ascii="Arial" w:hAnsi="Arial" w:cs="Arial"/>
                <w:b/>
                <w:bCs/>
                <w:sz w:val="24"/>
                <w:szCs w:val="24"/>
              </w:rPr>
              <w:t xml:space="preserve"> </w:t>
            </w:r>
            <w:r w:rsidRPr="000971B9">
              <w:rPr>
                <w:rFonts w:ascii="Arial" w:hAnsi="Arial" w:cs="Arial"/>
                <w:b/>
                <w:bCs/>
                <w:sz w:val="24"/>
                <w:szCs w:val="24"/>
              </w:rPr>
              <w:t>Change</w:t>
            </w:r>
          </w:p>
          <w:p w14:paraId="53D79DE2" w14:textId="77777777" w:rsidR="007D43ED" w:rsidRPr="000971B9" w:rsidRDefault="007D43ED" w:rsidP="00C51098">
            <w:pPr>
              <w:jc w:val="right"/>
              <w:rPr>
                <w:rFonts w:ascii="Arial" w:hAnsi="Arial" w:cs="Arial"/>
                <w:b/>
                <w:bCs/>
                <w:sz w:val="24"/>
                <w:szCs w:val="24"/>
              </w:rPr>
            </w:pPr>
          </w:p>
        </w:tc>
        <w:tc>
          <w:tcPr>
            <w:tcW w:w="851" w:type="pct"/>
            <w:tcBorders>
              <w:bottom w:val="single" w:sz="4" w:space="0" w:color="auto"/>
            </w:tcBorders>
          </w:tcPr>
          <w:p w14:paraId="11D0D626" w14:textId="77777777" w:rsidR="007D43ED" w:rsidRPr="000971B9" w:rsidRDefault="007D43ED" w:rsidP="00C51098">
            <w:pPr>
              <w:jc w:val="right"/>
              <w:rPr>
                <w:rFonts w:ascii="Arial" w:hAnsi="Arial" w:cs="Arial"/>
                <w:b/>
                <w:bCs/>
                <w:sz w:val="24"/>
                <w:szCs w:val="24"/>
              </w:rPr>
            </w:pPr>
            <w:r w:rsidRPr="000971B9">
              <w:rPr>
                <w:rFonts w:ascii="Arial" w:hAnsi="Arial" w:cs="Arial"/>
                <w:b/>
                <w:bCs/>
                <w:sz w:val="24"/>
                <w:szCs w:val="24"/>
              </w:rPr>
              <w:t>%</w:t>
            </w:r>
            <w:r>
              <w:rPr>
                <w:rFonts w:ascii="Arial" w:hAnsi="Arial" w:cs="Arial"/>
                <w:b/>
                <w:bCs/>
                <w:sz w:val="24"/>
                <w:szCs w:val="24"/>
              </w:rPr>
              <w:t xml:space="preserve"> </w:t>
            </w:r>
            <w:r w:rsidRPr="000971B9">
              <w:rPr>
                <w:rFonts w:ascii="Arial" w:hAnsi="Arial" w:cs="Arial"/>
                <w:b/>
                <w:bCs/>
                <w:sz w:val="24"/>
                <w:szCs w:val="24"/>
              </w:rPr>
              <w:t>Constant</w:t>
            </w:r>
          </w:p>
          <w:p w14:paraId="13B42AA0" w14:textId="77777777" w:rsidR="007D43ED" w:rsidRDefault="007D43ED" w:rsidP="00C51098">
            <w:pPr>
              <w:jc w:val="right"/>
              <w:rPr>
                <w:rFonts w:ascii="Arial" w:hAnsi="Arial" w:cs="Arial"/>
                <w:b/>
                <w:bCs/>
                <w:sz w:val="24"/>
                <w:szCs w:val="24"/>
              </w:rPr>
            </w:pPr>
            <w:r>
              <w:rPr>
                <w:rFonts w:ascii="Arial" w:hAnsi="Arial" w:cs="Arial"/>
                <w:b/>
                <w:bCs/>
                <w:sz w:val="24"/>
                <w:szCs w:val="24"/>
              </w:rPr>
              <w:t>Currency</w:t>
            </w:r>
          </w:p>
          <w:p w14:paraId="01D40629" w14:textId="77777777" w:rsidR="007D43ED" w:rsidRPr="000971B9" w:rsidRDefault="007D43ED" w:rsidP="00C51098">
            <w:pPr>
              <w:jc w:val="right"/>
              <w:rPr>
                <w:rFonts w:ascii="Arial" w:hAnsi="Arial" w:cs="Arial"/>
                <w:b/>
                <w:bCs/>
                <w:sz w:val="24"/>
                <w:szCs w:val="24"/>
              </w:rPr>
            </w:pPr>
            <w:r w:rsidRPr="000971B9">
              <w:rPr>
                <w:rFonts w:ascii="Arial" w:hAnsi="Arial" w:cs="Arial"/>
                <w:b/>
                <w:bCs/>
                <w:sz w:val="24"/>
                <w:szCs w:val="24"/>
              </w:rPr>
              <w:t xml:space="preserve">Change  </w:t>
            </w:r>
          </w:p>
        </w:tc>
        <w:tc>
          <w:tcPr>
            <w:tcW w:w="695" w:type="pct"/>
            <w:tcBorders>
              <w:bottom w:val="single" w:sz="4" w:space="0" w:color="auto"/>
            </w:tcBorders>
          </w:tcPr>
          <w:p w14:paraId="3DFCF1B1" w14:textId="77777777" w:rsidR="007D43ED" w:rsidRPr="000971B9" w:rsidRDefault="007D43ED" w:rsidP="00C51098">
            <w:pPr>
              <w:ind w:hanging="108"/>
              <w:jc w:val="right"/>
              <w:rPr>
                <w:rFonts w:ascii="Arial" w:hAnsi="Arial" w:cs="Arial"/>
                <w:b/>
                <w:bCs/>
                <w:sz w:val="24"/>
                <w:szCs w:val="24"/>
              </w:rPr>
            </w:pPr>
            <w:r w:rsidRPr="000971B9">
              <w:rPr>
                <w:rFonts w:ascii="Arial" w:hAnsi="Arial" w:cs="Arial"/>
                <w:b/>
                <w:bCs/>
                <w:sz w:val="24"/>
                <w:szCs w:val="24"/>
              </w:rPr>
              <w:t>% LFL</w:t>
            </w:r>
          </w:p>
          <w:p w14:paraId="2BD0DFE2" w14:textId="77777777" w:rsidR="007D43ED" w:rsidRPr="000971B9" w:rsidRDefault="007D43ED" w:rsidP="00C51098">
            <w:pPr>
              <w:ind w:hanging="108"/>
              <w:jc w:val="right"/>
              <w:rPr>
                <w:rFonts w:ascii="Arial" w:hAnsi="Arial" w:cs="Arial"/>
                <w:b/>
                <w:bCs/>
                <w:sz w:val="24"/>
                <w:szCs w:val="24"/>
              </w:rPr>
            </w:pPr>
            <w:r w:rsidRPr="000971B9">
              <w:rPr>
                <w:rFonts w:ascii="Arial" w:hAnsi="Arial" w:cs="Arial"/>
                <w:b/>
                <w:bCs/>
                <w:sz w:val="24"/>
                <w:szCs w:val="24"/>
              </w:rPr>
              <w:t>Change</w:t>
            </w:r>
          </w:p>
        </w:tc>
      </w:tr>
      <w:tr w:rsidR="006B02CB" w:rsidRPr="000971B9" w14:paraId="3D9BC53E" w14:textId="77777777" w:rsidTr="00931630">
        <w:trPr>
          <w:trHeight w:val="147"/>
        </w:trPr>
        <w:tc>
          <w:tcPr>
            <w:tcW w:w="1287" w:type="pct"/>
            <w:tcBorders>
              <w:bottom w:val="single" w:sz="4" w:space="0" w:color="auto"/>
            </w:tcBorders>
            <w:shd w:val="clear" w:color="auto" w:fill="auto"/>
          </w:tcPr>
          <w:p w14:paraId="629193CA" w14:textId="77777777" w:rsidR="007D43ED" w:rsidRPr="00CB3439" w:rsidRDefault="007D43ED" w:rsidP="00C51098">
            <w:pPr>
              <w:rPr>
                <w:rFonts w:ascii="Arial" w:hAnsi="Arial" w:cs="Arial"/>
                <w:b/>
                <w:sz w:val="24"/>
                <w:szCs w:val="24"/>
              </w:rPr>
            </w:pPr>
            <w:r w:rsidRPr="00CB3439">
              <w:rPr>
                <w:rFonts w:ascii="Arial" w:hAnsi="Arial" w:cs="Arial"/>
                <w:b/>
                <w:bCs/>
                <w:sz w:val="24"/>
                <w:szCs w:val="24"/>
              </w:rPr>
              <w:t>Sales</w:t>
            </w:r>
          </w:p>
        </w:tc>
        <w:tc>
          <w:tcPr>
            <w:tcW w:w="698" w:type="pct"/>
            <w:tcBorders>
              <w:bottom w:val="single" w:sz="4" w:space="0" w:color="auto"/>
            </w:tcBorders>
            <w:shd w:val="clear" w:color="auto" w:fill="auto"/>
          </w:tcPr>
          <w:p w14:paraId="05DF85DA" w14:textId="46B365AB" w:rsidR="007D43ED" w:rsidRPr="00CB3439" w:rsidRDefault="002E5D72" w:rsidP="00C51098">
            <w:pPr>
              <w:jc w:val="right"/>
              <w:rPr>
                <w:rFonts w:ascii="Arial" w:hAnsi="Arial" w:cs="Arial"/>
                <w:sz w:val="24"/>
                <w:szCs w:val="24"/>
              </w:rPr>
            </w:pPr>
            <w:r>
              <w:rPr>
                <w:rFonts w:ascii="Arial" w:hAnsi="Arial" w:cs="Arial"/>
                <w:sz w:val="24"/>
                <w:szCs w:val="24"/>
              </w:rPr>
              <w:t>965</w:t>
            </w:r>
          </w:p>
        </w:tc>
        <w:tc>
          <w:tcPr>
            <w:tcW w:w="619" w:type="pct"/>
            <w:tcBorders>
              <w:bottom w:val="single" w:sz="4" w:space="0" w:color="auto"/>
            </w:tcBorders>
            <w:shd w:val="clear" w:color="auto" w:fill="auto"/>
          </w:tcPr>
          <w:p w14:paraId="6B1EAB06" w14:textId="6B502F4E" w:rsidR="007D43ED" w:rsidRPr="00CB3439" w:rsidRDefault="00CB655D" w:rsidP="00C51098">
            <w:pPr>
              <w:jc w:val="right"/>
              <w:rPr>
                <w:rFonts w:ascii="Arial" w:hAnsi="Arial" w:cs="Arial"/>
                <w:sz w:val="24"/>
                <w:szCs w:val="24"/>
              </w:rPr>
            </w:pPr>
            <w:r>
              <w:rPr>
                <w:rFonts w:ascii="Arial" w:hAnsi="Arial" w:cs="Arial"/>
                <w:sz w:val="24"/>
                <w:szCs w:val="24"/>
              </w:rPr>
              <w:t>879</w:t>
            </w:r>
          </w:p>
        </w:tc>
        <w:tc>
          <w:tcPr>
            <w:tcW w:w="850" w:type="pct"/>
            <w:tcBorders>
              <w:bottom w:val="single" w:sz="4" w:space="0" w:color="auto"/>
            </w:tcBorders>
            <w:shd w:val="clear" w:color="auto" w:fill="auto"/>
          </w:tcPr>
          <w:p w14:paraId="1293F32D" w14:textId="7E33A989" w:rsidR="007D43ED" w:rsidRPr="0047756B" w:rsidRDefault="002E5D72" w:rsidP="00C51098">
            <w:pPr>
              <w:jc w:val="right"/>
              <w:rPr>
                <w:rFonts w:ascii="Arial" w:hAnsi="Arial" w:cs="Arial"/>
                <w:sz w:val="24"/>
                <w:szCs w:val="24"/>
              </w:rPr>
            </w:pPr>
            <w:r w:rsidRPr="0047756B">
              <w:rPr>
                <w:rFonts w:ascii="Arial" w:hAnsi="Arial" w:cs="Arial"/>
                <w:sz w:val="24"/>
                <w:szCs w:val="24"/>
              </w:rPr>
              <w:t>+9.7%</w:t>
            </w:r>
          </w:p>
        </w:tc>
        <w:tc>
          <w:tcPr>
            <w:tcW w:w="851" w:type="pct"/>
            <w:tcBorders>
              <w:bottom w:val="single" w:sz="4" w:space="0" w:color="auto"/>
            </w:tcBorders>
            <w:shd w:val="clear" w:color="auto" w:fill="auto"/>
          </w:tcPr>
          <w:p w14:paraId="50E4D1B3" w14:textId="1EFBE3AF" w:rsidR="007D43ED" w:rsidRPr="0047756B" w:rsidRDefault="002E5D72" w:rsidP="00C51098">
            <w:pPr>
              <w:jc w:val="right"/>
              <w:rPr>
                <w:rFonts w:ascii="Arial" w:hAnsi="Arial" w:cs="Arial"/>
                <w:sz w:val="24"/>
                <w:szCs w:val="24"/>
              </w:rPr>
            </w:pPr>
            <w:r w:rsidRPr="0047756B">
              <w:rPr>
                <w:rFonts w:ascii="Arial" w:hAnsi="Arial" w:cs="Arial"/>
                <w:sz w:val="24"/>
                <w:szCs w:val="24"/>
              </w:rPr>
              <w:t>+7.5%</w:t>
            </w:r>
          </w:p>
        </w:tc>
        <w:tc>
          <w:tcPr>
            <w:tcW w:w="695" w:type="pct"/>
            <w:tcBorders>
              <w:bottom w:val="single" w:sz="4" w:space="0" w:color="auto"/>
            </w:tcBorders>
            <w:shd w:val="clear" w:color="auto" w:fill="auto"/>
          </w:tcPr>
          <w:p w14:paraId="754D9D63" w14:textId="405A6E3E" w:rsidR="007D43ED" w:rsidRPr="00CB3439" w:rsidRDefault="002E5D72" w:rsidP="00C51098">
            <w:pPr>
              <w:jc w:val="right"/>
              <w:rPr>
                <w:rFonts w:ascii="Arial" w:hAnsi="Arial" w:cs="Arial"/>
                <w:sz w:val="24"/>
                <w:szCs w:val="24"/>
              </w:rPr>
            </w:pPr>
            <w:r>
              <w:rPr>
                <w:rFonts w:ascii="Arial" w:hAnsi="Arial" w:cs="Arial"/>
                <w:sz w:val="24"/>
                <w:szCs w:val="24"/>
              </w:rPr>
              <w:t>+5.9%</w:t>
            </w:r>
          </w:p>
        </w:tc>
      </w:tr>
      <w:tr w:rsidR="006B02CB" w:rsidRPr="000971B9" w14:paraId="791050E8" w14:textId="77777777" w:rsidTr="00A605C0">
        <w:trPr>
          <w:gridAfter w:val="1"/>
          <w:wAfter w:w="695" w:type="pct"/>
        </w:trPr>
        <w:tc>
          <w:tcPr>
            <w:tcW w:w="1287" w:type="pct"/>
            <w:tcBorders>
              <w:top w:val="nil"/>
              <w:left w:val="nil"/>
              <w:bottom w:val="single" w:sz="4" w:space="0" w:color="auto"/>
              <w:right w:val="nil"/>
            </w:tcBorders>
          </w:tcPr>
          <w:p w14:paraId="1BEAB31E" w14:textId="77777777" w:rsidR="007D43ED" w:rsidRPr="004E7075" w:rsidRDefault="007D43ED" w:rsidP="00C51098">
            <w:pPr>
              <w:rPr>
                <w:rFonts w:ascii="Arial" w:hAnsi="Arial" w:cs="Arial"/>
                <w:bCs/>
                <w:sz w:val="24"/>
                <w:szCs w:val="24"/>
              </w:rPr>
            </w:pPr>
          </w:p>
        </w:tc>
        <w:tc>
          <w:tcPr>
            <w:tcW w:w="698" w:type="pct"/>
            <w:tcBorders>
              <w:top w:val="nil"/>
              <w:left w:val="nil"/>
              <w:bottom w:val="single" w:sz="4" w:space="0" w:color="auto"/>
              <w:right w:val="nil"/>
            </w:tcBorders>
          </w:tcPr>
          <w:p w14:paraId="15E64657" w14:textId="77777777" w:rsidR="007D43ED" w:rsidRPr="000971B9" w:rsidRDefault="007D43ED" w:rsidP="00C51098">
            <w:pPr>
              <w:jc w:val="right"/>
              <w:rPr>
                <w:rFonts w:ascii="Arial" w:hAnsi="Arial" w:cs="Arial"/>
                <w:sz w:val="24"/>
                <w:szCs w:val="24"/>
              </w:rPr>
            </w:pPr>
          </w:p>
        </w:tc>
        <w:tc>
          <w:tcPr>
            <w:tcW w:w="619" w:type="pct"/>
            <w:tcBorders>
              <w:top w:val="nil"/>
              <w:left w:val="nil"/>
              <w:bottom w:val="single" w:sz="4" w:space="0" w:color="auto"/>
              <w:right w:val="nil"/>
            </w:tcBorders>
          </w:tcPr>
          <w:p w14:paraId="3E25332D" w14:textId="77777777" w:rsidR="007D43ED" w:rsidRPr="000971B9" w:rsidRDefault="007D43ED" w:rsidP="00C51098">
            <w:pPr>
              <w:jc w:val="right"/>
              <w:rPr>
                <w:rFonts w:ascii="Arial" w:hAnsi="Arial" w:cs="Arial"/>
                <w:sz w:val="24"/>
                <w:szCs w:val="24"/>
              </w:rPr>
            </w:pPr>
          </w:p>
        </w:tc>
        <w:tc>
          <w:tcPr>
            <w:tcW w:w="850" w:type="pct"/>
            <w:tcBorders>
              <w:top w:val="nil"/>
              <w:left w:val="nil"/>
              <w:bottom w:val="single" w:sz="4" w:space="0" w:color="auto"/>
              <w:right w:val="nil"/>
            </w:tcBorders>
          </w:tcPr>
          <w:p w14:paraId="34290856" w14:textId="77777777" w:rsidR="007D43ED" w:rsidRPr="000971B9" w:rsidRDefault="007D43ED" w:rsidP="00C51098">
            <w:pPr>
              <w:jc w:val="right"/>
              <w:rPr>
                <w:rFonts w:ascii="Arial" w:hAnsi="Arial" w:cs="Arial"/>
                <w:sz w:val="24"/>
                <w:szCs w:val="24"/>
              </w:rPr>
            </w:pPr>
          </w:p>
        </w:tc>
        <w:tc>
          <w:tcPr>
            <w:tcW w:w="851" w:type="pct"/>
            <w:tcBorders>
              <w:top w:val="nil"/>
              <w:left w:val="nil"/>
              <w:bottom w:val="single" w:sz="4" w:space="0" w:color="auto"/>
              <w:right w:val="nil"/>
            </w:tcBorders>
          </w:tcPr>
          <w:p w14:paraId="25318D8E" w14:textId="77777777" w:rsidR="007D43ED" w:rsidRPr="000971B9" w:rsidRDefault="007D43ED" w:rsidP="00C51098">
            <w:pPr>
              <w:jc w:val="right"/>
              <w:rPr>
                <w:rFonts w:ascii="Arial" w:hAnsi="Arial" w:cs="Arial"/>
                <w:sz w:val="24"/>
                <w:szCs w:val="24"/>
              </w:rPr>
            </w:pPr>
          </w:p>
        </w:tc>
      </w:tr>
      <w:tr w:rsidR="006B02CB" w:rsidRPr="000971B9" w14:paraId="544BED27" w14:textId="77777777" w:rsidTr="00A605C0">
        <w:trPr>
          <w:gridAfter w:val="1"/>
          <w:wAfter w:w="695" w:type="pct"/>
        </w:trPr>
        <w:tc>
          <w:tcPr>
            <w:tcW w:w="1287" w:type="pct"/>
            <w:tcBorders>
              <w:top w:val="single" w:sz="4" w:space="0" w:color="auto"/>
              <w:bottom w:val="single" w:sz="4" w:space="0" w:color="auto"/>
            </w:tcBorders>
          </w:tcPr>
          <w:p w14:paraId="01FCC9B3" w14:textId="77777777" w:rsidR="007D43ED" w:rsidRPr="004E7075" w:rsidRDefault="007D43ED" w:rsidP="00C51098">
            <w:pPr>
              <w:rPr>
                <w:rFonts w:ascii="Arial" w:hAnsi="Arial" w:cs="Arial"/>
                <w:b/>
                <w:sz w:val="24"/>
                <w:szCs w:val="24"/>
              </w:rPr>
            </w:pPr>
            <w:r w:rsidRPr="004E7075">
              <w:rPr>
                <w:rFonts w:ascii="Arial" w:hAnsi="Arial" w:cs="Arial"/>
                <w:b/>
                <w:bCs/>
                <w:sz w:val="24"/>
                <w:szCs w:val="24"/>
              </w:rPr>
              <w:t>Retail profit</w:t>
            </w:r>
          </w:p>
        </w:tc>
        <w:tc>
          <w:tcPr>
            <w:tcW w:w="698" w:type="pct"/>
            <w:tcBorders>
              <w:top w:val="single" w:sz="4" w:space="0" w:color="auto"/>
              <w:bottom w:val="single" w:sz="4" w:space="0" w:color="auto"/>
            </w:tcBorders>
          </w:tcPr>
          <w:p w14:paraId="59D27D6A" w14:textId="77777777" w:rsidR="007D43ED" w:rsidRPr="000971B9" w:rsidRDefault="007D43ED" w:rsidP="00C51098">
            <w:pPr>
              <w:jc w:val="right"/>
              <w:rPr>
                <w:rFonts w:ascii="Arial" w:hAnsi="Arial" w:cs="Arial"/>
                <w:sz w:val="24"/>
                <w:szCs w:val="24"/>
              </w:rPr>
            </w:pPr>
          </w:p>
        </w:tc>
        <w:tc>
          <w:tcPr>
            <w:tcW w:w="619" w:type="pct"/>
            <w:tcBorders>
              <w:top w:val="single" w:sz="4" w:space="0" w:color="auto"/>
              <w:bottom w:val="single" w:sz="4" w:space="0" w:color="auto"/>
            </w:tcBorders>
          </w:tcPr>
          <w:p w14:paraId="7B223DD9" w14:textId="77777777" w:rsidR="007D43ED" w:rsidRPr="000971B9" w:rsidRDefault="007D43ED" w:rsidP="00C51098">
            <w:pPr>
              <w:jc w:val="right"/>
              <w:rPr>
                <w:rFonts w:ascii="Arial" w:hAnsi="Arial" w:cs="Arial"/>
                <w:sz w:val="24"/>
                <w:szCs w:val="24"/>
              </w:rPr>
            </w:pPr>
          </w:p>
        </w:tc>
        <w:tc>
          <w:tcPr>
            <w:tcW w:w="850" w:type="pct"/>
            <w:tcBorders>
              <w:top w:val="single" w:sz="4" w:space="0" w:color="auto"/>
              <w:bottom w:val="single" w:sz="4" w:space="0" w:color="auto"/>
            </w:tcBorders>
          </w:tcPr>
          <w:p w14:paraId="6BABA5B7" w14:textId="77777777" w:rsidR="007D43ED" w:rsidRPr="000971B9" w:rsidRDefault="007D43ED" w:rsidP="00C51098">
            <w:pPr>
              <w:jc w:val="right"/>
              <w:rPr>
                <w:rFonts w:ascii="Arial" w:hAnsi="Arial" w:cs="Arial"/>
                <w:sz w:val="24"/>
                <w:szCs w:val="24"/>
              </w:rPr>
            </w:pPr>
          </w:p>
        </w:tc>
        <w:tc>
          <w:tcPr>
            <w:tcW w:w="851" w:type="pct"/>
            <w:tcBorders>
              <w:top w:val="single" w:sz="4" w:space="0" w:color="auto"/>
              <w:bottom w:val="single" w:sz="4" w:space="0" w:color="auto"/>
            </w:tcBorders>
          </w:tcPr>
          <w:p w14:paraId="33014F4C" w14:textId="77777777" w:rsidR="007D43ED" w:rsidRPr="000971B9" w:rsidRDefault="007D43ED" w:rsidP="00C51098">
            <w:pPr>
              <w:jc w:val="right"/>
              <w:rPr>
                <w:rFonts w:ascii="Arial" w:hAnsi="Arial" w:cs="Arial"/>
                <w:sz w:val="24"/>
                <w:szCs w:val="24"/>
              </w:rPr>
            </w:pPr>
          </w:p>
        </w:tc>
      </w:tr>
      <w:tr w:rsidR="00931630" w:rsidRPr="000971B9" w14:paraId="06153CF6" w14:textId="77777777" w:rsidTr="00A605C0">
        <w:trPr>
          <w:gridAfter w:val="1"/>
          <w:wAfter w:w="695" w:type="pct"/>
        </w:trPr>
        <w:tc>
          <w:tcPr>
            <w:tcW w:w="1287" w:type="pct"/>
            <w:tcBorders>
              <w:top w:val="single" w:sz="4" w:space="0" w:color="auto"/>
            </w:tcBorders>
          </w:tcPr>
          <w:p w14:paraId="7FD5C323" w14:textId="77777777" w:rsidR="00931630" w:rsidRPr="004E7075" w:rsidRDefault="00931630" w:rsidP="00931630">
            <w:pPr>
              <w:jc w:val="left"/>
              <w:rPr>
                <w:rFonts w:ascii="Arial" w:hAnsi="Arial" w:cs="Arial"/>
                <w:bCs/>
                <w:sz w:val="24"/>
                <w:szCs w:val="24"/>
              </w:rPr>
            </w:pPr>
            <w:r w:rsidRPr="000971B9">
              <w:rPr>
                <w:rFonts w:ascii="Arial" w:hAnsi="Arial" w:cs="Arial"/>
                <w:sz w:val="24"/>
                <w:szCs w:val="24"/>
              </w:rPr>
              <w:t>Other International</w:t>
            </w:r>
            <w:r>
              <w:rPr>
                <w:rFonts w:ascii="Arial" w:hAnsi="Arial" w:cs="Arial"/>
                <w:sz w:val="24"/>
                <w:szCs w:val="24"/>
              </w:rPr>
              <w:t xml:space="preserve"> (established)</w:t>
            </w:r>
          </w:p>
        </w:tc>
        <w:tc>
          <w:tcPr>
            <w:tcW w:w="698" w:type="pct"/>
            <w:tcBorders>
              <w:top w:val="single" w:sz="4" w:space="0" w:color="auto"/>
            </w:tcBorders>
          </w:tcPr>
          <w:p w14:paraId="46AC0AFA" w14:textId="384FB95D" w:rsidR="00931630" w:rsidRPr="00AA32B4" w:rsidRDefault="0047756B" w:rsidP="00DC3143">
            <w:pPr>
              <w:jc w:val="right"/>
              <w:rPr>
                <w:rFonts w:ascii="Arial" w:hAnsi="Arial" w:cs="Arial"/>
                <w:sz w:val="24"/>
                <w:szCs w:val="24"/>
              </w:rPr>
            </w:pPr>
            <w:r>
              <w:rPr>
                <w:rFonts w:ascii="Arial" w:hAnsi="Arial" w:cs="Arial"/>
                <w:sz w:val="24"/>
                <w:szCs w:val="24"/>
              </w:rPr>
              <w:t>7</w:t>
            </w:r>
            <w:r w:rsidR="00DC3143">
              <w:rPr>
                <w:rFonts w:ascii="Arial" w:hAnsi="Arial" w:cs="Arial"/>
                <w:sz w:val="24"/>
                <w:szCs w:val="24"/>
              </w:rPr>
              <w:t>7</w:t>
            </w:r>
          </w:p>
        </w:tc>
        <w:tc>
          <w:tcPr>
            <w:tcW w:w="619" w:type="pct"/>
            <w:tcBorders>
              <w:top w:val="single" w:sz="4" w:space="0" w:color="auto"/>
            </w:tcBorders>
          </w:tcPr>
          <w:p w14:paraId="512DFD00" w14:textId="095CF36F" w:rsidR="00931630" w:rsidRPr="00AA32B4" w:rsidRDefault="002E5D72" w:rsidP="00931630">
            <w:pPr>
              <w:jc w:val="right"/>
              <w:rPr>
                <w:rFonts w:ascii="Arial" w:hAnsi="Arial" w:cs="Arial"/>
                <w:sz w:val="24"/>
                <w:szCs w:val="24"/>
              </w:rPr>
            </w:pPr>
            <w:r>
              <w:rPr>
                <w:rFonts w:ascii="Arial" w:hAnsi="Arial" w:cs="Arial"/>
                <w:sz w:val="24"/>
                <w:szCs w:val="24"/>
              </w:rPr>
              <w:t>60</w:t>
            </w:r>
          </w:p>
        </w:tc>
        <w:tc>
          <w:tcPr>
            <w:tcW w:w="850" w:type="pct"/>
            <w:tcBorders>
              <w:top w:val="single" w:sz="4" w:space="0" w:color="auto"/>
            </w:tcBorders>
          </w:tcPr>
          <w:p w14:paraId="6C4FBD38" w14:textId="020E4305" w:rsidR="00931630" w:rsidRPr="0088235B" w:rsidRDefault="0047756B" w:rsidP="00931630">
            <w:pPr>
              <w:jc w:val="right"/>
              <w:rPr>
                <w:rFonts w:ascii="Arial" w:hAnsi="Arial" w:cs="Arial"/>
                <w:sz w:val="24"/>
                <w:szCs w:val="24"/>
              </w:rPr>
            </w:pPr>
            <w:r>
              <w:rPr>
                <w:rFonts w:ascii="Arial" w:hAnsi="Arial" w:cs="Arial"/>
                <w:sz w:val="24"/>
                <w:szCs w:val="24"/>
              </w:rPr>
              <w:t>+2</w:t>
            </w:r>
            <w:r w:rsidR="00172940">
              <w:rPr>
                <w:rFonts w:ascii="Arial" w:hAnsi="Arial" w:cs="Arial"/>
                <w:sz w:val="24"/>
                <w:szCs w:val="24"/>
              </w:rPr>
              <w:t>7.</w:t>
            </w:r>
            <w:r w:rsidR="00A81B8B">
              <w:rPr>
                <w:rFonts w:ascii="Arial" w:hAnsi="Arial" w:cs="Arial"/>
                <w:sz w:val="24"/>
                <w:szCs w:val="24"/>
              </w:rPr>
              <w:t>6</w:t>
            </w:r>
            <w:r>
              <w:rPr>
                <w:rFonts w:ascii="Arial" w:hAnsi="Arial" w:cs="Arial"/>
                <w:sz w:val="24"/>
                <w:szCs w:val="24"/>
              </w:rPr>
              <w:t>%</w:t>
            </w:r>
          </w:p>
        </w:tc>
        <w:tc>
          <w:tcPr>
            <w:tcW w:w="851" w:type="pct"/>
            <w:tcBorders>
              <w:top w:val="single" w:sz="4" w:space="0" w:color="auto"/>
            </w:tcBorders>
          </w:tcPr>
          <w:p w14:paraId="4A1AED7A" w14:textId="14AE0B16" w:rsidR="00931630" w:rsidRPr="0088235B" w:rsidRDefault="0047756B" w:rsidP="00931630">
            <w:pPr>
              <w:jc w:val="right"/>
              <w:rPr>
                <w:rFonts w:ascii="Arial" w:hAnsi="Arial" w:cs="Arial"/>
                <w:sz w:val="24"/>
                <w:szCs w:val="24"/>
              </w:rPr>
            </w:pPr>
            <w:r>
              <w:rPr>
                <w:rFonts w:ascii="Arial" w:hAnsi="Arial" w:cs="Arial"/>
                <w:sz w:val="24"/>
                <w:szCs w:val="24"/>
              </w:rPr>
              <w:t>+2</w:t>
            </w:r>
            <w:r w:rsidR="00172940">
              <w:rPr>
                <w:rFonts w:ascii="Arial" w:hAnsi="Arial" w:cs="Arial"/>
                <w:sz w:val="24"/>
                <w:szCs w:val="24"/>
              </w:rPr>
              <w:t>4.</w:t>
            </w:r>
            <w:r w:rsidR="00A81B8B">
              <w:rPr>
                <w:rFonts w:ascii="Arial" w:hAnsi="Arial" w:cs="Arial"/>
                <w:sz w:val="24"/>
                <w:szCs w:val="24"/>
              </w:rPr>
              <w:t>2</w:t>
            </w:r>
            <w:r>
              <w:rPr>
                <w:rFonts w:ascii="Arial" w:hAnsi="Arial" w:cs="Arial"/>
                <w:sz w:val="24"/>
                <w:szCs w:val="24"/>
              </w:rPr>
              <w:t>%</w:t>
            </w:r>
          </w:p>
        </w:tc>
      </w:tr>
      <w:tr w:rsidR="00931630" w:rsidRPr="000971B9" w14:paraId="79827328" w14:textId="77777777" w:rsidTr="00A605C0">
        <w:trPr>
          <w:gridAfter w:val="1"/>
          <w:wAfter w:w="695" w:type="pct"/>
        </w:trPr>
        <w:tc>
          <w:tcPr>
            <w:tcW w:w="1287" w:type="pct"/>
            <w:tcBorders>
              <w:top w:val="single" w:sz="4" w:space="0" w:color="auto"/>
            </w:tcBorders>
          </w:tcPr>
          <w:p w14:paraId="77D06276" w14:textId="40DE85D1" w:rsidR="00931630" w:rsidRPr="000971B9" w:rsidRDefault="00931630" w:rsidP="00931630">
            <w:pPr>
              <w:jc w:val="left"/>
              <w:rPr>
                <w:rFonts w:ascii="Arial" w:hAnsi="Arial" w:cs="Arial"/>
                <w:sz w:val="24"/>
                <w:szCs w:val="24"/>
              </w:rPr>
            </w:pPr>
            <w:r>
              <w:rPr>
                <w:rFonts w:ascii="Arial" w:hAnsi="Arial" w:cs="Arial"/>
                <w:sz w:val="24"/>
                <w:szCs w:val="24"/>
              </w:rPr>
              <w:t>New Country Development*</w:t>
            </w:r>
          </w:p>
        </w:tc>
        <w:tc>
          <w:tcPr>
            <w:tcW w:w="698" w:type="pct"/>
            <w:tcBorders>
              <w:top w:val="single" w:sz="4" w:space="0" w:color="auto"/>
            </w:tcBorders>
          </w:tcPr>
          <w:p w14:paraId="105E3272" w14:textId="65870118" w:rsidR="00931630" w:rsidRPr="00AA32B4" w:rsidRDefault="0047756B" w:rsidP="00DC3143">
            <w:pPr>
              <w:jc w:val="right"/>
              <w:rPr>
                <w:rFonts w:ascii="Arial" w:hAnsi="Arial" w:cs="Arial"/>
                <w:sz w:val="24"/>
                <w:szCs w:val="24"/>
              </w:rPr>
            </w:pPr>
            <w:r>
              <w:rPr>
                <w:rFonts w:ascii="Arial" w:hAnsi="Arial" w:cs="Arial"/>
                <w:sz w:val="24"/>
                <w:szCs w:val="24"/>
              </w:rPr>
              <w:t>(</w:t>
            </w:r>
            <w:r w:rsidR="00DC3143">
              <w:rPr>
                <w:rFonts w:ascii="Arial" w:hAnsi="Arial" w:cs="Arial"/>
                <w:sz w:val="24"/>
                <w:szCs w:val="24"/>
              </w:rPr>
              <w:t>11</w:t>
            </w:r>
            <w:r>
              <w:rPr>
                <w:rFonts w:ascii="Arial" w:hAnsi="Arial" w:cs="Arial"/>
                <w:sz w:val="24"/>
                <w:szCs w:val="24"/>
              </w:rPr>
              <w:t>)</w:t>
            </w:r>
          </w:p>
        </w:tc>
        <w:tc>
          <w:tcPr>
            <w:tcW w:w="619" w:type="pct"/>
            <w:tcBorders>
              <w:top w:val="single" w:sz="4" w:space="0" w:color="auto"/>
            </w:tcBorders>
          </w:tcPr>
          <w:p w14:paraId="08C1F059" w14:textId="3F1DF84F" w:rsidR="00931630" w:rsidRPr="00AA32B4" w:rsidRDefault="002E5D72" w:rsidP="00931630">
            <w:pPr>
              <w:jc w:val="right"/>
              <w:rPr>
                <w:rFonts w:ascii="Arial" w:hAnsi="Arial" w:cs="Arial"/>
                <w:sz w:val="24"/>
                <w:szCs w:val="24"/>
              </w:rPr>
            </w:pPr>
            <w:r>
              <w:rPr>
                <w:rFonts w:ascii="Arial" w:hAnsi="Arial" w:cs="Arial"/>
                <w:sz w:val="24"/>
                <w:szCs w:val="24"/>
              </w:rPr>
              <w:t>(11)</w:t>
            </w:r>
          </w:p>
        </w:tc>
        <w:tc>
          <w:tcPr>
            <w:tcW w:w="850" w:type="pct"/>
            <w:tcBorders>
              <w:top w:val="single" w:sz="4" w:space="0" w:color="auto"/>
            </w:tcBorders>
          </w:tcPr>
          <w:p w14:paraId="132E2AE6" w14:textId="770B0AAF" w:rsidR="00931630" w:rsidRPr="0088235B" w:rsidRDefault="00931630" w:rsidP="00931630">
            <w:pPr>
              <w:jc w:val="right"/>
              <w:rPr>
                <w:rFonts w:ascii="Arial" w:hAnsi="Arial" w:cs="Arial"/>
                <w:sz w:val="24"/>
                <w:szCs w:val="24"/>
              </w:rPr>
            </w:pPr>
            <w:r>
              <w:rPr>
                <w:rFonts w:ascii="Arial" w:hAnsi="Arial" w:cs="Arial"/>
                <w:sz w:val="24"/>
                <w:szCs w:val="24"/>
              </w:rPr>
              <w:t>n/a</w:t>
            </w:r>
          </w:p>
        </w:tc>
        <w:tc>
          <w:tcPr>
            <w:tcW w:w="851" w:type="pct"/>
            <w:tcBorders>
              <w:top w:val="single" w:sz="4" w:space="0" w:color="auto"/>
            </w:tcBorders>
          </w:tcPr>
          <w:p w14:paraId="6D30859B" w14:textId="7DA5D04F" w:rsidR="00931630" w:rsidRPr="0088235B" w:rsidRDefault="00931630" w:rsidP="00931630">
            <w:pPr>
              <w:jc w:val="right"/>
              <w:rPr>
                <w:rFonts w:ascii="Arial" w:hAnsi="Arial" w:cs="Arial"/>
                <w:sz w:val="24"/>
                <w:szCs w:val="24"/>
              </w:rPr>
            </w:pPr>
            <w:r>
              <w:rPr>
                <w:rFonts w:ascii="Arial" w:hAnsi="Arial" w:cs="Arial"/>
                <w:sz w:val="24"/>
                <w:szCs w:val="24"/>
              </w:rPr>
              <w:t>n/a</w:t>
            </w:r>
          </w:p>
        </w:tc>
      </w:tr>
      <w:tr w:rsidR="00931630" w:rsidRPr="000971B9" w14:paraId="50119168" w14:textId="77777777" w:rsidTr="00A605C0">
        <w:trPr>
          <w:gridAfter w:val="1"/>
          <w:wAfter w:w="695" w:type="pct"/>
        </w:trPr>
        <w:tc>
          <w:tcPr>
            <w:tcW w:w="1287" w:type="pct"/>
            <w:tcBorders>
              <w:top w:val="single" w:sz="4" w:space="0" w:color="auto"/>
            </w:tcBorders>
          </w:tcPr>
          <w:p w14:paraId="1C88BC72" w14:textId="77777777" w:rsidR="00931630" w:rsidRDefault="00931630" w:rsidP="00931630">
            <w:pPr>
              <w:rPr>
                <w:rFonts w:ascii="Arial" w:hAnsi="Arial" w:cs="Arial"/>
                <w:sz w:val="24"/>
                <w:szCs w:val="24"/>
              </w:rPr>
            </w:pPr>
            <w:r>
              <w:rPr>
                <w:rFonts w:ascii="Arial" w:hAnsi="Arial" w:cs="Arial"/>
                <w:sz w:val="24"/>
                <w:szCs w:val="24"/>
              </w:rPr>
              <w:t>Total</w:t>
            </w:r>
          </w:p>
        </w:tc>
        <w:tc>
          <w:tcPr>
            <w:tcW w:w="698" w:type="pct"/>
            <w:tcBorders>
              <w:top w:val="single" w:sz="4" w:space="0" w:color="auto"/>
            </w:tcBorders>
          </w:tcPr>
          <w:p w14:paraId="44B21F15" w14:textId="6E26F150" w:rsidR="00931630" w:rsidRPr="00AA32B4" w:rsidRDefault="00316CF3">
            <w:pPr>
              <w:jc w:val="right"/>
              <w:rPr>
                <w:rFonts w:ascii="Arial" w:hAnsi="Arial" w:cs="Arial"/>
                <w:sz w:val="24"/>
                <w:szCs w:val="24"/>
              </w:rPr>
            </w:pPr>
            <w:r>
              <w:rPr>
                <w:rFonts w:ascii="Arial" w:hAnsi="Arial" w:cs="Arial"/>
                <w:sz w:val="24"/>
                <w:szCs w:val="24"/>
              </w:rPr>
              <w:t>6</w:t>
            </w:r>
            <w:r w:rsidR="00EB7804">
              <w:rPr>
                <w:rFonts w:ascii="Arial" w:hAnsi="Arial" w:cs="Arial"/>
                <w:sz w:val="24"/>
                <w:szCs w:val="24"/>
              </w:rPr>
              <w:t>6</w:t>
            </w:r>
          </w:p>
        </w:tc>
        <w:tc>
          <w:tcPr>
            <w:tcW w:w="619" w:type="pct"/>
            <w:tcBorders>
              <w:top w:val="single" w:sz="4" w:space="0" w:color="auto"/>
            </w:tcBorders>
          </w:tcPr>
          <w:p w14:paraId="005F2EEA" w14:textId="670488B0" w:rsidR="00931630" w:rsidRPr="00AA32B4" w:rsidRDefault="002E5D72" w:rsidP="00931630">
            <w:pPr>
              <w:jc w:val="right"/>
              <w:rPr>
                <w:rFonts w:ascii="Arial" w:hAnsi="Arial" w:cs="Arial"/>
                <w:sz w:val="24"/>
                <w:szCs w:val="24"/>
              </w:rPr>
            </w:pPr>
            <w:r>
              <w:rPr>
                <w:rFonts w:ascii="Arial" w:hAnsi="Arial" w:cs="Arial"/>
                <w:sz w:val="24"/>
                <w:szCs w:val="24"/>
              </w:rPr>
              <w:t>49</w:t>
            </w:r>
          </w:p>
        </w:tc>
        <w:tc>
          <w:tcPr>
            <w:tcW w:w="850" w:type="pct"/>
            <w:tcBorders>
              <w:top w:val="single" w:sz="4" w:space="0" w:color="auto"/>
            </w:tcBorders>
          </w:tcPr>
          <w:p w14:paraId="5E978905" w14:textId="229F4E74" w:rsidR="00931630" w:rsidRPr="0088235B" w:rsidRDefault="0047756B" w:rsidP="00931630">
            <w:pPr>
              <w:jc w:val="right"/>
              <w:rPr>
                <w:rFonts w:ascii="Arial" w:hAnsi="Arial" w:cs="Arial"/>
                <w:sz w:val="24"/>
                <w:szCs w:val="24"/>
              </w:rPr>
            </w:pPr>
            <w:r>
              <w:rPr>
                <w:rFonts w:ascii="Arial" w:hAnsi="Arial" w:cs="Arial"/>
                <w:sz w:val="24"/>
                <w:szCs w:val="24"/>
              </w:rPr>
              <w:t>+</w:t>
            </w:r>
            <w:r w:rsidR="00172940">
              <w:rPr>
                <w:rFonts w:ascii="Arial" w:hAnsi="Arial" w:cs="Arial"/>
                <w:sz w:val="24"/>
                <w:szCs w:val="24"/>
              </w:rPr>
              <w:t>3</w:t>
            </w:r>
            <w:r w:rsidR="00A81B8B">
              <w:rPr>
                <w:rFonts w:ascii="Arial" w:hAnsi="Arial" w:cs="Arial"/>
                <w:sz w:val="24"/>
                <w:szCs w:val="24"/>
              </w:rPr>
              <w:t>5.9</w:t>
            </w:r>
            <w:r>
              <w:rPr>
                <w:rFonts w:ascii="Arial" w:hAnsi="Arial" w:cs="Arial"/>
                <w:sz w:val="24"/>
                <w:szCs w:val="24"/>
              </w:rPr>
              <w:t>%</w:t>
            </w:r>
            <w:r w:rsidR="00316CF3" w:rsidRPr="0088235B" w:rsidDel="00931630">
              <w:rPr>
                <w:rFonts w:ascii="Arial" w:hAnsi="Arial" w:cs="Arial"/>
                <w:sz w:val="24"/>
                <w:szCs w:val="24"/>
              </w:rPr>
              <w:t xml:space="preserve"> </w:t>
            </w:r>
          </w:p>
        </w:tc>
        <w:tc>
          <w:tcPr>
            <w:tcW w:w="851" w:type="pct"/>
            <w:tcBorders>
              <w:top w:val="single" w:sz="4" w:space="0" w:color="auto"/>
            </w:tcBorders>
          </w:tcPr>
          <w:p w14:paraId="76705FA1" w14:textId="6D3017A8" w:rsidR="00931630" w:rsidRPr="0088235B" w:rsidRDefault="0047756B" w:rsidP="00931630">
            <w:pPr>
              <w:jc w:val="right"/>
              <w:rPr>
                <w:rFonts w:ascii="Arial" w:hAnsi="Arial" w:cs="Arial"/>
                <w:sz w:val="24"/>
                <w:szCs w:val="24"/>
              </w:rPr>
            </w:pPr>
            <w:r>
              <w:rPr>
                <w:rFonts w:ascii="Arial" w:hAnsi="Arial" w:cs="Arial"/>
                <w:sz w:val="24"/>
                <w:szCs w:val="24"/>
              </w:rPr>
              <w:t>+3</w:t>
            </w:r>
            <w:r w:rsidR="00172940">
              <w:rPr>
                <w:rFonts w:ascii="Arial" w:hAnsi="Arial" w:cs="Arial"/>
                <w:sz w:val="24"/>
                <w:szCs w:val="24"/>
              </w:rPr>
              <w:t>4</w:t>
            </w:r>
            <w:r w:rsidR="00A81B8B">
              <w:rPr>
                <w:rFonts w:ascii="Arial" w:hAnsi="Arial" w:cs="Arial"/>
                <w:sz w:val="24"/>
                <w:szCs w:val="24"/>
              </w:rPr>
              <w:t>.2</w:t>
            </w:r>
            <w:r>
              <w:rPr>
                <w:rFonts w:ascii="Arial" w:hAnsi="Arial" w:cs="Arial"/>
                <w:sz w:val="24"/>
                <w:szCs w:val="24"/>
              </w:rPr>
              <w:t>%</w:t>
            </w:r>
          </w:p>
        </w:tc>
      </w:tr>
    </w:tbl>
    <w:p w14:paraId="4D042E9A" w14:textId="77777777" w:rsidR="007D43ED" w:rsidRPr="000971B9" w:rsidRDefault="007D43ED" w:rsidP="007D43ED">
      <w:pPr>
        <w:rPr>
          <w:rFonts w:ascii="Arial" w:hAnsi="Arial" w:cs="Arial"/>
          <w:b/>
          <w:bCs/>
          <w:sz w:val="24"/>
          <w:szCs w:val="24"/>
        </w:rPr>
      </w:pPr>
    </w:p>
    <w:p w14:paraId="347CB265" w14:textId="4D52FCC1" w:rsidR="007D43ED" w:rsidRPr="00D47C35" w:rsidRDefault="007D43ED" w:rsidP="007D43ED">
      <w:pPr>
        <w:jc w:val="left"/>
        <w:rPr>
          <w:rFonts w:ascii="Arial" w:hAnsi="Arial" w:cs="Arial"/>
          <w:sz w:val="24"/>
          <w:szCs w:val="24"/>
        </w:rPr>
      </w:pPr>
      <w:r w:rsidRPr="00D47C35">
        <w:rPr>
          <w:rFonts w:ascii="Arial" w:hAnsi="Arial" w:cs="Arial"/>
          <w:sz w:val="24"/>
          <w:szCs w:val="24"/>
        </w:rPr>
        <w:t xml:space="preserve">Other International total sales increased by </w:t>
      </w:r>
      <w:r w:rsidR="009C6430" w:rsidRPr="00925EFB">
        <w:rPr>
          <w:rFonts w:ascii="Arial" w:hAnsi="Arial" w:cs="Arial"/>
          <w:sz w:val="24"/>
          <w:szCs w:val="24"/>
        </w:rPr>
        <w:t>7.5</w:t>
      </w:r>
      <w:r w:rsidRPr="00D47C35">
        <w:rPr>
          <w:rFonts w:ascii="Arial" w:hAnsi="Arial" w:cs="Arial"/>
          <w:sz w:val="24"/>
          <w:szCs w:val="24"/>
        </w:rPr>
        <w:t>% (+</w:t>
      </w:r>
      <w:r w:rsidR="009C6430" w:rsidRPr="00925EFB">
        <w:rPr>
          <w:rFonts w:ascii="Arial" w:hAnsi="Arial" w:cs="Arial"/>
          <w:sz w:val="24"/>
          <w:szCs w:val="24"/>
        </w:rPr>
        <w:t>5.9</w:t>
      </w:r>
      <w:r w:rsidRPr="00D47C35">
        <w:rPr>
          <w:rFonts w:ascii="Arial" w:hAnsi="Arial" w:cs="Arial"/>
          <w:sz w:val="24"/>
          <w:szCs w:val="24"/>
        </w:rPr>
        <w:t>% LFL) to £</w:t>
      </w:r>
      <w:r w:rsidR="009C6430" w:rsidRPr="00925EFB">
        <w:rPr>
          <w:rFonts w:ascii="Arial" w:hAnsi="Arial" w:cs="Arial"/>
          <w:sz w:val="24"/>
          <w:szCs w:val="24"/>
        </w:rPr>
        <w:t>965</w:t>
      </w:r>
      <w:r w:rsidRPr="00D47C35">
        <w:rPr>
          <w:rFonts w:ascii="Arial" w:hAnsi="Arial" w:cs="Arial"/>
          <w:sz w:val="24"/>
          <w:szCs w:val="24"/>
        </w:rPr>
        <w:t xml:space="preserve"> million</w:t>
      </w:r>
      <w:r w:rsidR="005B1D91">
        <w:rPr>
          <w:rFonts w:ascii="Arial" w:hAnsi="Arial" w:cs="Arial"/>
          <w:sz w:val="24"/>
          <w:szCs w:val="24"/>
        </w:rPr>
        <w:t xml:space="preserve"> and retail profit </w:t>
      </w:r>
      <w:r w:rsidR="005B1D91" w:rsidRPr="00D47C35">
        <w:rPr>
          <w:rFonts w:ascii="Arial" w:hAnsi="Arial" w:cs="Arial"/>
          <w:sz w:val="24"/>
          <w:szCs w:val="24"/>
        </w:rPr>
        <w:t xml:space="preserve">increased by </w:t>
      </w:r>
      <w:r w:rsidR="005B1D91" w:rsidRPr="007663C4">
        <w:rPr>
          <w:rFonts w:ascii="Arial" w:hAnsi="Arial" w:cs="Arial"/>
          <w:sz w:val="24"/>
          <w:szCs w:val="24"/>
        </w:rPr>
        <w:t>3</w:t>
      </w:r>
      <w:r w:rsidR="005B1D91">
        <w:rPr>
          <w:rFonts w:ascii="Arial" w:hAnsi="Arial" w:cs="Arial"/>
          <w:sz w:val="24"/>
          <w:szCs w:val="24"/>
        </w:rPr>
        <w:t>4.2</w:t>
      </w:r>
      <w:r w:rsidR="005B1D91" w:rsidRPr="00D47C35">
        <w:rPr>
          <w:rFonts w:ascii="Arial" w:hAnsi="Arial" w:cs="Arial"/>
          <w:sz w:val="24"/>
          <w:szCs w:val="24"/>
        </w:rPr>
        <w:t>% to £</w:t>
      </w:r>
      <w:r w:rsidR="005B1D91" w:rsidRPr="007663C4">
        <w:rPr>
          <w:rFonts w:ascii="Arial" w:hAnsi="Arial" w:cs="Arial"/>
          <w:sz w:val="24"/>
          <w:szCs w:val="24"/>
        </w:rPr>
        <w:t>6</w:t>
      </w:r>
      <w:r w:rsidR="005B1D91">
        <w:rPr>
          <w:rFonts w:ascii="Arial" w:hAnsi="Arial" w:cs="Arial"/>
          <w:sz w:val="24"/>
          <w:szCs w:val="24"/>
        </w:rPr>
        <w:t>6</w:t>
      </w:r>
      <w:r w:rsidR="005B1D91" w:rsidRPr="00D47C35">
        <w:rPr>
          <w:rFonts w:ascii="Arial" w:hAnsi="Arial" w:cs="Arial"/>
          <w:sz w:val="24"/>
          <w:szCs w:val="24"/>
        </w:rPr>
        <w:t xml:space="preserve"> million</w:t>
      </w:r>
      <w:r w:rsidR="005B1D91">
        <w:rPr>
          <w:rFonts w:ascii="Arial" w:hAnsi="Arial" w:cs="Arial"/>
          <w:sz w:val="24"/>
          <w:szCs w:val="24"/>
        </w:rPr>
        <w:t xml:space="preserve">, both driven by Poland. </w:t>
      </w:r>
      <w:r w:rsidRPr="00D47C35">
        <w:rPr>
          <w:rFonts w:ascii="Arial" w:hAnsi="Arial" w:cs="Arial"/>
          <w:sz w:val="24"/>
          <w:szCs w:val="24"/>
        </w:rPr>
        <w:t xml:space="preserve"> </w:t>
      </w:r>
    </w:p>
    <w:p w14:paraId="2ED4AE79" w14:textId="77777777" w:rsidR="007D43ED" w:rsidRPr="00931630" w:rsidRDefault="007D43ED" w:rsidP="007D43ED">
      <w:pPr>
        <w:jc w:val="left"/>
        <w:rPr>
          <w:rFonts w:ascii="Arial" w:hAnsi="Arial" w:cs="Arial"/>
          <w:sz w:val="24"/>
          <w:szCs w:val="24"/>
          <w:highlight w:val="yellow"/>
        </w:rPr>
      </w:pPr>
    </w:p>
    <w:p w14:paraId="3036335F" w14:textId="2FF92D17" w:rsidR="007D43ED" w:rsidRPr="00D435DA" w:rsidRDefault="007D43ED" w:rsidP="007D43ED">
      <w:pPr>
        <w:jc w:val="left"/>
        <w:rPr>
          <w:rFonts w:ascii="Arial" w:hAnsi="Arial" w:cs="Arial"/>
          <w:b/>
          <w:sz w:val="24"/>
          <w:szCs w:val="24"/>
        </w:rPr>
      </w:pPr>
      <w:r w:rsidRPr="00D435DA">
        <w:rPr>
          <w:rFonts w:ascii="Arial" w:hAnsi="Arial" w:cs="Arial"/>
          <w:sz w:val="24"/>
          <w:szCs w:val="24"/>
        </w:rPr>
        <w:t xml:space="preserve">During </w:t>
      </w:r>
      <w:r w:rsidR="005B1D91">
        <w:rPr>
          <w:rFonts w:ascii="Arial" w:hAnsi="Arial" w:cs="Arial"/>
          <w:sz w:val="24"/>
          <w:szCs w:val="24"/>
        </w:rPr>
        <w:t>H1</w:t>
      </w:r>
      <w:r w:rsidRPr="00D435DA">
        <w:rPr>
          <w:rFonts w:ascii="Arial" w:hAnsi="Arial" w:cs="Arial"/>
          <w:sz w:val="24"/>
          <w:szCs w:val="24"/>
        </w:rPr>
        <w:t xml:space="preserve"> </w:t>
      </w:r>
      <w:r w:rsidR="0064522A" w:rsidRPr="00925EFB">
        <w:rPr>
          <w:rFonts w:ascii="Arial" w:hAnsi="Arial" w:cs="Arial"/>
          <w:sz w:val="24"/>
          <w:szCs w:val="24"/>
        </w:rPr>
        <w:t>three</w:t>
      </w:r>
      <w:r w:rsidR="009C6430" w:rsidRPr="00D435DA">
        <w:rPr>
          <w:rFonts w:ascii="Arial" w:hAnsi="Arial" w:cs="Arial"/>
          <w:sz w:val="24"/>
          <w:szCs w:val="24"/>
        </w:rPr>
        <w:t xml:space="preserve"> </w:t>
      </w:r>
      <w:r w:rsidRPr="00D435DA">
        <w:rPr>
          <w:rFonts w:ascii="Arial" w:hAnsi="Arial" w:cs="Arial"/>
          <w:sz w:val="24"/>
          <w:szCs w:val="24"/>
        </w:rPr>
        <w:t>net new</w:t>
      </w:r>
      <w:r w:rsidR="002E501D" w:rsidRPr="00D435DA">
        <w:rPr>
          <w:rFonts w:ascii="Arial" w:hAnsi="Arial" w:cs="Arial"/>
          <w:sz w:val="24"/>
          <w:szCs w:val="24"/>
        </w:rPr>
        <w:t xml:space="preserve"> stores were opened,</w:t>
      </w:r>
      <w:r w:rsidRPr="00D435DA">
        <w:rPr>
          <w:rFonts w:ascii="Arial" w:hAnsi="Arial" w:cs="Arial"/>
          <w:sz w:val="24"/>
          <w:szCs w:val="24"/>
        </w:rPr>
        <w:t xml:space="preserve"> </w:t>
      </w:r>
      <w:r w:rsidR="00E53A31">
        <w:rPr>
          <w:rFonts w:ascii="Arial" w:hAnsi="Arial" w:cs="Arial"/>
          <w:sz w:val="24"/>
          <w:szCs w:val="24"/>
        </w:rPr>
        <w:t>after opening</w:t>
      </w:r>
      <w:r w:rsidR="00E53A31" w:rsidRPr="00925EFB">
        <w:rPr>
          <w:rFonts w:ascii="Arial" w:hAnsi="Arial" w:cs="Arial"/>
          <w:sz w:val="24"/>
          <w:szCs w:val="24"/>
        </w:rPr>
        <w:t xml:space="preserve"> </w:t>
      </w:r>
      <w:r w:rsidR="006B02CB" w:rsidRPr="00D435DA">
        <w:rPr>
          <w:rFonts w:ascii="Arial" w:hAnsi="Arial" w:cs="Arial"/>
          <w:sz w:val="24"/>
          <w:szCs w:val="24"/>
        </w:rPr>
        <w:t>one in Poland</w:t>
      </w:r>
      <w:r w:rsidR="00E53A31">
        <w:rPr>
          <w:rFonts w:ascii="Arial" w:hAnsi="Arial" w:cs="Arial"/>
          <w:sz w:val="24"/>
          <w:szCs w:val="24"/>
        </w:rPr>
        <w:t xml:space="preserve"> and</w:t>
      </w:r>
      <w:r w:rsidR="00E53A31" w:rsidRPr="00D435DA">
        <w:rPr>
          <w:rFonts w:ascii="Arial" w:hAnsi="Arial" w:cs="Arial"/>
          <w:sz w:val="24"/>
          <w:szCs w:val="24"/>
        </w:rPr>
        <w:t xml:space="preserve"> </w:t>
      </w:r>
      <w:r w:rsidR="0064522A" w:rsidRPr="00925EFB">
        <w:rPr>
          <w:rFonts w:ascii="Arial" w:hAnsi="Arial" w:cs="Arial"/>
          <w:sz w:val="24"/>
          <w:szCs w:val="24"/>
        </w:rPr>
        <w:t xml:space="preserve">three </w:t>
      </w:r>
      <w:r w:rsidRPr="00D435DA">
        <w:rPr>
          <w:rFonts w:ascii="Arial" w:hAnsi="Arial" w:cs="Arial"/>
          <w:sz w:val="24"/>
          <w:szCs w:val="24"/>
        </w:rPr>
        <w:t>in Screwfix Germany</w:t>
      </w:r>
      <w:r w:rsidR="002E501D" w:rsidRPr="00D435DA">
        <w:rPr>
          <w:rFonts w:ascii="Arial" w:hAnsi="Arial" w:cs="Arial"/>
          <w:sz w:val="24"/>
          <w:szCs w:val="24"/>
        </w:rPr>
        <w:t>, adding</w:t>
      </w:r>
      <w:r w:rsidR="00596958" w:rsidRPr="00D435DA">
        <w:rPr>
          <w:rFonts w:ascii="Arial" w:hAnsi="Arial" w:cs="Arial"/>
          <w:sz w:val="24"/>
          <w:szCs w:val="24"/>
        </w:rPr>
        <w:t xml:space="preserve"> </w:t>
      </w:r>
      <w:r w:rsidR="009914CC">
        <w:rPr>
          <w:rFonts w:ascii="Arial" w:hAnsi="Arial" w:cs="Arial"/>
          <w:sz w:val="24"/>
          <w:szCs w:val="24"/>
        </w:rPr>
        <w:t>2</w:t>
      </w:r>
      <w:r w:rsidR="00596958" w:rsidRPr="00D435DA">
        <w:rPr>
          <w:rFonts w:ascii="Arial" w:hAnsi="Arial" w:cs="Arial"/>
          <w:sz w:val="24"/>
          <w:szCs w:val="24"/>
        </w:rPr>
        <w:t>%</w:t>
      </w:r>
      <w:r w:rsidRPr="00D435DA">
        <w:rPr>
          <w:rFonts w:ascii="Arial" w:hAnsi="Arial" w:cs="Arial"/>
          <w:sz w:val="24"/>
          <w:szCs w:val="24"/>
        </w:rPr>
        <w:t xml:space="preserve"> </w:t>
      </w:r>
      <w:r w:rsidR="003678C1" w:rsidRPr="00D435DA">
        <w:rPr>
          <w:rFonts w:ascii="Arial" w:hAnsi="Arial" w:cs="Arial"/>
          <w:sz w:val="24"/>
          <w:szCs w:val="24"/>
        </w:rPr>
        <w:t xml:space="preserve">more space </w:t>
      </w:r>
      <w:r w:rsidRPr="00D435DA">
        <w:rPr>
          <w:rFonts w:ascii="Arial" w:hAnsi="Arial" w:cs="Arial"/>
          <w:sz w:val="24"/>
          <w:szCs w:val="24"/>
        </w:rPr>
        <w:t>compared to</w:t>
      </w:r>
      <w:r w:rsidR="0064522A" w:rsidRPr="00925EFB">
        <w:rPr>
          <w:rFonts w:ascii="Arial" w:hAnsi="Arial" w:cs="Arial"/>
          <w:sz w:val="24"/>
          <w:szCs w:val="24"/>
        </w:rPr>
        <w:t xml:space="preserve"> H1</w:t>
      </w:r>
      <w:r w:rsidRPr="00D435DA">
        <w:rPr>
          <w:rFonts w:ascii="Arial" w:hAnsi="Arial" w:cs="Arial"/>
          <w:sz w:val="24"/>
          <w:szCs w:val="24"/>
        </w:rPr>
        <w:t xml:space="preserve"> last year. </w:t>
      </w:r>
    </w:p>
    <w:p w14:paraId="2A5D8E11" w14:textId="77777777" w:rsidR="007D43ED" w:rsidRPr="00931630" w:rsidRDefault="007D43ED" w:rsidP="007D43ED">
      <w:pPr>
        <w:jc w:val="left"/>
        <w:rPr>
          <w:rFonts w:ascii="Arial" w:hAnsi="Arial" w:cs="Arial"/>
          <w:sz w:val="24"/>
          <w:szCs w:val="24"/>
          <w:highlight w:val="yellow"/>
        </w:rPr>
      </w:pPr>
    </w:p>
    <w:p w14:paraId="621FF1BF" w14:textId="77777777" w:rsidR="007D43ED" w:rsidRPr="00624ACF" w:rsidRDefault="007D43ED" w:rsidP="007D43ED">
      <w:pPr>
        <w:jc w:val="left"/>
        <w:rPr>
          <w:rFonts w:ascii="Arial" w:hAnsi="Arial" w:cs="Arial"/>
          <w:b/>
          <w:sz w:val="24"/>
          <w:szCs w:val="24"/>
        </w:rPr>
      </w:pPr>
      <w:r w:rsidRPr="00624ACF">
        <w:rPr>
          <w:rFonts w:ascii="Arial" w:hAnsi="Arial" w:cs="Arial"/>
          <w:b/>
          <w:bCs/>
          <w:sz w:val="24"/>
          <w:szCs w:val="24"/>
        </w:rPr>
        <w:t>Other International</w:t>
      </w:r>
      <w:r w:rsidRPr="00624ACF">
        <w:rPr>
          <w:rFonts w:ascii="Arial" w:hAnsi="Arial" w:cs="Arial"/>
          <w:b/>
          <w:sz w:val="24"/>
          <w:szCs w:val="24"/>
        </w:rPr>
        <w:t xml:space="preserve"> (established): </w:t>
      </w:r>
    </w:p>
    <w:p w14:paraId="7E8A28D7" w14:textId="77777777" w:rsidR="007D43ED" w:rsidRPr="00925EFB" w:rsidRDefault="007D43ED" w:rsidP="007D43ED">
      <w:pPr>
        <w:jc w:val="left"/>
        <w:rPr>
          <w:rFonts w:ascii="Arial" w:hAnsi="Arial" w:cs="Arial"/>
          <w:sz w:val="24"/>
          <w:szCs w:val="24"/>
          <w:highlight w:val="yellow"/>
        </w:rPr>
      </w:pPr>
    </w:p>
    <w:p w14:paraId="154DB4FF" w14:textId="0741ED88" w:rsidR="007D43ED" w:rsidRPr="00FC5C5A" w:rsidRDefault="007D43ED" w:rsidP="007D43ED">
      <w:pPr>
        <w:jc w:val="left"/>
        <w:rPr>
          <w:rFonts w:ascii="Arial" w:hAnsi="Arial" w:cs="Arial"/>
          <w:sz w:val="24"/>
          <w:szCs w:val="24"/>
        </w:rPr>
      </w:pPr>
      <w:r w:rsidRPr="00FC5C5A">
        <w:rPr>
          <w:rFonts w:ascii="Arial" w:hAnsi="Arial" w:cs="Arial"/>
          <w:sz w:val="24"/>
          <w:szCs w:val="24"/>
        </w:rPr>
        <w:t xml:space="preserve">Sales in </w:t>
      </w:r>
      <w:r w:rsidRPr="00FC5C5A">
        <w:rPr>
          <w:rFonts w:ascii="Arial" w:hAnsi="Arial" w:cs="Arial"/>
          <w:b/>
          <w:sz w:val="24"/>
          <w:szCs w:val="24"/>
        </w:rPr>
        <w:t>Poland</w:t>
      </w:r>
      <w:r w:rsidRPr="00FC5C5A">
        <w:rPr>
          <w:rFonts w:ascii="Arial" w:hAnsi="Arial" w:cs="Arial"/>
          <w:sz w:val="24"/>
          <w:szCs w:val="24"/>
        </w:rPr>
        <w:t xml:space="preserve"> were up </w:t>
      </w:r>
      <w:r w:rsidR="009C6430" w:rsidRPr="00925EFB">
        <w:rPr>
          <w:rFonts w:ascii="Arial" w:hAnsi="Arial" w:cs="Arial"/>
          <w:sz w:val="24"/>
          <w:szCs w:val="24"/>
        </w:rPr>
        <w:t>11.4</w:t>
      </w:r>
      <w:r w:rsidRPr="00FC5C5A">
        <w:rPr>
          <w:rFonts w:ascii="Arial" w:hAnsi="Arial" w:cs="Arial"/>
          <w:sz w:val="24"/>
          <w:szCs w:val="24"/>
        </w:rPr>
        <w:t>% (+</w:t>
      </w:r>
      <w:r w:rsidR="009C6430" w:rsidRPr="00925EFB">
        <w:rPr>
          <w:rFonts w:ascii="Arial" w:hAnsi="Arial" w:cs="Arial"/>
          <w:sz w:val="24"/>
          <w:szCs w:val="24"/>
        </w:rPr>
        <w:t>8.9</w:t>
      </w:r>
      <w:r w:rsidRPr="00FC5C5A">
        <w:rPr>
          <w:rFonts w:ascii="Arial" w:hAnsi="Arial" w:cs="Arial"/>
          <w:sz w:val="24"/>
          <w:szCs w:val="24"/>
        </w:rPr>
        <w:t>% LFL) to £</w:t>
      </w:r>
      <w:r w:rsidR="009C6430" w:rsidRPr="00925EFB">
        <w:rPr>
          <w:rFonts w:ascii="Arial" w:hAnsi="Arial" w:cs="Arial"/>
          <w:sz w:val="24"/>
          <w:szCs w:val="24"/>
        </w:rPr>
        <w:t>587</w:t>
      </w:r>
      <w:r w:rsidR="009C6430" w:rsidRPr="00FC5C5A">
        <w:rPr>
          <w:rFonts w:ascii="Arial" w:hAnsi="Arial" w:cs="Arial"/>
          <w:sz w:val="24"/>
          <w:szCs w:val="24"/>
        </w:rPr>
        <w:t xml:space="preserve"> </w:t>
      </w:r>
      <w:r w:rsidRPr="00FC5C5A">
        <w:rPr>
          <w:rFonts w:ascii="Arial" w:hAnsi="Arial" w:cs="Arial"/>
          <w:sz w:val="24"/>
          <w:szCs w:val="24"/>
        </w:rPr>
        <w:t>million</w:t>
      </w:r>
      <w:r w:rsidR="00F23600" w:rsidRPr="00FC5C5A">
        <w:rPr>
          <w:rFonts w:ascii="Arial" w:hAnsi="Arial" w:cs="Arial"/>
          <w:sz w:val="24"/>
          <w:szCs w:val="24"/>
        </w:rPr>
        <w:t xml:space="preserve"> benefiting from </w:t>
      </w:r>
      <w:r w:rsidR="00624ACF">
        <w:rPr>
          <w:rFonts w:ascii="Arial" w:hAnsi="Arial" w:cs="Arial"/>
          <w:sz w:val="24"/>
          <w:szCs w:val="24"/>
        </w:rPr>
        <w:t xml:space="preserve">a supportive market and </w:t>
      </w:r>
      <w:r w:rsidR="00F23600" w:rsidRPr="00FC5C5A">
        <w:rPr>
          <w:rFonts w:ascii="Arial" w:hAnsi="Arial" w:cs="Arial"/>
          <w:sz w:val="24"/>
          <w:szCs w:val="24"/>
        </w:rPr>
        <w:t>new ranges</w:t>
      </w:r>
      <w:r w:rsidRPr="00FC5C5A">
        <w:rPr>
          <w:rFonts w:ascii="Arial" w:hAnsi="Arial" w:cs="Arial"/>
          <w:sz w:val="24"/>
          <w:szCs w:val="24"/>
        </w:rPr>
        <w:t xml:space="preserve">. LFL sales of outdoor seasonal products were up </w:t>
      </w:r>
      <w:r w:rsidR="00FC5C5A" w:rsidRPr="00925EFB">
        <w:rPr>
          <w:rFonts w:ascii="Arial" w:hAnsi="Arial" w:cs="Arial"/>
          <w:sz w:val="24"/>
          <w:szCs w:val="24"/>
        </w:rPr>
        <w:t>10.6</w:t>
      </w:r>
      <w:r w:rsidRPr="00FC5C5A">
        <w:rPr>
          <w:rFonts w:ascii="Arial" w:hAnsi="Arial" w:cs="Arial"/>
          <w:sz w:val="24"/>
          <w:szCs w:val="24"/>
        </w:rPr>
        <w:t xml:space="preserve">% with sales of indoor and building products up </w:t>
      </w:r>
      <w:r w:rsidR="00FC5C5A" w:rsidRPr="00925EFB">
        <w:rPr>
          <w:rFonts w:ascii="Arial" w:hAnsi="Arial" w:cs="Arial"/>
          <w:sz w:val="24"/>
          <w:szCs w:val="24"/>
        </w:rPr>
        <w:t>8.5</w:t>
      </w:r>
      <w:r w:rsidRPr="00FC5C5A">
        <w:rPr>
          <w:rFonts w:ascii="Arial" w:hAnsi="Arial" w:cs="Arial"/>
          <w:sz w:val="24"/>
          <w:szCs w:val="24"/>
        </w:rPr>
        <w:t xml:space="preserve">%. Gross margins were up </w:t>
      </w:r>
      <w:r w:rsidR="000533AE" w:rsidRPr="00925EFB">
        <w:rPr>
          <w:rFonts w:ascii="Arial" w:hAnsi="Arial" w:cs="Arial"/>
          <w:sz w:val="24"/>
          <w:szCs w:val="24"/>
        </w:rPr>
        <w:t>140</w:t>
      </w:r>
      <w:r w:rsidR="009C6430" w:rsidRPr="00FC5C5A">
        <w:rPr>
          <w:rFonts w:ascii="Arial" w:hAnsi="Arial" w:cs="Arial"/>
          <w:sz w:val="24"/>
          <w:szCs w:val="24"/>
        </w:rPr>
        <w:t xml:space="preserve"> </w:t>
      </w:r>
      <w:r w:rsidRPr="00FC5C5A">
        <w:rPr>
          <w:rFonts w:ascii="Arial" w:hAnsi="Arial" w:cs="Arial"/>
          <w:sz w:val="24"/>
          <w:szCs w:val="24"/>
        </w:rPr>
        <w:t>basis points</w:t>
      </w:r>
      <w:r w:rsidR="003B06F1">
        <w:rPr>
          <w:rFonts w:ascii="Arial" w:hAnsi="Arial" w:cs="Arial"/>
          <w:sz w:val="24"/>
          <w:szCs w:val="24"/>
        </w:rPr>
        <w:t xml:space="preserve"> reflecting strong trading</w:t>
      </w:r>
      <w:r w:rsidRPr="00FC5C5A">
        <w:rPr>
          <w:rFonts w:ascii="Arial" w:hAnsi="Arial" w:cs="Arial"/>
          <w:sz w:val="24"/>
          <w:szCs w:val="24"/>
        </w:rPr>
        <w:t xml:space="preserve">. Retail profit grew by </w:t>
      </w:r>
      <w:r w:rsidR="001068E7" w:rsidRPr="00925EFB">
        <w:rPr>
          <w:rFonts w:ascii="Arial" w:hAnsi="Arial" w:cs="Arial"/>
          <w:sz w:val="24"/>
          <w:szCs w:val="24"/>
        </w:rPr>
        <w:t>3</w:t>
      </w:r>
      <w:r w:rsidR="00172940">
        <w:rPr>
          <w:rFonts w:ascii="Arial" w:hAnsi="Arial" w:cs="Arial"/>
          <w:sz w:val="24"/>
          <w:szCs w:val="24"/>
        </w:rPr>
        <w:t>2.</w:t>
      </w:r>
      <w:r w:rsidR="00DC3143">
        <w:rPr>
          <w:rFonts w:ascii="Arial" w:hAnsi="Arial" w:cs="Arial"/>
          <w:sz w:val="24"/>
          <w:szCs w:val="24"/>
        </w:rPr>
        <w:t>7</w:t>
      </w:r>
      <w:r w:rsidRPr="00FC5C5A">
        <w:rPr>
          <w:rFonts w:ascii="Arial" w:hAnsi="Arial" w:cs="Arial"/>
          <w:sz w:val="24"/>
          <w:szCs w:val="24"/>
        </w:rPr>
        <w:t>% to £</w:t>
      </w:r>
      <w:r w:rsidR="001068E7" w:rsidRPr="00925EFB">
        <w:rPr>
          <w:rFonts w:ascii="Arial" w:hAnsi="Arial" w:cs="Arial"/>
          <w:sz w:val="24"/>
          <w:szCs w:val="24"/>
        </w:rPr>
        <w:t>7</w:t>
      </w:r>
      <w:r w:rsidR="00172940">
        <w:rPr>
          <w:rFonts w:ascii="Arial" w:hAnsi="Arial" w:cs="Arial"/>
          <w:sz w:val="24"/>
          <w:szCs w:val="24"/>
        </w:rPr>
        <w:t>3</w:t>
      </w:r>
      <w:r w:rsidR="009C6430" w:rsidRPr="00FC5C5A">
        <w:rPr>
          <w:rFonts w:ascii="Arial" w:hAnsi="Arial" w:cs="Arial"/>
          <w:sz w:val="24"/>
          <w:szCs w:val="24"/>
        </w:rPr>
        <w:t xml:space="preserve"> </w:t>
      </w:r>
      <w:r w:rsidRPr="00FC5C5A">
        <w:rPr>
          <w:rFonts w:ascii="Arial" w:hAnsi="Arial" w:cs="Arial"/>
          <w:sz w:val="24"/>
          <w:szCs w:val="24"/>
        </w:rPr>
        <w:t xml:space="preserve">million </w:t>
      </w:r>
      <w:r w:rsidR="005B1D91">
        <w:rPr>
          <w:rFonts w:ascii="Arial" w:hAnsi="Arial" w:cs="Arial"/>
          <w:sz w:val="24"/>
          <w:szCs w:val="24"/>
        </w:rPr>
        <w:t>reflecting</w:t>
      </w:r>
      <w:r w:rsidRPr="00FC5C5A">
        <w:rPr>
          <w:rFonts w:ascii="Arial" w:hAnsi="Arial" w:cs="Arial"/>
          <w:sz w:val="24"/>
          <w:szCs w:val="24"/>
        </w:rPr>
        <w:t xml:space="preserve"> the sales growth</w:t>
      </w:r>
      <w:r w:rsidR="005B1D91">
        <w:rPr>
          <w:rFonts w:ascii="Arial" w:hAnsi="Arial" w:cs="Arial"/>
          <w:sz w:val="24"/>
          <w:szCs w:val="24"/>
        </w:rPr>
        <w:t xml:space="preserve"> and higher gross margins. </w:t>
      </w:r>
    </w:p>
    <w:p w14:paraId="61255BE6" w14:textId="77777777" w:rsidR="007D43ED" w:rsidRPr="00931630" w:rsidRDefault="007D43ED" w:rsidP="007D43ED">
      <w:pPr>
        <w:jc w:val="left"/>
        <w:rPr>
          <w:rFonts w:ascii="Arial" w:hAnsi="Arial" w:cs="Arial"/>
          <w:sz w:val="24"/>
          <w:szCs w:val="24"/>
          <w:highlight w:val="yellow"/>
        </w:rPr>
      </w:pPr>
    </w:p>
    <w:p w14:paraId="71436869" w14:textId="19E65FD6" w:rsidR="007D43ED" w:rsidRPr="00AA2E55" w:rsidRDefault="007D43ED" w:rsidP="007D43ED">
      <w:pPr>
        <w:jc w:val="left"/>
        <w:rPr>
          <w:rFonts w:ascii="Arial" w:hAnsi="Arial" w:cs="Arial"/>
          <w:sz w:val="24"/>
          <w:szCs w:val="24"/>
        </w:rPr>
      </w:pPr>
      <w:r w:rsidRPr="00624ACF">
        <w:rPr>
          <w:rFonts w:ascii="Arial" w:hAnsi="Arial" w:cs="Arial"/>
          <w:sz w:val="24"/>
          <w:szCs w:val="24"/>
        </w:rPr>
        <w:t xml:space="preserve">In </w:t>
      </w:r>
      <w:r w:rsidRPr="00624ACF">
        <w:rPr>
          <w:rFonts w:ascii="Arial" w:hAnsi="Arial" w:cs="Arial"/>
          <w:b/>
          <w:sz w:val="24"/>
          <w:szCs w:val="24"/>
        </w:rPr>
        <w:t xml:space="preserve">Russia </w:t>
      </w:r>
      <w:r w:rsidRPr="00624ACF">
        <w:rPr>
          <w:rFonts w:ascii="Arial" w:hAnsi="Arial" w:cs="Arial"/>
          <w:sz w:val="24"/>
          <w:szCs w:val="24"/>
        </w:rPr>
        <w:t xml:space="preserve">sales </w:t>
      </w:r>
      <w:r w:rsidR="00106BDC">
        <w:rPr>
          <w:rFonts w:ascii="Arial" w:hAnsi="Arial" w:cs="Arial"/>
          <w:sz w:val="24"/>
          <w:szCs w:val="24"/>
        </w:rPr>
        <w:t>declined</w:t>
      </w:r>
      <w:r w:rsidR="00106BDC" w:rsidRPr="00624ACF">
        <w:rPr>
          <w:rFonts w:ascii="Arial" w:hAnsi="Arial" w:cs="Arial"/>
          <w:sz w:val="24"/>
          <w:szCs w:val="24"/>
        </w:rPr>
        <w:t xml:space="preserve"> </w:t>
      </w:r>
      <w:r w:rsidR="009C6430" w:rsidRPr="00925EFB">
        <w:rPr>
          <w:rFonts w:ascii="Arial" w:hAnsi="Arial" w:cs="Arial"/>
          <w:sz w:val="24"/>
          <w:szCs w:val="24"/>
        </w:rPr>
        <w:t xml:space="preserve">slightly </w:t>
      </w:r>
      <w:r w:rsidR="00FC5C5A" w:rsidRPr="00925EFB">
        <w:rPr>
          <w:rFonts w:ascii="Arial" w:hAnsi="Arial" w:cs="Arial"/>
          <w:sz w:val="24"/>
          <w:szCs w:val="24"/>
        </w:rPr>
        <w:t>by</w:t>
      </w:r>
      <w:r w:rsidR="00FC5C5A" w:rsidRPr="00624ACF">
        <w:rPr>
          <w:rFonts w:ascii="Arial" w:hAnsi="Arial" w:cs="Arial"/>
          <w:sz w:val="24"/>
          <w:szCs w:val="24"/>
        </w:rPr>
        <w:t xml:space="preserve"> </w:t>
      </w:r>
      <w:r w:rsidR="009C6430" w:rsidRPr="00925EFB">
        <w:rPr>
          <w:rFonts w:ascii="Arial" w:hAnsi="Arial" w:cs="Arial"/>
          <w:sz w:val="24"/>
          <w:szCs w:val="24"/>
        </w:rPr>
        <w:t>0.6</w:t>
      </w:r>
      <w:r w:rsidRPr="00624ACF">
        <w:rPr>
          <w:rFonts w:ascii="Arial" w:hAnsi="Arial" w:cs="Arial"/>
          <w:sz w:val="24"/>
          <w:szCs w:val="24"/>
        </w:rPr>
        <w:t>% (+</w:t>
      </w:r>
      <w:r w:rsidR="009C6430" w:rsidRPr="00925EFB">
        <w:rPr>
          <w:rFonts w:ascii="Arial" w:hAnsi="Arial" w:cs="Arial"/>
          <w:sz w:val="24"/>
          <w:szCs w:val="24"/>
        </w:rPr>
        <w:t>1.2</w:t>
      </w:r>
      <w:r w:rsidRPr="00624ACF">
        <w:rPr>
          <w:rFonts w:ascii="Arial" w:hAnsi="Arial" w:cs="Arial"/>
          <w:sz w:val="24"/>
          <w:szCs w:val="24"/>
        </w:rPr>
        <w:t>% LFL) to £</w:t>
      </w:r>
      <w:r w:rsidR="009C6430" w:rsidRPr="00925EFB">
        <w:rPr>
          <w:rFonts w:ascii="Arial" w:hAnsi="Arial" w:cs="Arial"/>
          <w:sz w:val="24"/>
          <w:szCs w:val="24"/>
        </w:rPr>
        <w:t>157</w:t>
      </w:r>
      <w:r w:rsidR="009C6430" w:rsidRPr="00624ACF">
        <w:rPr>
          <w:rFonts w:ascii="Arial" w:hAnsi="Arial" w:cs="Arial"/>
          <w:sz w:val="24"/>
          <w:szCs w:val="24"/>
        </w:rPr>
        <w:t xml:space="preserve"> </w:t>
      </w:r>
      <w:r w:rsidRPr="00624ACF">
        <w:rPr>
          <w:rFonts w:ascii="Arial" w:hAnsi="Arial" w:cs="Arial"/>
          <w:sz w:val="24"/>
          <w:szCs w:val="24"/>
        </w:rPr>
        <w:t xml:space="preserve">million </w:t>
      </w:r>
      <w:r w:rsidR="00624ACF" w:rsidRPr="00925EFB">
        <w:rPr>
          <w:rFonts w:ascii="Arial" w:hAnsi="Arial" w:cs="Arial"/>
          <w:sz w:val="24"/>
          <w:szCs w:val="24"/>
        </w:rPr>
        <w:t>against strong compar</w:t>
      </w:r>
      <w:r w:rsidR="005B1D91">
        <w:rPr>
          <w:rFonts w:ascii="Arial" w:hAnsi="Arial" w:cs="Arial"/>
          <w:sz w:val="24"/>
          <w:szCs w:val="24"/>
        </w:rPr>
        <w:t>atives</w:t>
      </w:r>
      <w:r w:rsidR="00624ACF" w:rsidRPr="00925EFB">
        <w:rPr>
          <w:rFonts w:ascii="Arial" w:hAnsi="Arial" w:cs="Arial"/>
          <w:sz w:val="24"/>
          <w:szCs w:val="24"/>
        </w:rPr>
        <w:t xml:space="preserve"> (2015/16: +15.3% LFL)</w:t>
      </w:r>
      <w:r w:rsidR="00596958" w:rsidRPr="00624ACF">
        <w:rPr>
          <w:rFonts w:ascii="Arial" w:hAnsi="Arial" w:cs="Arial"/>
          <w:sz w:val="24"/>
          <w:szCs w:val="24"/>
        </w:rPr>
        <w:t>.</w:t>
      </w:r>
      <w:r w:rsidRPr="00624ACF">
        <w:rPr>
          <w:rFonts w:ascii="Arial" w:hAnsi="Arial" w:cs="Arial"/>
          <w:sz w:val="24"/>
          <w:szCs w:val="24"/>
        </w:rPr>
        <w:t xml:space="preserve"> </w:t>
      </w:r>
      <w:r w:rsidR="00624ACF">
        <w:rPr>
          <w:rFonts w:ascii="Arial" w:hAnsi="Arial" w:cs="Arial"/>
          <w:sz w:val="24"/>
          <w:szCs w:val="24"/>
        </w:rPr>
        <w:t xml:space="preserve">The business </w:t>
      </w:r>
      <w:r w:rsidR="00AC2B0B">
        <w:rPr>
          <w:rFonts w:ascii="Arial" w:hAnsi="Arial" w:cs="Arial"/>
          <w:sz w:val="24"/>
          <w:szCs w:val="24"/>
        </w:rPr>
        <w:t>delivered a breakeven result</w:t>
      </w:r>
      <w:r w:rsidR="001068E7" w:rsidRPr="00925EFB">
        <w:rPr>
          <w:rFonts w:ascii="Arial" w:hAnsi="Arial" w:cs="Arial"/>
          <w:sz w:val="24"/>
          <w:szCs w:val="24"/>
        </w:rPr>
        <w:t xml:space="preserve"> </w:t>
      </w:r>
      <w:r w:rsidR="00681C26" w:rsidRPr="003716BE">
        <w:rPr>
          <w:rFonts w:ascii="Arial" w:hAnsi="Arial" w:cs="Arial"/>
          <w:sz w:val="24"/>
          <w:szCs w:val="24"/>
        </w:rPr>
        <w:t>(2015</w:t>
      </w:r>
      <w:r w:rsidR="00822B9C" w:rsidRPr="00925EFB">
        <w:rPr>
          <w:rFonts w:ascii="Arial" w:hAnsi="Arial" w:cs="Arial"/>
          <w:sz w:val="24"/>
          <w:szCs w:val="24"/>
        </w:rPr>
        <w:t>/16</w:t>
      </w:r>
      <w:r w:rsidR="00681C26" w:rsidRPr="003716BE">
        <w:rPr>
          <w:rFonts w:ascii="Arial" w:hAnsi="Arial" w:cs="Arial"/>
          <w:sz w:val="24"/>
          <w:szCs w:val="24"/>
        </w:rPr>
        <w:t>: £</w:t>
      </w:r>
      <w:r w:rsidR="0047756B" w:rsidRPr="00925EFB">
        <w:rPr>
          <w:rFonts w:ascii="Arial" w:hAnsi="Arial" w:cs="Arial"/>
          <w:sz w:val="24"/>
          <w:szCs w:val="24"/>
        </w:rPr>
        <w:t>3</w:t>
      </w:r>
      <w:r w:rsidR="009C6430" w:rsidRPr="003716BE">
        <w:rPr>
          <w:rFonts w:ascii="Arial" w:hAnsi="Arial" w:cs="Arial"/>
          <w:sz w:val="24"/>
          <w:szCs w:val="24"/>
        </w:rPr>
        <w:t xml:space="preserve"> </w:t>
      </w:r>
      <w:r w:rsidR="00681C26" w:rsidRPr="003716BE">
        <w:rPr>
          <w:rFonts w:ascii="Arial" w:hAnsi="Arial" w:cs="Arial"/>
          <w:sz w:val="24"/>
          <w:szCs w:val="24"/>
        </w:rPr>
        <w:t>million reported retail profit</w:t>
      </w:r>
      <w:r w:rsidR="00144DA6">
        <w:rPr>
          <w:rFonts w:ascii="Arial" w:hAnsi="Arial" w:cs="Arial"/>
          <w:sz w:val="24"/>
          <w:szCs w:val="24"/>
        </w:rPr>
        <w:t xml:space="preserve">) </w:t>
      </w:r>
      <w:r w:rsidR="0012195C">
        <w:rPr>
          <w:rFonts w:ascii="Arial" w:hAnsi="Arial" w:cs="Arial"/>
          <w:sz w:val="24"/>
          <w:szCs w:val="24"/>
        </w:rPr>
        <w:t xml:space="preserve">reflecting </w:t>
      </w:r>
      <w:r w:rsidR="0012195C" w:rsidRPr="0012195C">
        <w:rPr>
          <w:rFonts w:ascii="Arial" w:hAnsi="Arial" w:cs="Arial"/>
          <w:sz w:val="24"/>
          <w:szCs w:val="24"/>
        </w:rPr>
        <w:t xml:space="preserve">a challenging environment </w:t>
      </w:r>
      <w:r w:rsidR="0012195C">
        <w:rPr>
          <w:rFonts w:ascii="Arial" w:hAnsi="Arial" w:cs="Arial"/>
          <w:sz w:val="24"/>
          <w:szCs w:val="24"/>
        </w:rPr>
        <w:t xml:space="preserve">and </w:t>
      </w:r>
      <w:r w:rsidR="00144DA6">
        <w:rPr>
          <w:rFonts w:ascii="Arial" w:hAnsi="Arial" w:cs="Arial"/>
          <w:sz w:val="24"/>
          <w:szCs w:val="24"/>
        </w:rPr>
        <w:t>adverse foreign currency exchange movements on the cost base.</w:t>
      </w:r>
      <w:r w:rsidRPr="00AA2E55">
        <w:rPr>
          <w:rFonts w:ascii="Arial" w:hAnsi="Arial" w:cs="Arial"/>
          <w:sz w:val="24"/>
          <w:szCs w:val="24"/>
        </w:rPr>
        <w:t xml:space="preserve"> In </w:t>
      </w:r>
      <w:r w:rsidRPr="00AA2E55">
        <w:rPr>
          <w:rFonts w:ascii="Arial" w:hAnsi="Arial" w:cs="Arial"/>
          <w:b/>
          <w:sz w:val="24"/>
          <w:szCs w:val="24"/>
        </w:rPr>
        <w:t>Spain</w:t>
      </w:r>
      <w:r w:rsidRPr="00AA2E55">
        <w:rPr>
          <w:rFonts w:ascii="Arial" w:hAnsi="Arial" w:cs="Arial"/>
          <w:sz w:val="24"/>
          <w:szCs w:val="24"/>
        </w:rPr>
        <w:t xml:space="preserve"> sales </w:t>
      </w:r>
      <w:r w:rsidR="00822B9C" w:rsidRPr="00925EFB">
        <w:rPr>
          <w:rFonts w:ascii="Arial" w:hAnsi="Arial" w:cs="Arial"/>
          <w:sz w:val="24"/>
          <w:szCs w:val="24"/>
        </w:rPr>
        <w:t>increased</w:t>
      </w:r>
      <w:r w:rsidR="00822B9C" w:rsidRPr="00AA2E55">
        <w:rPr>
          <w:rFonts w:ascii="Arial" w:hAnsi="Arial" w:cs="Arial"/>
          <w:sz w:val="24"/>
          <w:szCs w:val="24"/>
        </w:rPr>
        <w:t xml:space="preserve"> </w:t>
      </w:r>
      <w:r w:rsidRPr="00AA2E55">
        <w:rPr>
          <w:rFonts w:ascii="Arial" w:hAnsi="Arial" w:cs="Arial"/>
          <w:sz w:val="24"/>
          <w:szCs w:val="24"/>
        </w:rPr>
        <w:t xml:space="preserve">by </w:t>
      </w:r>
      <w:r w:rsidR="00822B9C" w:rsidRPr="00925EFB">
        <w:rPr>
          <w:rFonts w:ascii="Arial" w:hAnsi="Arial" w:cs="Arial"/>
          <w:sz w:val="24"/>
          <w:szCs w:val="24"/>
        </w:rPr>
        <w:t>3.2</w:t>
      </w:r>
      <w:r w:rsidRPr="00AA2E55">
        <w:rPr>
          <w:rFonts w:ascii="Arial" w:hAnsi="Arial" w:cs="Arial"/>
          <w:sz w:val="24"/>
          <w:szCs w:val="24"/>
        </w:rPr>
        <w:t>% (</w:t>
      </w:r>
      <w:r w:rsidR="00822B9C" w:rsidRPr="00925EFB">
        <w:rPr>
          <w:rFonts w:ascii="Arial" w:hAnsi="Arial" w:cs="Arial"/>
          <w:sz w:val="24"/>
          <w:szCs w:val="24"/>
        </w:rPr>
        <w:t>+0.8</w:t>
      </w:r>
      <w:r w:rsidRPr="00AA2E55">
        <w:rPr>
          <w:rFonts w:ascii="Arial" w:hAnsi="Arial" w:cs="Arial"/>
          <w:sz w:val="24"/>
          <w:szCs w:val="24"/>
        </w:rPr>
        <w:t>% LFL) to £</w:t>
      </w:r>
      <w:r w:rsidR="00822B9C" w:rsidRPr="00925EFB">
        <w:rPr>
          <w:rFonts w:ascii="Arial" w:hAnsi="Arial" w:cs="Arial"/>
          <w:sz w:val="24"/>
          <w:szCs w:val="24"/>
        </w:rPr>
        <w:t>163</w:t>
      </w:r>
      <w:r w:rsidR="00822B9C" w:rsidRPr="00AA2E55">
        <w:rPr>
          <w:rFonts w:ascii="Arial" w:hAnsi="Arial" w:cs="Arial"/>
          <w:sz w:val="24"/>
          <w:szCs w:val="24"/>
        </w:rPr>
        <w:t xml:space="preserve"> </w:t>
      </w:r>
      <w:r w:rsidRPr="00AA2E55">
        <w:rPr>
          <w:rFonts w:ascii="Arial" w:hAnsi="Arial" w:cs="Arial"/>
          <w:sz w:val="24"/>
          <w:szCs w:val="24"/>
        </w:rPr>
        <w:t>million</w:t>
      </w:r>
      <w:r w:rsidR="00F04F80" w:rsidRPr="00AA2E55">
        <w:rPr>
          <w:rFonts w:ascii="Arial" w:hAnsi="Arial" w:cs="Arial"/>
          <w:sz w:val="24"/>
          <w:szCs w:val="24"/>
        </w:rPr>
        <w:t>,</w:t>
      </w:r>
      <w:r w:rsidR="00C51098" w:rsidRPr="00AA2E55">
        <w:rPr>
          <w:rFonts w:ascii="Arial" w:hAnsi="Arial" w:cs="Arial"/>
          <w:sz w:val="24"/>
          <w:szCs w:val="24"/>
        </w:rPr>
        <w:t xml:space="preserve"> delivering a</w:t>
      </w:r>
      <w:r w:rsidRPr="00AA2E55">
        <w:rPr>
          <w:rFonts w:ascii="Arial" w:hAnsi="Arial" w:cs="Arial"/>
          <w:sz w:val="24"/>
          <w:szCs w:val="24"/>
        </w:rPr>
        <w:t xml:space="preserve"> </w:t>
      </w:r>
      <w:r w:rsidR="0047756B" w:rsidRPr="00925EFB">
        <w:rPr>
          <w:rFonts w:ascii="Arial" w:hAnsi="Arial" w:cs="Arial"/>
          <w:sz w:val="24"/>
          <w:szCs w:val="24"/>
        </w:rPr>
        <w:t>£3 million retail profit</w:t>
      </w:r>
      <w:r w:rsidRPr="00AA2E55">
        <w:rPr>
          <w:rFonts w:ascii="Arial" w:hAnsi="Arial" w:cs="Arial"/>
          <w:sz w:val="24"/>
          <w:szCs w:val="24"/>
        </w:rPr>
        <w:t xml:space="preserve"> (2015</w:t>
      </w:r>
      <w:r w:rsidR="00822B9C" w:rsidRPr="00925EFB">
        <w:rPr>
          <w:rFonts w:ascii="Arial" w:hAnsi="Arial" w:cs="Arial"/>
          <w:sz w:val="24"/>
          <w:szCs w:val="24"/>
        </w:rPr>
        <w:t>/16</w:t>
      </w:r>
      <w:r w:rsidRPr="00AA2E55">
        <w:rPr>
          <w:rFonts w:ascii="Arial" w:hAnsi="Arial" w:cs="Arial"/>
          <w:sz w:val="24"/>
          <w:szCs w:val="24"/>
        </w:rPr>
        <w:t>: £</w:t>
      </w:r>
      <w:r w:rsidR="0047756B" w:rsidRPr="00925EFB">
        <w:rPr>
          <w:rFonts w:ascii="Arial" w:hAnsi="Arial" w:cs="Arial"/>
          <w:sz w:val="24"/>
          <w:szCs w:val="24"/>
        </w:rPr>
        <w:t>2</w:t>
      </w:r>
      <w:r w:rsidR="00822B9C" w:rsidRPr="00AA2E55">
        <w:rPr>
          <w:rFonts w:ascii="Arial" w:hAnsi="Arial" w:cs="Arial"/>
          <w:sz w:val="24"/>
          <w:szCs w:val="24"/>
        </w:rPr>
        <w:t xml:space="preserve"> </w:t>
      </w:r>
      <w:r w:rsidRPr="00AA2E55">
        <w:rPr>
          <w:rFonts w:ascii="Arial" w:hAnsi="Arial" w:cs="Arial"/>
          <w:sz w:val="24"/>
          <w:szCs w:val="24"/>
        </w:rPr>
        <w:t xml:space="preserve">million reported retail profit). </w:t>
      </w:r>
      <w:r w:rsidR="00E53A31" w:rsidRPr="00AA2E55">
        <w:rPr>
          <w:rFonts w:ascii="Arial" w:hAnsi="Arial" w:cs="Arial"/>
          <w:sz w:val="24"/>
          <w:szCs w:val="24"/>
        </w:rPr>
        <w:t xml:space="preserve">In </w:t>
      </w:r>
      <w:r w:rsidR="00E53A31" w:rsidRPr="00AA2E55">
        <w:rPr>
          <w:rFonts w:ascii="Arial" w:hAnsi="Arial" w:cs="Arial"/>
          <w:b/>
          <w:sz w:val="24"/>
          <w:szCs w:val="24"/>
        </w:rPr>
        <w:t xml:space="preserve">Turkey, </w:t>
      </w:r>
      <w:r w:rsidR="00E53A31" w:rsidRPr="00AA2E55">
        <w:rPr>
          <w:rFonts w:ascii="Arial" w:hAnsi="Arial" w:cs="Arial"/>
          <w:sz w:val="24"/>
          <w:szCs w:val="24"/>
        </w:rPr>
        <w:t xml:space="preserve">Kingfisher’s 50% JV, </w:t>
      </w:r>
      <w:r w:rsidR="00E53A31" w:rsidRPr="00AA2E55">
        <w:rPr>
          <w:rFonts w:ascii="Arial" w:hAnsi="Arial" w:cs="Arial"/>
          <w:bCs/>
          <w:sz w:val="24"/>
          <w:szCs w:val="24"/>
        </w:rPr>
        <w:t>Koçtaş,</w:t>
      </w:r>
      <w:r w:rsidR="00E53A31" w:rsidRPr="00AA2E55">
        <w:rPr>
          <w:rFonts w:ascii="Arial" w:hAnsi="Arial" w:cs="Arial"/>
          <w:sz w:val="24"/>
          <w:szCs w:val="24"/>
        </w:rPr>
        <w:t xml:space="preserve"> contributed retail profit of £</w:t>
      </w:r>
      <w:r w:rsidR="00E53A31" w:rsidRPr="00925EFB">
        <w:rPr>
          <w:rFonts w:ascii="Arial" w:hAnsi="Arial" w:cs="Arial"/>
          <w:sz w:val="24"/>
          <w:szCs w:val="24"/>
        </w:rPr>
        <w:t>1</w:t>
      </w:r>
      <w:r w:rsidR="00E53A31" w:rsidRPr="00AA2E55">
        <w:rPr>
          <w:rFonts w:ascii="Arial" w:hAnsi="Arial" w:cs="Arial"/>
          <w:sz w:val="24"/>
          <w:szCs w:val="24"/>
        </w:rPr>
        <w:t xml:space="preserve"> million (2015</w:t>
      </w:r>
      <w:r w:rsidR="00E53A31" w:rsidRPr="00925EFB">
        <w:rPr>
          <w:rFonts w:ascii="Arial" w:hAnsi="Arial" w:cs="Arial"/>
          <w:sz w:val="24"/>
          <w:szCs w:val="24"/>
        </w:rPr>
        <w:t>/16</w:t>
      </w:r>
      <w:r w:rsidR="00E53A31" w:rsidRPr="00AA2E55">
        <w:rPr>
          <w:rFonts w:ascii="Arial" w:hAnsi="Arial" w:cs="Arial"/>
          <w:sz w:val="24"/>
          <w:szCs w:val="24"/>
        </w:rPr>
        <w:t>: £</w:t>
      </w:r>
      <w:r w:rsidR="00E53A31" w:rsidRPr="00925EFB">
        <w:rPr>
          <w:rFonts w:ascii="Arial" w:hAnsi="Arial" w:cs="Arial"/>
          <w:sz w:val="24"/>
          <w:szCs w:val="24"/>
        </w:rPr>
        <w:t>2</w:t>
      </w:r>
      <w:r w:rsidR="00E53A31" w:rsidRPr="00AA2E55">
        <w:rPr>
          <w:rFonts w:ascii="Arial" w:hAnsi="Arial" w:cs="Arial"/>
          <w:sz w:val="24"/>
          <w:szCs w:val="24"/>
        </w:rPr>
        <w:t xml:space="preserve"> million reported retail profit).</w:t>
      </w:r>
    </w:p>
    <w:p w14:paraId="42096687" w14:textId="77777777" w:rsidR="007D43ED" w:rsidRPr="00931630" w:rsidRDefault="007D43ED" w:rsidP="007D43ED">
      <w:pPr>
        <w:jc w:val="left"/>
        <w:rPr>
          <w:rFonts w:ascii="Arial" w:hAnsi="Arial" w:cs="Arial"/>
          <w:b/>
          <w:sz w:val="24"/>
          <w:szCs w:val="24"/>
          <w:highlight w:val="yellow"/>
          <w:u w:val="single"/>
        </w:rPr>
      </w:pPr>
    </w:p>
    <w:p w14:paraId="7DAF0F8C" w14:textId="77777777" w:rsidR="007D43ED" w:rsidRPr="00AA2E55" w:rsidRDefault="007D43ED" w:rsidP="007D43ED">
      <w:pPr>
        <w:jc w:val="left"/>
        <w:rPr>
          <w:rFonts w:ascii="Arial" w:hAnsi="Arial" w:cs="Arial"/>
          <w:b/>
          <w:sz w:val="24"/>
          <w:szCs w:val="24"/>
        </w:rPr>
      </w:pPr>
      <w:r w:rsidRPr="00AA2E55">
        <w:rPr>
          <w:rFonts w:ascii="Arial" w:hAnsi="Arial" w:cs="Arial"/>
          <w:b/>
          <w:sz w:val="24"/>
          <w:szCs w:val="24"/>
        </w:rPr>
        <w:t>New Country Development:</w:t>
      </w:r>
    </w:p>
    <w:p w14:paraId="3FF46B24" w14:textId="77777777" w:rsidR="007D43ED" w:rsidRPr="00925EFB" w:rsidRDefault="007D43ED" w:rsidP="007D43ED">
      <w:pPr>
        <w:jc w:val="left"/>
        <w:rPr>
          <w:rFonts w:ascii="Arial" w:hAnsi="Arial" w:cs="Arial"/>
          <w:b/>
          <w:sz w:val="24"/>
          <w:szCs w:val="24"/>
          <w:highlight w:val="yellow"/>
        </w:rPr>
      </w:pPr>
    </w:p>
    <w:p w14:paraId="2336A5B4" w14:textId="496351A0" w:rsidR="007D43ED" w:rsidRDefault="007D43ED">
      <w:pPr>
        <w:jc w:val="left"/>
        <w:rPr>
          <w:rFonts w:ascii="Arial" w:hAnsi="Arial" w:cs="Arial"/>
          <w:sz w:val="24"/>
          <w:szCs w:val="24"/>
        </w:rPr>
      </w:pPr>
      <w:r w:rsidRPr="005709B5">
        <w:rPr>
          <w:rFonts w:ascii="Arial" w:hAnsi="Arial" w:cs="Arial"/>
          <w:sz w:val="24"/>
          <w:szCs w:val="24"/>
        </w:rPr>
        <w:t>New Country Development includes operations in Romania, Portugal and Germany. Sales were £</w:t>
      </w:r>
      <w:r w:rsidR="00822B9C" w:rsidRPr="00925EFB">
        <w:rPr>
          <w:rFonts w:ascii="Arial" w:hAnsi="Arial" w:cs="Arial"/>
          <w:sz w:val="24"/>
          <w:szCs w:val="24"/>
        </w:rPr>
        <w:t>58</w:t>
      </w:r>
      <w:r w:rsidR="00822B9C" w:rsidRPr="005709B5">
        <w:rPr>
          <w:rFonts w:ascii="Arial" w:hAnsi="Arial" w:cs="Arial"/>
          <w:sz w:val="24"/>
          <w:szCs w:val="24"/>
        </w:rPr>
        <w:t xml:space="preserve"> </w:t>
      </w:r>
      <w:r w:rsidRPr="005709B5">
        <w:rPr>
          <w:rFonts w:ascii="Arial" w:hAnsi="Arial" w:cs="Arial"/>
          <w:sz w:val="24"/>
          <w:szCs w:val="24"/>
        </w:rPr>
        <w:t>million with losses of £</w:t>
      </w:r>
      <w:r w:rsidR="00DC3143" w:rsidRPr="00925EFB">
        <w:rPr>
          <w:rFonts w:ascii="Arial" w:hAnsi="Arial" w:cs="Arial"/>
          <w:sz w:val="24"/>
          <w:szCs w:val="24"/>
        </w:rPr>
        <w:t>1</w:t>
      </w:r>
      <w:r w:rsidR="00DC3143">
        <w:rPr>
          <w:rFonts w:ascii="Arial" w:hAnsi="Arial" w:cs="Arial"/>
          <w:sz w:val="24"/>
          <w:szCs w:val="24"/>
        </w:rPr>
        <w:t>1</w:t>
      </w:r>
      <w:r w:rsidR="00DC3143" w:rsidRPr="005709B5">
        <w:rPr>
          <w:rFonts w:ascii="Arial" w:hAnsi="Arial" w:cs="Arial"/>
          <w:sz w:val="24"/>
          <w:szCs w:val="24"/>
        </w:rPr>
        <w:t xml:space="preserve"> </w:t>
      </w:r>
      <w:r w:rsidRPr="005709B5">
        <w:rPr>
          <w:rFonts w:ascii="Arial" w:hAnsi="Arial" w:cs="Arial"/>
          <w:sz w:val="24"/>
          <w:szCs w:val="24"/>
        </w:rPr>
        <w:t>million (2015</w:t>
      </w:r>
      <w:r w:rsidR="00822B9C" w:rsidRPr="00925EFB">
        <w:rPr>
          <w:rFonts w:ascii="Arial" w:hAnsi="Arial" w:cs="Arial"/>
          <w:sz w:val="24"/>
          <w:szCs w:val="24"/>
        </w:rPr>
        <w:t>/16</w:t>
      </w:r>
      <w:r w:rsidRPr="005709B5">
        <w:rPr>
          <w:rFonts w:ascii="Arial" w:hAnsi="Arial" w:cs="Arial"/>
          <w:sz w:val="24"/>
          <w:szCs w:val="24"/>
        </w:rPr>
        <w:t>: £</w:t>
      </w:r>
      <w:r w:rsidR="0047756B" w:rsidRPr="00925EFB">
        <w:rPr>
          <w:rFonts w:ascii="Arial" w:hAnsi="Arial" w:cs="Arial"/>
          <w:sz w:val="24"/>
          <w:szCs w:val="24"/>
        </w:rPr>
        <w:t>11</w:t>
      </w:r>
      <w:r w:rsidR="00822B9C" w:rsidRPr="005709B5">
        <w:rPr>
          <w:rFonts w:ascii="Arial" w:hAnsi="Arial" w:cs="Arial"/>
          <w:sz w:val="24"/>
          <w:szCs w:val="24"/>
        </w:rPr>
        <w:t xml:space="preserve"> </w:t>
      </w:r>
      <w:r w:rsidRPr="005709B5">
        <w:rPr>
          <w:rFonts w:ascii="Arial" w:hAnsi="Arial" w:cs="Arial"/>
          <w:sz w:val="24"/>
          <w:szCs w:val="24"/>
        </w:rPr>
        <w:t>million reported retail loss</w:t>
      </w:r>
      <w:r w:rsidR="00DC0114" w:rsidRPr="005709B5">
        <w:rPr>
          <w:rFonts w:ascii="Arial" w:hAnsi="Arial" w:cs="Arial"/>
          <w:sz w:val="24"/>
          <w:szCs w:val="24"/>
        </w:rPr>
        <w:t xml:space="preserve">) </w:t>
      </w:r>
      <w:r w:rsidR="00241697">
        <w:rPr>
          <w:rFonts w:ascii="Arial" w:hAnsi="Arial" w:cs="Arial"/>
          <w:sz w:val="24"/>
          <w:szCs w:val="24"/>
        </w:rPr>
        <w:t>including</w:t>
      </w:r>
      <w:r w:rsidR="00241697" w:rsidRPr="005709B5">
        <w:rPr>
          <w:rFonts w:ascii="Arial" w:hAnsi="Arial" w:cs="Arial"/>
          <w:sz w:val="24"/>
          <w:szCs w:val="24"/>
        </w:rPr>
        <w:t xml:space="preserve"> </w:t>
      </w:r>
      <w:r w:rsidR="005709B5" w:rsidRPr="005709B5">
        <w:rPr>
          <w:rFonts w:ascii="Arial" w:hAnsi="Arial" w:cs="Arial"/>
          <w:sz w:val="24"/>
          <w:szCs w:val="24"/>
        </w:rPr>
        <w:t>reduced losses in Romania.</w:t>
      </w:r>
      <w:r w:rsidR="00241697">
        <w:rPr>
          <w:rFonts w:ascii="Arial" w:hAnsi="Arial" w:cs="Arial"/>
          <w:sz w:val="24"/>
          <w:szCs w:val="24"/>
        </w:rPr>
        <w:t xml:space="preserve"> T</w:t>
      </w:r>
      <w:r w:rsidR="00241697" w:rsidRPr="005709B5">
        <w:rPr>
          <w:rFonts w:ascii="Arial" w:hAnsi="Arial" w:cs="Arial"/>
          <w:sz w:val="24"/>
          <w:szCs w:val="24"/>
        </w:rPr>
        <w:t>hree new outlets in Screwfix Germany</w:t>
      </w:r>
      <w:r w:rsidR="00241697">
        <w:rPr>
          <w:rFonts w:ascii="Arial" w:hAnsi="Arial" w:cs="Arial"/>
          <w:sz w:val="24"/>
          <w:szCs w:val="24"/>
        </w:rPr>
        <w:t xml:space="preserve"> were opened.</w:t>
      </w:r>
    </w:p>
    <w:p w14:paraId="7D0611FD" w14:textId="77777777" w:rsidR="004B36D9" w:rsidRDefault="004B36D9">
      <w:pPr>
        <w:jc w:val="left"/>
        <w:rPr>
          <w:rFonts w:ascii="Arial" w:hAnsi="Arial" w:cs="Arial"/>
          <w:b/>
          <w:bCs/>
          <w:sz w:val="24"/>
          <w:szCs w:val="24"/>
        </w:rPr>
      </w:pPr>
      <w:r>
        <w:rPr>
          <w:rFonts w:ascii="Arial" w:hAnsi="Arial" w:cs="Arial"/>
          <w:b/>
          <w:bCs/>
          <w:sz w:val="24"/>
          <w:szCs w:val="24"/>
        </w:rPr>
        <w:br w:type="page"/>
      </w:r>
    </w:p>
    <w:p w14:paraId="027FAA02" w14:textId="64B97DAA" w:rsidR="007D43ED" w:rsidRDefault="007D43ED" w:rsidP="007D43ED">
      <w:pPr>
        <w:jc w:val="left"/>
        <w:rPr>
          <w:rFonts w:ascii="Arial" w:hAnsi="Arial" w:cs="Arial"/>
          <w:b/>
          <w:bCs/>
          <w:sz w:val="24"/>
          <w:szCs w:val="24"/>
        </w:rPr>
      </w:pPr>
      <w:r w:rsidRPr="000971B9">
        <w:rPr>
          <w:rFonts w:ascii="Arial" w:hAnsi="Arial" w:cs="Arial"/>
          <w:b/>
          <w:bCs/>
          <w:sz w:val="24"/>
          <w:szCs w:val="24"/>
        </w:rPr>
        <w:lastRenderedPageBreak/>
        <w:t xml:space="preserve">Section </w:t>
      </w:r>
      <w:r>
        <w:rPr>
          <w:rFonts w:ascii="Arial" w:hAnsi="Arial" w:cs="Arial"/>
          <w:b/>
          <w:bCs/>
          <w:sz w:val="24"/>
          <w:szCs w:val="24"/>
        </w:rPr>
        <w:t>3</w:t>
      </w:r>
      <w:r w:rsidRPr="00926779">
        <w:rPr>
          <w:rFonts w:ascii="Arial" w:hAnsi="Arial" w:cs="Arial"/>
          <w:b/>
          <w:bCs/>
          <w:sz w:val="24"/>
          <w:szCs w:val="24"/>
        </w:rPr>
        <w:t xml:space="preserve">: </w:t>
      </w:r>
      <w:r>
        <w:rPr>
          <w:rFonts w:ascii="Arial" w:hAnsi="Arial" w:cs="Arial"/>
          <w:b/>
          <w:bCs/>
          <w:sz w:val="24"/>
          <w:szCs w:val="24"/>
        </w:rPr>
        <w:t xml:space="preserve">FY </w:t>
      </w:r>
      <w:r w:rsidRPr="00926779">
        <w:rPr>
          <w:rFonts w:ascii="Arial" w:hAnsi="Arial" w:cs="Arial"/>
          <w:b/>
          <w:bCs/>
          <w:sz w:val="24"/>
          <w:szCs w:val="24"/>
        </w:rPr>
        <w:t>2016</w:t>
      </w:r>
      <w:r w:rsidR="00D23E41">
        <w:rPr>
          <w:rFonts w:ascii="Arial" w:hAnsi="Arial" w:cs="Arial"/>
          <w:b/>
          <w:bCs/>
          <w:sz w:val="24"/>
          <w:szCs w:val="24"/>
        </w:rPr>
        <w:t>/17</w:t>
      </w:r>
      <w:r w:rsidRPr="00926779">
        <w:rPr>
          <w:rFonts w:ascii="Arial" w:hAnsi="Arial" w:cs="Arial"/>
          <w:b/>
          <w:bCs/>
          <w:sz w:val="24"/>
          <w:szCs w:val="24"/>
        </w:rPr>
        <w:t xml:space="preserve"> </w:t>
      </w:r>
      <w:r>
        <w:rPr>
          <w:rFonts w:ascii="Arial" w:hAnsi="Arial" w:cs="Arial"/>
          <w:b/>
          <w:bCs/>
          <w:sz w:val="24"/>
          <w:szCs w:val="24"/>
        </w:rPr>
        <w:t xml:space="preserve">Technical guidance </w:t>
      </w:r>
    </w:p>
    <w:p w14:paraId="76A9CA5E" w14:textId="77777777" w:rsidR="007D43ED" w:rsidRDefault="007D43ED" w:rsidP="007D43ED">
      <w:pPr>
        <w:jc w:val="left"/>
        <w:rPr>
          <w:rFonts w:ascii="Arial" w:hAnsi="Arial" w:cs="Arial"/>
          <w:b/>
          <w:bCs/>
          <w:sz w:val="24"/>
          <w:szCs w:val="24"/>
        </w:rPr>
      </w:pPr>
    </w:p>
    <w:p w14:paraId="6AC56877" w14:textId="44F0DE5A" w:rsidR="007D43ED" w:rsidRPr="00925EFB" w:rsidRDefault="002E501D" w:rsidP="00925EFB">
      <w:pPr>
        <w:jc w:val="left"/>
        <w:rPr>
          <w:rFonts w:ascii="Arial" w:hAnsi="Arial" w:cs="Arial"/>
          <w:bCs/>
          <w:sz w:val="24"/>
          <w:szCs w:val="24"/>
        </w:rPr>
      </w:pPr>
      <w:r w:rsidRPr="00925EFB">
        <w:rPr>
          <w:rFonts w:ascii="Arial" w:hAnsi="Arial" w:cs="Arial"/>
          <w:bCs/>
          <w:sz w:val="24"/>
          <w:szCs w:val="24"/>
        </w:rPr>
        <w:t>Emplo</w:t>
      </w:r>
      <w:r w:rsidR="00E5523A" w:rsidRPr="00925EFB">
        <w:rPr>
          <w:rFonts w:ascii="Arial" w:hAnsi="Arial" w:cs="Arial"/>
          <w:bCs/>
          <w:sz w:val="24"/>
          <w:szCs w:val="24"/>
        </w:rPr>
        <w:t>yee,</w:t>
      </w:r>
      <w:r w:rsidR="007D43ED" w:rsidRPr="00925EFB">
        <w:rPr>
          <w:rFonts w:ascii="Arial" w:hAnsi="Arial" w:cs="Arial"/>
          <w:bCs/>
          <w:sz w:val="24"/>
          <w:szCs w:val="24"/>
        </w:rPr>
        <w:t xml:space="preserve"> new stores and space growth:</w:t>
      </w:r>
    </w:p>
    <w:tbl>
      <w:tblPr>
        <w:tblW w:w="5000" w:type="pct"/>
        <w:tblInd w:w="2" w:type="dxa"/>
        <w:tblLayout w:type="fixed"/>
        <w:tblLook w:val="01E0" w:firstRow="1" w:lastRow="1" w:firstColumn="1" w:lastColumn="1" w:noHBand="0" w:noVBand="0"/>
      </w:tblPr>
      <w:tblGrid>
        <w:gridCol w:w="2405"/>
        <w:gridCol w:w="1527"/>
        <w:gridCol w:w="1275"/>
        <w:gridCol w:w="1600"/>
        <w:gridCol w:w="1417"/>
        <w:gridCol w:w="1417"/>
      </w:tblGrid>
      <w:tr w:rsidR="001178CC" w:rsidRPr="00931630" w14:paraId="55226557" w14:textId="77777777" w:rsidTr="00FD5A2D">
        <w:trPr>
          <w:trHeight w:val="739"/>
        </w:trPr>
        <w:tc>
          <w:tcPr>
            <w:tcW w:w="1247" w:type="pct"/>
          </w:tcPr>
          <w:p w14:paraId="3E1E6787" w14:textId="77777777" w:rsidR="001178CC" w:rsidRDefault="001178CC" w:rsidP="00FD5A2D">
            <w:pPr>
              <w:ind w:left="110" w:hanging="110"/>
              <w:jc w:val="left"/>
              <w:rPr>
                <w:rFonts w:ascii="Arial" w:hAnsi="Arial" w:cs="Arial"/>
              </w:rPr>
            </w:pPr>
          </w:p>
          <w:p w14:paraId="2F767C96" w14:textId="77777777" w:rsidR="001178CC" w:rsidRPr="000971B9" w:rsidRDefault="001178CC" w:rsidP="00FD5A2D">
            <w:pPr>
              <w:jc w:val="left"/>
              <w:rPr>
                <w:rFonts w:ascii="Arial" w:hAnsi="Arial" w:cs="Arial"/>
                <w:b/>
                <w:bCs/>
              </w:rPr>
            </w:pPr>
          </w:p>
        </w:tc>
        <w:tc>
          <w:tcPr>
            <w:tcW w:w="792" w:type="pct"/>
          </w:tcPr>
          <w:p w14:paraId="30EEE86A" w14:textId="77777777" w:rsidR="0041662F" w:rsidRPr="003B06F1" w:rsidRDefault="0041662F" w:rsidP="00FD5A2D">
            <w:pPr>
              <w:ind w:left="110" w:hanging="110"/>
              <w:jc w:val="right"/>
              <w:rPr>
                <w:rFonts w:ascii="Arial" w:hAnsi="Arial" w:cs="Arial"/>
                <w:b/>
                <w:bCs/>
              </w:rPr>
            </w:pPr>
          </w:p>
          <w:p w14:paraId="6F965876" w14:textId="77777777" w:rsidR="001178CC" w:rsidRPr="003B06F1" w:rsidRDefault="001178CC" w:rsidP="00FD5A2D">
            <w:pPr>
              <w:ind w:left="110" w:hanging="110"/>
              <w:jc w:val="right"/>
              <w:rPr>
                <w:rFonts w:ascii="Arial" w:hAnsi="Arial" w:cs="Arial"/>
                <w:b/>
                <w:bCs/>
              </w:rPr>
            </w:pPr>
            <w:r w:rsidRPr="003B06F1">
              <w:rPr>
                <w:rFonts w:ascii="Arial" w:hAnsi="Arial" w:cs="Arial"/>
                <w:b/>
                <w:bCs/>
              </w:rPr>
              <w:t>Employees</w:t>
            </w:r>
          </w:p>
          <w:p w14:paraId="6BF819FD" w14:textId="77777777" w:rsidR="0041662F" w:rsidRPr="003B06F1" w:rsidRDefault="001178CC" w:rsidP="00FD5A2D">
            <w:pPr>
              <w:ind w:left="110" w:hanging="110"/>
              <w:jc w:val="right"/>
              <w:rPr>
                <w:rFonts w:ascii="Arial" w:hAnsi="Arial" w:cs="Arial"/>
                <w:b/>
                <w:bCs/>
              </w:rPr>
            </w:pPr>
            <w:r w:rsidRPr="003B06F1">
              <w:rPr>
                <w:rFonts w:ascii="Arial" w:hAnsi="Arial" w:cs="Arial"/>
                <w:b/>
                <w:bCs/>
              </w:rPr>
              <w:t>(FTE)</w:t>
            </w:r>
            <w:r w:rsidR="0041662F" w:rsidRPr="003B06F1">
              <w:rPr>
                <w:rFonts w:ascii="Arial" w:hAnsi="Arial" w:cs="Arial"/>
                <w:b/>
                <w:bCs/>
              </w:rPr>
              <w:t xml:space="preserve"> </w:t>
            </w:r>
          </w:p>
          <w:p w14:paraId="75CC9C21" w14:textId="77CB9298" w:rsidR="001178CC" w:rsidRPr="003B06F1" w:rsidRDefault="0041662F">
            <w:pPr>
              <w:ind w:left="110" w:hanging="110"/>
              <w:jc w:val="right"/>
              <w:rPr>
                <w:rFonts w:ascii="Arial" w:hAnsi="Arial" w:cs="Arial"/>
                <w:b/>
                <w:bCs/>
              </w:rPr>
            </w:pPr>
            <w:r w:rsidRPr="003B06F1">
              <w:rPr>
                <w:rFonts w:ascii="Arial" w:hAnsi="Arial" w:cs="Arial"/>
                <w:b/>
                <w:bCs/>
              </w:rPr>
              <w:t xml:space="preserve">at </w:t>
            </w:r>
            <w:r w:rsidR="00931630" w:rsidRPr="00925EFB">
              <w:rPr>
                <w:rFonts w:ascii="Arial" w:hAnsi="Arial" w:cs="Arial"/>
                <w:b/>
                <w:bCs/>
              </w:rPr>
              <w:t>31</w:t>
            </w:r>
            <w:r w:rsidR="00931630" w:rsidRPr="003B06F1">
              <w:rPr>
                <w:rFonts w:ascii="Arial" w:hAnsi="Arial" w:cs="Arial"/>
                <w:b/>
                <w:bCs/>
              </w:rPr>
              <w:t xml:space="preserve"> J</w:t>
            </w:r>
            <w:r w:rsidR="00931630" w:rsidRPr="00925EFB">
              <w:rPr>
                <w:rFonts w:ascii="Arial" w:hAnsi="Arial" w:cs="Arial"/>
                <w:b/>
                <w:bCs/>
              </w:rPr>
              <w:t>ul</w:t>
            </w:r>
            <w:r w:rsidR="00931630" w:rsidRPr="003B06F1">
              <w:rPr>
                <w:rFonts w:ascii="Arial" w:hAnsi="Arial" w:cs="Arial"/>
                <w:b/>
                <w:bCs/>
              </w:rPr>
              <w:t xml:space="preserve"> </w:t>
            </w:r>
            <w:r w:rsidRPr="003B06F1">
              <w:rPr>
                <w:rFonts w:ascii="Arial" w:hAnsi="Arial" w:cs="Arial"/>
                <w:b/>
                <w:bCs/>
              </w:rPr>
              <w:t>2016</w:t>
            </w:r>
          </w:p>
        </w:tc>
        <w:tc>
          <w:tcPr>
            <w:tcW w:w="661" w:type="pct"/>
          </w:tcPr>
          <w:p w14:paraId="4B5400D9" w14:textId="77777777" w:rsidR="0041662F" w:rsidRPr="00CB4056" w:rsidRDefault="0041662F" w:rsidP="00FD5A2D">
            <w:pPr>
              <w:ind w:left="110" w:hanging="110"/>
              <w:jc w:val="right"/>
              <w:rPr>
                <w:rFonts w:ascii="Arial" w:hAnsi="Arial" w:cs="Arial"/>
                <w:b/>
                <w:bCs/>
              </w:rPr>
            </w:pPr>
          </w:p>
          <w:p w14:paraId="458E822B" w14:textId="77777777" w:rsidR="001178CC" w:rsidRPr="00CB4056" w:rsidRDefault="001178CC" w:rsidP="00FD5A2D">
            <w:pPr>
              <w:ind w:left="110" w:hanging="110"/>
              <w:jc w:val="right"/>
              <w:rPr>
                <w:rFonts w:ascii="Arial" w:hAnsi="Arial" w:cs="Arial"/>
                <w:b/>
                <w:bCs/>
              </w:rPr>
            </w:pPr>
            <w:r w:rsidRPr="00CB4056">
              <w:rPr>
                <w:rFonts w:ascii="Arial" w:hAnsi="Arial" w:cs="Arial"/>
                <w:b/>
                <w:bCs/>
              </w:rPr>
              <w:t xml:space="preserve">Store </w:t>
            </w:r>
          </w:p>
          <w:p w14:paraId="07247FEB" w14:textId="57C3C07C" w:rsidR="001178CC" w:rsidRPr="00CB4056" w:rsidRDefault="0041662F">
            <w:pPr>
              <w:ind w:left="110" w:hanging="110"/>
              <w:jc w:val="right"/>
              <w:rPr>
                <w:rFonts w:ascii="Arial" w:hAnsi="Arial" w:cs="Arial"/>
                <w:b/>
                <w:bCs/>
              </w:rPr>
            </w:pPr>
            <w:r w:rsidRPr="00CB4056">
              <w:rPr>
                <w:rFonts w:ascii="Arial" w:hAnsi="Arial" w:cs="Arial"/>
                <w:b/>
                <w:bCs/>
              </w:rPr>
              <w:t>N</w:t>
            </w:r>
            <w:r w:rsidR="001178CC" w:rsidRPr="00CB4056">
              <w:rPr>
                <w:rFonts w:ascii="Arial" w:hAnsi="Arial" w:cs="Arial"/>
                <w:b/>
                <w:bCs/>
              </w:rPr>
              <w:t>umbers</w:t>
            </w:r>
            <w:r w:rsidRPr="00CB4056">
              <w:rPr>
                <w:rFonts w:ascii="Arial" w:hAnsi="Arial" w:cs="Arial"/>
                <w:b/>
                <w:bCs/>
              </w:rPr>
              <w:t xml:space="preserve"> at 31 </w:t>
            </w:r>
            <w:r w:rsidR="00931630" w:rsidRPr="00CB4056">
              <w:rPr>
                <w:rFonts w:ascii="Arial" w:hAnsi="Arial" w:cs="Arial"/>
                <w:b/>
                <w:bCs/>
              </w:rPr>
              <w:t>J</w:t>
            </w:r>
            <w:r w:rsidR="00931630" w:rsidRPr="00925EFB">
              <w:rPr>
                <w:rFonts w:ascii="Arial" w:hAnsi="Arial" w:cs="Arial"/>
                <w:b/>
                <w:bCs/>
              </w:rPr>
              <w:t>ul</w:t>
            </w:r>
            <w:r w:rsidR="00931630" w:rsidRPr="00CB4056">
              <w:rPr>
                <w:rFonts w:ascii="Arial" w:hAnsi="Arial" w:cs="Arial"/>
                <w:b/>
                <w:bCs/>
              </w:rPr>
              <w:t xml:space="preserve"> </w:t>
            </w:r>
            <w:r w:rsidRPr="00CB4056">
              <w:rPr>
                <w:rFonts w:ascii="Arial" w:hAnsi="Arial" w:cs="Arial"/>
                <w:b/>
                <w:bCs/>
              </w:rPr>
              <w:t>2016</w:t>
            </w:r>
          </w:p>
        </w:tc>
        <w:tc>
          <w:tcPr>
            <w:tcW w:w="830" w:type="pct"/>
          </w:tcPr>
          <w:p w14:paraId="50118624" w14:textId="77777777" w:rsidR="0041662F" w:rsidRPr="00A17792" w:rsidRDefault="0041662F" w:rsidP="00FD5A2D">
            <w:pPr>
              <w:ind w:left="110" w:hanging="110"/>
              <w:jc w:val="right"/>
              <w:rPr>
                <w:rFonts w:ascii="Arial" w:hAnsi="Arial" w:cs="Arial"/>
                <w:b/>
                <w:bCs/>
              </w:rPr>
            </w:pPr>
          </w:p>
          <w:p w14:paraId="1E4C1B1D" w14:textId="05DE629D" w:rsidR="001178CC" w:rsidRPr="00A17792" w:rsidRDefault="0041662F" w:rsidP="00FD5A2D">
            <w:pPr>
              <w:ind w:left="110" w:hanging="110"/>
              <w:jc w:val="right"/>
              <w:rPr>
                <w:rFonts w:ascii="Arial" w:hAnsi="Arial" w:cs="Arial"/>
                <w:b/>
                <w:bCs/>
              </w:rPr>
            </w:pPr>
            <w:r w:rsidRPr="00A17792">
              <w:rPr>
                <w:rFonts w:ascii="Arial" w:hAnsi="Arial" w:cs="Arial"/>
                <w:b/>
                <w:bCs/>
              </w:rPr>
              <w:t xml:space="preserve">Sales area </w:t>
            </w:r>
            <w:r w:rsidRPr="00A17792">
              <w:rPr>
                <w:rFonts w:ascii="Arial" w:hAnsi="Arial" w:cs="Arial"/>
                <w:b/>
                <w:bCs/>
                <w:vertAlign w:val="superscript"/>
              </w:rPr>
              <w:t>(1)</w:t>
            </w:r>
          </w:p>
          <w:p w14:paraId="7FB33D37" w14:textId="77777777" w:rsidR="0041662F" w:rsidRPr="00A17792" w:rsidRDefault="001178CC" w:rsidP="00FD5A2D">
            <w:pPr>
              <w:ind w:left="110" w:hanging="110"/>
              <w:jc w:val="right"/>
              <w:rPr>
                <w:rFonts w:ascii="Arial" w:hAnsi="Arial" w:cs="Arial"/>
                <w:b/>
                <w:bCs/>
              </w:rPr>
            </w:pPr>
            <w:r w:rsidRPr="00A17792">
              <w:rPr>
                <w:rFonts w:ascii="Arial" w:hAnsi="Arial" w:cs="Arial"/>
                <w:b/>
                <w:bCs/>
              </w:rPr>
              <w:t>(000s m</w:t>
            </w:r>
            <w:r w:rsidRPr="00A17792">
              <w:rPr>
                <w:rFonts w:ascii="Arial" w:hAnsi="Arial" w:cs="Arial"/>
                <w:b/>
                <w:bCs/>
                <w:vertAlign w:val="superscript"/>
              </w:rPr>
              <w:t>2</w:t>
            </w:r>
            <w:r w:rsidRPr="00A17792">
              <w:rPr>
                <w:rFonts w:ascii="Arial" w:hAnsi="Arial" w:cs="Arial"/>
                <w:b/>
                <w:bCs/>
              </w:rPr>
              <w:t>)</w:t>
            </w:r>
            <w:r w:rsidR="0041662F" w:rsidRPr="00A17792">
              <w:rPr>
                <w:rFonts w:ascii="Arial" w:hAnsi="Arial" w:cs="Arial"/>
                <w:b/>
                <w:bCs/>
              </w:rPr>
              <w:t xml:space="preserve"> </w:t>
            </w:r>
          </w:p>
          <w:p w14:paraId="68B8D89C" w14:textId="0BBC4B36" w:rsidR="001178CC" w:rsidRPr="00A17792" w:rsidRDefault="0041662F">
            <w:pPr>
              <w:ind w:left="110" w:hanging="110"/>
              <w:jc w:val="right"/>
              <w:rPr>
                <w:rFonts w:ascii="Arial" w:hAnsi="Arial" w:cs="Arial"/>
                <w:b/>
                <w:bCs/>
              </w:rPr>
            </w:pPr>
            <w:r w:rsidRPr="00A17792">
              <w:rPr>
                <w:rFonts w:ascii="Arial" w:hAnsi="Arial" w:cs="Arial"/>
                <w:b/>
                <w:bCs/>
              </w:rPr>
              <w:t xml:space="preserve">at 31 </w:t>
            </w:r>
            <w:r w:rsidR="00931630" w:rsidRPr="00A17792">
              <w:rPr>
                <w:rFonts w:ascii="Arial" w:hAnsi="Arial" w:cs="Arial"/>
                <w:b/>
                <w:bCs/>
              </w:rPr>
              <w:t>J</w:t>
            </w:r>
            <w:r w:rsidR="00931630" w:rsidRPr="00925EFB">
              <w:rPr>
                <w:rFonts w:ascii="Arial" w:hAnsi="Arial" w:cs="Arial"/>
                <w:b/>
                <w:bCs/>
              </w:rPr>
              <w:t>ul</w:t>
            </w:r>
            <w:r w:rsidR="00931630" w:rsidRPr="00A17792">
              <w:rPr>
                <w:rFonts w:ascii="Arial" w:hAnsi="Arial" w:cs="Arial"/>
                <w:b/>
                <w:bCs/>
              </w:rPr>
              <w:t xml:space="preserve"> </w:t>
            </w:r>
            <w:r w:rsidRPr="00A17792">
              <w:rPr>
                <w:rFonts w:ascii="Arial" w:hAnsi="Arial" w:cs="Arial"/>
                <w:b/>
                <w:bCs/>
              </w:rPr>
              <w:t>2016</w:t>
            </w:r>
          </w:p>
        </w:tc>
        <w:tc>
          <w:tcPr>
            <w:tcW w:w="735" w:type="pct"/>
          </w:tcPr>
          <w:p w14:paraId="453C2495" w14:textId="77777777" w:rsidR="0041662F" w:rsidRPr="00A17792" w:rsidRDefault="0041662F" w:rsidP="00FD5A2D">
            <w:pPr>
              <w:ind w:left="110" w:hanging="110"/>
              <w:jc w:val="right"/>
              <w:rPr>
                <w:rFonts w:ascii="Arial" w:hAnsi="Arial" w:cs="Arial"/>
                <w:b/>
                <w:bCs/>
              </w:rPr>
            </w:pPr>
          </w:p>
          <w:p w14:paraId="54464EF3" w14:textId="77777777" w:rsidR="00C449AA" w:rsidRPr="00A17792" w:rsidRDefault="00C449AA" w:rsidP="00FD5A2D">
            <w:pPr>
              <w:ind w:left="110" w:hanging="110"/>
              <w:jc w:val="right"/>
              <w:rPr>
                <w:rFonts w:ascii="Arial" w:hAnsi="Arial" w:cs="Arial"/>
                <w:b/>
                <w:bCs/>
              </w:rPr>
            </w:pPr>
          </w:p>
          <w:p w14:paraId="3F5767D2" w14:textId="77777777" w:rsidR="001178CC" w:rsidRPr="00A17792" w:rsidRDefault="001178CC" w:rsidP="00FD5A2D">
            <w:pPr>
              <w:ind w:left="110" w:hanging="110"/>
              <w:jc w:val="right"/>
              <w:rPr>
                <w:rFonts w:ascii="Arial" w:hAnsi="Arial" w:cs="Arial"/>
                <w:b/>
                <w:bCs/>
              </w:rPr>
            </w:pPr>
            <w:r w:rsidRPr="00A17792">
              <w:rPr>
                <w:rFonts w:ascii="Arial" w:hAnsi="Arial" w:cs="Arial"/>
                <w:b/>
                <w:bCs/>
              </w:rPr>
              <w:t>Net new stores</w:t>
            </w:r>
          </w:p>
          <w:p w14:paraId="165AD7E7" w14:textId="1736ACCC" w:rsidR="00C449AA" w:rsidRPr="00A17792" w:rsidRDefault="00C449AA" w:rsidP="00FD5A2D">
            <w:pPr>
              <w:ind w:left="110" w:hanging="110"/>
              <w:jc w:val="right"/>
              <w:rPr>
                <w:rFonts w:ascii="Arial" w:hAnsi="Arial" w:cs="Arial"/>
                <w:b/>
                <w:bCs/>
              </w:rPr>
            </w:pPr>
            <w:r w:rsidRPr="00A17792">
              <w:rPr>
                <w:rFonts w:ascii="Arial" w:hAnsi="Arial" w:cs="Arial"/>
                <w:b/>
                <w:bCs/>
              </w:rPr>
              <w:t>FY 2016/17</w:t>
            </w:r>
          </w:p>
        </w:tc>
        <w:tc>
          <w:tcPr>
            <w:tcW w:w="735" w:type="pct"/>
          </w:tcPr>
          <w:p w14:paraId="2F544CC2" w14:textId="77777777" w:rsidR="0041662F" w:rsidRPr="00A17792" w:rsidRDefault="0041662F" w:rsidP="00FD5A2D">
            <w:pPr>
              <w:ind w:left="110" w:hanging="110"/>
              <w:jc w:val="center"/>
              <w:rPr>
                <w:rFonts w:ascii="Arial" w:hAnsi="Arial" w:cs="Arial"/>
                <w:b/>
                <w:bCs/>
              </w:rPr>
            </w:pPr>
          </w:p>
          <w:p w14:paraId="284FAECC" w14:textId="77777777" w:rsidR="00C449AA" w:rsidRPr="00A17792" w:rsidRDefault="00C449AA" w:rsidP="00440B16">
            <w:pPr>
              <w:ind w:left="110" w:hanging="110"/>
              <w:jc w:val="right"/>
              <w:rPr>
                <w:rFonts w:ascii="Arial" w:hAnsi="Arial" w:cs="Arial"/>
                <w:b/>
                <w:bCs/>
              </w:rPr>
            </w:pPr>
          </w:p>
          <w:p w14:paraId="36197CBB" w14:textId="77777777" w:rsidR="001178CC" w:rsidRPr="00A17792" w:rsidRDefault="001178CC" w:rsidP="00440B16">
            <w:pPr>
              <w:ind w:left="110" w:hanging="110"/>
              <w:jc w:val="right"/>
              <w:rPr>
                <w:rFonts w:ascii="Arial" w:hAnsi="Arial" w:cs="Arial"/>
                <w:b/>
                <w:bCs/>
              </w:rPr>
            </w:pPr>
            <w:r w:rsidRPr="00A17792">
              <w:rPr>
                <w:rFonts w:ascii="Arial" w:hAnsi="Arial" w:cs="Arial"/>
                <w:b/>
                <w:bCs/>
              </w:rPr>
              <w:t>Space</w:t>
            </w:r>
          </w:p>
          <w:p w14:paraId="278FC8DB" w14:textId="77777777" w:rsidR="001178CC" w:rsidRPr="00A17792" w:rsidRDefault="001178CC" w:rsidP="00440B16">
            <w:pPr>
              <w:ind w:left="110" w:hanging="110"/>
              <w:jc w:val="right"/>
              <w:rPr>
                <w:rFonts w:ascii="Arial" w:hAnsi="Arial" w:cs="Arial"/>
                <w:b/>
                <w:bCs/>
              </w:rPr>
            </w:pPr>
            <w:r w:rsidRPr="00A17792">
              <w:rPr>
                <w:rFonts w:ascii="Arial" w:hAnsi="Arial" w:cs="Arial"/>
                <w:b/>
                <w:bCs/>
              </w:rPr>
              <w:t>% change</w:t>
            </w:r>
          </w:p>
          <w:p w14:paraId="0AD2D42C" w14:textId="52193C9E" w:rsidR="00C449AA" w:rsidRPr="00A17792" w:rsidRDefault="00C449AA" w:rsidP="00440B16">
            <w:pPr>
              <w:ind w:left="110" w:hanging="110"/>
              <w:jc w:val="right"/>
              <w:rPr>
                <w:rFonts w:ascii="Arial" w:hAnsi="Arial" w:cs="Arial"/>
                <w:b/>
                <w:bCs/>
              </w:rPr>
            </w:pPr>
            <w:r w:rsidRPr="00A17792">
              <w:rPr>
                <w:rFonts w:ascii="Arial" w:hAnsi="Arial" w:cs="Arial"/>
                <w:b/>
                <w:bCs/>
              </w:rPr>
              <w:t>FY 2016/17</w:t>
            </w:r>
          </w:p>
        </w:tc>
      </w:tr>
      <w:tr w:rsidR="001178CC" w:rsidRPr="00931630" w14:paraId="3DFA64B8" w14:textId="77777777" w:rsidTr="00925EFB">
        <w:tc>
          <w:tcPr>
            <w:tcW w:w="1247" w:type="pct"/>
            <w:tcBorders>
              <w:top w:val="single" w:sz="4" w:space="0" w:color="auto"/>
            </w:tcBorders>
          </w:tcPr>
          <w:p w14:paraId="61F2A560" w14:textId="77777777" w:rsidR="001178CC" w:rsidRPr="00A17792" w:rsidRDefault="001178CC" w:rsidP="00FD5A2D">
            <w:pPr>
              <w:spacing w:before="60"/>
              <w:jc w:val="left"/>
              <w:rPr>
                <w:rFonts w:ascii="Arial" w:hAnsi="Arial" w:cs="Arial"/>
              </w:rPr>
            </w:pPr>
            <w:r w:rsidRPr="00A17792">
              <w:rPr>
                <w:rFonts w:ascii="Arial" w:hAnsi="Arial" w:cs="Arial"/>
              </w:rPr>
              <w:t>B&amp;Q UK &amp; Ireland</w:t>
            </w:r>
          </w:p>
        </w:tc>
        <w:tc>
          <w:tcPr>
            <w:tcW w:w="792" w:type="pct"/>
            <w:tcBorders>
              <w:top w:val="single" w:sz="4" w:space="0" w:color="auto"/>
            </w:tcBorders>
          </w:tcPr>
          <w:p w14:paraId="34BF3F19" w14:textId="519E1B40" w:rsidR="001178CC" w:rsidRPr="003B06F1" w:rsidRDefault="00B36454" w:rsidP="00FD5A2D">
            <w:pPr>
              <w:spacing w:before="60"/>
              <w:ind w:left="110" w:hanging="110"/>
              <w:jc w:val="right"/>
              <w:rPr>
                <w:rFonts w:ascii="Arial" w:hAnsi="Arial" w:cs="Arial"/>
              </w:rPr>
            </w:pPr>
            <w:r w:rsidRPr="00925EFB">
              <w:rPr>
                <w:rFonts w:ascii="Arial" w:hAnsi="Arial" w:cs="Arial"/>
              </w:rPr>
              <w:t>19,208</w:t>
            </w:r>
          </w:p>
        </w:tc>
        <w:tc>
          <w:tcPr>
            <w:tcW w:w="661" w:type="pct"/>
            <w:tcBorders>
              <w:top w:val="single" w:sz="4" w:space="0" w:color="auto"/>
            </w:tcBorders>
          </w:tcPr>
          <w:p w14:paraId="27E47927" w14:textId="39884EC7" w:rsidR="001178CC" w:rsidRPr="00CB4056" w:rsidRDefault="00316CF3">
            <w:pPr>
              <w:spacing w:before="60"/>
              <w:ind w:left="110" w:hanging="110"/>
              <w:jc w:val="right"/>
              <w:rPr>
                <w:rFonts w:ascii="Arial" w:hAnsi="Arial" w:cs="Arial"/>
              </w:rPr>
            </w:pPr>
            <w:r w:rsidRPr="00CB4056">
              <w:rPr>
                <w:rFonts w:ascii="Arial" w:hAnsi="Arial" w:cs="Arial"/>
              </w:rPr>
              <w:t>3</w:t>
            </w:r>
            <w:r w:rsidRPr="00925EFB">
              <w:rPr>
                <w:rFonts w:ascii="Arial" w:hAnsi="Arial" w:cs="Arial"/>
              </w:rPr>
              <w:t>08</w:t>
            </w:r>
          </w:p>
        </w:tc>
        <w:tc>
          <w:tcPr>
            <w:tcW w:w="830" w:type="pct"/>
            <w:tcBorders>
              <w:top w:val="single" w:sz="4" w:space="0" w:color="auto"/>
            </w:tcBorders>
          </w:tcPr>
          <w:p w14:paraId="03088332" w14:textId="69131031" w:rsidR="001178CC" w:rsidRPr="00332A96" w:rsidRDefault="00CB4056" w:rsidP="00FD5A2D">
            <w:pPr>
              <w:spacing w:before="60"/>
              <w:ind w:left="110" w:hanging="110"/>
              <w:jc w:val="right"/>
              <w:rPr>
                <w:rFonts w:ascii="Arial" w:hAnsi="Arial" w:cs="Arial"/>
              </w:rPr>
            </w:pPr>
            <w:r w:rsidRPr="00332A96">
              <w:rPr>
                <w:rFonts w:ascii="Arial" w:hAnsi="Arial" w:cs="Arial"/>
              </w:rPr>
              <w:t>2,30</w:t>
            </w:r>
            <w:r w:rsidR="00106BDC">
              <w:rPr>
                <w:rFonts w:ascii="Arial" w:hAnsi="Arial" w:cs="Arial"/>
              </w:rPr>
              <w:t>5</w:t>
            </w:r>
          </w:p>
        </w:tc>
        <w:tc>
          <w:tcPr>
            <w:tcW w:w="735" w:type="pct"/>
            <w:tcBorders>
              <w:top w:val="single" w:sz="4" w:space="0" w:color="auto"/>
            </w:tcBorders>
          </w:tcPr>
          <w:p w14:paraId="789DC737" w14:textId="77777777" w:rsidR="001178CC" w:rsidRPr="00332A96" w:rsidRDefault="001178CC" w:rsidP="00FD5A2D">
            <w:pPr>
              <w:spacing w:before="60"/>
              <w:ind w:left="110" w:hanging="110"/>
              <w:jc w:val="right"/>
              <w:rPr>
                <w:rFonts w:ascii="Arial" w:hAnsi="Arial" w:cs="Arial"/>
              </w:rPr>
            </w:pPr>
            <w:r w:rsidRPr="00332A96">
              <w:rPr>
                <w:rFonts w:ascii="Arial" w:hAnsi="Arial" w:cs="Arial"/>
              </w:rPr>
              <w:t>(35)</w:t>
            </w:r>
          </w:p>
        </w:tc>
        <w:tc>
          <w:tcPr>
            <w:tcW w:w="735" w:type="pct"/>
            <w:tcBorders>
              <w:top w:val="single" w:sz="4" w:space="0" w:color="auto"/>
            </w:tcBorders>
          </w:tcPr>
          <w:p w14:paraId="57F06FB5" w14:textId="4B31EC81" w:rsidR="001178CC" w:rsidRPr="00332A96" w:rsidRDefault="001178CC">
            <w:pPr>
              <w:spacing w:before="60"/>
              <w:ind w:left="110" w:hanging="110"/>
              <w:jc w:val="right"/>
              <w:rPr>
                <w:rFonts w:ascii="Arial" w:hAnsi="Arial" w:cs="Arial"/>
              </w:rPr>
            </w:pPr>
            <w:r w:rsidRPr="00332A96">
              <w:rPr>
                <w:rFonts w:ascii="Arial" w:hAnsi="Arial" w:cs="Arial"/>
              </w:rPr>
              <w:t>(</w:t>
            </w:r>
            <w:r w:rsidR="00A17792" w:rsidRPr="00332A96">
              <w:rPr>
                <w:rFonts w:ascii="Arial" w:hAnsi="Arial" w:cs="Arial"/>
              </w:rPr>
              <w:t>7.5</w:t>
            </w:r>
            <w:r w:rsidRPr="00332A96">
              <w:rPr>
                <w:rFonts w:ascii="Arial" w:hAnsi="Arial" w:cs="Arial"/>
              </w:rPr>
              <w:t>)%</w:t>
            </w:r>
          </w:p>
        </w:tc>
      </w:tr>
      <w:tr w:rsidR="001178CC" w:rsidRPr="00931630" w14:paraId="29194902" w14:textId="77777777" w:rsidTr="00FD5A2D">
        <w:tc>
          <w:tcPr>
            <w:tcW w:w="1247" w:type="pct"/>
            <w:tcBorders>
              <w:bottom w:val="single" w:sz="4" w:space="0" w:color="auto"/>
            </w:tcBorders>
          </w:tcPr>
          <w:p w14:paraId="49F6CB3F" w14:textId="77777777" w:rsidR="001178CC" w:rsidRPr="00A17792" w:rsidRDefault="001178CC" w:rsidP="00FD5A2D">
            <w:pPr>
              <w:ind w:left="110" w:hanging="110"/>
              <w:jc w:val="left"/>
              <w:rPr>
                <w:rFonts w:ascii="Arial" w:hAnsi="Arial" w:cs="Arial"/>
              </w:rPr>
            </w:pPr>
            <w:r w:rsidRPr="00A17792">
              <w:rPr>
                <w:rFonts w:ascii="Arial" w:hAnsi="Arial" w:cs="Arial"/>
              </w:rPr>
              <w:t xml:space="preserve">Screwfix </w:t>
            </w:r>
          </w:p>
        </w:tc>
        <w:tc>
          <w:tcPr>
            <w:tcW w:w="792" w:type="pct"/>
            <w:tcBorders>
              <w:bottom w:val="single" w:sz="4" w:space="0" w:color="auto"/>
            </w:tcBorders>
          </w:tcPr>
          <w:p w14:paraId="1BE01903" w14:textId="554ADBCA" w:rsidR="001178CC" w:rsidRPr="003B06F1" w:rsidRDefault="00B36454" w:rsidP="00FD5A2D">
            <w:pPr>
              <w:ind w:left="110" w:hanging="110"/>
              <w:jc w:val="right"/>
              <w:rPr>
                <w:rFonts w:ascii="Arial" w:hAnsi="Arial" w:cs="Arial"/>
              </w:rPr>
            </w:pPr>
            <w:r w:rsidRPr="00925EFB">
              <w:rPr>
                <w:rFonts w:ascii="Arial" w:hAnsi="Arial" w:cs="Arial"/>
              </w:rPr>
              <w:t>6,507</w:t>
            </w:r>
          </w:p>
        </w:tc>
        <w:tc>
          <w:tcPr>
            <w:tcW w:w="661" w:type="pct"/>
            <w:tcBorders>
              <w:bottom w:val="single" w:sz="4" w:space="0" w:color="auto"/>
            </w:tcBorders>
          </w:tcPr>
          <w:p w14:paraId="7F2C5BDB" w14:textId="33DEC6CD" w:rsidR="001178CC" w:rsidRPr="00CB4056" w:rsidRDefault="00316CF3">
            <w:pPr>
              <w:ind w:left="110" w:hanging="110"/>
              <w:jc w:val="right"/>
              <w:rPr>
                <w:rFonts w:ascii="Arial" w:hAnsi="Arial" w:cs="Arial"/>
              </w:rPr>
            </w:pPr>
            <w:r w:rsidRPr="00CB4056">
              <w:rPr>
                <w:rFonts w:ascii="Arial" w:hAnsi="Arial" w:cs="Arial"/>
              </w:rPr>
              <w:t>4</w:t>
            </w:r>
            <w:r w:rsidRPr="00925EFB">
              <w:rPr>
                <w:rFonts w:ascii="Arial" w:hAnsi="Arial" w:cs="Arial"/>
              </w:rPr>
              <w:t>77</w:t>
            </w:r>
          </w:p>
        </w:tc>
        <w:tc>
          <w:tcPr>
            <w:tcW w:w="830" w:type="pct"/>
            <w:tcBorders>
              <w:bottom w:val="single" w:sz="4" w:space="0" w:color="auto"/>
            </w:tcBorders>
            <w:shd w:val="clear" w:color="auto" w:fill="auto"/>
          </w:tcPr>
          <w:p w14:paraId="63CCE39B" w14:textId="1138D517" w:rsidR="001178CC" w:rsidRPr="00332A96" w:rsidRDefault="00CB4056" w:rsidP="00FD5A2D">
            <w:pPr>
              <w:ind w:left="110" w:hanging="110"/>
              <w:jc w:val="right"/>
              <w:rPr>
                <w:rFonts w:ascii="Arial" w:hAnsi="Arial" w:cs="Arial"/>
              </w:rPr>
            </w:pPr>
            <w:r w:rsidRPr="00332A96">
              <w:rPr>
                <w:rFonts w:ascii="Arial" w:hAnsi="Arial" w:cs="Arial"/>
              </w:rPr>
              <w:t>29</w:t>
            </w:r>
          </w:p>
        </w:tc>
        <w:tc>
          <w:tcPr>
            <w:tcW w:w="735" w:type="pct"/>
            <w:tcBorders>
              <w:bottom w:val="single" w:sz="4" w:space="0" w:color="auto"/>
            </w:tcBorders>
          </w:tcPr>
          <w:p w14:paraId="4644A5AC" w14:textId="318F234D" w:rsidR="001178CC" w:rsidRPr="00332A96" w:rsidRDefault="00332A96" w:rsidP="00FD5A2D">
            <w:pPr>
              <w:ind w:left="110" w:hanging="110"/>
              <w:jc w:val="right"/>
              <w:rPr>
                <w:rFonts w:ascii="Arial" w:hAnsi="Arial" w:cs="Arial"/>
              </w:rPr>
            </w:pPr>
            <w:r>
              <w:rPr>
                <w:rFonts w:ascii="Arial" w:hAnsi="Arial" w:cs="Arial"/>
              </w:rPr>
              <w:t>6</w:t>
            </w:r>
            <w:r w:rsidR="00CB4056" w:rsidRPr="00332A96">
              <w:rPr>
                <w:rFonts w:ascii="Arial" w:hAnsi="Arial" w:cs="Arial"/>
              </w:rPr>
              <w:t>0</w:t>
            </w:r>
          </w:p>
        </w:tc>
        <w:tc>
          <w:tcPr>
            <w:tcW w:w="735" w:type="pct"/>
            <w:tcBorders>
              <w:bottom w:val="single" w:sz="4" w:space="0" w:color="auto"/>
            </w:tcBorders>
          </w:tcPr>
          <w:p w14:paraId="529494B2" w14:textId="44891405" w:rsidR="001178CC" w:rsidRPr="00332A96" w:rsidRDefault="0041662F" w:rsidP="00332A96">
            <w:pPr>
              <w:ind w:left="110" w:hanging="110"/>
              <w:jc w:val="right"/>
              <w:rPr>
                <w:rFonts w:ascii="Arial" w:hAnsi="Arial" w:cs="Arial"/>
              </w:rPr>
            </w:pPr>
            <w:r w:rsidRPr="0020209B">
              <w:rPr>
                <w:rFonts w:ascii="Arial" w:hAnsi="Arial" w:cs="Arial"/>
              </w:rPr>
              <w:t>+</w:t>
            </w:r>
            <w:r w:rsidR="00332A96">
              <w:rPr>
                <w:rFonts w:ascii="Arial" w:hAnsi="Arial" w:cs="Arial"/>
              </w:rPr>
              <w:t>10.6</w:t>
            </w:r>
            <w:r w:rsidR="001178CC" w:rsidRPr="0020209B">
              <w:rPr>
                <w:rFonts w:ascii="Arial" w:hAnsi="Arial" w:cs="Arial"/>
              </w:rPr>
              <w:t>%</w:t>
            </w:r>
          </w:p>
        </w:tc>
      </w:tr>
      <w:tr w:rsidR="001178CC" w:rsidRPr="00931630" w14:paraId="134D5645" w14:textId="77777777" w:rsidTr="00FD5A2D">
        <w:tc>
          <w:tcPr>
            <w:tcW w:w="1247" w:type="pct"/>
            <w:tcBorders>
              <w:top w:val="single" w:sz="4" w:space="0" w:color="auto"/>
            </w:tcBorders>
          </w:tcPr>
          <w:p w14:paraId="4A128B1F" w14:textId="77777777" w:rsidR="001178CC" w:rsidRPr="00A17792" w:rsidRDefault="001178CC" w:rsidP="00FD5A2D">
            <w:pPr>
              <w:ind w:left="110" w:hanging="110"/>
              <w:jc w:val="left"/>
              <w:rPr>
                <w:rFonts w:ascii="Arial" w:hAnsi="Arial" w:cs="Arial"/>
                <w:b/>
                <w:bCs/>
              </w:rPr>
            </w:pPr>
            <w:r w:rsidRPr="00A17792">
              <w:rPr>
                <w:rFonts w:ascii="Arial" w:hAnsi="Arial" w:cs="Arial"/>
                <w:b/>
                <w:bCs/>
              </w:rPr>
              <w:t>UK &amp; Ireland</w:t>
            </w:r>
          </w:p>
        </w:tc>
        <w:tc>
          <w:tcPr>
            <w:tcW w:w="792" w:type="pct"/>
            <w:tcBorders>
              <w:top w:val="single" w:sz="4" w:space="0" w:color="auto"/>
            </w:tcBorders>
          </w:tcPr>
          <w:p w14:paraId="44700359" w14:textId="7038DCA7" w:rsidR="001178CC" w:rsidRPr="003B06F1" w:rsidRDefault="00B36454" w:rsidP="00FD5A2D">
            <w:pPr>
              <w:ind w:left="110" w:hanging="110"/>
              <w:jc w:val="right"/>
              <w:rPr>
                <w:rFonts w:ascii="Arial" w:hAnsi="Arial" w:cs="Arial"/>
                <w:b/>
                <w:bCs/>
              </w:rPr>
            </w:pPr>
            <w:r w:rsidRPr="00925EFB">
              <w:rPr>
                <w:rFonts w:ascii="Arial" w:hAnsi="Arial" w:cs="Arial"/>
                <w:b/>
                <w:bCs/>
              </w:rPr>
              <w:t>25,715</w:t>
            </w:r>
          </w:p>
        </w:tc>
        <w:tc>
          <w:tcPr>
            <w:tcW w:w="661" w:type="pct"/>
            <w:tcBorders>
              <w:top w:val="single" w:sz="4" w:space="0" w:color="auto"/>
            </w:tcBorders>
          </w:tcPr>
          <w:p w14:paraId="183D3411" w14:textId="5075E9E1" w:rsidR="001178CC" w:rsidRPr="00CB4056" w:rsidRDefault="00316CF3">
            <w:pPr>
              <w:ind w:left="110" w:hanging="110"/>
              <w:jc w:val="right"/>
              <w:rPr>
                <w:rFonts w:ascii="Arial" w:hAnsi="Arial" w:cs="Arial"/>
                <w:b/>
                <w:bCs/>
              </w:rPr>
            </w:pPr>
            <w:r w:rsidRPr="00CB4056">
              <w:rPr>
                <w:rFonts w:ascii="Arial" w:hAnsi="Arial" w:cs="Arial"/>
                <w:b/>
                <w:bCs/>
              </w:rPr>
              <w:t>78</w:t>
            </w:r>
            <w:r w:rsidRPr="00925EFB">
              <w:rPr>
                <w:rFonts w:ascii="Arial" w:hAnsi="Arial" w:cs="Arial"/>
                <w:b/>
                <w:bCs/>
              </w:rPr>
              <w:t>5</w:t>
            </w:r>
          </w:p>
        </w:tc>
        <w:tc>
          <w:tcPr>
            <w:tcW w:w="830" w:type="pct"/>
            <w:tcBorders>
              <w:top w:val="single" w:sz="4" w:space="0" w:color="auto"/>
            </w:tcBorders>
          </w:tcPr>
          <w:p w14:paraId="7F0335A1" w14:textId="569A3647" w:rsidR="001178CC" w:rsidRPr="00332A96" w:rsidRDefault="00CB4056" w:rsidP="00FD5A2D">
            <w:pPr>
              <w:ind w:left="110" w:hanging="110"/>
              <w:jc w:val="right"/>
              <w:rPr>
                <w:rFonts w:ascii="Arial" w:hAnsi="Arial" w:cs="Arial"/>
                <w:b/>
                <w:bCs/>
              </w:rPr>
            </w:pPr>
            <w:r w:rsidRPr="00332A96">
              <w:rPr>
                <w:rFonts w:ascii="Arial" w:hAnsi="Arial" w:cs="Arial"/>
                <w:b/>
                <w:bCs/>
              </w:rPr>
              <w:t>2,334</w:t>
            </w:r>
          </w:p>
        </w:tc>
        <w:tc>
          <w:tcPr>
            <w:tcW w:w="735" w:type="pct"/>
            <w:tcBorders>
              <w:top w:val="single" w:sz="4" w:space="0" w:color="auto"/>
            </w:tcBorders>
          </w:tcPr>
          <w:p w14:paraId="392D704D" w14:textId="62FAAA29" w:rsidR="001178CC" w:rsidRPr="00332A96" w:rsidRDefault="00332A96" w:rsidP="00FD5A2D">
            <w:pPr>
              <w:ind w:left="110" w:hanging="110"/>
              <w:jc w:val="right"/>
              <w:rPr>
                <w:rFonts w:ascii="Arial" w:hAnsi="Arial" w:cs="Arial"/>
                <w:b/>
                <w:bCs/>
              </w:rPr>
            </w:pPr>
            <w:r>
              <w:rPr>
                <w:rFonts w:ascii="Arial" w:hAnsi="Arial" w:cs="Arial"/>
                <w:b/>
                <w:bCs/>
              </w:rPr>
              <w:t>2</w:t>
            </w:r>
            <w:r w:rsidR="00CB4056" w:rsidRPr="00332A96">
              <w:rPr>
                <w:rFonts w:ascii="Arial" w:hAnsi="Arial" w:cs="Arial"/>
                <w:b/>
                <w:bCs/>
              </w:rPr>
              <w:t>5</w:t>
            </w:r>
          </w:p>
        </w:tc>
        <w:tc>
          <w:tcPr>
            <w:tcW w:w="735" w:type="pct"/>
            <w:tcBorders>
              <w:top w:val="single" w:sz="4" w:space="0" w:color="auto"/>
            </w:tcBorders>
          </w:tcPr>
          <w:p w14:paraId="1F3A1BE8" w14:textId="422FEBEC" w:rsidR="001178CC" w:rsidRPr="00332A96" w:rsidRDefault="001178CC">
            <w:pPr>
              <w:ind w:left="110" w:hanging="110"/>
              <w:jc w:val="right"/>
              <w:rPr>
                <w:rFonts w:ascii="Arial" w:hAnsi="Arial" w:cs="Arial"/>
                <w:b/>
                <w:bCs/>
              </w:rPr>
            </w:pPr>
            <w:r w:rsidRPr="0020209B">
              <w:rPr>
                <w:rFonts w:ascii="Arial" w:hAnsi="Arial" w:cs="Arial"/>
                <w:b/>
                <w:bCs/>
              </w:rPr>
              <w:t>(</w:t>
            </w:r>
            <w:r w:rsidR="00A17792" w:rsidRPr="0020209B">
              <w:rPr>
                <w:rFonts w:ascii="Arial" w:hAnsi="Arial" w:cs="Arial"/>
                <w:b/>
                <w:bCs/>
              </w:rPr>
              <w:t>7.3</w:t>
            </w:r>
            <w:r w:rsidRPr="0020209B">
              <w:rPr>
                <w:rFonts w:ascii="Arial" w:hAnsi="Arial" w:cs="Arial"/>
                <w:b/>
                <w:bCs/>
              </w:rPr>
              <w:t>)%</w:t>
            </w:r>
          </w:p>
        </w:tc>
      </w:tr>
      <w:tr w:rsidR="00CB4056" w:rsidRPr="00F23C0D" w14:paraId="029BE174" w14:textId="77777777" w:rsidTr="00FF5257">
        <w:tc>
          <w:tcPr>
            <w:tcW w:w="1247" w:type="pct"/>
            <w:tcBorders>
              <w:top w:val="single" w:sz="4" w:space="0" w:color="auto"/>
            </w:tcBorders>
          </w:tcPr>
          <w:p w14:paraId="757F493E" w14:textId="77777777" w:rsidR="00CB4056" w:rsidRPr="00925EFB" w:rsidRDefault="00CB4056" w:rsidP="00FF5257">
            <w:pPr>
              <w:ind w:left="110" w:hanging="110"/>
              <w:jc w:val="left"/>
              <w:rPr>
                <w:rFonts w:ascii="Arial" w:hAnsi="Arial" w:cs="Arial"/>
              </w:rPr>
            </w:pPr>
            <w:r w:rsidRPr="00925EFB">
              <w:rPr>
                <w:rFonts w:ascii="Arial" w:hAnsi="Arial" w:cs="Arial"/>
              </w:rPr>
              <w:t>Castorama</w:t>
            </w:r>
            <w:r w:rsidRPr="00925EFB" w:rsidDel="00CC3AB5">
              <w:rPr>
                <w:rFonts w:ascii="Arial" w:hAnsi="Arial" w:cs="Arial"/>
              </w:rPr>
              <w:t xml:space="preserve"> </w:t>
            </w:r>
          </w:p>
        </w:tc>
        <w:tc>
          <w:tcPr>
            <w:tcW w:w="792" w:type="pct"/>
            <w:tcBorders>
              <w:top w:val="single" w:sz="4" w:space="0" w:color="auto"/>
            </w:tcBorders>
          </w:tcPr>
          <w:p w14:paraId="2F29D4BF" w14:textId="5B6E3CF7" w:rsidR="00CB4056" w:rsidRPr="00925EFB" w:rsidRDefault="00B36454" w:rsidP="00FF5257">
            <w:pPr>
              <w:ind w:left="110" w:hanging="110"/>
              <w:jc w:val="right"/>
              <w:rPr>
                <w:rFonts w:ascii="Arial" w:hAnsi="Arial" w:cs="Arial"/>
              </w:rPr>
            </w:pPr>
            <w:r w:rsidRPr="00925EFB">
              <w:rPr>
                <w:rFonts w:ascii="Arial" w:hAnsi="Arial" w:cs="Arial"/>
              </w:rPr>
              <w:t>12,625</w:t>
            </w:r>
          </w:p>
        </w:tc>
        <w:tc>
          <w:tcPr>
            <w:tcW w:w="661" w:type="pct"/>
            <w:tcBorders>
              <w:top w:val="single" w:sz="4" w:space="0" w:color="auto"/>
            </w:tcBorders>
          </w:tcPr>
          <w:p w14:paraId="72D37BB9" w14:textId="77777777" w:rsidR="00CB4056" w:rsidRPr="00F23C0D" w:rsidRDefault="00CB4056" w:rsidP="00FF5257">
            <w:pPr>
              <w:ind w:left="110" w:hanging="110"/>
              <w:jc w:val="right"/>
              <w:rPr>
                <w:rFonts w:ascii="Arial" w:hAnsi="Arial" w:cs="Arial"/>
              </w:rPr>
            </w:pPr>
            <w:r w:rsidRPr="00F23C0D">
              <w:rPr>
                <w:rFonts w:ascii="Arial" w:hAnsi="Arial" w:cs="Arial"/>
              </w:rPr>
              <w:t>102</w:t>
            </w:r>
          </w:p>
        </w:tc>
        <w:tc>
          <w:tcPr>
            <w:tcW w:w="830" w:type="pct"/>
            <w:tcBorders>
              <w:top w:val="single" w:sz="4" w:space="0" w:color="auto"/>
            </w:tcBorders>
          </w:tcPr>
          <w:p w14:paraId="363E6E54" w14:textId="6495DE97" w:rsidR="00CB4056" w:rsidRPr="00925EFB" w:rsidRDefault="00CB4056" w:rsidP="00FF5257">
            <w:pPr>
              <w:ind w:left="110" w:hanging="110"/>
              <w:jc w:val="right"/>
              <w:rPr>
                <w:rFonts w:ascii="Arial" w:hAnsi="Arial" w:cs="Arial"/>
              </w:rPr>
            </w:pPr>
            <w:r w:rsidRPr="00925EFB">
              <w:rPr>
                <w:rFonts w:ascii="Arial" w:hAnsi="Arial" w:cs="Arial"/>
              </w:rPr>
              <w:t>1,253</w:t>
            </w:r>
          </w:p>
        </w:tc>
        <w:tc>
          <w:tcPr>
            <w:tcW w:w="735" w:type="pct"/>
            <w:tcBorders>
              <w:top w:val="single" w:sz="4" w:space="0" w:color="auto"/>
            </w:tcBorders>
          </w:tcPr>
          <w:p w14:paraId="141B6BC1" w14:textId="77777777" w:rsidR="00CB4056" w:rsidRPr="00925EFB" w:rsidRDefault="00CB4056" w:rsidP="00FF5257">
            <w:pPr>
              <w:ind w:left="110" w:hanging="110"/>
              <w:jc w:val="right"/>
              <w:rPr>
                <w:rFonts w:ascii="Arial" w:hAnsi="Arial" w:cs="Arial"/>
              </w:rPr>
            </w:pPr>
            <w:r w:rsidRPr="00925EFB">
              <w:rPr>
                <w:rFonts w:ascii="Arial" w:hAnsi="Arial" w:cs="Arial"/>
              </w:rPr>
              <w:t>-</w:t>
            </w:r>
          </w:p>
        </w:tc>
        <w:tc>
          <w:tcPr>
            <w:tcW w:w="735" w:type="pct"/>
            <w:tcBorders>
              <w:top w:val="single" w:sz="4" w:space="0" w:color="auto"/>
            </w:tcBorders>
          </w:tcPr>
          <w:p w14:paraId="7B01796A" w14:textId="76D2FBA3" w:rsidR="00CB4056" w:rsidRPr="00925EFB" w:rsidRDefault="00CB4056">
            <w:pPr>
              <w:ind w:left="110" w:hanging="110"/>
              <w:jc w:val="right"/>
              <w:rPr>
                <w:rFonts w:ascii="Arial" w:hAnsi="Arial" w:cs="Arial"/>
              </w:rPr>
            </w:pPr>
            <w:r w:rsidRPr="00925EFB">
              <w:rPr>
                <w:rFonts w:ascii="Arial" w:hAnsi="Arial" w:cs="Arial"/>
              </w:rPr>
              <w:t>+</w:t>
            </w:r>
            <w:r w:rsidR="00A17792" w:rsidRPr="00925EFB">
              <w:rPr>
                <w:rFonts w:ascii="Arial" w:hAnsi="Arial" w:cs="Arial"/>
              </w:rPr>
              <w:t>1.1</w:t>
            </w:r>
            <w:r w:rsidRPr="00925EFB">
              <w:rPr>
                <w:rFonts w:ascii="Arial" w:hAnsi="Arial" w:cs="Arial"/>
              </w:rPr>
              <w:t>%</w:t>
            </w:r>
          </w:p>
        </w:tc>
      </w:tr>
      <w:tr w:rsidR="00CB4056" w:rsidRPr="00F23C0D" w14:paraId="3BCF802E" w14:textId="77777777" w:rsidTr="00FF5257">
        <w:tc>
          <w:tcPr>
            <w:tcW w:w="1247" w:type="pct"/>
            <w:tcBorders>
              <w:bottom w:val="single" w:sz="4" w:space="0" w:color="auto"/>
            </w:tcBorders>
          </w:tcPr>
          <w:p w14:paraId="3124E20E" w14:textId="77777777" w:rsidR="00CB4056" w:rsidRPr="00925EFB" w:rsidRDefault="00CB4056" w:rsidP="00FF5257">
            <w:pPr>
              <w:ind w:left="110" w:hanging="110"/>
              <w:jc w:val="left"/>
              <w:rPr>
                <w:rFonts w:ascii="Arial" w:hAnsi="Arial" w:cs="Arial"/>
              </w:rPr>
            </w:pPr>
            <w:r w:rsidRPr="00925EFB">
              <w:rPr>
                <w:rFonts w:ascii="Arial" w:hAnsi="Arial" w:cs="Arial"/>
              </w:rPr>
              <w:t>Brico Dépôt</w:t>
            </w:r>
          </w:p>
        </w:tc>
        <w:tc>
          <w:tcPr>
            <w:tcW w:w="792" w:type="pct"/>
            <w:tcBorders>
              <w:bottom w:val="single" w:sz="4" w:space="0" w:color="auto"/>
            </w:tcBorders>
          </w:tcPr>
          <w:p w14:paraId="6F00EE6E" w14:textId="53209520" w:rsidR="00CB4056" w:rsidRPr="00925EFB" w:rsidRDefault="00B36454" w:rsidP="00FF5257">
            <w:pPr>
              <w:ind w:left="110" w:hanging="110"/>
              <w:jc w:val="right"/>
              <w:rPr>
                <w:rFonts w:ascii="Arial" w:hAnsi="Arial" w:cs="Arial"/>
              </w:rPr>
            </w:pPr>
            <w:r w:rsidRPr="00925EFB">
              <w:rPr>
                <w:rFonts w:ascii="Arial" w:hAnsi="Arial" w:cs="Arial"/>
              </w:rPr>
              <w:t>7,375</w:t>
            </w:r>
          </w:p>
        </w:tc>
        <w:tc>
          <w:tcPr>
            <w:tcW w:w="661" w:type="pct"/>
            <w:tcBorders>
              <w:bottom w:val="single" w:sz="4" w:space="0" w:color="auto"/>
            </w:tcBorders>
          </w:tcPr>
          <w:p w14:paraId="11C7DD69" w14:textId="77777777" w:rsidR="00CB4056" w:rsidRPr="00F23C0D" w:rsidRDefault="00CB4056" w:rsidP="00FF5257">
            <w:pPr>
              <w:ind w:left="110" w:hanging="110"/>
              <w:jc w:val="right"/>
              <w:rPr>
                <w:rFonts w:ascii="Arial" w:hAnsi="Arial" w:cs="Arial"/>
              </w:rPr>
            </w:pPr>
            <w:r w:rsidRPr="00F23C0D">
              <w:rPr>
                <w:rFonts w:ascii="Arial" w:hAnsi="Arial" w:cs="Arial"/>
              </w:rPr>
              <w:t>119</w:t>
            </w:r>
          </w:p>
        </w:tc>
        <w:tc>
          <w:tcPr>
            <w:tcW w:w="830" w:type="pct"/>
            <w:tcBorders>
              <w:bottom w:val="single" w:sz="4" w:space="0" w:color="auto"/>
            </w:tcBorders>
          </w:tcPr>
          <w:p w14:paraId="3B85CAE7" w14:textId="64892C02" w:rsidR="00CB4056" w:rsidRPr="00925EFB" w:rsidRDefault="00CB4056" w:rsidP="00FF5257">
            <w:pPr>
              <w:ind w:left="110" w:hanging="110"/>
              <w:jc w:val="right"/>
              <w:rPr>
                <w:rFonts w:ascii="Arial" w:hAnsi="Arial" w:cs="Arial"/>
              </w:rPr>
            </w:pPr>
            <w:r w:rsidRPr="00925EFB">
              <w:rPr>
                <w:rFonts w:ascii="Arial" w:hAnsi="Arial" w:cs="Arial"/>
              </w:rPr>
              <w:t>829</w:t>
            </w:r>
          </w:p>
        </w:tc>
        <w:tc>
          <w:tcPr>
            <w:tcW w:w="735" w:type="pct"/>
            <w:tcBorders>
              <w:bottom w:val="single" w:sz="4" w:space="0" w:color="auto"/>
            </w:tcBorders>
          </w:tcPr>
          <w:p w14:paraId="16C5DDE2" w14:textId="77777777" w:rsidR="00CB4056" w:rsidRPr="00925EFB" w:rsidRDefault="00CB4056" w:rsidP="00FF5257">
            <w:pPr>
              <w:ind w:left="110" w:hanging="110"/>
              <w:jc w:val="right"/>
              <w:rPr>
                <w:rFonts w:ascii="Arial" w:hAnsi="Arial" w:cs="Arial"/>
              </w:rPr>
            </w:pPr>
            <w:r w:rsidRPr="00925EFB">
              <w:rPr>
                <w:rFonts w:ascii="Arial" w:hAnsi="Arial" w:cs="Arial"/>
              </w:rPr>
              <w:t>1</w:t>
            </w:r>
          </w:p>
        </w:tc>
        <w:tc>
          <w:tcPr>
            <w:tcW w:w="735" w:type="pct"/>
            <w:tcBorders>
              <w:bottom w:val="single" w:sz="4" w:space="0" w:color="auto"/>
            </w:tcBorders>
          </w:tcPr>
          <w:p w14:paraId="3FDDD209" w14:textId="77777777" w:rsidR="00CB4056" w:rsidRPr="00925EFB" w:rsidRDefault="00CB4056" w:rsidP="00FF5257">
            <w:pPr>
              <w:ind w:left="110" w:hanging="110"/>
              <w:jc w:val="right"/>
              <w:rPr>
                <w:rFonts w:ascii="Arial" w:hAnsi="Arial" w:cs="Arial"/>
              </w:rPr>
            </w:pPr>
            <w:r w:rsidRPr="00925EFB">
              <w:rPr>
                <w:rFonts w:ascii="Arial" w:hAnsi="Arial" w:cs="Arial"/>
              </w:rPr>
              <w:t>+0.9%</w:t>
            </w:r>
          </w:p>
        </w:tc>
      </w:tr>
      <w:tr w:rsidR="00CB4056" w:rsidRPr="00F23C0D" w14:paraId="5913C68C" w14:textId="77777777" w:rsidTr="00925EFB">
        <w:tc>
          <w:tcPr>
            <w:tcW w:w="1247" w:type="pct"/>
            <w:tcBorders>
              <w:top w:val="single" w:sz="4" w:space="0" w:color="auto"/>
              <w:bottom w:val="single" w:sz="4" w:space="0" w:color="auto"/>
            </w:tcBorders>
          </w:tcPr>
          <w:p w14:paraId="2275478B" w14:textId="77777777" w:rsidR="00CB4056" w:rsidRPr="00925EFB" w:rsidRDefault="00CB4056" w:rsidP="00FF5257">
            <w:pPr>
              <w:ind w:left="110" w:hanging="110"/>
              <w:jc w:val="left"/>
              <w:rPr>
                <w:rFonts w:ascii="Arial" w:hAnsi="Arial" w:cs="Arial"/>
                <w:b/>
                <w:bCs/>
              </w:rPr>
            </w:pPr>
            <w:r w:rsidRPr="00925EFB">
              <w:rPr>
                <w:rFonts w:ascii="Arial" w:hAnsi="Arial" w:cs="Arial"/>
                <w:b/>
                <w:bCs/>
              </w:rPr>
              <w:t>France</w:t>
            </w:r>
          </w:p>
        </w:tc>
        <w:tc>
          <w:tcPr>
            <w:tcW w:w="792" w:type="pct"/>
            <w:tcBorders>
              <w:top w:val="single" w:sz="4" w:space="0" w:color="auto"/>
              <w:bottom w:val="single" w:sz="4" w:space="0" w:color="auto"/>
            </w:tcBorders>
          </w:tcPr>
          <w:p w14:paraId="08466961" w14:textId="2405C052" w:rsidR="00CB4056" w:rsidRPr="00925EFB" w:rsidRDefault="00B36454" w:rsidP="00FF5257">
            <w:pPr>
              <w:ind w:left="110" w:hanging="110"/>
              <w:jc w:val="right"/>
              <w:rPr>
                <w:rFonts w:ascii="Arial" w:hAnsi="Arial" w:cs="Arial"/>
                <w:b/>
                <w:bCs/>
              </w:rPr>
            </w:pPr>
            <w:r w:rsidRPr="00925EFB">
              <w:rPr>
                <w:rFonts w:ascii="Arial" w:hAnsi="Arial" w:cs="Arial"/>
                <w:b/>
                <w:bCs/>
              </w:rPr>
              <w:t>20,000</w:t>
            </w:r>
          </w:p>
        </w:tc>
        <w:tc>
          <w:tcPr>
            <w:tcW w:w="661" w:type="pct"/>
            <w:tcBorders>
              <w:top w:val="single" w:sz="4" w:space="0" w:color="auto"/>
              <w:bottom w:val="single" w:sz="4" w:space="0" w:color="auto"/>
            </w:tcBorders>
          </w:tcPr>
          <w:p w14:paraId="10456577" w14:textId="77777777" w:rsidR="00CB4056" w:rsidRPr="00F23C0D" w:rsidRDefault="00CB4056" w:rsidP="00FF5257">
            <w:pPr>
              <w:ind w:left="110" w:hanging="110"/>
              <w:jc w:val="right"/>
              <w:rPr>
                <w:rFonts w:ascii="Arial" w:hAnsi="Arial" w:cs="Arial"/>
                <w:b/>
                <w:bCs/>
              </w:rPr>
            </w:pPr>
            <w:r w:rsidRPr="00F23C0D">
              <w:rPr>
                <w:rFonts w:ascii="Arial" w:hAnsi="Arial" w:cs="Arial"/>
                <w:b/>
                <w:bCs/>
              </w:rPr>
              <w:t>221</w:t>
            </w:r>
          </w:p>
        </w:tc>
        <w:tc>
          <w:tcPr>
            <w:tcW w:w="830" w:type="pct"/>
            <w:tcBorders>
              <w:top w:val="single" w:sz="4" w:space="0" w:color="auto"/>
              <w:bottom w:val="single" w:sz="4" w:space="0" w:color="auto"/>
            </w:tcBorders>
          </w:tcPr>
          <w:p w14:paraId="515234AF" w14:textId="7D6A2ACE" w:rsidR="00CB4056" w:rsidRPr="00925EFB" w:rsidRDefault="00CB4056" w:rsidP="00FF5257">
            <w:pPr>
              <w:ind w:left="110" w:hanging="110"/>
              <w:jc w:val="right"/>
              <w:rPr>
                <w:rFonts w:ascii="Arial" w:hAnsi="Arial" w:cs="Arial"/>
                <w:b/>
                <w:bCs/>
              </w:rPr>
            </w:pPr>
            <w:r w:rsidRPr="00925EFB">
              <w:rPr>
                <w:rFonts w:ascii="Arial" w:hAnsi="Arial" w:cs="Arial"/>
                <w:b/>
                <w:bCs/>
              </w:rPr>
              <w:t>2,082</w:t>
            </w:r>
          </w:p>
        </w:tc>
        <w:tc>
          <w:tcPr>
            <w:tcW w:w="735" w:type="pct"/>
            <w:tcBorders>
              <w:top w:val="single" w:sz="4" w:space="0" w:color="auto"/>
              <w:bottom w:val="single" w:sz="4" w:space="0" w:color="auto"/>
            </w:tcBorders>
          </w:tcPr>
          <w:p w14:paraId="59BC0F17" w14:textId="77777777" w:rsidR="00CB4056" w:rsidRPr="00925EFB" w:rsidRDefault="00CB4056" w:rsidP="00FF5257">
            <w:pPr>
              <w:ind w:left="110" w:hanging="110"/>
              <w:jc w:val="right"/>
              <w:rPr>
                <w:rFonts w:ascii="Arial" w:hAnsi="Arial" w:cs="Arial"/>
                <w:b/>
                <w:bCs/>
              </w:rPr>
            </w:pPr>
            <w:r w:rsidRPr="00925EFB">
              <w:rPr>
                <w:rFonts w:ascii="Arial" w:hAnsi="Arial" w:cs="Arial"/>
                <w:b/>
                <w:bCs/>
              </w:rPr>
              <w:t>1</w:t>
            </w:r>
          </w:p>
        </w:tc>
        <w:tc>
          <w:tcPr>
            <w:tcW w:w="735" w:type="pct"/>
            <w:tcBorders>
              <w:top w:val="single" w:sz="4" w:space="0" w:color="auto"/>
              <w:bottom w:val="single" w:sz="4" w:space="0" w:color="auto"/>
            </w:tcBorders>
          </w:tcPr>
          <w:p w14:paraId="1E9BC651" w14:textId="51DB7842" w:rsidR="00CB4056" w:rsidRPr="00925EFB" w:rsidRDefault="00CB4056">
            <w:pPr>
              <w:ind w:left="110" w:hanging="110"/>
              <w:jc w:val="right"/>
              <w:rPr>
                <w:rFonts w:ascii="Arial" w:hAnsi="Arial" w:cs="Arial"/>
                <w:b/>
                <w:bCs/>
              </w:rPr>
            </w:pPr>
            <w:r w:rsidRPr="00925EFB">
              <w:rPr>
                <w:rFonts w:ascii="Arial" w:hAnsi="Arial" w:cs="Arial"/>
                <w:b/>
                <w:bCs/>
              </w:rPr>
              <w:t>+</w:t>
            </w:r>
            <w:r w:rsidR="00A17792" w:rsidRPr="00925EFB">
              <w:rPr>
                <w:rFonts w:ascii="Arial" w:hAnsi="Arial" w:cs="Arial"/>
                <w:b/>
                <w:bCs/>
              </w:rPr>
              <w:t>1.0</w:t>
            </w:r>
            <w:r w:rsidRPr="00925EFB">
              <w:rPr>
                <w:rFonts w:ascii="Arial" w:hAnsi="Arial" w:cs="Arial"/>
                <w:b/>
                <w:bCs/>
              </w:rPr>
              <w:t>%</w:t>
            </w:r>
          </w:p>
        </w:tc>
      </w:tr>
      <w:tr w:rsidR="001178CC" w:rsidRPr="00931630" w14:paraId="6CC9AC66" w14:textId="77777777" w:rsidTr="00925EFB">
        <w:tc>
          <w:tcPr>
            <w:tcW w:w="1247" w:type="pct"/>
            <w:tcBorders>
              <w:top w:val="single" w:sz="4" w:space="0" w:color="auto"/>
            </w:tcBorders>
          </w:tcPr>
          <w:p w14:paraId="18F35761" w14:textId="77777777" w:rsidR="001178CC" w:rsidRPr="00A17792" w:rsidRDefault="001178CC" w:rsidP="00FD5A2D">
            <w:pPr>
              <w:spacing w:before="60"/>
              <w:ind w:left="110" w:hanging="110"/>
              <w:jc w:val="left"/>
              <w:rPr>
                <w:rFonts w:ascii="Arial" w:hAnsi="Arial" w:cs="Arial"/>
              </w:rPr>
            </w:pPr>
            <w:r w:rsidRPr="00A17792">
              <w:rPr>
                <w:rFonts w:ascii="Arial" w:hAnsi="Arial" w:cs="Arial"/>
              </w:rPr>
              <w:t>Poland</w:t>
            </w:r>
          </w:p>
        </w:tc>
        <w:tc>
          <w:tcPr>
            <w:tcW w:w="792" w:type="pct"/>
            <w:tcBorders>
              <w:top w:val="single" w:sz="4" w:space="0" w:color="auto"/>
            </w:tcBorders>
          </w:tcPr>
          <w:p w14:paraId="4A6BF490" w14:textId="437A8A49" w:rsidR="001178CC" w:rsidRPr="003B06F1" w:rsidRDefault="00B36454" w:rsidP="00FD5A2D">
            <w:pPr>
              <w:spacing w:before="60"/>
              <w:ind w:left="110" w:hanging="110"/>
              <w:jc w:val="right"/>
              <w:rPr>
                <w:rFonts w:ascii="Arial" w:hAnsi="Arial" w:cs="Arial"/>
              </w:rPr>
            </w:pPr>
            <w:r w:rsidRPr="00925EFB">
              <w:rPr>
                <w:rFonts w:ascii="Arial" w:hAnsi="Arial" w:cs="Arial"/>
              </w:rPr>
              <w:t>11,302</w:t>
            </w:r>
          </w:p>
        </w:tc>
        <w:tc>
          <w:tcPr>
            <w:tcW w:w="661" w:type="pct"/>
            <w:tcBorders>
              <w:top w:val="single" w:sz="4" w:space="0" w:color="auto"/>
            </w:tcBorders>
          </w:tcPr>
          <w:p w14:paraId="2A92075D" w14:textId="4F17EC48" w:rsidR="001178CC" w:rsidRPr="00CB4056" w:rsidRDefault="00316CF3">
            <w:pPr>
              <w:spacing w:before="60"/>
              <w:ind w:left="110" w:hanging="110"/>
              <w:jc w:val="right"/>
              <w:rPr>
                <w:rFonts w:ascii="Arial" w:hAnsi="Arial" w:cs="Arial"/>
              </w:rPr>
            </w:pPr>
            <w:r w:rsidRPr="00CB4056">
              <w:rPr>
                <w:rFonts w:ascii="Arial" w:hAnsi="Arial" w:cs="Arial"/>
              </w:rPr>
              <w:t>7</w:t>
            </w:r>
            <w:r w:rsidRPr="00925EFB">
              <w:rPr>
                <w:rFonts w:ascii="Arial" w:hAnsi="Arial" w:cs="Arial"/>
              </w:rPr>
              <w:t>4</w:t>
            </w:r>
          </w:p>
        </w:tc>
        <w:tc>
          <w:tcPr>
            <w:tcW w:w="830" w:type="pct"/>
            <w:tcBorders>
              <w:top w:val="single" w:sz="4" w:space="0" w:color="auto"/>
            </w:tcBorders>
          </w:tcPr>
          <w:p w14:paraId="3F314677" w14:textId="63D07739" w:rsidR="001178CC" w:rsidRPr="00A17792" w:rsidRDefault="00CB4056" w:rsidP="00FD5A2D">
            <w:pPr>
              <w:spacing w:before="60"/>
              <w:ind w:left="110" w:hanging="110"/>
              <w:jc w:val="right"/>
              <w:rPr>
                <w:rFonts w:ascii="Arial" w:hAnsi="Arial" w:cs="Arial"/>
              </w:rPr>
            </w:pPr>
            <w:r w:rsidRPr="00925EFB">
              <w:rPr>
                <w:rFonts w:ascii="Arial" w:hAnsi="Arial" w:cs="Arial"/>
              </w:rPr>
              <w:t>627</w:t>
            </w:r>
          </w:p>
        </w:tc>
        <w:tc>
          <w:tcPr>
            <w:tcW w:w="735" w:type="pct"/>
            <w:tcBorders>
              <w:top w:val="single" w:sz="4" w:space="0" w:color="auto"/>
            </w:tcBorders>
          </w:tcPr>
          <w:p w14:paraId="6069083D" w14:textId="4F7AA338" w:rsidR="001178CC" w:rsidRPr="00A17792" w:rsidRDefault="00CB4056" w:rsidP="00FD5A2D">
            <w:pPr>
              <w:spacing w:before="60"/>
              <w:ind w:left="110" w:hanging="110"/>
              <w:jc w:val="right"/>
              <w:rPr>
                <w:rFonts w:ascii="Arial" w:hAnsi="Arial" w:cs="Arial"/>
              </w:rPr>
            </w:pPr>
            <w:r w:rsidRPr="00925EFB">
              <w:rPr>
                <w:rFonts w:ascii="Arial" w:hAnsi="Arial" w:cs="Arial"/>
              </w:rPr>
              <w:t>2</w:t>
            </w:r>
          </w:p>
        </w:tc>
        <w:tc>
          <w:tcPr>
            <w:tcW w:w="735" w:type="pct"/>
            <w:tcBorders>
              <w:top w:val="single" w:sz="4" w:space="0" w:color="auto"/>
            </w:tcBorders>
          </w:tcPr>
          <w:p w14:paraId="386DF12A" w14:textId="2ED46932" w:rsidR="001178CC" w:rsidRPr="00A17792" w:rsidRDefault="0041662F">
            <w:pPr>
              <w:spacing w:before="60"/>
              <w:ind w:left="110" w:hanging="110"/>
              <w:jc w:val="right"/>
              <w:rPr>
                <w:rFonts w:ascii="Arial" w:hAnsi="Arial" w:cs="Arial"/>
              </w:rPr>
            </w:pPr>
            <w:r w:rsidRPr="00A17792">
              <w:rPr>
                <w:rFonts w:ascii="Arial" w:hAnsi="Arial" w:cs="Arial"/>
              </w:rPr>
              <w:t>+</w:t>
            </w:r>
            <w:r w:rsidR="00A17792" w:rsidRPr="00925EFB">
              <w:rPr>
                <w:rFonts w:ascii="Arial" w:hAnsi="Arial" w:cs="Arial"/>
              </w:rPr>
              <w:t>2.9</w:t>
            </w:r>
            <w:r w:rsidR="001178CC" w:rsidRPr="00A17792">
              <w:rPr>
                <w:rFonts w:ascii="Arial" w:hAnsi="Arial" w:cs="Arial"/>
              </w:rPr>
              <w:t>%</w:t>
            </w:r>
          </w:p>
        </w:tc>
      </w:tr>
      <w:tr w:rsidR="001178CC" w:rsidRPr="00931630" w14:paraId="5A16B01D" w14:textId="77777777" w:rsidTr="00FD5A2D">
        <w:tc>
          <w:tcPr>
            <w:tcW w:w="1247" w:type="pct"/>
          </w:tcPr>
          <w:p w14:paraId="0FE7C496" w14:textId="77777777" w:rsidR="001178CC" w:rsidRPr="00A17792" w:rsidRDefault="001178CC" w:rsidP="00FD5A2D">
            <w:pPr>
              <w:ind w:left="110" w:hanging="110"/>
              <w:jc w:val="left"/>
              <w:rPr>
                <w:rFonts w:ascii="Arial" w:hAnsi="Arial" w:cs="Arial"/>
                <w:lang w:val="it-IT"/>
              </w:rPr>
            </w:pPr>
            <w:r w:rsidRPr="00A17792">
              <w:rPr>
                <w:rFonts w:ascii="Arial" w:hAnsi="Arial" w:cs="Arial"/>
                <w:lang w:val="it-IT"/>
              </w:rPr>
              <w:t>Portugal</w:t>
            </w:r>
          </w:p>
        </w:tc>
        <w:tc>
          <w:tcPr>
            <w:tcW w:w="792" w:type="pct"/>
          </w:tcPr>
          <w:p w14:paraId="496D67F6" w14:textId="25D47271" w:rsidR="001178CC" w:rsidRPr="003B06F1" w:rsidRDefault="00B36454" w:rsidP="00FD5A2D">
            <w:pPr>
              <w:ind w:left="110" w:hanging="110"/>
              <w:jc w:val="right"/>
              <w:rPr>
                <w:rFonts w:ascii="Arial" w:hAnsi="Arial" w:cs="Arial"/>
              </w:rPr>
            </w:pPr>
            <w:r w:rsidRPr="00925EFB">
              <w:rPr>
                <w:rFonts w:ascii="Arial" w:hAnsi="Arial" w:cs="Arial"/>
              </w:rPr>
              <w:t>134</w:t>
            </w:r>
          </w:p>
        </w:tc>
        <w:tc>
          <w:tcPr>
            <w:tcW w:w="661" w:type="pct"/>
          </w:tcPr>
          <w:p w14:paraId="053A2E6C" w14:textId="77777777" w:rsidR="001178CC" w:rsidRPr="00CB4056" w:rsidRDefault="001178CC" w:rsidP="00FD5A2D">
            <w:pPr>
              <w:ind w:left="110" w:hanging="110"/>
              <w:jc w:val="right"/>
              <w:rPr>
                <w:rFonts w:ascii="Arial" w:hAnsi="Arial" w:cs="Arial"/>
              </w:rPr>
            </w:pPr>
            <w:r w:rsidRPr="00CB4056">
              <w:rPr>
                <w:rFonts w:ascii="Arial" w:hAnsi="Arial" w:cs="Arial"/>
              </w:rPr>
              <w:t>2</w:t>
            </w:r>
          </w:p>
        </w:tc>
        <w:tc>
          <w:tcPr>
            <w:tcW w:w="830" w:type="pct"/>
          </w:tcPr>
          <w:p w14:paraId="2413A7D9" w14:textId="62371345" w:rsidR="001178CC" w:rsidRPr="00A17792" w:rsidRDefault="00CB4056" w:rsidP="00FD5A2D">
            <w:pPr>
              <w:ind w:left="110" w:hanging="110"/>
              <w:jc w:val="right"/>
              <w:rPr>
                <w:rFonts w:ascii="Arial" w:hAnsi="Arial" w:cs="Arial"/>
              </w:rPr>
            </w:pPr>
            <w:r w:rsidRPr="00925EFB">
              <w:rPr>
                <w:rFonts w:ascii="Arial" w:hAnsi="Arial" w:cs="Arial"/>
              </w:rPr>
              <w:t>12</w:t>
            </w:r>
          </w:p>
        </w:tc>
        <w:tc>
          <w:tcPr>
            <w:tcW w:w="735" w:type="pct"/>
          </w:tcPr>
          <w:p w14:paraId="211AF5AB" w14:textId="77777777" w:rsidR="001178CC" w:rsidRPr="00A17792" w:rsidRDefault="001178CC" w:rsidP="00FD5A2D">
            <w:pPr>
              <w:ind w:left="110" w:hanging="110"/>
              <w:jc w:val="right"/>
              <w:rPr>
                <w:rFonts w:ascii="Arial" w:hAnsi="Arial" w:cs="Arial"/>
              </w:rPr>
            </w:pPr>
            <w:r w:rsidRPr="00A17792">
              <w:rPr>
                <w:rFonts w:ascii="Arial" w:hAnsi="Arial" w:cs="Arial"/>
              </w:rPr>
              <w:t>1</w:t>
            </w:r>
          </w:p>
        </w:tc>
        <w:tc>
          <w:tcPr>
            <w:tcW w:w="735" w:type="pct"/>
          </w:tcPr>
          <w:p w14:paraId="224F5FB0" w14:textId="77777777" w:rsidR="001178CC" w:rsidRPr="00A17792" w:rsidRDefault="001178CC" w:rsidP="00FD5A2D">
            <w:pPr>
              <w:ind w:left="110" w:hanging="110"/>
              <w:jc w:val="right"/>
              <w:rPr>
                <w:rFonts w:ascii="Arial" w:hAnsi="Arial" w:cs="Arial"/>
              </w:rPr>
            </w:pPr>
            <w:r w:rsidRPr="00A17792">
              <w:rPr>
                <w:rFonts w:ascii="Arial" w:hAnsi="Arial" w:cs="Arial"/>
                <w:lang w:val="it-IT"/>
              </w:rPr>
              <w:t>n/a</w:t>
            </w:r>
          </w:p>
        </w:tc>
      </w:tr>
      <w:tr w:rsidR="001178CC" w:rsidRPr="00931630" w14:paraId="7735EABA" w14:textId="77777777" w:rsidTr="00FD5A2D">
        <w:tc>
          <w:tcPr>
            <w:tcW w:w="1247" w:type="pct"/>
          </w:tcPr>
          <w:p w14:paraId="336F25D2" w14:textId="4F646ECF" w:rsidR="001178CC" w:rsidRPr="00A17792" w:rsidRDefault="001178CC" w:rsidP="00FD5A2D">
            <w:pPr>
              <w:ind w:left="110" w:hanging="110"/>
              <w:jc w:val="left"/>
              <w:rPr>
                <w:rFonts w:ascii="Arial" w:hAnsi="Arial" w:cs="Arial"/>
                <w:lang w:val="it-IT"/>
              </w:rPr>
            </w:pPr>
            <w:r w:rsidRPr="00A17792">
              <w:rPr>
                <w:rFonts w:ascii="Arial" w:hAnsi="Arial" w:cs="Arial"/>
                <w:lang w:val="it-IT"/>
              </w:rPr>
              <w:t>Romania</w:t>
            </w:r>
          </w:p>
        </w:tc>
        <w:tc>
          <w:tcPr>
            <w:tcW w:w="792" w:type="pct"/>
          </w:tcPr>
          <w:p w14:paraId="4A0AC899" w14:textId="75EB1D13" w:rsidR="001178CC" w:rsidRPr="003B06F1" w:rsidRDefault="00B36454" w:rsidP="00FD5A2D">
            <w:pPr>
              <w:ind w:left="110" w:hanging="110"/>
              <w:jc w:val="right"/>
              <w:rPr>
                <w:rFonts w:ascii="Arial" w:hAnsi="Arial" w:cs="Arial"/>
              </w:rPr>
            </w:pPr>
            <w:r w:rsidRPr="00925EFB">
              <w:rPr>
                <w:rFonts w:ascii="Arial" w:hAnsi="Arial" w:cs="Arial"/>
              </w:rPr>
              <w:t>851</w:t>
            </w:r>
          </w:p>
        </w:tc>
        <w:tc>
          <w:tcPr>
            <w:tcW w:w="661" w:type="pct"/>
          </w:tcPr>
          <w:p w14:paraId="1ABE7139" w14:textId="77777777" w:rsidR="001178CC" w:rsidRPr="00CB4056" w:rsidRDefault="001178CC" w:rsidP="00FD5A2D">
            <w:pPr>
              <w:ind w:left="110" w:hanging="110"/>
              <w:jc w:val="right"/>
              <w:rPr>
                <w:rFonts w:ascii="Arial" w:hAnsi="Arial" w:cs="Arial"/>
              </w:rPr>
            </w:pPr>
            <w:r w:rsidRPr="00CB4056">
              <w:rPr>
                <w:rFonts w:ascii="Arial" w:hAnsi="Arial" w:cs="Arial"/>
              </w:rPr>
              <w:t>15</w:t>
            </w:r>
          </w:p>
        </w:tc>
        <w:tc>
          <w:tcPr>
            <w:tcW w:w="830" w:type="pct"/>
          </w:tcPr>
          <w:p w14:paraId="170A50CE" w14:textId="57C74807" w:rsidR="001178CC" w:rsidRPr="00A17792" w:rsidRDefault="00CB4056" w:rsidP="00FD5A2D">
            <w:pPr>
              <w:ind w:left="110" w:hanging="110"/>
              <w:jc w:val="right"/>
              <w:rPr>
                <w:rFonts w:ascii="Arial" w:hAnsi="Arial" w:cs="Arial"/>
              </w:rPr>
            </w:pPr>
            <w:r w:rsidRPr="00925EFB">
              <w:rPr>
                <w:rFonts w:ascii="Arial" w:hAnsi="Arial" w:cs="Arial"/>
              </w:rPr>
              <w:t>114</w:t>
            </w:r>
          </w:p>
        </w:tc>
        <w:tc>
          <w:tcPr>
            <w:tcW w:w="735" w:type="pct"/>
          </w:tcPr>
          <w:p w14:paraId="01CAB20D" w14:textId="77777777" w:rsidR="001178CC" w:rsidRPr="00A17792" w:rsidRDefault="001178CC" w:rsidP="00FD5A2D">
            <w:pPr>
              <w:ind w:left="110" w:hanging="110"/>
              <w:jc w:val="right"/>
              <w:rPr>
                <w:rFonts w:ascii="Arial" w:hAnsi="Arial" w:cs="Arial"/>
              </w:rPr>
            </w:pPr>
            <w:r w:rsidRPr="00A17792">
              <w:rPr>
                <w:rFonts w:ascii="Arial" w:hAnsi="Arial" w:cs="Arial"/>
              </w:rPr>
              <w:t>-</w:t>
            </w:r>
          </w:p>
        </w:tc>
        <w:tc>
          <w:tcPr>
            <w:tcW w:w="735" w:type="pct"/>
          </w:tcPr>
          <w:p w14:paraId="581D4D93" w14:textId="77777777" w:rsidR="001178CC" w:rsidRPr="00A17792" w:rsidRDefault="001178CC" w:rsidP="00FD5A2D">
            <w:pPr>
              <w:ind w:left="110" w:hanging="110"/>
              <w:jc w:val="right"/>
              <w:rPr>
                <w:rFonts w:ascii="Arial" w:hAnsi="Arial" w:cs="Arial"/>
              </w:rPr>
            </w:pPr>
            <w:r w:rsidRPr="00A17792">
              <w:rPr>
                <w:rFonts w:ascii="Arial" w:hAnsi="Arial" w:cs="Arial"/>
              </w:rPr>
              <w:t>-</w:t>
            </w:r>
          </w:p>
        </w:tc>
      </w:tr>
      <w:tr w:rsidR="001178CC" w:rsidRPr="00931630" w14:paraId="307583E7" w14:textId="77777777" w:rsidTr="00FD5A2D">
        <w:tc>
          <w:tcPr>
            <w:tcW w:w="1247" w:type="pct"/>
          </w:tcPr>
          <w:p w14:paraId="6A7AC8BF" w14:textId="77777777" w:rsidR="001178CC" w:rsidRPr="00A17792" w:rsidRDefault="001178CC" w:rsidP="00FD5A2D">
            <w:pPr>
              <w:jc w:val="left"/>
              <w:rPr>
                <w:rFonts w:ascii="Arial" w:hAnsi="Arial" w:cs="Arial"/>
                <w:lang w:val="it-IT"/>
              </w:rPr>
            </w:pPr>
            <w:r w:rsidRPr="00A17792">
              <w:rPr>
                <w:rFonts w:ascii="Arial" w:hAnsi="Arial" w:cs="Arial"/>
                <w:lang w:val="it-IT"/>
              </w:rPr>
              <w:t>Russia</w:t>
            </w:r>
          </w:p>
        </w:tc>
        <w:tc>
          <w:tcPr>
            <w:tcW w:w="792" w:type="pct"/>
          </w:tcPr>
          <w:p w14:paraId="037425E0" w14:textId="13232490" w:rsidR="001178CC" w:rsidRPr="003B06F1" w:rsidRDefault="00B36454" w:rsidP="00FD5A2D">
            <w:pPr>
              <w:ind w:left="110" w:hanging="110"/>
              <w:jc w:val="right"/>
              <w:rPr>
                <w:rFonts w:ascii="Arial" w:hAnsi="Arial" w:cs="Arial"/>
                <w:lang w:val="it-IT"/>
              </w:rPr>
            </w:pPr>
            <w:r w:rsidRPr="00925EFB">
              <w:rPr>
                <w:rFonts w:ascii="Arial" w:hAnsi="Arial" w:cs="Arial"/>
                <w:lang w:val="it-IT"/>
              </w:rPr>
              <w:t>3,199</w:t>
            </w:r>
          </w:p>
        </w:tc>
        <w:tc>
          <w:tcPr>
            <w:tcW w:w="661" w:type="pct"/>
          </w:tcPr>
          <w:p w14:paraId="19DDB7BA" w14:textId="463E70FE" w:rsidR="001178CC" w:rsidRPr="00CB4056" w:rsidRDefault="00CB4056">
            <w:pPr>
              <w:ind w:left="110" w:hanging="110"/>
              <w:jc w:val="right"/>
              <w:rPr>
                <w:rFonts w:ascii="Arial" w:hAnsi="Arial" w:cs="Arial"/>
                <w:lang w:val="it-IT"/>
              </w:rPr>
            </w:pPr>
            <w:r w:rsidRPr="00CB4056">
              <w:rPr>
                <w:rFonts w:ascii="Arial" w:hAnsi="Arial" w:cs="Arial"/>
                <w:lang w:val="it-IT"/>
              </w:rPr>
              <w:t>2</w:t>
            </w:r>
            <w:r w:rsidRPr="00925EFB">
              <w:rPr>
                <w:rFonts w:ascii="Arial" w:hAnsi="Arial" w:cs="Arial"/>
                <w:lang w:val="it-IT"/>
              </w:rPr>
              <w:t>0</w:t>
            </w:r>
          </w:p>
        </w:tc>
        <w:tc>
          <w:tcPr>
            <w:tcW w:w="830" w:type="pct"/>
          </w:tcPr>
          <w:p w14:paraId="69DE1AA2" w14:textId="6481A174" w:rsidR="001178CC" w:rsidRPr="00A17792" w:rsidRDefault="00CB4056" w:rsidP="00FD5A2D">
            <w:pPr>
              <w:ind w:left="110" w:hanging="110"/>
              <w:jc w:val="right"/>
              <w:rPr>
                <w:rFonts w:ascii="Arial" w:hAnsi="Arial" w:cs="Arial"/>
                <w:lang w:val="it-IT"/>
              </w:rPr>
            </w:pPr>
            <w:r w:rsidRPr="00925EFB">
              <w:rPr>
                <w:rFonts w:ascii="Arial" w:hAnsi="Arial" w:cs="Arial"/>
                <w:lang w:val="it-IT"/>
              </w:rPr>
              <w:t>198</w:t>
            </w:r>
          </w:p>
        </w:tc>
        <w:tc>
          <w:tcPr>
            <w:tcW w:w="735" w:type="pct"/>
          </w:tcPr>
          <w:p w14:paraId="08B09E4F" w14:textId="77777777" w:rsidR="001178CC" w:rsidRPr="00A17792" w:rsidRDefault="001178CC" w:rsidP="00FD5A2D">
            <w:pPr>
              <w:ind w:left="110" w:hanging="110"/>
              <w:jc w:val="right"/>
              <w:rPr>
                <w:rFonts w:ascii="Arial" w:hAnsi="Arial" w:cs="Arial"/>
                <w:lang w:val="it-IT"/>
              </w:rPr>
            </w:pPr>
            <w:r w:rsidRPr="00A17792">
              <w:rPr>
                <w:rFonts w:ascii="Arial" w:hAnsi="Arial" w:cs="Arial"/>
                <w:lang w:val="it-IT"/>
              </w:rPr>
              <w:t>-</w:t>
            </w:r>
          </w:p>
        </w:tc>
        <w:tc>
          <w:tcPr>
            <w:tcW w:w="735" w:type="pct"/>
          </w:tcPr>
          <w:p w14:paraId="7AB5EDED" w14:textId="31F57FEE" w:rsidR="001178CC" w:rsidRPr="00A17792" w:rsidRDefault="003B5EEF">
            <w:pPr>
              <w:ind w:left="110" w:hanging="110"/>
              <w:jc w:val="right"/>
              <w:rPr>
                <w:rFonts w:ascii="Arial" w:hAnsi="Arial" w:cs="Arial"/>
                <w:lang w:val="it-IT"/>
              </w:rPr>
            </w:pPr>
            <w:r w:rsidRPr="00A17792">
              <w:rPr>
                <w:rFonts w:ascii="Arial" w:hAnsi="Arial" w:cs="Arial"/>
                <w:lang w:val="it-IT"/>
              </w:rPr>
              <w:t>+</w:t>
            </w:r>
            <w:r w:rsidR="00A17792" w:rsidRPr="00925EFB">
              <w:rPr>
                <w:rFonts w:ascii="Arial" w:hAnsi="Arial" w:cs="Arial"/>
                <w:lang w:val="it-IT"/>
              </w:rPr>
              <w:t>1</w:t>
            </w:r>
            <w:r w:rsidRPr="00A17792">
              <w:rPr>
                <w:rFonts w:ascii="Arial" w:hAnsi="Arial" w:cs="Arial"/>
                <w:lang w:val="it-IT"/>
              </w:rPr>
              <w:t>.3%</w:t>
            </w:r>
            <w:r w:rsidR="007F4EF6" w:rsidRPr="00A17792">
              <w:rPr>
                <w:rFonts w:ascii="Arial" w:hAnsi="Arial" w:cs="Arial"/>
                <w:vertAlign w:val="superscript"/>
              </w:rPr>
              <w:t>(</w:t>
            </w:r>
            <w:r w:rsidR="00931630" w:rsidRPr="00925EFB">
              <w:rPr>
                <w:rFonts w:ascii="Arial" w:hAnsi="Arial" w:cs="Arial"/>
                <w:vertAlign w:val="superscript"/>
              </w:rPr>
              <w:t>2</w:t>
            </w:r>
            <w:r w:rsidR="007F4EF6" w:rsidRPr="00A17792">
              <w:rPr>
                <w:rFonts w:ascii="Arial" w:hAnsi="Arial" w:cs="Arial"/>
                <w:vertAlign w:val="superscript"/>
              </w:rPr>
              <w:t>)</w:t>
            </w:r>
          </w:p>
        </w:tc>
      </w:tr>
      <w:tr w:rsidR="001178CC" w:rsidRPr="00931630" w14:paraId="34DEDACB" w14:textId="77777777" w:rsidTr="00FD5A2D">
        <w:tc>
          <w:tcPr>
            <w:tcW w:w="1247" w:type="pct"/>
          </w:tcPr>
          <w:p w14:paraId="2751F07D" w14:textId="77777777" w:rsidR="001178CC" w:rsidRPr="00A17792" w:rsidRDefault="001178CC" w:rsidP="00FD5A2D">
            <w:pPr>
              <w:jc w:val="left"/>
              <w:rPr>
                <w:rFonts w:ascii="Arial" w:hAnsi="Arial" w:cs="Arial"/>
                <w:lang w:val="it-IT"/>
              </w:rPr>
            </w:pPr>
            <w:r w:rsidRPr="00A17792">
              <w:rPr>
                <w:rFonts w:ascii="Arial" w:hAnsi="Arial" w:cs="Arial"/>
                <w:lang w:val="it-IT"/>
              </w:rPr>
              <w:t>Spain</w:t>
            </w:r>
          </w:p>
        </w:tc>
        <w:tc>
          <w:tcPr>
            <w:tcW w:w="792" w:type="pct"/>
          </w:tcPr>
          <w:p w14:paraId="0D83AE66" w14:textId="32399A0A" w:rsidR="001178CC" w:rsidRPr="003B06F1" w:rsidRDefault="00B36454" w:rsidP="00FD5A2D">
            <w:pPr>
              <w:ind w:left="110" w:hanging="110"/>
              <w:jc w:val="right"/>
              <w:rPr>
                <w:rFonts w:ascii="Arial" w:hAnsi="Arial" w:cs="Arial"/>
                <w:lang w:val="it-IT"/>
              </w:rPr>
            </w:pPr>
            <w:r w:rsidRPr="00925EFB">
              <w:rPr>
                <w:rFonts w:ascii="Arial" w:hAnsi="Arial" w:cs="Arial"/>
                <w:lang w:val="it-IT"/>
              </w:rPr>
              <w:t>1,694</w:t>
            </w:r>
          </w:p>
        </w:tc>
        <w:tc>
          <w:tcPr>
            <w:tcW w:w="661" w:type="pct"/>
          </w:tcPr>
          <w:p w14:paraId="0FC6415F" w14:textId="77777777" w:rsidR="001178CC" w:rsidRPr="00CB4056" w:rsidRDefault="001178CC" w:rsidP="00FD5A2D">
            <w:pPr>
              <w:ind w:left="110" w:hanging="110"/>
              <w:jc w:val="right"/>
              <w:rPr>
                <w:rFonts w:ascii="Arial" w:hAnsi="Arial" w:cs="Arial"/>
                <w:lang w:val="it-IT"/>
              </w:rPr>
            </w:pPr>
            <w:r w:rsidRPr="00CB4056">
              <w:rPr>
                <w:rFonts w:ascii="Arial" w:hAnsi="Arial" w:cs="Arial"/>
                <w:lang w:val="it-IT"/>
              </w:rPr>
              <w:t>29</w:t>
            </w:r>
          </w:p>
        </w:tc>
        <w:tc>
          <w:tcPr>
            <w:tcW w:w="830" w:type="pct"/>
          </w:tcPr>
          <w:p w14:paraId="43C68379" w14:textId="66D73D88" w:rsidR="001178CC" w:rsidRPr="00A17792" w:rsidRDefault="00CB4056" w:rsidP="00FD5A2D">
            <w:pPr>
              <w:ind w:left="110" w:hanging="110"/>
              <w:jc w:val="right"/>
              <w:rPr>
                <w:rFonts w:ascii="Arial" w:hAnsi="Arial" w:cs="Arial"/>
                <w:lang w:val="it-IT"/>
              </w:rPr>
            </w:pPr>
            <w:r w:rsidRPr="00925EFB">
              <w:rPr>
                <w:rFonts w:ascii="Arial" w:hAnsi="Arial" w:cs="Arial"/>
                <w:lang w:val="it-IT"/>
              </w:rPr>
              <w:t>182</w:t>
            </w:r>
          </w:p>
        </w:tc>
        <w:tc>
          <w:tcPr>
            <w:tcW w:w="735" w:type="pct"/>
          </w:tcPr>
          <w:p w14:paraId="31AE8802" w14:textId="77777777" w:rsidR="001178CC" w:rsidRPr="00A17792" w:rsidRDefault="001178CC" w:rsidP="00FD5A2D">
            <w:pPr>
              <w:ind w:left="110" w:hanging="110"/>
              <w:jc w:val="right"/>
              <w:rPr>
                <w:rFonts w:ascii="Arial" w:hAnsi="Arial" w:cs="Arial"/>
                <w:lang w:val="it-IT"/>
              </w:rPr>
            </w:pPr>
            <w:r w:rsidRPr="00A17792">
              <w:rPr>
                <w:rFonts w:ascii="Arial" w:hAnsi="Arial" w:cs="Arial"/>
                <w:lang w:val="it-IT"/>
              </w:rPr>
              <w:t>-</w:t>
            </w:r>
          </w:p>
        </w:tc>
        <w:tc>
          <w:tcPr>
            <w:tcW w:w="735" w:type="pct"/>
          </w:tcPr>
          <w:p w14:paraId="0FA48068" w14:textId="77777777" w:rsidR="001178CC" w:rsidRPr="00A17792" w:rsidRDefault="001178CC" w:rsidP="00FD5A2D">
            <w:pPr>
              <w:ind w:left="110" w:hanging="110"/>
              <w:jc w:val="right"/>
              <w:rPr>
                <w:rFonts w:ascii="Arial" w:hAnsi="Arial" w:cs="Arial"/>
                <w:lang w:val="it-IT"/>
              </w:rPr>
            </w:pPr>
            <w:r w:rsidRPr="00A17792">
              <w:rPr>
                <w:rFonts w:ascii="Arial" w:hAnsi="Arial" w:cs="Arial"/>
                <w:lang w:val="it-IT"/>
              </w:rPr>
              <w:t>-</w:t>
            </w:r>
          </w:p>
        </w:tc>
      </w:tr>
      <w:tr w:rsidR="001178CC" w:rsidRPr="00931630" w14:paraId="10D62F9E" w14:textId="77777777" w:rsidTr="00FD5A2D">
        <w:tc>
          <w:tcPr>
            <w:tcW w:w="1247" w:type="pct"/>
            <w:tcBorders>
              <w:bottom w:val="single" w:sz="4" w:space="0" w:color="auto"/>
            </w:tcBorders>
          </w:tcPr>
          <w:p w14:paraId="62D313A0" w14:textId="77777777" w:rsidR="001178CC" w:rsidRPr="00A17792" w:rsidRDefault="001178CC" w:rsidP="00FD5A2D">
            <w:pPr>
              <w:jc w:val="left"/>
              <w:rPr>
                <w:rFonts w:ascii="Arial" w:hAnsi="Arial" w:cs="Arial"/>
                <w:lang w:val="it-IT"/>
              </w:rPr>
            </w:pPr>
            <w:r w:rsidRPr="00A17792">
              <w:rPr>
                <w:rFonts w:ascii="Arial" w:hAnsi="Arial" w:cs="Arial"/>
                <w:lang w:val="it-IT"/>
              </w:rPr>
              <w:t>Screwfix Germany</w:t>
            </w:r>
          </w:p>
        </w:tc>
        <w:tc>
          <w:tcPr>
            <w:tcW w:w="792" w:type="pct"/>
            <w:tcBorders>
              <w:bottom w:val="single" w:sz="4" w:space="0" w:color="auto"/>
            </w:tcBorders>
          </w:tcPr>
          <w:p w14:paraId="56A4BC9D" w14:textId="6A608AAE" w:rsidR="001178CC" w:rsidRPr="003B06F1" w:rsidRDefault="00B36454" w:rsidP="00FD5A2D">
            <w:pPr>
              <w:ind w:left="110" w:hanging="110"/>
              <w:jc w:val="right"/>
              <w:rPr>
                <w:rFonts w:ascii="Arial" w:hAnsi="Arial" w:cs="Arial"/>
                <w:lang w:val="it-IT"/>
              </w:rPr>
            </w:pPr>
            <w:r w:rsidRPr="00925EFB">
              <w:rPr>
                <w:rFonts w:ascii="Arial" w:hAnsi="Arial" w:cs="Arial"/>
                <w:lang w:val="it-IT"/>
              </w:rPr>
              <w:t>127</w:t>
            </w:r>
          </w:p>
        </w:tc>
        <w:tc>
          <w:tcPr>
            <w:tcW w:w="661" w:type="pct"/>
            <w:tcBorders>
              <w:bottom w:val="single" w:sz="4" w:space="0" w:color="auto"/>
            </w:tcBorders>
          </w:tcPr>
          <w:p w14:paraId="08E4A490" w14:textId="14B53438" w:rsidR="001178CC" w:rsidRPr="00CB4056" w:rsidRDefault="00CB4056" w:rsidP="00FD5A2D">
            <w:pPr>
              <w:ind w:left="110" w:hanging="110"/>
              <w:jc w:val="right"/>
              <w:rPr>
                <w:rFonts w:ascii="Arial" w:hAnsi="Arial" w:cs="Arial"/>
                <w:lang w:val="it-IT"/>
              </w:rPr>
            </w:pPr>
            <w:r w:rsidRPr="00925EFB">
              <w:rPr>
                <w:rFonts w:ascii="Arial" w:hAnsi="Arial" w:cs="Arial"/>
                <w:lang w:val="it-IT"/>
              </w:rPr>
              <w:t>12</w:t>
            </w:r>
          </w:p>
        </w:tc>
        <w:tc>
          <w:tcPr>
            <w:tcW w:w="830" w:type="pct"/>
            <w:tcBorders>
              <w:bottom w:val="single" w:sz="4" w:space="0" w:color="auto"/>
            </w:tcBorders>
          </w:tcPr>
          <w:p w14:paraId="4689CD67" w14:textId="190B136E" w:rsidR="001178CC" w:rsidRPr="00A17792" w:rsidRDefault="00CB4056" w:rsidP="00FD5A2D">
            <w:pPr>
              <w:ind w:left="110" w:hanging="110"/>
              <w:jc w:val="right"/>
              <w:rPr>
                <w:rFonts w:ascii="Arial" w:hAnsi="Arial" w:cs="Arial"/>
                <w:lang w:val="it-IT"/>
              </w:rPr>
            </w:pPr>
            <w:r w:rsidRPr="00925EFB">
              <w:rPr>
                <w:rFonts w:ascii="Arial" w:hAnsi="Arial" w:cs="Arial"/>
                <w:lang w:val="it-IT"/>
              </w:rPr>
              <w:t>1</w:t>
            </w:r>
          </w:p>
        </w:tc>
        <w:tc>
          <w:tcPr>
            <w:tcW w:w="735" w:type="pct"/>
            <w:tcBorders>
              <w:bottom w:val="single" w:sz="4" w:space="0" w:color="auto"/>
            </w:tcBorders>
          </w:tcPr>
          <w:p w14:paraId="2F99BEE3" w14:textId="455EC1DC" w:rsidR="001178CC" w:rsidRPr="003170E4" w:rsidRDefault="003170E4" w:rsidP="00FD5A2D">
            <w:pPr>
              <w:ind w:left="110" w:hanging="110"/>
              <w:jc w:val="right"/>
              <w:rPr>
                <w:rFonts w:ascii="Arial" w:hAnsi="Arial" w:cs="Arial"/>
                <w:lang w:val="it-IT"/>
              </w:rPr>
            </w:pPr>
            <w:r w:rsidRPr="0020209B">
              <w:rPr>
                <w:rFonts w:ascii="Arial" w:hAnsi="Arial" w:cs="Arial"/>
                <w:lang w:val="it-IT"/>
              </w:rPr>
              <w:t>9</w:t>
            </w:r>
          </w:p>
        </w:tc>
        <w:tc>
          <w:tcPr>
            <w:tcW w:w="735" w:type="pct"/>
            <w:tcBorders>
              <w:bottom w:val="single" w:sz="4" w:space="0" w:color="auto"/>
            </w:tcBorders>
          </w:tcPr>
          <w:p w14:paraId="383CD578" w14:textId="77777777" w:rsidR="001178CC" w:rsidRPr="003170E4" w:rsidRDefault="001178CC" w:rsidP="00FD5A2D">
            <w:pPr>
              <w:ind w:left="110" w:hanging="110"/>
              <w:jc w:val="right"/>
              <w:rPr>
                <w:rFonts w:ascii="Arial" w:hAnsi="Arial" w:cs="Arial"/>
                <w:lang w:val="it-IT"/>
              </w:rPr>
            </w:pPr>
            <w:r w:rsidRPr="003170E4">
              <w:rPr>
                <w:rFonts w:ascii="Arial" w:hAnsi="Arial" w:cs="Arial"/>
                <w:lang w:val="it-IT"/>
              </w:rPr>
              <w:t>n/a</w:t>
            </w:r>
          </w:p>
        </w:tc>
      </w:tr>
      <w:tr w:rsidR="001178CC" w:rsidRPr="00931630" w14:paraId="263C6D83" w14:textId="77777777" w:rsidTr="00FD5A2D">
        <w:tc>
          <w:tcPr>
            <w:tcW w:w="1247" w:type="pct"/>
            <w:tcBorders>
              <w:top w:val="single" w:sz="4" w:space="0" w:color="auto"/>
              <w:bottom w:val="single" w:sz="4" w:space="0" w:color="auto"/>
            </w:tcBorders>
          </w:tcPr>
          <w:p w14:paraId="03ED7DC5" w14:textId="77777777" w:rsidR="001178CC" w:rsidRPr="00A17792" w:rsidRDefault="001178CC" w:rsidP="00FD5A2D">
            <w:pPr>
              <w:jc w:val="left"/>
              <w:rPr>
                <w:rFonts w:ascii="Arial" w:hAnsi="Arial" w:cs="Arial"/>
                <w:b/>
                <w:bCs/>
              </w:rPr>
            </w:pPr>
            <w:r w:rsidRPr="00A17792">
              <w:rPr>
                <w:rFonts w:ascii="Arial" w:hAnsi="Arial" w:cs="Arial"/>
                <w:b/>
                <w:bCs/>
              </w:rPr>
              <w:t>Other International</w:t>
            </w:r>
          </w:p>
        </w:tc>
        <w:tc>
          <w:tcPr>
            <w:tcW w:w="792" w:type="pct"/>
            <w:tcBorders>
              <w:top w:val="single" w:sz="4" w:space="0" w:color="auto"/>
              <w:bottom w:val="single" w:sz="4" w:space="0" w:color="auto"/>
            </w:tcBorders>
          </w:tcPr>
          <w:p w14:paraId="48FE98FA" w14:textId="4E0011A2" w:rsidR="001178CC" w:rsidRPr="003B06F1" w:rsidRDefault="00B36454" w:rsidP="00FD5A2D">
            <w:pPr>
              <w:ind w:left="110" w:hanging="110"/>
              <w:jc w:val="right"/>
              <w:rPr>
                <w:rFonts w:ascii="Arial" w:hAnsi="Arial" w:cs="Arial"/>
                <w:b/>
                <w:bCs/>
              </w:rPr>
            </w:pPr>
            <w:r w:rsidRPr="00925EFB">
              <w:rPr>
                <w:rFonts w:ascii="Arial" w:hAnsi="Arial" w:cs="Arial"/>
                <w:b/>
                <w:bCs/>
              </w:rPr>
              <w:t>17,307</w:t>
            </w:r>
          </w:p>
        </w:tc>
        <w:tc>
          <w:tcPr>
            <w:tcW w:w="661" w:type="pct"/>
            <w:tcBorders>
              <w:top w:val="single" w:sz="4" w:space="0" w:color="auto"/>
              <w:bottom w:val="single" w:sz="4" w:space="0" w:color="auto"/>
            </w:tcBorders>
          </w:tcPr>
          <w:p w14:paraId="6A3F8150" w14:textId="764E7654" w:rsidR="001178CC" w:rsidRPr="00CB4056" w:rsidRDefault="00BB38AE" w:rsidP="00FD5A2D">
            <w:pPr>
              <w:ind w:left="110" w:hanging="110"/>
              <w:jc w:val="right"/>
              <w:rPr>
                <w:rFonts w:ascii="Arial" w:hAnsi="Arial" w:cs="Arial"/>
                <w:b/>
                <w:bCs/>
              </w:rPr>
            </w:pPr>
            <w:r>
              <w:rPr>
                <w:rFonts w:ascii="Arial" w:hAnsi="Arial" w:cs="Arial"/>
                <w:b/>
                <w:bCs/>
              </w:rPr>
              <w:t>152</w:t>
            </w:r>
          </w:p>
        </w:tc>
        <w:tc>
          <w:tcPr>
            <w:tcW w:w="830" w:type="pct"/>
            <w:tcBorders>
              <w:top w:val="single" w:sz="4" w:space="0" w:color="auto"/>
              <w:bottom w:val="single" w:sz="4" w:space="0" w:color="auto"/>
            </w:tcBorders>
          </w:tcPr>
          <w:p w14:paraId="2150D9BE" w14:textId="1B610829" w:rsidR="001178CC" w:rsidRPr="00A17792" w:rsidRDefault="00A17792" w:rsidP="00D23E41">
            <w:pPr>
              <w:ind w:left="110" w:hanging="110"/>
              <w:jc w:val="right"/>
              <w:rPr>
                <w:rFonts w:ascii="Arial" w:hAnsi="Arial" w:cs="Arial"/>
                <w:b/>
                <w:bCs/>
              </w:rPr>
            </w:pPr>
            <w:r w:rsidRPr="00925EFB">
              <w:rPr>
                <w:rFonts w:ascii="Arial" w:hAnsi="Arial" w:cs="Arial"/>
                <w:b/>
                <w:bCs/>
              </w:rPr>
              <w:t>1,13</w:t>
            </w:r>
            <w:r w:rsidR="00106BDC">
              <w:rPr>
                <w:rFonts w:ascii="Arial" w:hAnsi="Arial" w:cs="Arial"/>
                <w:b/>
                <w:bCs/>
              </w:rPr>
              <w:t>4</w:t>
            </w:r>
          </w:p>
        </w:tc>
        <w:tc>
          <w:tcPr>
            <w:tcW w:w="735" w:type="pct"/>
            <w:tcBorders>
              <w:top w:val="single" w:sz="4" w:space="0" w:color="auto"/>
              <w:bottom w:val="single" w:sz="4" w:space="0" w:color="auto"/>
            </w:tcBorders>
          </w:tcPr>
          <w:p w14:paraId="35BE1548" w14:textId="5F3FDC07" w:rsidR="001178CC" w:rsidRPr="0020209B" w:rsidRDefault="00CB4056" w:rsidP="0025575D">
            <w:pPr>
              <w:ind w:left="110" w:hanging="110"/>
              <w:jc w:val="right"/>
              <w:rPr>
                <w:rFonts w:ascii="Arial" w:hAnsi="Arial" w:cs="Arial"/>
                <w:b/>
                <w:bCs/>
              </w:rPr>
            </w:pPr>
            <w:r w:rsidRPr="0020209B">
              <w:rPr>
                <w:rFonts w:ascii="Arial" w:hAnsi="Arial" w:cs="Arial"/>
                <w:b/>
                <w:bCs/>
              </w:rPr>
              <w:t>1</w:t>
            </w:r>
            <w:r w:rsidR="003170E4" w:rsidRPr="0020209B">
              <w:rPr>
                <w:rFonts w:ascii="Arial" w:hAnsi="Arial" w:cs="Arial"/>
                <w:b/>
                <w:bCs/>
              </w:rPr>
              <w:t>2</w:t>
            </w:r>
          </w:p>
        </w:tc>
        <w:tc>
          <w:tcPr>
            <w:tcW w:w="735" w:type="pct"/>
            <w:tcBorders>
              <w:top w:val="single" w:sz="4" w:space="0" w:color="auto"/>
              <w:bottom w:val="single" w:sz="4" w:space="0" w:color="auto"/>
            </w:tcBorders>
          </w:tcPr>
          <w:p w14:paraId="58433B07" w14:textId="7E375E8C" w:rsidR="001178CC" w:rsidRPr="003170E4" w:rsidRDefault="0041662F" w:rsidP="00FD5A2D">
            <w:pPr>
              <w:ind w:left="110" w:hanging="110"/>
              <w:jc w:val="right"/>
              <w:rPr>
                <w:rFonts w:ascii="Arial" w:hAnsi="Arial" w:cs="Arial"/>
                <w:b/>
                <w:bCs/>
              </w:rPr>
            </w:pPr>
            <w:r w:rsidRPr="003170E4">
              <w:rPr>
                <w:rFonts w:ascii="Arial" w:hAnsi="Arial" w:cs="Arial"/>
                <w:b/>
                <w:bCs/>
              </w:rPr>
              <w:t>+</w:t>
            </w:r>
            <w:r w:rsidR="00087019" w:rsidRPr="003170E4">
              <w:rPr>
                <w:rFonts w:ascii="Arial" w:hAnsi="Arial" w:cs="Arial"/>
                <w:b/>
                <w:bCs/>
              </w:rPr>
              <w:t>2.</w:t>
            </w:r>
            <w:r w:rsidR="0025575D" w:rsidRPr="003170E4">
              <w:rPr>
                <w:rFonts w:ascii="Arial" w:hAnsi="Arial" w:cs="Arial"/>
                <w:b/>
                <w:bCs/>
              </w:rPr>
              <w:t>6</w:t>
            </w:r>
            <w:r w:rsidR="001178CC" w:rsidRPr="003170E4">
              <w:rPr>
                <w:rFonts w:ascii="Arial" w:hAnsi="Arial" w:cs="Arial"/>
                <w:b/>
                <w:bCs/>
              </w:rPr>
              <w:t>%</w:t>
            </w:r>
          </w:p>
        </w:tc>
      </w:tr>
      <w:tr w:rsidR="001178CC" w:rsidRPr="000971B9" w14:paraId="6E94D097" w14:textId="77777777" w:rsidTr="00883882">
        <w:trPr>
          <w:trHeight w:val="185"/>
        </w:trPr>
        <w:tc>
          <w:tcPr>
            <w:tcW w:w="1247" w:type="pct"/>
            <w:tcBorders>
              <w:top w:val="single" w:sz="4" w:space="0" w:color="auto"/>
              <w:bottom w:val="single" w:sz="4" w:space="0" w:color="auto"/>
            </w:tcBorders>
          </w:tcPr>
          <w:p w14:paraId="7741F8A1" w14:textId="78325639" w:rsidR="001178CC" w:rsidRPr="00A17792" w:rsidRDefault="001178CC" w:rsidP="00FD5A2D">
            <w:pPr>
              <w:spacing w:before="100"/>
              <w:ind w:left="108" w:hanging="108"/>
              <w:jc w:val="left"/>
              <w:rPr>
                <w:rFonts w:ascii="Arial" w:hAnsi="Arial" w:cs="Arial"/>
                <w:b/>
                <w:bCs/>
              </w:rPr>
            </w:pPr>
            <w:r w:rsidRPr="00A17792">
              <w:rPr>
                <w:rFonts w:ascii="Arial" w:hAnsi="Arial" w:cs="Arial"/>
                <w:b/>
                <w:bCs/>
              </w:rPr>
              <w:t xml:space="preserve">Total </w:t>
            </w:r>
          </w:p>
        </w:tc>
        <w:tc>
          <w:tcPr>
            <w:tcW w:w="792" w:type="pct"/>
            <w:tcBorders>
              <w:top w:val="single" w:sz="4" w:space="0" w:color="auto"/>
              <w:bottom w:val="single" w:sz="4" w:space="0" w:color="auto"/>
            </w:tcBorders>
          </w:tcPr>
          <w:p w14:paraId="38EC219D" w14:textId="09DAE184" w:rsidR="001178CC" w:rsidRPr="003B06F1" w:rsidRDefault="00B36454" w:rsidP="00FD5A2D">
            <w:pPr>
              <w:spacing w:before="100"/>
              <w:ind w:left="108" w:hanging="108"/>
              <w:jc w:val="right"/>
              <w:rPr>
                <w:rFonts w:ascii="Arial" w:hAnsi="Arial" w:cs="Arial"/>
                <w:b/>
                <w:bCs/>
              </w:rPr>
            </w:pPr>
            <w:r w:rsidRPr="00925EFB">
              <w:rPr>
                <w:rFonts w:ascii="Arial" w:hAnsi="Arial" w:cs="Arial"/>
                <w:b/>
                <w:bCs/>
              </w:rPr>
              <w:t>63,022</w:t>
            </w:r>
          </w:p>
        </w:tc>
        <w:tc>
          <w:tcPr>
            <w:tcW w:w="661" w:type="pct"/>
            <w:tcBorders>
              <w:top w:val="single" w:sz="4" w:space="0" w:color="auto"/>
              <w:bottom w:val="single" w:sz="4" w:space="0" w:color="auto"/>
            </w:tcBorders>
          </w:tcPr>
          <w:p w14:paraId="55D257E1" w14:textId="2D0A464B" w:rsidR="001178CC" w:rsidRPr="00CB4056" w:rsidRDefault="001178CC">
            <w:pPr>
              <w:spacing w:before="100"/>
              <w:ind w:left="108" w:hanging="108"/>
              <w:jc w:val="right"/>
              <w:rPr>
                <w:rFonts w:ascii="Arial" w:hAnsi="Arial" w:cs="Arial"/>
                <w:b/>
                <w:bCs/>
              </w:rPr>
            </w:pPr>
            <w:r w:rsidRPr="00CB4056">
              <w:rPr>
                <w:rFonts w:ascii="Arial" w:hAnsi="Arial" w:cs="Arial"/>
                <w:b/>
                <w:bCs/>
              </w:rPr>
              <w:t>1,</w:t>
            </w:r>
            <w:r w:rsidR="00CB4056">
              <w:rPr>
                <w:rFonts w:ascii="Arial" w:hAnsi="Arial" w:cs="Arial"/>
                <w:b/>
                <w:bCs/>
              </w:rPr>
              <w:t>158</w:t>
            </w:r>
          </w:p>
        </w:tc>
        <w:tc>
          <w:tcPr>
            <w:tcW w:w="830" w:type="pct"/>
            <w:tcBorders>
              <w:top w:val="single" w:sz="4" w:space="0" w:color="auto"/>
              <w:bottom w:val="single" w:sz="4" w:space="0" w:color="auto"/>
            </w:tcBorders>
          </w:tcPr>
          <w:p w14:paraId="01823666" w14:textId="61620582" w:rsidR="001178CC" w:rsidRPr="00A17792" w:rsidRDefault="00A17792">
            <w:pPr>
              <w:spacing w:before="100"/>
              <w:ind w:left="108" w:hanging="108"/>
              <w:jc w:val="right"/>
              <w:rPr>
                <w:rFonts w:ascii="Arial" w:hAnsi="Arial" w:cs="Arial"/>
                <w:b/>
                <w:bCs/>
              </w:rPr>
            </w:pPr>
            <w:r w:rsidRPr="00925EFB">
              <w:rPr>
                <w:rFonts w:ascii="Arial" w:hAnsi="Arial" w:cs="Arial"/>
                <w:b/>
                <w:bCs/>
              </w:rPr>
              <w:t>5,550</w:t>
            </w:r>
          </w:p>
        </w:tc>
        <w:tc>
          <w:tcPr>
            <w:tcW w:w="735" w:type="pct"/>
            <w:tcBorders>
              <w:top w:val="single" w:sz="4" w:space="0" w:color="auto"/>
              <w:bottom w:val="single" w:sz="4" w:space="0" w:color="auto"/>
            </w:tcBorders>
          </w:tcPr>
          <w:p w14:paraId="7B6D8A7E" w14:textId="14069251" w:rsidR="001178CC" w:rsidRPr="0020209B" w:rsidRDefault="00332A96" w:rsidP="00B40E0B">
            <w:pPr>
              <w:spacing w:before="100"/>
              <w:ind w:left="108" w:hanging="108"/>
              <w:jc w:val="right"/>
              <w:rPr>
                <w:rFonts w:ascii="Arial" w:hAnsi="Arial" w:cs="Arial"/>
                <w:b/>
                <w:bCs/>
              </w:rPr>
            </w:pPr>
            <w:r>
              <w:rPr>
                <w:rFonts w:ascii="Arial" w:hAnsi="Arial" w:cs="Arial"/>
                <w:b/>
                <w:bCs/>
              </w:rPr>
              <w:t>3</w:t>
            </w:r>
            <w:r w:rsidR="003170E4" w:rsidRPr="0020209B">
              <w:rPr>
                <w:rFonts w:ascii="Arial" w:hAnsi="Arial" w:cs="Arial"/>
                <w:b/>
                <w:bCs/>
              </w:rPr>
              <w:t>8</w:t>
            </w:r>
          </w:p>
        </w:tc>
        <w:tc>
          <w:tcPr>
            <w:tcW w:w="735" w:type="pct"/>
            <w:tcBorders>
              <w:top w:val="single" w:sz="4" w:space="0" w:color="auto"/>
              <w:bottom w:val="single" w:sz="4" w:space="0" w:color="auto"/>
            </w:tcBorders>
          </w:tcPr>
          <w:p w14:paraId="346700C2" w14:textId="516967F8" w:rsidR="001178CC" w:rsidRPr="003170E4" w:rsidRDefault="002E501D" w:rsidP="00FD5A2D">
            <w:pPr>
              <w:spacing w:before="100"/>
              <w:ind w:left="108" w:hanging="108"/>
              <w:jc w:val="right"/>
              <w:rPr>
                <w:rFonts w:ascii="Arial" w:hAnsi="Arial" w:cs="Arial"/>
                <w:b/>
                <w:bCs/>
              </w:rPr>
            </w:pPr>
            <w:r w:rsidRPr="0020209B">
              <w:rPr>
                <w:rFonts w:ascii="Arial" w:hAnsi="Arial" w:cs="Arial"/>
                <w:b/>
                <w:bCs/>
              </w:rPr>
              <w:t>(</w:t>
            </w:r>
            <w:r w:rsidR="0025575D" w:rsidRPr="0020209B">
              <w:rPr>
                <w:rFonts w:ascii="Arial" w:hAnsi="Arial" w:cs="Arial"/>
                <w:b/>
                <w:bCs/>
              </w:rPr>
              <w:t>2.3</w:t>
            </w:r>
            <w:r w:rsidR="001178CC" w:rsidRPr="0020209B">
              <w:rPr>
                <w:rFonts w:ascii="Arial" w:hAnsi="Arial" w:cs="Arial"/>
                <w:b/>
                <w:bCs/>
              </w:rPr>
              <w:t>)%</w:t>
            </w:r>
          </w:p>
        </w:tc>
      </w:tr>
    </w:tbl>
    <w:p w14:paraId="4E3A71AC" w14:textId="39513963" w:rsidR="00CF487E" w:rsidRDefault="007D43ED" w:rsidP="007D43ED">
      <w:pPr>
        <w:jc w:val="left"/>
        <w:rPr>
          <w:rFonts w:ascii="Arial" w:hAnsi="Arial" w:cs="Arial"/>
          <w:sz w:val="18"/>
          <w:szCs w:val="18"/>
        </w:rPr>
      </w:pPr>
      <w:r w:rsidRPr="00440B16">
        <w:rPr>
          <w:rFonts w:ascii="Arial" w:hAnsi="Arial" w:cs="Arial"/>
          <w:bCs/>
          <w:vertAlign w:val="superscript"/>
        </w:rPr>
        <w:t>(</w:t>
      </w:r>
      <w:r w:rsidR="00931630">
        <w:rPr>
          <w:rFonts w:ascii="Arial" w:hAnsi="Arial" w:cs="Arial"/>
          <w:bCs/>
          <w:vertAlign w:val="superscript"/>
        </w:rPr>
        <w:t>1</w:t>
      </w:r>
      <w:r w:rsidRPr="00440B16">
        <w:rPr>
          <w:rFonts w:ascii="Arial" w:hAnsi="Arial" w:cs="Arial"/>
          <w:bCs/>
          <w:vertAlign w:val="superscript"/>
        </w:rPr>
        <w:t xml:space="preserve">) </w:t>
      </w:r>
      <w:r w:rsidRPr="00440B16">
        <w:rPr>
          <w:rFonts w:ascii="Arial" w:hAnsi="Arial" w:cs="Arial"/>
          <w:sz w:val="18"/>
          <w:szCs w:val="18"/>
        </w:rPr>
        <w:t>Screwfix sales area relates to the front of counter area of an outlet</w:t>
      </w:r>
    </w:p>
    <w:p w14:paraId="5A39DB89" w14:textId="7C134B53" w:rsidR="007F4EF6" w:rsidRPr="009B2EEF" w:rsidRDefault="007F4EF6" w:rsidP="007D43ED">
      <w:pPr>
        <w:jc w:val="left"/>
        <w:rPr>
          <w:rFonts w:ascii="Arial" w:hAnsi="Arial" w:cs="Arial"/>
          <w:sz w:val="18"/>
          <w:szCs w:val="18"/>
        </w:rPr>
      </w:pPr>
      <w:r w:rsidRPr="00440B16">
        <w:rPr>
          <w:rFonts w:ascii="Arial" w:hAnsi="Arial" w:cs="Arial"/>
          <w:bCs/>
          <w:vertAlign w:val="superscript"/>
        </w:rPr>
        <w:t>(</w:t>
      </w:r>
      <w:r w:rsidR="00931630">
        <w:rPr>
          <w:rFonts w:ascii="Arial" w:hAnsi="Arial" w:cs="Arial"/>
          <w:bCs/>
          <w:vertAlign w:val="superscript"/>
        </w:rPr>
        <w:t>2</w:t>
      </w:r>
      <w:r w:rsidRPr="00440B16">
        <w:rPr>
          <w:rFonts w:ascii="Arial" w:hAnsi="Arial" w:cs="Arial"/>
          <w:bCs/>
          <w:vertAlign w:val="superscript"/>
        </w:rPr>
        <w:t>)</w:t>
      </w:r>
      <w:r w:rsidRPr="007F4EF6">
        <w:rPr>
          <w:rFonts w:ascii="Arial" w:hAnsi="Arial" w:cs="Arial"/>
          <w:sz w:val="18"/>
          <w:szCs w:val="18"/>
        </w:rPr>
        <w:t xml:space="preserve"> </w:t>
      </w:r>
      <w:r>
        <w:rPr>
          <w:rFonts w:ascii="Arial" w:hAnsi="Arial" w:cs="Arial"/>
          <w:sz w:val="18"/>
          <w:szCs w:val="18"/>
        </w:rPr>
        <w:t>Includes one closure and one opening</w:t>
      </w:r>
    </w:p>
    <w:p w14:paraId="5294E385" w14:textId="77777777" w:rsidR="007D43ED" w:rsidRPr="0088235B" w:rsidRDefault="007D43ED" w:rsidP="007D43ED">
      <w:pPr>
        <w:pStyle w:val="ListParagraph"/>
        <w:jc w:val="left"/>
        <w:rPr>
          <w:rFonts w:ascii="Arial" w:hAnsi="Arial" w:cs="Arial"/>
          <w:bCs/>
          <w:sz w:val="24"/>
          <w:szCs w:val="24"/>
          <w:highlight w:val="yellow"/>
        </w:rPr>
      </w:pPr>
    </w:p>
    <w:p w14:paraId="71A78488" w14:textId="5E88EF20" w:rsidR="007D43ED" w:rsidRPr="00925EFB" w:rsidRDefault="007D43ED" w:rsidP="00925EFB">
      <w:pPr>
        <w:jc w:val="left"/>
        <w:rPr>
          <w:rFonts w:ascii="Arial" w:hAnsi="Arial" w:cs="Arial"/>
          <w:bCs/>
          <w:sz w:val="24"/>
          <w:szCs w:val="24"/>
        </w:rPr>
      </w:pPr>
      <w:r w:rsidRPr="00925EFB">
        <w:rPr>
          <w:rFonts w:ascii="Arial" w:hAnsi="Arial" w:cs="Arial"/>
          <w:bCs/>
          <w:sz w:val="24"/>
          <w:szCs w:val="24"/>
        </w:rPr>
        <w:t>Income statement:</w:t>
      </w:r>
    </w:p>
    <w:p w14:paraId="75924E69" w14:textId="2A2353EF" w:rsidR="007072BB" w:rsidRDefault="007072BB" w:rsidP="00925EFB">
      <w:pPr>
        <w:pStyle w:val="ListParagraph"/>
        <w:numPr>
          <w:ilvl w:val="0"/>
          <w:numId w:val="4"/>
        </w:numPr>
        <w:jc w:val="left"/>
        <w:rPr>
          <w:rFonts w:ascii="Arial" w:hAnsi="Arial" w:cs="Arial"/>
          <w:bCs/>
          <w:sz w:val="24"/>
          <w:szCs w:val="24"/>
        </w:rPr>
      </w:pPr>
      <w:r>
        <w:rPr>
          <w:rFonts w:ascii="Arial" w:hAnsi="Arial" w:cs="Arial"/>
          <w:bCs/>
          <w:sz w:val="24"/>
          <w:szCs w:val="24"/>
        </w:rPr>
        <w:t>Underlying profit expected to include up to c.£</w:t>
      </w:r>
      <w:r w:rsidR="00DC0114">
        <w:rPr>
          <w:rFonts w:ascii="Arial" w:hAnsi="Arial" w:cs="Arial"/>
          <w:bCs/>
          <w:sz w:val="24"/>
          <w:szCs w:val="24"/>
        </w:rPr>
        <w:t>25</w:t>
      </w:r>
      <w:r>
        <w:rPr>
          <w:rFonts w:ascii="Arial" w:hAnsi="Arial" w:cs="Arial"/>
          <w:bCs/>
          <w:sz w:val="24"/>
          <w:szCs w:val="24"/>
        </w:rPr>
        <w:t>m operational efficiency benefits</w:t>
      </w:r>
    </w:p>
    <w:p w14:paraId="2207BFC2" w14:textId="7005CC5B" w:rsidR="000E51EF" w:rsidRDefault="000E51EF" w:rsidP="00925EFB">
      <w:pPr>
        <w:pStyle w:val="ListParagraph"/>
        <w:numPr>
          <w:ilvl w:val="0"/>
          <w:numId w:val="4"/>
        </w:numPr>
        <w:jc w:val="left"/>
        <w:rPr>
          <w:rFonts w:ascii="Arial" w:hAnsi="Arial" w:cs="Arial"/>
          <w:bCs/>
          <w:sz w:val="24"/>
          <w:szCs w:val="24"/>
        </w:rPr>
      </w:pPr>
      <w:r>
        <w:rPr>
          <w:rFonts w:ascii="Arial" w:hAnsi="Arial" w:cs="Arial"/>
          <w:bCs/>
          <w:sz w:val="24"/>
          <w:szCs w:val="24"/>
        </w:rPr>
        <w:t>Transformation P&amp;L costs of £220</w:t>
      </w:r>
      <w:r w:rsidR="001D11D3">
        <w:rPr>
          <w:rFonts w:ascii="Arial" w:hAnsi="Arial" w:cs="Arial"/>
          <w:bCs/>
          <w:sz w:val="24"/>
          <w:szCs w:val="24"/>
        </w:rPr>
        <w:t>m</w:t>
      </w:r>
      <w:r>
        <w:rPr>
          <w:rFonts w:ascii="Arial" w:hAnsi="Arial" w:cs="Arial"/>
          <w:bCs/>
          <w:sz w:val="24"/>
          <w:szCs w:val="24"/>
        </w:rPr>
        <w:t xml:space="preserve"> over next five years to be mostly incurred in </w:t>
      </w:r>
      <w:r w:rsidRPr="005709B5">
        <w:rPr>
          <w:rFonts w:ascii="Arial" w:hAnsi="Arial" w:cs="Arial"/>
          <w:bCs/>
          <w:sz w:val="24"/>
          <w:szCs w:val="24"/>
        </w:rPr>
        <w:t xml:space="preserve">first three years (FY 2016/17 expected to be </w:t>
      </w:r>
      <w:r w:rsidR="007072BB" w:rsidRPr="005709B5">
        <w:rPr>
          <w:rFonts w:ascii="Arial" w:hAnsi="Arial" w:cs="Arial"/>
          <w:bCs/>
          <w:sz w:val="24"/>
          <w:szCs w:val="24"/>
        </w:rPr>
        <w:t>c.</w:t>
      </w:r>
      <w:r w:rsidRPr="005709B5">
        <w:rPr>
          <w:rFonts w:ascii="Arial" w:hAnsi="Arial" w:cs="Arial"/>
          <w:bCs/>
          <w:sz w:val="24"/>
          <w:szCs w:val="24"/>
        </w:rPr>
        <w:t>£</w:t>
      </w:r>
      <w:r w:rsidR="004F03E8" w:rsidRPr="00925EFB">
        <w:rPr>
          <w:rFonts w:ascii="Arial" w:hAnsi="Arial" w:cs="Arial"/>
          <w:bCs/>
          <w:sz w:val="24"/>
          <w:szCs w:val="24"/>
        </w:rPr>
        <w:t>6</w:t>
      </w:r>
      <w:r w:rsidRPr="005709B5">
        <w:rPr>
          <w:rFonts w:ascii="Arial" w:hAnsi="Arial" w:cs="Arial"/>
          <w:bCs/>
          <w:sz w:val="24"/>
          <w:szCs w:val="24"/>
        </w:rPr>
        <w:t>0</w:t>
      </w:r>
      <w:r w:rsidR="001D11D3">
        <w:rPr>
          <w:rFonts w:ascii="Arial" w:hAnsi="Arial" w:cs="Arial"/>
          <w:bCs/>
          <w:sz w:val="24"/>
          <w:szCs w:val="24"/>
        </w:rPr>
        <w:t>m</w:t>
      </w:r>
      <w:r w:rsidR="00586A6A">
        <w:rPr>
          <w:rFonts w:ascii="Arial" w:hAnsi="Arial" w:cs="Arial"/>
          <w:bCs/>
          <w:sz w:val="24"/>
          <w:szCs w:val="24"/>
        </w:rPr>
        <w:t>, previously c.£70m</w:t>
      </w:r>
      <w:r w:rsidR="001003DE">
        <w:rPr>
          <w:rFonts w:ascii="Arial" w:hAnsi="Arial" w:cs="Arial"/>
          <w:bCs/>
          <w:sz w:val="24"/>
          <w:szCs w:val="24"/>
        </w:rPr>
        <w:t>,</w:t>
      </w:r>
      <w:r w:rsidR="001003DE" w:rsidRPr="001003DE">
        <w:rPr>
          <w:rFonts w:ascii="Arial" w:hAnsi="Arial" w:cs="Arial"/>
          <w:bCs/>
          <w:sz w:val="24"/>
          <w:szCs w:val="24"/>
        </w:rPr>
        <w:t xml:space="preserve"> </w:t>
      </w:r>
      <w:r w:rsidR="001003DE">
        <w:rPr>
          <w:rFonts w:ascii="Arial" w:hAnsi="Arial" w:cs="Arial"/>
          <w:bCs/>
          <w:sz w:val="24"/>
          <w:szCs w:val="24"/>
        </w:rPr>
        <w:t xml:space="preserve">due to phasing of </w:t>
      </w:r>
      <w:r w:rsidR="00E210E8">
        <w:rPr>
          <w:rFonts w:ascii="Arial" w:hAnsi="Arial" w:cs="Arial"/>
          <w:bCs/>
          <w:sz w:val="24"/>
          <w:szCs w:val="24"/>
        </w:rPr>
        <w:t>spend</w:t>
      </w:r>
      <w:r w:rsidRPr="005709B5">
        <w:rPr>
          <w:rFonts w:ascii="Arial" w:hAnsi="Arial" w:cs="Arial"/>
          <w:bCs/>
          <w:sz w:val="24"/>
          <w:szCs w:val="24"/>
        </w:rPr>
        <w:t>)</w:t>
      </w:r>
    </w:p>
    <w:p w14:paraId="1E542F79" w14:textId="05FBF149" w:rsidR="000E51EF" w:rsidRPr="00925EFB" w:rsidRDefault="000E51EF" w:rsidP="00925EFB">
      <w:pPr>
        <w:pStyle w:val="ListParagraph"/>
        <w:numPr>
          <w:ilvl w:val="0"/>
          <w:numId w:val="4"/>
        </w:numPr>
        <w:jc w:val="left"/>
        <w:rPr>
          <w:rFonts w:ascii="Arial" w:hAnsi="Arial" w:cs="Arial"/>
          <w:bCs/>
          <w:sz w:val="24"/>
          <w:szCs w:val="24"/>
        </w:rPr>
      </w:pPr>
      <w:r w:rsidRPr="005709B5">
        <w:rPr>
          <w:rFonts w:ascii="Arial" w:hAnsi="Arial" w:cs="Arial"/>
          <w:bCs/>
          <w:sz w:val="24"/>
          <w:szCs w:val="24"/>
        </w:rPr>
        <w:t>Transformation exceptional costs of £270</w:t>
      </w:r>
      <w:r w:rsidR="001D11D3">
        <w:rPr>
          <w:rFonts w:ascii="Arial" w:hAnsi="Arial" w:cs="Arial"/>
          <w:bCs/>
          <w:sz w:val="24"/>
          <w:szCs w:val="24"/>
        </w:rPr>
        <w:t>m</w:t>
      </w:r>
      <w:r w:rsidRPr="005709B5">
        <w:rPr>
          <w:rFonts w:ascii="Arial" w:hAnsi="Arial" w:cs="Arial"/>
          <w:bCs/>
          <w:sz w:val="24"/>
          <w:szCs w:val="24"/>
        </w:rPr>
        <w:t xml:space="preserve"> over next five years to be mostly incurred in first three years (FY 2016/17 </w:t>
      </w:r>
      <w:r w:rsidR="00791A78">
        <w:rPr>
          <w:rFonts w:ascii="Arial" w:hAnsi="Arial" w:cs="Arial"/>
          <w:bCs/>
          <w:sz w:val="24"/>
          <w:szCs w:val="24"/>
        </w:rPr>
        <w:t xml:space="preserve">transformation </w:t>
      </w:r>
      <w:r w:rsidR="00AC2B0B">
        <w:rPr>
          <w:rFonts w:ascii="Arial" w:hAnsi="Arial" w:cs="Arial"/>
          <w:bCs/>
          <w:sz w:val="24"/>
          <w:szCs w:val="24"/>
        </w:rPr>
        <w:t xml:space="preserve">exceptional costs </w:t>
      </w:r>
      <w:r w:rsidRPr="005709B5">
        <w:rPr>
          <w:rFonts w:ascii="Arial" w:hAnsi="Arial" w:cs="Arial"/>
          <w:bCs/>
          <w:sz w:val="24"/>
          <w:szCs w:val="24"/>
        </w:rPr>
        <w:t xml:space="preserve">expected to be </w:t>
      </w:r>
      <w:r w:rsidR="00241539">
        <w:rPr>
          <w:rFonts w:ascii="Arial" w:hAnsi="Arial" w:cs="Arial"/>
          <w:bCs/>
          <w:sz w:val="24"/>
          <w:szCs w:val="24"/>
        </w:rPr>
        <w:t xml:space="preserve">up to </w:t>
      </w:r>
      <w:r w:rsidRPr="005709B5">
        <w:rPr>
          <w:rFonts w:ascii="Arial" w:hAnsi="Arial" w:cs="Arial"/>
          <w:bCs/>
          <w:sz w:val="24"/>
          <w:szCs w:val="24"/>
        </w:rPr>
        <w:t>£</w:t>
      </w:r>
      <w:r w:rsidR="005709B5">
        <w:rPr>
          <w:rFonts w:ascii="Arial" w:hAnsi="Arial" w:cs="Arial"/>
          <w:bCs/>
          <w:sz w:val="24"/>
          <w:szCs w:val="24"/>
        </w:rPr>
        <w:t>1</w:t>
      </w:r>
      <w:r w:rsidRPr="005709B5">
        <w:rPr>
          <w:rFonts w:ascii="Arial" w:hAnsi="Arial" w:cs="Arial"/>
          <w:bCs/>
          <w:sz w:val="24"/>
          <w:szCs w:val="24"/>
        </w:rPr>
        <w:t>0m</w:t>
      </w:r>
      <w:r w:rsidR="001003DE">
        <w:rPr>
          <w:rFonts w:ascii="Arial" w:hAnsi="Arial" w:cs="Arial"/>
          <w:bCs/>
          <w:sz w:val="24"/>
          <w:szCs w:val="24"/>
        </w:rPr>
        <w:t>, previously c.£50m</w:t>
      </w:r>
      <w:r w:rsidR="00E210E8">
        <w:rPr>
          <w:rFonts w:ascii="Arial" w:hAnsi="Arial" w:cs="Arial"/>
          <w:bCs/>
          <w:sz w:val="24"/>
          <w:szCs w:val="24"/>
        </w:rPr>
        <w:t>,</w:t>
      </w:r>
      <w:r w:rsidR="007341CC">
        <w:rPr>
          <w:rFonts w:ascii="Arial" w:hAnsi="Arial" w:cs="Arial"/>
          <w:bCs/>
          <w:sz w:val="24"/>
          <w:szCs w:val="24"/>
        </w:rPr>
        <w:t xml:space="preserve"> </w:t>
      </w:r>
      <w:r w:rsidR="00E210E8" w:rsidRPr="00883882">
        <w:rPr>
          <w:rFonts w:ascii="Arial" w:hAnsi="Arial" w:cs="Arial"/>
          <w:bCs/>
          <w:sz w:val="24"/>
          <w:szCs w:val="24"/>
        </w:rPr>
        <w:t>reflecting</w:t>
      </w:r>
      <w:r w:rsidR="007341CC" w:rsidRPr="00883882">
        <w:rPr>
          <w:rFonts w:ascii="Arial" w:hAnsi="Arial" w:cs="Arial"/>
          <w:bCs/>
          <w:sz w:val="24"/>
          <w:szCs w:val="24"/>
        </w:rPr>
        <w:t xml:space="preserve"> lower </w:t>
      </w:r>
      <w:r w:rsidR="00241697" w:rsidRPr="00883882">
        <w:rPr>
          <w:rFonts w:ascii="Arial" w:hAnsi="Arial" w:cs="Arial"/>
          <w:bCs/>
          <w:sz w:val="24"/>
          <w:szCs w:val="24"/>
        </w:rPr>
        <w:t xml:space="preserve">initial </w:t>
      </w:r>
      <w:r w:rsidR="006058FA">
        <w:rPr>
          <w:rFonts w:ascii="Arial" w:hAnsi="Arial" w:cs="Arial"/>
          <w:bCs/>
          <w:sz w:val="24"/>
          <w:szCs w:val="24"/>
        </w:rPr>
        <w:t xml:space="preserve">reorganisation </w:t>
      </w:r>
      <w:r w:rsidR="007341CC" w:rsidRPr="00883882">
        <w:rPr>
          <w:rFonts w:ascii="Arial" w:hAnsi="Arial" w:cs="Arial"/>
          <w:bCs/>
          <w:sz w:val="24"/>
          <w:szCs w:val="24"/>
        </w:rPr>
        <w:t>costs</w:t>
      </w:r>
      <w:r w:rsidRPr="00883882">
        <w:rPr>
          <w:rFonts w:ascii="Arial" w:hAnsi="Arial" w:cs="Arial"/>
          <w:bCs/>
          <w:sz w:val="24"/>
          <w:szCs w:val="24"/>
        </w:rPr>
        <w:t>)</w:t>
      </w:r>
    </w:p>
    <w:p w14:paraId="6BFC1AC7" w14:textId="48027C6E" w:rsidR="007D43ED" w:rsidRPr="00440B16" w:rsidRDefault="007D43ED" w:rsidP="00925EFB">
      <w:pPr>
        <w:pStyle w:val="ListParagraph"/>
        <w:numPr>
          <w:ilvl w:val="0"/>
          <w:numId w:val="4"/>
        </w:numPr>
        <w:jc w:val="left"/>
        <w:rPr>
          <w:rFonts w:ascii="Arial" w:hAnsi="Arial" w:cs="Arial"/>
          <w:bCs/>
          <w:sz w:val="24"/>
          <w:szCs w:val="24"/>
        </w:rPr>
      </w:pPr>
      <w:r w:rsidRPr="00440B16">
        <w:rPr>
          <w:rFonts w:ascii="Arial" w:hAnsi="Arial" w:cs="Arial"/>
          <w:bCs/>
          <w:sz w:val="24"/>
          <w:szCs w:val="24"/>
        </w:rPr>
        <w:t xml:space="preserve">Retail losses from new country development activity expected to be </w:t>
      </w:r>
      <w:r w:rsidR="007072BB">
        <w:rPr>
          <w:rFonts w:ascii="Arial" w:hAnsi="Arial" w:cs="Arial"/>
          <w:bCs/>
          <w:sz w:val="24"/>
          <w:szCs w:val="24"/>
        </w:rPr>
        <w:t>c.</w:t>
      </w:r>
      <w:r w:rsidRPr="00440B16">
        <w:rPr>
          <w:rFonts w:ascii="Arial" w:hAnsi="Arial" w:cs="Arial"/>
          <w:bCs/>
          <w:sz w:val="24"/>
          <w:szCs w:val="24"/>
        </w:rPr>
        <w:t>£</w:t>
      </w:r>
      <w:r w:rsidR="00B82D66">
        <w:rPr>
          <w:rFonts w:ascii="Arial" w:hAnsi="Arial" w:cs="Arial"/>
          <w:bCs/>
          <w:sz w:val="24"/>
          <w:szCs w:val="24"/>
        </w:rPr>
        <w:t>20</w:t>
      </w:r>
      <w:r w:rsidR="001D11D3">
        <w:rPr>
          <w:rFonts w:ascii="Arial" w:hAnsi="Arial" w:cs="Arial"/>
          <w:bCs/>
          <w:sz w:val="24"/>
          <w:szCs w:val="24"/>
        </w:rPr>
        <w:t>m</w:t>
      </w:r>
      <w:r w:rsidRPr="00440B16">
        <w:rPr>
          <w:rFonts w:ascii="Arial" w:hAnsi="Arial" w:cs="Arial"/>
          <w:bCs/>
          <w:sz w:val="24"/>
          <w:szCs w:val="24"/>
        </w:rPr>
        <w:t xml:space="preserve"> </w:t>
      </w:r>
      <w:r w:rsidR="00466E20">
        <w:rPr>
          <w:rFonts w:ascii="Arial" w:hAnsi="Arial" w:cs="Arial"/>
          <w:bCs/>
          <w:sz w:val="24"/>
          <w:szCs w:val="24"/>
        </w:rPr>
        <w:t xml:space="preserve">driven by </w:t>
      </w:r>
      <w:r w:rsidR="00B82D66">
        <w:rPr>
          <w:rFonts w:ascii="Arial" w:hAnsi="Arial" w:cs="Arial"/>
          <w:bCs/>
          <w:sz w:val="24"/>
          <w:szCs w:val="24"/>
        </w:rPr>
        <w:t>Screwfix Europe</w:t>
      </w:r>
      <w:r w:rsidR="00461A73">
        <w:rPr>
          <w:rFonts w:ascii="Arial" w:hAnsi="Arial" w:cs="Arial"/>
          <w:bCs/>
          <w:sz w:val="24"/>
          <w:szCs w:val="24"/>
        </w:rPr>
        <w:t>*</w:t>
      </w:r>
    </w:p>
    <w:p w14:paraId="20226EBC" w14:textId="7482D6FF" w:rsidR="007D43ED" w:rsidRPr="00320919" w:rsidRDefault="007D43ED" w:rsidP="00925EFB">
      <w:pPr>
        <w:pStyle w:val="ListParagraph"/>
        <w:numPr>
          <w:ilvl w:val="0"/>
          <w:numId w:val="4"/>
        </w:numPr>
        <w:jc w:val="left"/>
        <w:rPr>
          <w:rFonts w:ascii="Arial" w:hAnsi="Arial" w:cs="Arial"/>
          <w:bCs/>
          <w:sz w:val="24"/>
          <w:szCs w:val="24"/>
        </w:rPr>
      </w:pPr>
      <w:r w:rsidRPr="00320919">
        <w:rPr>
          <w:rFonts w:ascii="Arial" w:hAnsi="Arial" w:cs="Arial"/>
          <w:bCs/>
          <w:sz w:val="24"/>
          <w:szCs w:val="24"/>
        </w:rPr>
        <w:t xml:space="preserve">Group interest charge expected to be </w:t>
      </w:r>
      <w:r w:rsidR="007072BB" w:rsidRPr="00320919">
        <w:rPr>
          <w:rFonts w:ascii="Arial" w:hAnsi="Arial" w:cs="Arial"/>
          <w:bCs/>
          <w:sz w:val="24"/>
          <w:szCs w:val="24"/>
        </w:rPr>
        <w:t>c.</w:t>
      </w:r>
      <w:r w:rsidRPr="00320919">
        <w:rPr>
          <w:rFonts w:ascii="Arial" w:hAnsi="Arial" w:cs="Arial"/>
          <w:bCs/>
          <w:sz w:val="24"/>
          <w:szCs w:val="24"/>
        </w:rPr>
        <w:t>£10</w:t>
      </w:r>
      <w:r w:rsidR="001D11D3">
        <w:rPr>
          <w:rFonts w:ascii="Arial" w:hAnsi="Arial" w:cs="Arial"/>
          <w:bCs/>
          <w:sz w:val="24"/>
          <w:szCs w:val="24"/>
        </w:rPr>
        <w:t>m</w:t>
      </w:r>
      <w:r w:rsidRPr="00320919">
        <w:rPr>
          <w:rFonts w:ascii="Arial" w:hAnsi="Arial" w:cs="Arial"/>
          <w:bCs/>
          <w:sz w:val="24"/>
          <w:szCs w:val="24"/>
        </w:rPr>
        <w:t xml:space="preserve"> </w:t>
      </w:r>
      <w:r w:rsidR="00052C44" w:rsidRPr="00320919">
        <w:rPr>
          <w:rFonts w:ascii="Arial" w:hAnsi="Arial" w:cs="Arial"/>
          <w:bCs/>
          <w:sz w:val="24"/>
          <w:szCs w:val="24"/>
        </w:rPr>
        <w:t>(excluding FFVR</w:t>
      </w:r>
      <w:r w:rsidR="00106BDC">
        <w:rPr>
          <w:rFonts w:ascii="Arial" w:hAnsi="Arial" w:cs="Arial"/>
          <w:bCs/>
          <w:sz w:val="24"/>
          <w:szCs w:val="24"/>
        </w:rPr>
        <w:t>* and exceptionals</w:t>
      </w:r>
      <w:r w:rsidR="00052C44" w:rsidRPr="00320919">
        <w:rPr>
          <w:rFonts w:ascii="Arial" w:hAnsi="Arial" w:cs="Arial"/>
          <w:bCs/>
          <w:sz w:val="24"/>
          <w:szCs w:val="24"/>
        </w:rPr>
        <w:t>)</w:t>
      </w:r>
    </w:p>
    <w:p w14:paraId="63FEE73B" w14:textId="5C43A0D2" w:rsidR="007D43ED" w:rsidRPr="00320919" w:rsidRDefault="00365B2C" w:rsidP="00925EFB">
      <w:pPr>
        <w:pStyle w:val="ListParagraph"/>
        <w:numPr>
          <w:ilvl w:val="0"/>
          <w:numId w:val="4"/>
        </w:numPr>
        <w:jc w:val="left"/>
        <w:rPr>
          <w:rFonts w:ascii="Arial" w:hAnsi="Arial" w:cs="Arial"/>
          <w:bCs/>
          <w:sz w:val="24"/>
          <w:szCs w:val="24"/>
        </w:rPr>
      </w:pPr>
      <w:r>
        <w:rPr>
          <w:rFonts w:ascii="Arial" w:hAnsi="Arial" w:cs="Arial"/>
          <w:bCs/>
          <w:sz w:val="24"/>
          <w:szCs w:val="24"/>
        </w:rPr>
        <w:t>Effective</w:t>
      </w:r>
      <w:r w:rsidRPr="00320919">
        <w:rPr>
          <w:rFonts w:ascii="Arial" w:hAnsi="Arial" w:cs="Arial"/>
          <w:bCs/>
          <w:sz w:val="24"/>
          <w:szCs w:val="24"/>
        </w:rPr>
        <w:t xml:space="preserve"> </w:t>
      </w:r>
      <w:r w:rsidR="007D43ED" w:rsidRPr="00320919">
        <w:rPr>
          <w:rFonts w:ascii="Arial" w:hAnsi="Arial" w:cs="Arial"/>
          <w:bCs/>
          <w:sz w:val="24"/>
          <w:szCs w:val="24"/>
        </w:rPr>
        <w:t>tax rate expected to be around 26%, subject to the blend of profit within the companies</w:t>
      </w:r>
      <w:r w:rsidR="00D23E41" w:rsidRPr="00320919">
        <w:rPr>
          <w:rFonts w:ascii="Arial" w:hAnsi="Arial" w:cs="Arial"/>
          <w:bCs/>
          <w:sz w:val="24"/>
          <w:szCs w:val="24"/>
        </w:rPr>
        <w:t>’</w:t>
      </w:r>
      <w:r w:rsidR="007D43ED" w:rsidRPr="00320919">
        <w:rPr>
          <w:rFonts w:ascii="Arial" w:hAnsi="Arial" w:cs="Arial"/>
          <w:bCs/>
          <w:sz w:val="24"/>
          <w:szCs w:val="24"/>
        </w:rPr>
        <w:t xml:space="preserve"> various jurisdictions </w:t>
      </w:r>
    </w:p>
    <w:p w14:paraId="44F9A078" w14:textId="2D6423E2" w:rsidR="007D43ED" w:rsidRDefault="007D43ED" w:rsidP="00925EFB">
      <w:pPr>
        <w:pStyle w:val="ListParagraph"/>
        <w:numPr>
          <w:ilvl w:val="0"/>
          <w:numId w:val="4"/>
        </w:numPr>
        <w:jc w:val="left"/>
        <w:rPr>
          <w:rFonts w:ascii="Arial" w:hAnsi="Arial" w:cs="Arial"/>
          <w:bCs/>
          <w:sz w:val="24"/>
          <w:szCs w:val="24"/>
        </w:rPr>
      </w:pPr>
      <w:r w:rsidRPr="00320919">
        <w:rPr>
          <w:rFonts w:ascii="Arial" w:hAnsi="Arial" w:cs="Arial"/>
          <w:bCs/>
          <w:sz w:val="24"/>
          <w:szCs w:val="24"/>
        </w:rPr>
        <w:t xml:space="preserve">B&amp;Q closures </w:t>
      </w:r>
      <w:r w:rsidR="00E210E8">
        <w:rPr>
          <w:rFonts w:ascii="Arial" w:hAnsi="Arial" w:cs="Arial"/>
          <w:bCs/>
          <w:sz w:val="24"/>
          <w:szCs w:val="24"/>
        </w:rPr>
        <w:t>-</w:t>
      </w:r>
      <w:r w:rsidRPr="00320919">
        <w:rPr>
          <w:rFonts w:ascii="Arial" w:hAnsi="Arial" w:cs="Arial"/>
          <w:bCs/>
          <w:sz w:val="24"/>
          <w:szCs w:val="24"/>
        </w:rPr>
        <w:t xml:space="preserve"> income statement impact expected to be broadly neutral assuming on average that </w:t>
      </w:r>
      <w:r w:rsidR="002C1B97">
        <w:rPr>
          <w:rFonts w:ascii="Arial" w:hAnsi="Arial" w:cs="Arial"/>
          <w:bCs/>
          <w:sz w:val="24"/>
          <w:szCs w:val="24"/>
        </w:rPr>
        <w:t>around</w:t>
      </w:r>
      <w:r w:rsidRPr="00320919">
        <w:rPr>
          <w:rFonts w:ascii="Arial" w:hAnsi="Arial" w:cs="Arial"/>
          <w:bCs/>
          <w:sz w:val="24"/>
          <w:szCs w:val="24"/>
        </w:rPr>
        <w:t xml:space="preserve"> a third of sales transfer</w:t>
      </w:r>
    </w:p>
    <w:p w14:paraId="277A0997" w14:textId="25645EA6" w:rsidR="00320919" w:rsidRDefault="00320919" w:rsidP="00925EFB">
      <w:pPr>
        <w:pStyle w:val="ListParagraph"/>
        <w:numPr>
          <w:ilvl w:val="0"/>
          <w:numId w:val="4"/>
        </w:numPr>
        <w:jc w:val="left"/>
        <w:rPr>
          <w:rFonts w:ascii="Arial" w:hAnsi="Arial" w:cs="Arial"/>
          <w:bCs/>
          <w:sz w:val="24"/>
          <w:szCs w:val="24"/>
        </w:rPr>
      </w:pPr>
      <w:r>
        <w:rPr>
          <w:rFonts w:ascii="Arial" w:hAnsi="Arial" w:cs="Arial"/>
          <w:bCs/>
          <w:sz w:val="24"/>
          <w:szCs w:val="24"/>
        </w:rPr>
        <w:t>As a result of a change in legislation</w:t>
      </w:r>
      <w:r w:rsidR="00241697">
        <w:rPr>
          <w:rFonts w:ascii="Arial" w:hAnsi="Arial" w:cs="Arial"/>
          <w:bCs/>
          <w:sz w:val="24"/>
          <w:szCs w:val="24"/>
        </w:rPr>
        <w:t xml:space="preserve"> during the year</w:t>
      </w:r>
      <w:r>
        <w:rPr>
          <w:rFonts w:ascii="Arial" w:hAnsi="Arial" w:cs="Arial"/>
          <w:bCs/>
          <w:sz w:val="24"/>
          <w:szCs w:val="24"/>
        </w:rPr>
        <w:t xml:space="preserve"> relating to TASCOM, operatin</w:t>
      </w:r>
      <w:r w:rsidR="001D11D3">
        <w:rPr>
          <w:rFonts w:ascii="Arial" w:hAnsi="Arial" w:cs="Arial"/>
          <w:bCs/>
          <w:sz w:val="24"/>
          <w:szCs w:val="24"/>
        </w:rPr>
        <w:t>g costs increased by £</w:t>
      </w:r>
      <w:r w:rsidR="00D02AC2">
        <w:rPr>
          <w:rFonts w:ascii="Arial" w:hAnsi="Arial" w:cs="Arial"/>
          <w:bCs/>
          <w:sz w:val="24"/>
          <w:szCs w:val="24"/>
        </w:rPr>
        <w:t xml:space="preserve">9m </w:t>
      </w:r>
      <w:r>
        <w:rPr>
          <w:rFonts w:ascii="Arial" w:hAnsi="Arial" w:cs="Arial"/>
          <w:bCs/>
          <w:sz w:val="24"/>
          <w:szCs w:val="24"/>
        </w:rPr>
        <w:t xml:space="preserve">during H1 </w:t>
      </w:r>
      <w:r w:rsidRPr="001335C9">
        <w:rPr>
          <w:rFonts w:ascii="Arial" w:hAnsi="Arial" w:cs="Arial"/>
          <w:bCs/>
          <w:sz w:val="24"/>
          <w:szCs w:val="24"/>
        </w:rPr>
        <w:t>which will be offset by a corresponding reduction in H2, hence not impacting the full year.</w:t>
      </w:r>
      <w:r>
        <w:rPr>
          <w:rFonts w:ascii="Arial" w:hAnsi="Arial" w:cs="Arial"/>
          <w:sz w:val="24"/>
          <w:szCs w:val="24"/>
        </w:rPr>
        <w:t xml:space="preserve"> </w:t>
      </w:r>
      <w:r>
        <w:rPr>
          <w:rFonts w:ascii="Arial" w:hAnsi="Arial" w:cs="Arial"/>
          <w:bCs/>
          <w:sz w:val="24"/>
          <w:szCs w:val="24"/>
        </w:rPr>
        <w:t xml:space="preserve">Comparatives </w:t>
      </w:r>
      <w:r w:rsidR="00241697">
        <w:rPr>
          <w:rFonts w:ascii="Arial" w:hAnsi="Arial" w:cs="Arial"/>
          <w:bCs/>
          <w:sz w:val="24"/>
          <w:szCs w:val="24"/>
        </w:rPr>
        <w:t>are not</w:t>
      </w:r>
      <w:r>
        <w:rPr>
          <w:rFonts w:ascii="Arial" w:hAnsi="Arial" w:cs="Arial"/>
          <w:bCs/>
          <w:sz w:val="24"/>
          <w:szCs w:val="24"/>
        </w:rPr>
        <w:t xml:space="preserve"> restated.</w:t>
      </w:r>
    </w:p>
    <w:p w14:paraId="39810061" w14:textId="77777777" w:rsidR="00320919" w:rsidRPr="00320919" w:rsidRDefault="00320919" w:rsidP="00925EFB">
      <w:pPr>
        <w:pStyle w:val="ListParagraph"/>
        <w:jc w:val="left"/>
        <w:rPr>
          <w:rFonts w:ascii="Arial" w:hAnsi="Arial" w:cs="Arial"/>
          <w:bCs/>
          <w:sz w:val="24"/>
          <w:szCs w:val="24"/>
        </w:rPr>
      </w:pPr>
    </w:p>
    <w:p w14:paraId="3C57D6BC" w14:textId="0C36EDC9" w:rsidR="007D43ED" w:rsidRPr="00925EFB" w:rsidRDefault="007D43ED" w:rsidP="00925EFB">
      <w:pPr>
        <w:jc w:val="left"/>
        <w:rPr>
          <w:rFonts w:ascii="Arial" w:hAnsi="Arial" w:cs="Arial"/>
          <w:bCs/>
          <w:sz w:val="24"/>
          <w:szCs w:val="24"/>
        </w:rPr>
      </w:pPr>
      <w:r w:rsidRPr="00925EFB">
        <w:rPr>
          <w:rFonts w:ascii="Arial" w:hAnsi="Arial" w:cs="Arial"/>
          <w:bCs/>
          <w:sz w:val="24"/>
          <w:szCs w:val="24"/>
        </w:rPr>
        <w:t>Cash flow:</w:t>
      </w:r>
    </w:p>
    <w:p w14:paraId="6CF2B1E5" w14:textId="3A85CB71" w:rsidR="00AD3484" w:rsidRPr="00240F3E" w:rsidRDefault="00AD3484" w:rsidP="00925EFB">
      <w:pPr>
        <w:pStyle w:val="ListParagraph"/>
        <w:numPr>
          <w:ilvl w:val="0"/>
          <w:numId w:val="4"/>
        </w:numPr>
        <w:jc w:val="left"/>
        <w:rPr>
          <w:rFonts w:ascii="Arial" w:hAnsi="Arial" w:cs="Arial"/>
          <w:bCs/>
          <w:sz w:val="24"/>
          <w:szCs w:val="24"/>
        </w:rPr>
      </w:pPr>
      <w:r w:rsidRPr="00AD3484">
        <w:rPr>
          <w:rFonts w:ascii="Arial" w:hAnsi="Arial" w:cs="Arial"/>
          <w:bCs/>
          <w:sz w:val="24"/>
          <w:szCs w:val="24"/>
        </w:rPr>
        <w:t xml:space="preserve">Investing up </w:t>
      </w:r>
      <w:r w:rsidRPr="00C70501">
        <w:rPr>
          <w:rFonts w:ascii="Arial" w:hAnsi="Arial" w:cs="Arial"/>
          <w:bCs/>
          <w:sz w:val="24"/>
          <w:szCs w:val="24"/>
        </w:rPr>
        <w:t xml:space="preserve">to </w:t>
      </w:r>
      <w:r w:rsidRPr="0020209B">
        <w:rPr>
          <w:rFonts w:ascii="Arial" w:hAnsi="Arial" w:cs="Arial"/>
          <w:bCs/>
          <w:sz w:val="24"/>
          <w:szCs w:val="24"/>
        </w:rPr>
        <w:t>c.£450</w:t>
      </w:r>
      <w:r w:rsidR="001D11D3" w:rsidRPr="0020209B">
        <w:rPr>
          <w:rFonts w:ascii="Arial" w:hAnsi="Arial" w:cs="Arial"/>
          <w:bCs/>
          <w:sz w:val="24"/>
          <w:szCs w:val="24"/>
        </w:rPr>
        <w:t>m</w:t>
      </w:r>
      <w:r w:rsidRPr="00C70501">
        <w:rPr>
          <w:rFonts w:ascii="Arial" w:hAnsi="Arial" w:cs="Arial"/>
          <w:bCs/>
          <w:sz w:val="24"/>
          <w:szCs w:val="24"/>
        </w:rPr>
        <w:t xml:space="preserve"> total</w:t>
      </w:r>
      <w:r w:rsidRPr="008B12EA">
        <w:rPr>
          <w:rFonts w:ascii="Arial" w:hAnsi="Arial" w:cs="Arial"/>
          <w:bCs/>
          <w:sz w:val="24"/>
          <w:szCs w:val="24"/>
        </w:rPr>
        <w:t xml:space="preserve"> capex for</w:t>
      </w:r>
      <w:r w:rsidRPr="00AD3484">
        <w:rPr>
          <w:rFonts w:ascii="Arial" w:hAnsi="Arial" w:cs="Arial"/>
          <w:bCs/>
          <w:sz w:val="24"/>
          <w:szCs w:val="24"/>
        </w:rPr>
        <w:t xml:space="preserve"> FY 2016/17 (includes B</w:t>
      </w:r>
      <w:r>
        <w:rPr>
          <w:rFonts w:ascii="Arial" w:hAnsi="Arial" w:cs="Arial"/>
          <w:bCs/>
          <w:sz w:val="24"/>
          <w:szCs w:val="24"/>
        </w:rPr>
        <w:t>AU and transformation</w:t>
      </w:r>
      <w:r w:rsidRPr="00AD3484">
        <w:rPr>
          <w:rFonts w:ascii="Arial" w:hAnsi="Arial" w:cs="Arial"/>
          <w:bCs/>
          <w:sz w:val="24"/>
          <w:szCs w:val="24"/>
        </w:rPr>
        <w:t>); c.£500m for FY 2017/18 and FY 2018/19</w:t>
      </w:r>
    </w:p>
    <w:p w14:paraId="7100C4D8" w14:textId="5395F355" w:rsidR="007D43ED" w:rsidRDefault="007D43ED" w:rsidP="00925EFB">
      <w:pPr>
        <w:pStyle w:val="ListParagraph"/>
        <w:numPr>
          <w:ilvl w:val="0"/>
          <w:numId w:val="4"/>
        </w:numPr>
        <w:jc w:val="left"/>
        <w:rPr>
          <w:rFonts w:ascii="Arial" w:hAnsi="Arial" w:cs="Arial"/>
          <w:bCs/>
          <w:sz w:val="24"/>
          <w:szCs w:val="24"/>
        </w:rPr>
      </w:pPr>
      <w:r w:rsidRPr="00440B16">
        <w:rPr>
          <w:rFonts w:ascii="Arial" w:hAnsi="Arial" w:cs="Arial"/>
          <w:bCs/>
          <w:sz w:val="24"/>
          <w:szCs w:val="24"/>
        </w:rPr>
        <w:t xml:space="preserve">Capital return of c.£600m </w:t>
      </w:r>
      <w:r w:rsidR="00791A78">
        <w:rPr>
          <w:rFonts w:ascii="Arial" w:hAnsi="Arial" w:cs="Arial"/>
          <w:bCs/>
          <w:sz w:val="24"/>
          <w:szCs w:val="24"/>
        </w:rPr>
        <w:t>by the end of FY 2018/19</w:t>
      </w:r>
      <w:r w:rsidR="00A75E65">
        <w:rPr>
          <w:rFonts w:ascii="Arial" w:hAnsi="Arial" w:cs="Arial"/>
          <w:bCs/>
          <w:sz w:val="24"/>
          <w:szCs w:val="24"/>
        </w:rPr>
        <w:t xml:space="preserve"> </w:t>
      </w:r>
      <w:r w:rsidRPr="00440B16">
        <w:rPr>
          <w:rFonts w:ascii="Arial" w:hAnsi="Arial" w:cs="Arial"/>
          <w:bCs/>
          <w:sz w:val="24"/>
          <w:szCs w:val="24"/>
        </w:rPr>
        <w:t>expected to be via share buyback</w:t>
      </w:r>
      <w:r w:rsidR="00D8346C">
        <w:rPr>
          <w:rFonts w:ascii="Arial" w:hAnsi="Arial" w:cs="Arial"/>
          <w:bCs/>
          <w:sz w:val="24"/>
          <w:szCs w:val="24"/>
        </w:rPr>
        <w:t xml:space="preserve"> </w:t>
      </w:r>
      <w:r w:rsidR="00D8346C" w:rsidRPr="008B12EA">
        <w:rPr>
          <w:rFonts w:ascii="Arial" w:hAnsi="Arial" w:cs="Arial"/>
          <w:bCs/>
          <w:sz w:val="24"/>
          <w:szCs w:val="24"/>
        </w:rPr>
        <w:t>(£</w:t>
      </w:r>
      <w:r w:rsidR="008B12EA" w:rsidRPr="00925EFB">
        <w:rPr>
          <w:rFonts w:ascii="Arial" w:hAnsi="Arial" w:cs="Arial"/>
          <w:bCs/>
          <w:sz w:val="24"/>
          <w:szCs w:val="24"/>
        </w:rPr>
        <w:t>160</w:t>
      </w:r>
      <w:r w:rsidR="001D11D3">
        <w:rPr>
          <w:rFonts w:ascii="Arial" w:hAnsi="Arial" w:cs="Arial"/>
          <w:bCs/>
          <w:sz w:val="24"/>
          <w:szCs w:val="24"/>
        </w:rPr>
        <w:t>m</w:t>
      </w:r>
      <w:r w:rsidR="00D8346C">
        <w:rPr>
          <w:rFonts w:ascii="Arial" w:hAnsi="Arial" w:cs="Arial"/>
          <w:bCs/>
          <w:sz w:val="24"/>
          <w:szCs w:val="24"/>
        </w:rPr>
        <w:t xml:space="preserve"> of shares</w:t>
      </w:r>
      <w:r w:rsidR="00700470">
        <w:rPr>
          <w:rFonts w:ascii="Arial" w:hAnsi="Arial" w:cs="Arial"/>
          <w:bCs/>
          <w:sz w:val="24"/>
          <w:szCs w:val="24"/>
        </w:rPr>
        <w:t xml:space="preserve"> </w:t>
      </w:r>
      <w:r w:rsidR="00700470" w:rsidRPr="00E304FD">
        <w:rPr>
          <w:rFonts w:ascii="Arial" w:hAnsi="Arial" w:cs="Arial"/>
          <w:bCs/>
          <w:sz w:val="24"/>
          <w:szCs w:val="24"/>
        </w:rPr>
        <w:t>(</w:t>
      </w:r>
      <w:r w:rsidR="00097698" w:rsidRPr="00E304FD">
        <w:rPr>
          <w:rFonts w:ascii="Arial" w:hAnsi="Arial" w:cs="Arial"/>
          <w:bCs/>
          <w:sz w:val="24"/>
          <w:szCs w:val="24"/>
        </w:rPr>
        <w:t>47m</w:t>
      </w:r>
      <w:r w:rsidR="00700470" w:rsidRPr="00E304FD">
        <w:rPr>
          <w:rFonts w:ascii="Arial" w:hAnsi="Arial" w:cs="Arial"/>
          <w:bCs/>
          <w:sz w:val="24"/>
          <w:szCs w:val="24"/>
        </w:rPr>
        <w:t xml:space="preserve"> shares)</w:t>
      </w:r>
      <w:r w:rsidR="00D8346C">
        <w:rPr>
          <w:rFonts w:ascii="Arial" w:hAnsi="Arial" w:cs="Arial"/>
          <w:bCs/>
          <w:sz w:val="24"/>
          <w:szCs w:val="24"/>
        </w:rPr>
        <w:t xml:space="preserve"> repurchased year </w:t>
      </w:r>
      <w:r w:rsidR="00241697">
        <w:rPr>
          <w:rFonts w:ascii="Arial" w:hAnsi="Arial" w:cs="Arial"/>
          <w:bCs/>
          <w:sz w:val="24"/>
          <w:szCs w:val="24"/>
        </w:rPr>
        <w:t>to date</w:t>
      </w:r>
      <w:r w:rsidR="00D8346C">
        <w:rPr>
          <w:rFonts w:ascii="Arial" w:hAnsi="Arial" w:cs="Arial"/>
          <w:bCs/>
          <w:sz w:val="24"/>
          <w:szCs w:val="24"/>
        </w:rPr>
        <w:t>)</w:t>
      </w:r>
    </w:p>
    <w:p w14:paraId="6F63BD57" w14:textId="4E95A746" w:rsidR="00773A54" w:rsidRPr="000971B9" w:rsidRDefault="007D43ED" w:rsidP="00773A54">
      <w:pPr>
        <w:jc w:val="left"/>
        <w:rPr>
          <w:rFonts w:ascii="Arial" w:hAnsi="Arial" w:cs="Arial"/>
          <w:sz w:val="24"/>
          <w:szCs w:val="24"/>
        </w:rPr>
      </w:pPr>
      <w:r w:rsidRPr="00376C53">
        <w:rPr>
          <w:rFonts w:ascii="Arial" w:hAnsi="Arial" w:cs="Arial"/>
          <w:b/>
          <w:bCs/>
          <w:color w:val="FF0000"/>
          <w:sz w:val="24"/>
          <w:szCs w:val="24"/>
        </w:rPr>
        <w:br w:type="page"/>
      </w:r>
      <w:r w:rsidR="00773A54" w:rsidRPr="000971B9">
        <w:rPr>
          <w:rFonts w:ascii="Arial" w:hAnsi="Arial" w:cs="Arial"/>
          <w:b/>
          <w:bCs/>
          <w:sz w:val="24"/>
          <w:szCs w:val="24"/>
        </w:rPr>
        <w:lastRenderedPageBreak/>
        <w:t xml:space="preserve">Section </w:t>
      </w:r>
      <w:r w:rsidR="00773A54">
        <w:rPr>
          <w:rFonts w:ascii="Arial" w:hAnsi="Arial" w:cs="Arial"/>
          <w:b/>
          <w:bCs/>
          <w:sz w:val="24"/>
          <w:szCs w:val="24"/>
        </w:rPr>
        <w:t>4</w:t>
      </w:r>
      <w:r w:rsidR="00773A54" w:rsidRPr="000971B9">
        <w:rPr>
          <w:rFonts w:ascii="Arial" w:hAnsi="Arial" w:cs="Arial"/>
          <w:b/>
          <w:bCs/>
          <w:sz w:val="24"/>
          <w:szCs w:val="24"/>
        </w:rPr>
        <w:t xml:space="preserve">: </w:t>
      </w:r>
      <w:r w:rsidR="00773A54">
        <w:rPr>
          <w:rFonts w:ascii="Arial" w:hAnsi="Arial" w:cs="Arial"/>
          <w:b/>
          <w:bCs/>
          <w:sz w:val="24"/>
          <w:szCs w:val="24"/>
        </w:rPr>
        <w:t xml:space="preserve">HY 2016/17 </w:t>
      </w:r>
      <w:r w:rsidR="00773A54" w:rsidRPr="000971B9">
        <w:rPr>
          <w:rFonts w:ascii="Arial" w:hAnsi="Arial" w:cs="Arial"/>
          <w:b/>
          <w:bCs/>
          <w:sz w:val="24"/>
          <w:szCs w:val="24"/>
        </w:rPr>
        <w:t>F</w:t>
      </w:r>
      <w:r w:rsidR="00773A54">
        <w:rPr>
          <w:rFonts w:ascii="Arial" w:hAnsi="Arial" w:cs="Arial"/>
          <w:b/>
          <w:bCs/>
          <w:sz w:val="24"/>
          <w:szCs w:val="24"/>
        </w:rPr>
        <w:t xml:space="preserve">inancial </w:t>
      </w:r>
      <w:r w:rsidR="007341CC">
        <w:rPr>
          <w:rFonts w:ascii="Arial" w:hAnsi="Arial" w:cs="Arial"/>
          <w:b/>
          <w:bCs/>
          <w:sz w:val="24"/>
          <w:szCs w:val="24"/>
        </w:rPr>
        <w:t>r</w:t>
      </w:r>
      <w:r w:rsidR="00773A54">
        <w:rPr>
          <w:rFonts w:ascii="Arial" w:hAnsi="Arial" w:cs="Arial"/>
          <w:b/>
          <w:bCs/>
          <w:sz w:val="24"/>
          <w:szCs w:val="24"/>
        </w:rPr>
        <w:t xml:space="preserve">eview </w:t>
      </w:r>
    </w:p>
    <w:p w14:paraId="6063968F" w14:textId="77777777" w:rsidR="00773A54" w:rsidRPr="000971B9" w:rsidRDefault="00773A54" w:rsidP="00773A54">
      <w:pPr>
        <w:tabs>
          <w:tab w:val="right" w:pos="9356"/>
        </w:tabs>
        <w:rPr>
          <w:rFonts w:ascii="Arial" w:hAnsi="Arial" w:cs="Arial"/>
          <w:b/>
          <w:i/>
          <w:sz w:val="24"/>
          <w:szCs w:val="24"/>
        </w:rPr>
      </w:pPr>
    </w:p>
    <w:p w14:paraId="6793D1C6" w14:textId="75C61F4B" w:rsidR="00773A54" w:rsidRDefault="00773A54" w:rsidP="00773A54">
      <w:pPr>
        <w:jc w:val="left"/>
        <w:rPr>
          <w:rFonts w:ascii="Arial" w:hAnsi="Arial" w:cs="Arial"/>
          <w:sz w:val="24"/>
          <w:szCs w:val="24"/>
        </w:rPr>
      </w:pPr>
      <w:r w:rsidRPr="00C82F88">
        <w:rPr>
          <w:rFonts w:ascii="Arial" w:hAnsi="Arial" w:cs="Arial" w:hint="eastAsia"/>
          <w:sz w:val="24"/>
          <w:szCs w:val="24"/>
        </w:rPr>
        <w:t xml:space="preserve">A summary of the reported financial results for the </w:t>
      </w:r>
      <w:r w:rsidR="009E70F6">
        <w:rPr>
          <w:rFonts w:ascii="Arial" w:hAnsi="Arial" w:cs="Arial"/>
          <w:sz w:val="24"/>
          <w:szCs w:val="24"/>
        </w:rPr>
        <w:t xml:space="preserve">half </w:t>
      </w:r>
      <w:r>
        <w:rPr>
          <w:rFonts w:ascii="Arial" w:hAnsi="Arial" w:cs="Arial"/>
          <w:sz w:val="24"/>
          <w:szCs w:val="24"/>
        </w:rPr>
        <w:t>year</w:t>
      </w:r>
      <w:r w:rsidRPr="00C82F88">
        <w:rPr>
          <w:rFonts w:ascii="Arial" w:hAnsi="Arial" w:cs="Arial" w:hint="eastAsia"/>
          <w:sz w:val="24"/>
          <w:szCs w:val="24"/>
        </w:rPr>
        <w:t xml:space="preserve"> ended </w:t>
      </w:r>
      <w:r>
        <w:rPr>
          <w:rFonts w:ascii="Arial" w:hAnsi="Arial" w:cs="Arial"/>
          <w:sz w:val="24"/>
          <w:szCs w:val="24"/>
        </w:rPr>
        <w:t>31 July</w:t>
      </w:r>
      <w:r w:rsidRPr="00C82F88">
        <w:rPr>
          <w:rFonts w:ascii="Arial" w:hAnsi="Arial" w:cs="Arial" w:hint="eastAsia"/>
          <w:sz w:val="24"/>
          <w:szCs w:val="24"/>
        </w:rPr>
        <w:t xml:space="preserve"> 201</w:t>
      </w:r>
      <w:r>
        <w:rPr>
          <w:rFonts w:ascii="Arial" w:hAnsi="Arial" w:cs="Arial"/>
          <w:sz w:val="24"/>
          <w:szCs w:val="24"/>
        </w:rPr>
        <w:t>6</w:t>
      </w:r>
      <w:r w:rsidRPr="00C82F88">
        <w:rPr>
          <w:rFonts w:ascii="Arial" w:hAnsi="Arial" w:cs="Arial" w:hint="eastAsia"/>
          <w:sz w:val="24"/>
          <w:szCs w:val="24"/>
        </w:rPr>
        <w:t xml:space="preserve"> is set out below:</w:t>
      </w:r>
    </w:p>
    <w:tbl>
      <w:tblPr>
        <w:tblW w:w="5147" w:type="pct"/>
        <w:tblLayout w:type="fixed"/>
        <w:tblLook w:val="01E0" w:firstRow="1" w:lastRow="1" w:firstColumn="1" w:lastColumn="1" w:noHBand="0" w:noVBand="0"/>
      </w:tblPr>
      <w:tblGrid>
        <w:gridCol w:w="4111"/>
        <w:gridCol w:w="1560"/>
        <w:gridCol w:w="1417"/>
        <w:gridCol w:w="1391"/>
        <w:gridCol w:w="1445"/>
      </w:tblGrid>
      <w:tr w:rsidR="00773A54" w:rsidRPr="00587A5B" w14:paraId="3426381E" w14:textId="77777777" w:rsidTr="00925EFB">
        <w:tc>
          <w:tcPr>
            <w:tcW w:w="2071" w:type="pct"/>
            <w:tcBorders>
              <w:bottom w:val="single" w:sz="4" w:space="0" w:color="auto"/>
            </w:tcBorders>
            <w:shd w:val="clear" w:color="auto" w:fill="auto"/>
          </w:tcPr>
          <w:p w14:paraId="2CE3935D" w14:textId="77777777" w:rsidR="00773A54" w:rsidRPr="003419F1" w:rsidRDefault="00773A54" w:rsidP="00907EA8">
            <w:pPr>
              <w:rPr>
                <w:rFonts w:ascii="Arial" w:hAnsi="Arial" w:cs="Arial"/>
                <w:sz w:val="24"/>
                <w:szCs w:val="24"/>
              </w:rPr>
            </w:pPr>
          </w:p>
        </w:tc>
        <w:tc>
          <w:tcPr>
            <w:tcW w:w="786" w:type="pct"/>
            <w:tcBorders>
              <w:bottom w:val="single" w:sz="4" w:space="0" w:color="auto"/>
            </w:tcBorders>
            <w:shd w:val="clear" w:color="auto" w:fill="auto"/>
          </w:tcPr>
          <w:p w14:paraId="319928FC" w14:textId="77777777" w:rsidR="00773A54" w:rsidRPr="009E29D6" w:rsidRDefault="00773A54" w:rsidP="00907EA8">
            <w:pPr>
              <w:jc w:val="right"/>
              <w:rPr>
                <w:rFonts w:ascii="Arial" w:hAnsi="Arial" w:cs="Arial"/>
                <w:b/>
                <w:sz w:val="24"/>
                <w:szCs w:val="24"/>
              </w:rPr>
            </w:pPr>
            <w:r>
              <w:rPr>
                <w:rFonts w:ascii="Arial" w:hAnsi="Arial" w:cs="Arial"/>
                <w:b/>
                <w:sz w:val="24"/>
                <w:szCs w:val="24"/>
              </w:rPr>
              <w:t>2016/17</w:t>
            </w:r>
          </w:p>
          <w:p w14:paraId="5BC608FD" w14:textId="77777777" w:rsidR="00773A54" w:rsidRPr="009F642E" w:rsidRDefault="00773A54" w:rsidP="00907EA8">
            <w:pPr>
              <w:jc w:val="right"/>
              <w:rPr>
                <w:rFonts w:ascii="Arial" w:hAnsi="Arial" w:cs="Arial"/>
                <w:b/>
                <w:sz w:val="24"/>
                <w:szCs w:val="24"/>
              </w:rPr>
            </w:pPr>
          </w:p>
        </w:tc>
        <w:tc>
          <w:tcPr>
            <w:tcW w:w="714" w:type="pct"/>
            <w:tcBorders>
              <w:bottom w:val="single" w:sz="4" w:space="0" w:color="auto"/>
            </w:tcBorders>
            <w:shd w:val="clear" w:color="auto" w:fill="auto"/>
          </w:tcPr>
          <w:p w14:paraId="5753A9A6" w14:textId="77777777" w:rsidR="00773A54" w:rsidRPr="00AA4E8D" w:rsidRDefault="00773A54" w:rsidP="00907EA8">
            <w:pPr>
              <w:jc w:val="right"/>
              <w:rPr>
                <w:rFonts w:ascii="Arial" w:hAnsi="Arial" w:cs="Arial"/>
                <w:sz w:val="24"/>
                <w:szCs w:val="24"/>
              </w:rPr>
            </w:pPr>
            <w:r>
              <w:rPr>
                <w:rFonts w:ascii="Arial" w:hAnsi="Arial" w:cs="Arial"/>
                <w:sz w:val="24"/>
                <w:szCs w:val="24"/>
              </w:rPr>
              <w:t>2015/16</w:t>
            </w:r>
          </w:p>
          <w:p w14:paraId="3FA03A0B" w14:textId="77777777" w:rsidR="00773A54" w:rsidRPr="006C57F4" w:rsidRDefault="00773A54" w:rsidP="00907EA8">
            <w:pPr>
              <w:tabs>
                <w:tab w:val="center" w:pos="434"/>
                <w:tab w:val="right" w:pos="869"/>
              </w:tabs>
              <w:jc w:val="right"/>
              <w:rPr>
                <w:rFonts w:ascii="Arial" w:hAnsi="Arial" w:cs="Arial"/>
                <w:sz w:val="24"/>
                <w:szCs w:val="24"/>
              </w:rPr>
            </w:pPr>
          </w:p>
        </w:tc>
        <w:tc>
          <w:tcPr>
            <w:tcW w:w="701" w:type="pct"/>
            <w:tcBorders>
              <w:bottom w:val="single" w:sz="4" w:space="0" w:color="auto"/>
            </w:tcBorders>
          </w:tcPr>
          <w:p w14:paraId="00DF91B0" w14:textId="77777777" w:rsidR="00773A54" w:rsidRDefault="00773A54" w:rsidP="00907EA8">
            <w:pPr>
              <w:jc w:val="right"/>
              <w:rPr>
                <w:rFonts w:ascii="Arial" w:hAnsi="Arial" w:cs="Arial"/>
                <w:sz w:val="24"/>
                <w:szCs w:val="24"/>
              </w:rPr>
            </w:pPr>
            <w:r>
              <w:rPr>
                <w:rFonts w:ascii="Arial" w:hAnsi="Arial" w:cs="Arial"/>
                <w:sz w:val="24"/>
                <w:szCs w:val="24"/>
              </w:rPr>
              <w:t>% Reported Change</w:t>
            </w:r>
          </w:p>
        </w:tc>
        <w:tc>
          <w:tcPr>
            <w:tcW w:w="728" w:type="pct"/>
            <w:tcBorders>
              <w:bottom w:val="single" w:sz="4" w:space="0" w:color="auto"/>
            </w:tcBorders>
            <w:shd w:val="clear" w:color="auto" w:fill="auto"/>
          </w:tcPr>
          <w:p w14:paraId="1BE4D0AD" w14:textId="77777777" w:rsidR="00773A54" w:rsidRPr="0008479A" w:rsidRDefault="00773A54" w:rsidP="00907EA8">
            <w:pPr>
              <w:jc w:val="right"/>
              <w:rPr>
                <w:rFonts w:ascii="Arial" w:hAnsi="Arial" w:cs="Arial"/>
                <w:sz w:val="24"/>
                <w:szCs w:val="24"/>
              </w:rPr>
            </w:pPr>
            <w:r>
              <w:rPr>
                <w:rFonts w:ascii="Arial" w:hAnsi="Arial" w:cs="Arial"/>
                <w:sz w:val="24"/>
                <w:szCs w:val="24"/>
              </w:rPr>
              <w:t>% Constant Currency Change</w:t>
            </w:r>
          </w:p>
        </w:tc>
      </w:tr>
      <w:tr w:rsidR="00773A54" w:rsidRPr="00587A5B" w14:paraId="11E25A97" w14:textId="77777777" w:rsidTr="00925EFB">
        <w:trPr>
          <w:trHeight w:val="80"/>
        </w:trPr>
        <w:tc>
          <w:tcPr>
            <w:tcW w:w="2071" w:type="pct"/>
            <w:tcBorders>
              <w:top w:val="single" w:sz="4" w:space="0" w:color="auto"/>
            </w:tcBorders>
            <w:shd w:val="clear" w:color="auto" w:fill="auto"/>
          </w:tcPr>
          <w:p w14:paraId="3943AFE0" w14:textId="77777777" w:rsidR="00773A54" w:rsidRPr="003419F1" w:rsidRDefault="00773A54" w:rsidP="00907EA8">
            <w:pPr>
              <w:rPr>
                <w:rFonts w:ascii="Arial" w:hAnsi="Arial" w:cs="Arial"/>
                <w:sz w:val="2"/>
                <w:szCs w:val="2"/>
              </w:rPr>
            </w:pPr>
          </w:p>
        </w:tc>
        <w:tc>
          <w:tcPr>
            <w:tcW w:w="786" w:type="pct"/>
            <w:tcBorders>
              <w:top w:val="single" w:sz="4" w:space="0" w:color="auto"/>
            </w:tcBorders>
            <w:shd w:val="clear" w:color="auto" w:fill="auto"/>
          </w:tcPr>
          <w:p w14:paraId="74BF05D1" w14:textId="77777777" w:rsidR="00773A54" w:rsidRPr="00A03549" w:rsidRDefault="00773A54" w:rsidP="00907EA8">
            <w:pPr>
              <w:jc w:val="right"/>
              <w:rPr>
                <w:rFonts w:ascii="Arial" w:hAnsi="Arial" w:cs="Arial"/>
                <w:b/>
                <w:sz w:val="2"/>
                <w:szCs w:val="2"/>
                <w:highlight w:val="yellow"/>
              </w:rPr>
            </w:pPr>
          </w:p>
        </w:tc>
        <w:tc>
          <w:tcPr>
            <w:tcW w:w="714" w:type="pct"/>
            <w:tcBorders>
              <w:top w:val="single" w:sz="4" w:space="0" w:color="auto"/>
            </w:tcBorders>
            <w:shd w:val="clear" w:color="auto" w:fill="auto"/>
          </w:tcPr>
          <w:p w14:paraId="5F4F1890" w14:textId="77777777" w:rsidR="00773A54" w:rsidRPr="009F642E" w:rsidRDefault="00773A54" w:rsidP="00907EA8">
            <w:pPr>
              <w:jc w:val="right"/>
              <w:rPr>
                <w:rFonts w:ascii="Arial" w:hAnsi="Arial" w:cs="Arial"/>
                <w:sz w:val="2"/>
                <w:szCs w:val="2"/>
              </w:rPr>
            </w:pPr>
          </w:p>
        </w:tc>
        <w:tc>
          <w:tcPr>
            <w:tcW w:w="701" w:type="pct"/>
            <w:tcBorders>
              <w:top w:val="single" w:sz="4" w:space="0" w:color="auto"/>
            </w:tcBorders>
          </w:tcPr>
          <w:p w14:paraId="786E2D0B" w14:textId="77777777" w:rsidR="00773A54" w:rsidRPr="00EF42EF" w:rsidRDefault="00773A54" w:rsidP="00907EA8">
            <w:pPr>
              <w:jc w:val="right"/>
              <w:rPr>
                <w:rFonts w:ascii="Arial" w:hAnsi="Arial" w:cs="Arial"/>
                <w:sz w:val="2"/>
                <w:szCs w:val="2"/>
              </w:rPr>
            </w:pPr>
          </w:p>
        </w:tc>
        <w:tc>
          <w:tcPr>
            <w:tcW w:w="728" w:type="pct"/>
            <w:tcBorders>
              <w:top w:val="single" w:sz="4" w:space="0" w:color="auto"/>
            </w:tcBorders>
            <w:shd w:val="clear" w:color="auto" w:fill="auto"/>
          </w:tcPr>
          <w:p w14:paraId="35C2EBF1" w14:textId="77777777" w:rsidR="00773A54" w:rsidRPr="00EF42EF" w:rsidRDefault="00773A54" w:rsidP="00907EA8">
            <w:pPr>
              <w:jc w:val="right"/>
              <w:rPr>
                <w:rFonts w:ascii="Arial" w:hAnsi="Arial" w:cs="Arial"/>
                <w:sz w:val="2"/>
                <w:szCs w:val="2"/>
              </w:rPr>
            </w:pPr>
          </w:p>
        </w:tc>
      </w:tr>
      <w:tr w:rsidR="00773A54" w:rsidRPr="00D91ED7" w14:paraId="530F38F5" w14:textId="77777777" w:rsidTr="00925EFB">
        <w:tc>
          <w:tcPr>
            <w:tcW w:w="2071" w:type="pct"/>
            <w:shd w:val="clear" w:color="auto" w:fill="auto"/>
          </w:tcPr>
          <w:p w14:paraId="33BA04C2" w14:textId="77777777" w:rsidR="00773A54" w:rsidRPr="006F320D" w:rsidRDefault="00773A54" w:rsidP="00907EA8">
            <w:pPr>
              <w:rPr>
                <w:rFonts w:ascii="Arial" w:hAnsi="Arial" w:cs="Arial"/>
                <w:sz w:val="24"/>
                <w:szCs w:val="24"/>
              </w:rPr>
            </w:pPr>
            <w:r w:rsidRPr="00EF42EF">
              <w:rPr>
                <w:rFonts w:ascii="Arial" w:hAnsi="Arial" w:cs="Arial"/>
                <w:sz w:val="24"/>
                <w:szCs w:val="24"/>
              </w:rPr>
              <w:t>Adjusted s</w:t>
            </w:r>
            <w:r w:rsidRPr="00623CA6">
              <w:rPr>
                <w:rFonts w:ascii="Arial" w:hAnsi="Arial" w:cs="Arial"/>
                <w:sz w:val="24"/>
                <w:szCs w:val="24"/>
              </w:rPr>
              <w:t>ales</w:t>
            </w:r>
          </w:p>
        </w:tc>
        <w:tc>
          <w:tcPr>
            <w:tcW w:w="786" w:type="pct"/>
            <w:shd w:val="clear" w:color="auto" w:fill="auto"/>
          </w:tcPr>
          <w:p w14:paraId="02555F45" w14:textId="77777777" w:rsidR="00773A54" w:rsidRPr="00461A73" w:rsidRDefault="00773A54" w:rsidP="00907EA8">
            <w:pPr>
              <w:jc w:val="right"/>
              <w:rPr>
                <w:rFonts w:ascii="Arial" w:hAnsi="Arial" w:cs="Arial"/>
                <w:b/>
                <w:sz w:val="24"/>
                <w:szCs w:val="24"/>
              </w:rPr>
            </w:pPr>
            <w:r w:rsidRPr="00DC23B3">
              <w:rPr>
                <w:rFonts w:ascii="Arial" w:hAnsi="Arial" w:cs="Arial"/>
                <w:b/>
                <w:sz w:val="24"/>
                <w:szCs w:val="24"/>
              </w:rPr>
              <w:t>£5,749m</w:t>
            </w:r>
            <w:r w:rsidRPr="00DC23B3" w:rsidDel="009E5D4B">
              <w:rPr>
                <w:rFonts w:ascii="Arial" w:hAnsi="Arial" w:cs="Arial"/>
                <w:b/>
                <w:sz w:val="24"/>
                <w:szCs w:val="24"/>
              </w:rPr>
              <w:t xml:space="preserve"> </w:t>
            </w:r>
          </w:p>
        </w:tc>
        <w:tc>
          <w:tcPr>
            <w:tcW w:w="714" w:type="pct"/>
            <w:shd w:val="clear" w:color="auto" w:fill="auto"/>
          </w:tcPr>
          <w:p w14:paraId="203496E9" w14:textId="77777777" w:rsidR="00773A54" w:rsidRPr="0003393C" w:rsidRDefault="00773A54" w:rsidP="00907EA8">
            <w:pPr>
              <w:jc w:val="right"/>
              <w:rPr>
                <w:rFonts w:ascii="Arial" w:hAnsi="Arial" w:cs="Arial"/>
                <w:sz w:val="24"/>
                <w:szCs w:val="24"/>
              </w:rPr>
            </w:pPr>
            <w:r w:rsidRPr="00A03549">
              <w:rPr>
                <w:rFonts w:ascii="Arial" w:hAnsi="Arial" w:cs="Arial"/>
                <w:sz w:val="24"/>
                <w:szCs w:val="24"/>
              </w:rPr>
              <w:t>£5,382m</w:t>
            </w:r>
            <w:r w:rsidRPr="00A03549" w:rsidDel="009E5D4B">
              <w:rPr>
                <w:rFonts w:ascii="Arial" w:hAnsi="Arial" w:cs="Arial"/>
                <w:sz w:val="24"/>
                <w:szCs w:val="24"/>
              </w:rPr>
              <w:t xml:space="preserve"> </w:t>
            </w:r>
          </w:p>
        </w:tc>
        <w:tc>
          <w:tcPr>
            <w:tcW w:w="701" w:type="pct"/>
          </w:tcPr>
          <w:p w14:paraId="1C8E2F02" w14:textId="77777777" w:rsidR="00773A54" w:rsidRPr="0003393C" w:rsidRDefault="00773A54" w:rsidP="00907EA8">
            <w:pPr>
              <w:jc w:val="right"/>
              <w:rPr>
                <w:rFonts w:ascii="Arial" w:hAnsi="Arial" w:cs="Arial"/>
                <w:sz w:val="24"/>
                <w:szCs w:val="24"/>
              </w:rPr>
            </w:pPr>
            <w:r>
              <w:rPr>
                <w:rFonts w:ascii="Arial" w:hAnsi="Arial" w:cs="Arial"/>
                <w:sz w:val="24"/>
                <w:szCs w:val="24"/>
              </w:rPr>
              <w:t>+</w:t>
            </w:r>
            <w:r w:rsidRPr="00A03549">
              <w:rPr>
                <w:rFonts w:ascii="Arial" w:hAnsi="Arial" w:cs="Arial"/>
                <w:sz w:val="24"/>
                <w:szCs w:val="24"/>
              </w:rPr>
              <w:t>6.8</w:t>
            </w:r>
            <w:r w:rsidRPr="0003393C">
              <w:rPr>
                <w:rFonts w:ascii="Arial" w:hAnsi="Arial" w:cs="Arial"/>
                <w:sz w:val="24"/>
                <w:szCs w:val="24"/>
              </w:rPr>
              <w:t>%</w:t>
            </w:r>
            <w:r w:rsidRPr="00A03549" w:rsidDel="00265815">
              <w:rPr>
                <w:rFonts w:ascii="Arial" w:hAnsi="Arial" w:cs="Arial"/>
                <w:sz w:val="24"/>
                <w:szCs w:val="24"/>
              </w:rPr>
              <w:t xml:space="preserve"> </w:t>
            </w:r>
          </w:p>
        </w:tc>
        <w:tc>
          <w:tcPr>
            <w:tcW w:w="728" w:type="pct"/>
            <w:shd w:val="clear" w:color="auto" w:fill="auto"/>
          </w:tcPr>
          <w:p w14:paraId="15AE1959" w14:textId="685ADB62" w:rsidR="00773A54" w:rsidRPr="0003393C" w:rsidRDefault="00DB3649" w:rsidP="00907EA8">
            <w:pPr>
              <w:jc w:val="right"/>
              <w:rPr>
                <w:rFonts w:ascii="Arial" w:hAnsi="Arial" w:cs="Arial"/>
                <w:sz w:val="24"/>
                <w:szCs w:val="24"/>
              </w:rPr>
            </w:pPr>
            <w:r>
              <w:rPr>
                <w:rFonts w:ascii="Arial" w:hAnsi="Arial" w:cs="Arial"/>
                <w:sz w:val="24"/>
                <w:szCs w:val="24"/>
              </w:rPr>
              <w:t>+</w:t>
            </w:r>
            <w:r w:rsidR="00773A54" w:rsidRPr="00A03549">
              <w:rPr>
                <w:rFonts w:ascii="Arial" w:hAnsi="Arial" w:cs="Arial"/>
                <w:sz w:val="24"/>
                <w:szCs w:val="24"/>
              </w:rPr>
              <w:t>2.7</w:t>
            </w:r>
            <w:r w:rsidR="00773A54" w:rsidRPr="0003393C">
              <w:rPr>
                <w:rFonts w:ascii="Arial" w:hAnsi="Arial" w:cs="Arial"/>
                <w:sz w:val="24"/>
                <w:szCs w:val="24"/>
              </w:rPr>
              <w:t>%</w:t>
            </w:r>
          </w:p>
        </w:tc>
      </w:tr>
      <w:tr w:rsidR="00773A54" w:rsidRPr="00926779" w14:paraId="522A305D" w14:textId="77777777" w:rsidTr="00925EFB">
        <w:tc>
          <w:tcPr>
            <w:tcW w:w="2071" w:type="pct"/>
            <w:shd w:val="clear" w:color="auto" w:fill="auto"/>
          </w:tcPr>
          <w:p w14:paraId="0A08EFBD" w14:textId="77777777" w:rsidR="00773A54" w:rsidRPr="00657B3E" w:rsidRDefault="00773A54" w:rsidP="00907EA8">
            <w:pPr>
              <w:rPr>
                <w:rFonts w:ascii="Arial" w:hAnsi="Arial" w:cs="Arial"/>
                <w:sz w:val="24"/>
                <w:szCs w:val="24"/>
              </w:rPr>
            </w:pPr>
            <w:r>
              <w:rPr>
                <w:rFonts w:ascii="Arial" w:hAnsi="Arial" w:cs="Arial"/>
                <w:sz w:val="24"/>
                <w:szCs w:val="24"/>
              </w:rPr>
              <w:t xml:space="preserve">Statutory sales </w:t>
            </w:r>
            <w:r w:rsidRPr="00506D26">
              <w:rPr>
                <w:rFonts w:ascii="Arial" w:hAnsi="Arial" w:cs="Arial"/>
                <w:sz w:val="24"/>
                <w:szCs w:val="24"/>
                <w:vertAlign w:val="superscript"/>
              </w:rPr>
              <w:t>(1</w:t>
            </w:r>
            <w:r w:rsidRPr="007C47AE">
              <w:rPr>
                <w:rFonts w:ascii="Arial" w:hAnsi="Arial" w:cs="Arial"/>
                <w:sz w:val="24"/>
                <w:szCs w:val="24"/>
                <w:vertAlign w:val="superscript"/>
              </w:rPr>
              <w:t>)</w:t>
            </w:r>
          </w:p>
        </w:tc>
        <w:tc>
          <w:tcPr>
            <w:tcW w:w="786" w:type="pct"/>
            <w:shd w:val="clear" w:color="auto" w:fill="auto"/>
          </w:tcPr>
          <w:p w14:paraId="13E1EC3F" w14:textId="77777777" w:rsidR="00773A54" w:rsidRPr="00461A73" w:rsidRDefault="00773A54" w:rsidP="00907EA8">
            <w:pPr>
              <w:jc w:val="right"/>
              <w:rPr>
                <w:rFonts w:ascii="Arial" w:hAnsi="Arial" w:cs="Arial"/>
                <w:b/>
                <w:sz w:val="24"/>
                <w:szCs w:val="24"/>
              </w:rPr>
            </w:pPr>
            <w:r w:rsidRPr="00DC23B3">
              <w:rPr>
                <w:rFonts w:ascii="Arial" w:hAnsi="Arial" w:cs="Arial"/>
                <w:b/>
                <w:sz w:val="24"/>
                <w:szCs w:val="24"/>
              </w:rPr>
              <w:t>£5,749m</w:t>
            </w:r>
            <w:r w:rsidRPr="00461A73" w:rsidDel="00265815">
              <w:rPr>
                <w:rFonts w:ascii="Arial" w:hAnsi="Arial" w:cs="Arial"/>
                <w:b/>
                <w:sz w:val="24"/>
                <w:szCs w:val="24"/>
              </w:rPr>
              <w:t xml:space="preserve"> </w:t>
            </w:r>
          </w:p>
        </w:tc>
        <w:tc>
          <w:tcPr>
            <w:tcW w:w="714" w:type="pct"/>
            <w:shd w:val="clear" w:color="auto" w:fill="auto"/>
          </w:tcPr>
          <w:p w14:paraId="5D30E468"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£5,492m</w:t>
            </w:r>
            <w:r w:rsidRPr="00A03549" w:rsidDel="009E5D4B">
              <w:rPr>
                <w:rFonts w:ascii="Arial" w:hAnsi="Arial" w:cs="Arial"/>
                <w:sz w:val="24"/>
                <w:szCs w:val="24"/>
              </w:rPr>
              <w:t xml:space="preserve"> </w:t>
            </w:r>
          </w:p>
        </w:tc>
        <w:tc>
          <w:tcPr>
            <w:tcW w:w="701" w:type="pct"/>
            <w:shd w:val="clear" w:color="auto" w:fill="auto"/>
          </w:tcPr>
          <w:p w14:paraId="37B75A79" w14:textId="77777777" w:rsidR="00773A54" w:rsidRPr="00A03549" w:rsidRDefault="00773A54" w:rsidP="00907EA8">
            <w:pPr>
              <w:jc w:val="right"/>
              <w:rPr>
                <w:rFonts w:ascii="Arial" w:hAnsi="Arial" w:cs="Arial"/>
                <w:sz w:val="24"/>
                <w:szCs w:val="24"/>
              </w:rPr>
            </w:pPr>
            <w:r>
              <w:rPr>
                <w:rFonts w:ascii="Arial" w:hAnsi="Arial" w:cs="Arial"/>
                <w:sz w:val="24"/>
                <w:szCs w:val="24"/>
              </w:rPr>
              <w:t>+</w:t>
            </w:r>
            <w:r w:rsidRPr="00A03549">
              <w:rPr>
                <w:rFonts w:ascii="Arial" w:hAnsi="Arial" w:cs="Arial"/>
                <w:sz w:val="24"/>
                <w:szCs w:val="24"/>
              </w:rPr>
              <w:t>4.7%</w:t>
            </w:r>
            <w:r w:rsidRPr="00A03549" w:rsidDel="00265815">
              <w:rPr>
                <w:rFonts w:ascii="Arial" w:hAnsi="Arial" w:cs="Arial"/>
                <w:sz w:val="24"/>
                <w:szCs w:val="24"/>
              </w:rPr>
              <w:t xml:space="preserve"> </w:t>
            </w:r>
          </w:p>
        </w:tc>
        <w:tc>
          <w:tcPr>
            <w:tcW w:w="728" w:type="pct"/>
            <w:shd w:val="clear" w:color="auto" w:fill="auto"/>
          </w:tcPr>
          <w:p w14:paraId="1016B4FE" w14:textId="009F3179" w:rsidR="00773A54" w:rsidRPr="00A03549" w:rsidRDefault="00DB3649" w:rsidP="00907EA8">
            <w:pPr>
              <w:jc w:val="right"/>
              <w:rPr>
                <w:rFonts w:ascii="Arial" w:hAnsi="Arial" w:cs="Arial"/>
                <w:sz w:val="24"/>
                <w:szCs w:val="24"/>
              </w:rPr>
            </w:pPr>
            <w:r>
              <w:rPr>
                <w:rFonts w:ascii="Arial" w:hAnsi="Arial" w:cs="Arial"/>
                <w:sz w:val="24"/>
                <w:szCs w:val="24"/>
              </w:rPr>
              <w:t>+</w:t>
            </w:r>
            <w:r w:rsidR="00773A54" w:rsidRPr="00A03549">
              <w:rPr>
                <w:rFonts w:ascii="Arial" w:hAnsi="Arial" w:cs="Arial"/>
                <w:sz w:val="24"/>
                <w:szCs w:val="24"/>
              </w:rPr>
              <w:t>0.8%</w:t>
            </w:r>
          </w:p>
        </w:tc>
      </w:tr>
      <w:tr w:rsidR="00773A54" w:rsidRPr="00D91ED7" w14:paraId="634F3BD5" w14:textId="77777777" w:rsidTr="00925EFB">
        <w:tc>
          <w:tcPr>
            <w:tcW w:w="2071" w:type="pct"/>
            <w:shd w:val="clear" w:color="auto" w:fill="auto"/>
          </w:tcPr>
          <w:p w14:paraId="378E538D" w14:textId="146B9540" w:rsidR="00773A54" w:rsidRPr="00657B3E" w:rsidRDefault="00773A54" w:rsidP="00D02AC2">
            <w:pPr>
              <w:rPr>
                <w:rFonts w:ascii="Arial" w:hAnsi="Arial" w:cs="Arial"/>
                <w:sz w:val="24"/>
                <w:szCs w:val="24"/>
              </w:rPr>
            </w:pPr>
            <w:r w:rsidRPr="00657B3E">
              <w:rPr>
                <w:rFonts w:ascii="Arial" w:hAnsi="Arial" w:cs="Arial"/>
                <w:sz w:val="24"/>
                <w:szCs w:val="24"/>
              </w:rPr>
              <w:t xml:space="preserve">Retail profit </w:t>
            </w:r>
          </w:p>
        </w:tc>
        <w:tc>
          <w:tcPr>
            <w:tcW w:w="786" w:type="pct"/>
            <w:shd w:val="clear" w:color="auto" w:fill="auto"/>
          </w:tcPr>
          <w:p w14:paraId="6A28140C" w14:textId="7E14E669" w:rsidR="00773A54" w:rsidRPr="00461A73" w:rsidRDefault="00773A54">
            <w:pPr>
              <w:jc w:val="right"/>
              <w:rPr>
                <w:rFonts w:ascii="Arial" w:hAnsi="Arial" w:cs="Arial"/>
                <w:b/>
                <w:sz w:val="24"/>
                <w:szCs w:val="24"/>
              </w:rPr>
            </w:pPr>
            <w:r w:rsidRPr="00DC23B3">
              <w:rPr>
                <w:rFonts w:ascii="Arial" w:hAnsi="Arial" w:cs="Arial"/>
                <w:b/>
                <w:sz w:val="24"/>
                <w:szCs w:val="24"/>
              </w:rPr>
              <w:t>£46</w:t>
            </w:r>
            <w:r w:rsidR="00A45362" w:rsidRPr="00DC23B3">
              <w:rPr>
                <w:rFonts w:ascii="Arial" w:hAnsi="Arial" w:cs="Arial"/>
                <w:b/>
                <w:sz w:val="24"/>
                <w:szCs w:val="24"/>
              </w:rPr>
              <w:t>4</w:t>
            </w:r>
            <w:r w:rsidRPr="00DC23B3">
              <w:rPr>
                <w:rFonts w:ascii="Arial" w:hAnsi="Arial" w:cs="Arial"/>
                <w:b/>
                <w:sz w:val="24"/>
                <w:szCs w:val="24"/>
              </w:rPr>
              <w:t>m</w:t>
            </w:r>
            <w:r w:rsidRPr="00461A73" w:rsidDel="00265815">
              <w:rPr>
                <w:rFonts w:ascii="Arial" w:hAnsi="Arial" w:cs="Arial"/>
                <w:b/>
                <w:sz w:val="24"/>
                <w:szCs w:val="24"/>
              </w:rPr>
              <w:t xml:space="preserve"> </w:t>
            </w:r>
          </w:p>
        </w:tc>
        <w:tc>
          <w:tcPr>
            <w:tcW w:w="714" w:type="pct"/>
            <w:shd w:val="clear" w:color="auto" w:fill="auto"/>
          </w:tcPr>
          <w:p w14:paraId="1E9609AC" w14:textId="77777777" w:rsidR="00773A54" w:rsidRPr="0003393C" w:rsidRDefault="00773A54" w:rsidP="00907EA8">
            <w:pPr>
              <w:jc w:val="right"/>
              <w:rPr>
                <w:rFonts w:ascii="Arial" w:hAnsi="Arial" w:cs="Arial"/>
                <w:sz w:val="24"/>
                <w:szCs w:val="24"/>
              </w:rPr>
            </w:pPr>
            <w:r w:rsidRPr="00A03549">
              <w:rPr>
                <w:rFonts w:ascii="Arial" w:hAnsi="Arial" w:cs="Arial"/>
                <w:sz w:val="24"/>
                <w:szCs w:val="24"/>
              </w:rPr>
              <w:t>£410m</w:t>
            </w:r>
            <w:r w:rsidRPr="00A03549" w:rsidDel="009E5D4B">
              <w:rPr>
                <w:rFonts w:ascii="Arial" w:hAnsi="Arial" w:cs="Arial"/>
                <w:sz w:val="24"/>
                <w:szCs w:val="24"/>
              </w:rPr>
              <w:t xml:space="preserve"> </w:t>
            </w:r>
          </w:p>
        </w:tc>
        <w:tc>
          <w:tcPr>
            <w:tcW w:w="701" w:type="pct"/>
          </w:tcPr>
          <w:p w14:paraId="7CFDC1E1" w14:textId="5A7EE720" w:rsidR="00773A54" w:rsidRPr="0003393C" w:rsidRDefault="00773A54">
            <w:pPr>
              <w:jc w:val="right"/>
              <w:rPr>
                <w:rFonts w:ascii="Arial" w:hAnsi="Arial" w:cs="Arial"/>
                <w:sz w:val="24"/>
                <w:szCs w:val="24"/>
              </w:rPr>
            </w:pPr>
            <w:r>
              <w:rPr>
                <w:rFonts w:ascii="Arial" w:hAnsi="Arial" w:cs="Arial"/>
                <w:sz w:val="24"/>
                <w:szCs w:val="24"/>
              </w:rPr>
              <w:t>+13.</w:t>
            </w:r>
            <w:r w:rsidR="00106BDC">
              <w:rPr>
                <w:rFonts w:ascii="Arial" w:hAnsi="Arial" w:cs="Arial"/>
                <w:sz w:val="24"/>
                <w:szCs w:val="24"/>
              </w:rPr>
              <w:t>1</w:t>
            </w:r>
            <w:r w:rsidRPr="0003393C">
              <w:rPr>
                <w:rFonts w:ascii="Arial" w:hAnsi="Arial" w:cs="Arial"/>
                <w:sz w:val="24"/>
                <w:szCs w:val="24"/>
              </w:rPr>
              <w:t>%</w:t>
            </w:r>
            <w:r w:rsidRPr="00A03549" w:rsidDel="00265815">
              <w:rPr>
                <w:rFonts w:ascii="Arial" w:hAnsi="Arial" w:cs="Arial"/>
                <w:sz w:val="24"/>
                <w:szCs w:val="24"/>
              </w:rPr>
              <w:t xml:space="preserve"> </w:t>
            </w:r>
          </w:p>
        </w:tc>
        <w:tc>
          <w:tcPr>
            <w:tcW w:w="728" w:type="pct"/>
            <w:shd w:val="clear" w:color="auto" w:fill="auto"/>
          </w:tcPr>
          <w:p w14:paraId="2E03CFFF" w14:textId="3D0DFC7F" w:rsidR="00773A54" w:rsidRPr="0003393C" w:rsidRDefault="00DB3649">
            <w:pPr>
              <w:jc w:val="right"/>
              <w:rPr>
                <w:rFonts w:ascii="Arial" w:hAnsi="Arial" w:cs="Arial"/>
                <w:sz w:val="24"/>
                <w:szCs w:val="24"/>
              </w:rPr>
            </w:pPr>
            <w:r>
              <w:rPr>
                <w:rFonts w:ascii="Arial" w:hAnsi="Arial" w:cs="Arial"/>
                <w:sz w:val="24"/>
                <w:szCs w:val="24"/>
              </w:rPr>
              <w:t>+</w:t>
            </w:r>
            <w:r w:rsidR="005709B5">
              <w:rPr>
                <w:rFonts w:ascii="Arial" w:hAnsi="Arial" w:cs="Arial"/>
                <w:sz w:val="24"/>
                <w:szCs w:val="24"/>
              </w:rPr>
              <w:t>8.7</w:t>
            </w:r>
            <w:r w:rsidR="00773A54" w:rsidRPr="0003393C">
              <w:rPr>
                <w:rFonts w:ascii="Arial" w:hAnsi="Arial" w:cs="Arial"/>
                <w:sz w:val="24"/>
                <w:szCs w:val="24"/>
              </w:rPr>
              <w:t>%</w:t>
            </w:r>
          </w:p>
        </w:tc>
      </w:tr>
      <w:tr w:rsidR="00773A54" w:rsidRPr="00D91ED7" w14:paraId="04CD7F9D" w14:textId="77777777" w:rsidTr="00925EFB">
        <w:tc>
          <w:tcPr>
            <w:tcW w:w="2071" w:type="pct"/>
            <w:shd w:val="clear" w:color="auto" w:fill="auto"/>
          </w:tcPr>
          <w:p w14:paraId="71B73E2E" w14:textId="77777777" w:rsidR="00773A54" w:rsidRPr="00657B3E" w:rsidRDefault="00773A54" w:rsidP="00907EA8">
            <w:pPr>
              <w:rPr>
                <w:rFonts w:ascii="Arial" w:hAnsi="Arial" w:cs="Arial"/>
                <w:sz w:val="24"/>
                <w:szCs w:val="24"/>
              </w:rPr>
            </w:pPr>
            <w:r>
              <w:rPr>
                <w:rFonts w:ascii="Arial" w:hAnsi="Arial" w:cs="Arial"/>
                <w:sz w:val="24"/>
                <w:szCs w:val="24"/>
              </w:rPr>
              <w:t>Underlying pre-tax profit</w:t>
            </w:r>
          </w:p>
        </w:tc>
        <w:tc>
          <w:tcPr>
            <w:tcW w:w="786" w:type="pct"/>
            <w:shd w:val="clear" w:color="auto" w:fill="auto"/>
          </w:tcPr>
          <w:p w14:paraId="1DD968D1" w14:textId="5C9C7B64" w:rsidR="00773A54" w:rsidRPr="00461A73" w:rsidDel="00265815" w:rsidRDefault="00773A54">
            <w:pPr>
              <w:jc w:val="right"/>
              <w:rPr>
                <w:rFonts w:ascii="Arial" w:hAnsi="Arial" w:cs="Arial"/>
                <w:b/>
                <w:sz w:val="24"/>
                <w:szCs w:val="24"/>
              </w:rPr>
            </w:pPr>
            <w:r w:rsidRPr="00DC23B3">
              <w:rPr>
                <w:rFonts w:ascii="Arial" w:hAnsi="Arial" w:cs="Arial"/>
                <w:b/>
                <w:sz w:val="24"/>
                <w:szCs w:val="24"/>
              </w:rPr>
              <w:t>£43</w:t>
            </w:r>
            <w:r w:rsidR="00A45362" w:rsidRPr="00DC23B3">
              <w:rPr>
                <w:rFonts w:ascii="Arial" w:hAnsi="Arial" w:cs="Arial"/>
                <w:b/>
                <w:sz w:val="24"/>
                <w:szCs w:val="24"/>
              </w:rPr>
              <w:t>6</w:t>
            </w:r>
            <w:r w:rsidRPr="00DC23B3">
              <w:rPr>
                <w:rFonts w:ascii="Arial" w:hAnsi="Arial" w:cs="Arial"/>
                <w:b/>
                <w:sz w:val="24"/>
                <w:szCs w:val="24"/>
              </w:rPr>
              <w:t>m</w:t>
            </w:r>
          </w:p>
        </w:tc>
        <w:tc>
          <w:tcPr>
            <w:tcW w:w="714" w:type="pct"/>
            <w:shd w:val="clear" w:color="auto" w:fill="auto"/>
          </w:tcPr>
          <w:p w14:paraId="3896E860"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£384m</w:t>
            </w:r>
          </w:p>
        </w:tc>
        <w:tc>
          <w:tcPr>
            <w:tcW w:w="701" w:type="pct"/>
          </w:tcPr>
          <w:p w14:paraId="105D8B89" w14:textId="7A368158" w:rsidR="00773A54" w:rsidRPr="00A03549" w:rsidDel="00265815" w:rsidRDefault="00773A54">
            <w:pPr>
              <w:jc w:val="right"/>
              <w:rPr>
                <w:rFonts w:ascii="Arial" w:hAnsi="Arial" w:cs="Arial"/>
                <w:sz w:val="24"/>
                <w:szCs w:val="24"/>
              </w:rPr>
            </w:pPr>
            <w:r>
              <w:rPr>
                <w:rFonts w:ascii="Arial" w:hAnsi="Arial" w:cs="Arial"/>
                <w:sz w:val="24"/>
                <w:szCs w:val="24"/>
              </w:rPr>
              <w:t>+</w:t>
            </w:r>
            <w:r w:rsidRPr="00A03549">
              <w:rPr>
                <w:rFonts w:ascii="Arial" w:hAnsi="Arial" w:cs="Arial"/>
                <w:sz w:val="24"/>
                <w:szCs w:val="24"/>
              </w:rPr>
              <w:t>1</w:t>
            </w:r>
            <w:r w:rsidR="00A45362">
              <w:rPr>
                <w:rFonts w:ascii="Arial" w:hAnsi="Arial" w:cs="Arial"/>
                <w:sz w:val="24"/>
                <w:szCs w:val="24"/>
              </w:rPr>
              <w:t>3.5</w:t>
            </w:r>
            <w:r w:rsidRPr="00A03549">
              <w:rPr>
                <w:rFonts w:ascii="Arial" w:hAnsi="Arial" w:cs="Arial"/>
                <w:sz w:val="24"/>
                <w:szCs w:val="24"/>
              </w:rPr>
              <w:t>%</w:t>
            </w:r>
          </w:p>
        </w:tc>
        <w:tc>
          <w:tcPr>
            <w:tcW w:w="728" w:type="pct"/>
            <w:shd w:val="clear" w:color="auto" w:fill="auto"/>
          </w:tcPr>
          <w:p w14:paraId="6FBEC662" w14:textId="77777777" w:rsidR="00773A54" w:rsidRPr="00265815" w:rsidRDefault="00773A54" w:rsidP="00907EA8">
            <w:pPr>
              <w:jc w:val="right"/>
              <w:rPr>
                <w:rFonts w:ascii="Arial" w:hAnsi="Arial" w:cs="Arial"/>
                <w:sz w:val="24"/>
                <w:szCs w:val="24"/>
                <w:highlight w:val="yellow"/>
              </w:rPr>
            </w:pPr>
          </w:p>
        </w:tc>
      </w:tr>
      <w:tr w:rsidR="00773A54" w:rsidRPr="00D91ED7" w14:paraId="167A531F" w14:textId="77777777" w:rsidTr="00925EFB">
        <w:tc>
          <w:tcPr>
            <w:tcW w:w="2071" w:type="pct"/>
            <w:shd w:val="clear" w:color="auto" w:fill="auto"/>
          </w:tcPr>
          <w:p w14:paraId="5AA54DA0" w14:textId="3AA4F386" w:rsidR="00773A54" w:rsidRPr="00657B3E" w:rsidRDefault="00791A78">
            <w:pPr>
              <w:rPr>
                <w:rFonts w:ascii="Arial" w:hAnsi="Arial" w:cs="Arial"/>
                <w:sz w:val="24"/>
                <w:szCs w:val="24"/>
              </w:rPr>
            </w:pPr>
            <w:r>
              <w:rPr>
                <w:rFonts w:ascii="Arial" w:hAnsi="Arial" w:cs="Arial"/>
                <w:sz w:val="24"/>
                <w:szCs w:val="24"/>
              </w:rPr>
              <w:t>T</w:t>
            </w:r>
            <w:r w:rsidR="00773A54">
              <w:rPr>
                <w:rFonts w:ascii="Arial" w:hAnsi="Arial" w:cs="Arial"/>
                <w:sz w:val="24"/>
                <w:szCs w:val="24"/>
              </w:rPr>
              <w:t xml:space="preserve">ransformation </w:t>
            </w:r>
            <w:r>
              <w:rPr>
                <w:rFonts w:ascii="Arial" w:hAnsi="Arial" w:cs="Arial"/>
                <w:sz w:val="24"/>
                <w:szCs w:val="24"/>
              </w:rPr>
              <w:t xml:space="preserve">P&amp;L </w:t>
            </w:r>
            <w:r w:rsidR="00773A54">
              <w:rPr>
                <w:rFonts w:ascii="Arial" w:hAnsi="Arial" w:cs="Arial"/>
                <w:sz w:val="24"/>
                <w:szCs w:val="24"/>
              </w:rPr>
              <w:t>costs</w:t>
            </w:r>
          </w:p>
        </w:tc>
        <w:tc>
          <w:tcPr>
            <w:tcW w:w="786" w:type="pct"/>
            <w:shd w:val="clear" w:color="auto" w:fill="auto"/>
          </w:tcPr>
          <w:p w14:paraId="129FD7AF" w14:textId="180CFAE4" w:rsidR="00773A54" w:rsidRPr="00461A73" w:rsidDel="00265815" w:rsidRDefault="00773A54">
            <w:pPr>
              <w:jc w:val="right"/>
              <w:rPr>
                <w:rFonts w:ascii="Arial" w:hAnsi="Arial" w:cs="Arial"/>
                <w:b/>
                <w:sz w:val="24"/>
                <w:szCs w:val="24"/>
              </w:rPr>
            </w:pPr>
            <w:r w:rsidRPr="00DC23B3">
              <w:rPr>
                <w:rFonts w:ascii="Arial" w:hAnsi="Arial" w:cs="Arial"/>
                <w:b/>
                <w:sz w:val="24"/>
                <w:szCs w:val="24"/>
              </w:rPr>
              <w:t>£1</w:t>
            </w:r>
            <w:r w:rsidR="00FD56D9" w:rsidRPr="00DC23B3">
              <w:rPr>
                <w:rFonts w:ascii="Arial" w:hAnsi="Arial" w:cs="Arial"/>
                <w:b/>
                <w:sz w:val="24"/>
                <w:szCs w:val="24"/>
              </w:rPr>
              <w:t>8</w:t>
            </w:r>
            <w:r w:rsidRPr="00DC23B3">
              <w:rPr>
                <w:rFonts w:ascii="Arial" w:hAnsi="Arial" w:cs="Arial"/>
                <w:b/>
                <w:sz w:val="24"/>
                <w:szCs w:val="24"/>
              </w:rPr>
              <w:t>m</w:t>
            </w:r>
          </w:p>
        </w:tc>
        <w:tc>
          <w:tcPr>
            <w:tcW w:w="714" w:type="pct"/>
            <w:shd w:val="clear" w:color="auto" w:fill="auto"/>
          </w:tcPr>
          <w:p w14:paraId="1921FEE9"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w:t>
            </w:r>
          </w:p>
        </w:tc>
        <w:tc>
          <w:tcPr>
            <w:tcW w:w="701" w:type="pct"/>
          </w:tcPr>
          <w:p w14:paraId="483CFC2C" w14:textId="77777777" w:rsidR="00773A54" w:rsidRPr="00A03549" w:rsidDel="00265815" w:rsidRDefault="00773A54" w:rsidP="00907EA8">
            <w:pPr>
              <w:jc w:val="right"/>
              <w:rPr>
                <w:rFonts w:ascii="Arial" w:hAnsi="Arial" w:cs="Arial"/>
                <w:sz w:val="24"/>
                <w:szCs w:val="24"/>
              </w:rPr>
            </w:pPr>
            <w:r w:rsidRPr="00A03549">
              <w:rPr>
                <w:rFonts w:ascii="Arial" w:hAnsi="Arial" w:cs="Arial"/>
                <w:sz w:val="24"/>
                <w:szCs w:val="24"/>
              </w:rPr>
              <w:t>n/a</w:t>
            </w:r>
          </w:p>
        </w:tc>
        <w:tc>
          <w:tcPr>
            <w:tcW w:w="728" w:type="pct"/>
            <w:shd w:val="clear" w:color="auto" w:fill="auto"/>
          </w:tcPr>
          <w:p w14:paraId="66A3016B" w14:textId="77777777" w:rsidR="00773A54" w:rsidRPr="00265815" w:rsidRDefault="00773A54" w:rsidP="00907EA8">
            <w:pPr>
              <w:jc w:val="right"/>
              <w:rPr>
                <w:rFonts w:ascii="Arial" w:hAnsi="Arial" w:cs="Arial"/>
                <w:sz w:val="24"/>
                <w:szCs w:val="24"/>
                <w:highlight w:val="yellow"/>
              </w:rPr>
            </w:pPr>
          </w:p>
        </w:tc>
      </w:tr>
      <w:tr w:rsidR="00773A54" w:rsidRPr="00D91ED7" w14:paraId="59138906" w14:textId="77777777" w:rsidTr="00925EFB">
        <w:tc>
          <w:tcPr>
            <w:tcW w:w="2071" w:type="pct"/>
            <w:shd w:val="clear" w:color="auto" w:fill="auto"/>
          </w:tcPr>
          <w:p w14:paraId="6DD3794B" w14:textId="77777777" w:rsidR="00773A54" w:rsidRPr="00657B3E" w:rsidRDefault="00773A54" w:rsidP="00907EA8">
            <w:pPr>
              <w:rPr>
                <w:rFonts w:ascii="Arial" w:hAnsi="Arial" w:cs="Arial"/>
                <w:sz w:val="24"/>
                <w:szCs w:val="24"/>
              </w:rPr>
            </w:pPr>
            <w:r w:rsidRPr="00657B3E">
              <w:rPr>
                <w:rFonts w:ascii="Arial" w:hAnsi="Arial" w:cs="Arial"/>
                <w:sz w:val="24"/>
                <w:szCs w:val="24"/>
              </w:rPr>
              <w:t xml:space="preserve">Adjusted pre-tax profit </w:t>
            </w:r>
          </w:p>
        </w:tc>
        <w:tc>
          <w:tcPr>
            <w:tcW w:w="786" w:type="pct"/>
            <w:shd w:val="clear" w:color="auto" w:fill="auto"/>
          </w:tcPr>
          <w:p w14:paraId="64E11274" w14:textId="6F8752F8" w:rsidR="00773A54" w:rsidRPr="00461A73" w:rsidRDefault="00773A54">
            <w:pPr>
              <w:jc w:val="right"/>
              <w:rPr>
                <w:rFonts w:ascii="Arial" w:hAnsi="Arial" w:cs="Arial"/>
                <w:b/>
                <w:sz w:val="24"/>
                <w:szCs w:val="24"/>
              </w:rPr>
            </w:pPr>
            <w:r w:rsidRPr="00DC23B3">
              <w:rPr>
                <w:rFonts w:ascii="Arial" w:hAnsi="Arial" w:cs="Arial"/>
                <w:b/>
                <w:sz w:val="24"/>
                <w:szCs w:val="24"/>
              </w:rPr>
              <w:t>£4</w:t>
            </w:r>
            <w:r w:rsidR="00A45362" w:rsidRPr="00DC23B3">
              <w:rPr>
                <w:rFonts w:ascii="Arial" w:hAnsi="Arial" w:cs="Arial"/>
                <w:b/>
                <w:sz w:val="24"/>
                <w:szCs w:val="24"/>
              </w:rPr>
              <w:t>18</w:t>
            </w:r>
            <w:r w:rsidRPr="00DC23B3">
              <w:rPr>
                <w:rFonts w:ascii="Arial" w:hAnsi="Arial" w:cs="Arial"/>
                <w:b/>
                <w:sz w:val="24"/>
                <w:szCs w:val="24"/>
              </w:rPr>
              <w:t>m</w:t>
            </w:r>
            <w:r w:rsidRPr="00461A73" w:rsidDel="00265815">
              <w:rPr>
                <w:rFonts w:ascii="Arial" w:hAnsi="Arial" w:cs="Arial"/>
                <w:b/>
                <w:sz w:val="24"/>
                <w:szCs w:val="24"/>
              </w:rPr>
              <w:t xml:space="preserve"> </w:t>
            </w:r>
          </w:p>
        </w:tc>
        <w:tc>
          <w:tcPr>
            <w:tcW w:w="714" w:type="pct"/>
            <w:shd w:val="clear" w:color="auto" w:fill="auto"/>
          </w:tcPr>
          <w:p w14:paraId="298DCEAC"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£384m</w:t>
            </w:r>
            <w:r w:rsidRPr="00A03549" w:rsidDel="009E5D4B">
              <w:rPr>
                <w:rFonts w:ascii="Arial" w:hAnsi="Arial" w:cs="Arial"/>
                <w:sz w:val="24"/>
                <w:szCs w:val="24"/>
              </w:rPr>
              <w:t xml:space="preserve"> </w:t>
            </w:r>
          </w:p>
        </w:tc>
        <w:tc>
          <w:tcPr>
            <w:tcW w:w="701" w:type="pct"/>
          </w:tcPr>
          <w:p w14:paraId="403E70DB" w14:textId="10C7CDDE" w:rsidR="00773A54" w:rsidRPr="00A03549" w:rsidRDefault="00DB3649">
            <w:pPr>
              <w:jc w:val="right"/>
              <w:rPr>
                <w:rFonts w:ascii="Arial" w:hAnsi="Arial" w:cs="Arial"/>
                <w:sz w:val="24"/>
                <w:szCs w:val="24"/>
              </w:rPr>
            </w:pPr>
            <w:r>
              <w:rPr>
                <w:rFonts w:ascii="Arial" w:hAnsi="Arial" w:cs="Arial"/>
                <w:sz w:val="24"/>
                <w:szCs w:val="24"/>
              </w:rPr>
              <w:t>+</w:t>
            </w:r>
            <w:r w:rsidR="005709B5">
              <w:rPr>
                <w:rFonts w:ascii="Arial" w:hAnsi="Arial" w:cs="Arial"/>
                <w:sz w:val="24"/>
                <w:szCs w:val="24"/>
              </w:rPr>
              <w:t>8.9</w:t>
            </w:r>
            <w:r w:rsidR="00773A54" w:rsidRPr="00A03549">
              <w:rPr>
                <w:rFonts w:ascii="Arial" w:hAnsi="Arial" w:cs="Arial"/>
                <w:sz w:val="24"/>
                <w:szCs w:val="24"/>
              </w:rPr>
              <w:t>%</w:t>
            </w:r>
          </w:p>
        </w:tc>
        <w:tc>
          <w:tcPr>
            <w:tcW w:w="728" w:type="pct"/>
            <w:shd w:val="clear" w:color="auto" w:fill="auto"/>
          </w:tcPr>
          <w:p w14:paraId="367C4944" w14:textId="77777777" w:rsidR="00773A54" w:rsidRPr="00A03549" w:rsidRDefault="00773A54" w:rsidP="00907EA8">
            <w:pPr>
              <w:jc w:val="right"/>
              <w:rPr>
                <w:rFonts w:ascii="Arial" w:hAnsi="Arial" w:cs="Arial"/>
                <w:sz w:val="24"/>
                <w:szCs w:val="24"/>
                <w:highlight w:val="yellow"/>
              </w:rPr>
            </w:pPr>
          </w:p>
        </w:tc>
      </w:tr>
      <w:tr w:rsidR="00773A54" w:rsidRPr="00D91ED7" w14:paraId="4686AF62" w14:textId="77777777" w:rsidTr="00925EFB">
        <w:tc>
          <w:tcPr>
            <w:tcW w:w="2071" w:type="pct"/>
            <w:shd w:val="clear" w:color="auto" w:fill="auto"/>
          </w:tcPr>
          <w:p w14:paraId="5D7C846B" w14:textId="77777777" w:rsidR="00773A54" w:rsidRPr="00657B3E" w:rsidRDefault="00773A54" w:rsidP="00907EA8">
            <w:pPr>
              <w:rPr>
                <w:rFonts w:ascii="Arial" w:hAnsi="Arial" w:cs="Arial"/>
                <w:sz w:val="24"/>
                <w:szCs w:val="24"/>
              </w:rPr>
            </w:pPr>
            <w:r w:rsidRPr="00657B3E">
              <w:rPr>
                <w:rFonts w:ascii="Arial" w:hAnsi="Arial" w:cs="Arial"/>
                <w:sz w:val="24"/>
                <w:szCs w:val="24"/>
              </w:rPr>
              <w:t>Statutory pre-tax profit</w:t>
            </w:r>
            <w:r>
              <w:rPr>
                <w:rFonts w:ascii="Arial" w:hAnsi="Arial" w:cs="Arial"/>
                <w:sz w:val="24"/>
                <w:szCs w:val="24"/>
              </w:rPr>
              <w:t xml:space="preserve"> </w:t>
            </w:r>
            <w:r w:rsidRPr="00956B5B">
              <w:rPr>
                <w:rFonts w:ascii="Arial" w:hAnsi="Arial" w:cs="Arial"/>
                <w:sz w:val="24"/>
                <w:szCs w:val="24"/>
                <w:vertAlign w:val="superscript"/>
              </w:rPr>
              <w:t>(1)</w:t>
            </w:r>
          </w:p>
        </w:tc>
        <w:tc>
          <w:tcPr>
            <w:tcW w:w="786" w:type="pct"/>
            <w:shd w:val="clear" w:color="auto" w:fill="auto"/>
          </w:tcPr>
          <w:p w14:paraId="0CF0E387" w14:textId="5C3168CE" w:rsidR="00773A54" w:rsidRPr="00461A73" w:rsidRDefault="00773A54">
            <w:pPr>
              <w:jc w:val="right"/>
              <w:rPr>
                <w:rFonts w:ascii="Arial" w:hAnsi="Arial" w:cs="Arial"/>
                <w:b/>
                <w:sz w:val="24"/>
                <w:szCs w:val="24"/>
              </w:rPr>
            </w:pPr>
            <w:r w:rsidRPr="00DC23B3">
              <w:rPr>
                <w:rFonts w:ascii="Arial" w:hAnsi="Arial" w:cs="Arial"/>
                <w:b/>
                <w:sz w:val="24"/>
                <w:szCs w:val="24"/>
              </w:rPr>
              <w:t>£42</w:t>
            </w:r>
            <w:r w:rsidR="00A45362" w:rsidRPr="00DC23B3">
              <w:rPr>
                <w:rFonts w:ascii="Arial" w:hAnsi="Arial" w:cs="Arial"/>
                <w:b/>
                <w:sz w:val="24"/>
                <w:szCs w:val="24"/>
              </w:rPr>
              <w:t>7</w:t>
            </w:r>
            <w:r w:rsidRPr="00DC23B3">
              <w:rPr>
                <w:rFonts w:ascii="Arial" w:hAnsi="Arial" w:cs="Arial"/>
                <w:b/>
                <w:sz w:val="24"/>
                <w:szCs w:val="24"/>
              </w:rPr>
              <w:t>m</w:t>
            </w:r>
            <w:r w:rsidRPr="00461A73" w:rsidDel="00265815">
              <w:rPr>
                <w:rFonts w:ascii="Arial" w:hAnsi="Arial" w:cs="Arial"/>
                <w:b/>
                <w:sz w:val="24"/>
                <w:szCs w:val="24"/>
              </w:rPr>
              <w:t xml:space="preserve"> </w:t>
            </w:r>
          </w:p>
        </w:tc>
        <w:tc>
          <w:tcPr>
            <w:tcW w:w="714" w:type="pct"/>
            <w:shd w:val="clear" w:color="auto" w:fill="auto"/>
          </w:tcPr>
          <w:p w14:paraId="10555FAD"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£386m</w:t>
            </w:r>
            <w:r w:rsidRPr="00A03549" w:rsidDel="009E5D4B">
              <w:rPr>
                <w:rFonts w:ascii="Arial" w:hAnsi="Arial" w:cs="Arial"/>
                <w:sz w:val="24"/>
                <w:szCs w:val="24"/>
              </w:rPr>
              <w:t xml:space="preserve"> </w:t>
            </w:r>
          </w:p>
        </w:tc>
        <w:tc>
          <w:tcPr>
            <w:tcW w:w="701" w:type="pct"/>
          </w:tcPr>
          <w:p w14:paraId="36443B14" w14:textId="6E8E98A6" w:rsidR="00773A54" w:rsidRPr="00A03549" w:rsidRDefault="00DB3649">
            <w:pPr>
              <w:jc w:val="right"/>
              <w:rPr>
                <w:rFonts w:ascii="Arial" w:hAnsi="Arial" w:cs="Arial"/>
                <w:sz w:val="24"/>
                <w:szCs w:val="24"/>
              </w:rPr>
            </w:pPr>
            <w:r>
              <w:rPr>
                <w:rFonts w:ascii="Arial" w:hAnsi="Arial" w:cs="Arial"/>
                <w:sz w:val="24"/>
                <w:szCs w:val="24"/>
              </w:rPr>
              <w:t>+</w:t>
            </w:r>
            <w:r w:rsidR="00773A54" w:rsidRPr="00A03549">
              <w:rPr>
                <w:rFonts w:ascii="Arial" w:hAnsi="Arial" w:cs="Arial"/>
                <w:sz w:val="24"/>
                <w:szCs w:val="24"/>
              </w:rPr>
              <w:t>1</w:t>
            </w:r>
            <w:r w:rsidR="00A45362">
              <w:rPr>
                <w:rFonts w:ascii="Arial" w:hAnsi="Arial" w:cs="Arial"/>
                <w:sz w:val="24"/>
                <w:szCs w:val="24"/>
              </w:rPr>
              <w:t>0.6</w:t>
            </w:r>
            <w:r w:rsidR="00773A54" w:rsidRPr="00A03549">
              <w:rPr>
                <w:rFonts w:ascii="Arial" w:hAnsi="Arial" w:cs="Arial"/>
                <w:sz w:val="24"/>
                <w:szCs w:val="24"/>
              </w:rPr>
              <w:t>%</w:t>
            </w:r>
            <w:r w:rsidR="00773A54" w:rsidRPr="00A03549" w:rsidDel="00265815">
              <w:rPr>
                <w:rFonts w:ascii="Arial" w:hAnsi="Arial" w:cs="Arial"/>
                <w:sz w:val="24"/>
                <w:szCs w:val="24"/>
              </w:rPr>
              <w:t xml:space="preserve"> </w:t>
            </w:r>
          </w:p>
        </w:tc>
        <w:tc>
          <w:tcPr>
            <w:tcW w:w="728" w:type="pct"/>
            <w:shd w:val="clear" w:color="auto" w:fill="auto"/>
          </w:tcPr>
          <w:p w14:paraId="729B2FD3" w14:textId="77777777" w:rsidR="00773A54" w:rsidRPr="00A03549" w:rsidRDefault="00773A54" w:rsidP="00907EA8">
            <w:pPr>
              <w:jc w:val="right"/>
              <w:rPr>
                <w:rFonts w:ascii="Arial" w:hAnsi="Arial" w:cs="Arial"/>
                <w:sz w:val="24"/>
                <w:szCs w:val="24"/>
                <w:highlight w:val="yellow"/>
              </w:rPr>
            </w:pPr>
          </w:p>
        </w:tc>
      </w:tr>
      <w:tr w:rsidR="00773A54" w:rsidRPr="00D91ED7" w14:paraId="1D63175A" w14:textId="77777777" w:rsidTr="00925EFB">
        <w:tc>
          <w:tcPr>
            <w:tcW w:w="2071" w:type="pct"/>
            <w:shd w:val="clear" w:color="auto" w:fill="auto"/>
          </w:tcPr>
          <w:p w14:paraId="380314A6" w14:textId="77777777" w:rsidR="00773A54" w:rsidRPr="00657B3E" w:rsidRDefault="00773A54" w:rsidP="00907EA8">
            <w:pPr>
              <w:rPr>
                <w:rFonts w:ascii="Arial" w:hAnsi="Arial" w:cs="Arial"/>
                <w:sz w:val="24"/>
                <w:szCs w:val="24"/>
              </w:rPr>
            </w:pPr>
            <w:r w:rsidRPr="00657B3E">
              <w:rPr>
                <w:rFonts w:ascii="Arial" w:hAnsi="Arial" w:cs="Arial"/>
                <w:sz w:val="24"/>
                <w:szCs w:val="24"/>
              </w:rPr>
              <w:t>Exceptional items (post-tax)</w:t>
            </w:r>
          </w:p>
        </w:tc>
        <w:tc>
          <w:tcPr>
            <w:tcW w:w="786" w:type="pct"/>
            <w:shd w:val="clear" w:color="auto" w:fill="auto"/>
          </w:tcPr>
          <w:p w14:paraId="693BFA2C" w14:textId="6F831522" w:rsidR="00773A54" w:rsidRPr="00461A73" w:rsidRDefault="00773A54">
            <w:pPr>
              <w:jc w:val="right"/>
              <w:rPr>
                <w:rFonts w:ascii="Arial" w:hAnsi="Arial" w:cs="Arial"/>
                <w:b/>
                <w:sz w:val="24"/>
                <w:szCs w:val="24"/>
              </w:rPr>
            </w:pPr>
            <w:r w:rsidRPr="00DC23B3">
              <w:rPr>
                <w:rFonts w:ascii="Arial" w:hAnsi="Arial" w:cs="Arial"/>
                <w:b/>
                <w:sz w:val="24"/>
                <w:szCs w:val="24"/>
              </w:rPr>
              <w:t>£</w:t>
            </w:r>
            <w:r w:rsidR="00A45362" w:rsidRPr="00DC23B3">
              <w:rPr>
                <w:rFonts w:ascii="Arial" w:hAnsi="Arial" w:cs="Arial"/>
                <w:b/>
                <w:sz w:val="24"/>
                <w:szCs w:val="24"/>
              </w:rPr>
              <w:t>9</w:t>
            </w:r>
            <w:r w:rsidRPr="00DC23B3">
              <w:rPr>
                <w:rFonts w:ascii="Arial" w:hAnsi="Arial" w:cs="Arial"/>
                <w:b/>
                <w:sz w:val="24"/>
                <w:szCs w:val="24"/>
              </w:rPr>
              <w:t>m</w:t>
            </w:r>
          </w:p>
        </w:tc>
        <w:tc>
          <w:tcPr>
            <w:tcW w:w="714" w:type="pct"/>
            <w:shd w:val="clear" w:color="auto" w:fill="auto"/>
          </w:tcPr>
          <w:p w14:paraId="3CF949F8" w14:textId="77777777" w:rsidR="00773A54" w:rsidRPr="004F03E8" w:rsidRDefault="00773A54" w:rsidP="00907EA8">
            <w:pPr>
              <w:jc w:val="right"/>
              <w:rPr>
                <w:rFonts w:ascii="Arial" w:hAnsi="Arial" w:cs="Arial"/>
                <w:sz w:val="24"/>
                <w:szCs w:val="24"/>
              </w:rPr>
            </w:pPr>
            <w:r w:rsidRPr="004F03E8">
              <w:rPr>
                <w:rFonts w:ascii="Arial" w:hAnsi="Arial" w:cs="Arial"/>
                <w:sz w:val="24"/>
                <w:szCs w:val="24"/>
              </w:rPr>
              <w:t>£38m</w:t>
            </w:r>
            <w:r w:rsidRPr="004F03E8" w:rsidDel="009E5D4B">
              <w:rPr>
                <w:rFonts w:ascii="Arial" w:hAnsi="Arial" w:cs="Arial"/>
                <w:sz w:val="24"/>
                <w:szCs w:val="24"/>
              </w:rPr>
              <w:t xml:space="preserve"> </w:t>
            </w:r>
          </w:p>
        </w:tc>
        <w:tc>
          <w:tcPr>
            <w:tcW w:w="701" w:type="pct"/>
          </w:tcPr>
          <w:p w14:paraId="42977CB8"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n/a</w:t>
            </w:r>
          </w:p>
        </w:tc>
        <w:tc>
          <w:tcPr>
            <w:tcW w:w="728" w:type="pct"/>
            <w:shd w:val="clear" w:color="auto" w:fill="auto"/>
          </w:tcPr>
          <w:p w14:paraId="48987F93" w14:textId="77777777" w:rsidR="00773A54" w:rsidRPr="00A03549" w:rsidRDefault="00773A54" w:rsidP="00907EA8">
            <w:pPr>
              <w:jc w:val="right"/>
              <w:rPr>
                <w:rFonts w:ascii="Arial" w:hAnsi="Arial" w:cs="Arial"/>
                <w:sz w:val="24"/>
                <w:szCs w:val="24"/>
                <w:highlight w:val="yellow"/>
              </w:rPr>
            </w:pPr>
          </w:p>
        </w:tc>
      </w:tr>
      <w:tr w:rsidR="005604A6" w:rsidRPr="00D91ED7" w14:paraId="6582626F" w14:textId="77777777" w:rsidTr="00925EFB">
        <w:tc>
          <w:tcPr>
            <w:tcW w:w="2071" w:type="pct"/>
            <w:shd w:val="clear" w:color="auto" w:fill="auto"/>
          </w:tcPr>
          <w:p w14:paraId="239F2C7B" w14:textId="0E8F878D" w:rsidR="005604A6" w:rsidRPr="00657B3E" w:rsidRDefault="005604A6">
            <w:pPr>
              <w:rPr>
                <w:rFonts w:ascii="Arial" w:hAnsi="Arial" w:cs="Arial"/>
                <w:sz w:val="24"/>
                <w:szCs w:val="24"/>
              </w:rPr>
            </w:pPr>
            <w:r>
              <w:rPr>
                <w:rFonts w:ascii="Arial" w:hAnsi="Arial" w:cs="Arial"/>
                <w:sz w:val="24"/>
                <w:szCs w:val="24"/>
              </w:rPr>
              <w:t xml:space="preserve">Underlying </w:t>
            </w:r>
            <w:r w:rsidRPr="00657B3E">
              <w:rPr>
                <w:rFonts w:ascii="Arial" w:hAnsi="Arial" w:cs="Arial"/>
                <w:sz w:val="24"/>
                <w:szCs w:val="24"/>
              </w:rPr>
              <w:t xml:space="preserve">basic earnings per share </w:t>
            </w:r>
          </w:p>
        </w:tc>
        <w:tc>
          <w:tcPr>
            <w:tcW w:w="786" w:type="pct"/>
            <w:shd w:val="clear" w:color="auto" w:fill="auto"/>
          </w:tcPr>
          <w:p w14:paraId="2C7A3A09" w14:textId="159C64F8" w:rsidR="005604A6" w:rsidRPr="00461A73" w:rsidRDefault="00A45362" w:rsidP="005604A6">
            <w:pPr>
              <w:jc w:val="right"/>
              <w:rPr>
                <w:rFonts w:ascii="Arial" w:hAnsi="Arial" w:cs="Arial"/>
                <w:b/>
                <w:sz w:val="24"/>
                <w:szCs w:val="24"/>
              </w:rPr>
            </w:pPr>
            <w:r w:rsidRPr="00DC23B3">
              <w:rPr>
                <w:rFonts w:ascii="Arial" w:hAnsi="Arial" w:cs="Arial"/>
                <w:b/>
                <w:sz w:val="24"/>
                <w:szCs w:val="24"/>
              </w:rPr>
              <w:t>14.2</w:t>
            </w:r>
            <w:r w:rsidR="005604A6" w:rsidRPr="00DC23B3">
              <w:rPr>
                <w:rFonts w:ascii="Arial" w:hAnsi="Arial" w:cs="Arial"/>
                <w:b/>
                <w:sz w:val="24"/>
                <w:szCs w:val="24"/>
              </w:rPr>
              <w:t>p</w:t>
            </w:r>
          </w:p>
        </w:tc>
        <w:tc>
          <w:tcPr>
            <w:tcW w:w="714" w:type="pct"/>
            <w:shd w:val="clear" w:color="auto" w:fill="auto"/>
          </w:tcPr>
          <w:p w14:paraId="68112C74" w14:textId="0FBEB708" w:rsidR="005604A6" w:rsidRPr="00A45362" w:rsidRDefault="005604A6" w:rsidP="005604A6">
            <w:pPr>
              <w:jc w:val="right"/>
              <w:rPr>
                <w:rFonts w:ascii="Arial" w:hAnsi="Arial" w:cs="Arial"/>
                <w:sz w:val="24"/>
                <w:szCs w:val="24"/>
              </w:rPr>
            </w:pPr>
            <w:r w:rsidRPr="00A45362">
              <w:rPr>
                <w:rFonts w:ascii="Arial" w:hAnsi="Arial" w:cs="Arial"/>
                <w:sz w:val="24"/>
                <w:szCs w:val="24"/>
              </w:rPr>
              <w:t>12.3p</w:t>
            </w:r>
          </w:p>
        </w:tc>
        <w:tc>
          <w:tcPr>
            <w:tcW w:w="701" w:type="pct"/>
          </w:tcPr>
          <w:p w14:paraId="75E35F64" w14:textId="2986AE0F" w:rsidR="005604A6" w:rsidRPr="00A45362" w:rsidRDefault="005604A6">
            <w:pPr>
              <w:jc w:val="right"/>
              <w:rPr>
                <w:rFonts w:ascii="Arial" w:hAnsi="Arial" w:cs="Arial"/>
                <w:sz w:val="24"/>
                <w:szCs w:val="24"/>
              </w:rPr>
            </w:pPr>
            <w:r w:rsidRPr="00A45362">
              <w:rPr>
                <w:rFonts w:ascii="Arial" w:hAnsi="Arial" w:cs="Arial"/>
                <w:sz w:val="24"/>
                <w:szCs w:val="24"/>
              </w:rPr>
              <w:t>+1</w:t>
            </w:r>
            <w:r w:rsidR="00A45362">
              <w:rPr>
                <w:rFonts w:ascii="Arial" w:hAnsi="Arial" w:cs="Arial"/>
                <w:sz w:val="24"/>
                <w:szCs w:val="24"/>
              </w:rPr>
              <w:t>5.4</w:t>
            </w:r>
            <w:r w:rsidRPr="00A45362">
              <w:rPr>
                <w:rFonts w:ascii="Arial" w:hAnsi="Arial" w:cs="Arial"/>
                <w:sz w:val="24"/>
                <w:szCs w:val="24"/>
              </w:rPr>
              <w:t>%</w:t>
            </w:r>
          </w:p>
        </w:tc>
        <w:tc>
          <w:tcPr>
            <w:tcW w:w="728" w:type="pct"/>
            <w:shd w:val="clear" w:color="auto" w:fill="auto"/>
          </w:tcPr>
          <w:p w14:paraId="2ECF65D5" w14:textId="77777777" w:rsidR="005604A6" w:rsidRPr="00A03549" w:rsidRDefault="005604A6" w:rsidP="005604A6">
            <w:pPr>
              <w:jc w:val="right"/>
              <w:rPr>
                <w:rFonts w:ascii="Arial" w:hAnsi="Arial" w:cs="Arial"/>
                <w:sz w:val="24"/>
                <w:szCs w:val="24"/>
                <w:highlight w:val="yellow"/>
              </w:rPr>
            </w:pPr>
          </w:p>
        </w:tc>
      </w:tr>
      <w:tr w:rsidR="00773A54" w:rsidRPr="00D91ED7" w14:paraId="33D7F96E" w14:textId="77777777" w:rsidTr="00925EFB">
        <w:tc>
          <w:tcPr>
            <w:tcW w:w="2071" w:type="pct"/>
            <w:shd w:val="clear" w:color="auto" w:fill="auto"/>
          </w:tcPr>
          <w:p w14:paraId="7D838F37" w14:textId="5175A571" w:rsidR="00773A54" w:rsidRPr="00657B3E" w:rsidRDefault="00773A54">
            <w:pPr>
              <w:rPr>
                <w:rFonts w:ascii="Arial" w:hAnsi="Arial" w:cs="Arial"/>
                <w:sz w:val="24"/>
                <w:szCs w:val="24"/>
              </w:rPr>
            </w:pPr>
            <w:r w:rsidRPr="00657B3E">
              <w:rPr>
                <w:rFonts w:ascii="Arial" w:hAnsi="Arial" w:cs="Arial"/>
                <w:sz w:val="24"/>
                <w:szCs w:val="24"/>
              </w:rPr>
              <w:t xml:space="preserve">Adjusted basic earnings per share </w:t>
            </w:r>
          </w:p>
        </w:tc>
        <w:tc>
          <w:tcPr>
            <w:tcW w:w="786" w:type="pct"/>
            <w:shd w:val="clear" w:color="auto" w:fill="auto"/>
          </w:tcPr>
          <w:p w14:paraId="3B1A21AC" w14:textId="12CEAADF" w:rsidR="00773A54" w:rsidRPr="00461A73" w:rsidRDefault="00773A54">
            <w:pPr>
              <w:jc w:val="right"/>
              <w:rPr>
                <w:rFonts w:ascii="Arial" w:hAnsi="Arial" w:cs="Arial"/>
                <w:b/>
                <w:sz w:val="24"/>
                <w:szCs w:val="24"/>
              </w:rPr>
            </w:pPr>
            <w:r w:rsidRPr="00DC23B3">
              <w:rPr>
                <w:rFonts w:ascii="Arial" w:hAnsi="Arial" w:cs="Arial"/>
                <w:b/>
                <w:sz w:val="24"/>
                <w:szCs w:val="24"/>
              </w:rPr>
              <w:t>13.</w:t>
            </w:r>
            <w:r w:rsidR="00A45362" w:rsidRPr="00DC23B3">
              <w:rPr>
                <w:rFonts w:ascii="Arial" w:hAnsi="Arial" w:cs="Arial"/>
                <w:b/>
                <w:sz w:val="24"/>
                <w:szCs w:val="24"/>
              </w:rPr>
              <w:t>6</w:t>
            </w:r>
            <w:r w:rsidRPr="00DC23B3">
              <w:rPr>
                <w:rFonts w:ascii="Arial" w:hAnsi="Arial" w:cs="Arial"/>
                <w:b/>
                <w:sz w:val="24"/>
                <w:szCs w:val="24"/>
              </w:rPr>
              <w:t>p</w:t>
            </w:r>
            <w:r w:rsidRPr="00DC23B3" w:rsidDel="009E5D4B">
              <w:rPr>
                <w:rFonts w:ascii="Arial" w:hAnsi="Arial" w:cs="Arial"/>
                <w:b/>
                <w:sz w:val="24"/>
                <w:szCs w:val="24"/>
              </w:rPr>
              <w:t xml:space="preserve"> </w:t>
            </w:r>
          </w:p>
        </w:tc>
        <w:tc>
          <w:tcPr>
            <w:tcW w:w="714" w:type="pct"/>
            <w:shd w:val="clear" w:color="auto" w:fill="auto"/>
          </w:tcPr>
          <w:p w14:paraId="748AA483"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12.3p</w:t>
            </w:r>
            <w:r w:rsidRPr="00A03549" w:rsidDel="009E5D4B">
              <w:rPr>
                <w:rFonts w:ascii="Arial" w:hAnsi="Arial" w:cs="Arial"/>
                <w:sz w:val="24"/>
                <w:szCs w:val="24"/>
              </w:rPr>
              <w:t xml:space="preserve"> </w:t>
            </w:r>
          </w:p>
        </w:tc>
        <w:tc>
          <w:tcPr>
            <w:tcW w:w="701" w:type="pct"/>
          </w:tcPr>
          <w:p w14:paraId="05D63E6A" w14:textId="1D7DE7AF" w:rsidR="00773A54" w:rsidRPr="00A03549" w:rsidRDefault="00DB3649">
            <w:pPr>
              <w:jc w:val="right"/>
              <w:rPr>
                <w:rFonts w:ascii="Arial" w:hAnsi="Arial" w:cs="Arial"/>
                <w:sz w:val="24"/>
                <w:szCs w:val="24"/>
              </w:rPr>
            </w:pPr>
            <w:r>
              <w:rPr>
                <w:rFonts w:ascii="Arial" w:hAnsi="Arial" w:cs="Arial"/>
                <w:sz w:val="24"/>
                <w:szCs w:val="24"/>
              </w:rPr>
              <w:t>+</w:t>
            </w:r>
            <w:r w:rsidR="00773A54" w:rsidRPr="00A03549">
              <w:rPr>
                <w:rFonts w:ascii="Arial" w:hAnsi="Arial" w:cs="Arial"/>
                <w:sz w:val="24"/>
                <w:szCs w:val="24"/>
              </w:rPr>
              <w:t>1</w:t>
            </w:r>
            <w:r w:rsidR="005709B5">
              <w:rPr>
                <w:rFonts w:ascii="Arial" w:hAnsi="Arial" w:cs="Arial"/>
                <w:sz w:val="24"/>
                <w:szCs w:val="24"/>
              </w:rPr>
              <w:t>0.6</w:t>
            </w:r>
            <w:r w:rsidR="00773A54" w:rsidRPr="00A03549">
              <w:rPr>
                <w:rFonts w:ascii="Arial" w:hAnsi="Arial" w:cs="Arial"/>
                <w:sz w:val="24"/>
                <w:szCs w:val="24"/>
              </w:rPr>
              <w:t>%</w:t>
            </w:r>
          </w:p>
        </w:tc>
        <w:tc>
          <w:tcPr>
            <w:tcW w:w="728" w:type="pct"/>
            <w:shd w:val="clear" w:color="auto" w:fill="auto"/>
          </w:tcPr>
          <w:p w14:paraId="07250FB3" w14:textId="77777777" w:rsidR="00773A54" w:rsidRPr="00A03549" w:rsidRDefault="00773A54" w:rsidP="00907EA8">
            <w:pPr>
              <w:jc w:val="right"/>
              <w:rPr>
                <w:rFonts w:ascii="Arial" w:hAnsi="Arial" w:cs="Arial"/>
                <w:sz w:val="24"/>
                <w:szCs w:val="24"/>
                <w:highlight w:val="yellow"/>
              </w:rPr>
            </w:pPr>
          </w:p>
        </w:tc>
      </w:tr>
      <w:tr w:rsidR="00773A54" w:rsidRPr="00D91ED7" w14:paraId="279375B1" w14:textId="77777777" w:rsidTr="00925EFB">
        <w:tc>
          <w:tcPr>
            <w:tcW w:w="2071" w:type="pct"/>
            <w:shd w:val="clear" w:color="auto" w:fill="auto"/>
          </w:tcPr>
          <w:p w14:paraId="7F88BBA9" w14:textId="67310C36" w:rsidR="00773A54" w:rsidRPr="00657B3E" w:rsidRDefault="00773A54" w:rsidP="00907EA8">
            <w:pPr>
              <w:rPr>
                <w:rFonts w:ascii="Arial" w:hAnsi="Arial" w:cs="Arial"/>
                <w:sz w:val="24"/>
                <w:szCs w:val="24"/>
              </w:rPr>
            </w:pPr>
            <w:r w:rsidRPr="00657B3E">
              <w:rPr>
                <w:rFonts w:ascii="Arial" w:hAnsi="Arial" w:cs="Arial"/>
                <w:sz w:val="24"/>
                <w:szCs w:val="24"/>
              </w:rPr>
              <w:t>Basic earnings per share</w:t>
            </w:r>
            <w:r w:rsidR="0083039A">
              <w:rPr>
                <w:rFonts w:ascii="Arial" w:hAnsi="Arial" w:cs="Arial"/>
                <w:sz w:val="24"/>
                <w:szCs w:val="24"/>
              </w:rPr>
              <w:t xml:space="preserve"> </w:t>
            </w:r>
            <w:r w:rsidR="0083039A" w:rsidRPr="00956B5B">
              <w:rPr>
                <w:rFonts w:ascii="Arial" w:hAnsi="Arial" w:cs="Arial"/>
                <w:sz w:val="24"/>
                <w:szCs w:val="24"/>
                <w:vertAlign w:val="superscript"/>
              </w:rPr>
              <w:t>(1)</w:t>
            </w:r>
          </w:p>
        </w:tc>
        <w:tc>
          <w:tcPr>
            <w:tcW w:w="786" w:type="pct"/>
            <w:shd w:val="clear" w:color="auto" w:fill="auto"/>
          </w:tcPr>
          <w:p w14:paraId="3B944645" w14:textId="022DE0AC" w:rsidR="00773A54" w:rsidRPr="00461A73" w:rsidRDefault="00773A54">
            <w:pPr>
              <w:jc w:val="right"/>
              <w:rPr>
                <w:rFonts w:ascii="Arial" w:hAnsi="Arial" w:cs="Arial"/>
                <w:b/>
                <w:sz w:val="24"/>
                <w:szCs w:val="24"/>
              </w:rPr>
            </w:pPr>
            <w:r w:rsidRPr="00DC23B3">
              <w:rPr>
                <w:rFonts w:ascii="Arial" w:hAnsi="Arial" w:cs="Arial"/>
                <w:b/>
                <w:sz w:val="24"/>
                <w:szCs w:val="24"/>
              </w:rPr>
              <w:t>14.</w:t>
            </w:r>
            <w:r w:rsidR="00A45362" w:rsidRPr="00DC23B3">
              <w:rPr>
                <w:rFonts w:ascii="Arial" w:hAnsi="Arial" w:cs="Arial"/>
                <w:b/>
                <w:sz w:val="24"/>
                <w:szCs w:val="24"/>
              </w:rPr>
              <w:t>1</w:t>
            </w:r>
            <w:r w:rsidRPr="00DC23B3">
              <w:rPr>
                <w:rFonts w:ascii="Arial" w:hAnsi="Arial" w:cs="Arial"/>
                <w:b/>
                <w:sz w:val="24"/>
                <w:szCs w:val="24"/>
              </w:rPr>
              <w:t>p</w:t>
            </w:r>
            <w:r w:rsidRPr="00DC23B3" w:rsidDel="009E5D4B">
              <w:rPr>
                <w:rFonts w:ascii="Arial" w:hAnsi="Arial" w:cs="Arial"/>
                <w:b/>
                <w:sz w:val="24"/>
                <w:szCs w:val="24"/>
              </w:rPr>
              <w:t xml:space="preserve"> </w:t>
            </w:r>
          </w:p>
        </w:tc>
        <w:tc>
          <w:tcPr>
            <w:tcW w:w="714" w:type="pct"/>
            <w:shd w:val="clear" w:color="auto" w:fill="auto"/>
          </w:tcPr>
          <w:p w14:paraId="425892EB" w14:textId="77777777" w:rsidR="00773A54" w:rsidRPr="00A03549" w:rsidDel="00791ABF" w:rsidRDefault="00773A54" w:rsidP="00907EA8">
            <w:pPr>
              <w:jc w:val="right"/>
              <w:rPr>
                <w:rFonts w:ascii="Arial" w:hAnsi="Arial" w:cs="Arial"/>
                <w:sz w:val="24"/>
                <w:szCs w:val="24"/>
              </w:rPr>
            </w:pPr>
            <w:r w:rsidRPr="00A03549">
              <w:rPr>
                <w:rFonts w:ascii="Arial" w:hAnsi="Arial" w:cs="Arial"/>
                <w:sz w:val="24"/>
                <w:szCs w:val="24"/>
              </w:rPr>
              <w:t>13.6p</w:t>
            </w:r>
            <w:r w:rsidRPr="00A03549" w:rsidDel="009E5D4B">
              <w:rPr>
                <w:rFonts w:ascii="Arial" w:hAnsi="Arial" w:cs="Arial"/>
                <w:sz w:val="24"/>
                <w:szCs w:val="24"/>
              </w:rPr>
              <w:t xml:space="preserve"> </w:t>
            </w:r>
          </w:p>
        </w:tc>
        <w:tc>
          <w:tcPr>
            <w:tcW w:w="701" w:type="pct"/>
          </w:tcPr>
          <w:p w14:paraId="5B0910A5" w14:textId="3510CD86" w:rsidR="00773A54" w:rsidRPr="00A03549" w:rsidDel="00791ABF" w:rsidRDefault="00DB3649">
            <w:pPr>
              <w:jc w:val="right"/>
              <w:rPr>
                <w:rFonts w:ascii="Arial" w:hAnsi="Arial" w:cs="Arial"/>
                <w:sz w:val="24"/>
                <w:szCs w:val="24"/>
              </w:rPr>
            </w:pPr>
            <w:r>
              <w:rPr>
                <w:rFonts w:ascii="Arial" w:hAnsi="Arial" w:cs="Arial"/>
                <w:sz w:val="24"/>
                <w:szCs w:val="24"/>
              </w:rPr>
              <w:t>+</w:t>
            </w:r>
            <w:r w:rsidR="005709B5">
              <w:rPr>
                <w:rFonts w:ascii="Arial" w:hAnsi="Arial" w:cs="Arial"/>
                <w:sz w:val="24"/>
                <w:szCs w:val="24"/>
              </w:rPr>
              <w:t>3.7</w:t>
            </w:r>
            <w:r w:rsidR="00773A54" w:rsidRPr="00A03549">
              <w:rPr>
                <w:rFonts w:ascii="Arial" w:hAnsi="Arial" w:cs="Arial"/>
                <w:sz w:val="24"/>
                <w:szCs w:val="24"/>
              </w:rPr>
              <w:t>%</w:t>
            </w:r>
            <w:r w:rsidR="00773A54" w:rsidRPr="00A03549" w:rsidDel="00265815">
              <w:rPr>
                <w:rFonts w:ascii="Arial" w:hAnsi="Arial" w:cs="Arial"/>
                <w:sz w:val="24"/>
                <w:szCs w:val="24"/>
              </w:rPr>
              <w:t xml:space="preserve"> </w:t>
            </w:r>
          </w:p>
        </w:tc>
        <w:tc>
          <w:tcPr>
            <w:tcW w:w="728" w:type="pct"/>
            <w:shd w:val="clear" w:color="auto" w:fill="auto"/>
          </w:tcPr>
          <w:p w14:paraId="05D06A87" w14:textId="77777777" w:rsidR="00773A54" w:rsidRPr="00A03549" w:rsidRDefault="00773A54" w:rsidP="00907EA8">
            <w:pPr>
              <w:jc w:val="right"/>
              <w:rPr>
                <w:rFonts w:ascii="Arial" w:hAnsi="Arial" w:cs="Arial"/>
                <w:sz w:val="24"/>
                <w:szCs w:val="24"/>
                <w:highlight w:val="yellow"/>
              </w:rPr>
            </w:pPr>
          </w:p>
        </w:tc>
      </w:tr>
      <w:tr w:rsidR="00773A54" w:rsidRPr="00D91ED7" w14:paraId="7255DFE3" w14:textId="77777777" w:rsidTr="00925EFB">
        <w:tc>
          <w:tcPr>
            <w:tcW w:w="2071" w:type="pct"/>
            <w:shd w:val="clear" w:color="auto" w:fill="auto"/>
          </w:tcPr>
          <w:p w14:paraId="5F16C710" w14:textId="77777777" w:rsidR="00773A54" w:rsidRPr="003678C1" w:rsidRDefault="00773A54" w:rsidP="00907EA8">
            <w:pPr>
              <w:rPr>
                <w:rFonts w:ascii="Arial" w:hAnsi="Arial" w:cs="Arial"/>
                <w:sz w:val="24"/>
                <w:szCs w:val="24"/>
              </w:rPr>
            </w:pPr>
            <w:r w:rsidRPr="003678C1">
              <w:rPr>
                <w:rFonts w:ascii="Arial" w:hAnsi="Arial" w:cs="Arial"/>
                <w:sz w:val="24"/>
                <w:szCs w:val="24"/>
              </w:rPr>
              <w:t>Dividends – Ordinary</w:t>
            </w:r>
          </w:p>
        </w:tc>
        <w:tc>
          <w:tcPr>
            <w:tcW w:w="786" w:type="pct"/>
            <w:shd w:val="clear" w:color="auto" w:fill="auto"/>
          </w:tcPr>
          <w:p w14:paraId="07DFA0C2" w14:textId="297D9220" w:rsidR="00773A54" w:rsidRPr="00DC23B3" w:rsidRDefault="002C020D" w:rsidP="00907EA8">
            <w:pPr>
              <w:jc w:val="right"/>
              <w:rPr>
                <w:rFonts w:ascii="Arial" w:hAnsi="Arial" w:cs="Arial"/>
                <w:b/>
                <w:sz w:val="24"/>
                <w:szCs w:val="24"/>
              </w:rPr>
            </w:pPr>
            <w:r w:rsidRPr="00DC23B3">
              <w:rPr>
                <w:rFonts w:ascii="Arial" w:hAnsi="Arial" w:cs="Arial"/>
                <w:b/>
                <w:sz w:val="24"/>
                <w:szCs w:val="24"/>
              </w:rPr>
              <w:t>3.2</w:t>
            </w:r>
            <w:r w:rsidR="00441535">
              <w:rPr>
                <w:rFonts w:ascii="Arial" w:hAnsi="Arial" w:cs="Arial"/>
                <w:b/>
                <w:sz w:val="24"/>
                <w:szCs w:val="24"/>
              </w:rPr>
              <w:t>5</w:t>
            </w:r>
            <w:r w:rsidR="00773A54" w:rsidRPr="00DC23B3">
              <w:rPr>
                <w:rFonts w:ascii="Arial" w:hAnsi="Arial" w:cs="Arial"/>
                <w:b/>
                <w:sz w:val="24"/>
                <w:szCs w:val="24"/>
              </w:rPr>
              <w:t>p</w:t>
            </w:r>
          </w:p>
        </w:tc>
        <w:tc>
          <w:tcPr>
            <w:tcW w:w="714" w:type="pct"/>
            <w:shd w:val="clear" w:color="auto" w:fill="auto"/>
          </w:tcPr>
          <w:p w14:paraId="2926F431" w14:textId="77777777" w:rsidR="00773A54" w:rsidRPr="00A03549" w:rsidRDefault="00773A54" w:rsidP="00907EA8">
            <w:pPr>
              <w:jc w:val="right"/>
              <w:rPr>
                <w:rFonts w:ascii="Arial" w:hAnsi="Arial" w:cs="Arial"/>
                <w:sz w:val="24"/>
                <w:szCs w:val="24"/>
                <w:highlight w:val="yellow"/>
              </w:rPr>
            </w:pPr>
            <w:r w:rsidRPr="00A03549">
              <w:rPr>
                <w:rFonts w:ascii="Arial" w:hAnsi="Arial" w:cs="Arial"/>
                <w:sz w:val="24"/>
                <w:szCs w:val="24"/>
              </w:rPr>
              <w:t>3.18p</w:t>
            </w:r>
          </w:p>
        </w:tc>
        <w:tc>
          <w:tcPr>
            <w:tcW w:w="701" w:type="pct"/>
          </w:tcPr>
          <w:p w14:paraId="5672BABD" w14:textId="515B9670" w:rsidR="00773A54" w:rsidRPr="00A03549" w:rsidDel="00713ADA" w:rsidRDefault="0047012C">
            <w:pPr>
              <w:jc w:val="right"/>
              <w:rPr>
                <w:rFonts w:ascii="Arial" w:hAnsi="Arial" w:cs="Arial"/>
                <w:sz w:val="24"/>
                <w:szCs w:val="24"/>
                <w:highlight w:val="yellow"/>
              </w:rPr>
            </w:pPr>
            <w:r w:rsidRPr="00925EFB">
              <w:rPr>
                <w:rFonts w:ascii="Arial" w:hAnsi="Arial" w:cs="Arial"/>
                <w:sz w:val="24"/>
                <w:szCs w:val="24"/>
              </w:rPr>
              <w:t>+</w:t>
            </w:r>
            <w:r w:rsidR="00441535">
              <w:rPr>
                <w:rFonts w:ascii="Arial" w:hAnsi="Arial" w:cs="Arial"/>
                <w:sz w:val="24"/>
                <w:szCs w:val="24"/>
              </w:rPr>
              <w:t>2.2</w:t>
            </w:r>
            <w:r w:rsidR="00773A54" w:rsidRPr="00925EFB">
              <w:rPr>
                <w:rFonts w:ascii="Arial" w:hAnsi="Arial" w:cs="Arial"/>
                <w:sz w:val="24"/>
                <w:szCs w:val="24"/>
              </w:rPr>
              <w:t>%</w:t>
            </w:r>
          </w:p>
        </w:tc>
        <w:tc>
          <w:tcPr>
            <w:tcW w:w="728" w:type="pct"/>
            <w:shd w:val="clear" w:color="auto" w:fill="auto"/>
          </w:tcPr>
          <w:p w14:paraId="0A72D4AE" w14:textId="77777777" w:rsidR="00773A54" w:rsidRPr="00A03549" w:rsidRDefault="00773A54" w:rsidP="00907EA8">
            <w:pPr>
              <w:jc w:val="right"/>
              <w:rPr>
                <w:rFonts w:ascii="Arial" w:hAnsi="Arial" w:cs="Arial"/>
                <w:sz w:val="24"/>
                <w:szCs w:val="24"/>
                <w:highlight w:val="yellow"/>
              </w:rPr>
            </w:pPr>
          </w:p>
        </w:tc>
      </w:tr>
      <w:tr w:rsidR="00773A54" w:rsidRPr="00D91ED7" w14:paraId="325632E0" w14:textId="77777777" w:rsidTr="00925EFB">
        <w:tc>
          <w:tcPr>
            <w:tcW w:w="2071" w:type="pct"/>
            <w:shd w:val="clear" w:color="auto" w:fill="auto"/>
          </w:tcPr>
          <w:p w14:paraId="637B0F02" w14:textId="77777777" w:rsidR="00773A54" w:rsidRPr="00956B5B" w:rsidRDefault="00773A54" w:rsidP="00907EA8">
            <w:pPr>
              <w:rPr>
                <w:rFonts w:ascii="Arial" w:hAnsi="Arial" w:cs="Arial"/>
                <w:sz w:val="24"/>
                <w:szCs w:val="24"/>
              </w:rPr>
            </w:pPr>
            <w:r>
              <w:rPr>
                <w:rFonts w:ascii="Arial" w:hAnsi="Arial" w:cs="Arial"/>
                <w:sz w:val="24"/>
                <w:szCs w:val="24"/>
              </w:rPr>
              <w:t>Effective tax rate</w:t>
            </w:r>
          </w:p>
        </w:tc>
        <w:tc>
          <w:tcPr>
            <w:tcW w:w="786" w:type="pct"/>
            <w:shd w:val="clear" w:color="auto" w:fill="auto"/>
          </w:tcPr>
          <w:p w14:paraId="02FBB033" w14:textId="77777777" w:rsidR="00773A54" w:rsidRPr="00461A73" w:rsidRDefault="00773A54" w:rsidP="00907EA8">
            <w:pPr>
              <w:jc w:val="right"/>
              <w:rPr>
                <w:rFonts w:ascii="Arial" w:hAnsi="Arial" w:cs="Arial"/>
                <w:b/>
                <w:sz w:val="24"/>
                <w:szCs w:val="24"/>
              </w:rPr>
            </w:pPr>
            <w:r w:rsidRPr="00DC23B3">
              <w:rPr>
                <w:rFonts w:ascii="Arial" w:hAnsi="Arial" w:cs="Arial"/>
                <w:b/>
                <w:sz w:val="24"/>
                <w:szCs w:val="24"/>
              </w:rPr>
              <w:t>26%</w:t>
            </w:r>
          </w:p>
        </w:tc>
        <w:tc>
          <w:tcPr>
            <w:tcW w:w="714" w:type="pct"/>
            <w:shd w:val="clear" w:color="auto" w:fill="auto"/>
          </w:tcPr>
          <w:p w14:paraId="0CA33A4B"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26%</w:t>
            </w:r>
          </w:p>
        </w:tc>
        <w:tc>
          <w:tcPr>
            <w:tcW w:w="701" w:type="pct"/>
          </w:tcPr>
          <w:p w14:paraId="6D0017B4" w14:textId="77777777" w:rsidR="00773A54" w:rsidRPr="00A03549" w:rsidRDefault="00773A54" w:rsidP="00907EA8">
            <w:pPr>
              <w:jc w:val="right"/>
              <w:rPr>
                <w:rFonts w:ascii="Arial" w:hAnsi="Arial" w:cs="Arial"/>
                <w:sz w:val="24"/>
                <w:szCs w:val="24"/>
              </w:rPr>
            </w:pPr>
          </w:p>
        </w:tc>
        <w:tc>
          <w:tcPr>
            <w:tcW w:w="728" w:type="pct"/>
            <w:shd w:val="clear" w:color="auto" w:fill="auto"/>
          </w:tcPr>
          <w:p w14:paraId="379A37A9" w14:textId="77777777" w:rsidR="00773A54" w:rsidRPr="00A03549" w:rsidRDefault="00773A54" w:rsidP="00907EA8">
            <w:pPr>
              <w:jc w:val="right"/>
              <w:rPr>
                <w:rFonts w:ascii="Arial" w:hAnsi="Arial" w:cs="Arial"/>
                <w:sz w:val="24"/>
                <w:szCs w:val="24"/>
                <w:highlight w:val="yellow"/>
              </w:rPr>
            </w:pPr>
          </w:p>
        </w:tc>
      </w:tr>
      <w:tr w:rsidR="00773A54" w:rsidRPr="00D91ED7" w14:paraId="139F2BE9" w14:textId="77777777" w:rsidTr="00925EFB">
        <w:tc>
          <w:tcPr>
            <w:tcW w:w="2071" w:type="pct"/>
            <w:shd w:val="clear" w:color="auto" w:fill="auto"/>
          </w:tcPr>
          <w:p w14:paraId="2FEA851B" w14:textId="77777777" w:rsidR="00773A54" w:rsidRPr="00956B5B" w:rsidRDefault="00773A54" w:rsidP="00907EA8">
            <w:pPr>
              <w:rPr>
                <w:rFonts w:ascii="Arial" w:hAnsi="Arial" w:cs="Arial"/>
                <w:sz w:val="24"/>
                <w:szCs w:val="24"/>
              </w:rPr>
            </w:pPr>
            <w:r w:rsidRPr="00956B5B">
              <w:rPr>
                <w:rFonts w:ascii="Arial" w:hAnsi="Arial" w:cs="Arial"/>
                <w:sz w:val="24"/>
                <w:szCs w:val="24"/>
              </w:rPr>
              <w:t xml:space="preserve">Net cash </w:t>
            </w:r>
          </w:p>
        </w:tc>
        <w:tc>
          <w:tcPr>
            <w:tcW w:w="786" w:type="pct"/>
            <w:shd w:val="clear" w:color="auto" w:fill="auto"/>
          </w:tcPr>
          <w:p w14:paraId="53012C75" w14:textId="1782240C" w:rsidR="00773A54" w:rsidRPr="00DC23B3" w:rsidRDefault="00773A54">
            <w:pPr>
              <w:jc w:val="right"/>
              <w:rPr>
                <w:rFonts w:ascii="Arial" w:hAnsi="Arial" w:cs="Arial"/>
                <w:b/>
                <w:sz w:val="24"/>
                <w:szCs w:val="24"/>
              </w:rPr>
            </w:pPr>
            <w:r w:rsidRPr="00DC23B3">
              <w:rPr>
                <w:rFonts w:ascii="Arial" w:hAnsi="Arial" w:cs="Arial"/>
                <w:b/>
                <w:sz w:val="24"/>
                <w:szCs w:val="24"/>
              </w:rPr>
              <w:t>£89</w:t>
            </w:r>
            <w:r w:rsidR="00A45362" w:rsidRPr="00DC23B3">
              <w:rPr>
                <w:rFonts w:ascii="Arial" w:hAnsi="Arial" w:cs="Arial"/>
                <w:b/>
                <w:sz w:val="24"/>
                <w:szCs w:val="24"/>
              </w:rPr>
              <w:t>8</w:t>
            </w:r>
            <w:r w:rsidRPr="00DC23B3">
              <w:rPr>
                <w:rFonts w:ascii="Arial" w:hAnsi="Arial" w:cs="Arial"/>
                <w:b/>
                <w:sz w:val="24"/>
                <w:szCs w:val="24"/>
              </w:rPr>
              <w:t>m</w:t>
            </w:r>
            <w:r w:rsidRPr="00DC23B3" w:rsidDel="000D3023">
              <w:rPr>
                <w:rFonts w:ascii="Arial" w:hAnsi="Arial" w:cs="Arial"/>
                <w:b/>
                <w:sz w:val="24"/>
                <w:szCs w:val="24"/>
              </w:rPr>
              <w:t xml:space="preserve"> </w:t>
            </w:r>
          </w:p>
        </w:tc>
        <w:tc>
          <w:tcPr>
            <w:tcW w:w="714" w:type="pct"/>
            <w:shd w:val="clear" w:color="auto" w:fill="auto"/>
          </w:tcPr>
          <w:p w14:paraId="6F136190"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£435m</w:t>
            </w:r>
          </w:p>
        </w:tc>
        <w:tc>
          <w:tcPr>
            <w:tcW w:w="701" w:type="pct"/>
          </w:tcPr>
          <w:p w14:paraId="5592C214" w14:textId="77777777" w:rsidR="00773A54" w:rsidRPr="006B28CF" w:rsidRDefault="00773A54" w:rsidP="00907EA8">
            <w:pPr>
              <w:jc w:val="right"/>
              <w:rPr>
                <w:rFonts w:ascii="Arial" w:hAnsi="Arial" w:cs="Arial"/>
                <w:sz w:val="24"/>
                <w:szCs w:val="24"/>
              </w:rPr>
            </w:pPr>
          </w:p>
        </w:tc>
        <w:tc>
          <w:tcPr>
            <w:tcW w:w="728" w:type="pct"/>
            <w:shd w:val="clear" w:color="auto" w:fill="auto"/>
          </w:tcPr>
          <w:p w14:paraId="7A2C6156" w14:textId="77777777" w:rsidR="00773A54" w:rsidRPr="00657B3E" w:rsidRDefault="00773A54" w:rsidP="00907EA8">
            <w:pPr>
              <w:jc w:val="right"/>
              <w:rPr>
                <w:rFonts w:ascii="Arial" w:hAnsi="Arial" w:cs="Arial"/>
                <w:sz w:val="24"/>
                <w:szCs w:val="24"/>
              </w:rPr>
            </w:pPr>
          </w:p>
        </w:tc>
      </w:tr>
      <w:tr w:rsidR="00773A54" w:rsidRPr="00D91ED7" w14:paraId="235AAB03" w14:textId="77777777" w:rsidTr="00925EFB">
        <w:tc>
          <w:tcPr>
            <w:tcW w:w="2071" w:type="pct"/>
            <w:shd w:val="clear" w:color="auto" w:fill="auto"/>
          </w:tcPr>
          <w:p w14:paraId="5C64534C" w14:textId="77777777" w:rsidR="00773A54" w:rsidRPr="00956B5B" w:rsidRDefault="00773A54" w:rsidP="00907EA8">
            <w:pPr>
              <w:rPr>
                <w:rFonts w:ascii="Arial" w:hAnsi="Arial" w:cs="Arial"/>
                <w:sz w:val="24"/>
                <w:szCs w:val="24"/>
              </w:rPr>
            </w:pPr>
            <w:r w:rsidRPr="00956B5B">
              <w:rPr>
                <w:rFonts w:ascii="Arial" w:hAnsi="Arial" w:cs="Arial"/>
                <w:sz w:val="24"/>
                <w:szCs w:val="24"/>
              </w:rPr>
              <w:t>Capital Return</w:t>
            </w:r>
          </w:p>
        </w:tc>
        <w:tc>
          <w:tcPr>
            <w:tcW w:w="786" w:type="pct"/>
            <w:shd w:val="clear" w:color="auto" w:fill="auto"/>
          </w:tcPr>
          <w:p w14:paraId="0FDC79A8" w14:textId="77777777" w:rsidR="00773A54" w:rsidRPr="00DC23B3" w:rsidRDefault="00773A54" w:rsidP="00907EA8">
            <w:pPr>
              <w:jc w:val="right"/>
              <w:rPr>
                <w:rFonts w:ascii="Arial" w:hAnsi="Arial" w:cs="Arial"/>
                <w:b/>
                <w:sz w:val="24"/>
                <w:szCs w:val="24"/>
              </w:rPr>
            </w:pPr>
          </w:p>
        </w:tc>
        <w:tc>
          <w:tcPr>
            <w:tcW w:w="714" w:type="pct"/>
            <w:shd w:val="clear" w:color="auto" w:fill="auto"/>
          </w:tcPr>
          <w:p w14:paraId="1833DCDA" w14:textId="77777777" w:rsidR="00773A54" w:rsidRPr="00A03549" w:rsidRDefault="00773A54" w:rsidP="00907EA8">
            <w:pPr>
              <w:jc w:val="right"/>
              <w:rPr>
                <w:rFonts w:ascii="Arial" w:hAnsi="Arial" w:cs="Arial"/>
                <w:sz w:val="24"/>
                <w:szCs w:val="24"/>
              </w:rPr>
            </w:pPr>
          </w:p>
        </w:tc>
        <w:tc>
          <w:tcPr>
            <w:tcW w:w="701" w:type="pct"/>
          </w:tcPr>
          <w:p w14:paraId="18AC613A" w14:textId="77777777" w:rsidR="00773A54" w:rsidRPr="006B28CF" w:rsidRDefault="00773A54" w:rsidP="00907EA8">
            <w:pPr>
              <w:jc w:val="right"/>
              <w:rPr>
                <w:rFonts w:ascii="Arial" w:hAnsi="Arial" w:cs="Arial"/>
                <w:sz w:val="24"/>
                <w:szCs w:val="24"/>
              </w:rPr>
            </w:pPr>
          </w:p>
        </w:tc>
        <w:tc>
          <w:tcPr>
            <w:tcW w:w="728" w:type="pct"/>
            <w:shd w:val="clear" w:color="auto" w:fill="auto"/>
          </w:tcPr>
          <w:p w14:paraId="281AB33B" w14:textId="77777777" w:rsidR="00773A54" w:rsidRPr="00657B3E" w:rsidRDefault="00773A54" w:rsidP="00907EA8">
            <w:pPr>
              <w:jc w:val="right"/>
              <w:rPr>
                <w:rFonts w:ascii="Arial" w:hAnsi="Arial" w:cs="Arial"/>
                <w:sz w:val="24"/>
                <w:szCs w:val="24"/>
              </w:rPr>
            </w:pPr>
          </w:p>
        </w:tc>
      </w:tr>
      <w:tr w:rsidR="00773A54" w:rsidRPr="00CA737F" w14:paraId="406D0BBE" w14:textId="77777777" w:rsidTr="00925EFB">
        <w:trPr>
          <w:trHeight w:val="303"/>
        </w:trPr>
        <w:tc>
          <w:tcPr>
            <w:tcW w:w="2071" w:type="pct"/>
            <w:tcBorders>
              <w:bottom w:val="single" w:sz="4" w:space="0" w:color="auto"/>
            </w:tcBorders>
            <w:shd w:val="clear" w:color="auto" w:fill="auto"/>
          </w:tcPr>
          <w:p w14:paraId="685F5DFD" w14:textId="77777777" w:rsidR="00773A54" w:rsidRPr="005E60A5" w:rsidRDefault="00773A54" w:rsidP="00773A54">
            <w:pPr>
              <w:pStyle w:val="ListParagraph"/>
              <w:numPr>
                <w:ilvl w:val="0"/>
                <w:numId w:val="11"/>
              </w:numPr>
              <w:rPr>
                <w:rFonts w:ascii="Arial" w:hAnsi="Arial" w:cs="Arial"/>
                <w:sz w:val="24"/>
                <w:szCs w:val="24"/>
              </w:rPr>
            </w:pPr>
            <w:r w:rsidRPr="005E60A5">
              <w:rPr>
                <w:rFonts w:ascii="Arial" w:hAnsi="Arial" w:cs="Arial"/>
                <w:sz w:val="24"/>
                <w:szCs w:val="24"/>
              </w:rPr>
              <w:t>Share buyback</w:t>
            </w:r>
          </w:p>
        </w:tc>
        <w:tc>
          <w:tcPr>
            <w:tcW w:w="786" w:type="pct"/>
            <w:tcBorders>
              <w:bottom w:val="single" w:sz="4" w:space="0" w:color="auto"/>
            </w:tcBorders>
            <w:shd w:val="clear" w:color="auto" w:fill="auto"/>
          </w:tcPr>
          <w:p w14:paraId="2DA5B330" w14:textId="77777777" w:rsidR="00773A54" w:rsidRPr="00461A73" w:rsidRDefault="00773A54" w:rsidP="00907EA8">
            <w:pPr>
              <w:jc w:val="right"/>
              <w:rPr>
                <w:rFonts w:ascii="Arial" w:hAnsi="Arial" w:cs="Arial"/>
                <w:b/>
                <w:sz w:val="24"/>
                <w:szCs w:val="24"/>
              </w:rPr>
            </w:pPr>
            <w:r w:rsidRPr="00DC23B3">
              <w:rPr>
                <w:rFonts w:ascii="Arial" w:hAnsi="Arial" w:cs="Arial"/>
                <w:b/>
                <w:sz w:val="24"/>
                <w:szCs w:val="24"/>
              </w:rPr>
              <w:t>£126m</w:t>
            </w:r>
          </w:p>
        </w:tc>
        <w:tc>
          <w:tcPr>
            <w:tcW w:w="714" w:type="pct"/>
            <w:tcBorders>
              <w:bottom w:val="single" w:sz="4" w:space="0" w:color="auto"/>
            </w:tcBorders>
            <w:shd w:val="clear" w:color="auto" w:fill="auto"/>
          </w:tcPr>
          <w:p w14:paraId="48D81114"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£139m</w:t>
            </w:r>
          </w:p>
        </w:tc>
        <w:tc>
          <w:tcPr>
            <w:tcW w:w="701" w:type="pct"/>
            <w:tcBorders>
              <w:bottom w:val="single" w:sz="4" w:space="0" w:color="auto"/>
            </w:tcBorders>
          </w:tcPr>
          <w:p w14:paraId="24140189" w14:textId="77777777" w:rsidR="00773A54" w:rsidRPr="00A03549" w:rsidRDefault="00773A54" w:rsidP="00907EA8">
            <w:pPr>
              <w:jc w:val="right"/>
              <w:rPr>
                <w:rFonts w:ascii="Arial" w:hAnsi="Arial" w:cs="Arial"/>
                <w:sz w:val="24"/>
                <w:szCs w:val="24"/>
              </w:rPr>
            </w:pPr>
          </w:p>
        </w:tc>
        <w:tc>
          <w:tcPr>
            <w:tcW w:w="728" w:type="pct"/>
            <w:tcBorders>
              <w:bottom w:val="single" w:sz="4" w:space="0" w:color="auto"/>
            </w:tcBorders>
            <w:shd w:val="clear" w:color="auto" w:fill="auto"/>
          </w:tcPr>
          <w:p w14:paraId="2E8BB35F" w14:textId="77777777" w:rsidR="00773A54" w:rsidRPr="0029524C" w:rsidRDefault="00773A54" w:rsidP="00907EA8">
            <w:pPr>
              <w:jc w:val="right"/>
              <w:rPr>
                <w:rFonts w:ascii="Arial" w:hAnsi="Arial" w:cs="Arial"/>
                <w:sz w:val="24"/>
                <w:szCs w:val="24"/>
                <w:highlight w:val="green"/>
              </w:rPr>
            </w:pPr>
          </w:p>
        </w:tc>
      </w:tr>
    </w:tbl>
    <w:p w14:paraId="326855C3" w14:textId="41F1CD46" w:rsidR="00773A54" w:rsidRPr="007429E1" w:rsidRDefault="00773A54" w:rsidP="00773A54">
      <w:pPr>
        <w:jc w:val="left"/>
        <w:rPr>
          <w:rFonts w:ascii="Arial" w:hAnsi="Arial" w:cs="Arial"/>
          <w:sz w:val="24"/>
          <w:szCs w:val="24"/>
        </w:rPr>
      </w:pPr>
      <w:r w:rsidRPr="000952F8">
        <w:rPr>
          <w:rFonts w:ascii="Arial" w:hAnsi="Arial" w:cs="Arial"/>
          <w:sz w:val="24"/>
          <w:szCs w:val="24"/>
          <w:vertAlign w:val="superscript"/>
        </w:rPr>
        <w:t>(1)</w:t>
      </w:r>
      <w:r w:rsidRPr="000952F8">
        <w:rPr>
          <w:rFonts w:ascii="Arial" w:hAnsi="Arial" w:cs="Arial"/>
          <w:sz w:val="24"/>
          <w:szCs w:val="24"/>
        </w:rPr>
        <w:t xml:space="preserve"> </w:t>
      </w:r>
      <w:r>
        <w:rPr>
          <w:rFonts w:ascii="Arial" w:hAnsi="Arial" w:cs="Arial"/>
          <w:sz w:val="18"/>
          <w:szCs w:val="24"/>
        </w:rPr>
        <w:t xml:space="preserve">Statutory results include B&amp;Q China up to the date of disposal </w:t>
      </w:r>
      <w:r w:rsidR="0065238B">
        <w:rPr>
          <w:rFonts w:ascii="Arial" w:hAnsi="Arial" w:cs="Arial"/>
          <w:sz w:val="18"/>
          <w:szCs w:val="24"/>
        </w:rPr>
        <w:t xml:space="preserve">of controlling 70% stake </w:t>
      </w:r>
      <w:r>
        <w:rPr>
          <w:rFonts w:ascii="Arial" w:hAnsi="Arial" w:cs="Arial"/>
          <w:sz w:val="18"/>
          <w:szCs w:val="24"/>
        </w:rPr>
        <w:t>(30 April 2015)</w:t>
      </w:r>
    </w:p>
    <w:p w14:paraId="67AED63B" w14:textId="77777777" w:rsidR="00773A54" w:rsidRPr="000F07BB" w:rsidRDefault="00773A54" w:rsidP="00773A54">
      <w:pPr>
        <w:jc w:val="left"/>
        <w:rPr>
          <w:rFonts w:ascii="Arial" w:hAnsi="Arial" w:cs="Arial"/>
          <w:sz w:val="24"/>
          <w:szCs w:val="24"/>
        </w:rPr>
      </w:pPr>
    </w:p>
    <w:p w14:paraId="5DC8369C" w14:textId="2958D2B1" w:rsidR="0047012C" w:rsidRPr="00925EFB" w:rsidRDefault="00773A54" w:rsidP="00925EFB">
      <w:pPr>
        <w:jc w:val="left"/>
        <w:rPr>
          <w:rFonts w:ascii="Arial" w:hAnsi="Arial" w:cs="Arial"/>
          <w:sz w:val="24"/>
          <w:szCs w:val="24"/>
        </w:rPr>
      </w:pPr>
      <w:r w:rsidRPr="00C84675">
        <w:rPr>
          <w:rFonts w:ascii="Arial" w:hAnsi="Arial" w:cs="Arial"/>
          <w:sz w:val="24"/>
          <w:szCs w:val="24"/>
        </w:rPr>
        <w:t xml:space="preserve">Reported retail profit grew by </w:t>
      </w:r>
      <w:r w:rsidR="00907EA8" w:rsidRPr="00C84675">
        <w:rPr>
          <w:rFonts w:ascii="Arial" w:hAnsi="Arial" w:cs="Arial"/>
          <w:sz w:val="24"/>
          <w:szCs w:val="24"/>
        </w:rPr>
        <w:t>13.</w:t>
      </w:r>
      <w:r w:rsidR="00106BDC">
        <w:rPr>
          <w:rFonts w:ascii="Arial" w:hAnsi="Arial" w:cs="Arial"/>
          <w:sz w:val="24"/>
          <w:szCs w:val="24"/>
        </w:rPr>
        <w:t>1</w:t>
      </w:r>
      <w:r w:rsidRPr="00C84675">
        <w:rPr>
          <w:rFonts w:ascii="Arial" w:hAnsi="Arial" w:cs="Arial"/>
          <w:sz w:val="24"/>
          <w:szCs w:val="24"/>
        </w:rPr>
        <w:t xml:space="preserve">% including </w:t>
      </w:r>
      <w:r w:rsidRPr="000F07BB">
        <w:rPr>
          <w:rFonts w:ascii="Arial" w:hAnsi="Arial" w:cs="Arial"/>
          <w:sz w:val="24"/>
          <w:szCs w:val="24"/>
        </w:rPr>
        <w:t>£</w:t>
      </w:r>
      <w:r w:rsidR="00907EA8" w:rsidRPr="000F07BB">
        <w:rPr>
          <w:rFonts w:ascii="Arial" w:hAnsi="Arial" w:cs="Arial"/>
          <w:sz w:val="24"/>
          <w:szCs w:val="24"/>
        </w:rPr>
        <w:t>1</w:t>
      </w:r>
      <w:r w:rsidR="00353B5A" w:rsidRPr="000F07BB">
        <w:rPr>
          <w:rFonts w:ascii="Arial" w:hAnsi="Arial" w:cs="Arial"/>
          <w:sz w:val="24"/>
          <w:szCs w:val="24"/>
        </w:rPr>
        <w:t>7</w:t>
      </w:r>
      <w:r w:rsidRPr="00C84675">
        <w:rPr>
          <w:rFonts w:ascii="Arial" w:hAnsi="Arial" w:cs="Arial"/>
          <w:sz w:val="24"/>
          <w:szCs w:val="24"/>
        </w:rPr>
        <w:t xml:space="preserve"> million</w:t>
      </w:r>
      <w:r w:rsidRPr="00894959">
        <w:rPr>
          <w:rFonts w:ascii="Arial" w:hAnsi="Arial" w:cs="Arial"/>
          <w:sz w:val="24"/>
          <w:szCs w:val="24"/>
        </w:rPr>
        <w:t xml:space="preserve"> </w:t>
      </w:r>
      <w:r w:rsidR="005709B5">
        <w:rPr>
          <w:rFonts w:ascii="Arial" w:hAnsi="Arial" w:cs="Arial"/>
          <w:sz w:val="24"/>
          <w:szCs w:val="24"/>
        </w:rPr>
        <w:t xml:space="preserve">of </w:t>
      </w:r>
      <w:r w:rsidRPr="00A03549">
        <w:rPr>
          <w:rFonts w:ascii="Arial" w:hAnsi="Arial" w:cs="Arial"/>
          <w:sz w:val="24"/>
          <w:szCs w:val="24"/>
        </w:rPr>
        <w:t>favourable</w:t>
      </w:r>
      <w:r w:rsidRPr="00894959">
        <w:rPr>
          <w:rFonts w:ascii="Arial" w:hAnsi="Arial" w:cs="Arial"/>
          <w:sz w:val="24"/>
          <w:szCs w:val="24"/>
        </w:rPr>
        <w:t xml:space="preserve"> foreign exchange movement on translating foreign currency results into sterling. </w:t>
      </w:r>
      <w:r w:rsidR="00241697">
        <w:rPr>
          <w:rFonts w:ascii="Arial" w:hAnsi="Arial" w:cs="Arial"/>
          <w:sz w:val="24"/>
          <w:szCs w:val="24"/>
        </w:rPr>
        <w:t>In constant currencies</w:t>
      </w:r>
      <w:r w:rsidRPr="00894959">
        <w:rPr>
          <w:rFonts w:ascii="Arial" w:hAnsi="Arial" w:cs="Arial"/>
          <w:sz w:val="24"/>
          <w:szCs w:val="24"/>
        </w:rPr>
        <w:t xml:space="preserve"> </w:t>
      </w:r>
      <w:r w:rsidRPr="003B06F1">
        <w:rPr>
          <w:rFonts w:ascii="Arial" w:hAnsi="Arial" w:cs="Arial"/>
          <w:sz w:val="24"/>
          <w:szCs w:val="24"/>
        </w:rPr>
        <w:t xml:space="preserve">retail profit grew by </w:t>
      </w:r>
      <w:r w:rsidR="005709B5">
        <w:rPr>
          <w:rFonts w:ascii="Arial" w:hAnsi="Arial" w:cs="Arial"/>
          <w:sz w:val="24"/>
          <w:szCs w:val="24"/>
        </w:rPr>
        <w:t>8.7</w:t>
      </w:r>
      <w:r w:rsidRPr="00925EFB">
        <w:rPr>
          <w:rFonts w:ascii="Arial" w:hAnsi="Arial" w:cs="Arial"/>
          <w:sz w:val="24"/>
          <w:szCs w:val="24"/>
        </w:rPr>
        <w:t xml:space="preserve">%, </w:t>
      </w:r>
      <w:r w:rsidRPr="003B06F1">
        <w:rPr>
          <w:rFonts w:ascii="Arial" w:hAnsi="Arial" w:cs="Arial"/>
          <w:sz w:val="24"/>
          <w:szCs w:val="24"/>
        </w:rPr>
        <w:t xml:space="preserve">reflecting </w:t>
      </w:r>
      <w:r w:rsidR="00412110">
        <w:rPr>
          <w:rFonts w:ascii="Arial" w:hAnsi="Arial" w:cs="Arial"/>
          <w:sz w:val="24"/>
          <w:szCs w:val="24"/>
        </w:rPr>
        <w:t>good</w:t>
      </w:r>
      <w:r>
        <w:rPr>
          <w:rFonts w:ascii="Arial" w:hAnsi="Arial" w:cs="Arial"/>
          <w:sz w:val="24"/>
          <w:szCs w:val="24"/>
        </w:rPr>
        <w:t xml:space="preserve"> performance in</w:t>
      </w:r>
      <w:r w:rsidR="00412110">
        <w:rPr>
          <w:rFonts w:ascii="Arial" w:hAnsi="Arial" w:cs="Arial"/>
          <w:sz w:val="24"/>
          <w:szCs w:val="24"/>
        </w:rPr>
        <w:t xml:space="preserve"> the </w:t>
      </w:r>
      <w:r w:rsidRPr="00894959">
        <w:rPr>
          <w:rFonts w:ascii="Arial" w:hAnsi="Arial" w:cs="Arial"/>
          <w:sz w:val="24"/>
          <w:szCs w:val="24"/>
        </w:rPr>
        <w:t>UK</w:t>
      </w:r>
      <w:r w:rsidR="00412110">
        <w:rPr>
          <w:rFonts w:ascii="Arial" w:hAnsi="Arial" w:cs="Arial"/>
          <w:sz w:val="24"/>
          <w:szCs w:val="24"/>
        </w:rPr>
        <w:t xml:space="preserve"> </w:t>
      </w:r>
      <w:r w:rsidR="00241697">
        <w:rPr>
          <w:rFonts w:ascii="Arial" w:hAnsi="Arial" w:cs="Arial"/>
          <w:sz w:val="24"/>
          <w:szCs w:val="24"/>
        </w:rPr>
        <w:t>and</w:t>
      </w:r>
      <w:r w:rsidR="00412110">
        <w:rPr>
          <w:rFonts w:ascii="Arial" w:hAnsi="Arial" w:cs="Arial"/>
          <w:sz w:val="24"/>
          <w:szCs w:val="24"/>
        </w:rPr>
        <w:t xml:space="preserve"> Poland</w:t>
      </w:r>
      <w:r w:rsidRPr="00894959">
        <w:rPr>
          <w:rFonts w:ascii="Arial" w:hAnsi="Arial" w:cs="Arial"/>
          <w:sz w:val="24"/>
          <w:szCs w:val="24"/>
        </w:rPr>
        <w:t>. Our ongoing focus on cash and tight capital discipline meant we were able to continue to invest in the business</w:t>
      </w:r>
      <w:r w:rsidR="0047012C">
        <w:rPr>
          <w:rFonts w:ascii="Arial" w:hAnsi="Arial" w:cs="Arial"/>
          <w:sz w:val="24"/>
          <w:szCs w:val="24"/>
        </w:rPr>
        <w:t xml:space="preserve"> and the transformation whilst maintaining a strong balance sheet</w:t>
      </w:r>
      <w:r w:rsidRPr="00894959">
        <w:rPr>
          <w:rFonts w:ascii="Arial" w:hAnsi="Arial" w:cs="Arial"/>
          <w:sz w:val="24"/>
          <w:szCs w:val="24"/>
        </w:rPr>
        <w:t>,</w:t>
      </w:r>
      <w:r w:rsidR="0047012C">
        <w:rPr>
          <w:rFonts w:ascii="Arial" w:hAnsi="Arial" w:cs="Arial"/>
          <w:sz w:val="24"/>
          <w:szCs w:val="24"/>
        </w:rPr>
        <w:t xml:space="preserve"> </w:t>
      </w:r>
      <w:r w:rsidR="0047012C">
        <w:rPr>
          <w:rFonts w:ascii="ArialMT" w:hAnsi="ArialMT" w:cs="ArialMT"/>
          <w:sz w:val="24"/>
          <w:szCs w:val="24"/>
        </w:rPr>
        <w:t>pay £157 million in cash dividends and return a further £126 million to shareholders</w:t>
      </w:r>
    </w:p>
    <w:p w14:paraId="1773BFD0" w14:textId="64E3F73B" w:rsidR="0047012C" w:rsidRPr="00894959" w:rsidRDefault="0047012C" w:rsidP="0047012C">
      <w:pPr>
        <w:jc w:val="left"/>
        <w:rPr>
          <w:rFonts w:ascii="Arial" w:hAnsi="Arial" w:cs="Arial"/>
          <w:sz w:val="24"/>
          <w:szCs w:val="24"/>
        </w:rPr>
      </w:pPr>
      <w:r>
        <w:rPr>
          <w:rFonts w:ascii="ArialMT" w:hAnsi="ArialMT" w:cs="ArialMT"/>
          <w:sz w:val="24"/>
          <w:szCs w:val="24"/>
        </w:rPr>
        <w:t>via share buybacks (£160 million to date).</w:t>
      </w:r>
    </w:p>
    <w:p w14:paraId="52D2C776" w14:textId="77777777" w:rsidR="00773A54" w:rsidRPr="00265815" w:rsidRDefault="00773A54" w:rsidP="00773A54">
      <w:pPr>
        <w:jc w:val="left"/>
        <w:rPr>
          <w:rFonts w:ascii="Arial" w:hAnsi="Arial" w:cs="Arial"/>
          <w:sz w:val="24"/>
          <w:szCs w:val="24"/>
          <w:highlight w:val="yellow"/>
        </w:rPr>
      </w:pPr>
    </w:p>
    <w:p w14:paraId="7B3ACE4F" w14:textId="10BC9A42" w:rsidR="00773A54" w:rsidRPr="00925EFB" w:rsidRDefault="00773A54" w:rsidP="00773A54">
      <w:pPr>
        <w:ind w:right="-368"/>
        <w:jc w:val="left"/>
        <w:rPr>
          <w:rFonts w:ascii="Arial" w:hAnsi="Arial" w:cs="Arial"/>
          <w:sz w:val="24"/>
          <w:szCs w:val="24"/>
        </w:rPr>
      </w:pPr>
      <w:r w:rsidRPr="00894959">
        <w:rPr>
          <w:rFonts w:ascii="Arial" w:hAnsi="Arial" w:cs="Arial"/>
          <w:sz w:val="24"/>
          <w:szCs w:val="24"/>
        </w:rPr>
        <w:t>Total adjusted</w:t>
      </w:r>
      <w:r w:rsidRPr="00894959">
        <w:rPr>
          <w:rFonts w:ascii="Arial" w:hAnsi="Arial" w:cs="Arial"/>
          <w:b/>
          <w:sz w:val="24"/>
          <w:szCs w:val="24"/>
        </w:rPr>
        <w:t xml:space="preserve"> </w:t>
      </w:r>
      <w:r w:rsidRPr="00894959">
        <w:rPr>
          <w:rFonts w:ascii="Arial" w:hAnsi="Arial" w:cs="Arial"/>
          <w:sz w:val="24"/>
          <w:szCs w:val="24"/>
        </w:rPr>
        <w:t xml:space="preserve">sales grew </w:t>
      </w:r>
      <w:r w:rsidRPr="00412110">
        <w:rPr>
          <w:rFonts w:ascii="Arial" w:hAnsi="Arial" w:cs="Arial"/>
          <w:sz w:val="24"/>
          <w:szCs w:val="24"/>
        </w:rPr>
        <w:t xml:space="preserve">by </w:t>
      </w:r>
      <w:r w:rsidRPr="00925EFB">
        <w:rPr>
          <w:rFonts w:ascii="Arial" w:hAnsi="Arial" w:cs="Arial"/>
          <w:sz w:val="24"/>
          <w:szCs w:val="24"/>
        </w:rPr>
        <w:t>2.7%</w:t>
      </w:r>
      <w:r w:rsidRPr="00412110">
        <w:rPr>
          <w:rFonts w:ascii="Arial" w:hAnsi="Arial" w:cs="Arial"/>
          <w:sz w:val="24"/>
          <w:szCs w:val="24"/>
        </w:rPr>
        <w:t>,</w:t>
      </w:r>
      <w:r w:rsidRPr="00894959">
        <w:rPr>
          <w:rFonts w:ascii="Arial" w:hAnsi="Arial" w:cs="Arial"/>
          <w:sz w:val="24"/>
          <w:szCs w:val="24"/>
        </w:rPr>
        <w:t xml:space="preserve"> on a constant currency basis, </w:t>
      </w:r>
      <w:r w:rsidRPr="00412110">
        <w:rPr>
          <w:rFonts w:ascii="Arial" w:hAnsi="Arial" w:cs="Arial"/>
          <w:sz w:val="24"/>
          <w:szCs w:val="24"/>
        </w:rPr>
        <w:t xml:space="preserve">to </w:t>
      </w:r>
      <w:r w:rsidRPr="00925EFB">
        <w:rPr>
          <w:rFonts w:ascii="Arial" w:hAnsi="Arial" w:cs="Arial"/>
          <w:sz w:val="24"/>
          <w:szCs w:val="24"/>
        </w:rPr>
        <w:t>£5.7 billion</w:t>
      </w:r>
      <w:r w:rsidRPr="00894959">
        <w:rPr>
          <w:rFonts w:ascii="Arial" w:hAnsi="Arial" w:cs="Arial"/>
          <w:sz w:val="24"/>
          <w:szCs w:val="24"/>
        </w:rPr>
        <w:t xml:space="preserve">, with LFL </w:t>
      </w:r>
      <w:r w:rsidRPr="00412110">
        <w:rPr>
          <w:rFonts w:ascii="Arial" w:hAnsi="Arial" w:cs="Arial"/>
          <w:sz w:val="24"/>
          <w:szCs w:val="24"/>
        </w:rPr>
        <w:t xml:space="preserve">sales up </w:t>
      </w:r>
      <w:r w:rsidRPr="00925EFB">
        <w:rPr>
          <w:rFonts w:ascii="Arial" w:hAnsi="Arial" w:cs="Arial"/>
          <w:sz w:val="24"/>
          <w:szCs w:val="24"/>
        </w:rPr>
        <w:t>3.3%</w:t>
      </w:r>
      <w:r w:rsidRPr="00412110">
        <w:rPr>
          <w:rFonts w:ascii="Arial" w:hAnsi="Arial" w:cs="Arial"/>
          <w:sz w:val="24"/>
          <w:szCs w:val="24"/>
        </w:rPr>
        <w:t xml:space="preserve">. On a reported rate basis, which includes the impact of exchange rates, </w:t>
      </w:r>
      <w:r w:rsidR="00241697">
        <w:rPr>
          <w:rFonts w:ascii="Arial" w:hAnsi="Arial" w:cs="Arial"/>
          <w:sz w:val="24"/>
          <w:szCs w:val="24"/>
        </w:rPr>
        <w:t xml:space="preserve">adjusted </w:t>
      </w:r>
      <w:r w:rsidRPr="00412110">
        <w:rPr>
          <w:rFonts w:ascii="Arial" w:hAnsi="Arial" w:cs="Arial"/>
          <w:sz w:val="24"/>
          <w:szCs w:val="24"/>
        </w:rPr>
        <w:t>sales</w:t>
      </w:r>
      <w:r w:rsidRPr="00894959">
        <w:rPr>
          <w:rFonts w:ascii="Arial" w:hAnsi="Arial" w:cs="Arial"/>
          <w:sz w:val="24"/>
          <w:szCs w:val="24"/>
        </w:rPr>
        <w:t xml:space="preserve"> </w:t>
      </w:r>
      <w:r w:rsidRPr="00925EFB">
        <w:rPr>
          <w:rFonts w:ascii="Arial" w:hAnsi="Arial" w:cs="Arial"/>
          <w:sz w:val="24"/>
          <w:szCs w:val="24"/>
        </w:rPr>
        <w:t>increased by 6.8%</w:t>
      </w:r>
      <w:r w:rsidRPr="00412110">
        <w:rPr>
          <w:rFonts w:ascii="Arial" w:hAnsi="Arial" w:cs="Arial"/>
          <w:sz w:val="24"/>
          <w:szCs w:val="24"/>
        </w:rPr>
        <w:t xml:space="preserve">. During </w:t>
      </w:r>
      <w:r w:rsidR="00D435DA">
        <w:rPr>
          <w:rFonts w:ascii="Arial" w:hAnsi="Arial" w:cs="Arial"/>
          <w:sz w:val="24"/>
          <w:szCs w:val="24"/>
        </w:rPr>
        <w:t>H1</w:t>
      </w:r>
      <w:r w:rsidRPr="00412110">
        <w:rPr>
          <w:rFonts w:ascii="Arial" w:hAnsi="Arial" w:cs="Arial"/>
          <w:sz w:val="24"/>
          <w:szCs w:val="24"/>
        </w:rPr>
        <w:t xml:space="preserve">, sales growth benefited from </w:t>
      </w:r>
      <w:r w:rsidR="00412110">
        <w:rPr>
          <w:rFonts w:ascii="Arial" w:hAnsi="Arial" w:cs="Arial"/>
          <w:sz w:val="24"/>
          <w:szCs w:val="24"/>
        </w:rPr>
        <w:t>two</w:t>
      </w:r>
      <w:r w:rsidRPr="00925EFB">
        <w:rPr>
          <w:rFonts w:ascii="Arial" w:hAnsi="Arial" w:cs="Arial"/>
          <w:sz w:val="24"/>
          <w:szCs w:val="24"/>
        </w:rPr>
        <w:t xml:space="preserve"> net new stores</w:t>
      </w:r>
      <w:r w:rsidRPr="00412110">
        <w:rPr>
          <w:rFonts w:ascii="Arial" w:hAnsi="Arial" w:cs="Arial"/>
          <w:sz w:val="24"/>
          <w:szCs w:val="24"/>
        </w:rPr>
        <w:t xml:space="preserve">, driven by </w:t>
      </w:r>
      <w:r w:rsidRPr="00925EFB">
        <w:rPr>
          <w:rFonts w:ascii="Arial" w:hAnsi="Arial" w:cs="Arial"/>
          <w:sz w:val="24"/>
          <w:szCs w:val="24"/>
        </w:rPr>
        <w:t>2</w:t>
      </w:r>
      <w:r w:rsidR="00095327" w:rsidRPr="00412110">
        <w:rPr>
          <w:rFonts w:ascii="Arial" w:hAnsi="Arial" w:cs="Arial"/>
          <w:sz w:val="24"/>
          <w:szCs w:val="24"/>
        </w:rPr>
        <w:t>0</w:t>
      </w:r>
      <w:r w:rsidRPr="00412110">
        <w:rPr>
          <w:rFonts w:ascii="Arial" w:hAnsi="Arial" w:cs="Arial"/>
          <w:sz w:val="24"/>
          <w:szCs w:val="24"/>
        </w:rPr>
        <w:t xml:space="preserve"> Screwfix outlet openings in the UK, offset by </w:t>
      </w:r>
      <w:r w:rsidR="00E53A31">
        <w:rPr>
          <w:rFonts w:ascii="Arial" w:hAnsi="Arial" w:cs="Arial"/>
          <w:sz w:val="24"/>
          <w:szCs w:val="24"/>
        </w:rPr>
        <w:t>the</w:t>
      </w:r>
      <w:r w:rsidR="00E53A31" w:rsidRPr="00412110">
        <w:rPr>
          <w:rFonts w:ascii="Arial" w:hAnsi="Arial" w:cs="Arial"/>
          <w:sz w:val="24"/>
          <w:szCs w:val="24"/>
        </w:rPr>
        <w:t xml:space="preserve"> </w:t>
      </w:r>
      <w:r w:rsidRPr="00412110">
        <w:rPr>
          <w:rFonts w:ascii="Arial" w:hAnsi="Arial" w:cs="Arial"/>
          <w:sz w:val="24"/>
          <w:szCs w:val="24"/>
        </w:rPr>
        <w:t>impact from the previously</w:t>
      </w:r>
      <w:r w:rsidRPr="002D042F">
        <w:rPr>
          <w:rFonts w:ascii="Arial" w:hAnsi="Arial" w:cs="Arial"/>
          <w:sz w:val="24"/>
          <w:szCs w:val="24"/>
        </w:rPr>
        <w:t xml:space="preserve"> </w:t>
      </w:r>
      <w:r w:rsidRPr="00412110">
        <w:rPr>
          <w:rFonts w:ascii="Arial" w:hAnsi="Arial" w:cs="Arial"/>
          <w:sz w:val="24"/>
          <w:szCs w:val="24"/>
        </w:rPr>
        <w:t xml:space="preserve">announced B&amp;Q store closures </w:t>
      </w:r>
      <w:r w:rsidRPr="00925EFB">
        <w:rPr>
          <w:rFonts w:ascii="Arial" w:hAnsi="Arial" w:cs="Arial"/>
          <w:sz w:val="24"/>
          <w:szCs w:val="24"/>
        </w:rPr>
        <w:t xml:space="preserve">(65 planned over two years; the first 30 closed in FY 2015/16 and </w:t>
      </w:r>
      <w:r w:rsidR="00095327" w:rsidRPr="00925EFB">
        <w:rPr>
          <w:rFonts w:ascii="Arial" w:hAnsi="Arial" w:cs="Arial"/>
          <w:sz w:val="24"/>
          <w:szCs w:val="24"/>
        </w:rPr>
        <w:t xml:space="preserve">22 </w:t>
      </w:r>
      <w:r w:rsidR="00412110">
        <w:rPr>
          <w:rFonts w:ascii="Arial" w:hAnsi="Arial" w:cs="Arial"/>
          <w:sz w:val="24"/>
          <w:szCs w:val="24"/>
        </w:rPr>
        <w:t xml:space="preserve">in </w:t>
      </w:r>
      <w:r w:rsidR="00095327" w:rsidRPr="00925EFB">
        <w:rPr>
          <w:rFonts w:ascii="Arial" w:hAnsi="Arial" w:cs="Arial"/>
          <w:sz w:val="24"/>
          <w:szCs w:val="24"/>
        </w:rPr>
        <w:t>H1 2016/17</w:t>
      </w:r>
      <w:r w:rsidRPr="00925EFB">
        <w:rPr>
          <w:rFonts w:ascii="Arial" w:hAnsi="Arial" w:cs="Arial"/>
          <w:sz w:val="24"/>
          <w:szCs w:val="24"/>
        </w:rPr>
        <w:t xml:space="preserve">). </w:t>
      </w:r>
    </w:p>
    <w:p w14:paraId="1A09A1BD" w14:textId="77777777" w:rsidR="00773A54" w:rsidRPr="00265815" w:rsidRDefault="00773A54" w:rsidP="00773A54">
      <w:pPr>
        <w:jc w:val="left"/>
        <w:rPr>
          <w:rFonts w:ascii="Arial" w:hAnsi="Arial" w:cs="Arial"/>
          <w:sz w:val="24"/>
          <w:szCs w:val="24"/>
          <w:highlight w:val="yellow"/>
        </w:rPr>
      </w:pPr>
    </w:p>
    <w:p w14:paraId="7E8E9F01" w14:textId="46B0268A" w:rsidR="00773A54" w:rsidRPr="00A03549" w:rsidRDefault="00773A54" w:rsidP="00773A54">
      <w:pPr>
        <w:ind w:right="-368"/>
        <w:jc w:val="left"/>
        <w:rPr>
          <w:rFonts w:ascii="Arial" w:hAnsi="Arial" w:cs="Arial"/>
          <w:sz w:val="24"/>
          <w:szCs w:val="24"/>
        </w:rPr>
      </w:pPr>
      <w:r w:rsidRPr="00412110">
        <w:rPr>
          <w:rFonts w:ascii="Arial" w:hAnsi="Arial" w:cs="Arial"/>
          <w:sz w:val="24"/>
          <w:szCs w:val="24"/>
        </w:rPr>
        <w:t xml:space="preserve">On a constant currency basis retail profit of </w:t>
      </w:r>
      <w:r w:rsidRPr="00925EFB">
        <w:rPr>
          <w:rFonts w:ascii="Arial" w:hAnsi="Arial" w:cs="Arial"/>
          <w:sz w:val="24"/>
          <w:szCs w:val="24"/>
        </w:rPr>
        <w:t>£</w:t>
      </w:r>
      <w:r w:rsidR="00095327" w:rsidRPr="00925EFB">
        <w:rPr>
          <w:rFonts w:ascii="Arial" w:hAnsi="Arial" w:cs="Arial"/>
          <w:sz w:val="24"/>
          <w:szCs w:val="24"/>
        </w:rPr>
        <w:t>46</w:t>
      </w:r>
      <w:r w:rsidR="00B10582">
        <w:rPr>
          <w:rFonts w:ascii="Arial" w:hAnsi="Arial" w:cs="Arial"/>
          <w:sz w:val="24"/>
          <w:szCs w:val="24"/>
        </w:rPr>
        <w:t>4</w:t>
      </w:r>
      <w:r w:rsidRPr="00925EFB">
        <w:rPr>
          <w:rFonts w:ascii="Arial" w:hAnsi="Arial" w:cs="Arial"/>
          <w:sz w:val="24"/>
          <w:szCs w:val="24"/>
        </w:rPr>
        <w:t xml:space="preserve"> million</w:t>
      </w:r>
      <w:r w:rsidRPr="00412110">
        <w:rPr>
          <w:rFonts w:ascii="Arial" w:hAnsi="Arial" w:cs="Arial"/>
          <w:sz w:val="24"/>
          <w:szCs w:val="24"/>
        </w:rPr>
        <w:t xml:space="preserve"> increased by </w:t>
      </w:r>
      <w:r w:rsidR="00B10582">
        <w:rPr>
          <w:rFonts w:ascii="Arial" w:hAnsi="Arial" w:cs="Arial"/>
          <w:sz w:val="24"/>
          <w:szCs w:val="24"/>
        </w:rPr>
        <w:t>8.7</w:t>
      </w:r>
      <w:r w:rsidRPr="00925EFB">
        <w:rPr>
          <w:rFonts w:ascii="Arial" w:hAnsi="Arial" w:cs="Arial"/>
          <w:sz w:val="24"/>
          <w:szCs w:val="24"/>
        </w:rPr>
        <w:t>%</w:t>
      </w:r>
      <w:r w:rsidRPr="00412110">
        <w:rPr>
          <w:rFonts w:ascii="Arial" w:hAnsi="Arial" w:cs="Arial"/>
          <w:sz w:val="24"/>
          <w:szCs w:val="24"/>
        </w:rPr>
        <w:t xml:space="preserve"> including </w:t>
      </w:r>
      <w:r w:rsidRPr="00925EFB">
        <w:rPr>
          <w:rFonts w:ascii="Arial" w:hAnsi="Arial" w:cs="Arial"/>
          <w:sz w:val="24"/>
          <w:szCs w:val="24"/>
        </w:rPr>
        <w:t>£</w:t>
      </w:r>
      <w:r w:rsidR="00F40026" w:rsidRPr="00925EFB">
        <w:rPr>
          <w:rFonts w:ascii="Arial" w:hAnsi="Arial" w:cs="Arial"/>
          <w:sz w:val="24"/>
          <w:szCs w:val="24"/>
        </w:rPr>
        <w:t>1</w:t>
      </w:r>
      <w:r w:rsidR="00C84675">
        <w:rPr>
          <w:rFonts w:ascii="Arial" w:hAnsi="Arial" w:cs="Arial"/>
          <w:sz w:val="24"/>
          <w:szCs w:val="24"/>
        </w:rPr>
        <w:t>1</w:t>
      </w:r>
      <w:r w:rsidRPr="00925EFB">
        <w:rPr>
          <w:rFonts w:ascii="Arial" w:hAnsi="Arial" w:cs="Arial"/>
          <w:sz w:val="24"/>
          <w:szCs w:val="24"/>
        </w:rPr>
        <w:t xml:space="preserve"> million of new country development losses relating to </w:t>
      </w:r>
      <w:r w:rsidRPr="00412110">
        <w:rPr>
          <w:rFonts w:ascii="Arial" w:hAnsi="Arial" w:cs="Arial"/>
          <w:sz w:val="24"/>
          <w:szCs w:val="24"/>
        </w:rPr>
        <w:t>Romania, Portugal</w:t>
      </w:r>
      <w:r w:rsidRPr="00412110" w:rsidDel="001B1E62">
        <w:rPr>
          <w:rFonts w:ascii="Arial" w:hAnsi="Arial" w:cs="Arial"/>
          <w:sz w:val="24"/>
          <w:szCs w:val="24"/>
        </w:rPr>
        <w:t xml:space="preserve"> </w:t>
      </w:r>
      <w:r w:rsidRPr="00412110">
        <w:rPr>
          <w:rFonts w:ascii="Arial" w:hAnsi="Arial" w:cs="Arial"/>
          <w:sz w:val="24"/>
          <w:szCs w:val="24"/>
        </w:rPr>
        <w:t xml:space="preserve">and Screwfix </w:t>
      </w:r>
      <w:r w:rsidR="00412110">
        <w:rPr>
          <w:rFonts w:ascii="Arial" w:hAnsi="Arial" w:cs="Arial"/>
          <w:sz w:val="24"/>
          <w:szCs w:val="24"/>
        </w:rPr>
        <w:t>Europe</w:t>
      </w:r>
      <w:r w:rsidRPr="00412110">
        <w:rPr>
          <w:rFonts w:ascii="Arial" w:hAnsi="Arial" w:cs="Arial"/>
          <w:sz w:val="24"/>
          <w:szCs w:val="24"/>
        </w:rPr>
        <w:t>.</w:t>
      </w:r>
      <w:r w:rsidRPr="002D042F">
        <w:rPr>
          <w:rFonts w:ascii="Arial" w:hAnsi="Arial" w:cs="Arial"/>
          <w:sz w:val="24"/>
          <w:szCs w:val="24"/>
        </w:rPr>
        <w:t xml:space="preserve"> </w:t>
      </w:r>
    </w:p>
    <w:p w14:paraId="2A2C6E75" w14:textId="77777777" w:rsidR="00773A54" w:rsidRPr="00A03549" w:rsidRDefault="00773A54" w:rsidP="00773A54">
      <w:pPr>
        <w:jc w:val="left"/>
        <w:rPr>
          <w:rFonts w:ascii="Arial" w:hAnsi="Arial" w:cs="Arial"/>
          <w:bCs/>
          <w:sz w:val="24"/>
          <w:szCs w:val="24"/>
          <w:highlight w:val="yellow"/>
        </w:rPr>
      </w:pPr>
    </w:p>
    <w:p w14:paraId="05963C53" w14:textId="76DF9F85" w:rsidR="00773A54" w:rsidRDefault="00773A54" w:rsidP="00773A54">
      <w:pPr>
        <w:jc w:val="left"/>
        <w:rPr>
          <w:rFonts w:ascii="Arial" w:hAnsi="Arial" w:cs="Arial"/>
          <w:bCs/>
          <w:sz w:val="24"/>
          <w:szCs w:val="24"/>
        </w:rPr>
      </w:pPr>
      <w:r w:rsidRPr="00925EFB">
        <w:rPr>
          <w:rFonts w:ascii="Arial" w:hAnsi="Arial" w:cs="Arial"/>
          <w:sz w:val="24"/>
          <w:szCs w:val="24"/>
        </w:rPr>
        <w:t xml:space="preserve">In FY 2015/16 Kingfisher </w:t>
      </w:r>
      <w:r w:rsidR="00E53A31">
        <w:rPr>
          <w:rFonts w:ascii="Arial" w:hAnsi="Arial" w:cs="Arial"/>
          <w:sz w:val="24"/>
          <w:szCs w:val="24"/>
        </w:rPr>
        <w:t xml:space="preserve">adjusted for </w:t>
      </w:r>
      <w:r w:rsidRPr="00925EFB">
        <w:rPr>
          <w:rFonts w:ascii="Arial" w:hAnsi="Arial" w:cs="Arial"/>
          <w:sz w:val="24"/>
          <w:szCs w:val="24"/>
        </w:rPr>
        <w:t xml:space="preserve">IFRIC 21 ‘Levies’ </w:t>
      </w:r>
      <w:r w:rsidR="00E53A31">
        <w:rPr>
          <w:rFonts w:ascii="Arial" w:hAnsi="Arial" w:cs="Arial"/>
          <w:sz w:val="24"/>
          <w:szCs w:val="24"/>
        </w:rPr>
        <w:t>changes</w:t>
      </w:r>
      <w:r w:rsidR="00E53A31" w:rsidRPr="00925EFB">
        <w:rPr>
          <w:rFonts w:ascii="Arial" w:hAnsi="Arial" w:cs="Arial"/>
          <w:sz w:val="24"/>
          <w:szCs w:val="24"/>
        </w:rPr>
        <w:t xml:space="preserve"> </w:t>
      </w:r>
      <w:r w:rsidRPr="00925EFB">
        <w:rPr>
          <w:rFonts w:ascii="Arial" w:hAnsi="Arial" w:cs="Arial"/>
          <w:sz w:val="24"/>
          <w:szCs w:val="24"/>
        </w:rPr>
        <w:t>relating to quarterly phasing of operating levies in France to reflect a new IFRS accounting requirement. Since then, a change in legislation</w:t>
      </w:r>
      <w:r w:rsidR="00241697">
        <w:rPr>
          <w:rFonts w:ascii="Arial" w:hAnsi="Arial" w:cs="Arial"/>
          <w:sz w:val="24"/>
          <w:szCs w:val="24"/>
        </w:rPr>
        <w:t xml:space="preserve"> during the year</w:t>
      </w:r>
      <w:r w:rsidRPr="00925EFB">
        <w:rPr>
          <w:rFonts w:ascii="Arial" w:hAnsi="Arial" w:cs="Arial"/>
          <w:sz w:val="24"/>
          <w:szCs w:val="24"/>
        </w:rPr>
        <w:t xml:space="preserve"> relating to one of these levies (TASCOM) has led to the reversal of this accounting treatment in the period increasing operating costs by £</w:t>
      </w:r>
      <w:r w:rsidR="009E70F6">
        <w:rPr>
          <w:rFonts w:ascii="Arial" w:hAnsi="Arial" w:cs="Arial"/>
          <w:sz w:val="24"/>
          <w:szCs w:val="24"/>
        </w:rPr>
        <w:t>9</w:t>
      </w:r>
      <w:r w:rsidR="009E70F6" w:rsidRPr="00925EFB">
        <w:rPr>
          <w:rFonts w:ascii="Arial" w:hAnsi="Arial" w:cs="Arial"/>
          <w:sz w:val="24"/>
          <w:szCs w:val="24"/>
        </w:rPr>
        <w:t xml:space="preserve"> </w:t>
      </w:r>
      <w:r w:rsidRPr="00925EFB">
        <w:rPr>
          <w:rFonts w:ascii="Arial" w:hAnsi="Arial" w:cs="Arial"/>
          <w:sz w:val="24"/>
          <w:szCs w:val="24"/>
        </w:rPr>
        <w:t>million in the period offset by a corresponding reduction in H2. There is no full year impact</w:t>
      </w:r>
      <w:r w:rsidR="00353B5A">
        <w:rPr>
          <w:rFonts w:ascii="Arial" w:hAnsi="Arial" w:cs="Arial"/>
          <w:sz w:val="24"/>
          <w:szCs w:val="24"/>
        </w:rPr>
        <w:t xml:space="preserve">. </w:t>
      </w:r>
      <w:r w:rsidR="00353B5A">
        <w:rPr>
          <w:rFonts w:ascii="Arial" w:hAnsi="Arial" w:cs="Arial"/>
          <w:bCs/>
          <w:sz w:val="24"/>
          <w:szCs w:val="24"/>
        </w:rPr>
        <w:t xml:space="preserve">Comparatives </w:t>
      </w:r>
      <w:r w:rsidR="00241697">
        <w:rPr>
          <w:rFonts w:ascii="Arial" w:hAnsi="Arial" w:cs="Arial"/>
          <w:bCs/>
          <w:sz w:val="24"/>
          <w:szCs w:val="24"/>
        </w:rPr>
        <w:t xml:space="preserve">are </w:t>
      </w:r>
      <w:r w:rsidR="00353B5A">
        <w:rPr>
          <w:rFonts w:ascii="Arial" w:hAnsi="Arial" w:cs="Arial"/>
          <w:bCs/>
          <w:sz w:val="24"/>
          <w:szCs w:val="24"/>
        </w:rPr>
        <w:t xml:space="preserve">not </w:t>
      </w:r>
      <w:r w:rsidR="00241697">
        <w:rPr>
          <w:rFonts w:ascii="Arial" w:hAnsi="Arial" w:cs="Arial"/>
          <w:bCs/>
          <w:sz w:val="24"/>
          <w:szCs w:val="24"/>
        </w:rPr>
        <w:t>r</w:t>
      </w:r>
      <w:r w:rsidR="00353B5A">
        <w:rPr>
          <w:rFonts w:ascii="Arial" w:hAnsi="Arial" w:cs="Arial"/>
          <w:bCs/>
          <w:sz w:val="24"/>
          <w:szCs w:val="24"/>
        </w:rPr>
        <w:t>estated.</w:t>
      </w:r>
    </w:p>
    <w:p w14:paraId="56C26DED" w14:textId="77777777" w:rsidR="00D02AC2" w:rsidRDefault="00D02AC2" w:rsidP="00D02AC2">
      <w:pPr>
        <w:autoSpaceDE w:val="0"/>
        <w:autoSpaceDN w:val="0"/>
        <w:jc w:val="left"/>
        <w:rPr>
          <w:rFonts w:ascii="Arial" w:hAnsi="Arial" w:cs="Arial"/>
          <w:bCs/>
          <w:sz w:val="24"/>
          <w:szCs w:val="24"/>
        </w:rPr>
      </w:pPr>
    </w:p>
    <w:p w14:paraId="3B841FBD" w14:textId="77777777" w:rsidR="00D02AC2" w:rsidRPr="00925EFB" w:rsidRDefault="00D02AC2" w:rsidP="00D02AC2">
      <w:pPr>
        <w:autoSpaceDE w:val="0"/>
        <w:autoSpaceDN w:val="0"/>
        <w:jc w:val="left"/>
        <w:rPr>
          <w:rFonts w:ascii="Arial" w:hAnsi="Arial" w:cs="Arial"/>
          <w:sz w:val="24"/>
          <w:szCs w:val="24"/>
        </w:rPr>
      </w:pPr>
      <w:r w:rsidRPr="00925EFB">
        <w:rPr>
          <w:rFonts w:ascii="Arial" w:hAnsi="Arial" w:cs="Arial"/>
          <w:bCs/>
          <w:sz w:val="24"/>
          <w:szCs w:val="24"/>
        </w:rPr>
        <w:lastRenderedPageBreak/>
        <w:t xml:space="preserve">As previously announced, Kingfisher disposed of a controlling 70% stake in B&amp;Q China on 30 April 2015. On 23 March 2016 </w:t>
      </w:r>
      <w:r w:rsidRPr="00925EFB">
        <w:rPr>
          <w:rFonts w:ascii="Arial" w:hAnsi="Arial" w:cs="Arial"/>
          <w:sz w:val="24"/>
          <w:szCs w:val="24"/>
        </w:rPr>
        <w:t>Kingfisher exercised its option to dispose of the remaining 30% economic interest, with the agreement of Wumei</w:t>
      </w:r>
      <w:r>
        <w:rPr>
          <w:rFonts w:ascii="Arial" w:hAnsi="Arial" w:cs="Arial"/>
          <w:sz w:val="24"/>
          <w:szCs w:val="24"/>
        </w:rPr>
        <w:t xml:space="preserve"> Holdings Inc. (“Wumei”)</w:t>
      </w:r>
      <w:r w:rsidRPr="00925EFB">
        <w:rPr>
          <w:rFonts w:ascii="Arial" w:hAnsi="Arial" w:cs="Arial"/>
          <w:sz w:val="24"/>
          <w:szCs w:val="24"/>
        </w:rPr>
        <w:t>. Following regulatory approval, Kingfisher received</w:t>
      </w:r>
      <w:r>
        <w:rPr>
          <w:rFonts w:ascii="Arial" w:hAnsi="Arial" w:cs="Arial"/>
          <w:sz w:val="24"/>
          <w:szCs w:val="24"/>
        </w:rPr>
        <w:t xml:space="preserve"> net proceeds of</w:t>
      </w:r>
      <w:r w:rsidRPr="00925EFB">
        <w:rPr>
          <w:rFonts w:ascii="Arial" w:hAnsi="Arial" w:cs="Arial"/>
          <w:sz w:val="24"/>
          <w:szCs w:val="24"/>
        </w:rPr>
        <w:t xml:space="preserve"> £63</w:t>
      </w:r>
      <w:r>
        <w:rPr>
          <w:rFonts w:ascii="Arial" w:hAnsi="Arial" w:cs="Arial"/>
          <w:sz w:val="24"/>
          <w:szCs w:val="24"/>
        </w:rPr>
        <w:t xml:space="preserve"> </w:t>
      </w:r>
      <w:r w:rsidRPr="00925EFB">
        <w:rPr>
          <w:rFonts w:ascii="Arial" w:hAnsi="Arial" w:cs="Arial"/>
          <w:sz w:val="24"/>
          <w:szCs w:val="24"/>
        </w:rPr>
        <w:t>m</w:t>
      </w:r>
      <w:r>
        <w:rPr>
          <w:rFonts w:ascii="Arial" w:hAnsi="Arial" w:cs="Arial"/>
          <w:sz w:val="24"/>
          <w:szCs w:val="24"/>
        </w:rPr>
        <w:t>illion</w:t>
      </w:r>
      <w:r w:rsidRPr="00925EFB">
        <w:rPr>
          <w:rFonts w:ascii="Arial" w:hAnsi="Arial" w:cs="Arial"/>
          <w:sz w:val="24"/>
          <w:szCs w:val="24"/>
        </w:rPr>
        <w:t xml:space="preserve"> </w:t>
      </w:r>
      <w:r w:rsidRPr="00FC104E">
        <w:rPr>
          <w:rFonts w:ascii="Arial" w:hAnsi="Arial" w:cs="Arial"/>
          <w:sz w:val="24"/>
          <w:szCs w:val="24"/>
        </w:rPr>
        <w:t>in Ju</w:t>
      </w:r>
      <w:r w:rsidRPr="00925EFB">
        <w:rPr>
          <w:rFonts w:ascii="Arial" w:hAnsi="Arial" w:cs="Arial"/>
          <w:sz w:val="24"/>
          <w:szCs w:val="24"/>
        </w:rPr>
        <w:t>ly 2016, completing the transaction.</w:t>
      </w:r>
    </w:p>
    <w:p w14:paraId="6F94EA02" w14:textId="77777777" w:rsidR="00773A54" w:rsidRPr="00A03549" w:rsidRDefault="00773A54" w:rsidP="00773A54">
      <w:pPr>
        <w:ind w:right="-368"/>
        <w:jc w:val="left"/>
        <w:rPr>
          <w:rFonts w:ascii="Arial" w:hAnsi="Arial" w:cs="Arial"/>
          <w:b/>
          <w:sz w:val="24"/>
          <w:szCs w:val="24"/>
          <w:highlight w:val="yellow"/>
        </w:rPr>
      </w:pPr>
    </w:p>
    <w:p w14:paraId="42AA9CA9" w14:textId="745CCBEC" w:rsidR="00F94190" w:rsidRDefault="00773A54" w:rsidP="00773A54">
      <w:pPr>
        <w:ind w:right="-368"/>
        <w:jc w:val="left"/>
        <w:rPr>
          <w:rFonts w:ascii="Arial" w:hAnsi="Arial" w:cs="Arial"/>
          <w:sz w:val="24"/>
          <w:szCs w:val="24"/>
        </w:rPr>
      </w:pPr>
      <w:r w:rsidRPr="00DB3649">
        <w:rPr>
          <w:rFonts w:ascii="Arial" w:hAnsi="Arial" w:cs="Arial"/>
          <w:b/>
          <w:sz w:val="24"/>
          <w:szCs w:val="24"/>
        </w:rPr>
        <w:t>Underlying pre-tax profit</w:t>
      </w:r>
      <w:r w:rsidRPr="00DB3649">
        <w:rPr>
          <w:rFonts w:ascii="Arial" w:hAnsi="Arial" w:cs="Arial"/>
          <w:sz w:val="24"/>
          <w:szCs w:val="24"/>
        </w:rPr>
        <w:t xml:space="preserve">, which excludes the impact of transformation </w:t>
      </w:r>
      <w:r w:rsidR="0065238B">
        <w:rPr>
          <w:rFonts w:ascii="Arial" w:hAnsi="Arial" w:cs="Arial"/>
          <w:sz w:val="24"/>
          <w:szCs w:val="24"/>
        </w:rPr>
        <w:t xml:space="preserve">P&amp;L </w:t>
      </w:r>
      <w:r w:rsidRPr="00DB3649">
        <w:rPr>
          <w:rFonts w:ascii="Arial" w:hAnsi="Arial" w:cs="Arial"/>
          <w:sz w:val="24"/>
          <w:szCs w:val="24"/>
        </w:rPr>
        <w:t>costs and exceptional items</w:t>
      </w:r>
      <w:r w:rsidR="00241697">
        <w:rPr>
          <w:rFonts w:ascii="Arial" w:hAnsi="Arial" w:cs="Arial"/>
          <w:sz w:val="24"/>
          <w:szCs w:val="24"/>
        </w:rPr>
        <w:t xml:space="preserve"> and FFVR</w:t>
      </w:r>
      <w:r w:rsidRPr="00DB3649">
        <w:rPr>
          <w:rFonts w:ascii="Arial" w:hAnsi="Arial" w:cs="Arial"/>
          <w:sz w:val="24"/>
          <w:szCs w:val="24"/>
        </w:rPr>
        <w:t xml:space="preserve">, </w:t>
      </w:r>
      <w:r w:rsidR="00FC104E">
        <w:rPr>
          <w:rFonts w:ascii="Arial" w:hAnsi="Arial" w:cs="Arial"/>
          <w:sz w:val="24"/>
          <w:szCs w:val="24"/>
        </w:rPr>
        <w:t xml:space="preserve">increased by 13.5%, to £436 million, in line with reported retail profit. </w:t>
      </w:r>
      <w:r w:rsidRPr="00DB3649">
        <w:rPr>
          <w:rFonts w:ascii="Arial" w:hAnsi="Arial" w:cs="Arial"/>
          <w:sz w:val="24"/>
          <w:szCs w:val="24"/>
        </w:rPr>
        <w:t xml:space="preserve"> </w:t>
      </w:r>
    </w:p>
    <w:p w14:paraId="522D56B4" w14:textId="77777777" w:rsidR="00F94190" w:rsidRDefault="00F94190" w:rsidP="00773A54">
      <w:pPr>
        <w:ind w:right="-368"/>
        <w:jc w:val="left"/>
        <w:rPr>
          <w:rFonts w:ascii="Arial" w:hAnsi="Arial" w:cs="Arial"/>
          <w:sz w:val="24"/>
          <w:szCs w:val="24"/>
        </w:rPr>
      </w:pPr>
    </w:p>
    <w:p w14:paraId="3EE22EDC" w14:textId="6FD7475C" w:rsidR="00773A54" w:rsidRPr="00925EFB" w:rsidRDefault="00773A54" w:rsidP="00773A54">
      <w:pPr>
        <w:ind w:right="-368"/>
        <w:jc w:val="left"/>
        <w:rPr>
          <w:rFonts w:ascii="Arial" w:hAnsi="Arial" w:cs="Arial"/>
          <w:sz w:val="24"/>
          <w:szCs w:val="24"/>
        </w:rPr>
      </w:pPr>
      <w:r w:rsidRPr="00DB3649">
        <w:rPr>
          <w:rFonts w:ascii="Arial" w:hAnsi="Arial" w:cs="Arial"/>
          <w:b/>
          <w:sz w:val="24"/>
          <w:szCs w:val="24"/>
        </w:rPr>
        <w:t>Adjusted pre-tax profit</w:t>
      </w:r>
      <w:r w:rsidRPr="00DB3649">
        <w:rPr>
          <w:rFonts w:ascii="Arial" w:hAnsi="Arial" w:cs="Arial"/>
          <w:sz w:val="24"/>
          <w:szCs w:val="24"/>
        </w:rPr>
        <w:t>, which excludes the impact of exceptional items</w:t>
      </w:r>
      <w:r w:rsidR="00241697">
        <w:rPr>
          <w:rFonts w:ascii="Arial" w:hAnsi="Arial" w:cs="Arial"/>
          <w:sz w:val="24"/>
          <w:szCs w:val="24"/>
        </w:rPr>
        <w:t xml:space="preserve"> and FFVR</w:t>
      </w:r>
      <w:r w:rsidRPr="00DB3649">
        <w:rPr>
          <w:rFonts w:ascii="Arial" w:hAnsi="Arial" w:cs="Arial"/>
          <w:sz w:val="24"/>
          <w:szCs w:val="24"/>
        </w:rPr>
        <w:t xml:space="preserve">, increased by </w:t>
      </w:r>
      <w:r w:rsidR="003C304F">
        <w:rPr>
          <w:rFonts w:ascii="Arial" w:hAnsi="Arial" w:cs="Arial"/>
          <w:sz w:val="24"/>
          <w:szCs w:val="24"/>
        </w:rPr>
        <w:t>8.9</w:t>
      </w:r>
      <w:r w:rsidRPr="00925EFB">
        <w:rPr>
          <w:rFonts w:ascii="Arial" w:hAnsi="Arial" w:cs="Arial"/>
          <w:sz w:val="24"/>
          <w:szCs w:val="24"/>
        </w:rPr>
        <w:t>% to £4</w:t>
      </w:r>
      <w:r w:rsidR="003C304F">
        <w:rPr>
          <w:rFonts w:ascii="Arial" w:hAnsi="Arial" w:cs="Arial"/>
          <w:sz w:val="24"/>
          <w:szCs w:val="24"/>
        </w:rPr>
        <w:t>18</w:t>
      </w:r>
      <w:r w:rsidRPr="00925EFB">
        <w:rPr>
          <w:rFonts w:ascii="Arial" w:hAnsi="Arial" w:cs="Arial"/>
          <w:sz w:val="24"/>
          <w:szCs w:val="24"/>
        </w:rPr>
        <w:t xml:space="preserve"> million, reflecting £1</w:t>
      </w:r>
      <w:r w:rsidR="00FD56D9">
        <w:rPr>
          <w:rFonts w:ascii="Arial" w:hAnsi="Arial" w:cs="Arial"/>
          <w:sz w:val="24"/>
          <w:szCs w:val="24"/>
        </w:rPr>
        <w:t>8</w:t>
      </w:r>
      <w:r w:rsidR="00FC104E">
        <w:rPr>
          <w:rFonts w:ascii="Arial" w:hAnsi="Arial" w:cs="Arial"/>
          <w:sz w:val="24"/>
          <w:szCs w:val="24"/>
        </w:rPr>
        <w:t xml:space="preserve"> </w:t>
      </w:r>
      <w:r w:rsidRPr="00925EFB">
        <w:rPr>
          <w:rFonts w:ascii="Arial" w:hAnsi="Arial" w:cs="Arial"/>
          <w:sz w:val="24"/>
          <w:szCs w:val="24"/>
        </w:rPr>
        <w:t>m</w:t>
      </w:r>
      <w:r w:rsidR="00FC104E">
        <w:rPr>
          <w:rFonts w:ascii="Arial" w:hAnsi="Arial" w:cs="Arial"/>
          <w:sz w:val="24"/>
          <w:szCs w:val="24"/>
        </w:rPr>
        <w:t>illion</w:t>
      </w:r>
      <w:r w:rsidRPr="00925EFB">
        <w:rPr>
          <w:rFonts w:ascii="Arial" w:hAnsi="Arial" w:cs="Arial"/>
          <w:sz w:val="24"/>
          <w:szCs w:val="24"/>
        </w:rPr>
        <w:t xml:space="preserve"> </w:t>
      </w:r>
      <w:r w:rsidR="00353B5A" w:rsidRPr="00DB3649">
        <w:rPr>
          <w:rFonts w:ascii="Arial" w:hAnsi="Arial" w:cs="Arial"/>
          <w:sz w:val="24"/>
          <w:szCs w:val="24"/>
        </w:rPr>
        <w:t xml:space="preserve">of </w:t>
      </w:r>
      <w:r w:rsidRPr="00DB3649">
        <w:rPr>
          <w:rFonts w:ascii="Arial" w:hAnsi="Arial" w:cs="Arial"/>
          <w:sz w:val="24"/>
          <w:szCs w:val="24"/>
        </w:rPr>
        <w:t xml:space="preserve">transformation </w:t>
      </w:r>
      <w:r w:rsidR="00197094">
        <w:rPr>
          <w:rFonts w:ascii="Arial" w:hAnsi="Arial" w:cs="Arial"/>
          <w:sz w:val="24"/>
          <w:szCs w:val="24"/>
        </w:rPr>
        <w:t xml:space="preserve">P&amp;L </w:t>
      </w:r>
      <w:r w:rsidRPr="00DB3649">
        <w:rPr>
          <w:rFonts w:ascii="Arial" w:hAnsi="Arial" w:cs="Arial"/>
          <w:sz w:val="24"/>
          <w:szCs w:val="24"/>
        </w:rPr>
        <w:t>costs</w:t>
      </w:r>
      <w:r w:rsidR="00F94190">
        <w:rPr>
          <w:rFonts w:ascii="Arial" w:hAnsi="Arial" w:cs="Arial"/>
          <w:sz w:val="24"/>
          <w:szCs w:val="24"/>
        </w:rPr>
        <w:t xml:space="preserve">. </w:t>
      </w:r>
    </w:p>
    <w:p w14:paraId="062C8990" w14:textId="77777777" w:rsidR="00773A54" w:rsidRPr="00265815" w:rsidRDefault="00773A54" w:rsidP="00773A54">
      <w:pPr>
        <w:ind w:right="-368"/>
        <w:jc w:val="left"/>
        <w:rPr>
          <w:rFonts w:ascii="Arial" w:hAnsi="Arial" w:cs="Arial"/>
          <w:sz w:val="24"/>
          <w:szCs w:val="24"/>
          <w:highlight w:val="yellow"/>
        </w:rPr>
      </w:pPr>
      <w:r w:rsidRPr="00265815">
        <w:rPr>
          <w:rFonts w:ascii="Arial" w:hAnsi="Arial" w:cs="Arial"/>
          <w:sz w:val="24"/>
          <w:szCs w:val="24"/>
          <w:highlight w:val="yellow"/>
        </w:rPr>
        <w:t xml:space="preserve"> </w:t>
      </w:r>
    </w:p>
    <w:p w14:paraId="7F1D095A" w14:textId="620FAC3B" w:rsidR="00773A54" w:rsidRPr="00617BF2" w:rsidRDefault="00773A54" w:rsidP="00773A54">
      <w:pPr>
        <w:jc w:val="left"/>
        <w:rPr>
          <w:rFonts w:ascii="Arial" w:hAnsi="Arial" w:cs="Arial"/>
          <w:sz w:val="24"/>
          <w:szCs w:val="24"/>
        </w:rPr>
      </w:pPr>
      <w:r w:rsidRPr="009522AA">
        <w:rPr>
          <w:rFonts w:ascii="Arial" w:hAnsi="Arial" w:cs="Arial"/>
          <w:b/>
          <w:sz w:val="24"/>
          <w:szCs w:val="24"/>
        </w:rPr>
        <w:t>Statutory pre-tax profit</w:t>
      </w:r>
      <w:r w:rsidRPr="009522AA">
        <w:rPr>
          <w:rFonts w:ascii="Arial" w:hAnsi="Arial" w:cs="Arial"/>
          <w:sz w:val="24"/>
          <w:szCs w:val="24"/>
        </w:rPr>
        <w:t xml:space="preserve">, which includes the impact of </w:t>
      </w:r>
      <w:r w:rsidR="003C58D7">
        <w:rPr>
          <w:rFonts w:ascii="Arial" w:hAnsi="Arial" w:cs="Arial"/>
          <w:sz w:val="24"/>
          <w:szCs w:val="24"/>
        </w:rPr>
        <w:t xml:space="preserve">transformation costs, </w:t>
      </w:r>
      <w:r w:rsidRPr="009522AA">
        <w:rPr>
          <w:rFonts w:ascii="Arial" w:hAnsi="Arial" w:cs="Arial"/>
          <w:sz w:val="24"/>
          <w:szCs w:val="24"/>
        </w:rPr>
        <w:t xml:space="preserve">exceptional items </w:t>
      </w:r>
      <w:r w:rsidR="0016009C">
        <w:rPr>
          <w:rFonts w:ascii="Arial" w:hAnsi="Arial" w:cs="Arial"/>
          <w:sz w:val="24"/>
          <w:szCs w:val="24"/>
        </w:rPr>
        <w:t>and FFVR,</w:t>
      </w:r>
      <w:r w:rsidRPr="009522AA">
        <w:rPr>
          <w:rFonts w:ascii="Arial" w:hAnsi="Arial" w:cs="Arial"/>
          <w:sz w:val="24"/>
          <w:szCs w:val="24"/>
        </w:rPr>
        <w:t xml:space="preserve"> </w:t>
      </w:r>
      <w:r w:rsidRPr="00925EFB">
        <w:rPr>
          <w:rFonts w:ascii="Arial" w:hAnsi="Arial" w:cs="Arial"/>
          <w:sz w:val="24"/>
          <w:szCs w:val="24"/>
        </w:rPr>
        <w:t>increased by 1</w:t>
      </w:r>
      <w:r w:rsidR="00D5641B">
        <w:rPr>
          <w:rFonts w:ascii="Arial" w:hAnsi="Arial" w:cs="Arial"/>
          <w:sz w:val="24"/>
          <w:szCs w:val="24"/>
        </w:rPr>
        <w:t>0.6</w:t>
      </w:r>
      <w:r w:rsidRPr="00925EFB">
        <w:rPr>
          <w:rFonts w:ascii="Arial" w:hAnsi="Arial" w:cs="Arial"/>
          <w:sz w:val="24"/>
          <w:szCs w:val="24"/>
        </w:rPr>
        <w:t>% to £42</w:t>
      </w:r>
      <w:r w:rsidR="00D5641B">
        <w:rPr>
          <w:rFonts w:ascii="Arial" w:hAnsi="Arial" w:cs="Arial"/>
          <w:sz w:val="24"/>
          <w:szCs w:val="24"/>
        </w:rPr>
        <w:t>7</w:t>
      </w:r>
      <w:r w:rsidRPr="00925EFB">
        <w:rPr>
          <w:rFonts w:ascii="Arial" w:hAnsi="Arial" w:cs="Arial"/>
          <w:sz w:val="24"/>
          <w:szCs w:val="24"/>
        </w:rPr>
        <w:t xml:space="preserve"> million.</w:t>
      </w:r>
      <w:r w:rsidRPr="00DB3649">
        <w:rPr>
          <w:rFonts w:ascii="Arial" w:hAnsi="Arial" w:cs="Arial"/>
          <w:sz w:val="24"/>
          <w:szCs w:val="24"/>
        </w:rPr>
        <w:t xml:space="preserve"> A reconciliation from the </w:t>
      </w:r>
      <w:r w:rsidR="00F94190">
        <w:rPr>
          <w:rFonts w:ascii="Arial" w:hAnsi="Arial" w:cs="Arial"/>
          <w:sz w:val="24"/>
          <w:szCs w:val="24"/>
        </w:rPr>
        <w:t xml:space="preserve">underlying </w:t>
      </w:r>
      <w:r w:rsidRPr="00DB3649">
        <w:rPr>
          <w:rFonts w:ascii="Arial" w:hAnsi="Arial" w:cs="Arial"/>
          <w:sz w:val="24"/>
          <w:szCs w:val="24"/>
        </w:rPr>
        <w:t>basis to the</w:t>
      </w:r>
      <w:r w:rsidRPr="009522AA">
        <w:rPr>
          <w:rFonts w:ascii="Arial" w:hAnsi="Arial" w:cs="Arial"/>
          <w:sz w:val="24"/>
          <w:szCs w:val="24"/>
        </w:rPr>
        <w:t xml:space="preserve"> statutory basis for pre-tax profit is set out below:</w:t>
      </w:r>
    </w:p>
    <w:tbl>
      <w:tblPr>
        <w:tblStyle w:val="TableGrid"/>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44"/>
        <w:gridCol w:w="1230"/>
        <w:gridCol w:w="1212"/>
        <w:gridCol w:w="1497"/>
      </w:tblGrid>
      <w:tr w:rsidR="00773A54" w:rsidRPr="002A0929" w14:paraId="1D81D80B" w14:textId="77777777" w:rsidTr="00907EA8">
        <w:tc>
          <w:tcPr>
            <w:tcW w:w="2966" w:type="pct"/>
            <w:tcBorders>
              <w:bottom w:val="single" w:sz="4" w:space="0" w:color="auto"/>
            </w:tcBorders>
          </w:tcPr>
          <w:p w14:paraId="17FCBF5A" w14:textId="77777777" w:rsidR="00773A54" w:rsidRPr="00112D34" w:rsidRDefault="00773A54" w:rsidP="00907EA8">
            <w:pPr>
              <w:jc w:val="right"/>
              <w:rPr>
                <w:rFonts w:ascii="Arial" w:hAnsi="Arial" w:cs="Arial"/>
                <w:sz w:val="24"/>
                <w:szCs w:val="24"/>
              </w:rPr>
            </w:pPr>
          </w:p>
        </w:tc>
        <w:tc>
          <w:tcPr>
            <w:tcW w:w="635" w:type="pct"/>
            <w:tcBorders>
              <w:bottom w:val="single" w:sz="4" w:space="0" w:color="auto"/>
            </w:tcBorders>
          </w:tcPr>
          <w:p w14:paraId="5645AAB3"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2016/17</w:t>
            </w:r>
          </w:p>
          <w:p w14:paraId="49B2680C"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£m</w:t>
            </w:r>
          </w:p>
        </w:tc>
        <w:tc>
          <w:tcPr>
            <w:tcW w:w="626" w:type="pct"/>
            <w:tcBorders>
              <w:bottom w:val="single" w:sz="4" w:space="0" w:color="auto"/>
            </w:tcBorders>
          </w:tcPr>
          <w:p w14:paraId="5C4E7816"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2015/16</w:t>
            </w:r>
          </w:p>
          <w:p w14:paraId="4961DB21"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£m</w:t>
            </w:r>
          </w:p>
        </w:tc>
        <w:tc>
          <w:tcPr>
            <w:tcW w:w="773" w:type="pct"/>
            <w:tcBorders>
              <w:bottom w:val="single" w:sz="4" w:space="0" w:color="auto"/>
            </w:tcBorders>
          </w:tcPr>
          <w:p w14:paraId="0EDAC9DD" w14:textId="77777777" w:rsidR="00421A9F" w:rsidRDefault="00421A9F">
            <w:pPr>
              <w:jc w:val="right"/>
              <w:rPr>
                <w:rFonts w:ascii="Arial" w:hAnsi="Arial" w:cs="Arial"/>
                <w:sz w:val="24"/>
                <w:szCs w:val="24"/>
              </w:rPr>
            </w:pPr>
          </w:p>
          <w:p w14:paraId="552F955C" w14:textId="69B6366E" w:rsidR="00773A54" w:rsidRPr="00A03549" w:rsidRDefault="00773A54">
            <w:pPr>
              <w:jc w:val="right"/>
              <w:rPr>
                <w:rFonts w:ascii="Arial" w:hAnsi="Arial" w:cs="Arial"/>
                <w:sz w:val="24"/>
                <w:szCs w:val="24"/>
              </w:rPr>
            </w:pPr>
            <w:r w:rsidRPr="00A03549">
              <w:rPr>
                <w:rFonts w:ascii="Arial" w:hAnsi="Arial" w:cs="Arial"/>
                <w:sz w:val="24"/>
                <w:szCs w:val="24"/>
              </w:rPr>
              <w:t xml:space="preserve">Increase </w:t>
            </w:r>
          </w:p>
        </w:tc>
      </w:tr>
      <w:tr w:rsidR="00C55689" w:rsidRPr="002A0929" w14:paraId="2E909892" w14:textId="77777777" w:rsidTr="0020209B">
        <w:tc>
          <w:tcPr>
            <w:tcW w:w="2966" w:type="pct"/>
            <w:tcBorders>
              <w:top w:val="single" w:sz="4" w:space="0" w:color="auto"/>
            </w:tcBorders>
          </w:tcPr>
          <w:p w14:paraId="151C6C59" w14:textId="7C39F01A" w:rsidR="00C55689" w:rsidRPr="00A03549" w:rsidRDefault="00C55689" w:rsidP="00907EA8">
            <w:pPr>
              <w:jc w:val="left"/>
              <w:rPr>
                <w:rFonts w:ascii="Arial" w:hAnsi="Arial" w:cs="Arial"/>
                <w:b/>
                <w:sz w:val="24"/>
                <w:szCs w:val="24"/>
              </w:rPr>
            </w:pPr>
            <w:r>
              <w:rPr>
                <w:rFonts w:ascii="Arial" w:hAnsi="Arial" w:cs="Arial"/>
                <w:b/>
                <w:sz w:val="24"/>
                <w:szCs w:val="24"/>
              </w:rPr>
              <w:t>Retail profit</w:t>
            </w:r>
          </w:p>
        </w:tc>
        <w:tc>
          <w:tcPr>
            <w:tcW w:w="635" w:type="pct"/>
            <w:tcBorders>
              <w:top w:val="single" w:sz="4" w:space="0" w:color="auto"/>
            </w:tcBorders>
          </w:tcPr>
          <w:p w14:paraId="7E7548CD" w14:textId="55BD1832" w:rsidR="00C55689" w:rsidRPr="00A03549" w:rsidRDefault="00C55689">
            <w:pPr>
              <w:jc w:val="right"/>
              <w:rPr>
                <w:rFonts w:ascii="Arial" w:hAnsi="Arial" w:cs="Arial"/>
                <w:b/>
                <w:sz w:val="24"/>
                <w:szCs w:val="24"/>
              </w:rPr>
            </w:pPr>
            <w:r>
              <w:rPr>
                <w:rFonts w:ascii="Arial" w:hAnsi="Arial" w:cs="Arial"/>
                <w:b/>
                <w:sz w:val="24"/>
                <w:szCs w:val="24"/>
              </w:rPr>
              <w:t>464</w:t>
            </w:r>
          </w:p>
        </w:tc>
        <w:tc>
          <w:tcPr>
            <w:tcW w:w="626" w:type="pct"/>
            <w:tcBorders>
              <w:top w:val="single" w:sz="4" w:space="0" w:color="auto"/>
            </w:tcBorders>
          </w:tcPr>
          <w:p w14:paraId="7476E2B2" w14:textId="52560EA7" w:rsidR="00C55689" w:rsidRDefault="00C55689" w:rsidP="00907EA8">
            <w:pPr>
              <w:jc w:val="right"/>
              <w:rPr>
                <w:rFonts w:ascii="Arial" w:hAnsi="Arial" w:cs="Arial"/>
                <w:sz w:val="24"/>
                <w:szCs w:val="24"/>
              </w:rPr>
            </w:pPr>
            <w:r>
              <w:rPr>
                <w:rFonts w:ascii="Arial" w:hAnsi="Arial" w:cs="Arial"/>
                <w:sz w:val="24"/>
                <w:szCs w:val="24"/>
              </w:rPr>
              <w:t>410</w:t>
            </w:r>
          </w:p>
        </w:tc>
        <w:tc>
          <w:tcPr>
            <w:tcW w:w="773" w:type="pct"/>
            <w:tcBorders>
              <w:top w:val="single" w:sz="4" w:space="0" w:color="auto"/>
            </w:tcBorders>
            <w:vAlign w:val="bottom"/>
          </w:tcPr>
          <w:p w14:paraId="0FE3BB2E" w14:textId="6EC36076" w:rsidR="00C55689" w:rsidRDefault="00C55689">
            <w:pPr>
              <w:jc w:val="right"/>
              <w:rPr>
                <w:rFonts w:ascii="Arial" w:hAnsi="Arial" w:cs="Arial"/>
                <w:sz w:val="24"/>
                <w:szCs w:val="24"/>
              </w:rPr>
            </w:pPr>
            <w:r>
              <w:rPr>
                <w:rFonts w:ascii="Arial" w:hAnsi="Arial" w:cs="Arial"/>
                <w:sz w:val="24"/>
                <w:szCs w:val="24"/>
              </w:rPr>
              <w:t>+13.</w:t>
            </w:r>
            <w:r w:rsidR="000B34A0">
              <w:rPr>
                <w:rFonts w:ascii="Arial" w:hAnsi="Arial" w:cs="Arial"/>
                <w:sz w:val="24"/>
                <w:szCs w:val="24"/>
              </w:rPr>
              <w:t>1</w:t>
            </w:r>
            <w:r>
              <w:rPr>
                <w:rFonts w:ascii="Arial" w:hAnsi="Arial" w:cs="Arial"/>
                <w:sz w:val="24"/>
                <w:szCs w:val="24"/>
              </w:rPr>
              <w:t>%</w:t>
            </w:r>
          </w:p>
        </w:tc>
      </w:tr>
      <w:tr w:rsidR="00C55689" w:rsidRPr="002A0929" w14:paraId="7ABED8CB" w14:textId="77777777" w:rsidTr="0020209B">
        <w:tc>
          <w:tcPr>
            <w:tcW w:w="2966" w:type="pct"/>
          </w:tcPr>
          <w:p w14:paraId="0BE5E6B7" w14:textId="3A0368A1" w:rsidR="00C55689" w:rsidRPr="0020209B" w:rsidRDefault="00C55689" w:rsidP="00907EA8">
            <w:pPr>
              <w:jc w:val="left"/>
              <w:rPr>
                <w:rFonts w:ascii="Arial" w:hAnsi="Arial" w:cs="Arial"/>
                <w:sz w:val="24"/>
                <w:szCs w:val="24"/>
              </w:rPr>
            </w:pPr>
            <w:r w:rsidRPr="0020209B">
              <w:rPr>
                <w:rFonts w:ascii="Arial" w:hAnsi="Arial" w:cs="Arial"/>
                <w:sz w:val="24"/>
                <w:szCs w:val="24"/>
              </w:rPr>
              <w:t>Central costs</w:t>
            </w:r>
          </w:p>
        </w:tc>
        <w:tc>
          <w:tcPr>
            <w:tcW w:w="635" w:type="pct"/>
          </w:tcPr>
          <w:p w14:paraId="0DD0B3A7" w14:textId="2FD1AFF9" w:rsidR="00C55689" w:rsidRPr="00A03549" w:rsidRDefault="00C55689">
            <w:pPr>
              <w:jc w:val="right"/>
              <w:rPr>
                <w:rFonts w:ascii="Arial" w:hAnsi="Arial" w:cs="Arial"/>
                <w:b/>
                <w:sz w:val="24"/>
                <w:szCs w:val="24"/>
              </w:rPr>
            </w:pPr>
            <w:r>
              <w:rPr>
                <w:rFonts w:ascii="Arial" w:hAnsi="Arial" w:cs="Arial"/>
                <w:b/>
                <w:sz w:val="24"/>
                <w:szCs w:val="24"/>
              </w:rPr>
              <w:t>(22)</w:t>
            </w:r>
          </w:p>
        </w:tc>
        <w:tc>
          <w:tcPr>
            <w:tcW w:w="626" w:type="pct"/>
          </w:tcPr>
          <w:p w14:paraId="1A88D7D9" w14:textId="1A58A1E0" w:rsidR="00C55689" w:rsidRDefault="00C55689" w:rsidP="00907EA8">
            <w:pPr>
              <w:jc w:val="right"/>
              <w:rPr>
                <w:rFonts w:ascii="Arial" w:hAnsi="Arial" w:cs="Arial"/>
                <w:sz w:val="24"/>
                <w:szCs w:val="24"/>
              </w:rPr>
            </w:pPr>
            <w:r>
              <w:rPr>
                <w:rFonts w:ascii="Arial" w:hAnsi="Arial" w:cs="Arial"/>
                <w:sz w:val="24"/>
                <w:szCs w:val="24"/>
              </w:rPr>
              <w:t>(19)</w:t>
            </w:r>
          </w:p>
        </w:tc>
        <w:tc>
          <w:tcPr>
            <w:tcW w:w="773" w:type="pct"/>
            <w:vAlign w:val="bottom"/>
          </w:tcPr>
          <w:p w14:paraId="0ECD72EE" w14:textId="5546CD9D" w:rsidR="00C55689" w:rsidRDefault="00C55689" w:rsidP="00907EA8">
            <w:pPr>
              <w:jc w:val="right"/>
              <w:rPr>
                <w:rFonts w:ascii="Arial" w:hAnsi="Arial" w:cs="Arial"/>
                <w:sz w:val="24"/>
                <w:szCs w:val="24"/>
              </w:rPr>
            </w:pPr>
            <w:r>
              <w:rPr>
                <w:rFonts w:ascii="Arial" w:hAnsi="Arial" w:cs="Arial"/>
                <w:sz w:val="24"/>
                <w:szCs w:val="24"/>
              </w:rPr>
              <w:t>n/a</w:t>
            </w:r>
          </w:p>
        </w:tc>
      </w:tr>
      <w:tr w:rsidR="00C55689" w:rsidRPr="002A0929" w14:paraId="4CC739E1" w14:textId="77777777" w:rsidTr="000F5ECE">
        <w:tc>
          <w:tcPr>
            <w:tcW w:w="2966" w:type="pct"/>
          </w:tcPr>
          <w:p w14:paraId="7F0BE4BB" w14:textId="59AF1BEB" w:rsidR="00C55689" w:rsidRPr="0020209B" w:rsidRDefault="00C55689" w:rsidP="00907EA8">
            <w:pPr>
              <w:jc w:val="left"/>
              <w:rPr>
                <w:rFonts w:ascii="Arial" w:hAnsi="Arial" w:cs="Arial"/>
                <w:sz w:val="24"/>
                <w:szCs w:val="24"/>
              </w:rPr>
            </w:pPr>
            <w:r w:rsidRPr="0020209B">
              <w:rPr>
                <w:rFonts w:ascii="Arial" w:hAnsi="Arial" w:cs="Arial"/>
                <w:sz w:val="24"/>
                <w:szCs w:val="24"/>
              </w:rPr>
              <w:t>Share of interest and tax of joint ventures &amp; associates</w:t>
            </w:r>
          </w:p>
        </w:tc>
        <w:tc>
          <w:tcPr>
            <w:tcW w:w="635" w:type="pct"/>
          </w:tcPr>
          <w:p w14:paraId="2DCEEE73" w14:textId="77777777" w:rsidR="00C55689" w:rsidRDefault="00C55689">
            <w:pPr>
              <w:jc w:val="right"/>
              <w:rPr>
                <w:rFonts w:ascii="Arial" w:hAnsi="Arial" w:cs="Arial"/>
                <w:b/>
                <w:sz w:val="24"/>
                <w:szCs w:val="24"/>
              </w:rPr>
            </w:pPr>
          </w:p>
          <w:p w14:paraId="0652C9BB" w14:textId="769E70B7" w:rsidR="00C55689" w:rsidRPr="00A03549" w:rsidRDefault="00C55689">
            <w:pPr>
              <w:jc w:val="right"/>
              <w:rPr>
                <w:rFonts w:ascii="Arial" w:hAnsi="Arial" w:cs="Arial"/>
                <w:b/>
                <w:sz w:val="24"/>
                <w:szCs w:val="24"/>
              </w:rPr>
            </w:pPr>
            <w:r>
              <w:rPr>
                <w:rFonts w:ascii="Arial" w:hAnsi="Arial" w:cs="Arial"/>
                <w:b/>
                <w:sz w:val="24"/>
                <w:szCs w:val="24"/>
              </w:rPr>
              <w:t>(2)</w:t>
            </w:r>
          </w:p>
        </w:tc>
        <w:tc>
          <w:tcPr>
            <w:tcW w:w="626" w:type="pct"/>
          </w:tcPr>
          <w:p w14:paraId="21875342" w14:textId="77777777" w:rsidR="00C55689" w:rsidRDefault="00C55689" w:rsidP="00907EA8">
            <w:pPr>
              <w:jc w:val="right"/>
              <w:rPr>
                <w:rFonts w:ascii="Arial" w:hAnsi="Arial" w:cs="Arial"/>
                <w:sz w:val="24"/>
                <w:szCs w:val="24"/>
              </w:rPr>
            </w:pPr>
          </w:p>
          <w:p w14:paraId="3111BEB6" w14:textId="5F91CCC3" w:rsidR="00C55689" w:rsidRDefault="00C55689" w:rsidP="00907EA8">
            <w:pPr>
              <w:jc w:val="right"/>
              <w:rPr>
                <w:rFonts w:ascii="Arial" w:hAnsi="Arial" w:cs="Arial"/>
                <w:sz w:val="24"/>
                <w:szCs w:val="24"/>
              </w:rPr>
            </w:pPr>
            <w:r>
              <w:rPr>
                <w:rFonts w:ascii="Arial" w:hAnsi="Arial" w:cs="Arial"/>
                <w:sz w:val="24"/>
                <w:szCs w:val="24"/>
              </w:rPr>
              <w:t>(2)</w:t>
            </w:r>
          </w:p>
        </w:tc>
        <w:tc>
          <w:tcPr>
            <w:tcW w:w="773" w:type="pct"/>
            <w:vAlign w:val="bottom"/>
          </w:tcPr>
          <w:p w14:paraId="10CE134D" w14:textId="37570C80" w:rsidR="00C55689" w:rsidRDefault="00C55689" w:rsidP="00907EA8">
            <w:pPr>
              <w:jc w:val="right"/>
              <w:rPr>
                <w:rFonts w:ascii="Arial" w:hAnsi="Arial" w:cs="Arial"/>
                <w:sz w:val="24"/>
                <w:szCs w:val="24"/>
              </w:rPr>
            </w:pPr>
            <w:r>
              <w:rPr>
                <w:rFonts w:ascii="Arial" w:hAnsi="Arial" w:cs="Arial"/>
                <w:sz w:val="24"/>
                <w:szCs w:val="24"/>
              </w:rPr>
              <w:t>n/a</w:t>
            </w:r>
          </w:p>
        </w:tc>
      </w:tr>
      <w:tr w:rsidR="00C55689" w:rsidRPr="002A0929" w14:paraId="099870DD" w14:textId="77777777" w:rsidTr="000F5ECE">
        <w:tc>
          <w:tcPr>
            <w:tcW w:w="2966" w:type="pct"/>
            <w:tcBorders>
              <w:bottom w:val="single" w:sz="4" w:space="0" w:color="auto"/>
            </w:tcBorders>
          </w:tcPr>
          <w:p w14:paraId="4A4A61AD" w14:textId="3B5F330C" w:rsidR="00C55689" w:rsidRPr="00B2652F" w:rsidRDefault="00C55689" w:rsidP="00907EA8">
            <w:pPr>
              <w:jc w:val="left"/>
              <w:rPr>
                <w:rFonts w:ascii="Arial" w:hAnsi="Arial" w:cs="Arial"/>
                <w:sz w:val="24"/>
                <w:szCs w:val="24"/>
              </w:rPr>
            </w:pPr>
            <w:r w:rsidRPr="00B2652F">
              <w:rPr>
                <w:rFonts w:ascii="Arial" w:hAnsi="Arial" w:cs="Arial"/>
                <w:sz w:val="24"/>
                <w:szCs w:val="24"/>
              </w:rPr>
              <w:t>Finance costs before exceptional items &amp; financing fair value remeasurements (FFVR)</w:t>
            </w:r>
          </w:p>
        </w:tc>
        <w:tc>
          <w:tcPr>
            <w:tcW w:w="635" w:type="pct"/>
            <w:tcBorders>
              <w:bottom w:val="single" w:sz="4" w:space="0" w:color="auto"/>
            </w:tcBorders>
          </w:tcPr>
          <w:p w14:paraId="0BC1F99F" w14:textId="77777777" w:rsidR="00C55689" w:rsidRDefault="00C55689">
            <w:pPr>
              <w:jc w:val="right"/>
              <w:rPr>
                <w:rFonts w:ascii="Arial" w:hAnsi="Arial" w:cs="Arial"/>
                <w:b/>
                <w:sz w:val="24"/>
                <w:szCs w:val="24"/>
              </w:rPr>
            </w:pPr>
          </w:p>
          <w:p w14:paraId="2291FED2" w14:textId="2B9204C8" w:rsidR="00C55689" w:rsidRPr="00A03549" w:rsidRDefault="00C55689">
            <w:pPr>
              <w:jc w:val="right"/>
              <w:rPr>
                <w:rFonts w:ascii="Arial" w:hAnsi="Arial" w:cs="Arial"/>
                <w:b/>
                <w:sz w:val="24"/>
                <w:szCs w:val="24"/>
              </w:rPr>
            </w:pPr>
            <w:r>
              <w:rPr>
                <w:rFonts w:ascii="Arial" w:hAnsi="Arial" w:cs="Arial"/>
                <w:b/>
                <w:sz w:val="24"/>
                <w:szCs w:val="24"/>
              </w:rPr>
              <w:t>(4)</w:t>
            </w:r>
          </w:p>
        </w:tc>
        <w:tc>
          <w:tcPr>
            <w:tcW w:w="626" w:type="pct"/>
            <w:tcBorders>
              <w:bottom w:val="single" w:sz="4" w:space="0" w:color="auto"/>
            </w:tcBorders>
          </w:tcPr>
          <w:p w14:paraId="508AC94E" w14:textId="77777777" w:rsidR="00C55689" w:rsidRDefault="00C55689" w:rsidP="00907EA8">
            <w:pPr>
              <w:jc w:val="right"/>
              <w:rPr>
                <w:rFonts w:ascii="Arial" w:hAnsi="Arial" w:cs="Arial"/>
                <w:sz w:val="24"/>
                <w:szCs w:val="24"/>
              </w:rPr>
            </w:pPr>
          </w:p>
          <w:p w14:paraId="55E97104" w14:textId="775987E7" w:rsidR="00C55689" w:rsidRDefault="00C55689" w:rsidP="00907EA8">
            <w:pPr>
              <w:jc w:val="right"/>
              <w:rPr>
                <w:rFonts w:ascii="Arial" w:hAnsi="Arial" w:cs="Arial"/>
                <w:sz w:val="24"/>
                <w:szCs w:val="24"/>
              </w:rPr>
            </w:pPr>
            <w:r>
              <w:rPr>
                <w:rFonts w:ascii="Arial" w:hAnsi="Arial" w:cs="Arial"/>
                <w:sz w:val="24"/>
                <w:szCs w:val="24"/>
              </w:rPr>
              <w:t>(5)</w:t>
            </w:r>
          </w:p>
        </w:tc>
        <w:tc>
          <w:tcPr>
            <w:tcW w:w="773" w:type="pct"/>
            <w:tcBorders>
              <w:bottom w:val="single" w:sz="4" w:space="0" w:color="auto"/>
            </w:tcBorders>
            <w:vAlign w:val="bottom"/>
          </w:tcPr>
          <w:p w14:paraId="77A17F2A" w14:textId="1BCE3317" w:rsidR="00C55689" w:rsidRDefault="00C55689" w:rsidP="00907EA8">
            <w:pPr>
              <w:jc w:val="right"/>
              <w:rPr>
                <w:rFonts w:ascii="Arial" w:hAnsi="Arial" w:cs="Arial"/>
                <w:sz w:val="24"/>
                <w:szCs w:val="24"/>
              </w:rPr>
            </w:pPr>
            <w:r>
              <w:rPr>
                <w:rFonts w:ascii="Arial" w:hAnsi="Arial" w:cs="Arial"/>
                <w:sz w:val="24"/>
                <w:szCs w:val="24"/>
              </w:rPr>
              <w:t>n/a</w:t>
            </w:r>
          </w:p>
        </w:tc>
      </w:tr>
      <w:tr w:rsidR="00773A54" w:rsidRPr="002A0929" w14:paraId="0C9EDA56" w14:textId="77777777" w:rsidTr="000F5ECE">
        <w:tc>
          <w:tcPr>
            <w:tcW w:w="2966" w:type="pct"/>
            <w:tcBorders>
              <w:top w:val="single" w:sz="4" w:space="0" w:color="auto"/>
            </w:tcBorders>
          </w:tcPr>
          <w:p w14:paraId="1949EDDF" w14:textId="77777777" w:rsidR="00773A54" w:rsidRPr="00A03549" w:rsidRDefault="00773A54" w:rsidP="00907EA8">
            <w:pPr>
              <w:jc w:val="left"/>
              <w:rPr>
                <w:rFonts w:ascii="Arial" w:hAnsi="Arial" w:cs="Arial"/>
                <w:b/>
                <w:sz w:val="24"/>
                <w:szCs w:val="24"/>
              </w:rPr>
            </w:pPr>
            <w:r w:rsidRPr="00A03549">
              <w:rPr>
                <w:rFonts w:ascii="Arial" w:hAnsi="Arial" w:cs="Arial"/>
                <w:b/>
                <w:sz w:val="24"/>
                <w:szCs w:val="24"/>
              </w:rPr>
              <w:t>Underlying pre-tax profit</w:t>
            </w:r>
          </w:p>
        </w:tc>
        <w:tc>
          <w:tcPr>
            <w:tcW w:w="635" w:type="pct"/>
            <w:tcBorders>
              <w:top w:val="single" w:sz="4" w:space="0" w:color="auto"/>
            </w:tcBorders>
          </w:tcPr>
          <w:p w14:paraId="44374F9D" w14:textId="0E5318D1" w:rsidR="00773A54" w:rsidRPr="00A03549" w:rsidRDefault="00773A54">
            <w:pPr>
              <w:jc w:val="right"/>
              <w:rPr>
                <w:rFonts w:ascii="Arial" w:hAnsi="Arial" w:cs="Arial"/>
                <w:b/>
                <w:sz w:val="24"/>
                <w:szCs w:val="24"/>
              </w:rPr>
            </w:pPr>
            <w:r w:rsidRPr="00A03549">
              <w:rPr>
                <w:rFonts w:ascii="Arial" w:hAnsi="Arial" w:cs="Arial"/>
                <w:b/>
                <w:sz w:val="24"/>
                <w:szCs w:val="24"/>
              </w:rPr>
              <w:t>43</w:t>
            </w:r>
            <w:r w:rsidR="00A45362">
              <w:rPr>
                <w:rFonts w:ascii="Arial" w:hAnsi="Arial" w:cs="Arial"/>
                <w:b/>
                <w:sz w:val="24"/>
                <w:szCs w:val="24"/>
              </w:rPr>
              <w:t>6</w:t>
            </w:r>
          </w:p>
        </w:tc>
        <w:tc>
          <w:tcPr>
            <w:tcW w:w="626" w:type="pct"/>
            <w:tcBorders>
              <w:top w:val="single" w:sz="4" w:space="0" w:color="auto"/>
            </w:tcBorders>
          </w:tcPr>
          <w:p w14:paraId="18F61E71" w14:textId="694DC275" w:rsidR="00773A54" w:rsidRPr="009E70F6" w:rsidRDefault="009E70F6" w:rsidP="00907EA8">
            <w:pPr>
              <w:jc w:val="right"/>
              <w:rPr>
                <w:rFonts w:ascii="Arial" w:hAnsi="Arial" w:cs="Arial"/>
                <w:sz w:val="24"/>
                <w:szCs w:val="24"/>
              </w:rPr>
            </w:pPr>
            <w:r>
              <w:rPr>
                <w:rFonts w:ascii="Arial" w:hAnsi="Arial" w:cs="Arial"/>
                <w:sz w:val="24"/>
                <w:szCs w:val="24"/>
              </w:rPr>
              <w:t>384</w:t>
            </w:r>
          </w:p>
        </w:tc>
        <w:tc>
          <w:tcPr>
            <w:tcW w:w="773" w:type="pct"/>
            <w:tcBorders>
              <w:top w:val="single" w:sz="4" w:space="0" w:color="auto"/>
            </w:tcBorders>
            <w:vAlign w:val="bottom"/>
          </w:tcPr>
          <w:p w14:paraId="34FA97D0" w14:textId="6729EA47" w:rsidR="00773A54" w:rsidRPr="00A03549" w:rsidRDefault="009E70F6" w:rsidP="00907EA8">
            <w:pPr>
              <w:jc w:val="right"/>
              <w:rPr>
                <w:rFonts w:ascii="Arial" w:hAnsi="Arial" w:cs="Arial"/>
                <w:sz w:val="24"/>
                <w:szCs w:val="24"/>
              </w:rPr>
            </w:pPr>
            <w:r>
              <w:rPr>
                <w:rFonts w:ascii="Arial" w:hAnsi="Arial" w:cs="Arial"/>
                <w:sz w:val="24"/>
                <w:szCs w:val="24"/>
              </w:rPr>
              <w:t>+13.5%</w:t>
            </w:r>
          </w:p>
        </w:tc>
      </w:tr>
      <w:tr w:rsidR="00773A54" w:rsidRPr="002A0929" w14:paraId="7DE42D16" w14:textId="77777777" w:rsidTr="000F5ECE">
        <w:tc>
          <w:tcPr>
            <w:tcW w:w="2966" w:type="pct"/>
          </w:tcPr>
          <w:p w14:paraId="452ACB91" w14:textId="24D6D3C3" w:rsidR="00773A54" w:rsidRPr="00A03549" w:rsidRDefault="000B266B">
            <w:pPr>
              <w:jc w:val="left"/>
              <w:rPr>
                <w:rFonts w:ascii="Arial" w:hAnsi="Arial" w:cs="Arial"/>
                <w:sz w:val="24"/>
                <w:szCs w:val="24"/>
              </w:rPr>
            </w:pPr>
            <w:r>
              <w:rPr>
                <w:rFonts w:ascii="Arial" w:hAnsi="Arial" w:cs="Arial"/>
                <w:sz w:val="24"/>
                <w:szCs w:val="24"/>
              </w:rPr>
              <w:t>T</w:t>
            </w:r>
            <w:r w:rsidR="00773A54" w:rsidRPr="00A03549">
              <w:rPr>
                <w:rFonts w:ascii="Arial" w:hAnsi="Arial" w:cs="Arial"/>
                <w:sz w:val="24"/>
                <w:szCs w:val="24"/>
              </w:rPr>
              <w:t>ransformation</w:t>
            </w:r>
            <w:r w:rsidR="00D02AC2">
              <w:rPr>
                <w:rFonts w:ascii="Arial" w:hAnsi="Arial" w:cs="Arial"/>
                <w:sz w:val="24"/>
                <w:szCs w:val="24"/>
              </w:rPr>
              <w:t xml:space="preserve"> </w:t>
            </w:r>
            <w:r>
              <w:rPr>
                <w:rFonts w:ascii="Arial" w:hAnsi="Arial" w:cs="Arial"/>
                <w:sz w:val="24"/>
                <w:szCs w:val="24"/>
              </w:rPr>
              <w:t xml:space="preserve">P&amp;L </w:t>
            </w:r>
            <w:r w:rsidR="00773A54" w:rsidRPr="00A03549">
              <w:rPr>
                <w:rFonts w:ascii="Arial" w:hAnsi="Arial" w:cs="Arial"/>
                <w:sz w:val="24"/>
                <w:szCs w:val="24"/>
              </w:rPr>
              <w:t>costs</w:t>
            </w:r>
          </w:p>
        </w:tc>
        <w:tc>
          <w:tcPr>
            <w:tcW w:w="635" w:type="pct"/>
          </w:tcPr>
          <w:p w14:paraId="15D0479B" w14:textId="24EBD142" w:rsidR="00773A54" w:rsidRPr="00B2652F" w:rsidRDefault="00773A54">
            <w:pPr>
              <w:jc w:val="right"/>
              <w:rPr>
                <w:rFonts w:ascii="Arial" w:hAnsi="Arial" w:cs="Arial"/>
                <w:b/>
                <w:sz w:val="24"/>
                <w:szCs w:val="24"/>
              </w:rPr>
            </w:pPr>
            <w:r w:rsidRPr="00B2652F">
              <w:rPr>
                <w:rFonts w:ascii="Arial" w:hAnsi="Arial" w:cs="Arial"/>
                <w:b/>
                <w:sz w:val="24"/>
                <w:szCs w:val="24"/>
              </w:rPr>
              <w:t>(1</w:t>
            </w:r>
            <w:r w:rsidR="001555BA" w:rsidRPr="00B2652F">
              <w:rPr>
                <w:rFonts w:ascii="Arial" w:hAnsi="Arial" w:cs="Arial"/>
                <w:b/>
                <w:sz w:val="24"/>
                <w:szCs w:val="24"/>
              </w:rPr>
              <w:t>8</w:t>
            </w:r>
            <w:r w:rsidRPr="00B2652F">
              <w:rPr>
                <w:rFonts w:ascii="Arial" w:hAnsi="Arial" w:cs="Arial"/>
                <w:b/>
                <w:sz w:val="24"/>
                <w:szCs w:val="24"/>
              </w:rPr>
              <w:t>)</w:t>
            </w:r>
          </w:p>
        </w:tc>
        <w:tc>
          <w:tcPr>
            <w:tcW w:w="626" w:type="pct"/>
          </w:tcPr>
          <w:p w14:paraId="7257B52F" w14:textId="77777777" w:rsidR="00773A54" w:rsidRPr="009E70F6" w:rsidRDefault="00773A54" w:rsidP="00907EA8">
            <w:pPr>
              <w:jc w:val="right"/>
              <w:rPr>
                <w:rFonts w:ascii="Arial" w:hAnsi="Arial" w:cs="Arial"/>
                <w:sz w:val="24"/>
                <w:szCs w:val="24"/>
              </w:rPr>
            </w:pPr>
            <w:r w:rsidRPr="009E70F6">
              <w:rPr>
                <w:rFonts w:ascii="Arial" w:hAnsi="Arial" w:cs="Arial"/>
                <w:sz w:val="24"/>
                <w:szCs w:val="24"/>
              </w:rPr>
              <w:t>-</w:t>
            </w:r>
          </w:p>
        </w:tc>
        <w:tc>
          <w:tcPr>
            <w:tcW w:w="773" w:type="pct"/>
            <w:vAlign w:val="bottom"/>
          </w:tcPr>
          <w:p w14:paraId="29CECEE7" w14:textId="18F75215" w:rsidR="00773A54" w:rsidRPr="00A03549" w:rsidRDefault="00DB3649" w:rsidP="00907EA8">
            <w:pPr>
              <w:jc w:val="right"/>
              <w:rPr>
                <w:rFonts w:ascii="Arial" w:hAnsi="Arial" w:cs="Arial"/>
                <w:sz w:val="24"/>
                <w:szCs w:val="24"/>
              </w:rPr>
            </w:pPr>
            <w:r>
              <w:rPr>
                <w:rFonts w:ascii="Arial" w:hAnsi="Arial" w:cs="Arial"/>
                <w:sz w:val="24"/>
                <w:szCs w:val="24"/>
              </w:rPr>
              <w:t>n/a</w:t>
            </w:r>
          </w:p>
        </w:tc>
      </w:tr>
      <w:tr w:rsidR="00773A54" w:rsidRPr="002A0929" w14:paraId="671D16CD" w14:textId="77777777" w:rsidTr="00907EA8">
        <w:tc>
          <w:tcPr>
            <w:tcW w:w="2966" w:type="pct"/>
            <w:tcBorders>
              <w:top w:val="single" w:sz="4" w:space="0" w:color="auto"/>
            </w:tcBorders>
          </w:tcPr>
          <w:p w14:paraId="35A29589" w14:textId="77777777" w:rsidR="00773A54" w:rsidRPr="00A03549" w:rsidRDefault="00773A54" w:rsidP="00907EA8">
            <w:pPr>
              <w:jc w:val="left"/>
              <w:rPr>
                <w:rFonts w:ascii="Arial" w:hAnsi="Arial" w:cs="Arial"/>
                <w:b/>
                <w:sz w:val="24"/>
                <w:szCs w:val="24"/>
              </w:rPr>
            </w:pPr>
            <w:r w:rsidRPr="00A03549">
              <w:rPr>
                <w:rFonts w:ascii="Arial" w:hAnsi="Arial" w:cs="Arial"/>
                <w:b/>
                <w:sz w:val="24"/>
                <w:szCs w:val="24"/>
              </w:rPr>
              <w:t>Adjusted pre-tax profit</w:t>
            </w:r>
          </w:p>
        </w:tc>
        <w:tc>
          <w:tcPr>
            <w:tcW w:w="635" w:type="pct"/>
            <w:tcBorders>
              <w:top w:val="single" w:sz="4" w:space="0" w:color="auto"/>
            </w:tcBorders>
          </w:tcPr>
          <w:p w14:paraId="394F7C04" w14:textId="577DEAC5" w:rsidR="00773A54" w:rsidRPr="00A03549" w:rsidRDefault="00773A54">
            <w:pPr>
              <w:jc w:val="right"/>
              <w:rPr>
                <w:rFonts w:ascii="Arial" w:hAnsi="Arial" w:cs="Arial"/>
                <w:b/>
                <w:sz w:val="24"/>
                <w:szCs w:val="24"/>
              </w:rPr>
            </w:pPr>
            <w:r w:rsidRPr="00A03549">
              <w:rPr>
                <w:rFonts w:ascii="Arial" w:hAnsi="Arial" w:cs="Arial"/>
                <w:b/>
                <w:sz w:val="24"/>
                <w:szCs w:val="24"/>
              </w:rPr>
              <w:t>4</w:t>
            </w:r>
            <w:r w:rsidR="00A45362">
              <w:rPr>
                <w:rFonts w:ascii="Arial" w:hAnsi="Arial" w:cs="Arial"/>
                <w:b/>
                <w:sz w:val="24"/>
                <w:szCs w:val="24"/>
              </w:rPr>
              <w:t>18</w:t>
            </w:r>
          </w:p>
        </w:tc>
        <w:tc>
          <w:tcPr>
            <w:tcW w:w="626" w:type="pct"/>
            <w:tcBorders>
              <w:top w:val="single" w:sz="4" w:space="0" w:color="auto"/>
            </w:tcBorders>
          </w:tcPr>
          <w:p w14:paraId="395577BA" w14:textId="77777777" w:rsidR="00773A54" w:rsidRPr="009E70F6" w:rsidRDefault="00773A54" w:rsidP="00907EA8">
            <w:pPr>
              <w:jc w:val="right"/>
              <w:rPr>
                <w:rFonts w:ascii="Arial" w:hAnsi="Arial" w:cs="Arial"/>
                <w:sz w:val="24"/>
                <w:szCs w:val="24"/>
              </w:rPr>
            </w:pPr>
            <w:r w:rsidRPr="00E304FD">
              <w:rPr>
                <w:rFonts w:ascii="Arial" w:hAnsi="Arial" w:cs="Arial"/>
                <w:sz w:val="24"/>
                <w:szCs w:val="24"/>
              </w:rPr>
              <w:t>384</w:t>
            </w:r>
          </w:p>
        </w:tc>
        <w:tc>
          <w:tcPr>
            <w:tcW w:w="773" w:type="pct"/>
            <w:tcBorders>
              <w:top w:val="single" w:sz="4" w:space="0" w:color="auto"/>
            </w:tcBorders>
            <w:vAlign w:val="bottom"/>
          </w:tcPr>
          <w:p w14:paraId="1EDEDEFB" w14:textId="14A46C59" w:rsidR="00773A54" w:rsidRPr="00A03549" w:rsidRDefault="00773A54">
            <w:pPr>
              <w:jc w:val="right"/>
              <w:rPr>
                <w:rFonts w:ascii="Arial" w:hAnsi="Arial" w:cs="Arial"/>
                <w:sz w:val="24"/>
                <w:szCs w:val="24"/>
              </w:rPr>
            </w:pPr>
            <w:r w:rsidRPr="00A03549">
              <w:rPr>
                <w:rFonts w:ascii="Arial" w:hAnsi="Arial" w:cs="Arial"/>
                <w:sz w:val="24"/>
                <w:szCs w:val="24"/>
              </w:rPr>
              <w:t>+</w:t>
            </w:r>
            <w:r w:rsidR="00A45362">
              <w:rPr>
                <w:rFonts w:ascii="Arial" w:hAnsi="Arial" w:cs="Arial"/>
                <w:sz w:val="24"/>
                <w:szCs w:val="24"/>
              </w:rPr>
              <w:t>8.9</w:t>
            </w:r>
            <w:r w:rsidRPr="00A03549">
              <w:rPr>
                <w:rFonts w:ascii="Arial" w:hAnsi="Arial" w:cs="Arial"/>
                <w:sz w:val="24"/>
                <w:szCs w:val="24"/>
              </w:rPr>
              <w:t>%</w:t>
            </w:r>
          </w:p>
        </w:tc>
      </w:tr>
      <w:tr w:rsidR="00773A54" w:rsidRPr="002A0929" w14:paraId="7B8C8A52" w14:textId="77777777" w:rsidTr="00907EA8">
        <w:tc>
          <w:tcPr>
            <w:tcW w:w="2966" w:type="pct"/>
          </w:tcPr>
          <w:p w14:paraId="6200AB95" w14:textId="77777777" w:rsidR="00773A54" w:rsidRPr="00A03549" w:rsidRDefault="00773A54" w:rsidP="00907EA8">
            <w:pPr>
              <w:jc w:val="left"/>
              <w:rPr>
                <w:rFonts w:ascii="Arial" w:hAnsi="Arial" w:cs="Arial"/>
                <w:sz w:val="24"/>
                <w:szCs w:val="24"/>
              </w:rPr>
            </w:pPr>
            <w:r w:rsidRPr="00A03549">
              <w:rPr>
                <w:rFonts w:ascii="Arial" w:hAnsi="Arial" w:cs="Arial"/>
                <w:sz w:val="24"/>
                <w:szCs w:val="24"/>
              </w:rPr>
              <w:t>B&amp;Q China operating loss</w:t>
            </w:r>
          </w:p>
        </w:tc>
        <w:tc>
          <w:tcPr>
            <w:tcW w:w="635" w:type="pct"/>
          </w:tcPr>
          <w:p w14:paraId="4EC36FA9" w14:textId="77777777" w:rsidR="00773A54" w:rsidRPr="00A03549" w:rsidDel="000E6907" w:rsidRDefault="00773A54" w:rsidP="00907EA8">
            <w:pPr>
              <w:jc w:val="right"/>
              <w:rPr>
                <w:rFonts w:ascii="Arial" w:hAnsi="Arial" w:cs="Arial"/>
                <w:b/>
                <w:sz w:val="24"/>
                <w:szCs w:val="24"/>
              </w:rPr>
            </w:pPr>
            <w:r w:rsidRPr="00A03549">
              <w:rPr>
                <w:rFonts w:ascii="Arial" w:hAnsi="Arial" w:cs="Arial"/>
                <w:sz w:val="24"/>
                <w:szCs w:val="24"/>
              </w:rPr>
              <w:t>-</w:t>
            </w:r>
          </w:p>
        </w:tc>
        <w:tc>
          <w:tcPr>
            <w:tcW w:w="626" w:type="pct"/>
          </w:tcPr>
          <w:p w14:paraId="3A9F7BE3" w14:textId="02DD5193" w:rsidR="00773A54" w:rsidRPr="009E70F6" w:rsidRDefault="00773A54" w:rsidP="00907EA8">
            <w:pPr>
              <w:jc w:val="right"/>
              <w:rPr>
                <w:rFonts w:ascii="Arial" w:hAnsi="Arial" w:cs="Arial"/>
                <w:sz w:val="24"/>
                <w:szCs w:val="24"/>
              </w:rPr>
            </w:pPr>
            <w:r w:rsidRPr="00E304FD">
              <w:rPr>
                <w:rFonts w:ascii="Arial" w:hAnsi="Arial" w:cs="Arial"/>
                <w:sz w:val="24"/>
                <w:szCs w:val="24"/>
              </w:rPr>
              <w:t>(4)</w:t>
            </w:r>
            <w:r w:rsidRPr="009E70F6">
              <w:rPr>
                <w:rFonts w:ascii="Arial" w:hAnsi="Arial" w:cs="Arial"/>
                <w:sz w:val="24"/>
                <w:szCs w:val="24"/>
                <w:vertAlign w:val="superscript"/>
              </w:rPr>
              <w:t>(1)</w:t>
            </w:r>
          </w:p>
        </w:tc>
        <w:tc>
          <w:tcPr>
            <w:tcW w:w="773" w:type="pct"/>
            <w:vAlign w:val="bottom"/>
          </w:tcPr>
          <w:p w14:paraId="136096F9" w14:textId="77777777" w:rsidR="00773A54" w:rsidRPr="00A03549" w:rsidRDefault="00773A54" w:rsidP="00907EA8">
            <w:pPr>
              <w:jc w:val="right"/>
              <w:rPr>
                <w:rFonts w:ascii="Arial" w:hAnsi="Arial" w:cs="Arial"/>
                <w:sz w:val="24"/>
                <w:szCs w:val="24"/>
              </w:rPr>
            </w:pPr>
          </w:p>
        </w:tc>
      </w:tr>
      <w:tr w:rsidR="00773A54" w:rsidRPr="002A0929" w14:paraId="20A968F0" w14:textId="77777777" w:rsidTr="00907EA8">
        <w:tc>
          <w:tcPr>
            <w:tcW w:w="2966" w:type="pct"/>
            <w:tcBorders>
              <w:bottom w:val="single" w:sz="4" w:space="0" w:color="auto"/>
            </w:tcBorders>
          </w:tcPr>
          <w:p w14:paraId="59A37103" w14:textId="2EE9DF1E" w:rsidR="00773A54" w:rsidRPr="00A03549" w:rsidRDefault="00773A54">
            <w:pPr>
              <w:jc w:val="left"/>
              <w:rPr>
                <w:rFonts w:ascii="Arial" w:hAnsi="Arial" w:cs="Arial"/>
                <w:sz w:val="24"/>
                <w:szCs w:val="24"/>
              </w:rPr>
            </w:pPr>
            <w:r w:rsidRPr="00A03549">
              <w:rPr>
                <w:rFonts w:ascii="Arial" w:hAnsi="Arial" w:cs="Arial"/>
                <w:sz w:val="24"/>
                <w:szCs w:val="24"/>
              </w:rPr>
              <w:t>FFVR</w:t>
            </w:r>
          </w:p>
        </w:tc>
        <w:tc>
          <w:tcPr>
            <w:tcW w:w="635" w:type="pct"/>
            <w:tcBorders>
              <w:bottom w:val="single" w:sz="4" w:space="0" w:color="auto"/>
            </w:tcBorders>
          </w:tcPr>
          <w:p w14:paraId="6E33586E" w14:textId="7F8F3390" w:rsidR="00773A54" w:rsidRPr="00A03549" w:rsidRDefault="00773A54">
            <w:pPr>
              <w:jc w:val="right"/>
              <w:rPr>
                <w:rFonts w:ascii="Arial" w:hAnsi="Arial" w:cs="Arial"/>
                <w:b/>
                <w:sz w:val="24"/>
                <w:szCs w:val="24"/>
              </w:rPr>
            </w:pPr>
            <w:r w:rsidRPr="00A03549">
              <w:rPr>
                <w:rFonts w:ascii="Arial" w:hAnsi="Arial" w:cs="Arial"/>
                <w:b/>
                <w:sz w:val="24"/>
                <w:szCs w:val="24"/>
              </w:rPr>
              <w:t>(</w:t>
            </w:r>
            <w:r w:rsidR="00A45362">
              <w:rPr>
                <w:rFonts w:ascii="Arial" w:hAnsi="Arial" w:cs="Arial"/>
                <w:b/>
                <w:sz w:val="24"/>
                <w:szCs w:val="24"/>
              </w:rPr>
              <w:t>2</w:t>
            </w:r>
            <w:r w:rsidRPr="00A03549">
              <w:rPr>
                <w:rFonts w:ascii="Arial" w:hAnsi="Arial" w:cs="Arial"/>
                <w:b/>
                <w:sz w:val="24"/>
                <w:szCs w:val="24"/>
              </w:rPr>
              <w:t>)</w:t>
            </w:r>
          </w:p>
        </w:tc>
        <w:tc>
          <w:tcPr>
            <w:tcW w:w="626" w:type="pct"/>
            <w:tcBorders>
              <w:bottom w:val="single" w:sz="4" w:space="0" w:color="auto"/>
            </w:tcBorders>
          </w:tcPr>
          <w:p w14:paraId="42D453B8" w14:textId="77777777" w:rsidR="00773A54" w:rsidRPr="009E70F6" w:rsidRDefault="00773A54" w:rsidP="00907EA8">
            <w:pPr>
              <w:jc w:val="right"/>
              <w:rPr>
                <w:rFonts w:ascii="Arial" w:hAnsi="Arial" w:cs="Arial"/>
                <w:sz w:val="24"/>
                <w:szCs w:val="24"/>
              </w:rPr>
            </w:pPr>
            <w:r w:rsidRPr="009E70F6">
              <w:rPr>
                <w:rFonts w:ascii="Arial" w:hAnsi="Arial" w:cs="Arial"/>
                <w:sz w:val="24"/>
                <w:szCs w:val="24"/>
              </w:rPr>
              <w:t>(3)</w:t>
            </w:r>
          </w:p>
        </w:tc>
        <w:tc>
          <w:tcPr>
            <w:tcW w:w="773" w:type="pct"/>
            <w:tcBorders>
              <w:bottom w:val="single" w:sz="4" w:space="0" w:color="auto"/>
            </w:tcBorders>
            <w:vAlign w:val="bottom"/>
          </w:tcPr>
          <w:p w14:paraId="669C9913" w14:textId="77777777" w:rsidR="00773A54" w:rsidRPr="00A03549" w:rsidRDefault="00773A54" w:rsidP="00907EA8">
            <w:pPr>
              <w:jc w:val="right"/>
              <w:rPr>
                <w:rFonts w:ascii="Arial" w:hAnsi="Arial" w:cs="Arial"/>
                <w:sz w:val="24"/>
                <w:szCs w:val="24"/>
              </w:rPr>
            </w:pPr>
          </w:p>
        </w:tc>
      </w:tr>
      <w:tr w:rsidR="00773A54" w:rsidRPr="002A0929" w14:paraId="34DCAF9B" w14:textId="77777777" w:rsidTr="00907EA8">
        <w:tc>
          <w:tcPr>
            <w:tcW w:w="2966" w:type="pct"/>
            <w:tcBorders>
              <w:top w:val="single" w:sz="4" w:space="0" w:color="auto"/>
            </w:tcBorders>
          </w:tcPr>
          <w:p w14:paraId="1E2B7C68" w14:textId="77777777" w:rsidR="00773A54" w:rsidRPr="00A03549" w:rsidRDefault="00773A54" w:rsidP="00907EA8">
            <w:pPr>
              <w:jc w:val="left"/>
              <w:rPr>
                <w:rFonts w:ascii="Arial" w:hAnsi="Arial" w:cs="Arial"/>
                <w:sz w:val="24"/>
                <w:szCs w:val="24"/>
              </w:rPr>
            </w:pPr>
            <w:r w:rsidRPr="00A03549">
              <w:rPr>
                <w:rFonts w:ascii="Arial" w:hAnsi="Arial" w:cs="Arial"/>
                <w:sz w:val="24"/>
                <w:szCs w:val="24"/>
              </w:rPr>
              <w:t>Profit before exceptional items and tax</w:t>
            </w:r>
          </w:p>
        </w:tc>
        <w:tc>
          <w:tcPr>
            <w:tcW w:w="635" w:type="pct"/>
            <w:tcBorders>
              <w:top w:val="single" w:sz="4" w:space="0" w:color="auto"/>
            </w:tcBorders>
          </w:tcPr>
          <w:p w14:paraId="0550649F" w14:textId="33BA203D" w:rsidR="00773A54" w:rsidRPr="00A03549" w:rsidRDefault="00773A54">
            <w:pPr>
              <w:jc w:val="right"/>
              <w:rPr>
                <w:rFonts w:ascii="Arial" w:hAnsi="Arial" w:cs="Arial"/>
                <w:b/>
                <w:sz w:val="24"/>
                <w:szCs w:val="24"/>
              </w:rPr>
            </w:pPr>
            <w:r w:rsidRPr="00A03549">
              <w:rPr>
                <w:rFonts w:ascii="Arial" w:hAnsi="Arial" w:cs="Arial"/>
                <w:b/>
                <w:sz w:val="24"/>
                <w:szCs w:val="24"/>
              </w:rPr>
              <w:t>4</w:t>
            </w:r>
            <w:r w:rsidR="001555BA">
              <w:rPr>
                <w:rFonts w:ascii="Arial" w:hAnsi="Arial" w:cs="Arial"/>
                <w:b/>
                <w:sz w:val="24"/>
                <w:szCs w:val="24"/>
              </w:rPr>
              <w:t>1</w:t>
            </w:r>
            <w:r w:rsidR="00A45362">
              <w:rPr>
                <w:rFonts w:ascii="Arial" w:hAnsi="Arial" w:cs="Arial"/>
                <w:b/>
                <w:sz w:val="24"/>
                <w:szCs w:val="24"/>
              </w:rPr>
              <w:t>6</w:t>
            </w:r>
          </w:p>
        </w:tc>
        <w:tc>
          <w:tcPr>
            <w:tcW w:w="626" w:type="pct"/>
            <w:tcBorders>
              <w:top w:val="single" w:sz="4" w:space="0" w:color="auto"/>
            </w:tcBorders>
          </w:tcPr>
          <w:p w14:paraId="7830DC22" w14:textId="77777777" w:rsidR="00773A54" w:rsidRPr="009E70F6" w:rsidRDefault="00773A54" w:rsidP="00907EA8">
            <w:pPr>
              <w:jc w:val="right"/>
              <w:rPr>
                <w:rFonts w:ascii="Arial" w:hAnsi="Arial" w:cs="Arial"/>
                <w:sz w:val="24"/>
                <w:szCs w:val="24"/>
              </w:rPr>
            </w:pPr>
            <w:r w:rsidRPr="00E304FD">
              <w:rPr>
                <w:rFonts w:ascii="Arial" w:hAnsi="Arial" w:cs="Arial"/>
                <w:sz w:val="24"/>
                <w:szCs w:val="24"/>
              </w:rPr>
              <w:t>377</w:t>
            </w:r>
          </w:p>
        </w:tc>
        <w:tc>
          <w:tcPr>
            <w:tcW w:w="773" w:type="pct"/>
            <w:tcBorders>
              <w:top w:val="single" w:sz="4" w:space="0" w:color="auto"/>
            </w:tcBorders>
            <w:vAlign w:val="bottom"/>
          </w:tcPr>
          <w:p w14:paraId="057A0349" w14:textId="0673978F" w:rsidR="00773A54" w:rsidRPr="00A03549" w:rsidRDefault="00773A54">
            <w:pPr>
              <w:jc w:val="right"/>
              <w:rPr>
                <w:rFonts w:ascii="Arial" w:hAnsi="Arial" w:cs="Arial"/>
                <w:sz w:val="24"/>
                <w:szCs w:val="24"/>
              </w:rPr>
            </w:pPr>
            <w:r w:rsidRPr="00A03549">
              <w:rPr>
                <w:rFonts w:ascii="Arial" w:hAnsi="Arial" w:cs="Arial"/>
                <w:sz w:val="24"/>
                <w:szCs w:val="24"/>
              </w:rPr>
              <w:t>+</w:t>
            </w:r>
            <w:r w:rsidR="00A45362">
              <w:rPr>
                <w:rFonts w:ascii="Arial" w:hAnsi="Arial" w:cs="Arial"/>
                <w:sz w:val="24"/>
                <w:szCs w:val="24"/>
              </w:rPr>
              <w:t>10.3</w:t>
            </w:r>
            <w:r w:rsidRPr="00A03549">
              <w:rPr>
                <w:rFonts w:ascii="Arial" w:hAnsi="Arial" w:cs="Arial"/>
                <w:sz w:val="24"/>
                <w:szCs w:val="24"/>
              </w:rPr>
              <w:t>%</w:t>
            </w:r>
          </w:p>
        </w:tc>
      </w:tr>
      <w:tr w:rsidR="00773A54" w:rsidRPr="002A0929" w14:paraId="42A29D60" w14:textId="77777777" w:rsidTr="00907EA8">
        <w:tc>
          <w:tcPr>
            <w:tcW w:w="2966" w:type="pct"/>
            <w:tcBorders>
              <w:bottom w:val="single" w:sz="4" w:space="0" w:color="auto"/>
            </w:tcBorders>
          </w:tcPr>
          <w:p w14:paraId="1149ADF8" w14:textId="77777777" w:rsidR="00773A54" w:rsidRPr="00A03549" w:rsidRDefault="00773A54" w:rsidP="00907EA8">
            <w:pPr>
              <w:jc w:val="left"/>
              <w:rPr>
                <w:rFonts w:ascii="Arial" w:hAnsi="Arial" w:cs="Arial"/>
                <w:sz w:val="24"/>
                <w:szCs w:val="24"/>
              </w:rPr>
            </w:pPr>
            <w:r w:rsidRPr="00A03549">
              <w:rPr>
                <w:rFonts w:ascii="Arial" w:hAnsi="Arial" w:cs="Arial"/>
                <w:sz w:val="24"/>
                <w:szCs w:val="24"/>
              </w:rPr>
              <w:t>Exceptional items before tax</w:t>
            </w:r>
          </w:p>
        </w:tc>
        <w:tc>
          <w:tcPr>
            <w:tcW w:w="635" w:type="pct"/>
            <w:tcBorders>
              <w:bottom w:val="single" w:sz="4" w:space="0" w:color="auto"/>
            </w:tcBorders>
          </w:tcPr>
          <w:p w14:paraId="52A3C2B5" w14:textId="1B8A02CC" w:rsidR="00773A54" w:rsidRPr="00A03549" w:rsidRDefault="001555BA" w:rsidP="00907EA8">
            <w:pPr>
              <w:jc w:val="right"/>
              <w:rPr>
                <w:rFonts w:ascii="Arial" w:hAnsi="Arial" w:cs="Arial"/>
                <w:b/>
                <w:sz w:val="24"/>
                <w:szCs w:val="24"/>
              </w:rPr>
            </w:pPr>
            <w:r>
              <w:rPr>
                <w:rFonts w:ascii="Arial" w:hAnsi="Arial" w:cs="Arial"/>
                <w:b/>
                <w:sz w:val="24"/>
                <w:szCs w:val="24"/>
              </w:rPr>
              <w:t>11</w:t>
            </w:r>
          </w:p>
        </w:tc>
        <w:tc>
          <w:tcPr>
            <w:tcW w:w="626" w:type="pct"/>
            <w:tcBorders>
              <w:bottom w:val="single" w:sz="4" w:space="0" w:color="auto"/>
            </w:tcBorders>
          </w:tcPr>
          <w:p w14:paraId="6F717BC2" w14:textId="77777777" w:rsidR="00773A54" w:rsidRPr="009E70F6" w:rsidRDefault="00773A54" w:rsidP="00907EA8">
            <w:pPr>
              <w:jc w:val="right"/>
              <w:rPr>
                <w:rFonts w:ascii="Arial" w:hAnsi="Arial" w:cs="Arial"/>
                <w:sz w:val="24"/>
                <w:szCs w:val="24"/>
              </w:rPr>
            </w:pPr>
            <w:r w:rsidRPr="00E304FD">
              <w:rPr>
                <w:rFonts w:ascii="Arial" w:hAnsi="Arial" w:cs="Arial"/>
                <w:sz w:val="24"/>
                <w:szCs w:val="24"/>
              </w:rPr>
              <w:t>9</w:t>
            </w:r>
          </w:p>
        </w:tc>
        <w:tc>
          <w:tcPr>
            <w:tcW w:w="773" w:type="pct"/>
            <w:tcBorders>
              <w:bottom w:val="single" w:sz="4" w:space="0" w:color="auto"/>
            </w:tcBorders>
            <w:vAlign w:val="bottom"/>
          </w:tcPr>
          <w:p w14:paraId="6FA5B1CB" w14:textId="77777777" w:rsidR="00773A54" w:rsidRPr="00A03549" w:rsidRDefault="00773A54" w:rsidP="00907EA8">
            <w:pPr>
              <w:jc w:val="right"/>
              <w:rPr>
                <w:rFonts w:ascii="Arial" w:hAnsi="Arial" w:cs="Arial"/>
                <w:sz w:val="24"/>
                <w:szCs w:val="24"/>
              </w:rPr>
            </w:pPr>
          </w:p>
        </w:tc>
      </w:tr>
      <w:tr w:rsidR="00773A54" w:rsidRPr="002A0929" w14:paraId="462B2B03" w14:textId="77777777" w:rsidTr="00907EA8">
        <w:tc>
          <w:tcPr>
            <w:tcW w:w="2966" w:type="pct"/>
            <w:tcBorders>
              <w:top w:val="single" w:sz="4" w:space="0" w:color="auto"/>
              <w:bottom w:val="single" w:sz="4" w:space="0" w:color="auto"/>
            </w:tcBorders>
          </w:tcPr>
          <w:p w14:paraId="737C439D" w14:textId="77777777" w:rsidR="00773A54" w:rsidRPr="00A03549" w:rsidRDefault="00773A54" w:rsidP="00907EA8">
            <w:pPr>
              <w:jc w:val="left"/>
              <w:rPr>
                <w:rFonts w:ascii="Arial" w:hAnsi="Arial" w:cs="Arial"/>
                <w:b/>
                <w:sz w:val="24"/>
                <w:szCs w:val="24"/>
              </w:rPr>
            </w:pPr>
            <w:r w:rsidRPr="00A03549">
              <w:rPr>
                <w:rFonts w:ascii="Arial" w:hAnsi="Arial" w:cs="Arial"/>
                <w:b/>
                <w:sz w:val="24"/>
                <w:szCs w:val="24"/>
              </w:rPr>
              <w:t>Statutory pre-tax profit</w:t>
            </w:r>
          </w:p>
        </w:tc>
        <w:tc>
          <w:tcPr>
            <w:tcW w:w="635" w:type="pct"/>
            <w:tcBorders>
              <w:top w:val="single" w:sz="4" w:space="0" w:color="auto"/>
              <w:bottom w:val="single" w:sz="4" w:space="0" w:color="auto"/>
            </w:tcBorders>
          </w:tcPr>
          <w:p w14:paraId="013AD2C7" w14:textId="189A0848" w:rsidR="00773A54" w:rsidRPr="00A03549" w:rsidRDefault="00773A54">
            <w:pPr>
              <w:jc w:val="right"/>
              <w:rPr>
                <w:rFonts w:ascii="Arial" w:hAnsi="Arial" w:cs="Arial"/>
                <w:b/>
                <w:sz w:val="24"/>
                <w:szCs w:val="24"/>
              </w:rPr>
            </w:pPr>
            <w:r w:rsidRPr="00A03549">
              <w:rPr>
                <w:rFonts w:ascii="Arial" w:hAnsi="Arial" w:cs="Arial"/>
                <w:b/>
                <w:sz w:val="24"/>
                <w:szCs w:val="24"/>
              </w:rPr>
              <w:t>42</w:t>
            </w:r>
            <w:r w:rsidR="00A45362">
              <w:rPr>
                <w:rFonts w:ascii="Arial" w:hAnsi="Arial" w:cs="Arial"/>
                <w:b/>
                <w:sz w:val="24"/>
                <w:szCs w:val="24"/>
              </w:rPr>
              <w:t>7</w:t>
            </w:r>
          </w:p>
        </w:tc>
        <w:tc>
          <w:tcPr>
            <w:tcW w:w="626" w:type="pct"/>
            <w:tcBorders>
              <w:top w:val="single" w:sz="4" w:space="0" w:color="auto"/>
              <w:bottom w:val="single" w:sz="4" w:space="0" w:color="auto"/>
            </w:tcBorders>
          </w:tcPr>
          <w:p w14:paraId="48B4CFC5" w14:textId="77777777" w:rsidR="00773A54" w:rsidRPr="009E70F6" w:rsidRDefault="00773A54" w:rsidP="00907EA8">
            <w:pPr>
              <w:jc w:val="right"/>
              <w:rPr>
                <w:rFonts w:ascii="Arial" w:hAnsi="Arial" w:cs="Arial"/>
                <w:sz w:val="24"/>
                <w:szCs w:val="24"/>
              </w:rPr>
            </w:pPr>
            <w:r w:rsidRPr="00E304FD">
              <w:rPr>
                <w:rFonts w:ascii="Arial" w:hAnsi="Arial" w:cs="Arial"/>
                <w:sz w:val="24"/>
                <w:szCs w:val="24"/>
              </w:rPr>
              <w:t>386</w:t>
            </w:r>
          </w:p>
        </w:tc>
        <w:tc>
          <w:tcPr>
            <w:tcW w:w="773" w:type="pct"/>
            <w:tcBorders>
              <w:top w:val="single" w:sz="4" w:space="0" w:color="auto"/>
              <w:bottom w:val="single" w:sz="4" w:space="0" w:color="auto"/>
            </w:tcBorders>
            <w:vAlign w:val="bottom"/>
          </w:tcPr>
          <w:p w14:paraId="5B938A3D" w14:textId="683C6029" w:rsidR="00773A54" w:rsidRPr="00A03549" w:rsidRDefault="00773A54" w:rsidP="00925EFB">
            <w:pPr>
              <w:jc w:val="right"/>
              <w:rPr>
                <w:rFonts w:ascii="Arial" w:hAnsi="Arial" w:cs="Arial"/>
                <w:sz w:val="24"/>
                <w:szCs w:val="24"/>
              </w:rPr>
            </w:pPr>
            <w:r w:rsidRPr="00A03549">
              <w:rPr>
                <w:rFonts w:ascii="Arial" w:hAnsi="Arial" w:cs="Arial"/>
                <w:sz w:val="24"/>
                <w:szCs w:val="24"/>
              </w:rPr>
              <w:t>+1</w:t>
            </w:r>
            <w:r w:rsidR="00A45362">
              <w:rPr>
                <w:rFonts w:ascii="Arial" w:hAnsi="Arial" w:cs="Arial"/>
                <w:sz w:val="24"/>
                <w:szCs w:val="24"/>
              </w:rPr>
              <w:t>0.6</w:t>
            </w:r>
            <w:r w:rsidRPr="00A03549">
              <w:rPr>
                <w:rFonts w:ascii="Arial" w:hAnsi="Arial" w:cs="Arial"/>
                <w:sz w:val="24"/>
                <w:szCs w:val="24"/>
              </w:rPr>
              <w:t>%</w:t>
            </w:r>
          </w:p>
        </w:tc>
      </w:tr>
    </w:tbl>
    <w:p w14:paraId="011DFEAA" w14:textId="77777777" w:rsidR="00773A54" w:rsidRPr="00A03549" w:rsidRDefault="00773A54" w:rsidP="00773A54">
      <w:pPr>
        <w:rPr>
          <w:rFonts w:ascii="Arial" w:hAnsi="Arial" w:cs="Arial"/>
          <w:b/>
          <w:sz w:val="24"/>
          <w:szCs w:val="24"/>
        </w:rPr>
      </w:pPr>
      <w:r w:rsidRPr="00A03549">
        <w:rPr>
          <w:rFonts w:ascii="Arial" w:hAnsi="Arial" w:cs="Arial"/>
          <w:sz w:val="24"/>
          <w:szCs w:val="24"/>
          <w:vertAlign w:val="superscript"/>
        </w:rPr>
        <w:t>(1)</w:t>
      </w:r>
      <w:r w:rsidRPr="00A03549">
        <w:rPr>
          <w:rFonts w:ascii="Arial" w:hAnsi="Arial" w:cs="Arial"/>
          <w:sz w:val="24"/>
          <w:szCs w:val="24"/>
        </w:rPr>
        <w:t xml:space="preserve"> </w:t>
      </w:r>
      <w:r w:rsidRPr="00A03549">
        <w:rPr>
          <w:rFonts w:ascii="Arial" w:hAnsi="Arial" w:cs="Arial"/>
          <w:sz w:val="18"/>
          <w:szCs w:val="24"/>
        </w:rPr>
        <w:t>Up to the date of disposal (30 April 2015)</w:t>
      </w:r>
    </w:p>
    <w:p w14:paraId="76BF7ACC" w14:textId="77777777" w:rsidR="00773A54" w:rsidRDefault="00773A54" w:rsidP="00773A54">
      <w:pPr>
        <w:rPr>
          <w:rFonts w:ascii="Arial" w:hAnsi="Arial" w:cs="Arial"/>
          <w:b/>
          <w:sz w:val="24"/>
          <w:szCs w:val="24"/>
          <w:highlight w:val="yellow"/>
        </w:rPr>
      </w:pPr>
    </w:p>
    <w:p w14:paraId="474B1B30" w14:textId="0E4F469A" w:rsidR="00F90A06" w:rsidRPr="00B2652F" w:rsidRDefault="00F90A06" w:rsidP="00773A54">
      <w:pPr>
        <w:rPr>
          <w:rFonts w:ascii="Arial" w:hAnsi="Arial" w:cs="Arial"/>
          <w:sz w:val="24"/>
          <w:szCs w:val="24"/>
        </w:rPr>
      </w:pPr>
      <w:r>
        <w:rPr>
          <w:rFonts w:ascii="Arial" w:hAnsi="Arial" w:cs="Arial"/>
          <w:sz w:val="24"/>
          <w:szCs w:val="24"/>
        </w:rPr>
        <w:t xml:space="preserve">Transformation P&amp;L costs of £18 million </w:t>
      </w:r>
      <w:r w:rsidRPr="00B2652F">
        <w:rPr>
          <w:rFonts w:ascii="Arial" w:hAnsi="Arial" w:cs="Arial"/>
          <w:sz w:val="24"/>
          <w:szCs w:val="24"/>
        </w:rPr>
        <w:t>principally relate to the unified</w:t>
      </w:r>
      <w:r w:rsidR="006058FA">
        <w:rPr>
          <w:rFonts w:ascii="Arial" w:hAnsi="Arial" w:cs="Arial"/>
          <w:sz w:val="24"/>
          <w:szCs w:val="24"/>
        </w:rPr>
        <w:t xml:space="preserve"> and </w:t>
      </w:r>
      <w:r w:rsidR="006058FA" w:rsidRPr="00B2652F">
        <w:rPr>
          <w:rFonts w:ascii="Arial" w:hAnsi="Arial" w:cs="Arial"/>
          <w:sz w:val="24"/>
          <w:szCs w:val="24"/>
        </w:rPr>
        <w:t>unique</w:t>
      </w:r>
      <w:r w:rsidRPr="00B2652F">
        <w:rPr>
          <w:rFonts w:ascii="Arial" w:hAnsi="Arial" w:cs="Arial"/>
          <w:sz w:val="24"/>
          <w:szCs w:val="24"/>
        </w:rPr>
        <w:t xml:space="preserve"> offer range implementation and the digital strategic initiative.</w:t>
      </w:r>
    </w:p>
    <w:p w14:paraId="275EE811" w14:textId="77777777" w:rsidR="00F90A06" w:rsidRPr="00B2652F" w:rsidRDefault="00F90A06" w:rsidP="00773A54">
      <w:pPr>
        <w:rPr>
          <w:rFonts w:ascii="Arial" w:hAnsi="Arial" w:cs="Arial"/>
          <w:sz w:val="24"/>
          <w:szCs w:val="24"/>
        </w:rPr>
      </w:pPr>
    </w:p>
    <w:p w14:paraId="2AD6E969" w14:textId="6F41F2F6" w:rsidR="00773A54" w:rsidRPr="002A0929" w:rsidRDefault="00773A54" w:rsidP="00773A54">
      <w:pPr>
        <w:jc w:val="left"/>
        <w:rPr>
          <w:rFonts w:ascii="Arial" w:hAnsi="Arial" w:cs="Arial"/>
          <w:sz w:val="24"/>
          <w:szCs w:val="24"/>
        </w:rPr>
      </w:pPr>
      <w:r w:rsidRPr="002A0929">
        <w:rPr>
          <w:rFonts w:ascii="Arial" w:hAnsi="Arial" w:cs="Arial"/>
          <w:b/>
          <w:sz w:val="24"/>
          <w:szCs w:val="24"/>
        </w:rPr>
        <w:t>Exceptional items</w:t>
      </w:r>
      <w:r w:rsidRPr="002A0929">
        <w:rPr>
          <w:rFonts w:ascii="Arial" w:hAnsi="Arial" w:cs="Arial"/>
          <w:sz w:val="24"/>
          <w:szCs w:val="24"/>
        </w:rPr>
        <w:t xml:space="preserve"> (post tax) were a</w:t>
      </w:r>
      <w:r>
        <w:rPr>
          <w:rFonts w:ascii="Arial" w:hAnsi="Arial" w:cs="Arial"/>
          <w:sz w:val="24"/>
          <w:szCs w:val="24"/>
        </w:rPr>
        <w:t xml:space="preserve"> gain</w:t>
      </w:r>
      <w:r w:rsidRPr="002A0929">
        <w:rPr>
          <w:rFonts w:ascii="Arial" w:hAnsi="Arial" w:cs="Arial"/>
          <w:sz w:val="24"/>
          <w:szCs w:val="24"/>
        </w:rPr>
        <w:t xml:space="preserve"> of £</w:t>
      </w:r>
      <w:r w:rsidR="00B10582">
        <w:rPr>
          <w:rFonts w:ascii="Arial" w:hAnsi="Arial" w:cs="Arial"/>
          <w:sz w:val="24"/>
          <w:szCs w:val="24"/>
        </w:rPr>
        <w:t>9</w:t>
      </w:r>
      <w:r w:rsidRPr="002A0929">
        <w:rPr>
          <w:rFonts w:ascii="Arial" w:hAnsi="Arial" w:cs="Arial"/>
          <w:sz w:val="24"/>
          <w:szCs w:val="24"/>
        </w:rPr>
        <w:t xml:space="preserve"> million (2015/16: £</w:t>
      </w:r>
      <w:r>
        <w:rPr>
          <w:rFonts w:ascii="Arial" w:hAnsi="Arial" w:cs="Arial"/>
          <w:sz w:val="24"/>
          <w:szCs w:val="24"/>
        </w:rPr>
        <w:t>38</w:t>
      </w:r>
      <w:r w:rsidRPr="002A0929">
        <w:rPr>
          <w:rFonts w:ascii="Arial" w:hAnsi="Arial" w:cs="Arial"/>
          <w:sz w:val="24"/>
          <w:szCs w:val="24"/>
        </w:rPr>
        <w:t xml:space="preserve"> million gain) as detailed below:</w:t>
      </w:r>
    </w:p>
    <w:tbl>
      <w:tblPr>
        <w:tblW w:w="5001" w:type="pct"/>
        <w:tblLook w:val="04A0" w:firstRow="1" w:lastRow="0" w:firstColumn="1" w:lastColumn="0" w:noHBand="0" w:noVBand="1"/>
      </w:tblPr>
      <w:tblGrid>
        <w:gridCol w:w="5962"/>
        <w:gridCol w:w="1882"/>
        <w:gridCol w:w="1799"/>
      </w:tblGrid>
      <w:tr w:rsidR="00773A54" w:rsidRPr="002A0929" w14:paraId="2ACE9812" w14:textId="77777777" w:rsidTr="00DB3649">
        <w:trPr>
          <w:trHeight w:val="525"/>
        </w:trPr>
        <w:tc>
          <w:tcPr>
            <w:tcW w:w="3091" w:type="pct"/>
            <w:tcBorders>
              <w:top w:val="nil"/>
              <w:left w:val="nil"/>
              <w:bottom w:val="single" w:sz="4" w:space="0" w:color="auto"/>
              <w:right w:val="nil"/>
            </w:tcBorders>
            <w:vAlign w:val="bottom"/>
          </w:tcPr>
          <w:p w14:paraId="11C5258F" w14:textId="77777777" w:rsidR="00773A54" w:rsidRPr="002A0929" w:rsidRDefault="00773A54" w:rsidP="00907EA8">
            <w:pPr>
              <w:jc w:val="left"/>
              <w:rPr>
                <w:rFonts w:ascii="Arial" w:hAnsi="Arial" w:cs="Arial"/>
                <w:bCs/>
                <w:sz w:val="24"/>
                <w:szCs w:val="24"/>
              </w:rPr>
            </w:pPr>
          </w:p>
        </w:tc>
        <w:tc>
          <w:tcPr>
            <w:tcW w:w="976" w:type="pct"/>
            <w:tcBorders>
              <w:top w:val="nil"/>
              <w:left w:val="nil"/>
              <w:bottom w:val="single" w:sz="4" w:space="0" w:color="auto"/>
              <w:right w:val="nil"/>
            </w:tcBorders>
            <w:vAlign w:val="bottom"/>
            <w:hideMark/>
          </w:tcPr>
          <w:p w14:paraId="533E8C34" w14:textId="77777777" w:rsidR="00773A54" w:rsidRPr="002A0929" w:rsidRDefault="00773A54" w:rsidP="00907EA8">
            <w:pPr>
              <w:jc w:val="right"/>
              <w:rPr>
                <w:rFonts w:ascii="Arial" w:hAnsi="Arial" w:cs="Arial"/>
                <w:b/>
                <w:bCs/>
                <w:sz w:val="24"/>
                <w:szCs w:val="24"/>
              </w:rPr>
            </w:pPr>
            <w:r w:rsidRPr="002A0929">
              <w:rPr>
                <w:rFonts w:ascii="Arial" w:hAnsi="Arial" w:cs="Arial"/>
                <w:b/>
                <w:bCs/>
                <w:sz w:val="24"/>
                <w:szCs w:val="24"/>
              </w:rPr>
              <w:t>2016/17</w:t>
            </w:r>
          </w:p>
          <w:p w14:paraId="21959C01" w14:textId="77777777" w:rsidR="00773A54" w:rsidRPr="002A0929" w:rsidRDefault="00773A54" w:rsidP="00907EA8">
            <w:pPr>
              <w:jc w:val="right"/>
              <w:rPr>
                <w:rFonts w:ascii="Arial" w:hAnsi="Arial" w:cs="Arial"/>
                <w:b/>
                <w:bCs/>
                <w:sz w:val="24"/>
                <w:szCs w:val="24"/>
              </w:rPr>
            </w:pPr>
            <w:r w:rsidRPr="002A0929">
              <w:rPr>
                <w:rFonts w:ascii="Arial" w:hAnsi="Arial" w:cs="Arial"/>
                <w:b/>
                <w:bCs/>
                <w:sz w:val="24"/>
                <w:szCs w:val="24"/>
              </w:rPr>
              <w:t>£m</w:t>
            </w:r>
          </w:p>
          <w:p w14:paraId="038EA889" w14:textId="77777777" w:rsidR="00773A54" w:rsidRPr="002A0929" w:rsidRDefault="00773A54" w:rsidP="00907EA8">
            <w:pPr>
              <w:jc w:val="right"/>
              <w:rPr>
                <w:rFonts w:ascii="Arial" w:hAnsi="Arial" w:cs="Arial"/>
                <w:b/>
                <w:bCs/>
                <w:sz w:val="24"/>
                <w:szCs w:val="24"/>
              </w:rPr>
            </w:pPr>
            <w:r w:rsidRPr="002A0929">
              <w:rPr>
                <w:rFonts w:ascii="Arial" w:hAnsi="Arial" w:cs="Arial"/>
                <w:b/>
                <w:bCs/>
                <w:sz w:val="24"/>
                <w:szCs w:val="24"/>
              </w:rPr>
              <w:t>Gain/(charge)</w:t>
            </w:r>
          </w:p>
        </w:tc>
        <w:tc>
          <w:tcPr>
            <w:tcW w:w="933" w:type="pct"/>
            <w:tcBorders>
              <w:top w:val="nil"/>
              <w:left w:val="nil"/>
              <w:bottom w:val="single" w:sz="4" w:space="0" w:color="auto"/>
              <w:right w:val="nil"/>
            </w:tcBorders>
            <w:vAlign w:val="bottom"/>
            <w:hideMark/>
          </w:tcPr>
          <w:p w14:paraId="12E43EE7" w14:textId="77777777" w:rsidR="00773A54" w:rsidRPr="002A0929" w:rsidRDefault="00773A54" w:rsidP="00907EA8">
            <w:pPr>
              <w:jc w:val="right"/>
              <w:rPr>
                <w:rFonts w:ascii="Arial" w:hAnsi="Arial" w:cs="Arial"/>
                <w:bCs/>
                <w:sz w:val="24"/>
                <w:szCs w:val="24"/>
              </w:rPr>
            </w:pPr>
            <w:r w:rsidRPr="002A0929">
              <w:rPr>
                <w:rFonts w:ascii="Arial" w:hAnsi="Arial" w:cs="Arial"/>
                <w:bCs/>
                <w:sz w:val="24"/>
                <w:szCs w:val="24"/>
              </w:rPr>
              <w:t>2015/16</w:t>
            </w:r>
          </w:p>
          <w:p w14:paraId="594DE10F" w14:textId="77777777" w:rsidR="00773A54" w:rsidRPr="002A0929" w:rsidRDefault="00773A54" w:rsidP="00907EA8">
            <w:pPr>
              <w:jc w:val="right"/>
              <w:rPr>
                <w:rFonts w:ascii="Arial" w:hAnsi="Arial" w:cs="Arial"/>
                <w:bCs/>
                <w:sz w:val="24"/>
                <w:szCs w:val="24"/>
              </w:rPr>
            </w:pPr>
            <w:r w:rsidRPr="002A0929">
              <w:rPr>
                <w:rFonts w:ascii="Arial" w:hAnsi="Arial" w:cs="Arial"/>
                <w:bCs/>
                <w:sz w:val="24"/>
                <w:szCs w:val="24"/>
              </w:rPr>
              <w:t>£m</w:t>
            </w:r>
          </w:p>
          <w:p w14:paraId="1BBFDEAF" w14:textId="77777777" w:rsidR="00773A54" w:rsidRPr="002A0929" w:rsidRDefault="00773A54" w:rsidP="00907EA8">
            <w:pPr>
              <w:jc w:val="right"/>
              <w:rPr>
                <w:rFonts w:ascii="Arial" w:hAnsi="Arial" w:cs="Arial"/>
                <w:bCs/>
                <w:sz w:val="24"/>
                <w:szCs w:val="24"/>
              </w:rPr>
            </w:pPr>
            <w:r w:rsidRPr="002A0929">
              <w:rPr>
                <w:rFonts w:ascii="Arial" w:hAnsi="Arial" w:cs="Arial"/>
                <w:bCs/>
                <w:sz w:val="24"/>
                <w:szCs w:val="24"/>
              </w:rPr>
              <w:t>Gain/(charge)</w:t>
            </w:r>
          </w:p>
        </w:tc>
      </w:tr>
      <w:tr w:rsidR="00773A54" w:rsidRPr="002A0929" w14:paraId="38DD5C0E" w14:textId="77777777" w:rsidTr="00DB3649">
        <w:trPr>
          <w:trHeight w:val="254"/>
        </w:trPr>
        <w:tc>
          <w:tcPr>
            <w:tcW w:w="3091" w:type="pct"/>
            <w:vAlign w:val="bottom"/>
          </w:tcPr>
          <w:p w14:paraId="653126C5" w14:textId="58587106" w:rsidR="00773A54" w:rsidRPr="00A03549" w:rsidRDefault="00791A78">
            <w:pPr>
              <w:rPr>
                <w:rFonts w:ascii="Arial" w:hAnsi="Arial" w:cs="Arial"/>
                <w:sz w:val="24"/>
                <w:szCs w:val="24"/>
              </w:rPr>
            </w:pPr>
            <w:r>
              <w:rPr>
                <w:rFonts w:ascii="Arial" w:hAnsi="Arial" w:cs="Arial"/>
                <w:color w:val="000000"/>
                <w:sz w:val="24"/>
                <w:szCs w:val="24"/>
              </w:rPr>
              <w:t>T</w:t>
            </w:r>
            <w:r w:rsidR="00773A54" w:rsidRPr="002A0929">
              <w:rPr>
                <w:rFonts w:ascii="Arial" w:hAnsi="Arial" w:cs="Arial"/>
                <w:color w:val="000000"/>
                <w:sz w:val="24"/>
                <w:szCs w:val="24"/>
              </w:rPr>
              <w:t xml:space="preserve">ransformation </w:t>
            </w:r>
            <w:r>
              <w:rPr>
                <w:rFonts w:ascii="Arial" w:hAnsi="Arial" w:cs="Arial"/>
                <w:color w:val="000000"/>
                <w:sz w:val="24"/>
                <w:szCs w:val="24"/>
              </w:rPr>
              <w:t xml:space="preserve">exceptional </w:t>
            </w:r>
            <w:r w:rsidR="00773A54" w:rsidRPr="002A0929">
              <w:rPr>
                <w:rFonts w:ascii="Arial" w:hAnsi="Arial" w:cs="Arial"/>
                <w:color w:val="000000"/>
                <w:sz w:val="24"/>
                <w:szCs w:val="24"/>
              </w:rPr>
              <w:t>costs</w:t>
            </w:r>
          </w:p>
        </w:tc>
        <w:tc>
          <w:tcPr>
            <w:tcW w:w="976" w:type="pct"/>
            <w:vAlign w:val="bottom"/>
          </w:tcPr>
          <w:p w14:paraId="29A93EDE" w14:textId="5012C10D" w:rsidR="00773A54" w:rsidRPr="00835ECD" w:rsidRDefault="00773A54">
            <w:pPr>
              <w:jc w:val="right"/>
              <w:rPr>
                <w:rFonts w:ascii="Arial" w:hAnsi="Arial" w:cs="Arial"/>
                <w:b/>
                <w:sz w:val="24"/>
                <w:szCs w:val="24"/>
              </w:rPr>
            </w:pPr>
            <w:r w:rsidRPr="00835ECD">
              <w:rPr>
                <w:rFonts w:ascii="Arial" w:hAnsi="Arial" w:cs="Arial"/>
                <w:b/>
                <w:sz w:val="24"/>
                <w:szCs w:val="24"/>
              </w:rPr>
              <w:t>(</w:t>
            </w:r>
            <w:r w:rsidR="00835ECD" w:rsidRPr="00925EFB">
              <w:rPr>
                <w:rFonts w:ascii="Arial" w:hAnsi="Arial" w:cs="Arial"/>
                <w:b/>
                <w:sz w:val="24"/>
                <w:szCs w:val="24"/>
              </w:rPr>
              <w:t>1</w:t>
            </w:r>
            <w:r w:rsidRPr="00835ECD">
              <w:rPr>
                <w:rFonts w:ascii="Arial" w:hAnsi="Arial" w:cs="Arial"/>
                <w:b/>
                <w:sz w:val="24"/>
                <w:szCs w:val="24"/>
              </w:rPr>
              <w:t>)</w:t>
            </w:r>
          </w:p>
        </w:tc>
        <w:tc>
          <w:tcPr>
            <w:tcW w:w="933" w:type="pct"/>
            <w:vAlign w:val="bottom"/>
          </w:tcPr>
          <w:p w14:paraId="5CDD8252"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w:t>
            </w:r>
          </w:p>
        </w:tc>
      </w:tr>
      <w:tr w:rsidR="00773A54" w:rsidRPr="002A0929" w14:paraId="2F27DB64" w14:textId="77777777" w:rsidTr="00DB3649">
        <w:trPr>
          <w:trHeight w:val="254"/>
        </w:trPr>
        <w:tc>
          <w:tcPr>
            <w:tcW w:w="3091" w:type="pct"/>
            <w:vAlign w:val="bottom"/>
            <w:hideMark/>
          </w:tcPr>
          <w:p w14:paraId="1F215DE1" w14:textId="77777777" w:rsidR="00773A54" w:rsidRPr="00A03549" w:rsidRDefault="00773A54" w:rsidP="00907EA8">
            <w:pPr>
              <w:rPr>
                <w:rFonts w:ascii="Arial" w:hAnsi="Arial" w:cs="Arial"/>
                <w:sz w:val="24"/>
                <w:szCs w:val="24"/>
              </w:rPr>
            </w:pPr>
            <w:r w:rsidRPr="00A03549">
              <w:rPr>
                <w:rFonts w:ascii="Arial" w:hAnsi="Arial" w:cs="Arial"/>
                <w:sz w:val="24"/>
                <w:szCs w:val="24"/>
              </w:rPr>
              <w:t>UK &amp; Ireland and Europe restructuring</w:t>
            </w:r>
          </w:p>
        </w:tc>
        <w:tc>
          <w:tcPr>
            <w:tcW w:w="976" w:type="pct"/>
            <w:vAlign w:val="bottom"/>
            <w:hideMark/>
          </w:tcPr>
          <w:p w14:paraId="5E1B3D94" w14:textId="7A84E8F6" w:rsidR="00773A54" w:rsidRPr="00835ECD" w:rsidRDefault="00835ECD" w:rsidP="00907EA8">
            <w:pPr>
              <w:jc w:val="right"/>
              <w:rPr>
                <w:rFonts w:ascii="Arial" w:hAnsi="Arial" w:cs="Arial"/>
                <w:b/>
                <w:sz w:val="24"/>
                <w:szCs w:val="24"/>
              </w:rPr>
            </w:pPr>
            <w:r w:rsidRPr="00925EFB">
              <w:rPr>
                <w:rFonts w:ascii="Arial" w:hAnsi="Arial" w:cs="Arial"/>
                <w:b/>
                <w:sz w:val="24"/>
                <w:szCs w:val="24"/>
              </w:rPr>
              <w:t>9</w:t>
            </w:r>
          </w:p>
        </w:tc>
        <w:tc>
          <w:tcPr>
            <w:tcW w:w="933" w:type="pct"/>
            <w:vAlign w:val="bottom"/>
            <w:hideMark/>
          </w:tcPr>
          <w:p w14:paraId="5616437C"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(151)</w:t>
            </w:r>
          </w:p>
        </w:tc>
      </w:tr>
      <w:tr w:rsidR="00773A54" w:rsidRPr="002A0929" w14:paraId="049CA501" w14:textId="77777777" w:rsidTr="00DB3649">
        <w:trPr>
          <w:trHeight w:val="254"/>
        </w:trPr>
        <w:tc>
          <w:tcPr>
            <w:tcW w:w="3091" w:type="pct"/>
            <w:vAlign w:val="bottom"/>
          </w:tcPr>
          <w:p w14:paraId="27186206" w14:textId="77777777" w:rsidR="00773A54" w:rsidRPr="00A03549" w:rsidRDefault="00773A54" w:rsidP="00907EA8">
            <w:pPr>
              <w:rPr>
                <w:rFonts w:ascii="Arial" w:hAnsi="Arial" w:cs="Arial"/>
                <w:sz w:val="24"/>
                <w:szCs w:val="24"/>
              </w:rPr>
            </w:pPr>
            <w:r w:rsidRPr="00A03549">
              <w:rPr>
                <w:rFonts w:ascii="Arial" w:hAnsi="Arial" w:cs="Arial"/>
                <w:sz w:val="24"/>
                <w:szCs w:val="24"/>
              </w:rPr>
              <w:t>Profit on disposal of B&amp;Q China</w:t>
            </w:r>
          </w:p>
        </w:tc>
        <w:tc>
          <w:tcPr>
            <w:tcW w:w="976" w:type="pct"/>
            <w:vAlign w:val="bottom"/>
          </w:tcPr>
          <w:p w14:paraId="6D7539B9" w14:textId="57EA0C05" w:rsidR="00773A54" w:rsidRPr="00835ECD" w:rsidDel="00E2659B" w:rsidRDefault="00835ECD" w:rsidP="00907EA8">
            <w:pPr>
              <w:jc w:val="right"/>
              <w:rPr>
                <w:rFonts w:ascii="Arial" w:hAnsi="Arial" w:cs="Arial"/>
                <w:b/>
                <w:sz w:val="24"/>
                <w:szCs w:val="24"/>
              </w:rPr>
            </w:pPr>
            <w:r w:rsidRPr="00925EFB">
              <w:rPr>
                <w:rFonts w:ascii="Arial" w:hAnsi="Arial" w:cs="Arial"/>
                <w:b/>
                <w:sz w:val="24"/>
                <w:szCs w:val="24"/>
              </w:rPr>
              <w:t>3</w:t>
            </w:r>
          </w:p>
        </w:tc>
        <w:tc>
          <w:tcPr>
            <w:tcW w:w="933" w:type="pct"/>
            <w:vAlign w:val="bottom"/>
          </w:tcPr>
          <w:p w14:paraId="45345B3A" w14:textId="77777777" w:rsidR="00773A54" w:rsidRPr="00A03549" w:rsidDel="00E2659B" w:rsidRDefault="00773A54" w:rsidP="00907EA8">
            <w:pPr>
              <w:jc w:val="right"/>
              <w:rPr>
                <w:rFonts w:ascii="Arial" w:hAnsi="Arial" w:cs="Arial"/>
                <w:sz w:val="24"/>
                <w:szCs w:val="24"/>
              </w:rPr>
            </w:pPr>
            <w:r w:rsidRPr="00A03549">
              <w:rPr>
                <w:rFonts w:ascii="Arial" w:hAnsi="Arial" w:cs="Arial"/>
                <w:sz w:val="24"/>
                <w:szCs w:val="24"/>
              </w:rPr>
              <w:t>143</w:t>
            </w:r>
          </w:p>
        </w:tc>
      </w:tr>
      <w:tr w:rsidR="00773A54" w:rsidRPr="002A0929" w14:paraId="44B73788" w14:textId="77777777" w:rsidTr="00DB3649">
        <w:trPr>
          <w:trHeight w:val="254"/>
        </w:trPr>
        <w:tc>
          <w:tcPr>
            <w:tcW w:w="3091" w:type="pct"/>
            <w:vAlign w:val="bottom"/>
          </w:tcPr>
          <w:p w14:paraId="0872BE2E" w14:textId="77777777" w:rsidR="00773A54" w:rsidRPr="00A03549" w:rsidRDefault="00773A54" w:rsidP="00907EA8">
            <w:pPr>
              <w:rPr>
                <w:rFonts w:ascii="Arial" w:hAnsi="Arial" w:cs="Arial"/>
                <w:sz w:val="24"/>
                <w:szCs w:val="24"/>
              </w:rPr>
            </w:pPr>
            <w:r w:rsidRPr="00A03549">
              <w:rPr>
                <w:rFonts w:ascii="Arial" w:hAnsi="Arial" w:cs="Arial"/>
                <w:sz w:val="24"/>
                <w:szCs w:val="24"/>
              </w:rPr>
              <w:t>Property and other disposals</w:t>
            </w:r>
            <w:r w:rsidRPr="00A03549">
              <w:rPr>
                <w:rFonts w:ascii="Arial" w:hAnsi="Arial" w:cs="Arial"/>
                <w:sz w:val="24"/>
                <w:szCs w:val="24"/>
                <w:vertAlign w:val="superscript"/>
              </w:rPr>
              <w:t>(1)</w:t>
            </w:r>
          </w:p>
        </w:tc>
        <w:tc>
          <w:tcPr>
            <w:tcW w:w="976" w:type="pct"/>
            <w:vAlign w:val="bottom"/>
          </w:tcPr>
          <w:p w14:paraId="34F6A1A2" w14:textId="77777777" w:rsidR="00773A54" w:rsidRPr="00835ECD" w:rsidRDefault="00773A54" w:rsidP="00907EA8">
            <w:pPr>
              <w:jc w:val="right"/>
              <w:rPr>
                <w:rFonts w:ascii="Arial" w:hAnsi="Arial" w:cs="Arial"/>
                <w:b/>
                <w:sz w:val="24"/>
                <w:szCs w:val="24"/>
              </w:rPr>
            </w:pPr>
            <w:r w:rsidRPr="00835ECD">
              <w:rPr>
                <w:rFonts w:ascii="Arial" w:hAnsi="Arial" w:cs="Arial"/>
                <w:b/>
                <w:sz w:val="24"/>
                <w:szCs w:val="24"/>
              </w:rPr>
              <w:t>-</w:t>
            </w:r>
          </w:p>
        </w:tc>
        <w:tc>
          <w:tcPr>
            <w:tcW w:w="933" w:type="pct"/>
            <w:vAlign w:val="bottom"/>
          </w:tcPr>
          <w:p w14:paraId="74A3A328"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17</w:t>
            </w:r>
          </w:p>
        </w:tc>
      </w:tr>
      <w:tr w:rsidR="00773A54" w:rsidRPr="002A0929" w14:paraId="4866523E" w14:textId="77777777" w:rsidTr="00DB3649">
        <w:trPr>
          <w:trHeight w:val="254"/>
        </w:trPr>
        <w:tc>
          <w:tcPr>
            <w:tcW w:w="3091" w:type="pct"/>
            <w:tcBorders>
              <w:top w:val="single" w:sz="4" w:space="0" w:color="auto"/>
              <w:left w:val="nil"/>
              <w:bottom w:val="nil"/>
              <w:right w:val="nil"/>
            </w:tcBorders>
            <w:vAlign w:val="bottom"/>
            <w:hideMark/>
          </w:tcPr>
          <w:p w14:paraId="43DA3BF1" w14:textId="77777777" w:rsidR="00773A54" w:rsidRPr="00A03549" w:rsidRDefault="00773A54" w:rsidP="00907EA8">
            <w:pPr>
              <w:rPr>
                <w:rFonts w:ascii="Arial" w:hAnsi="Arial" w:cs="Arial"/>
                <w:sz w:val="24"/>
                <w:szCs w:val="24"/>
              </w:rPr>
            </w:pPr>
            <w:r w:rsidRPr="00A03549">
              <w:rPr>
                <w:rFonts w:ascii="Arial" w:hAnsi="Arial" w:cs="Arial"/>
                <w:b/>
                <w:sz w:val="24"/>
                <w:szCs w:val="24"/>
              </w:rPr>
              <w:t>Exceptional items before tax</w:t>
            </w:r>
          </w:p>
        </w:tc>
        <w:tc>
          <w:tcPr>
            <w:tcW w:w="976" w:type="pct"/>
            <w:tcBorders>
              <w:top w:val="single" w:sz="4" w:space="0" w:color="auto"/>
              <w:left w:val="nil"/>
              <w:bottom w:val="nil"/>
              <w:right w:val="nil"/>
            </w:tcBorders>
            <w:vAlign w:val="bottom"/>
            <w:hideMark/>
          </w:tcPr>
          <w:p w14:paraId="263A56BB" w14:textId="48DBEFF6" w:rsidR="00773A54" w:rsidRPr="00835ECD" w:rsidRDefault="00835ECD" w:rsidP="00907EA8">
            <w:pPr>
              <w:jc w:val="right"/>
              <w:rPr>
                <w:rFonts w:ascii="Arial" w:hAnsi="Arial" w:cs="Arial"/>
                <w:b/>
                <w:sz w:val="24"/>
                <w:szCs w:val="24"/>
              </w:rPr>
            </w:pPr>
            <w:r w:rsidRPr="00925EFB">
              <w:rPr>
                <w:rFonts w:ascii="Arial" w:hAnsi="Arial" w:cs="Arial"/>
                <w:b/>
                <w:sz w:val="24"/>
                <w:szCs w:val="24"/>
              </w:rPr>
              <w:t>11</w:t>
            </w:r>
          </w:p>
        </w:tc>
        <w:tc>
          <w:tcPr>
            <w:tcW w:w="933" w:type="pct"/>
            <w:tcBorders>
              <w:top w:val="single" w:sz="4" w:space="0" w:color="auto"/>
              <w:left w:val="nil"/>
              <w:bottom w:val="nil"/>
              <w:right w:val="nil"/>
            </w:tcBorders>
            <w:vAlign w:val="bottom"/>
            <w:hideMark/>
          </w:tcPr>
          <w:p w14:paraId="271E1708"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9</w:t>
            </w:r>
          </w:p>
        </w:tc>
      </w:tr>
      <w:tr w:rsidR="00773A54" w:rsidRPr="002A0929" w14:paraId="40BB67BB" w14:textId="77777777" w:rsidTr="00DB3649">
        <w:trPr>
          <w:trHeight w:val="308"/>
        </w:trPr>
        <w:tc>
          <w:tcPr>
            <w:tcW w:w="3091" w:type="pct"/>
            <w:vAlign w:val="bottom"/>
            <w:hideMark/>
          </w:tcPr>
          <w:p w14:paraId="186DE12E" w14:textId="77777777" w:rsidR="00773A54" w:rsidRPr="00A03549" w:rsidRDefault="00773A54" w:rsidP="00907EA8">
            <w:pPr>
              <w:jc w:val="left"/>
              <w:rPr>
                <w:rFonts w:ascii="Arial" w:hAnsi="Arial" w:cs="Arial"/>
                <w:b/>
                <w:sz w:val="24"/>
                <w:szCs w:val="24"/>
              </w:rPr>
            </w:pPr>
            <w:r w:rsidRPr="00A03549">
              <w:rPr>
                <w:rFonts w:ascii="Arial" w:hAnsi="Arial" w:cs="Arial"/>
                <w:sz w:val="24"/>
                <w:szCs w:val="24"/>
              </w:rPr>
              <w:t xml:space="preserve">Exceptional tax items </w:t>
            </w:r>
          </w:p>
        </w:tc>
        <w:tc>
          <w:tcPr>
            <w:tcW w:w="976" w:type="pct"/>
            <w:vAlign w:val="bottom"/>
            <w:hideMark/>
          </w:tcPr>
          <w:p w14:paraId="4A644E38" w14:textId="38918988" w:rsidR="00773A54" w:rsidRPr="00835ECD" w:rsidRDefault="00773A54">
            <w:pPr>
              <w:jc w:val="right"/>
              <w:rPr>
                <w:rFonts w:ascii="Arial" w:hAnsi="Arial" w:cs="Arial"/>
                <w:b/>
                <w:sz w:val="24"/>
                <w:szCs w:val="24"/>
              </w:rPr>
            </w:pPr>
            <w:r w:rsidRPr="00835ECD">
              <w:rPr>
                <w:rFonts w:ascii="Arial" w:hAnsi="Arial" w:cs="Arial"/>
                <w:b/>
                <w:sz w:val="24"/>
                <w:szCs w:val="24"/>
              </w:rPr>
              <w:t>(</w:t>
            </w:r>
            <w:r w:rsidR="00835ECD" w:rsidRPr="00925EFB">
              <w:rPr>
                <w:rFonts w:ascii="Arial" w:hAnsi="Arial" w:cs="Arial"/>
                <w:b/>
                <w:sz w:val="24"/>
                <w:szCs w:val="24"/>
              </w:rPr>
              <w:t>2</w:t>
            </w:r>
            <w:r w:rsidRPr="00835ECD">
              <w:rPr>
                <w:rFonts w:ascii="Arial" w:hAnsi="Arial" w:cs="Arial"/>
                <w:b/>
                <w:sz w:val="24"/>
                <w:szCs w:val="24"/>
              </w:rPr>
              <w:t>)</w:t>
            </w:r>
          </w:p>
        </w:tc>
        <w:tc>
          <w:tcPr>
            <w:tcW w:w="933" w:type="pct"/>
            <w:vAlign w:val="bottom"/>
            <w:hideMark/>
          </w:tcPr>
          <w:p w14:paraId="05199024"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29</w:t>
            </w:r>
          </w:p>
        </w:tc>
      </w:tr>
      <w:tr w:rsidR="00773A54" w:rsidRPr="00265815" w14:paraId="40424B4F" w14:textId="77777777" w:rsidTr="00DB3649">
        <w:trPr>
          <w:trHeight w:val="308"/>
        </w:trPr>
        <w:tc>
          <w:tcPr>
            <w:tcW w:w="3091" w:type="pct"/>
            <w:tcBorders>
              <w:top w:val="single" w:sz="4" w:space="0" w:color="auto"/>
              <w:left w:val="nil"/>
              <w:bottom w:val="single" w:sz="4" w:space="0" w:color="auto"/>
              <w:right w:val="nil"/>
            </w:tcBorders>
            <w:vAlign w:val="bottom"/>
            <w:hideMark/>
          </w:tcPr>
          <w:p w14:paraId="708742AD" w14:textId="77777777" w:rsidR="00773A54" w:rsidRPr="00A03549" w:rsidRDefault="00773A54" w:rsidP="00907EA8">
            <w:pPr>
              <w:jc w:val="left"/>
              <w:rPr>
                <w:rFonts w:ascii="Arial" w:hAnsi="Arial" w:cs="Arial"/>
                <w:sz w:val="24"/>
                <w:szCs w:val="24"/>
              </w:rPr>
            </w:pPr>
            <w:r w:rsidRPr="00A03549">
              <w:rPr>
                <w:rFonts w:ascii="Arial" w:hAnsi="Arial" w:cs="Arial"/>
                <w:b/>
                <w:sz w:val="24"/>
                <w:szCs w:val="24"/>
              </w:rPr>
              <w:t>Net exceptional items</w:t>
            </w:r>
          </w:p>
        </w:tc>
        <w:tc>
          <w:tcPr>
            <w:tcW w:w="976" w:type="pct"/>
            <w:tcBorders>
              <w:top w:val="single" w:sz="4" w:space="0" w:color="auto"/>
              <w:left w:val="nil"/>
              <w:bottom w:val="single" w:sz="4" w:space="0" w:color="auto"/>
              <w:right w:val="nil"/>
            </w:tcBorders>
            <w:vAlign w:val="bottom"/>
            <w:hideMark/>
          </w:tcPr>
          <w:p w14:paraId="1015ED92" w14:textId="42560617" w:rsidR="00773A54" w:rsidRPr="00835ECD" w:rsidRDefault="00835ECD" w:rsidP="00907EA8">
            <w:pPr>
              <w:jc w:val="right"/>
              <w:rPr>
                <w:rFonts w:ascii="Arial" w:hAnsi="Arial" w:cs="Arial"/>
                <w:b/>
                <w:sz w:val="24"/>
                <w:szCs w:val="24"/>
              </w:rPr>
            </w:pPr>
            <w:r w:rsidRPr="00925EFB">
              <w:rPr>
                <w:rFonts w:ascii="Arial" w:hAnsi="Arial" w:cs="Arial"/>
                <w:b/>
                <w:sz w:val="24"/>
                <w:szCs w:val="24"/>
              </w:rPr>
              <w:t>9</w:t>
            </w:r>
          </w:p>
        </w:tc>
        <w:tc>
          <w:tcPr>
            <w:tcW w:w="933" w:type="pct"/>
            <w:tcBorders>
              <w:top w:val="single" w:sz="4" w:space="0" w:color="auto"/>
              <w:left w:val="nil"/>
              <w:bottom w:val="single" w:sz="4" w:space="0" w:color="auto"/>
              <w:right w:val="nil"/>
            </w:tcBorders>
            <w:vAlign w:val="bottom"/>
            <w:hideMark/>
          </w:tcPr>
          <w:p w14:paraId="3447C44B"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38</w:t>
            </w:r>
          </w:p>
        </w:tc>
      </w:tr>
    </w:tbl>
    <w:p w14:paraId="4A4FFC47" w14:textId="77777777" w:rsidR="00773A54" w:rsidRPr="00A03549" w:rsidRDefault="00773A54" w:rsidP="00773A54">
      <w:pPr>
        <w:jc w:val="left"/>
        <w:rPr>
          <w:rFonts w:ascii="Arial" w:hAnsi="Arial" w:cs="Arial"/>
          <w:b/>
          <w:sz w:val="24"/>
          <w:szCs w:val="24"/>
        </w:rPr>
      </w:pPr>
      <w:r w:rsidRPr="00A03549">
        <w:rPr>
          <w:rFonts w:ascii="Arial" w:hAnsi="Arial" w:cs="Arial"/>
          <w:b/>
          <w:sz w:val="24"/>
          <w:szCs w:val="24"/>
        </w:rPr>
        <w:t xml:space="preserve"> </w:t>
      </w:r>
      <w:r w:rsidRPr="00A03549">
        <w:rPr>
          <w:rFonts w:ascii="Arial" w:hAnsi="Arial" w:cs="Arial"/>
          <w:sz w:val="24"/>
          <w:szCs w:val="24"/>
          <w:vertAlign w:val="superscript"/>
        </w:rPr>
        <w:t>(1)</w:t>
      </w:r>
      <w:r w:rsidRPr="00A03549">
        <w:rPr>
          <w:rFonts w:ascii="Arial" w:hAnsi="Arial" w:cs="Arial"/>
          <w:sz w:val="24"/>
          <w:szCs w:val="24"/>
        </w:rPr>
        <w:t xml:space="preserve"> </w:t>
      </w:r>
      <w:r w:rsidRPr="00A03549">
        <w:rPr>
          <w:rFonts w:ascii="Arial" w:hAnsi="Arial" w:cs="Arial"/>
          <w:sz w:val="18"/>
          <w:szCs w:val="24"/>
        </w:rPr>
        <w:t>Disposal of properties includes the disposal of a property company which held 3 non-operational properties</w:t>
      </w:r>
    </w:p>
    <w:p w14:paraId="798DFCD1" w14:textId="77777777" w:rsidR="00773A54" w:rsidRPr="00A03549" w:rsidRDefault="00773A54" w:rsidP="00773A54">
      <w:pPr>
        <w:rPr>
          <w:rFonts w:ascii="Arial" w:hAnsi="Arial" w:cs="Arial"/>
          <w:b/>
          <w:sz w:val="24"/>
          <w:szCs w:val="24"/>
          <w:highlight w:val="yellow"/>
        </w:rPr>
      </w:pPr>
    </w:p>
    <w:p w14:paraId="5728D3A3" w14:textId="53F4CB38" w:rsidR="00773A54" w:rsidRPr="00E304FD" w:rsidRDefault="00773A54" w:rsidP="00773A54">
      <w:pPr>
        <w:spacing w:after="200"/>
        <w:contextualSpacing/>
        <w:jc w:val="left"/>
        <w:rPr>
          <w:rFonts w:ascii="Arial" w:hAnsi="Arial" w:cs="Arial"/>
          <w:sz w:val="24"/>
          <w:szCs w:val="24"/>
        </w:rPr>
      </w:pPr>
      <w:r w:rsidRPr="00925EFB">
        <w:rPr>
          <w:rFonts w:ascii="Arial" w:hAnsi="Arial" w:cs="Arial"/>
          <w:sz w:val="24"/>
          <w:szCs w:val="24"/>
        </w:rPr>
        <w:lastRenderedPageBreak/>
        <w:t xml:space="preserve">As previously announced, B&amp;Q will </w:t>
      </w:r>
      <w:r w:rsidR="0016009C">
        <w:rPr>
          <w:rFonts w:ascii="Arial" w:hAnsi="Arial" w:cs="Arial"/>
          <w:sz w:val="24"/>
          <w:szCs w:val="24"/>
        </w:rPr>
        <w:t xml:space="preserve">complete the </w:t>
      </w:r>
      <w:r w:rsidRPr="00925EFB">
        <w:rPr>
          <w:rFonts w:ascii="Arial" w:hAnsi="Arial" w:cs="Arial"/>
          <w:sz w:val="24"/>
          <w:szCs w:val="24"/>
        </w:rPr>
        <w:t>clos</w:t>
      </w:r>
      <w:r w:rsidR="0016009C">
        <w:rPr>
          <w:rFonts w:ascii="Arial" w:hAnsi="Arial" w:cs="Arial"/>
          <w:sz w:val="24"/>
          <w:szCs w:val="24"/>
        </w:rPr>
        <w:t>ure of</w:t>
      </w:r>
      <w:r w:rsidRPr="00925EFB">
        <w:rPr>
          <w:rFonts w:ascii="Arial" w:hAnsi="Arial" w:cs="Arial"/>
          <w:sz w:val="24"/>
          <w:szCs w:val="24"/>
        </w:rPr>
        <w:t xml:space="preserve"> around 15% of space by the end of FY 2016/17. There will also be a small number of closures of loss making stores across Europe. In addition to the 30 B&amp;Q stores closed in FY 201</w:t>
      </w:r>
      <w:r w:rsidR="009E70F6">
        <w:rPr>
          <w:rFonts w:ascii="Arial" w:hAnsi="Arial" w:cs="Arial"/>
          <w:sz w:val="24"/>
          <w:szCs w:val="24"/>
        </w:rPr>
        <w:t>5/16</w:t>
      </w:r>
      <w:r w:rsidRPr="00925EFB">
        <w:rPr>
          <w:rFonts w:ascii="Arial" w:hAnsi="Arial" w:cs="Arial"/>
          <w:sz w:val="24"/>
          <w:szCs w:val="24"/>
        </w:rPr>
        <w:t xml:space="preserve"> a further </w:t>
      </w:r>
      <w:r w:rsidR="00DB3649" w:rsidRPr="00925EFB">
        <w:rPr>
          <w:rFonts w:ascii="Arial" w:hAnsi="Arial" w:cs="Arial"/>
          <w:sz w:val="24"/>
          <w:szCs w:val="24"/>
        </w:rPr>
        <w:t>22</w:t>
      </w:r>
      <w:r w:rsidRPr="00925EFB">
        <w:rPr>
          <w:rFonts w:ascii="Arial" w:hAnsi="Arial" w:cs="Arial"/>
          <w:sz w:val="24"/>
          <w:szCs w:val="24"/>
        </w:rPr>
        <w:t xml:space="preserve"> stores were closed in </w:t>
      </w:r>
      <w:r w:rsidR="00D435DA">
        <w:rPr>
          <w:rFonts w:ascii="Arial" w:hAnsi="Arial" w:cs="Arial"/>
          <w:sz w:val="24"/>
          <w:szCs w:val="24"/>
        </w:rPr>
        <w:t>H1</w:t>
      </w:r>
      <w:r w:rsidRPr="00925EFB">
        <w:rPr>
          <w:rFonts w:ascii="Arial" w:hAnsi="Arial" w:cs="Arial"/>
          <w:sz w:val="24"/>
          <w:szCs w:val="24"/>
        </w:rPr>
        <w:t xml:space="preserve">. </w:t>
      </w:r>
      <w:r w:rsidR="002B731A">
        <w:rPr>
          <w:rFonts w:ascii="Arial" w:hAnsi="Arial" w:cs="Arial"/>
          <w:sz w:val="24"/>
          <w:szCs w:val="24"/>
        </w:rPr>
        <w:t>In Q1</w:t>
      </w:r>
      <w:r w:rsidRPr="00925EFB">
        <w:rPr>
          <w:rFonts w:ascii="Arial" w:hAnsi="Arial" w:cs="Arial"/>
          <w:sz w:val="24"/>
          <w:szCs w:val="24"/>
        </w:rPr>
        <w:t xml:space="preserve"> </w:t>
      </w:r>
      <w:r w:rsidR="002B731A">
        <w:rPr>
          <w:rFonts w:ascii="Arial" w:hAnsi="Arial" w:cs="Arial"/>
          <w:sz w:val="24"/>
          <w:szCs w:val="24"/>
        </w:rPr>
        <w:t>B&amp;Q</w:t>
      </w:r>
      <w:r w:rsidRPr="00925EFB">
        <w:rPr>
          <w:rFonts w:ascii="Arial" w:hAnsi="Arial" w:cs="Arial"/>
          <w:sz w:val="24"/>
          <w:szCs w:val="24"/>
        </w:rPr>
        <w:t xml:space="preserve"> outsourced the remaining lease exits to a third party via a lease liability transaction</w:t>
      </w:r>
      <w:r w:rsidRPr="000F07BB">
        <w:rPr>
          <w:rFonts w:ascii="Arial" w:hAnsi="Arial" w:cs="Arial"/>
          <w:sz w:val="24"/>
          <w:szCs w:val="24"/>
        </w:rPr>
        <w:t xml:space="preserve">. The </w:t>
      </w:r>
      <w:r w:rsidR="002B731A" w:rsidRPr="000F07BB">
        <w:rPr>
          <w:rFonts w:ascii="Arial" w:hAnsi="Arial" w:cs="Arial"/>
          <w:sz w:val="24"/>
          <w:szCs w:val="24"/>
        </w:rPr>
        <w:t xml:space="preserve">total </w:t>
      </w:r>
      <w:r w:rsidRPr="000F07BB">
        <w:rPr>
          <w:rFonts w:ascii="Arial" w:hAnsi="Arial" w:cs="Arial"/>
          <w:sz w:val="24"/>
          <w:szCs w:val="24"/>
        </w:rPr>
        <w:t xml:space="preserve">store </w:t>
      </w:r>
      <w:r w:rsidR="00D5641B" w:rsidRPr="000F07BB">
        <w:rPr>
          <w:rFonts w:ascii="Arial" w:hAnsi="Arial" w:cs="Arial"/>
          <w:sz w:val="24"/>
          <w:szCs w:val="24"/>
        </w:rPr>
        <w:t>rationalisation programme was</w:t>
      </w:r>
      <w:r w:rsidRPr="000F07BB">
        <w:rPr>
          <w:rFonts w:ascii="Arial" w:hAnsi="Arial" w:cs="Arial"/>
          <w:sz w:val="24"/>
          <w:szCs w:val="24"/>
        </w:rPr>
        <w:t xml:space="preserve"> expected to give rise to an exceptional charge of around £350 million, relating principally to onerous lease provisions. </w:t>
      </w:r>
      <w:r w:rsidR="002B731A" w:rsidRPr="000F07BB">
        <w:rPr>
          <w:rFonts w:ascii="Arial" w:hAnsi="Arial" w:cs="Arial"/>
          <w:sz w:val="24"/>
          <w:szCs w:val="24"/>
        </w:rPr>
        <w:t>A</w:t>
      </w:r>
      <w:r w:rsidR="00D5641B" w:rsidRPr="000F07BB">
        <w:rPr>
          <w:rFonts w:ascii="Arial" w:hAnsi="Arial" w:cs="Arial"/>
          <w:sz w:val="24"/>
          <w:szCs w:val="24"/>
        </w:rPr>
        <w:t xml:space="preserve">n </w:t>
      </w:r>
      <w:r w:rsidR="002B731A" w:rsidRPr="000F07BB">
        <w:rPr>
          <w:rFonts w:ascii="Arial" w:hAnsi="Arial" w:cs="Arial"/>
          <w:sz w:val="24"/>
          <w:szCs w:val="24"/>
        </w:rPr>
        <w:t xml:space="preserve">exceptional charge of </w:t>
      </w:r>
      <w:r w:rsidR="00D5641B" w:rsidRPr="000F07BB">
        <w:rPr>
          <w:rFonts w:ascii="Arial" w:hAnsi="Arial" w:cs="Arial"/>
          <w:sz w:val="24"/>
          <w:szCs w:val="24"/>
        </w:rPr>
        <w:t>£</w:t>
      </w:r>
      <w:r w:rsidR="002B731A" w:rsidRPr="000F07BB">
        <w:rPr>
          <w:rFonts w:ascii="Arial" w:hAnsi="Arial" w:cs="Arial"/>
          <w:sz w:val="24"/>
          <w:szCs w:val="24"/>
        </w:rPr>
        <w:t>305</w:t>
      </w:r>
      <w:r w:rsidR="00421A9F" w:rsidRPr="000F07BB">
        <w:rPr>
          <w:rFonts w:ascii="Arial" w:hAnsi="Arial" w:cs="Arial"/>
          <w:sz w:val="24"/>
          <w:szCs w:val="24"/>
        </w:rPr>
        <w:t xml:space="preserve"> </w:t>
      </w:r>
      <w:r w:rsidR="00D5641B" w:rsidRPr="000F07BB">
        <w:rPr>
          <w:rFonts w:ascii="Arial" w:hAnsi="Arial" w:cs="Arial"/>
          <w:sz w:val="24"/>
          <w:szCs w:val="24"/>
        </w:rPr>
        <w:t>m</w:t>
      </w:r>
      <w:r w:rsidR="00421A9F" w:rsidRPr="000F07BB">
        <w:rPr>
          <w:rFonts w:ascii="Arial" w:hAnsi="Arial" w:cs="Arial"/>
          <w:sz w:val="24"/>
          <w:szCs w:val="24"/>
        </w:rPr>
        <w:t>illion</w:t>
      </w:r>
      <w:r w:rsidR="00D5641B" w:rsidRPr="000F07BB">
        <w:rPr>
          <w:rFonts w:ascii="Arial" w:hAnsi="Arial" w:cs="Arial"/>
          <w:sz w:val="24"/>
          <w:szCs w:val="24"/>
        </w:rPr>
        <w:t xml:space="preserve"> </w:t>
      </w:r>
      <w:r w:rsidR="002B731A" w:rsidRPr="000F07BB">
        <w:rPr>
          <w:rFonts w:ascii="Arial" w:hAnsi="Arial" w:cs="Arial"/>
          <w:sz w:val="24"/>
          <w:szCs w:val="24"/>
        </w:rPr>
        <w:t>was reported in FY 2015/1</w:t>
      </w:r>
      <w:r w:rsidR="00C943C9" w:rsidRPr="000F07BB">
        <w:rPr>
          <w:rFonts w:ascii="Arial" w:hAnsi="Arial" w:cs="Arial"/>
          <w:sz w:val="24"/>
          <w:szCs w:val="24"/>
        </w:rPr>
        <w:t>6</w:t>
      </w:r>
      <w:r w:rsidR="00306B43" w:rsidRPr="000F07BB">
        <w:rPr>
          <w:rFonts w:ascii="Arial" w:hAnsi="Arial" w:cs="Arial"/>
          <w:sz w:val="24"/>
          <w:szCs w:val="24"/>
        </w:rPr>
        <w:t xml:space="preserve">. </w:t>
      </w:r>
      <w:r w:rsidR="00306B43" w:rsidRPr="00241697">
        <w:rPr>
          <w:rFonts w:ascii="Arial" w:hAnsi="Arial" w:cs="Arial"/>
          <w:sz w:val="24"/>
          <w:szCs w:val="24"/>
        </w:rPr>
        <w:t xml:space="preserve">An </w:t>
      </w:r>
      <w:r w:rsidR="00D02AC2">
        <w:rPr>
          <w:rFonts w:ascii="Arial" w:hAnsi="Arial" w:cs="Arial"/>
          <w:sz w:val="24"/>
          <w:szCs w:val="24"/>
        </w:rPr>
        <w:t xml:space="preserve">overall </w:t>
      </w:r>
      <w:r w:rsidR="00306B43" w:rsidRPr="00241697">
        <w:rPr>
          <w:rFonts w:ascii="Arial" w:hAnsi="Arial" w:cs="Arial"/>
          <w:sz w:val="24"/>
          <w:szCs w:val="24"/>
        </w:rPr>
        <w:t xml:space="preserve">exceptional gain of £9 million was recorded in </w:t>
      </w:r>
      <w:r w:rsidR="00C943C9" w:rsidRPr="00241697">
        <w:rPr>
          <w:rFonts w:ascii="Arial" w:hAnsi="Arial" w:cs="Arial"/>
          <w:sz w:val="24"/>
          <w:szCs w:val="24"/>
        </w:rPr>
        <w:t>H1</w:t>
      </w:r>
      <w:r w:rsidR="00306B43" w:rsidRPr="00241697">
        <w:rPr>
          <w:rFonts w:ascii="Arial" w:hAnsi="Arial" w:cs="Arial"/>
          <w:sz w:val="24"/>
          <w:szCs w:val="24"/>
        </w:rPr>
        <w:t xml:space="preserve"> (FY 2015/16: £38 million)</w:t>
      </w:r>
      <w:r w:rsidR="002B731A" w:rsidRPr="00241697">
        <w:rPr>
          <w:rFonts w:ascii="Arial" w:hAnsi="Arial" w:cs="Arial"/>
          <w:sz w:val="24"/>
          <w:szCs w:val="24"/>
        </w:rPr>
        <w:t xml:space="preserve"> </w:t>
      </w:r>
      <w:r w:rsidR="00E210E8" w:rsidRPr="00241697">
        <w:rPr>
          <w:rFonts w:ascii="Arial" w:hAnsi="Arial" w:cs="Arial"/>
          <w:sz w:val="24"/>
          <w:szCs w:val="24"/>
        </w:rPr>
        <w:t xml:space="preserve">reflecting </w:t>
      </w:r>
      <w:r w:rsidR="00F73881">
        <w:rPr>
          <w:rFonts w:ascii="Arial" w:hAnsi="Arial" w:cs="Arial"/>
          <w:sz w:val="24"/>
          <w:szCs w:val="24"/>
        </w:rPr>
        <w:t xml:space="preserve">the </w:t>
      </w:r>
      <w:r w:rsidR="000754C8">
        <w:rPr>
          <w:rFonts w:ascii="Arial" w:hAnsi="Arial" w:cs="Arial"/>
          <w:sz w:val="24"/>
          <w:szCs w:val="24"/>
        </w:rPr>
        <w:t>decision to keep one store open that was</w:t>
      </w:r>
      <w:r w:rsidR="00F73881">
        <w:rPr>
          <w:rFonts w:ascii="Arial" w:hAnsi="Arial" w:cs="Arial"/>
          <w:sz w:val="24"/>
          <w:szCs w:val="24"/>
        </w:rPr>
        <w:t xml:space="preserve"> originally planned for closure</w:t>
      </w:r>
      <w:r w:rsidR="000754C8">
        <w:rPr>
          <w:rFonts w:ascii="Arial" w:hAnsi="Arial" w:cs="Arial"/>
          <w:sz w:val="24"/>
          <w:szCs w:val="24"/>
        </w:rPr>
        <w:t>. This was</w:t>
      </w:r>
      <w:r w:rsidR="00F73881">
        <w:rPr>
          <w:rFonts w:ascii="Arial" w:hAnsi="Arial" w:cs="Arial"/>
          <w:sz w:val="24"/>
          <w:szCs w:val="24"/>
        </w:rPr>
        <w:t xml:space="preserve"> partly offset by the forced closure of one other store.</w:t>
      </w:r>
      <w:r w:rsidR="00E210E8" w:rsidRPr="00241697">
        <w:rPr>
          <w:rFonts w:ascii="Arial" w:hAnsi="Arial" w:cs="Arial"/>
          <w:sz w:val="24"/>
          <w:szCs w:val="24"/>
        </w:rPr>
        <w:t xml:space="preserve"> </w:t>
      </w:r>
    </w:p>
    <w:p w14:paraId="544BFBD7" w14:textId="77777777" w:rsidR="00773A54" w:rsidRPr="00925EFB" w:rsidRDefault="00773A54" w:rsidP="00773A54">
      <w:pPr>
        <w:spacing w:after="200"/>
        <w:contextualSpacing/>
        <w:jc w:val="left"/>
        <w:rPr>
          <w:rFonts w:ascii="Arial" w:hAnsi="Arial" w:cs="Arial"/>
          <w:sz w:val="24"/>
          <w:szCs w:val="24"/>
          <w:highlight w:val="green"/>
        </w:rPr>
      </w:pPr>
    </w:p>
    <w:p w14:paraId="020948F7" w14:textId="79051552" w:rsidR="00773A54" w:rsidRPr="00925EFB" w:rsidRDefault="00773A54" w:rsidP="00773A54">
      <w:pPr>
        <w:spacing w:after="200"/>
        <w:contextualSpacing/>
        <w:jc w:val="left"/>
        <w:rPr>
          <w:rFonts w:ascii="Arial" w:hAnsi="Arial" w:cs="Arial"/>
          <w:sz w:val="24"/>
          <w:szCs w:val="24"/>
        </w:rPr>
      </w:pPr>
      <w:r w:rsidRPr="00925EFB">
        <w:rPr>
          <w:rFonts w:ascii="Arial" w:hAnsi="Arial" w:cs="Arial"/>
          <w:sz w:val="24"/>
          <w:szCs w:val="24"/>
        </w:rPr>
        <w:t xml:space="preserve">The disposal of the remaining 30% stake in B&amp;Q China for a </w:t>
      </w:r>
      <w:r w:rsidR="009E70F6">
        <w:rPr>
          <w:rFonts w:ascii="Arial" w:hAnsi="Arial" w:cs="Arial"/>
          <w:sz w:val="24"/>
          <w:szCs w:val="24"/>
        </w:rPr>
        <w:t>net</w:t>
      </w:r>
      <w:r w:rsidRPr="00925EFB">
        <w:rPr>
          <w:rFonts w:ascii="Arial" w:hAnsi="Arial" w:cs="Arial"/>
          <w:sz w:val="24"/>
          <w:szCs w:val="24"/>
        </w:rPr>
        <w:t xml:space="preserve"> consideration of £</w:t>
      </w:r>
      <w:r w:rsidR="00306B43" w:rsidRPr="00925EFB">
        <w:rPr>
          <w:rFonts w:ascii="Arial" w:hAnsi="Arial" w:cs="Arial"/>
          <w:sz w:val="24"/>
          <w:szCs w:val="24"/>
        </w:rPr>
        <w:t>63</w:t>
      </w:r>
      <w:r w:rsidRPr="00925EFB">
        <w:rPr>
          <w:rFonts w:ascii="Arial" w:hAnsi="Arial" w:cs="Arial"/>
          <w:sz w:val="24"/>
          <w:szCs w:val="24"/>
        </w:rPr>
        <w:t xml:space="preserve"> million resulted in a gain of £</w:t>
      </w:r>
      <w:r w:rsidR="009E70F6">
        <w:rPr>
          <w:rFonts w:ascii="Arial" w:hAnsi="Arial" w:cs="Arial"/>
          <w:sz w:val="24"/>
          <w:szCs w:val="24"/>
        </w:rPr>
        <w:t>3</w:t>
      </w:r>
      <w:r w:rsidRPr="00925EFB">
        <w:rPr>
          <w:rFonts w:ascii="Arial" w:hAnsi="Arial" w:cs="Arial"/>
          <w:sz w:val="24"/>
          <w:szCs w:val="24"/>
        </w:rPr>
        <w:t xml:space="preserve"> million. </w:t>
      </w:r>
    </w:p>
    <w:p w14:paraId="3940E7C0" w14:textId="77777777" w:rsidR="00773A54" w:rsidRPr="00A03549" w:rsidRDefault="00773A54" w:rsidP="00773A54">
      <w:pPr>
        <w:spacing w:after="200"/>
        <w:contextualSpacing/>
        <w:jc w:val="left"/>
        <w:rPr>
          <w:rFonts w:ascii="Arial" w:hAnsi="Arial" w:cs="Arial"/>
          <w:sz w:val="24"/>
          <w:szCs w:val="24"/>
          <w:highlight w:val="yellow"/>
        </w:rPr>
      </w:pPr>
    </w:p>
    <w:p w14:paraId="4E4DBEF1" w14:textId="2E0EC411" w:rsidR="00421A9F" w:rsidRPr="00925EFB" w:rsidRDefault="00773A54" w:rsidP="00773A54">
      <w:pPr>
        <w:jc w:val="left"/>
        <w:rPr>
          <w:rFonts w:ascii="Arial" w:hAnsi="Arial" w:cs="Arial"/>
          <w:sz w:val="24"/>
          <w:szCs w:val="24"/>
        </w:rPr>
      </w:pPr>
      <w:r w:rsidRPr="005604A6">
        <w:rPr>
          <w:rFonts w:ascii="Arial" w:hAnsi="Arial" w:cs="Arial"/>
          <w:b/>
          <w:sz w:val="24"/>
          <w:szCs w:val="24"/>
        </w:rPr>
        <w:t>Underlying basic earnings</w:t>
      </w:r>
      <w:r w:rsidRPr="005604A6">
        <w:rPr>
          <w:rFonts w:ascii="Arial" w:hAnsi="Arial" w:cs="Arial"/>
          <w:sz w:val="24"/>
          <w:szCs w:val="24"/>
        </w:rPr>
        <w:t xml:space="preserve"> </w:t>
      </w:r>
      <w:r w:rsidRPr="0020209B">
        <w:rPr>
          <w:rFonts w:ascii="Arial" w:hAnsi="Arial" w:cs="Arial"/>
          <w:b/>
          <w:sz w:val="24"/>
          <w:szCs w:val="24"/>
        </w:rPr>
        <w:t xml:space="preserve">per share </w:t>
      </w:r>
      <w:r w:rsidR="00664BEF">
        <w:rPr>
          <w:rFonts w:ascii="Arial" w:hAnsi="Arial" w:cs="Arial"/>
          <w:sz w:val="24"/>
          <w:szCs w:val="24"/>
        </w:rPr>
        <w:t>grew by 15.4% to</w:t>
      </w:r>
      <w:r w:rsidRPr="005604A6">
        <w:rPr>
          <w:rFonts w:ascii="Arial" w:hAnsi="Arial" w:cs="Arial"/>
          <w:sz w:val="24"/>
          <w:szCs w:val="24"/>
        </w:rPr>
        <w:t xml:space="preserve"> </w:t>
      </w:r>
      <w:r w:rsidRPr="00925EFB">
        <w:rPr>
          <w:rFonts w:ascii="Arial" w:hAnsi="Arial" w:cs="Arial"/>
          <w:sz w:val="24"/>
          <w:szCs w:val="24"/>
        </w:rPr>
        <w:t>14.</w:t>
      </w:r>
      <w:r w:rsidR="00306B43">
        <w:rPr>
          <w:rFonts w:ascii="Arial" w:hAnsi="Arial" w:cs="Arial"/>
          <w:sz w:val="24"/>
          <w:szCs w:val="24"/>
        </w:rPr>
        <w:t>2</w:t>
      </w:r>
      <w:r w:rsidRPr="00925EFB">
        <w:rPr>
          <w:rFonts w:ascii="Arial" w:hAnsi="Arial" w:cs="Arial"/>
          <w:sz w:val="24"/>
          <w:szCs w:val="24"/>
        </w:rPr>
        <w:t xml:space="preserve">p, </w:t>
      </w:r>
      <w:r w:rsidRPr="005604A6">
        <w:rPr>
          <w:rFonts w:ascii="Arial" w:hAnsi="Arial" w:cs="Arial"/>
          <w:sz w:val="24"/>
          <w:szCs w:val="24"/>
        </w:rPr>
        <w:t>which excludes the impact of</w:t>
      </w:r>
      <w:r w:rsidRPr="00A03549">
        <w:rPr>
          <w:rFonts w:ascii="Arial" w:hAnsi="Arial" w:cs="Arial"/>
          <w:sz w:val="24"/>
          <w:szCs w:val="24"/>
        </w:rPr>
        <w:t xml:space="preserve"> transformation costs, exceptional items, </w:t>
      </w:r>
      <w:r w:rsidR="003C58D7">
        <w:rPr>
          <w:rFonts w:ascii="Arial" w:hAnsi="Arial" w:cs="Arial"/>
          <w:sz w:val="24"/>
          <w:szCs w:val="24"/>
        </w:rPr>
        <w:t>FFVR</w:t>
      </w:r>
      <w:r w:rsidRPr="00A03549">
        <w:rPr>
          <w:rFonts w:ascii="Arial" w:hAnsi="Arial" w:cs="Arial"/>
          <w:sz w:val="24"/>
          <w:szCs w:val="24"/>
        </w:rPr>
        <w:t xml:space="preserve"> and the effect of prior year tax items.</w:t>
      </w:r>
      <w:r>
        <w:rPr>
          <w:rFonts w:ascii="Arial" w:hAnsi="Arial" w:cs="Arial"/>
          <w:b/>
          <w:sz w:val="24"/>
          <w:szCs w:val="24"/>
        </w:rPr>
        <w:t xml:space="preserve"> </w:t>
      </w:r>
      <w:r w:rsidR="003C58D7">
        <w:rPr>
          <w:rFonts w:ascii="Arial" w:hAnsi="Arial" w:cs="Arial"/>
          <w:sz w:val="24"/>
          <w:szCs w:val="24"/>
        </w:rPr>
        <w:t>A</w:t>
      </w:r>
      <w:r w:rsidRPr="005604A6">
        <w:rPr>
          <w:rFonts w:ascii="Arial" w:hAnsi="Arial" w:cs="Arial"/>
          <w:b/>
          <w:sz w:val="24"/>
          <w:szCs w:val="24"/>
        </w:rPr>
        <w:t xml:space="preserve">djusted basic earnings </w:t>
      </w:r>
      <w:r w:rsidRPr="0020209B">
        <w:rPr>
          <w:rFonts w:ascii="Arial" w:hAnsi="Arial" w:cs="Arial"/>
          <w:b/>
          <w:sz w:val="24"/>
          <w:szCs w:val="24"/>
        </w:rPr>
        <w:t>per share</w:t>
      </w:r>
      <w:r w:rsidRPr="005604A6">
        <w:rPr>
          <w:rFonts w:ascii="Arial" w:hAnsi="Arial" w:cs="Arial"/>
          <w:sz w:val="24"/>
          <w:szCs w:val="24"/>
        </w:rPr>
        <w:t xml:space="preserve"> grew by </w:t>
      </w:r>
      <w:r w:rsidR="00306B43">
        <w:rPr>
          <w:rFonts w:ascii="Arial" w:hAnsi="Arial" w:cs="Arial"/>
          <w:sz w:val="24"/>
          <w:szCs w:val="24"/>
        </w:rPr>
        <w:t>10.6</w:t>
      </w:r>
      <w:r w:rsidRPr="00925EFB">
        <w:rPr>
          <w:rFonts w:ascii="Arial" w:hAnsi="Arial" w:cs="Arial"/>
          <w:sz w:val="24"/>
          <w:szCs w:val="24"/>
        </w:rPr>
        <w:t>% to 13.</w:t>
      </w:r>
      <w:r w:rsidR="00306B43">
        <w:rPr>
          <w:rFonts w:ascii="Arial" w:hAnsi="Arial" w:cs="Arial"/>
          <w:sz w:val="24"/>
          <w:szCs w:val="24"/>
        </w:rPr>
        <w:t>6</w:t>
      </w:r>
      <w:r w:rsidRPr="00925EFB">
        <w:rPr>
          <w:rFonts w:ascii="Arial" w:hAnsi="Arial" w:cs="Arial"/>
          <w:sz w:val="24"/>
          <w:szCs w:val="24"/>
        </w:rPr>
        <w:t>p (2015/16: 12.3p)</w:t>
      </w:r>
      <w:r w:rsidR="003C58D7">
        <w:rPr>
          <w:rFonts w:ascii="Arial" w:hAnsi="Arial" w:cs="Arial"/>
          <w:sz w:val="24"/>
          <w:szCs w:val="24"/>
        </w:rPr>
        <w:t xml:space="preserve">, which excludes </w:t>
      </w:r>
      <w:r w:rsidRPr="00D009EC">
        <w:rPr>
          <w:rFonts w:ascii="Arial" w:hAnsi="Arial" w:cs="Arial"/>
          <w:sz w:val="24"/>
          <w:szCs w:val="24"/>
        </w:rPr>
        <w:t xml:space="preserve">the impact of exceptional items, </w:t>
      </w:r>
      <w:r w:rsidR="003C58D7">
        <w:rPr>
          <w:rFonts w:ascii="Arial" w:hAnsi="Arial" w:cs="Arial"/>
          <w:sz w:val="24"/>
          <w:szCs w:val="24"/>
        </w:rPr>
        <w:t xml:space="preserve">FFVR </w:t>
      </w:r>
      <w:r w:rsidRPr="00D009EC">
        <w:rPr>
          <w:rFonts w:ascii="Arial" w:hAnsi="Arial" w:cs="Arial"/>
          <w:sz w:val="24"/>
          <w:szCs w:val="24"/>
        </w:rPr>
        <w:t>and prior year tax items</w:t>
      </w:r>
      <w:r w:rsidR="008372B5">
        <w:rPr>
          <w:rFonts w:ascii="Arial" w:hAnsi="Arial" w:cs="Arial"/>
          <w:sz w:val="24"/>
          <w:szCs w:val="24"/>
        </w:rPr>
        <w:t>.</w:t>
      </w:r>
      <w:r w:rsidRPr="00D009EC">
        <w:rPr>
          <w:rFonts w:ascii="Arial" w:hAnsi="Arial" w:cs="Arial"/>
          <w:sz w:val="24"/>
          <w:szCs w:val="24"/>
        </w:rPr>
        <w:t xml:space="preserve"> </w:t>
      </w:r>
      <w:r w:rsidR="008372B5">
        <w:rPr>
          <w:rFonts w:ascii="Arial" w:hAnsi="Arial" w:cs="Arial"/>
          <w:b/>
          <w:sz w:val="24"/>
          <w:szCs w:val="24"/>
        </w:rPr>
        <w:t>B</w:t>
      </w:r>
      <w:r w:rsidRPr="00D009EC">
        <w:rPr>
          <w:rFonts w:ascii="Arial" w:hAnsi="Arial" w:cs="Arial"/>
          <w:b/>
          <w:sz w:val="24"/>
          <w:szCs w:val="24"/>
        </w:rPr>
        <w:t>asic earnings per share</w:t>
      </w:r>
      <w:r w:rsidRPr="00D009EC">
        <w:rPr>
          <w:rFonts w:ascii="Arial" w:hAnsi="Arial" w:cs="Arial"/>
          <w:sz w:val="24"/>
          <w:szCs w:val="24"/>
        </w:rPr>
        <w:t xml:space="preserve"> </w:t>
      </w:r>
      <w:r w:rsidRPr="005604A6">
        <w:rPr>
          <w:rFonts w:ascii="Arial" w:hAnsi="Arial" w:cs="Arial"/>
          <w:sz w:val="24"/>
          <w:szCs w:val="24"/>
        </w:rPr>
        <w:t xml:space="preserve">increased by </w:t>
      </w:r>
      <w:r w:rsidR="00306B43">
        <w:rPr>
          <w:rFonts w:ascii="Arial" w:hAnsi="Arial" w:cs="Arial"/>
          <w:sz w:val="24"/>
          <w:szCs w:val="24"/>
        </w:rPr>
        <w:t>3.7</w:t>
      </w:r>
      <w:r w:rsidRPr="00925EFB">
        <w:rPr>
          <w:rFonts w:ascii="Arial" w:hAnsi="Arial" w:cs="Arial"/>
          <w:sz w:val="24"/>
          <w:szCs w:val="24"/>
        </w:rPr>
        <w:t>% to 14.</w:t>
      </w:r>
      <w:r w:rsidR="00306B43">
        <w:rPr>
          <w:rFonts w:ascii="Arial" w:hAnsi="Arial" w:cs="Arial"/>
          <w:sz w:val="24"/>
          <w:szCs w:val="24"/>
        </w:rPr>
        <w:t>1</w:t>
      </w:r>
      <w:r w:rsidRPr="00925EFB">
        <w:rPr>
          <w:rFonts w:ascii="Arial" w:hAnsi="Arial" w:cs="Arial"/>
          <w:sz w:val="24"/>
          <w:szCs w:val="24"/>
        </w:rPr>
        <w:t>p (2015/16: 13.6p)</w:t>
      </w:r>
      <w:r w:rsidRPr="005604A6">
        <w:rPr>
          <w:rFonts w:ascii="Arial" w:hAnsi="Arial" w:cs="Arial"/>
          <w:sz w:val="24"/>
          <w:szCs w:val="24"/>
        </w:rPr>
        <w:t xml:space="preserve"> as set out below:</w:t>
      </w:r>
    </w:p>
    <w:p w14:paraId="5B742D06" w14:textId="77777777" w:rsidR="00773A54" w:rsidRPr="00A03549" w:rsidRDefault="00773A54" w:rsidP="00773A54">
      <w:pPr>
        <w:jc w:val="left"/>
        <w:rPr>
          <w:rFonts w:ascii="Arial" w:hAnsi="Arial" w:cs="Arial"/>
          <w:sz w:val="24"/>
          <w:szCs w:val="24"/>
          <w:highlight w:val="yellow"/>
        </w:rPr>
      </w:pPr>
    </w:p>
    <w:tbl>
      <w:tblPr>
        <w:tblW w:w="5000" w:type="pct"/>
        <w:tblLook w:val="01E0" w:firstRow="1" w:lastRow="1" w:firstColumn="1" w:lastColumn="1" w:noHBand="0" w:noVBand="0"/>
      </w:tblPr>
      <w:tblGrid>
        <w:gridCol w:w="4420"/>
        <w:gridCol w:w="1362"/>
        <w:gridCol w:w="1361"/>
        <w:gridCol w:w="1249"/>
        <w:gridCol w:w="1249"/>
      </w:tblGrid>
      <w:tr w:rsidR="00773A54" w:rsidRPr="00265815" w14:paraId="47F32905" w14:textId="77777777" w:rsidTr="00E304FD">
        <w:tc>
          <w:tcPr>
            <w:tcW w:w="2292" w:type="pct"/>
            <w:tcBorders>
              <w:top w:val="nil"/>
              <w:left w:val="nil"/>
              <w:bottom w:val="single" w:sz="4" w:space="0" w:color="auto"/>
              <w:right w:val="nil"/>
            </w:tcBorders>
          </w:tcPr>
          <w:p w14:paraId="12F02F0D" w14:textId="77777777" w:rsidR="00773A54" w:rsidRPr="00A03549" w:rsidRDefault="00773A54" w:rsidP="00907EA8">
            <w:pPr>
              <w:rPr>
                <w:rFonts w:ascii="Arial" w:hAnsi="Arial" w:cs="Arial"/>
                <w:sz w:val="24"/>
                <w:szCs w:val="24"/>
              </w:rPr>
            </w:pPr>
          </w:p>
        </w:tc>
        <w:tc>
          <w:tcPr>
            <w:tcW w:w="706" w:type="pct"/>
            <w:tcBorders>
              <w:top w:val="nil"/>
              <w:left w:val="nil"/>
              <w:bottom w:val="single" w:sz="4" w:space="0" w:color="auto"/>
              <w:right w:val="nil"/>
            </w:tcBorders>
          </w:tcPr>
          <w:p w14:paraId="2349C078" w14:textId="77777777" w:rsidR="00773A54" w:rsidRPr="00A03549" w:rsidRDefault="00773A54" w:rsidP="00907EA8">
            <w:pPr>
              <w:jc w:val="right"/>
              <w:rPr>
                <w:rFonts w:ascii="Arial" w:hAnsi="Arial" w:cs="Arial"/>
                <w:b/>
                <w:sz w:val="24"/>
                <w:szCs w:val="24"/>
              </w:rPr>
            </w:pPr>
          </w:p>
          <w:p w14:paraId="5F697EA7"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Earnings</w:t>
            </w:r>
          </w:p>
          <w:p w14:paraId="6D2CBC4F"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£m</w:t>
            </w:r>
          </w:p>
        </w:tc>
        <w:tc>
          <w:tcPr>
            <w:tcW w:w="706" w:type="pct"/>
            <w:tcBorders>
              <w:top w:val="nil"/>
              <w:left w:val="nil"/>
              <w:bottom w:val="single" w:sz="4" w:space="0" w:color="auto"/>
              <w:right w:val="nil"/>
            </w:tcBorders>
            <w:hideMark/>
          </w:tcPr>
          <w:p w14:paraId="68411543"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2016/17</w:t>
            </w:r>
          </w:p>
          <w:p w14:paraId="23D9A134"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EPS</w:t>
            </w:r>
          </w:p>
          <w:p w14:paraId="6F0A1703"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pence</w:t>
            </w:r>
          </w:p>
        </w:tc>
        <w:tc>
          <w:tcPr>
            <w:tcW w:w="648" w:type="pct"/>
            <w:tcBorders>
              <w:top w:val="nil"/>
              <w:left w:val="nil"/>
              <w:bottom w:val="single" w:sz="4" w:space="0" w:color="auto"/>
              <w:right w:val="nil"/>
            </w:tcBorders>
          </w:tcPr>
          <w:p w14:paraId="7121C719" w14:textId="77777777" w:rsidR="00773A54" w:rsidRPr="00A03549" w:rsidRDefault="00773A54" w:rsidP="00907EA8">
            <w:pPr>
              <w:jc w:val="right"/>
              <w:rPr>
                <w:rFonts w:ascii="Arial" w:hAnsi="Arial" w:cs="Arial"/>
                <w:sz w:val="24"/>
                <w:szCs w:val="24"/>
              </w:rPr>
            </w:pPr>
          </w:p>
          <w:p w14:paraId="37DFF169"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Earnings</w:t>
            </w:r>
          </w:p>
          <w:p w14:paraId="253D0F34"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£m</w:t>
            </w:r>
          </w:p>
        </w:tc>
        <w:tc>
          <w:tcPr>
            <w:tcW w:w="648" w:type="pct"/>
            <w:tcBorders>
              <w:top w:val="nil"/>
              <w:left w:val="nil"/>
              <w:bottom w:val="single" w:sz="4" w:space="0" w:color="auto"/>
              <w:right w:val="nil"/>
            </w:tcBorders>
            <w:hideMark/>
          </w:tcPr>
          <w:p w14:paraId="327D115D"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2015/16</w:t>
            </w:r>
          </w:p>
          <w:p w14:paraId="030FDD9A"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EPS</w:t>
            </w:r>
          </w:p>
          <w:p w14:paraId="12B514FF" w14:textId="530FEED0" w:rsidR="00773A54" w:rsidRPr="00A03549" w:rsidRDefault="009E70F6" w:rsidP="00907EA8">
            <w:pPr>
              <w:jc w:val="right"/>
              <w:rPr>
                <w:rFonts w:ascii="Arial" w:hAnsi="Arial" w:cs="Arial"/>
                <w:sz w:val="24"/>
                <w:szCs w:val="24"/>
              </w:rPr>
            </w:pPr>
            <w:r>
              <w:rPr>
                <w:rFonts w:ascii="Arial" w:hAnsi="Arial" w:cs="Arial"/>
                <w:sz w:val="24"/>
                <w:szCs w:val="24"/>
              </w:rPr>
              <w:t>p</w:t>
            </w:r>
            <w:r w:rsidR="00773A54" w:rsidRPr="00A03549">
              <w:rPr>
                <w:rFonts w:ascii="Arial" w:hAnsi="Arial" w:cs="Arial"/>
                <w:sz w:val="24"/>
                <w:szCs w:val="24"/>
              </w:rPr>
              <w:t>ence</w:t>
            </w:r>
          </w:p>
        </w:tc>
      </w:tr>
      <w:tr w:rsidR="00773A54" w:rsidRPr="00265815" w14:paraId="7A400AAA" w14:textId="77777777" w:rsidTr="00E304FD">
        <w:tc>
          <w:tcPr>
            <w:tcW w:w="2292" w:type="pct"/>
            <w:tcBorders>
              <w:top w:val="single" w:sz="4" w:space="0" w:color="auto"/>
              <w:left w:val="nil"/>
              <w:right w:val="nil"/>
            </w:tcBorders>
          </w:tcPr>
          <w:p w14:paraId="56798001" w14:textId="77777777" w:rsidR="00773A54" w:rsidRPr="00A03549" w:rsidRDefault="00773A54" w:rsidP="00907EA8">
            <w:pPr>
              <w:rPr>
                <w:rFonts w:ascii="Arial" w:hAnsi="Arial" w:cs="Arial"/>
                <w:b/>
                <w:sz w:val="24"/>
                <w:szCs w:val="24"/>
              </w:rPr>
            </w:pPr>
            <w:r w:rsidRPr="00A03549">
              <w:rPr>
                <w:rFonts w:ascii="Arial" w:hAnsi="Arial" w:cs="Arial"/>
                <w:b/>
                <w:sz w:val="24"/>
                <w:szCs w:val="24"/>
              </w:rPr>
              <w:t>Underlying basic earnings per share</w:t>
            </w:r>
          </w:p>
        </w:tc>
        <w:tc>
          <w:tcPr>
            <w:tcW w:w="706" w:type="pct"/>
            <w:tcBorders>
              <w:top w:val="single" w:sz="4" w:space="0" w:color="auto"/>
              <w:left w:val="nil"/>
              <w:right w:val="nil"/>
            </w:tcBorders>
          </w:tcPr>
          <w:p w14:paraId="0E308261" w14:textId="63D3248A" w:rsidR="00773A54" w:rsidRPr="00A03549" w:rsidRDefault="00773A54">
            <w:pPr>
              <w:jc w:val="right"/>
              <w:rPr>
                <w:rFonts w:ascii="Arial" w:hAnsi="Arial" w:cs="Arial"/>
                <w:b/>
                <w:sz w:val="24"/>
                <w:szCs w:val="24"/>
              </w:rPr>
            </w:pPr>
            <w:r w:rsidRPr="00A03549">
              <w:rPr>
                <w:rFonts w:ascii="Arial" w:hAnsi="Arial" w:cs="Arial"/>
                <w:b/>
                <w:sz w:val="24"/>
                <w:szCs w:val="24"/>
              </w:rPr>
              <w:t>32</w:t>
            </w:r>
            <w:r w:rsidR="00835ECD">
              <w:rPr>
                <w:rFonts w:ascii="Arial" w:hAnsi="Arial" w:cs="Arial"/>
                <w:b/>
                <w:sz w:val="24"/>
                <w:szCs w:val="24"/>
              </w:rPr>
              <w:t>3</w:t>
            </w:r>
          </w:p>
        </w:tc>
        <w:tc>
          <w:tcPr>
            <w:tcW w:w="706" w:type="pct"/>
            <w:tcBorders>
              <w:top w:val="single" w:sz="4" w:space="0" w:color="auto"/>
              <w:left w:val="nil"/>
              <w:right w:val="nil"/>
            </w:tcBorders>
          </w:tcPr>
          <w:p w14:paraId="760678CF" w14:textId="362DA929" w:rsidR="00773A54" w:rsidRPr="00A03549" w:rsidRDefault="00773A54">
            <w:pPr>
              <w:jc w:val="right"/>
              <w:rPr>
                <w:rFonts w:ascii="Arial" w:hAnsi="Arial" w:cs="Arial"/>
                <w:b/>
                <w:sz w:val="24"/>
                <w:szCs w:val="24"/>
              </w:rPr>
            </w:pPr>
            <w:r w:rsidRPr="00A03549">
              <w:rPr>
                <w:rFonts w:ascii="Arial" w:hAnsi="Arial" w:cs="Arial"/>
                <w:b/>
                <w:sz w:val="24"/>
                <w:szCs w:val="24"/>
              </w:rPr>
              <w:t>14.</w:t>
            </w:r>
            <w:r w:rsidR="00835ECD">
              <w:rPr>
                <w:rFonts w:ascii="Arial" w:hAnsi="Arial" w:cs="Arial"/>
                <w:b/>
                <w:sz w:val="24"/>
                <w:szCs w:val="24"/>
              </w:rPr>
              <w:t>2</w:t>
            </w:r>
          </w:p>
        </w:tc>
        <w:tc>
          <w:tcPr>
            <w:tcW w:w="648" w:type="pct"/>
            <w:tcBorders>
              <w:top w:val="single" w:sz="4" w:space="0" w:color="auto"/>
              <w:left w:val="nil"/>
              <w:right w:val="nil"/>
            </w:tcBorders>
          </w:tcPr>
          <w:p w14:paraId="71559887"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285</w:t>
            </w:r>
          </w:p>
        </w:tc>
        <w:tc>
          <w:tcPr>
            <w:tcW w:w="648" w:type="pct"/>
            <w:tcBorders>
              <w:top w:val="single" w:sz="4" w:space="0" w:color="auto"/>
              <w:left w:val="nil"/>
              <w:right w:val="nil"/>
            </w:tcBorders>
          </w:tcPr>
          <w:p w14:paraId="7BC972A4"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12.3</w:t>
            </w:r>
          </w:p>
        </w:tc>
      </w:tr>
      <w:tr w:rsidR="00773A54" w:rsidRPr="00791199" w14:paraId="5425859E" w14:textId="77777777" w:rsidTr="00E304FD">
        <w:tc>
          <w:tcPr>
            <w:tcW w:w="2292" w:type="pct"/>
            <w:tcBorders>
              <w:left w:val="nil"/>
              <w:bottom w:val="single" w:sz="4" w:space="0" w:color="auto"/>
              <w:right w:val="nil"/>
            </w:tcBorders>
          </w:tcPr>
          <w:p w14:paraId="05E61D2A" w14:textId="2708003E" w:rsidR="00773A54" w:rsidRPr="00A03549" w:rsidRDefault="00773A54" w:rsidP="00907EA8">
            <w:pPr>
              <w:rPr>
                <w:rFonts w:ascii="Arial" w:hAnsi="Arial" w:cs="Arial"/>
                <w:sz w:val="24"/>
                <w:szCs w:val="24"/>
              </w:rPr>
            </w:pPr>
            <w:r w:rsidRPr="00A03549">
              <w:rPr>
                <w:rFonts w:ascii="Arial" w:hAnsi="Arial" w:cs="Arial"/>
                <w:sz w:val="24"/>
                <w:szCs w:val="24"/>
              </w:rPr>
              <w:t xml:space="preserve">Transformation </w:t>
            </w:r>
            <w:r w:rsidR="0065238B">
              <w:rPr>
                <w:rFonts w:ascii="Arial" w:hAnsi="Arial" w:cs="Arial"/>
                <w:sz w:val="24"/>
                <w:szCs w:val="24"/>
              </w:rPr>
              <w:t xml:space="preserve">P&amp;L </w:t>
            </w:r>
            <w:r w:rsidRPr="00A03549">
              <w:rPr>
                <w:rFonts w:ascii="Arial" w:hAnsi="Arial" w:cs="Arial"/>
                <w:sz w:val="24"/>
                <w:szCs w:val="24"/>
              </w:rPr>
              <w:t>costs (net of tax)</w:t>
            </w:r>
          </w:p>
        </w:tc>
        <w:tc>
          <w:tcPr>
            <w:tcW w:w="706" w:type="pct"/>
            <w:tcBorders>
              <w:left w:val="nil"/>
              <w:bottom w:val="single" w:sz="4" w:space="0" w:color="auto"/>
              <w:right w:val="nil"/>
            </w:tcBorders>
          </w:tcPr>
          <w:p w14:paraId="67F97C0B" w14:textId="10BF5A5F" w:rsidR="00773A54" w:rsidRPr="00A03549" w:rsidRDefault="00773A54">
            <w:pPr>
              <w:jc w:val="right"/>
              <w:rPr>
                <w:rFonts w:ascii="Arial" w:hAnsi="Arial" w:cs="Arial"/>
                <w:sz w:val="24"/>
                <w:szCs w:val="24"/>
              </w:rPr>
            </w:pPr>
            <w:r w:rsidRPr="00A03549">
              <w:rPr>
                <w:rFonts w:ascii="Arial" w:hAnsi="Arial" w:cs="Arial"/>
                <w:b/>
                <w:sz w:val="24"/>
                <w:szCs w:val="24"/>
              </w:rPr>
              <w:t>(1</w:t>
            </w:r>
            <w:r w:rsidR="00835ECD">
              <w:rPr>
                <w:rFonts w:ascii="Arial" w:hAnsi="Arial" w:cs="Arial"/>
                <w:b/>
                <w:sz w:val="24"/>
                <w:szCs w:val="24"/>
              </w:rPr>
              <w:t>3</w:t>
            </w:r>
            <w:r w:rsidRPr="00A03549">
              <w:rPr>
                <w:rFonts w:ascii="Arial" w:hAnsi="Arial" w:cs="Arial"/>
                <w:b/>
                <w:sz w:val="24"/>
                <w:szCs w:val="24"/>
              </w:rPr>
              <w:t>)</w:t>
            </w:r>
          </w:p>
        </w:tc>
        <w:tc>
          <w:tcPr>
            <w:tcW w:w="706" w:type="pct"/>
            <w:tcBorders>
              <w:left w:val="nil"/>
              <w:bottom w:val="single" w:sz="4" w:space="0" w:color="auto"/>
              <w:right w:val="nil"/>
            </w:tcBorders>
          </w:tcPr>
          <w:p w14:paraId="69189D24" w14:textId="17FAA523" w:rsidR="00773A54" w:rsidRPr="0020209B" w:rsidRDefault="00773A54">
            <w:pPr>
              <w:jc w:val="right"/>
              <w:rPr>
                <w:rFonts w:ascii="Arial" w:hAnsi="Arial" w:cs="Arial"/>
                <w:b/>
                <w:sz w:val="24"/>
                <w:szCs w:val="24"/>
              </w:rPr>
            </w:pPr>
            <w:r w:rsidRPr="0020209B">
              <w:rPr>
                <w:rFonts w:ascii="Arial" w:hAnsi="Arial" w:cs="Arial"/>
                <w:b/>
                <w:sz w:val="24"/>
                <w:szCs w:val="24"/>
              </w:rPr>
              <w:t>(0.</w:t>
            </w:r>
            <w:r w:rsidR="00835ECD" w:rsidRPr="0020209B">
              <w:rPr>
                <w:rFonts w:ascii="Arial" w:hAnsi="Arial" w:cs="Arial"/>
                <w:b/>
                <w:sz w:val="24"/>
                <w:szCs w:val="24"/>
              </w:rPr>
              <w:t>6</w:t>
            </w:r>
            <w:r w:rsidRPr="0020209B">
              <w:rPr>
                <w:rFonts w:ascii="Arial" w:hAnsi="Arial" w:cs="Arial"/>
                <w:b/>
                <w:sz w:val="24"/>
                <w:szCs w:val="24"/>
              </w:rPr>
              <w:t>)</w:t>
            </w:r>
          </w:p>
        </w:tc>
        <w:tc>
          <w:tcPr>
            <w:tcW w:w="648" w:type="pct"/>
            <w:tcBorders>
              <w:left w:val="nil"/>
              <w:bottom w:val="single" w:sz="4" w:space="0" w:color="auto"/>
              <w:right w:val="nil"/>
            </w:tcBorders>
          </w:tcPr>
          <w:p w14:paraId="7051648A"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w:t>
            </w:r>
          </w:p>
        </w:tc>
        <w:tc>
          <w:tcPr>
            <w:tcW w:w="648" w:type="pct"/>
            <w:tcBorders>
              <w:left w:val="nil"/>
              <w:bottom w:val="single" w:sz="4" w:space="0" w:color="auto"/>
              <w:right w:val="nil"/>
            </w:tcBorders>
          </w:tcPr>
          <w:p w14:paraId="7D8AE2A3"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w:t>
            </w:r>
          </w:p>
        </w:tc>
      </w:tr>
      <w:tr w:rsidR="00773A54" w:rsidRPr="00265815" w14:paraId="3E8F70F8" w14:textId="77777777" w:rsidTr="00E304FD">
        <w:tc>
          <w:tcPr>
            <w:tcW w:w="2292" w:type="pct"/>
            <w:tcBorders>
              <w:top w:val="single" w:sz="4" w:space="0" w:color="auto"/>
              <w:left w:val="nil"/>
              <w:bottom w:val="nil"/>
              <w:right w:val="nil"/>
            </w:tcBorders>
            <w:hideMark/>
          </w:tcPr>
          <w:p w14:paraId="3E83E8B9" w14:textId="77777777" w:rsidR="00773A54" w:rsidRPr="00A03549" w:rsidRDefault="00773A54" w:rsidP="00907EA8">
            <w:pPr>
              <w:rPr>
                <w:rFonts w:ascii="Arial" w:hAnsi="Arial" w:cs="Arial"/>
                <w:sz w:val="24"/>
                <w:szCs w:val="24"/>
              </w:rPr>
            </w:pPr>
            <w:r w:rsidRPr="00A03549">
              <w:rPr>
                <w:rFonts w:ascii="Arial" w:hAnsi="Arial" w:cs="Arial"/>
                <w:b/>
                <w:sz w:val="24"/>
                <w:szCs w:val="24"/>
              </w:rPr>
              <w:t>Adjusted basic earnings per share</w:t>
            </w:r>
          </w:p>
        </w:tc>
        <w:tc>
          <w:tcPr>
            <w:tcW w:w="706" w:type="pct"/>
            <w:tcBorders>
              <w:top w:val="single" w:sz="4" w:space="0" w:color="auto"/>
              <w:left w:val="nil"/>
              <w:bottom w:val="nil"/>
              <w:right w:val="nil"/>
            </w:tcBorders>
            <w:hideMark/>
          </w:tcPr>
          <w:p w14:paraId="6583D161" w14:textId="059DF327" w:rsidR="00773A54" w:rsidRPr="00A03549" w:rsidRDefault="00773A54">
            <w:pPr>
              <w:jc w:val="right"/>
              <w:rPr>
                <w:rFonts w:ascii="Arial" w:hAnsi="Arial" w:cs="Arial"/>
                <w:b/>
                <w:sz w:val="24"/>
                <w:szCs w:val="24"/>
              </w:rPr>
            </w:pPr>
            <w:r w:rsidRPr="00A03549">
              <w:rPr>
                <w:rFonts w:ascii="Arial" w:hAnsi="Arial" w:cs="Arial"/>
                <w:b/>
                <w:sz w:val="24"/>
                <w:szCs w:val="24"/>
              </w:rPr>
              <w:t>31</w:t>
            </w:r>
            <w:r w:rsidR="00835ECD">
              <w:rPr>
                <w:rFonts w:ascii="Arial" w:hAnsi="Arial" w:cs="Arial"/>
                <w:b/>
                <w:sz w:val="24"/>
                <w:szCs w:val="24"/>
              </w:rPr>
              <w:t>0</w:t>
            </w:r>
          </w:p>
        </w:tc>
        <w:tc>
          <w:tcPr>
            <w:tcW w:w="706" w:type="pct"/>
            <w:tcBorders>
              <w:top w:val="single" w:sz="4" w:space="0" w:color="auto"/>
              <w:left w:val="nil"/>
              <w:bottom w:val="nil"/>
              <w:right w:val="nil"/>
            </w:tcBorders>
            <w:hideMark/>
          </w:tcPr>
          <w:p w14:paraId="0D045DB8" w14:textId="1785E4EE" w:rsidR="00773A54" w:rsidRPr="00A03549" w:rsidRDefault="00773A54">
            <w:pPr>
              <w:jc w:val="right"/>
              <w:rPr>
                <w:rFonts w:ascii="Arial" w:hAnsi="Arial" w:cs="Arial"/>
                <w:b/>
                <w:sz w:val="24"/>
                <w:szCs w:val="24"/>
              </w:rPr>
            </w:pPr>
            <w:r w:rsidRPr="00A03549">
              <w:rPr>
                <w:rFonts w:ascii="Arial" w:hAnsi="Arial" w:cs="Arial"/>
                <w:b/>
                <w:sz w:val="24"/>
                <w:szCs w:val="24"/>
              </w:rPr>
              <w:t>13.</w:t>
            </w:r>
            <w:r w:rsidR="00835ECD">
              <w:rPr>
                <w:rFonts w:ascii="Arial" w:hAnsi="Arial" w:cs="Arial"/>
                <w:b/>
                <w:sz w:val="24"/>
                <w:szCs w:val="24"/>
              </w:rPr>
              <w:t>6</w:t>
            </w:r>
          </w:p>
        </w:tc>
        <w:tc>
          <w:tcPr>
            <w:tcW w:w="648" w:type="pct"/>
            <w:tcBorders>
              <w:top w:val="single" w:sz="4" w:space="0" w:color="auto"/>
              <w:left w:val="nil"/>
              <w:bottom w:val="nil"/>
              <w:right w:val="nil"/>
            </w:tcBorders>
            <w:hideMark/>
          </w:tcPr>
          <w:p w14:paraId="7B8C0966"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285</w:t>
            </w:r>
          </w:p>
        </w:tc>
        <w:tc>
          <w:tcPr>
            <w:tcW w:w="648" w:type="pct"/>
            <w:tcBorders>
              <w:top w:val="single" w:sz="4" w:space="0" w:color="auto"/>
              <w:left w:val="nil"/>
              <w:bottom w:val="nil"/>
              <w:right w:val="nil"/>
            </w:tcBorders>
            <w:hideMark/>
          </w:tcPr>
          <w:p w14:paraId="465178AD"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12.3</w:t>
            </w:r>
          </w:p>
        </w:tc>
      </w:tr>
      <w:tr w:rsidR="00773A54" w:rsidRPr="00265815" w14:paraId="05F97897" w14:textId="77777777" w:rsidTr="00907EA8">
        <w:tc>
          <w:tcPr>
            <w:tcW w:w="2292" w:type="pct"/>
          </w:tcPr>
          <w:p w14:paraId="1FEDB80E" w14:textId="77777777" w:rsidR="00773A54" w:rsidRPr="00A03549" w:rsidRDefault="00773A54" w:rsidP="00907EA8">
            <w:pPr>
              <w:rPr>
                <w:rFonts w:ascii="Arial" w:hAnsi="Arial" w:cs="Arial"/>
                <w:sz w:val="24"/>
                <w:szCs w:val="24"/>
              </w:rPr>
            </w:pPr>
            <w:r w:rsidRPr="00A03549">
              <w:rPr>
                <w:rFonts w:ascii="Arial" w:hAnsi="Arial" w:cs="Arial"/>
                <w:sz w:val="24"/>
                <w:szCs w:val="24"/>
              </w:rPr>
              <w:t>B&amp;Q China operating loss</w:t>
            </w:r>
          </w:p>
        </w:tc>
        <w:tc>
          <w:tcPr>
            <w:tcW w:w="706" w:type="pct"/>
          </w:tcPr>
          <w:p w14:paraId="7DBAC261"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w:t>
            </w:r>
          </w:p>
        </w:tc>
        <w:tc>
          <w:tcPr>
            <w:tcW w:w="706" w:type="pct"/>
          </w:tcPr>
          <w:p w14:paraId="00C00684"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w:t>
            </w:r>
          </w:p>
        </w:tc>
        <w:tc>
          <w:tcPr>
            <w:tcW w:w="648" w:type="pct"/>
          </w:tcPr>
          <w:p w14:paraId="61C6B26B"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(4)</w:t>
            </w:r>
          </w:p>
        </w:tc>
        <w:tc>
          <w:tcPr>
            <w:tcW w:w="648" w:type="pct"/>
          </w:tcPr>
          <w:p w14:paraId="1EB7A31E"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(0.2)</w:t>
            </w:r>
          </w:p>
        </w:tc>
      </w:tr>
      <w:tr w:rsidR="00773A54" w:rsidRPr="00265815" w14:paraId="3F20B20D" w14:textId="77777777" w:rsidTr="00907EA8">
        <w:tc>
          <w:tcPr>
            <w:tcW w:w="2292" w:type="pct"/>
            <w:hideMark/>
          </w:tcPr>
          <w:p w14:paraId="4E93DF4B" w14:textId="77777777" w:rsidR="00773A54" w:rsidRPr="00A03549" w:rsidRDefault="00773A54" w:rsidP="00907EA8">
            <w:pPr>
              <w:rPr>
                <w:rFonts w:ascii="Arial" w:hAnsi="Arial" w:cs="Arial"/>
                <w:sz w:val="24"/>
                <w:szCs w:val="24"/>
              </w:rPr>
            </w:pPr>
            <w:r w:rsidRPr="00A03549">
              <w:rPr>
                <w:rFonts w:ascii="Arial" w:hAnsi="Arial" w:cs="Arial"/>
                <w:sz w:val="24"/>
                <w:szCs w:val="24"/>
              </w:rPr>
              <w:t>Net exceptional items</w:t>
            </w:r>
          </w:p>
        </w:tc>
        <w:tc>
          <w:tcPr>
            <w:tcW w:w="706" w:type="pct"/>
            <w:shd w:val="clear" w:color="auto" w:fill="auto"/>
            <w:hideMark/>
          </w:tcPr>
          <w:p w14:paraId="19EA210E" w14:textId="06AC3610" w:rsidR="00773A54" w:rsidRPr="00A03549" w:rsidRDefault="00835ECD" w:rsidP="00907EA8">
            <w:pPr>
              <w:jc w:val="right"/>
              <w:rPr>
                <w:rFonts w:ascii="Arial" w:hAnsi="Arial" w:cs="Arial"/>
                <w:b/>
                <w:sz w:val="24"/>
                <w:szCs w:val="24"/>
              </w:rPr>
            </w:pPr>
            <w:r>
              <w:rPr>
                <w:rFonts w:ascii="Arial" w:hAnsi="Arial" w:cs="Arial"/>
                <w:b/>
                <w:sz w:val="24"/>
                <w:szCs w:val="24"/>
              </w:rPr>
              <w:t>9</w:t>
            </w:r>
          </w:p>
        </w:tc>
        <w:tc>
          <w:tcPr>
            <w:tcW w:w="706" w:type="pct"/>
            <w:shd w:val="clear" w:color="auto" w:fill="auto"/>
            <w:hideMark/>
          </w:tcPr>
          <w:p w14:paraId="4602E3A3" w14:textId="17A2AEC0" w:rsidR="00773A54" w:rsidRPr="00A03549" w:rsidRDefault="00773A54">
            <w:pPr>
              <w:jc w:val="right"/>
              <w:rPr>
                <w:rFonts w:ascii="Arial" w:hAnsi="Arial" w:cs="Arial"/>
                <w:b/>
                <w:sz w:val="24"/>
                <w:szCs w:val="24"/>
              </w:rPr>
            </w:pPr>
            <w:r w:rsidRPr="00A03549">
              <w:rPr>
                <w:rFonts w:ascii="Arial" w:hAnsi="Arial" w:cs="Arial"/>
                <w:b/>
                <w:sz w:val="24"/>
                <w:szCs w:val="24"/>
              </w:rPr>
              <w:t>0.</w:t>
            </w:r>
            <w:r w:rsidR="00835ECD">
              <w:rPr>
                <w:rFonts w:ascii="Arial" w:hAnsi="Arial" w:cs="Arial"/>
                <w:b/>
                <w:sz w:val="24"/>
                <w:szCs w:val="24"/>
              </w:rPr>
              <w:t>4</w:t>
            </w:r>
          </w:p>
        </w:tc>
        <w:tc>
          <w:tcPr>
            <w:tcW w:w="648" w:type="pct"/>
            <w:shd w:val="clear" w:color="auto" w:fill="auto"/>
            <w:hideMark/>
          </w:tcPr>
          <w:p w14:paraId="77E3BDFA"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38</w:t>
            </w:r>
          </w:p>
        </w:tc>
        <w:tc>
          <w:tcPr>
            <w:tcW w:w="648" w:type="pct"/>
            <w:shd w:val="clear" w:color="auto" w:fill="auto"/>
            <w:hideMark/>
          </w:tcPr>
          <w:p w14:paraId="76FC10E2"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1.6</w:t>
            </w:r>
          </w:p>
        </w:tc>
      </w:tr>
      <w:tr w:rsidR="00773A54" w:rsidRPr="00265815" w14:paraId="6CA2F83B" w14:textId="77777777" w:rsidTr="00907EA8">
        <w:tc>
          <w:tcPr>
            <w:tcW w:w="2292" w:type="pct"/>
            <w:vAlign w:val="bottom"/>
            <w:hideMark/>
          </w:tcPr>
          <w:p w14:paraId="645B719D" w14:textId="77777777" w:rsidR="00773A54" w:rsidRPr="00A03549" w:rsidRDefault="00773A54" w:rsidP="00907EA8">
            <w:pPr>
              <w:jc w:val="left"/>
              <w:rPr>
                <w:rFonts w:ascii="Arial" w:hAnsi="Arial" w:cs="Arial"/>
                <w:sz w:val="24"/>
                <w:szCs w:val="24"/>
              </w:rPr>
            </w:pPr>
            <w:r w:rsidRPr="00A03549">
              <w:rPr>
                <w:rFonts w:ascii="Arial" w:hAnsi="Arial" w:cs="Arial"/>
                <w:sz w:val="24"/>
                <w:szCs w:val="24"/>
              </w:rPr>
              <w:t>Prior year tax items</w:t>
            </w:r>
          </w:p>
        </w:tc>
        <w:tc>
          <w:tcPr>
            <w:tcW w:w="706" w:type="pct"/>
            <w:hideMark/>
          </w:tcPr>
          <w:p w14:paraId="23228C86"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4</w:t>
            </w:r>
          </w:p>
        </w:tc>
        <w:tc>
          <w:tcPr>
            <w:tcW w:w="706" w:type="pct"/>
            <w:vAlign w:val="bottom"/>
            <w:hideMark/>
          </w:tcPr>
          <w:p w14:paraId="7F75A726"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0.2</w:t>
            </w:r>
          </w:p>
        </w:tc>
        <w:tc>
          <w:tcPr>
            <w:tcW w:w="648" w:type="pct"/>
            <w:hideMark/>
          </w:tcPr>
          <w:p w14:paraId="5F9A5F07"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1</w:t>
            </w:r>
          </w:p>
        </w:tc>
        <w:tc>
          <w:tcPr>
            <w:tcW w:w="648" w:type="pct"/>
            <w:vAlign w:val="bottom"/>
            <w:hideMark/>
          </w:tcPr>
          <w:p w14:paraId="403C840F"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w:t>
            </w:r>
          </w:p>
        </w:tc>
      </w:tr>
      <w:tr w:rsidR="00773A54" w:rsidRPr="00265815" w14:paraId="0ED76071" w14:textId="77777777" w:rsidTr="00907EA8">
        <w:tc>
          <w:tcPr>
            <w:tcW w:w="2292" w:type="pct"/>
            <w:vAlign w:val="bottom"/>
            <w:hideMark/>
          </w:tcPr>
          <w:p w14:paraId="4319E5E5" w14:textId="77777777" w:rsidR="00773A54" w:rsidRPr="00A03549" w:rsidRDefault="00773A54" w:rsidP="00907EA8">
            <w:pPr>
              <w:jc w:val="left"/>
              <w:rPr>
                <w:rFonts w:ascii="Arial" w:hAnsi="Arial" w:cs="Arial"/>
                <w:sz w:val="24"/>
                <w:szCs w:val="24"/>
              </w:rPr>
            </w:pPr>
            <w:r w:rsidRPr="00A03549">
              <w:rPr>
                <w:rFonts w:ascii="Arial" w:hAnsi="Arial" w:cs="Arial"/>
                <w:sz w:val="24"/>
                <w:szCs w:val="24"/>
              </w:rPr>
              <w:t>FFVR (net of tax)</w:t>
            </w:r>
          </w:p>
        </w:tc>
        <w:tc>
          <w:tcPr>
            <w:tcW w:w="706" w:type="pct"/>
            <w:hideMark/>
          </w:tcPr>
          <w:p w14:paraId="539562C6" w14:textId="5716B24C" w:rsidR="00773A54" w:rsidRPr="00A03549" w:rsidRDefault="00773A54">
            <w:pPr>
              <w:jc w:val="right"/>
              <w:rPr>
                <w:rFonts w:ascii="Arial" w:hAnsi="Arial" w:cs="Arial"/>
                <w:b/>
                <w:sz w:val="24"/>
                <w:szCs w:val="24"/>
              </w:rPr>
            </w:pPr>
            <w:r w:rsidRPr="00A03549">
              <w:rPr>
                <w:rFonts w:ascii="Arial" w:hAnsi="Arial" w:cs="Arial"/>
                <w:b/>
                <w:sz w:val="24"/>
                <w:szCs w:val="24"/>
              </w:rPr>
              <w:t>(</w:t>
            </w:r>
            <w:r w:rsidR="00835ECD">
              <w:rPr>
                <w:rFonts w:ascii="Arial" w:hAnsi="Arial" w:cs="Arial"/>
                <w:b/>
                <w:sz w:val="24"/>
                <w:szCs w:val="24"/>
              </w:rPr>
              <w:t>2</w:t>
            </w:r>
            <w:r w:rsidRPr="00A03549">
              <w:rPr>
                <w:rFonts w:ascii="Arial" w:hAnsi="Arial" w:cs="Arial"/>
                <w:b/>
                <w:sz w:val="24"/>
                <w:szCs w:val="24"/>
              </w:rPr>
              <w:t>)</w:t>
            </w:r>
          </w:p>
        </w:tc>
        <w:tc>
          <w:tcPr>
            <w:tcW w:w="706" w:type="pct"/>
            <w:vAlign w:val="bottom"/>
            <w:hideMark/>
          </w:tcPr>
          <w:p w14:paraId="24FB24F1" w14:textId="77777777" w:rsidR="00773A54" w:rsidRPr="00A03549" w:rsidRDefault="00773A54" w:rsidP="00907EA8">
            <w:pPr>
              <w:jc w:val="right"/>
              <w:rPr>
                <w:rFonts w:ascii="Arial" w:hAnsi="Arial" w:cs="Arial"/>
                <w:b/>
                <w:sz w:val="24"/>
                <w:szCs w:val="24"/>
              </w:rPr>
            </w:pPr>
            <w:r w:rsidRPr="00A03549">
              <w:rPr>
                <w:rFonts w:ascii="Arial" w:hAnsi="Arial" w:cs="Arial"/>
                <w:b/>
                <w:sz w:val="24"/>
                <w:szCs w:val="24"/>
              </w:rPr>
              <w:t>(0.1)</w:t>
            </w:r>
          </w:p>
        </w:tc>
        <w:tc>
          <w:tcPr>
            <w:tcW w:w="648" w:type="pct"/>
            <w:hideMark/>
          </w:tcPr>
          <w:p w14:paraId="51C4F150"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(2)</w:t>
            </w:r>
          </w:p>
        </w:tc>
        <w:tc>
          <w:tcPr>
            <w:tcW w:w="648" w:type="pct"/>
            <w:vAlign w:val="bottom"/>
            <w:hideMark/>
          </w:tcPr>
          <w:p w14:paraId="0B6A7A02"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(0.1)</w:t>
            </w:r>
          </w:p>
        </w:tc>
      </w:tr>
      <w:tr w:rsidR="00773A54" w:rsidRPr="00265815" w14:paraId="1360FC9E" w14:textId="77777777" w:rsidTr="00907EA8">
        <w:trPr>
          <w:trHeight w:val="70"/>
        </w:trPr>
        <w:tc>
          <w:tcPr>
            <w:tcW w:w="2292" w:type="pct"/>
            <w:tcBorders>
              <w:top w:val="single" w:sz="4" w:space="0" w:color="auto"/>
              <w:left w:val="nil"/>
              <w:bottom w:val="single" w:sz="4" w:space="0" w:color="auto"/>
              <w:right w:val="nil"/>
            </w:tcBorders>
            <w:hideMark/>
          </w:tcPr>
          <w:p w14:paraId="779B8DFD" w14:textId="77777777" w:rsidR="00773A54" w:rsidRPr="00A03549" w:rsidRDefault="00773A54" w:rsidP="00907EA8">
            <w:pPr>
              <w:rPr>
                <w:rFonts w:ascii="Arial" w:hAnsi="Arial" w:cs="Arial"/>
                <w:b/>
                <w:sz w:val="24"/>
                <w:szCs w:val="24"/>
              </w:rPr>
            </w:pPr>
            <w:r w:rsidRPr="00A03549">
              <w:rPr>
                <w:rFonts w:ascii="Arial" w:hAnsi="Arial" w:cs="Arial"/>
                <w:b/>
                <w:sz w:val="24"/>
                <w:szCs w:val="24"/>
              </w:rPr>
              <w:t>Basic earnings per share</w:t>
            </w:r>
          </w:p>
        </w:tc>
        <w:tc>
          <w:tcPr>
            <w:tcW w:w="706" w:type="pct"/>
            <w:tcBorders>
              <w:top w:val="single" w:sz="4" w:space="0" w:color="auto"/>
              <w:left w:val="nil"/>
              <w:bottom w:val="single" w:sz="4" w:space="0" w:color="auto"/>
              <w:right w:val="nil"/>
            </w:tcBorders>
            <w:hideMark/>
          </w:tcPr>
          <w:p w14:paraId="25A312EE" w14:textId="1CC2F071" w:rsidR="00773A54" w:rsidRPr="00A03549" w:rsidRDefault="00773A54">
            <w:pPr>
              <w:jc w:val="right"/>
              <w:rPr>
                <w:rFonts w:ascii="Arial" w:hAnsi="Arial" w:cs="Arial"/>
                <w:b/>
                <w:sz w:val="24"/>
                <w:szCs w:val="24"/>
              </w:rPr>
            </w:pPr>
            <w:r w:rsidRPr="00A03549">
              <w:rPr>
                <w:rFonts w:ascii="Arial" w:hAnsi="Arial" w:cs="Arial"/>
                <w:b/>
                <w:sz w:val="24"/>
                <w:szCs w:val="24"/>
              </w:rPr>
              <w:t>32</w:t>
            </w:r>
            <w:r w:rsidR="00835ECD">
              <w:rPr>
                <w:rFonts w:ascii="Arial" w:hAnsi="Arial" w:cs="Arial"/>
                <w:b/>
                <w:sz w:val="24"/>
                <w:szCs w:val="24"/>
              </w:rPr>
              <w:t>1</w:t>
            </w:r>
          </w:p>
        </w:tc>
        <w:tc>
          <w:tcPr>
            <w:tcW w:w="706" w:type="pct"/>
            <w:tcBorders>
              <w:top w:val="single" w:sz="4" w:space="0" w:color="auto"/>
              <w:left w:val="nil"/>
              <w:bottom w:val="single" w:sz="4" w:space="0" w:color="auto"/>
              <w:right w:val="nil"/>
            </w:tcBorders>
            <w:hideMark/>
          </w:tcPr>
          <w:p w14:paraId="7C19FD37" w14:textId="7D8EE8ED" w:rsidR="00773A54" w:rsidRPr="00A03549" w:rsidRDefault="00773A54">
            <w:pPr>
              <w:jc w:val="right"/>
              <w:rPr>
                <w:rFonts w:ascii="Arial" w:hAnsi="Arial" w:cs="Arial"/>
                <w:b/>
                <w:sz w:val="24"/>
                <w:szCs w:val="24"/>
              </w:rPr>
            </w:pPr>
            <w:r w:rsidRPr="00A03549">
              <w:rPr>
                <w:rFonts w:ascii="Arial" w:hAnsi="Arial" w:cs="Arial"/>
                <w:b/>
                <w:sz w:val="24"/>
                <w:szCs w:val="24"/>
              </w:rPr>
              <w:t>14.</w:t>
            </w:r>
            <w:r w:rsidR="00835ECD">
              <w:rPr>
                <w:rFonts w:ascii="Arial" w:hAnsi="Arial" w:cs="Arial"/>
                <w:b/>
                <w:sz w:val="24"/>
                <w:szCs w:val="24"/>
              </w:rPr>
              <w:t>1</w:t>
            </w:r>
          </w:p>
        </w:tc>
        <w:tc>
          <w:tcPr>
            <w:tcW w:w="648" w:type="pct"/>
            <w:tcBorders>
              <w:top w:val="single" w:sz="4" w:space="0" w:color="auto"/>
              <w:left w:val="nil"/>
              <w:bottom w:val="single" w:sz="4" w:space="0" w:color="auto"/>
              <w:right w:val="nil"/>
            </w:tcBorders>
            <w:hideMark/>
          </w:tcPr>
          <w:p w14:paraId="0C140F22"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318</w:t>
            </w:r>
          </w:p>
        </w:tc>
        <w:tc>
          <w:tcPr>
            <w:tcW w:w="648" w:type="pct"/>
            <w:tcBorders>
              <w:top w:val="single" w:sz="4" w:space="0" w:color="auto"/>
              <w:left w:val="nil"/>
              <w:bottom w:val="single" w:sz="4" w:space="0" w:color="auto"/>
              <w:right w:val="nil"/>
            </w:tcBorders>
            <w:hideMark/>
          </w:tcPr>
          <w:p w14:paraId="78955168" w14:textId="77777777" w:rsidR="00773A54" w:rsidRPr="00A03549" w:rsidRDefault="00773A54" w:rsidP="00907EA8">
            <w:pPr>
              <w:jc w:val="right"/>
              <w:rPr>
                <w:rFonts w:ascii="Arial" w:hAnsi="Arial" w:cs="Arial"/>
                <w:sz w:val="24"/>
                <w:szCs w:val="24"/>
              </w:rPr>
            </w:pPr>
            <w:r w:rsidRPr="00A03549">
              <w:rPr>
                <w:rFonts w:ascii="Arial" w:hAnsi="Arial" w:cs="Arial"/>
                <w:sz w:val="24"/>
                <w:szCs w:val="24"/>
              </w:rPr>
              <w:t>13.6</w:t>
            </w:r>
          </w:p>
        </w:tc>
      </w:tr>
    </w:tbl>
    <w:p w14:paraId="0AC7FA5D" w14:textId="77777777" w:rsidR="00773A54" w:rsidRPr="00A03549" w:rsidRDefault="00773A54" w:rsidP="00773A54">
      <w:pPr>
        <w:jc w:val="left"/>
        <w:rPr>
          <w:rFonts w:ascii="Arial" w:hAnsi="Arial" w:cs="Arial"/>
          <w:b/>
          <w:bCs/>
          <w:sz w:val="24"/>
          <w:szCs w:val="24"/>
          <w:highlight w:val="yellow"/>
        </w:rPr>
      </w:pPr>
    </w:p>
    <w:p w14:paraId="34DC87C5" w14:textId="77777777" w:rsidR="00773A54" w:rsidRDefault="00773A54" w:rsidP="00773A54">
      <w:pPr>
        <w:jc w:val="left"/>
        <w:rPr>
          <w:rFonts w:ascii="Arial" w:hAnsi="Arial" w:cs="Arial"/>
          <w:b/>
          <w:bCs/>
          <w:sz w:val="24"/>
          <w:szCs w:val="24"/>
        </w:rPr>
      </w:pPr>
      <w:r w:rsidRPr="005563A5">
        <w:rPr>
          <w:rFonts w:ascii="Arial" w:hAnsi="Arial" w:cs="Arial"/>
          <w:b/>
          <w:bCs/>
          <w:sz w:val="24"/>
          <w:szCs w:val="24"/>
        </w:rPr>
        <w:t>Dividends and capital returns</w:t>
      </w:r>
    </w:p>
    <w:p w14:paraId="177D3E3B" w14:textId="77777777" w:rsidR="002C29DB" w:rsidRPr="005563A5" w:rsidRDefault="002C29DB" w:rsidP="00773A54">
      <w:pPr>
        <w:jc w:val="left"/>
        <w:rPr>
          <w:rFonts w:ascii="Arial" w:hAnsi="Arial" w:cs="Arial"/>
          <w:b/>
          <w:bCs/>
          <w:sz w:val="24"/>
          <w:szCs w:val="24"/>
        </w:rPr>
      </w:pPr>
    </w:p>
    <w:p w14:paraId="4B6C4079" w14:textId="444704D3" w:rsidR="00773A54" w:rsidRPr="00A03549" w:rsidRDefault="00773A54" w:rsidP="00773A54">
      <w:pPr>
        <w:jc w:val="left"/>
        <w:rPr>
          <w:rFonts w:ascii="Arial" w:hAnsi="Arial" w:cs="Arial"/>
          <w:sz w:val="24"/>
          <w:szCs w:val="24"/>
          <w:highlight w:val="yellow"/>
        </w:rPr>
      </w:pPr>
      <w:r w:rsidRPr="005563A5">
        <w:rPr>
          <w:rFonts w:ascii="Arial" w:hAnsi="Arial" w:cs="Arial"/>
          <w:sz w:val="24"/>
          <w:szCs w:val="24"/>
        </w:rPr>
        <w:t xml:space="preserve">The Board has </w:t>
      </w:r>
      <w:r w:rsidR="00BE2DBE">
        <w:rPr>
          <w:rFonts w:ascii="Arial" w:hAnsi="Arial" w:cs="Arial"/>
          <w:sz w:val="24"/>
          <w:szCs w:val="24"/>
        </w:rPr>
        <w:t>declared</w:t>
      </w:r>
      <w:r w:rsidRPr="005563A5">
        <w:rPr>
          <w:rFonts w:ascii="Arial" w:hAnsi="Arial" w:cs="Arial"/>
          <w:sz w:val="24"/>
          <w:szCs w:val="24"/>
        </w:rPr>
        <w:t xml:space="preserve"> a</w:t>
      </w:r>
      <w:r>
        <w:rPr>
          <w:rFonts w:ascii="Arial" w:hAnsi="Arial" w:cs="Arial"/>
          <w:sz w:val="24"/>
          <w:szCs w:val="24"/>
        </w:rPr>
        <w:t>n interim</w:t>
      </w:r>
      <w:r w:rsidRPr="005563A5">
        <w:rPr>
          <w:rFonts w:ascii="Arial" w:hAnsi="Arial" w:cs="Arial"/>
          <w:sz w:val="24"/>
          <w:szCs w:val="24"/>
        </w:rPr>
        <w:t xml:space="preserve"> </w:t>
      </w:r>
      <w:r w:rsidRPr="002C020D">
        <w:rPr>
          <w:rFonts w:ascii="Arial" w:hAnsi="Arial" w:cs="Arial"/>
          <w:sz w:val="24"/>
          <w:szCs w:val="24"/>
        </w:rPr>
        <w:t xml:space="preserve">dividend of </w:t>
      </w:r>
      <w:r w:rsidR="002C020D" w:rsidRPr="002E570E">
        <w:rPr>
          <w:rFonts w:ascii="Arial" w:hAnsi="Arial" w:cs="Arial"/>
          <w:sz w:val="24"/>
          <w:szCs w:val="24"/>
        </w:rPr>
        <w:t>3.2</w:t>
      </w:r>
      <w:r w:rsidR="00441535">
        <w:rPr>
          <w:rFonts w:ascii="Arial" w:hAnsi="Arial" w:cs="Arial"/>
          <w:sz w:val="24"/>
          <w:szCs w:val="24"/>
        </w:rPr>
        <w:t>5</w:t>
      </w:r>
      <w:r w:rsidRPr="002E570E">
        <w:rPr>
          <w:rFonts w:ascii="Arial" w:hAnsi="Arial" w:cs="Arial"/>
          <w:sz w:val="24"/>
          <w:szCs w:val="24"/>
        </w:rPr>
        <w:t>p</w:t>
      </w:r>
      <w:r w:rsidRPr="002C020D">
        <w:rPr>
          <w:rFonts w:ascii="Arial" w:hAnsi="Arial" w:cs="Arial"/>
          <w:sz w:val="24"/>
          <w:szCs w:val="24"/>
        </w:rPr>
        <w:t>,</w:t>
      </w:r>
      <w:r w:rsidRPr="005563A5">
        <w:rPr>
          <w:rFonts w:ascii="Arial" w:hAnsi="Arial" w:cs="Arial"/>
          <w:sz w:val="24"/>
          <w:szCs w:val="24"/>
        </w:rPr>
        <w:t xml:space="preserve"> an </w:t>
      </w:r>
      <w:r w:rsidRPr="002C020D">
        <w:rPr>
          <w:rFonts w:ascii="Arial" w:hAnsi="Arial" w:cs="Arial"/>
          <w:sz w:val="24"/>
          <w:szCs w:val="24"/>
        </w:rPr>
        <w:t xml:space="preserve">increase of </w:t>
      </w:r>
      <w:r w:rsidR="00441535">
        <w:rPr>
          <w:rFonts w:ascii="Arial" w:hAnsi="Arial" w:cs="Arial"/>
          <w:sz w:val="24"/>
          <w:szCs w:val="24"/>
        </w:rPr>
        <w:t>2.2</w:t>
      </w:r>
      <w:r w:rsidRPr="002E570E">
        <w:rPr>
          <w:rFonts w:ascii="Arial" w:hAnsi="Arial" w:cs="Arial"/>
          <w:sz w:val="24"/>
          <w:szCs w:val="24"/>
        </w:rPr>
        <w:t>%</w:t>
      </w:r>
      <w:r w:rsidRPr="005563A5">
        <w:rPr>
          <w:rFonts w:ascii="Arial" w:hAnsi="Arial" w:cs="Arial"/>
          <w:sz w:val="24"/>
          <w:szCs w:val="24"/>
        </w:rPr>
        <w:t xml:space="preserve"> (201</w:t>
      </w:r>
      <w:r w:rsidRPr="00A03549">
        <w:rPr>
          <w:rFonts w:ascii="Arial" w:hAnsi="Arial" w:cs="Arial"/>
          <w:sz w:val="24"/>
          <w:szCs w:val="24"/>
        </w:rPr>
        <w:t>5</w:t>
      </w:r>
      <w:r w:rsidRPr="005563A5">
        <w:rPr>
          <w:rFonts w:ascii="Arial" w:hAnsi="Arial" w:cs="Arial"/>
          <w:sz w:val="24"/>
          <w:szCs w:val="24"/>
        </w:rPr>
        <w:t>/1</w:t>
      </w:r>
      <w:r w:rsidRPr="00A03549">
        <w:rPr>
          <w:rFonts w:ascii="Arial" w:hAnsi="Arial" w:cs="Arial"/>
          <w:sz w:val="24"/>
          <w:szCs w:val="24"/>
        </w:rPr>
        <w:t>6</w:t>
      </w:r>
      <w:r w:rsidRPr="005563A5">
        <w:rPr>
          <w:rFonts w:ascii="Arial" w:hAnsi="Arial" w:cs="Arial"/>
          <w:sz w:val="24"/>
          <w:szCs w:val="24"/>
        </w:rPr>
        <w:t xml:space="preserve">: </w:t>
      </w:r>
      <w:r w:rsidRPr="00A03549">
        <w:rPr>
          <w:rFonts w:ascii="Arial" w:hAnsi="Arial" w:cs="Arial"/>
          <w:sz w:val="24"/>
          <w:szCs w:val="24"/>
        </w:rPr>
        <w:t>3</w:t>
      </w:r>
      <w:r w:rsidRPr="005563A5">
        <w:rPr>
          <w:rFonts w:ascii="Arial" w:hAnsi="Arial" w:cs="Arial"/>
          <w:sz w:val="24"/>
          <w:szCs w:val="24"/>
        </w:rPr>
        <w:t>.</w:t>
      </w:r>
      <w:r w:rsidRPr="00A03549">
        <w:rPr>
          <w:rFonts w:ascii="Arial" w:hAnsi="Arial" w:cs="Arial"/>
          <w:sz w:val="24"/>
          <w:szCs w:val="24"/>
        </w:rPr>
        <w:t>18</w:t>
      </w:r>
      <w:r w:rsidRPr="005563A5">
        <w:rPr>
          <w:rFonts w:ascii="Arial" w:hAnsi="Arial" w:cs="Arial"/>
          <w:sz w:val="24"/>
          <w:szCs w:val="24"/>
        </w:rPr>
        <w:t xml:space="preserve">p). We continue to be comfortable with medium term dividend cover in the range of </w:t>
      </w:r>
      <w:r w:rsidRPr="00A03549">
        <w:rPr>
          <w:rFonts w:ascii="Arial" w:hAnsi="Arial" w:cs="Arial"/>
          <w:sz w:val="24"/>
          <w:szCs w:val="24"/>
        </w:rPr>
        <w:t>2</w:t>
      </w:r>
      <w:r w:rsidRPr="005563A5">
        <w:rPr>
          <w:rFonts w:ascii="Arial" w:hAnsi="Arial" w:cs="Arial"/>
          <w:sz w:val="24"/>
          <w:szCs w:val="24"/>
        </w:rPr>
        <w:t>.</w:t>
      </w:r>
      <w:r w:rsidRPr="00A03549">
        <w:rPr>
          <w:rFonts w:ascii="Arial" w:hAnsi="Arial" w:cs="Arial"/>
          <w:sz w:val="24"/>
          <w:szCs w:val="24"/>
        </w:rPr>
        <w:t>0</w:t>
      </w:r>
      <w:r w:rsidRPr="005563A5">
        <w:rPr>
          <w:rFonts w:ascii="Arial" w:hAnsi="Arial" w:cs="Arial"/>
          <w:sz w:val="24"/>
          <w:szCs w:val="24"/>
        </w:rPr>
        <w:t xml:space="preserve"> to </w:t>
      </w:r>
      <w:r w:rsidRPr="00A03549">
        <w:rPr>
          <w:rFonts w:ascii="Arial" w:hAnsi="Arial" w:cs="Arial"/>
          <w:sz w:val="24"/>
          <w:szCs w:val="24"/>
        </w:rPr>
        <w:t>2</w:t>
      </w:r>
      <w:r w:rsidRPr="005563A5">
        <w:rPr>
          <w:rFonts w:ascii="Arial" w:hAnsi="Arial" w:cs="Arial"/>
          <w:sz w:val="24"/>
          <w:szCs w:val="24"/>
        </w:rPr>
        <w:t>.</w:t>
      </w:r>
      <w:r w:rsidRPr="00A03549">
        <w:rPr>
          <w:rFonts w:ascii="Arial" w:hAnsi="Arial" w:cs="Arial"/>
          <w:sz w:val="24"/>
          <w:szCs w:val="24"/>
        </w:rPr>
        <w:t>5</w:t>
      </w:r>
      <w:r w:rsidRPr="005563A5">
        <w:rPr>
          <w:rFonts w:ascii="Arial" w:hAnsi="Arial" w:cs="Arial"/>
          <w:sz w:val="24"/>
          <w:szCs w:val="24"/>
        </w:rPr>
        <w:t xml:space="preserve"> times</w:t>
      </w:r>
      <w:r w:rsidR="00E80A0B">
        <w:rPr>
          <w:rFonts w:ascii="Arial" w:hAnsi="Arial" w:cs="Arial"/>
          <w:sz w:val="24"/>
          <w:szCs w:val="24"/>
        </w:rPr>
        <w:t xml:space="preserve"> based on adjusted basic earnings per share</w:t>
      </w:r>
      <w:r w:rsidRPr="005563A5">
        <w:rPr>
          <w:rFonts w:ascii="Arial" w:hAnsi="Arial" w:cs="Arial"/>
          <w:sz w:val="24"/>
          <w:szCs w:val="24"/>
        </w:rPr>
        <w:t>, a level the Board believes is prudent and consistent with the capital needs of the business.</w:t>
      </w:r>
    </w:p>
    <w:p w14:paraId="12F23FFF" w14:textId="77777777" w:rsidR="00773A54" w:rsidRPr="00A03549" w:rsidRDefault="00773A54" w:rsidP="00773A54">
      <w:pPr>
        <w:jc w:val="left"/>
        <w:rPr>
          <w:rFonts w:ascii="Arial" w:hAnsi="Arial" w:cs="Arial"/>
          <w:sz w:val="24"/>
          <w:szCs w:val="24"/>
          <w:highlight w:val="yellow"/>
        </w:rPr>
      </w:pPr>
    </w:p>
    <w:p w14:paraId="728DCB89" w14:textId="77777777" w:rsidR="00773A54" w:rsidRDefault="00773A54" w:rsidP="00773A54">
      <w:pPr>
        <w:jc w:val="left"/>
        <w:rPr>
          <w:rFonts w:ascii="Arial" w:hAnsi="Arial" w:cs="Arial"/>
          <w:sz w:val="24"/>
          <w:szCs w:val="24"/>
        </w:rPr>
      </w:pPr>
      <w:r w:rsidRPr="005604A6">
        <w:rPr>
          <w:rFonts w:ascii="Arial" w:hAnsi="Arial" w:cs="Arial"/>
          <w:sz w:val="24"/>
          <w:szCs w:val="24"/>
        </w:rPr>
        <w:t xml:space="preserve">The interim dividend will be paid on </w:t>
      </w:r>
      <w:r w:rsidRPr="00925EFB">
        <w:rPr>
          <w:rFonts w:ascii="Arial" w:hAnsi="Arial" w:cs="Arial"/>
          <w:sz w:val="24"/>
          <w:szCs w:val="24"/>
        </w:rPr>
        <w:t xml:space="preserve">11 November 2016 </w:t>
      </w:r>
      <w:r w:rsidRPr="005604A6">
        <w:rPr>
          <w:rFonts w:ascii="Arial" w:hAnsi="Arial" w:cs="Arial"/>
          <w:sz w:val="24"/>
          <w:szCs w:val="24"/>
        </w:rPr>
        <w:t xml:space="preserve">to shareholders on the register at close of business on </w:t>
      </w:r>
      <w:r w:rsidRPr="00925EFB">
        <w:rPr>
          <w:rFonts w:ascii="Arial" w:hAnsi="Arial" w:cs="Arial"/>
          <w:sz w:val="24"/>
          <w:szCs w:val="24"/>
        </w:rPr>
        <w:t>7 October 2016</w:t>
      </w:r>
      <w:r w:rsidRPr="005604A6">
        <w:rPr>
          <w:rFonts w:ascii="Arial" w:hAnsi="Arial" w:cs="Arial"/>
          <w:sz w:val="24"/>
          <w:szCs w:val="24"/>
        </w:rPr>
        <w:t>. A dividend reinvestment plan (DRIP) is available to</w:t>
      </w:r>
      <w:r w:rsidRPr="005563A5">
        <w:rPr>
          <w:rFonts w:ascii="Arial" w:hAnsi="Arial" w:cs="Arial"/>
          <w:sz w:val="24"/>
          <w:szCs w:val="24"/>
        </w:rPr>
        <w:t xml:space="preserve"> </w:t>
      </w:r>
      <w:r w:rsidRPr="005604A6">
        <w:rPr>
          <w:rFonts w:ascii="Arial" w:hAnsi="Arial" w:cs="Arial"/>
          <w:sz w:val="24"/>
          <w:szCs w:val="24"/>
        </w:rPr>
        <w:t xml:space="preserve">shareholders who would prefer to invest their dividends in the shares of the Company. The shares will go ex-dividend on </w:t>
      </w:r>
      <w:r w:rsidRPr="00925EFB">
        <w:rPr>
          <w:rFonts w:ascii="Arial" w:hAnsi="Arial" w:cs="Arial"/>
          <w:sz w:val="24"/>
          <w:szCs w:val="24"/>
        </w:rPr>
        <w:t>6 October 2016</w:t>
      </w:r>
      <w:r w:rsidRPr="005604A6">
        <w:rPr>
          <w:rFonts w:ascii="Arial" w:hAnsi="Arial" w:cs="Arial"/>
          <w:sz w:val="24"/>
          <w:szCs w:val="24"/>
        </w:rPr>
        <w:t xml:space="preserve">. For those shareholders electing to receive the DRIP the last date for receipt of election is </w:t>
      </w:r>
      <w:r w:rsidRPr="00925EFB">
        <w:rPr>
          <w:rFonts w:ascii="Arial" w:hAnsi="Arial" w:cs="Arial"/>
          <w:sz w:val="24"/>
          <w:szCs w:val="24"/>
        </w:rPr>
        <w:t>21 October 2016.</w:t>
      </w:r>
    </w:p>
    <w:p w14:paraId="244FF260" w14:textId="77777777" w:rsidR="00BE2DBE" w:rsidRDefault="00BE2DBE" w:rsidP="00773A54">
      <w:pPr>
        <w:jc w:val="left"/>
        <w:rPr>
          <w:rFonts w:ascii="Arial" w:hAnsi="Arial" w:cs="Arial"/>
          <w:sz w:val="24"/>
          <w:szCs w:val="24"/>
        </w:rPr>
      </w:pPr>
    </w:p>
    <w:p w14:paraId="15A3CE8B" w14:textId="7390FD33" w:rsidR="006D5E25" w:rsidRDefault="00BE2DBE" w:rsidP="00925EFB">
      <w:pPr>
        <w:jc w:val="left"/>
        <w:rPr>
          <w:rFonts w:ascii="Arial" w:hAnsi="Arial" w:cs="Arial"/>
          <w:sz w:val="24"/>
          <w:szCs w:val="24"/>
        </w:rPr>
      </w:pPr>
      <w:r w:rsidRPr="005563A5">
        <w:rPr>
          <w:rFonts w:ascii="Arial" w:hAnsi="Arial" w:cs="Arial"/>
          <w:sz w:val="24"/>
          <w:szCs w:val="24"/>
        </w:rPr>
        <w:t xml:space="preserve">On 25 January 2016 Kingfisher announced its intention to return around a further £600 million of surplus capital to shareholders </w:t>
      </w:r>
      <w:r w:rsidR="00A75E65">
        <w:rPr>
          <w:rFonts w:ascii="Arial" w:hAnsi="Arial" w:cs="Arial"/>
          <w:sz w:val="24"/>
          <w:szCs w:val="24"/>
        </w:rPr>
        <w:t>over this year and the next two years</w:t>
      </w:r>
      <w:r w:rsidRPr="005563A5">
        <w:rPr>
          <w:rFonts w:ascii="Arial" w:hAnsi="Arial" w:cs="Arial"/>
          <w:sz w:val="24"/>
          <w:szCs w:val="24"/>
        </w:rPr>
        <w:t>. This is expected to be via share buyback</w:t>
      </w:r>
      <w:r>
        <w:rPr>
          <w:rFonts w:ascii="Arial" w:hAnsi="Arial" w:cs="Arial"/>
          <w:sz w:val="24"/>
          <w:szCs w:val="24"/>
        </w:rPr>
        <w:t>. D</w:t>
      </w:r>
      <w:r w:rsidRPr="005563A5">
        <w:rPr>
          <w:rFonts w:ascii="Arial" w:hAnsi="Arial" w:cs="Arial"/>
          <w:sz w:val="24"/>
          <w:szCs w:val="24"/>
        </w:rPr>
        <w:t xml:space="preserve">uring </w:t>
      </w:r>
      <w:r w:rsidRPr="00A03549">
        <w:rPr>
          <w:rFonts w:ascii="Arial" w:hAnsi="Arial" w:cs="Arial"/>
          <w:sz w:val="24"/>
          <w:szCs w:val="24"/>
        </w:rPr>
        <w:t>H1</w:t>
      </w:r>
      <w:r w:rsidRPr="005563A5">
        <w:rPr>
          <w:rFonts w:ascii="Arial" w:hAnsi="Arial" w:cs="Arial"/>
          <w:sz w:val="24"/>
          <w:szCs w:val="24"/>
        </w:rPr>
        <w:t xml:space="preserve"> </w:t>
      </w:r>
      <w:r w:rsidRPr="00421A9F">
        <w:rPr>
          <w:rFonts w:ascii="Arial" w:hAnsi="Arial" w:cs="Arial"/>
          <w:sz w:val="24"/>
          <w:szCs w:val="24"/>
        </w:rPr>
        <w:t xml:space="preserve">2016/17 </w:t>
      </w:r>
      <w:r w:rsidR="00773A54" w:rsidRPr="00925EFB">
        <w:rPr>
          <w:rFonts w:ascii="Arial" w:hAnsi="Arial" w:cs="Arial"/>
          <w:sz w:val="24"/>
          <w:szCs w:val="24"/>
        </w:rPr>
        <w:t>£</w:t>
      </w:r>
      <w:r w:rsidR="00421A9F" w:rsidRPr="00925EFB">
        <w:rPr>
          <w:rFonts w:ascii="Arial" w:hAnsi="Arial" w:cs="Arial"/>
          <w:sz w:val="24"/>
          <w:szCs w:val="24"/>
        </w:rPr>
        <w:t>126</w:t>
      </w:r>
      <w:r w:rsidR="00773A54" w:rsidRPr="00925EFB">
        <w:rPr>
          <w:rFonts w:ascii="Arial" w:hAnsi="Arial" w:cs="Arial"/>
          <w:sz w:val="24"/>
          <w:szCs w:val="24"/>
        </w:rPr>
        <w:t xml:space="preserve"> million </w:t>
      </w:r>
      <w:r w:rsidR="00773A54" w:rsidRPr="00E304FD">
        <w:rPr>
          <w:rFonts w:ascii="Arial" w:hAnsi="Arial" w:cs="Arial"/>
          <w:sz w:val="24"/>
          <w:szCs w:val="24"/>
        </w:rPr>
        <w:t>(</w:t>
      </w:r>
      <w:r w:rsidR="00097698" w:rsidRPr="00E304FD">
        <w:rPr>
          <w:rFonts w:ascii="Arial" w:hAnsi="Arial" w:cs="Arial"/>
          <w:sz w:val="24"/>
          <w:szCs w:val="24"/>
        </w:rPr>
        <w:t>37</w:t>
      </w:r>
      <w:r w:rsidR="00773A54" w:rsidRPr="00E304FD">
        <w:rPr>
          <w:rFonts w:ascii="Arial" w:hAnsi="Arial" w:cs="Arial"/>
          <w:sz w:val="24"/>
          <w:szCs w:val="24"/>
        </w:rPr>
        <w:t xml:space="preserve"> </w:t>
      </w:r>
      <w:r w:rsidR="00773A54" w:rsidRPr="00925EFB">
        <w:rPr>
          <w:rFonts w:ascii="Arial" w:hAnsi="Arial" w:cs="Arial"/>
          <w:sz w:val="24"/>
          <w:szCs w:val="24"/>
        </w:rPr>
        <w:t>million shares)</w:t>
      </w:r>
      <w:r w:rsidR="00773A54" w:rsidRPr="005563A5">
        <w:rPr>
          <w:rFonts w:ascii="Arial" w:hAnsi="Arial" w:cs="Arial"/>
          <w:sz w:val="24"/>
          <w:szCs w:val="24"/>
        </w:rPr>
        <w:t xml:space="preserve"> </w:t>
      </w:r>
      <w:r>
        <w:rPr>
          <w:rFonts w:ascii="Arial" w:hAnsi="Arial" w:cs="Arial"/>
          <w:sz w:val="24"/>
          <w:szCs w:val="24"/>
        </w:rPr>
        <w:t>was returned</w:t>
      </w:r>
      <w:r w:rsidR="00773A54" w:rsidRPr="005563A5">
        <w:rPr>
          <w:rFonts w:ascii="Arial" w:hAnsi="Arial" w:cs="Arial"/>
          <w:sz w:val="24"/>
          <w:szCs w:val="24"/>
        </w:rPr>
        <w:t xml:space="preserve"> </w:t>
      </w:r>
      <w:r>
        <w:rPr>
          <w:rFonts w:ascii="Arial" w:hAnsi="Arial" w:cs="Arial"/>
          <w:sz w:val="24"/>
          <w:szCs w:val="24"/>
        </w:rPr>
        <w:t xml:space="preserve">to </w:t>
      </w:r>
      <w:r w:rsidR="00773A54" w:rsidRPr="005563A5">
        <w:rPr>
          <w:rFonts w:ascii="Arial" w:hAnsi="Arial" w:cs="Arial"/>
          <w:sz w:val="24"/>
          <w:szCs w:val="24"/>
        </w:rPr>
        <w:t>shareholders via share buyback and since year end</w:t>
      </w:r>
      <w:r w:rsidR="00773A54" w:rsidRPr="00421A9F">
        <w:rPr>
          <w:rFonts w:ascii="Arial" w:hAnsi="Arial" w:cs="Arial"/>
          <w:sz w:val="24"/>
          <w:szCs w:val="24"/>
        </w:rPr>
        <w:t xml:space="preserve">, </w:t>
      </w:r>
      <w:r w:rsidR="00773A54" w:rsidRPr="00925EFB">
        <w:rPr>
          <w:rFonts w:ascii="Arial" w:hAnsi="Arial" w:cs="Arial"/>
          <w:sz w:val="24"/>
          <w:szCs w:val="24"/>
        </w:rPr>
        <w:t>£</w:t>
      </w:r>
      <w:r w:rsidR="00421A9F" w:rsidRPr="00925EFB">
        <w:rPr>
          <w:rFonts w:ascii="Arial" w:hAnsi="Arial" w:cs="Arial"/>
          <w:sz w:val="24"/>
          <w:szCs w:val="24"/>
        </w:rPr>
        <w:t>160</w:t>
      </w:r>
      <w:r w:rsidR="00773A54" w:rsidRPr="00925EFB">
        <w:rPr>
          <w:rFonts w:ascii="Arial" w:hAnsi="Arial" w:cs="Arial"/>
          <w:sz w:val="24"/>
          <w:szCs w:val="24"/>
        </w:rPr>
        <w:t xml:space="preserve"> </w:t>
      </w:r>
      <w:r w:rsidR="00421A9F" w:rsidRPr="00925EFB">
        <w:rPr>
          <w:rFonts w:ascii="Arial" w:hAnsi="Arial" w:cs="Arial"/>
          <w:sz w:val="24"/>
          <w:szCs w:val="24"/>
        </w:rPr>
        <w:t>million</w:t>
      </w:r>
      <w:r w:rsidR="00773A54" w:rsidRPr="00925EFB">
        <w:rPr>
          <w:rFonts w:ascii="Arial" w:hAnsi="Arial" w:cs="Arial"/>
          <w:sz w:val="24"/>
          <w:szCs w:val="24"/>
        </w:rPr>
        <w:t xml:space="preserve"> of shares </w:t>
      </w:r>
      <w:r w:rsidR="00773A54" w:rsidRPr="00E304FD">
        <w:rPr>
          <w:rFonts w:ascii="Arial" w:hAnsi="Arial" w:cs="Arial"/>
          <w:sz w:val="24"/>
          <w:szCs w:val="24"/>
        </w:rPr>
        <w:t>(</w:t>
      </w:r>
      <w:r w:rsidR="00097698" w:rsidRPr="00E304FD">
        <w:rPr>
          <w:rFonts w:ascii="Arial" w:hAnsi="Arial" w:cs="Arial"/>
          <w:sz w:val="24"/>
          <w:szCs w:val="24"/>
        </w:rPr>
        <w:t>47</w:t>
      </w:r>
      <w:r w:rsidR="00773A54" w:rsidRPr="00925EFB">
        <w:rPr>
          <w:rFonts w:ascii="Arial" w:hAnsi="Arial" w:cs="Arial"/>
          <w:sz w:val="24"/>
          <w:szCs w:val="24"/>
        </w:rPr>
        <w:t xml:space="preserve"> million shares) </w:t>
      </w:r>
      <w:r w:rsidR="00773A54" w:rsidRPr="005563A5">
        <w:rPr>
          <w:rFonts w:ascii="Arial" w:hAnsi="Arial" w:cs="Arial"/>
          <w:sz w:val="24"/>
          <w:szCs w:val="24"/>
        </w:rPr>
        <w:t>have been repurchased.</w:t>
      </w:r>
    </w:p>
    <w:p w14:paraId="70E638BC" w14:textId="77777777" w:rsidR="00427799" w:rsidRDefault="00427799" w:rsidP="00773A54">
      <w:pPr>
        <w:ind w:right="-368"/>
        <w:jc w:val="left"/>
        <w:rPr>
          <w:rFonts w:ascii="Arial" w:hAnsi="Arial" w:cs="Arial"/>
          <w:b/>
          <w:sz w:val="24"/>
          <w:szCs w:val="24"/>
        </w:rPr>
      </w:pPr>
    </w:p>
    <w:p w14:paraId="12FCAE50" w14:textId="77777777" w:rsidR="00723F78" w:rsidRDefault="00723F78" w:rsidP="00773A54">
      <w:pPr>
        <w:ind w:right="-368"/>
        <w:jc w:val="left"/>
        <w:rPr>
          <w:rFonts w:ascii="Arial" w:hAnsi="Arial" w:cs="Arial"/>
          <w:b/>
          <w:sz w:val="24"/>
          <w:szCs w:val="24"/>
        </w:rPr>
      </w:pPr>
    </w:p>
    <w:p w14:paraId="2FF4A534" w14:textId="77777777" w:rsidR="008C7FE9" w:rsidRDefault="008C7FE9" w:rsidP="00773A54">
      <w:pPr>
        <w:ind w:right="-368"/>
        <w:jc w:val="left"/>
        <w:rPr>
          <w:rFonts w:ascii="Arial" w:hAnsi="Arial" w:cs="Arial"/>
          <w:b/>
          <w:sz w:val="24"/>
          <w:szCs w:val="24"/>
        </w:rPr>
      </w:pPr>
    </w:p>
    <w:p w14:paraId="2E874C0C" w14:textId="384ABA5D" w:rsidR="002C29DB" w:rsidRPr="00A03549" w:rsidRDefault="00773A54" w:rsidP="00773A54">
      <w:pPr>
        <w:ind w:right="-368"/>
        <w:jc w:val="left"/>
        <w:rPr>
          <w:rFonts w:ascii="Arial" w:hAnsi="Arial" w:cs="Arial"/>
          <w:b/>
          <w:sz w:val="24"/>
          <w:szCs w:val="24"/>
        </w:rPr>
      </w:pPr>
      <w:r w:rsidRPr="00A03549">
        <w:rPr>
          <w:rFonts w:ascii="Arial" w:hAnsi="Arial" w:cs="Arial"/>
          <w:b/>
          <w:sz w:val="24"/>
          <w:szCs w:val="24"/>
        </w:rPr>
        <w:t>Taxation</w:t>
      </w:r>
    </w:p>
    <w:p w14:paraId="66E2F805" w14:textId="77777777" w:rsidR="00773A54" w:rsidRPr="00A03549" w:rsidRDefault="00773A54" w:rsidP="00773A54">
      <w:pPr>
        <w:ind w:right="-368"/>
        <w:jc w:val="left"/>
        <w:rPr>
          <w:rFonts w:ascii="Arial" w:hAnsi="Arial" w:cs="Arial"/>
          <w:b/>
          <w:sz w:val="24"/>
          <w:szCs w:val="24"/>
        </w:rPr>
      </w:pPr>
    </w:p>
    <w:p w14:paraId="41BBE0BE" w14:textId="77777777" w:rsidR="009E70F6" w:rsidRPr="00544D29" w:rsidRDefault="009E70F6" w:rsidP="0020209B">
      <w:pPr>
        <w:jc w:val="left"/>
        <w:rPr>
          <w:rFonts w:ascii="Arial" w:hAnsi="Arial" w:cs="Arial"/>
          <w:sz w:val="24"/>
          <w:szCs w:val="24"/>
        </w:rPr>
      </w:pPr>
      <w:r w:rsidRPr="00544D29">
        <w:rPr>
          <w:rFonts w:ascii="Arial" w:hAnsi="Arial" w:cs="Arial"/>
          <w:sz w:val="24"/>
          <w:szCs w:val="24"/>
        </w:rPr>
        <w:t>The adjusted effective rate of tax, calculated on profit before exceptional items, prior year tax adjustments and the impact of rate changes was 26% (2015/16: 26%). This effective rate of tax is consistent with FY 2015/16.</w:t>
      </w:r>
    </w:p>
    <w:p w14:paraId="5FA9A96B" w14:textId="77777777" w:rsidR="009E70F6" w:rsidRDefault="009E70F6" w:rsidP="009E70F6"/>
    <w:p w14:paraId="0AD56A41" w14:textId="77777777" w:rsidR="009E70F6" w:rsidRDefault="009E70F6" w:rsidP="009E70F6">
      <w:pPr>
        <w:rPr>
          <w:rFonts w:ascii="Arial" w:hAnsi="Arial" w:cs="Arial"/>
          <w:sz w:val="24"/>
          <w:szCs w:val="24"/>
        </w:rPr>
      </w:pPr>
      <w:r w:rsidRPr="00544D29">
        <w:rPr>
          <w:rFonts w:ascii="Arial" w:hAnsi="Arial" w:cs="Arial"/>
          <w:sz w:val="24"/>
          <w:szCs w:val="24"/>
        </w:rPr>
        <w:t>The overall rate of tax includes the impact of exceptional items and prior year adjustments. The impact of such items reduced the rate from 26% to 25%.</w:t>
      </w:r>
    </w:p>
    <w:p w14:paraId="5C6711E1" w14:textId="77777777" w:rsidR="00772500" w:rsidRDefault="00772500" w:rsidP="00772500">
      <w:pPr>
        <w:rPr>
          <w:rFonts w:ascii="Arial" w:hAnsi="Arial" w:cs="Arial"/>
          <w:sz w:val="24"/>
          <w:szCs w:val="24"/>
        </w:rPr>
      </w:pPr>
    </w:p>
    <w:tbl>
      <w:tblPr>
        <w:tblW w:w="9084" w:type="dxa"/>
        <w:tblCellMar>
          <w:left w:w="0" w:type="dxa"/>
          <w:right w:w="0" w:type="dxa"/>
        </w:tblCellMar>
        <w:tblLook w:val="04A0" w:firstRow="1" w:lastRow="0" w:firstColumn="1" w:lastColumn="0" w:noHBand="0" w:noVBand="1"/>
      </w:tblPr>
      <w:tblGrid>
        <w:gridCol w:w="4395"/>
        <w:gridCol w:w="935"/>
        <w:gridCol w:w="1340"/>
        <w:gridCol w:w="1207"/>
        <w:gridCol w:w="1207"/>
      </w:tblGrid>
      <w:tr w:rsidR="00772500" w:rsidRPr="00B501B6" w14:paraId="26B369BE" w14:textId="77777777" w:rsidTr="00597978">
        <w:trPr>
          <w:trHeight w:val="595"/>
        </w:trPr>
        <w:tc>
          <w:tcPr>
            <w:tcW w:w="4395" w:type="dxa"/>
            <w:tcBorders>
              <w:top w:val="nil"/>
              <w:left w:val="nil"/>
              <w:bottom w:val="single" w:sz="8" w:space="0" w:color="auto"/>
              <w:right w:val="nil"/>
            </w:tcBorders>
            <w:tcMar>
              <w:top w:w="0" w:type="dxa"/>
              <w:left w:w="108" w:type="dxa"/>
              <w:bottom w:w="0" w:type="dxa"/>
              <w:right w:w="108" w:type="dxa"/>
            </w:tcMar>
            <w:hideMark/>
          </w:tcPr>
          <w:p w14:paraId="3C121724" w14:textId="77777777" w:rsidR="00772500" w:rsidRPr="000F07BB" w:rsidRDefault="00772500" w:rsidP="00597978">
            <w:pPr>
              <w:rPr>
                <w:rFonts w:ascii="Arial" w:hAnsi="Arial" w:cs="Arial"/>
                <w:b/>
                <w:bCs/>
                <w:sz w:val="24"/>
                <w:szCs w:val="24"/>
              </w:rPr>
            </w:pPr>
            <w:r w:rsidRPr="000F07BB">
              <w:rPr>
                <w:rFonts w:ascii="Arial" w:hAnsi="Arial" w:cs="Arial"/>
                <w:b/>
                <w:bCs/>
                <w:sz w:val="24"/>
                <w:szCs w:val="24"/>
              </w:rPr>
              <w:t>Effective tax rate calculation</w:t>
            </w:r>
          </w:p>
        </w:tc>
        <w:tc>
          <w:tcPr>
            <w:tcW w:w="935" w:type="dxa"/>
            <w:tcBorders>
              <w:top w:val="nil"/>
              <w:left w:val="nil"/>
              <w:bottom w:val="single" w:sz="8" w:space="0" w:color="auto"/>
              <w:right w:val="nil"/>
            </w:tcBorders>
            <w:tcMar>
              <w:top w:w="0" w:type="dxa"/>
              <w:left w:w="108" w:type="dxa"/>
              <w:bottom w:w="0" w:type="dxa"/>
              <w:right w:w="108" w:type="dxa"/>
            </w:tcMar>
            <w:hideMark/>
          </w:tcPr>
          <w:p w14:paraId="1D0E87F0" w14:textId="77777777" w:rsidR="00772500" w:rsidRPr="000F07BB" w:rsidRDefault="00772500" w:rsidP="00597978">
            <w:pPr>
              <w:jc w:val="right"/>
              <w:rPr>
                <w:rFonts w:ascii="Arial" w:hAnsi="Arial" w:cs="Arial"/>
                <w:b/>
                <w:bCs/>
                <w:sz w:val="24"/>
                <w:szCs w:val="24"/>
              </w:rPr>
            </w:pPr>
            <w:r w:rsidRPr="000F07BB">
              <w:rPr>
                <w:rFonts w:ascii="Arial" w:hAnsi="Arial" w:cs="Arial"/>
                <w:b/>
                <w:bCs/>
                <w:sz w:val="24"/>
                <w:szCs w:val="24"/>
              </w:rPr>
              <w:t>Profit</w:t>
            </w:r>
          </w:p>
          <w:p w14:paraId="5181BD15" w14:textId="77777777" w:rsidR="00772500" w:rsidRPr="000F07BB" w:rsidRDefault="00772500" w:rsidP="00597978">
            <w:pPr>
              <w:jc w:val="right"/>
              <w:rPr>
                <w:rFonts w:ascii="Arial" w:hAnsi="Arial" w:cs="Arial"/>
                <w:b/>
                <w:bCs/>
                <w:sz w:val="24"/>
                <w:szCs w:val="24"/>
              </w:rPr>
            </w:pPr>
            <w:r w:rsidRPr="000F07BB">
              <w:rPr>
                <w:rFonts w:ascii="Arial" w:hAnsi="Arial" w:cs="Arial"/>
                <w:b/>
                <w:bCs/>
                <w:sz w:val="24"/>
                <w:szCs w:val="24"/>
              </w:rPr>
              <w:t>£m</w:t>
            </w:r>
          </w:p>
        </w:tc>
        <w:tc>
          <w:tcPr>
            <w:tcW w:w="1340" w:type="dxa"/>
            <w:tcBorders>
              <w:top w:val="nil"/>
              <w:left w:val="nil"/>
              <w:bottom w:val="single" w:sz="8" w:space="0" w:color="auto"/>
              <w:right w:val="nil"/>
            </w:tcBorders>
            <w:tcMar>
              <w:top w:w="0" w:type="dxa"/>
              <w:left w:w="108" w:type="dxa"/>
              <w:bottom w:w="0" w:type="dxa"/>
              <w:right w:w="108" w:type="dxa"/>
            </w:tcMar>
            <w:hideMark/>
          </w:tcPr>
          <w:p w14:paraId="793F9FA0" w14:textId="77777777" w:rsidR="00772500" w:rsidRPr="000F07BB" w:rsidRDefault="00772500" w:rsidP="00597978">
            <w:pPr>
              <w:jc w:val="right"/>
              <w:rPr>
                <w:rFonts w:ascii="Arial" w:hAnsi="Arial" w:cs="Arial"/>
                <w:b/>
                <w:bCs/>
                <w:sz w:val="24"/>
                <w:szCs w:val="24"/>
              </w:rPr>
            </w:pPr>
            <w:r w:rsidRPr="000F07BB">
              <w:rPr>
                <w:rFonts w:ascii="Arial" w:hAnsi="Arial" w:cs="Arial"/>
                <w:b/>
                <w:bCs/>
                <w:sz w:val="24"/>
                <w:szCs w:val="24"/>
              </w:rPr>
              <w:t xml:space="preserve">Tax </w:t>
            </w:r>
          </w:p>
          <w:p w14:paraId="18DBA487" w14:textId="77777777" w:rsidR="00772500" w:rsidRPr="000F07BB" w:rsidRDefault="00772500" w:rsidP="00597978">
            <w:pPr>
              <w:jc w:val="right"/>
              <w:rPr>
                <w:rFonts w:ascii="Arial" w:hAnsi="Arial" w:cs="Arial"/>
                <w:b/>
                <w:bCs/>
                <w:sz w:val="24"/>
                <w:szCs w:val="24"/>
              </w:rPr>
            </w:pPr>
            <w:r w:rsidRPr="000F07BB">
              <w:rPr>
                <w:rFonts w:ascii="Arial" w:hAnsi="Arial" w:cs="Arial"/>
                <w:b/>
                <w:bCs/>
                <w:sz w:val="24"/>
                <w:szCs w:val="24"/>
              </w:rPr>
              <w:t>£m</w:t>
            </w:r>
          </w:p>
        </w:tc>
        <w:tc>
          <w:tcPr>
            <w:tcW w:w="1207" w:type="dxa"/>
            <w:tcBorders>
              <w:top w:val="nil"/>
              <w:left w:val="nil"/>
              <w:bottom w:val="single" w:sz="8" w:space="0" w:color="auto"/>
              <w:right w:val="nil"/>
            </w:tcBorders>
            <w:tcMar>
              <w:top w:w="0" w:type="dxa"/>
              <w:left w:w="108" w:type="dxa"/>
              <w:bottom w:w="0" w:type="dxa"/>
              <w:right w:w="108" w:type="dxa"/>
            </w:tcMar>
            <w:hideMark/>
          </w:tcPr>
          <w:p w14:paraId="3D439BFF" w14:textId="77777777" w:rsidR="00772500" w:rsidRPr="000F07BB" w:rsidRDefault="00772500" w:rsidP="00597978">
            <w:pPr>
              <w:jc w:val="right"/>
              <w:rPr>
                <w:rFonts w:ascii="Arial" w:hAnsi="Arial" w:cs="Arial"/>
                <w:b/>
                <w:bCs/>
                <w:sz w:val="24"/>
                <w:szCs w:val="24"/>
              </w:rPr>
            </w:pPr>
            <w:r w:rsidRPr="000F07BB">
              <w:rPr>
                <w:rFonts w:ascii="Arial" w:hAnsi="Arial" w:cs="Arial"/>
                <w:b/>
                <w:bCs/>
                <w:sz w:val="24"/>
                <w:szCs w:val="24"/>
              </w:rPr>
              <w:t>2016/17</w:t>
            </w:r>
          </w:p>
          <w:p w14:paraId="65C44E04" w14:textId="77777777" w:rsidR="00772500" w:rsidRPr="000F07BB" w:rsidRDefault="00772500" w:rsidP="00597978">
            <w:pPr>
              <w:jc w:val="right"/>
              <w:rPr>
                <w:rFonts w:ascii="Arial" w:hAnsi="Arial" w:cs="Arial"/>
                <w:b/>
                <w:bCs/>
                <w:sz w:val="24"/>
                <w:szCs w:val="24"/>
              </w:rPr>
            </w:pPr>
            <w:r w:rsidRPr="000F07BB">
              <w:rPr>
                <w:rFonts w:ascii="Arial" w:hAnsi="Arial" w:cs="Arial"/>
                <w:b/>
                <w:bCs/>
                <w:sz w:val="24"/>
                <w:szCs w:val="24"/>
              </w:rPr>
              <w:t>%</w:t>
            </w:r>
          </w:p>
        </w:tc>
        <w:tc>
          <w:tcPr>
            <w:tcW w:w="1207" w:type="dxa"/>
            <w:tcBorders>
              <w:top w:val="nil"/>
              <w:left w:val="nil"/>
              <w:bottom w:val="single" w:sz="8" w:space="0" w:color="auto"/>
              <w:right w:val="nil"/>
            </w:tcBorders>
            <w:tcMar>
              <w:top w:w="0" w:type="dxa"/>
              <w:left w:w="108" w:type="dxa"/>
              <w:bottom w:w="0" w:type="dxa"/>
              <w:right w:w="108" w:type="dxa"/>
            </w:tcMar>
            <w:hideMark/>
          </w:tcPr>
          <w:p w14:paraId="36F1DB20" w14:textId="77777777" w:rsidR="00772500" w:rsidRPr="000F07BB" w:rsidRDefault="00772500" w:rsidP="00597978">
            <w:pPr>
              <w:jc w:val="right"/>
              <w:rPr>
                <w:rFonts w:ascii="Arial" w:hAnsi="Arial" w:cs="Arial"/>
                <w:sz w:val="24"/>
                <w:szCs w:val="24"/>
              </w:rPr>
            </w:pPr>
            <w:r w:rsidRPr="000F07BB">
              <w:rPr>
                <w:rFonts w:ascii="Arial" w:hAnsi="Arial" w:cs="Arial"/>
                <w:sz w:val="24"/>
                <w:szCs w:val="24"/>
              </w:rPr>
              <w:t>2015/16</w:t>
            </w:r>
          </w:p>
          <w:p w14:paraId="77703523" w14:textId="77777777" w:rsidR="00772500" w:rsidRPr="000F07BB" w:rsidRDefault="00772500" w:rsidP="00597978">
            <w:pPr>
              <w:jc w:val="right"/>
              <w:rPr>
                <w:rFonts w:ascii="Arial" w:hAnsi="Arial" w:cs="Arial"/>
                <w:sz w:val="24"/>
                <w:szCs w:val="24"/>
              </w:rPr>
            </w:pPr>
            <w:r w:rsidRPr="000F07BB">
              <w:rPr>
                <w:rFonts w:ascii="Arial" w:hAnsi="Arial" w:cs="Arial"/>
                <w:sz w:val="24"/>
                <w:szCs w:val="24"/>
              </w:rPr>
              <w:t>%</w:t>
            </w:r>
          </w:p>
        </w:tc>
      </w:tr>
      <w:tr w:rsidR="00772500" w:rsidRPr="00B501B6" w14:paraId="7CC88B61" w14:textId="77777777" w:rsidTr="00925EFB">
        <w:trPr>
          <w:trHeight w:val="176"/>
        </w:trPr>
        <w:tc>
          <w:tcPr>
            <w:tcW w:w="4395" w:type="dxa"/>
            <w:tcMar>
              <w:top w:w="0" w:type="dxa"/>
              <w:left w:w="108" w:type="dxa"/>
              <w:bottom w:w="0" w:type="dxa"/>
              <w:right w:w="108" w:type="dxa"/>
            </w:tcMar>
            <w:hideMark/>
          </w:tcPr>
          <w:p w14:paraId="4BEC5266" w14:textId="77777777" w:rsidR="00772500" w:rsidRPr="000F07BB" w:rsidRDefault="00772500" w:rsidP="00597978">
            <w:pPr>
              <w:rPr>
                <w:rFonts w:ascii="Arial" w:hAnsi="Arial" w:cs="Arial"/>
                <w:sz w:val="24"/>
                <w:szCs w:val="24"/>
              </w:rPr>
            </w:pPr>
            <w:r w:rsidRPr="000F07BB">
              <w:rPr>
                <w:rFonts w:ascii="Arial" w:hAnsi="Arial" w:cs="Arial"/>
                <w:sz w:val="24"/>
                <w:szCs w:val="24"/>
              </w:rPr>
              <w:t>Profit before tax and exceptional items</w:t>
            </w:r>
          </w:p>
        </w:tc>
        <w:tc>
          <w:tcPr>
            <w:tcW w:w="935" w:type="dxa"/>
            <w:tcMar>
              <w:top w:w="0" w:type="dxa"/>
              <w:left w:w="108" w:type="dxa"/>
              <w:bottom w:w="0" w:type="dxa"/>
              <w:right w:w="108" w:type="dxa"/>
            </w:tcMar>
            <w:hideMark/>
          </w:tcPr>
          <w:p w14:paraId="4421EB9F" w14:textId="2CC395D8" w:rsidR="00772500" w:rsidRPr="000F07BB" w:rsidRDefault="009E70F6">
            <w:pPr>
              <w:jc w:val="right"/>
              <w:rPr>
                <w:rFonts w:ascii="Arial" w:hAnsi="Arial" w:cs="Arial"/>
                <w:sz w:val="24"/>
                <w:szCs w:val="24"/>
              </w:rPr>
            </w:pPr>
            <w:r w:rsidRPr="000F07BB">
              <w:rPr>
                <w:rFonts w:ascii="Arial" w:hAnsi="Arial" w:cs="Arial"/>
                <w:sz w:val="24"/>
                <w:szCs w:val="24"/>
              </w:rPr>
              <w:t>4</w:t>
            </w:r>
            <w:r>
              <w:rPr>
                <w:rFonts w:ascii="Arial" w:hAnsi="Arial" w:cs="Arial"/>
                <w:sz w:val="24"/>
                <w:szCs w:val="24"/>
              </w:rPr>
              <w:t>16</w:t>
            </w:r>
          </w:p>
        </w:tc>
        <w:tc>
          <w:tcPr>
            <w:tcW w:w="1340" w:type="dxa"/>
            <w:tcMar>
              <w:top w:w="0" w:type="dxa"/>
              <w:left w:w="108" w:type="dxa"/>
              <w:bottom w:w="0" w:type="dxa"/>
              <w:right w:w="108" w:type="dxa"/>
            </w:tcMar>
            <w:hideMark/>
          </w:tcPr>
          <w:p w14:paraId="6459010F" w14:textId="665848F9" w:rsidR="00772500" w:rsidRPr="000F07BB" w:rsidRDefault="00772500">
            <w:pPr>
              <w:jc w:val="right"/>
              <w:rPr>
                <w:rFonts w:ascii="Arial" w:hAnsi="Arial" w:cs="Arial"/>
                <w:sz w:val="24"/>
                <w:szCs w:val="24"/>
              </w:rPr>
            </w:pPr>
            <w:r w:rsidRPr="000F07BB">
              <w:rPr>
                <w:rFonts w:ascii="Arial" w:hAnsi="Arial" w:cs="Arial"/>
                <w:sz w:val="24"/>
                <w:szCs w:val="24"/>
              </w:rPr>
              <w:t>(</w:t>
            </w:r>
            <w:r w:rsidR="009E70F6" w:rsidRPr="000F07BB">
              <w:rPr>
                <w:rFonts w:ascii="Arial" w:hAnsi="Arial" w:cs="Arial"/>
                <w:sz w:val="24"/>
                <w:szCs w:val="24"/>
              </w:rPr>
              <w:t>1</w:t>
            </w:r>
            <w:r w:rsidR="009E70F6">
              <w:rPr>
                <w:rFonts w:ascii="Arial" w:hAnsi="Arial" w:cs="Arial"/>
                <w:sz w:val="24"/>
                <w:szCs w:val="24"/>
              </w:rPr>
              <w:t>08</w:t>
            </w:r>
            <w:r w:rsidRPr="000F07BB">
              <w:rPr>
                <w:rFonts w:ascii="Arial" w:hAnsi="Arial" w:cs="Arial"/>
                <w:sz w:val="24"/>
                <w:szCs w:val="24"/>
              </w:rPr>
              <w:t>)</w:t>
            </w:r>
          </w:p>
        </w:tc>
        <w:tc>
          <w:tcPr>
            <w:tcW w:w="1207" w:type="dxa"/>
            <w:tcMar>
              <w:top w:w="0" w:type="dxa"/>
              <w:left w:w="108" w:type="dxa"/>
              <w:bottom w:w="0" w:type="dxa"/>
              <w:right w:w="108" w:type="dxa"/>
            </w:tcMar>
            <w:hideMark/>
          </w:tcPr>
          <w:p w14:paraId="458A9589" w14:textId="77777777" w:rsidR="00772500" w:rsidRPr="000F07BB" w:rsidRDefault="00772500" w:rsidP="00597978">
            <w:pPr>
              <w:jc w:val="right"/>
              <w:rPr>
                <w:rFonts w:ascii="Arial" w:hAnsi="Arial" w:cs="Arial"/>
                <w:sz w:val="24"/>
                <w:szCs w:val="24"/>
              </w:rPr>
            </w:pPr>
            <w:r w:rsidRPr="000F07BB">
              <w:rPr>
                <w:rFonts w:ascii="Arial" w:hAnsi="Arial" w:cs="Arial"/>
                <w:sz w:val="24"/>
                <w:szCs w:val="24"/>
              </w:rPr>
              <w:t>26%</w:t>
            </w:r>
          </w:p>
        </w:tc>
        <w:tc>
          <w:tcPr>
            <w:tcW w:w="1207" w:type="dxa"/>
            <w:tcMar>
              <w:top w:w="0" w:type="dxa"/>
              <w:left w:w="108" w:type="dxa"/>
              <w:bottom w:w="0" w:type="dxa"/>
              <w:right w:w="108" w:type="dxa"/>
            </w:tcMar>
            <w:hideMark/>
          </w:tcPr>
          <w:p w14:paraId="709770A0" w14:textId="77777777" w:rsidR="00772500" w:rsidRPr="000F07BB" w:rsidRDefault="00772500" w:rsidP="00597978">
            <w:pPr>
              <w:jc w:val="right"/>
              <w:rPr>
                <w:rFonts w:ascii="Arial" w:hAnsi="Arial" w:cs="Arial"/>
                <w:sz w:val="24"/>
                <w:szCs w:val="24"/>
              </w:rPr>
            </w:pPr>
            <w:r w:rsidRPr="000F07BB">
              <w:rPr>
                <w:rFonts w:ascii="Arial" w:hAnsi="Arial" w:cs="Arial"/>
                <w:sz w:val="24"/>
                <w:szCs w:val="24"/>
              </w:rPr>
              <w:t>26%</w:t>
            </w:r>
          </w:p>
        </w:tc>
      </w:tr>
      <w:tr w:rsidR="00772500" w:rsidRPr="00B501B6" w14:paraId="5A6747D7" w14:textId="77777777" w:rsidTr="00925EFB">
        <w:trPr>
          <w:trHeight w:val="185"/>
        </w:trPr>
        <w:tc>
          <w:tcPr>
            <w:tcW w:w="4395" w:type="dxa"/>
            <w:tcMar>
              <w:top w:w="0" w:type="dxa"/>
              <w:left w:w="108" w:type="dxa"/>
              <w:bottom w:w="0" w:type="dxa"/>
              <w:right w:w="108" w:type="dxa"/>
            </w:tcMar>
            <w:hideMark/>
          </w:tcPr>
          <w:p w14:paraId="3497FFC0" w14:textId="77777777" w:rsidR="00772500" w:rsidRPr="000F07BB" w:rsidRDefault="00772500" w:rsidP="00597978">
            <w:pPr>
              <w:rPr>
                <w:rFonts w:ascii="Arial" w:hAnsi="Arial" w:cs="Arial"/>
                <w:sz w:val="24"/>
                <w:szCs w:val="24"/>
              </w:rPr>
            </w:pPr>
            <w:r w:rsidRPr="000F07BB">
              <w:rPr>
                <w:rFonts w:ascii="Arial" w:hAnsi="Arial" w:cs="Arial"/>
                <w:sz w:val="24"/>
                <w:szCs w:val="24"/>
              </w:rPr>
              <w:t>Exceptional items</w:t>
            </w:r>
          </w:p>
        </w:tc>
        <w:tc>
          <w:tcPr>
            <w:tcW w:w="935" w:type="dxa"/>
            <w:tcMar>
              <w:top w:w="0" w:type="dxa"/>
              <w:left w:w="108" w:type="dxa"/>
              <w:bottom w:w="0" w:type="dxa"/>
              <w:right w:w="108" w:type="dxa"/>
            </w:tcMar>
            <w:hideMark/>
          </w:tcPr>
          <w:p w14:paraId="463B37CD" w14:textId="63F45990" w:rsidR="00772500" w:rsidRPr="000F07BB" w:rsidRDefault="009E70F6" w:rsidP="00597978">
            <w:pPr>
              <w:jc w:val="right"/>
              <w:rPr>
                <w:rFonts w:ascii="Arial" w:hAnsi="Arial" w:cs="Arial"/>
                <w:sz w:val="24"/>
                <w:szCs w:val="24"/>
              </w:rPr>
            </w:pPr>
            <w:r>
              <w:rPr>
                <w:rFonts w:ascii="Arial" w:hAnsi="Arial" w:cs="Arial"/>
                <w:sz w:val="24"/>
                <w:szCs w:val="24"/>
              </w:rPr>
              <w:t>11</w:t>
            </w:r>
          </w:p>
        </w:tc>
        <w:tc>
          <w:tcPr>
            <w:tcW w:w="1340" w:type="dxa"/>
            <w:tcMar>
              <w:top w:w="0" w:type="dxa"/>
              <w:left w:w="108" w:type="dxa"/>
              <w:bottom w:w="0" w:type="dxa"/>
              <w:right w:w="108" w:type="dxa"/>
            </w:tcMar>
            <w:hideMark/>
          </w:tcPr>
          <w:p w14:paraId="68D87F26" w14:textId="301CD2BD" w:rsidR="00772500" w:rsidRPr="000F07BB" w:rsidRDefault="00772500">
            <w:pPr>
              <w:jc w:val="right"/>
              <w:rPr>
                <w:rFonts w:ascii="Arial" w:hAnsi="Arial" w:cs="Arial"/>
                <w:sz w:val="24"/>
                <w:szCs w:val="24"/>
              </w:rPr>
            </w:pPr>
            <w:r w:rsidRPr="000F07BB">
              <w:rPr>
                <w:rFonts w:ascii="Arial" w:hAnsi="Arial" w:cs="Arial"/>
                <w:sz w:val="24"/>
                <w:szCs w:val="24"/>
              </w:rPr>
              <w:t>(</w:t>
            </w:r>
            <w:r w:rsidR="009E70F6">
              <w:rPr>
                <w:rFonts w:ascii="Arial" w:hAnsi="Arial" w:cs="Arial"/>
                <w:sz w:val="24"/>
                <w:szCs w:val="24"/>
              </w:rPr>
              <w:t>2</w:t>
            </w:r>
            <w:r w:rsidRPr="000F07BB">
              <w:rPr>
                <w:rFonts w:ascii="Arial" w:hAnsi="Arial" w:cs="Arial"/>
                <w:sz w:val="24"/>
                <w:szCs w:val="24"/>
              </w:rPr>
              <w:t>)</w:t>
            </w:r>
          </w:p>
        </w:tc>
        <w:tc>
          <w:tcPr>
            <w:tcW w:w="1207" w:type="dxa"/>
            <w:tcMar>
              <w:top w:w="0" w:type="dxa"/>
              <w:left w:w="108" w:type="dxa"/>
              <w:bottom w:w="0" w:type="dxa"/>
              <w:right w:w="108" w:type="dxa"/>
            </w:tcMar>
          </w:tcPr>
          <w:p w14:paraId="5492C02D" w14:textId="77777777" w:rsidR="00772500" w:rsidRPr="000F07BB" w:rsidRDefault="00772500" w:rsidP="00597978">
            <w:pPr>
              <w:jc w:val="right"/>
              <w:rPr>
                <w:rFonts w:ascii="Arial" w:hAnsi="Arial" w:cs="Arial"/>
                <w:b/>
                <w:bCs/>
                <w:sz w:val="24"/>
                <w:szCs w:val="24"/>
              </w:rPr>
            </w:pPr>
          </w:p>
        </w:tc>
        <w:tc>
          <w:tcPr>
            <w:tcW w:w="1207" w:type="dxa"/>
            <w:tcMar>
              <w:top w:w="0" w:type="dxa"/>
              <w:left w:w="108" w:type="dxa"/>
              <w:bottom w:w="0" w:type="dxa"/>
              <w:right w:w="108" w:type="dxa"/>
            </w:tcMar>
          </w:tcPr>
          <w:p w14:paraId="1CE3635A" w14:textId="77777777" w:rsidR="00772500" w:rsidRPr="000F07BB" w:rsidRDefault="00772500" w:rsidP="00597978">
            <w:pPr>
              <w:jc w:val="right"/>
              <w:rPr>
                <w:rFonts w:ascii="Arial" w:hAnsi="Arial" w:cs="Arial"/>
                <w:sz w:val="24"/>
                <w:szCs w:val="24"/>
              </w:rPr>
            </w:pPr>
          </w:p>
        </w:tc>
      </w:tr>
      <w:tr w:rsidR="00772500" w:rsidRPr="00B501B6" w14:paraId="58ECDEE2" w14:textId="77777777" w:rsidTr="00597978">
        <w:trPr>
          <w:trHeight w:val="311"/>
        </w:trPr>
        <w:tc>
          <w:tcPr>
            <w:tcW w:w="4395" w:type="dxa"/>
            <w:tcBorders>
              <w:top w:val="nil"/>
              <w:left w:val="nil"/>
              <w:bottom w:val="single" w:sz="8" w:space="0" w:color="auto"/>
              <w:right w:val="nil"/>
            </w:tcBorders>
            <w:tcMar>
              <w:top w:w="0" w:type="dxa"/>
              <w:left w:w="108" w:type="dxa"/>
              <w:bottom w:w="0" w:type="dxa"/>
              <w:right w:w="108" w:type="dxa"/>
            </w:tcMar>
            <w:hideMark/>
          </w:tcPr>
          <w:p w14:paraId="473BDC45" w14:textId="77777777" w:rsidR="00772500" w:rsidRPr="000F07BB" w:rsidRDefault="00772500" w:rsidP="00597978">
            <w:pPr>
              <w:rPr>
                <w:rFonts w:ascii="Arial" w:hAnsi="Arial" w:cs="Arial"/>
                <w:sz w:val="24"/>
                <w:szCs w:val="24"/>
              </w:rPr>
            </w:pPr>
            <w:r w:rsidRPr="000F07BB">
              <w:rPr>
                <w:rFonts w:ascii="Arial" w:hAnsi="Arial" w:cs="Arial"/>
                <w:sz w:val="24"/>
                <w:szCs w:val="24"/>
              </w:rPr>
              <w:t>Prior year items</w:t>
            </w:r>
          </w:p>
        </w:tc>
        <w:tc>
          <w:tcPr>
            <w:tcW w:w="935" w:type="dxa"/>
            <w:tcBorders>
              <w:top w:val="nil"/>
              <w:left w:val="nil"/>
              <w:bottom w:val="single" w:sz="8" w:space="0" w:color="auto"/>
              <w:right w:val="nil"/>
            </w:tcBorders>
            <w:tcMar>
              <w:top w:w="0" w:type="dxa"/>
              <w:left w:w="108" w:type="dxa"/>
              <w:bottom w:w="0" w:type="dxa"/>
              <w:right w:w="108" w:type="dxa"/>
            </w:tcMar>
          </w:tcPr>
          <w:p w14:paraId="5E7E22C0" w14:textId="77777777" w:rsidR="00772500" w:rsidRPr="000F07BB" w:rsidRDefault="00772500" w:rsidP="00597978">
            <w:pPr>
              <w:jc w:val="right"/>
              <w:rPr>
                <w:rFonts w:ascii="Arial" w:hAnsi="Arial" w:cs="Arial"/>
                <w:b/>
                <w:bCs/>
                <w:sz w:val="24"/>
                <w:szCs w:val="24"/>
              </w:rPr>
            </w:pPr>
          </w:p>
        </w:tc>
        <w:tc>
          <w:tcPr>
            <w:tcW w:w="1340" w:type="dxa"/>
            <w:tcBorders>
              <w:top w:val="nil"/>
              <w:left w:val="nil"/>
              <w:bottom w:val="single" w:sz="8" w:space="0" w:color="auto"/>
              <w:right w:val="nil"/>
            </w:tcBorders>
            <w:tcMar>
              <w:top w:w="0" w:type="dxa"/>
              <w:left w:w="108" w:type="dxa"/>
              <w:bottom w:w="0" w:type="dxa"/>
              <w:right w:w="108" w:type="dxa"/>
            </w:tcMar>
            <w:hideMark/>
          </w:tcPr>
          <w:p w14:paraId="2807F7DE" w14:textId="77777777" w:rsidR="00772500" w:rsidRPr="000F07BB" w:rsidRDefault="00772500" w:rsidP="00597978">
            <w:pPr>
              <w:jc w:val="right"/>
              <w:rPr>
                <w:rFonts w:ascii="Arial" w:hAnsi="Arial" w:cs="Arial"/>
                <w:sz w:val="24"/>
                <w:szCs w:val="24"/>
              </w:rPr>
            </w:pPr>
            <w:r w:rsidRPr="000F07BB">
              <w:rPr>
                <w:rFonts w:ascii="Arial" w:hAnsi="Arial" w:cs="Arial"/>
                <w:sz w:val="24"/>
                <w:szCs w:val="24"/>
              </w:rPr>
              <w:t>4</w:t>
            </w:r>
          </w:p>
        </w:tc>
        <w:tc>
          <w:tcPr>
            <w:tcW w:w="1207" w:type="dxa"/>
            <w:tcBorders>
              <w:top w:val="nil"/>
              <w:left w:val="nil"/>
              <w:bottom w:val="single" w:sz="8" w:space="0" w:color="auto"/>
              <w:right w:val="nil"/>
            </w:tcBorders>
            <w:tcMar>
              <w:top w:w="0" w:type="dxa"/>
              <w:left w:w="108" w:type="dxa"/>
              <w:bottom w:w="0" w:type="dxa"/>
              <w:right w:w="108" w:type="dxa"/>
            </w:tcMar>
          </w:tcPr>
          <w:p w14:paraId="54BCCA80" w14:textId="77777777" w:rsidR="00772500" w:rsidRPr="000F07BB" w:rsidRDefault="00772500" w:rsidP="00597978">
            <w:pPr>
              <w:jc w:val="right"/>
              <w:rPr>
                <w:rFonts w:ascii="Arial" w:hAnsi="Arial" w:cs="Arial"/>
                <w:b/>
                <w:bCs/>
                <w:sz w:val="24"/>
                <w:szCs w:val="24"/>
              </w:rPr>
            </w:pPr>
          </w:p>
        </w:tc>
        <w:tc>
          <w:tcPr>
            <w:tcW w:w="1207" w:type="dxa"/>
            <w:tcBorders>
              <w:top w:val="nil"/>
              <w:left w:val="nil"/>
              <w:bottom w:val="single" w:sz="8" w:space="0" w:color="auto"/>
              <w:right w:val="nil"/>
            </w:tcBorders>
            <w:tcMar>
              <w:top w:w="0" w:type="dxa"/>
              <w:left w:w="108" w:type="dxa"/>
              <w:bottom w:w="0" w:type="dxa"/>
              <w:right w:w="108" w:type="dxa"/>
            </w:tcMar>
          </w:tcPr>
          <w:p w14:paraId="69B17BF2" w14:textId="77777777" w:rsidR="00772500" w:rsidRPr="000F07BB" w:rsidRDefault="00772500" w:rsidP="00597978">
            <w:pPr>
              <w:jc w:val="right"/>
              <w:rPr>
                <w:rFonts w:ascii="Arial" w:hAnsi="Arial" w:cs="Arial"/>
                <w:sz w:val="24"/>
                <w:szCs w:val="24"/>
              </w:rPr>
            </w:pPr>
          </w:p>
        </w:tc>
      </w:tr>
      <w:tr w:rsidR="00772500" w:rsidRPr="00B501B6" w14:paraId="47355C58" w14:textId="77777777" w:rsidTr="00597978">
        <w:trPr>
          <w:trHeight w:val="329"/>
        </w:trPr>
        <w:tc>
          <w:tcPr>
            <w:tcW w:w="4395" w:type="dxa"/>
            <w:tcBorders>
              <w:top w:val="nil"/>
              <w:left w:val="nil"/>
              <w:bottom w:val="single" w:sz="8" w:space="0" w:color="auto"/>
              <w:right w:val="nil"/>
            </w:tcBorders>
            <w:tcMar>
              <w:top w:w="0" w:type="dxa"/>
              <w:left w:w="108" w:type="dxa"/>
              <w:bottom w:w="0" w:type="dxa"/>
              <w:right w:w="108" w:type="dxa"/>
            </w:tcMar>
            <w:hideMark/>
          </w:tcPr>
          <w:p w14:paraId="122F7A7E" w14:textId="77777777" w:rsidR="00772500" w:rsidRPr="000F07BB" w:rsidRDefault="00772500" w:rsidP="00597978">
            <w:pPr>
              <w:rPr>
                <w:rFonts w:ascii="Arial" w:hAnsi="Arial" w:cs="Arial"/>
                <w:b/>
                <w:bCs/>
                <w:sz w:val="24"/>
                <w:szCs w:val="24"/>
              </w:rPr>
            </w:pPr>
            <w:r w:rsidRPr="000F07BB">
              <w:rPr>
                <w:rFonts w:ascii="Arial" w:hAnsi="Arial" w:cs="Arial"/>
                <w:b/>
                <w:bCs/>
                <w:sz w:val="24"/>
                <w:szCs w:val="24"/>
              </w:rPr>
              <w:t>Total – overall</w:t>
            </w:r>
          </w:p>
        </w:tc>
        <w:tc>
          <w:tcPr>
            <w:tcW w:w="935" w:type="dxa"/>
            <w:tcBorders>
              <w:top w:val="nil"/>
              <w:left w:val="nil"/>
              <w:bottom w:val="single" w:sz="8" w:space="0" w:color="auto"/>
              <w:right w:val="nil"/>
            </w:tcBorders>
            <w:tcMar>
              <w:top w:w="0" w:type="dxa"/>
              <w:left w:w="108" w:type="dxa"/>
              <w:bottom w:w="0" w:type="dxa"/>
              <w:right w:w="108" w:type="dxa"/>
            </w:tcMar>
            <w:hideMark/>
          </w:tcPr>
          <w:p w14:paraId="427AE6F3" w14:textId="77777777" w:rsidR="00772500" w:rsidRPr="000F07BB" w:rsidRDefault="00772500" w:rsidP="00597978">
            <w:pPr>
              <w:jc w:val="right"/>
              <w:rPr>
                <w:rFonts w:ascii="Arial" w:hAnsi="Arial" w:cs="Arial"/>
                <w:b/>
                <w:bCs/>
                <w:sz w:val="24"/>
                <w:szCs w:val="24"/>
              </w:rPr>
            </w:pPr>
            <w:r w:rsidRPr="000F07BB">
              <w:rPr>
                <w:rFonts w:ascii="Arial" w:hAnsi="Arial" w:cs="Arial"/>
                <w:b/>
                <w:bCs/>
                <w:sz w:val="24"/>
                <w:szCs w:val="24"/>
              </w:rPr>
              <w:t>427</w:t>
            </w:r>
          </w:p>
        </w:tc>
        <w:tc>
          <w:tcPr>
            <w:tcW w:w="1340" w:type="dxa"/>
            <w:tcBorders>
              <w:top w:val="nil"/>
              <w:left w:val="nil"/>
              <w:bottom w:val="single" w:sz="8" w:space="0" w:color="auto"/>
              <w:right w:val="nil"/>
            </w:tcBorders>
            <w:tcMar>
              <w:top w:w="0" w:type="dxa"/>
              <w:left w:w="108" w:type="dxa"/>
              <w:bottom w:w="0" w:type="dxa"/>
              <w:right w:w="108" w:type="dxa"/>
            </w:tcMar>
            <w:hideMark/>
          </w:tcPr>
          <w:p w14:paraId="7FFAD470" w14:textId="5CCD65F0" w:rsidR="00772500" w:rsidRPr="000F07BB" w:rsidRDefault="00772500">
            <w:pPr>
              <w:jc w:val="right"/>
              <w:rPr>
                <w:rFonts w:ascii="Arial" w:hAnsi="Arial" w:cs="Arial"/>
                <w:b/>
                <w:bCs/>
                <w:sz w:val="24"/>
                <w:szCs w:val="24"/>
              </w:rPr>
            </w:pPr>
            <w:r w:rsidRPr="000F07BB">
              <w:rPr>
                <w:rFonts w:ascii="Arial" w:hAnsi="Arial" w:cs="Arial"/>
                <w:b/>
                <w:bCs/>
                <w:sz w:val="24"/>
                <w:szCs w:val="24"/>
              </w:rPr>
              <w:t>(</w:t>
            </w:r>
            <w:r w:rsidR="009E70F6" w:rsidRPr="000F07BB">
              <w:rPr>
                <w:rFonts w:ascii="Arial" w:hAnsi="Arial" w:cs="Arial"/>
                <w:b/>
                <w:bCs/>
                <w:sz w:val="24"/>
                <w:szCs w:val="24"/>
              </w:rPr>
              <w:t>10</w:t>
            </w:r>
            <w:r w:rsidR="009E70F6">
              <w:rPr>
                <w:rFonts w:ascii="Arial" w:hAnsi="Arial" w:cs="Arial"/>
                <w:b/>
                <w:bCs/>
                <w:sz w:val="24"/>
                <w:szCs w:val="24"/>
              </w:rPr>
              <w:t>6</w:t>
            </w:r>
            <w:r w:rsidRPr="000F07BB">
              <w:rPr>
                <w:rFonts w:ascii="Arial" w:hAnsi="Arial" w:cs="Arial"/>
                <w:b/>
                <w:bCs/>
                <w:sz w:val="24"/>
                <w:szCs w:val="24"/>
              </w:rPr>
              <w:t>)</w:t>
            </w:r>
          </w:p>
        </w:tc>
        <w:tc>
          <w:tcPr>
            <w:tcW w:w="1207" w:type="dxa"/>
            <w:tcBorders>
              <w:top w:val="nil"/>
              <w:left w:val="nil"/>
              <w:bottom w:val="single" w:sz="8" w:space="0" w:color="auto"/>
              <w:right w:val="nil"/>
            </w:tcBorders>
            <w:tcMar>
              <w:top w:w="0" w:type="dxa"/>
              <w:left w:w="108" w:type="dxa"/>
              <w:bottom w:w="0" w:type="dxa"/>
              <w:right w:w="108" w:type="dxa"/>
            </w:tcMar>
            <w:hideMark/>
          </w:tcPr>
          <w:p w14:paraId="54B4B68F" w14:textId="77777777" w:rsidR="00772500" w:rsidRPr="000F07BB" w:rsidRDefault="00772500" w:rsidP="00597978">
            <w:pPr>
              <w:jc w:val="right"/>
              <w:rPr>
                <w:rFonts w:ascii="Arial" w:hAnsi="Arial" w:cs="Arial"/>
                <w:b/>
                <w:bCs/>
                <w:sz w:val="24"/>
                <w:szCs w:val="24"/>
              </w:rPr>
            </w:pPr>
            <w:r w:rsidRPr="000F07BB">
              <w:rPr>
                <w:rFonts w:ascii="Arial" w:hAnsi="Arial" w:cs="Arial"/>
                <w:b/>
                <w:bCs/>
                <w:sz w:val="24"/>
                <w:szCs w:val="24"/>
              </w:rPr>
              <w:t>25%</w:t>
            </w:r>
          </w:p>
        </w:tc>
        <w:tc>
          <w:tcPr>
            <w:tcW w:w="1207" w:type="dxa"/>
            <w:tcBorders>
              <w:top w:val="nil"/>
              <w:left w:val="nil"/>
              <w:bottom w:val="single" w:sz="8" w:space="0" w:color="auto"/>
              <w:right w:val="nil"/>
            </w:tcBorders>
            <w:tcMar>
              <w:top w:w="0" w:type="dxa"/>
              <w:left w:w="108" w:type="dxa"/>
              <w:bottom w:w="0" w:type="dxa"/>
              <w:right w:w="108" w:type="dxa"/>
            </w:tcMar>
            <w:hideMark/>
          </w:tcPr>
          <w:p w14:paraId="33CC7F1D" w14:textId="77777777" w:rsidR="00772500" w:rsidRPr="00B501B6" w:rsidRDefault="00772500" w:rsidP="00597978">
            <w:pPr>
              <w:jc w:val="right"/>
              <w:rPr>
                <w:rFonts w:ascii="Arial" w:hAnsi="Arial" w:cs="Arial"/>
                <w:bCs/>
                <w:sz w:val="24"/>
                <w:szCs w:val="24"/>
              </w:rPr>
            </w:pPr>
            <w:r w:rsidRPr="000F07BB">
              <w:rPr>
                <w:rFonts w:ascii="Arial" w:hAnsi="Arial" w:cs="Arial"/>
                <w:bCs/>
                <w:sz w:val="24"/>
                <w:szCs w:val="24"/>
              </w:rPr>
              <w:t>18%</w:t>
            </w:r>
          </w:p>
        </w:tc>
      </w:tr>
    </w:tbl>
    <w:p w14:paraId="40F0ED15" w14:textId="77777777" w:rsidR="00772500" w:rsidRDefault="00772500" w:rsidP="00772500">
      <w:pPr>
        <w:rPr>
          <w:rFonts w:ascii="Arial" w:hAnsi="Arial" w:cs="Arial"/>
          <w:sz w:val="24"/>
          <w:szCs w:val="24"/>
        </w:rPr>
      </w:pPr>
    </w:p>
    <w:p w14:paraId="24715AA5" w14:textId="4ECC9AC1" w:rsidR="00707205" w:rsidRPr="00801B09" w:rsidRDefault="00772500" w:rsidP="00772500">
      <w:pPr>
        <w:rPr>
          <w:rFonts w:ascii="Arial" w:hAnsi="Arial" w:cs="Arial"/>
          <w:sz w:val="24"/>
          <w:szCs w:val="24"/>
        </w:rPr>
      </w:pPr>
      <w:r w:rsidRPr="00801B09">
        <w:rPr>
          <w:rFonts w:ascii="Arial" w:hAnsi="Arial" w:cs="Arial"/>
          <w:sz w:val="24"/>
          <w:szCs w:val="24"/>
        </w:rPr>
        <w:t>The statutory rates for the Group’s main operating companies during FY</w:t>
      </w:r>
      <w:r w:rsidR="009E70F6">
        <w:rPr>
          <w:rFonts w:ascii="Arial" w:hAnsi="Arial" w:cs="Arial"/>
          <w:sz w:val="24"/>
          <w:szCs w:val="24"/>
        </w:rPr>
        <w:t xml:space="preserve"> 20</w:t>
      </w:r>
      <w:r w:rsidRPr="00801B09">
        <w:rPr>
          <w:rFonts w:ascii="Arial" w:hAnsi="Arial" w:cs="Arial"/>
          <w:sz w:val="24"/>
          <w:szCs w:val="24"/>
        </w:rPr>
        <w:t>16/17 are:</w:t>
      </w:r>
    </w:p>
    <w:p w14:paraId="28D4CD2E" w14:textId="77777777" w:rsidR="00772500" w:rsidRPr="00801B09" w:rsidRDefault="00772500" w:rsidP="00772500">
      <w:pPr>
        <w:pStyle w:val="ListParagraph"/>
        <w:numPr>
          <w:ilvl w:val="0"/>
          <w:numId w:val="57"/>
        </w:numPr>
        <w:contextualSpacing/>
        <w:jc w:val="left"/>
        <w:rPr>
          <w:rFonts w:ascii="Arial" w:hAnsi="Arial" w:cs="Arial"/>
          <w:sz w:val="24"/>
          <w:szCs w:val="24"/>
        </w:rPr>
      </w:pPr>
      <w:r w:rsidRPr="00801B09">
        <w:rPr>
          <w:rFonts w:ascii="Arial" w:hAnsi="Arial" w:cs="Arial"/>
          <w:sz w:val="24"/>
          <w:szCs w:val="24"/>
        </w:rPr>
        <w:t>UK: 20%</w:t>
      </w:r>
    </w:p>
    <w:p w14:paraId="06D02D10" w14:textId="77777777" w:rsidR="00772500" w:rsidRPr="00801B09" w:rsidRDefault="00772500" w:rsidP="00772500">
      <w:pPr>
        <w:pStyle w:val="ListParagraph"/>
        <w:numPr>
          <w:ilvl w:val="0"/>
          <w:numId w:val="57"/>
        </w:numPr>
        <w:contextualSpacing/>
        <w:jc w:val="left"/>
        <w:rPr>
          <w:rFonts w:ascii="Arial" w:hAnsi="Arial" w:cs="Arial"/>
          <w:sz w:val="24"/>
          <w:szCs w:val="24"/>
        </w:rPr>
      </w:pPr>
      <w:r w:rsidRPr="00801B09">
        <w:rPr>
          <w:rFonts w:ascii="Arial" w:hAnsi="Arial" w:cs="Arial"/>
          <w:sz w:val="24"/>
          <w:szCs w:val="24"/>
        </w:rPr>
        <w:t>France: 34%</w:t>
      </w:r>
    </w:p>
    <w:p w14:paraId="1D3981F8" w14:textId="25DC5A81" w:rsidR="002C29DB" w:rsidRDefault="00772500" w:rsidP="00772500">
      <w:pPr>
        <w:pStyle w:val="ListParagraph"/>
        <w:numPr>
          <w:ilvl w:val="0"/>
          <w:numId w:val="57"/>
        </w:numPr>
        <w:contextualSpacing/>
        <w:jc w:val="left"/>
        <w:rPr>
          <w:rFonts w:ascii="Arial" w:hAnsi="Arial" w:cs="Arial"/>
          <w:sz w:val="24"/>
          <w:szCs w:val="24"/>
        </w:rPr>
      </w:pPr>
      <w:r w:rsidRPr="00801B09">
        <w:rPr>
          <w:rFonts w:ascii="Arial" w:hAnsi="Arial" w:cs="Arial"/>
          <w:sz w:val="24"/>
          <w:szCs w:val="24"/>
        </w:rPr>
        <w:t>Poland: 19%</w:t>
      </w:r>
    </w:p>
    <w:p w14:paraId="4D045AE3" w14:textId="77777777" w:rsidR="00772500" w:rsidRPr="00DC23B3" w:rsidRDefault="00772500" w:rsidP="00DC23B3">
      <w:pPr>
        <w:pStyle w:val="ListParagraph"/>
        <w:ind w:left="360"/>
        <w:contextualSpacing/>
        <w:jc w:val="left"/>
        <w:rPr>
          <w:rFonts w:ascii="Arial" w:hAnsi="Arial" w:cs="Arial"/>
          <w:sz w:val="24"/>
          <w:szCs w:val="24"/>
        </w:rPr>
      </w:pPr>
    </w:p>
    <w:p w14:paraId="3B1F9D0B" w14:textId="77777777" w:rsidR="00772500" w:rsidRPr="009A647E" w:rsidRDefault="00772500" w:rsidP="00772500">
      <w:pPr>
        <w:rPr>
          <w:rFonts w:ascii="Arial" w:hAnsi="Arial" w:cs="Arial"/>
          <w:sz w:val="24"/>
          <w:szCs w:val="24"/>
        </w:rPr>
      </w:pPr>
      <w:r w:rsidRPr="009A647E">
        <w:rPr>
          <w:rFonts w:ascii="Arial" w:hAnsi="Arial" w:cs="Arial"/>
          <w:sz w:val="24"/>
          <w:szCs w:val="24"/>
        </w:rPr>
        <w:t>The Group’s effective tax rate is sensitive to the blend of tax rates and profits in the Group’s various jurisdictions. The effective rate of tax is higher than the UK statutory rate because of the amount of Group profit that is earned in higher tax jurisdictions.</w:t>
      </w:r>
    </w:p>
    <w:p w14:paraId="287CE391" w14:textId="77777777" w:rsidR="00773A54" w:rsidRDefault="00773A54" w:rsidP="00773A54">
      <w:pPr>
        <w:jc w:val="left"/>
        <w:rPr>
          <w:rFonts w:ascii="Arial" w:hAnsi="Arial" w:cs="Arial"/>
          <w:b/>
          <w:sz w:val="24"/>
          <w:szCs w:val="24"/>
        </w:rPr>
      </w:pPr>
    </w:p>
    <w:p w14:paraId="3AC9170E" w14:textId="1188BCBD" w:rsidR="002C29DB" w:rsidRPr="005563A5" w:rsidRDefault="00773A54" w:rsidP="00773A54">
      <w:pPr>
        <w:jc w:val="left"/>
        <w:rPr>
          <w:rFonts w:ascii="Arial" w:hAnsi="Arial" w:cs="Arial"/>
          <w:b/>
          <w:sz w:val="24"/>
          <w:szCs w:val="24"/>
        </w:rPr>
      </w:pPr>
      <w:r w:rsidRPr="005563A5">
        <w:rPr>
          <w:rFonts w:ascii="Arial" w:hAnsi="Arial" w:cs="Arial"/>
          <w:b/>
          <w:sz w:val="24"/>
          <w:szCs w:val="24"/>
        </w:rPr>
        <w:t xml:space="preserve">Free cash flow* </w:t>
      </w:r>
    </w:p>
    <w:p w14:paraId="7278E231" w14:textId="77777777" w:rsidR="00773A54" w:rsidRPr="005563A5" w:rsidRDefault="00773A54" w:rsidP="00773A54">
      <w:pPr>
        <w:jc w:val="left"/>
        <w:rPr>
          <w:rFonts w:ascii="Arial" w:hAnsi="Arial" w:cs="Arial"/>
          <w:b/>
          <w:sz w:val="24"/>
          <w:szCs w:val="24"/>
        </w:rPr>
      </w:pPr>
    </w:p>
    <w:p w14:paraId="228A6F9C" w14:textId="77777777" w:rsidR="00773A54" w:rsidRPr="00E16931" w:rsidRDefault="00773A54" w:rsidP="00773A54">
      <w:pPr>
        <w:jc w:val="left"/>
        <w:rPr>
          <w:rFonts w:ascii="Arial" w:hAnsi="Arial" w:cs="Arial"/>
          <w:sz w:val="24"/>
          <w:szCs w:val="24"/>
        </w:rPr>
      </w:pPr>
      <w:r w:rsidRPr="00E16931">
        <w:rPr>
          <w:rFonts w:ascii="Arial" w:hAnsi="Arial" w:cs="Arial"/>
          <w:sz w:val="24"/>
          <w:szCs w:val="24"/>
        </w:rPr>
        <w:t>A reconciliation of free cash flow is set out below:</w:t>
      </w:r>
    </w:p>
    <w:tbl>
      <w:tblPr>
        <w:tblW w:w="9508" w:type="dxa"/>
        <w:tblInd w:w="98" w:type="dxa"/>
        <w:tblLayout w:type="fixed"/>
        <w:tblLook w:val="0000" w:firstRow="0" w:lastRow="0" w:firstColumn="0" w:lastColumn="0" w:noHBand="0" w:noVBand="0"/>
      </w:tblPr>
      <w:tblGrid>
        <w:gridCol w:w="6531"/>
        <w:gridCol w:w="317"/>
        <w:gridCol w:w="1242"/>
        <w:gridCol w:w="1418"/>
      </w:tblGrid>
      <w:tr w:rsidR="00773A54" w:rsidRPr="00E16931" w14:paraId="6292A232" w14:textId="77777777" w:rsidTr="00907EA8">
        <w:trPr>
          <w:trHeight w:val="555"/>
        </w:trPr>
        <w:tc>
          <w:tcPr>
            <w:tcW w:w="6531" w:type="dxa"/>
            <w:shd w:val="clear" w:color="auto" w:fill="auto"/>
            <w:vAlign w:val="bottom"/>
          </w:tcPr>
          <w:p w14:paraId="33E86640" w14:textId="77777777" w:rsidR="00773A54" w:rsidRPr="00E16931" w:rsidRDefault="00773A54" w:rsidP="00907EA8">
            <w:pPr>
              <w:jc w:val="left"/>
              <w:rPr>
                <w:rFonts w:ascii="Arial" w:hAnsi="Arial" w:cs="Arial"/>
                <w:bCs/>
                <w:sz w:val="24"/>
                <w:szCs w:val="24"/>
              </w:rPr>
            </w:pPr>
          </w:p>
        </w:tc>
        <w:tc>
          <w:tcPr>
            <w:tcW w:w="1559" w:type="dxa"/>
            <w:gridSpan w:val="2"/>
          </w:tcPr>
          <w:p w14:paraId="75A77007" w14:textId="77777777" w:rsidR="00773A54" w:rsidRPr="00E16931" w:rsidRDefault="00773A54" w:rsidP="00907EA8">
            <w:pPr>
              <w:jc w:val="right"/>
              <w:rPr>
                <w:rFonts w:ascii="Arial" w:hAnsi="Arial" w:cs="Arial"/>
                <w:b/>
                <w:bCs/>
                <w:sz w:val="24"/>
                <w:szCs w:val="24"/>
              </w:rPr>
            </w:pPr>
            <w:r w:rsidRPr="00E16931">
              <w:rPr>
                <w:rFonts w:ascii="Arial" w:hAnsi="Arial" w:cs="Arial"/>
                <w:b/>
                <w:bCs/>
                <w:sz w:val="24"/>
                <w:szCs w:val="24"/>
              </w:rPr>
              <w:t>2016/17</w:t>
            </w:r>
          </w:p>
          <w:p w14:paraId="3381A106" w14:textId="77777777" w:rsidR="00773A54" w:rsidRPr="00E16931" w:rsidRDefault="00773A54" w:rsidP="00907EA8">
            <w:pPr>
              <w:jc w:val="right"/>
              <w:rPr>
                <w:rFonts w:ascii="Arial" w:hAnsi="Arial" w:cs="Arial"/>
                <w:b/>
                <w:bCs/>
                <w:sz w:val="24"/>
                <w:szCs w:val="24"/>
              </w:rPr>
            </w:pPr>
            <w:r w:rsidRPr="00E16931">
              <w:rPr>
                <w:rFonts w:ascii="Arial" w:hAnsi="Arial" w:cs="Arial"/>
                <w:b/>
                <w:bCs/>
                <w:sz w:val="24"/>
                <w:szCs w:val="24"/>
              </w:rPr>
              <w:t>£m</w:t>
            </w:r>
          </w:p>
        </w:tc>
        <w:tc>
          <w:tcPr>
            <w:tcW w:w="1418" w:type="dxa"/>
          </w:tcPr>
          <w:p w14:paraId="0F0B2CFD" w14:textId="77777777" w:rsidR="00773A54" w:rsidRPr="00E16931" w:rsidRDefault="00773A54" w:rsidP="00907EA8">
            <w:pPr>
              <w:jc w:val="right"/>
              <w:rPr>
                <w:rFonts w:ascii="Arial" w:hAnsi="Arial" w:cs="Arial"/>
                <w:bCs/>
                <w:sz w:val="24"/>
                <w:szCs w:val="24"/>
              </w:rPr>
            </w:pPr>
            <w:r w:rsidRPr="00E16931">
              <w:rPr>
                <w:rFonts w:ascii="Arial" w:hAnsi="Arial" w:cs="Arial"/>
                <w:bCs/>
                <w:sz w:val="24"/>
                <w:szCs w:val="24"/>
              </w:rPr>
              <w:t>2015/16</w:t>
            </w:r>
          </w:p>
          <w:p w14:paraId="3AC9962A" w14:textId="77777777" w:rsidR="00773A54" w:rsidRPr="00E16931" w:rsidRDefault="00773A54" w:rsidP="00907EA8">
            <w:pPr>
              <w:jc w:val="right"/>
              <w:rPr>
                <w:rFonts w:ascii="Arial" w:hAnsi="Arial" w:cs="Arial"/>
                <w:bCs/>
                <w:sz w:val="24"/>
                <w:szCs w:val="24"/>
              </w:rPr>
            </w:pPr>
            <w:r w:rsidRPr="00E16931">
              <w:rPr>
                <w:rFonts w:ascii="Arial" w:hAnsi="Arial" w:cs="Arial"/>
                <w:bCs/>
                <w:sz w:val="24"/>
                <w:szCs w:val="24"/>
              </w:rPr>
              <w:t xml:space="preserve">£m </w:t>
            </w:r>
          </w:p>
        </w:tc>
      </w:tr>
      <w:tr w:rsidR="00773A54" w:rsidRPr="00E16931" w14:paraId="11C06CAF" w14:textId="77777777" w:rsidTr="00907EA8">
        <w:trPr>
          <w:trHeight w:val="255"/>
        </w:trPr>
        <w:tc>
          <w:tcPr>
            <w:tcW w:w="6848" w:type="dxa"/>
            <w:gridSpan w:val="2"/>
            <w:tcBorders>
              <w:top w:val="single" w:sz="4" w:space="0" w:color="auto"/>
            </w:tcBorders>
            <w:shd w:val="clear" w:color="auto" w:fill="auto"/>
            <w:vAlign w:val="bottom"/>
          </w:tcPr>
          <w:p w14:paraId="2E65494F" w14:textId="77777777" w:rsidR="00773A54" w:rsidRPr="00925EFB" w:rsidRDefault="00773A54" w:rsidP="00907EA8">
            <w:pPr>
              <w:rPr>
                <w:rFonts w:ascii="Arial" w:hAnsi="Arial" w:cs="Arial"/>
                <w:b/>
                <w:sz w:val="24"/>
                <w:szCs w:val="24"/>
              </w:rPr>
            </w:pPr>
            <w:r w:rsidRPr="00925EFB">
              <w:rPr>
                <w:rFonts w:ascii="Arial" w:hAnsi="Arial" w:cs="Arial"/>
                <w:b/>
                <w:sz w:val="24"/>
                <w:szCs w:val="24"/>
              </w:rPr>
              <w:t>Operating profit (before exceptional items)</w:t>
            </w:r>
          </w:p>
        </w:tc>
        <w:tc>
          <w:tcPr>
            <w:tcW w:w="1242" w:type="dxa"/>
            <w:tcBorders>
              <w:top w:val="single" w:sz="4" w:space="0" w:color="auto"/>
            </w:tcBorders>
            <w:vAlign w:val="bottom"/>
          </w:tcPr>
          <w:p w14:paraId="7EBA19D0" w14:textId="65C3101C" w:rsidR="00773A54" w:rsidRPr="00925EFB" w:rsidRDefault="00E16931" w:rsidP="00907EA8">
            <w:pPr>
              <w:jc w:val="right"/>
              <w:rPr>
                <w:rFonts w:ascii="Arial" w:hAnsi="Arial" w:cs="Arial"/>
                <w:b/>
                <w:sz w:val="24"/>
                <w:szCs w:val="24"/>
              </w:rPr>
            </w:pPr>
            <w:r w:rsidRPr="00925EFB">
              <w:rPr>
                <w:rFonts w:ascii="Arial" w:hAnsi="Arial" w:cs="Arial"/>
                <w:b/>
                <w:sz w:val="24"/>
                <w:szCs w:val="24"/>
              </w:rPr>
              <w:t>422</w:t>
            </w:r>
          </w:p>
        </w:tc>
        <w:tc>
          <w:tcPr>
            <w:tcW w:w="1418" w:type="dxa"/>
            <w:tcBorders>
              <w:top w:val="single" w:sz="4" w:space="0" w:color="auto"/>
            </w:tcBorders>
          </w:tcPr>
          <w:p w14:paraId="447D30A8"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385</w:t>
            </w:r>
          </w:p>
        </w:tc>
      </w:tr>
      <w:tr w:rsidR="00773A54" w:rsidRPr="00E16931" w14:paraId="3C36A993" w14:textId="77777777" w:rsidTr="00907EA8">
        <w:trPr>
          <w:trHeight w:val="270"/>
        </w:trPr>
        <w:tc>
          <w:tcPr>
            <w:tcW w:w="6848" w:type="dxa"/>
            <w:gridSpan w:val="2"/>
            <w:shd w:val="clear" w:color="auto" w:fill="auto"/>
            <w:vAlign w:val="bottom"/>
          </w:tcPr>
          <w:p w14:paraId="1E162C46" w14:textId="77777777" w:rsidR="00773A54" w:rsidRPr="00925EFB" w:rsidRDefault="00773A54" w:rsidP="00907EA8">
            <w:pPr>
              <w:rPr>
                <w:rFonts w:ascii="Arial" w:hAnsi="Arial" w:cs="Arial"/>
                <w:sz w:val="24"/>
                <w:szCs w:val="24"/>
              </w:rPr>
            </w:pPr>
            <w:r w:rsidRPr="00925EFB">
              <w:rPr>
                <w:rFonts w:ascii="Arial" w:hAnsi="Arial" w:cs="Arial"/>
                <w:sz w:val="24"/>
                <w:szCs w:val="24"/>
              </w:rPr>
              <w:t>Other non-cash items</w:t>
            </w:r>
            <w:r w:rsidRPr="00925EFB">
              <w:rPr>
                <w:rFonts w:ascii="Arial" w:hAnsi="Arial" w:cs="Arial"/>
                <w:sz w:val="20"/>
                <w:szCs w:val="20"/>
                <w:vertAlign w:val="superscript"/>
              </w:rPr>
              <w:t>(1)</w:t>
            </w:r>
          </w:p>
        </w:tc>
        <w:tc>
          <w:tcPr>
            <w:tcW w:w="1242" w:type="dxa"/>
            <w:vAlign w:val="bottom"/>
          </w:tcPr>
          <w:p w14:paraId="53AD43D5" w14:textId="03D1E487" w:rsidR="00773A54" w:rsidRPr="00925EFB" w:rsidRDefault="00E16931">
            <w:pPr>
              <w:jc w:val="right"/>
              <w:rPr>
                <w:rFonts w:ascii="Arial" w:hAnsi="Arial" w:cs="Arial"/>
                <w:b/>
                <w:sz w:val="24"/>
                <w:szCs w:val="24"/>
              </w:rPr>
            </w:pPr>
            <w:r w:rsidRPr="00925EFB">
              <w:rPr>
                <w:rFonts w:ascii="Arial" w:hAnsi="Arial" w:cs="Arial"/>
                <w:b/>
                <w:sz w:val="24"/>
                <w:szCs w:val="24"/>
              </w:rPr>
              <w:t>14</w:t>
            </w:r>
            <w:r w:rsidR="00E62C66">
              <w:rPr>
                <w:rFonts w:ascii="Arial" w:hAnsi="Arial" w:cs="Arial"/>
                <w:b/>
                <w:sz w:val="24"/>
                <w:szCs w:val="24"/>
              </w:rPr>
              <w:t>0</w:t>
            </w:r>
          </w:p>
        </w:tc>
        <w:tc>
          <w:tcPr>
            <w:tcW w:w="1418" w:type="dxa"/>
          </w:tcPr>
          <w:p w14:paraId="39102A61"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133</w:t>
            </w:r>
          </w:p>
        </w:tc>
      </w:tr>
      <w:tr w:rsidR="00773A54" w:rsidRPr="00E16931" w14:paraId="5F8E9A2A" w14:textId="77777777" w:rsidTr="00907EA8">
        <w:trPr>
          <w:trHeight w:val="247"/>
        </w:trPr>
        <w:tc>
          <w:tcPr>
            <w:tcW w:w="6848" w:type="dxa"/>
            <w:gridSpan w:val="2"/>
            <w:shd w:val="clear" w:color="auto" w:fill="auto"/>
            <w:vAlign w:val="bottom"/>
          </w:tcPr>
          <w:p w14:paraId="18143A2E" w14:textId="77777777" w:rsidR="00773A54" w:rsidRPr="00925EFB" w:rsidRDefault="00773A54" w:rsidP="00907EA8">
            <w:pPr>
              <w:rPr>
                <w:rFonts w:ascii="Arial" w:hAnsi="Arial" w:cs="Arial"/>
                <w:sz w:val="24"/>
                <w:szCs w:val="24"/>
              </w:rPr>
            </w:pPr>
            <w:r w:rsidRPr="00925EFB">
              <w:rPr>
                <w:rFonts w:ascii="Arial" w:hAnsi="Arial" w:cs="Arial"/>
                <w:sz w:val="24"/>
                <w:szCs w:val="24"/>
              </w:rPr>
              <w:t>Change in working capital</w:t>
            </w:r>
          </w:p>
        </w:tc>
        <w:tc>
          <w:tcPr>
            <w:tcW w:w="1242" w:type="dxa"/>
            <w:vAlign w:val="bottom"/>
          </w:tcPr>
          <w:p w14:paraId="5B08BF04" w14:textId="2638CFB5" w:rsidR="00773A54" w:rsidRPr="00925EFB" w:rsidRDefault="006A75E1" w:rsidP="00907EA8">
            <w:pPr>
              <w:jc w:val="right"/>
              <w:rPr>
                <w:rFonts w:ascii="Arial" w:hAnsi="Arial" w:cs="Arial"/>
                <w:b/>
                <w:sz w:val="24"/>
                <w:szCs w:val="24"/>
              </w:rPr>
            </w:pPr>
            <w:r>
              <w:rPr>
                <w:rFonts w:ascii="Arial" w:hAnsi="Arial" w:cs="Arial"/>
                <w:b/>
                <w:sz w:val="24"/>
                <w:szCs w:val="24"/>
              </w:rPr>
              <w:t>200</w:t>
            </w:r>
          </w:p>
        </w:tc>
        <w:tc>
          <w:tcPr>
            <w:tcW w:w="1418" w:type="dxa"/>
          </w:tcPr>
          <w:p w14:paraId="7994E127"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39</w:t>
            </w:r>
          </w:p>
        </w:tc>
      </w:tr>
      <w:tr w:rsidR="00773A54" w:rsidRPr="00E16931" w14:paraId="70BD61E3" w14:textId="77777777" w:rsidTr="00907EA8">
        <w:trPr>
          <w:trHeight w:val="255"/>
        </w:trPr>
        <w:tc>
          <w:tcPr>
            <w:tcW w:w="6848" w:type="dxa"/>
            <w:gridSpan w:val="2"/>
            <w:tcBorders>
              <w:bottom w:val="single" w:sz="4" w:space="0" w:color="auto"/>
            </w:tcBorders>
            <w:shd w:val="clear" w:color="auto" w:fill="auto"/>
            <w:vAlign w:val="bottom"/>
          </w:tcPr>
          <w:p w14:paraId="7CBD26FA" w14:textId="77777777" w:rsidR="00773A54" w:rsidRPr="00925EFB" w:rsidRDefault="00773A54" w:rsidP="00907EA8">
            <w:pPr>
              <w:rPr>
                <w:rFonts w:ascii="Arial" w:hAnsi="Arial" w:cs="Arial"/>
                <w:sz w:val="24"/>
                <w:szCs w:val="24"/>
              </w:rPr>
            </w:pPr>
            <w:r w:rsidRPr="00925EFB">
              <w:rPr>
                <w:rFonts w:ascii="Arial" w:hAnsi="Arial" w:cs="Arial"/>
                <w:sz w:val="24"/>
                <w:szCs w:val="24"/>
              </w:rPr>
              <w:t>Pensions and provisions</w:t>
            </w:r>
          </w:p>
        </w:tc>
        <w:tc>
          <w:tcPr>
            <w:tcW w:w="1242" w:type="dxa"/>
            <w:tcBorders>
              <w:bottom w:val="single" w:sz="4" w:space="0" w:color="auto"/>
            </w:tcBorders>
            <w:vAlign w:val="bottom"/>
          </w:tcPr>
          <w:p w14:paraId="7F8D5055" w14:textId="6C852339" w:rsidR="00773A54" w:rsidRPr="00925EFB" w:rsidRDefault="00773A54">
            <w:pPr>
              <w:jc w:val="right"/>
              <w:rPr>
                <w:rFonts w:ascii="Arial" w:hAnsi="Arial" w:cs="Arial"/>
                <w:b/>
                <w:sz w:val="24"/>
                <w:szCs w:val="24"/>
              </w:rPr>
            </w:pPr>
            <w:r w:rsidRPr="00925EFB">
              <w:rPr>
                <w:rFonts w:ascii="Arial" w:hAnsi="Arial" w:cs="Arial"/>
                <w:b/>
                <w:sz w:val="24"/>
                <w:szCs w:val="24"/>
              </w:rPr>
              <w:t>(</w:t>
            </w:r>
            <w:r w:rsidR="005F02F0" w:rsidRPr="00925EFB">
              <w:rPr>
                <w:rFonts w:ascii="Arial" w:hAnsi="Arial" w:cs="Arial"/>
                <w:b/>
                <w:sz w:val="24"/>
                <w:szCs w:val="24"/>
              </w:rPr>
              <w:t>2</w:t>
            </w:r>
            <w:r w:rsidR="005F02F0">
              <w:rPr>
                <w:rFonts w:ascii="Arial" w:hAnsi="Arial" w:cs="Arial"/>
                <w:b/>
                <w:sz w:val="24"/>
                <w:szCs w:val="24"/>
              </w:rPr>
              <w:t>1</w:t>
            </w:r>
            <w:r w:rsidRPr="00925EFB">
              <w:rPr>
                <w:rFonts w:ascii="Arial" w:hAnsi="Arial" w:cs="Arial"/>
                <w:b/>
                <w:sz w:val="24"/>
                <w:szCs w:val="24"/>
              </w:rPr>
              <w:t>)</w:t>
            </w:r>
          </w:p>
        </w:tc>
        <w:tc>
          <w:tcPr>
            <w:tcW w:w="1418" w:type="dxa"/>
            <w:tcBorders>
              <w:bottom w:val="single" w:sz="4" w:space="0" w:color="auto"/>
            </w:tcBorders>
          </w:tcPr>
          <w:p w14:paraId="6B4FD579"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(20)</w:t>
            </w:r>
          </w:p>
        </w:tc>
      </w:tr>
      <w:tr w:rsidR="00773A54" w:rsidRPr="00E16931" w14:paraId="2F0F146E" w14:textId="77777777" w:rsidTr="00907EA8">
        <w:trPr>
          <w:trHeight w:val="255"/>
        </w:trPr>
        <w:tc>
          <w:tcPr>
            <w:tcW w:w="6848" w:type="dxa"/>
            <w:gridSpan w:val="2"/>
            <w:tcBorders>
              <w:top w:val="single" w:sz="4" w:space="0" w:color="auto"/>
            </w:tcBorders>
            <w:shd w:val="clear" w:color="auto" w:fill="auto"/>
            <w:vAlign w:val="bottom"/>
          </w:tcPr>
          <w:p w14:paraId="2C614710" w14:textId="77777777" w:rsidR="00773A54" w:rsidRPr="00925EFB" w:rsidRDefault="00773A54" w:rsidP="00907EA8">
            <w:pPr>
              <w:rPr>
                <w:rFonts w:ascii="Arial" w:hAnsi="Arial" w:cs="Arial"/>
                <w:sz w:val="24"/>
                <w:szCs w:val="24"/>
              </w:rPr>
            </w:pPr>
            <w:r w:rsidRPr="00925EFB">
              <w:rPr>
                <w:rFonts w:ascii="Arial" w:hAnsi="Arial" w:cs="Arial"/>
                <w:sz w:val="24"/>
                <w:szCs w:val="24"/>
              </w:rPr>
              <w:t>Operating cash flow</w:t>
            </w:r>
          </w:p>
        </w:tc>
        <w:tc>
          <w:tcPr>
            <w:tcW w:w="1242" w:type="dxa"/>
            <w:tcBorders>
              <w:top w:val="single" w:sz="4" w:space="0" w:color="auto"/>
            </w:tcBorders>
            <w:vAlign w:val="bottom"/>
          </w:tcPr>
          <w:p w14:paraId="2AF0058F" w14:textId="4AA5450E" w:rsidR="00773A54" w:rsidRPr="00925EFB" w:rsidRDefault="005F02F0">
            <w:pPr>
              <w:jc w:val="right"/>
              <w:rPr>
                <w:rFonts w:ascii="Arial" w:hAnsi="Arial" w:cs="Arial"/>
                <w:b/>
                <w:sz w:val="24"/>
                <w:szCs w:val="24"/>
              </w:rPr>
            </w:pPr>
            <w:r w:rsidRPr="00925EFB">
              <w:rPr>
                <w:rFonts w:ascii="Arial" w:hAnsi="Arial" w:cs="Arial"/>
                <w:b/>
                <w:sz w:val="24"/>
                <w:szCs w:val="24"/>
              </w:rPr>
              <w:t>74</w:t>
            </w:r>
            <w:r>
              <w:rPr>
                <w:rFonts w:ascii="Arial" w:hAnsi="Arial" w:cs="Arial"/>
                <w:b/>
                <w:sz w:val="24"/>
                <w:szCs w:val="24"/>
              </w:rPr>
              <w:t>1</w:t>
            </w:r>
          </w:p>
        </w:tc>
        <w:tc>
          <w:tcPr>
            <w:tcW w:w="1418" w:type="dxa"/>
            <w:tcBorders>
              <w:top w:val="single" w:sz="4" w:space="0" w:color="auto"/>
            </w:tcBorders>
          </w:tcPr>
          <w:p w14:paraId="55120322"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537</w:t>
            </w:r>
          </w:p>
        </w:tc>
      </w:tr>
      <w:tr w:rsidR="00773A54" w:rsidRPr="00E16931" w14:paraId="512E97EC" w14:textId="77777777" w:rsidTr="00907EA8">
        <w:trPr>
          <w:trHeight w:val="311"/>
        </w:trPr>
        <w:tc>
          <w:tcPr>
            <w:tcW w:w="6848" w:type="dxa"/>
            <w:gridSpan w:val="2"/>
            <w:shd w:val="clear" w:color="auto" w:fill="auto"/>
            <w:vAlign w:val="bottom"/>
          </w:tcPr>
          <w:p w14:paraId="708F9B12" w14:textId="77777777" w:rsidR="00773A54" w:rsidRPr="00925EFB" w:rsidRDefault="00773A54" w:rsidP="00907EA8">
            <w:pPr>
              <w:rPr>
                <w:rFonts w:ascii="Arial" w:hAnsi="Arial" w:cs="Arial"/>
                <w:sz w:val="24"/>
                <w:szCs w:val="24"/>
              </w:rPr>
            </w:pPr>
            <w:r w:rsidRPr="00925EFB">
              <w:rPr>
                <w:rFonts w:ascii="Arial" w:hAnsi="Arial" w:cs="Arial"/>
                <w:sz w:val="24"/>
                <w:szCs w:val="24"/>
              </w:rPr>
              <w:t>Net interest paid</w:t>
            </w:r>
          </w:p>
        </w:tc>
        <w:tc>
          <w:tcPr>
            <w:tcW w:w="1242" w:type="dxa"/>
            <w:vAlign w:val="bottom"/>
          </w:tcPr>
          <w:p w14:paraId="503CFCF2" w14:textId="673C8204" w:rsidR="00773A54" w:rsidRPr="00925EFB" w:rsidRDefault="00773A54" w:rsidP="00907EA8">
            <w:pPr>
              <w:jc w:val="right"/>
              <w:rPr>
                <w:rFonts w:ascii="Arial" w:hAnsi="Arial" w:cs="Arial"/>
                <w:b/>
                <w:sz w:val="24"/>
                <w:szCs w:val="24"/>
              </w:rPr>
            </w:pPr>
            <w:r w:rsidRPr="00925EFB">
              <w:rPr>
                <w:rFonts w:ascii="Arial" w:hAnsi="Arial" w:cs="Arial"/>
                <w:b/>
                <w:sz w:val="24"/>
                <w:szCs w:val="24"/>
              </w:rPr>
              <w:t>(</w:t>
            </w:r>
            <w:r w:rsidR="00E16931" w:rsidRPr="00925EFB">
              <w:rPr>
                <w:rFonts w:ascii="Arial" w:hAnsi="Arial" w:cs="Arial"/>
                <w:b/>
                <w:sz w:val="24"/>
                <w:szCs w:val="24"/>
              </w:rPr>
              <w:t>4</w:t>
            </w:r>
            <w:r w:rsidRPr="00925EFB">
              <w:rPr>
                <w:rFonts w:ascii="Arial" w:hAnsi="Arial" w:cs="Arial"/>
                <w:b/>
                <w:sz w:val="24"/>
                <w:szCs w:val="24"/>
              </w:rPr>
              <w:t>)</w:t>
            </w:r>
          </w:p>
        </w:tc>
        <w:tc>
          <w:tcPr>
            <w:tcW w:w="1418" w:type="dxa"/>
          </w:tcPr>
          <w:p w14:paraId="4EC0B00C"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(7)</w:t>
            </w:r>
          </w:p>
        </w:tc>
      </w:tr>
      <w:tr w:rsidR="00773A54" w:rsidRPr="00E16931" w14:paraId="661ECCE5" w14:textId="77777777" w:rsidTr="00907EA8">
        <w:trPr>
          <w:trHeight w:val="270"/>
        </w:trPr>
        <w:tc>
          <w:tcPr>
            <w:tcW w:w="6848" w:type="dxa"/>
            <w:gridSpan w:val="2"/>
            <w:shd w:val="clear" w:color="auto" w:fill="auto"/>
            <w:vAlign w:val="bottom"/>
          </w:tcPr>
          <w:p w14:paraId="0387113B" w14:textId="77777777" w:rsidR="00773A54" w:rsidRPr="00925EFB" w:rsidRDefault="00773A54" w:rsidP="00907EA8">
            <w:pPr>
              <w:rPr>
                <w:rFonts w:ascii="Arial" w:hAnsi="Arial" w:cs="Arial"/>
                <w:sz w:val="24"/>
                <w:szCs w:val="24"/>
              </w:rPr>
            </w:pPr>
            <w:r w:rsidRPr="00925EFB">
              <w:rPr>
                <w:rFonts w:ascii="Arial" w:hAnsi="Arial" w:cs="Arial"/>
                <w:sz w:val="24"/>
                <w:szCs w:val="24"/>
              </w:rPr>
              <w:t>Tax paid</w:t>
            </w:r>
          </w:p>
        </w:tc>
        <w:tc>
          <w:tcPr>
            <w:tcW w:w="1242" w:type="dxa"/>
            <w:vAlign w:val="bottom"/>
          </w:tcPr>
          <w:p w14:paraId="6FACA566" w14:textId="2B40319A" w:rsidR="00773A54" w:rsidRPr="00925EFB" w:rsidRDefault="00773A54" w:rsidP="00907EA8">
            <w:pPr>
              <w:jc w:val="right"/>
              <w:rPr>
                <w:rFonts w:ascii="Arial" w:hAnsi="Arial" w:cs="Arial"/>
                <w:b/>
                <w:sz w:val="24"/>
                <w:szCs w:val="24"/>
              </w:rPr>
            </w:pPr>
            <w:r w:rsidRPr="00925EFB">
              <w:rPr>
                <w:rFonts w:ascii="Arial" w:hAnsi="Arial" w:cs="Arial"/>
                <w:b/>
                <w:sz w:val="24"/>
                <w:szCs w:val="24"/>
              </w:rPr>
              <w:t>(</w:t>
            </w:r>
            <w:r w:rsidR="00E16931" w:rsidRPr="00925EFB">
              <w:rPr>
                <w:rFonts w:ascii="Arial" w:hAnsi="Arial" w:cs="Arial"/>
                <w:b/>
                <w:sz w:val="24"/>
                <w:szCs w:val="24"/>
              </w:rPr>
              <w:t>63</w:t>
            </w:r>
            <w:r w:rsidRPr="00925EFB">
              <w:rPr>
                <w:rFonts w:ascii="Arial" w:hAnsi="Arial" w:cs="Arial"/>
                <w:b/>
                <w:sz w:val="24"/>
                <w:szCs w:val="24"/>
              </w:rPr>
              <w:t>)</w:t>
            </w:r>
          </w:p>
        </w:tc>
        <w:tc>
          <w:tcPr>
            <w:tcW w:w="1418" w:type="dxa"/>
          </w:tcPr>
          <w:p w14:paraId="4D523742"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(65)</w:t>
            </w:r>
          </w:p>
        </w:tc>
      </w:tr>
      <w:tr w:rsidR="00773A54" w:rsidRPr="00E16931" w14:paraId="66C6BF37" w14:textId="77777777" w:rsidTr="00907EA8">
        <w:trPr>
          <w:trHeight w:val="270"/>
        </w:trPr>
        <w:tc>
          <w:tcPr>
            <w:tcW w:w="6848" w:type="dxa"/>
            <w:gridSpan w:val="2"/>
            <w:shd w:val="clear" w:color="auto" w:fill="auto"/>
            <w:vAlign w:val="bottom"/>
          </w:tcPr>
          <w:p w14:paraId="46A758F0" w14:textId="77777777" w:rsidR="00773A54" w:rsidRPr="00925EFB" w:rsidRDefault="00773A54" w:rsidP="00907EA8">
            <w:pPr>
              <w:rPr>
                <w:rFonts w:ascii="Arial" w:hAnsi="Arial" w:cs="Arial"/>
                <w:sz w:val="24"/>
                <w:szCs w:val="24"/>
              </w:rPr>
            </w:pPr>
            <w:r w:rsidRPr="00925EFB">
              <w:rPr>
                <w:rFonts w:ascii="Arial" w:hAnsi="Arial" w:cs="Arial"/>
                <w:sz w:val="24"/>
                <w:szCs w:val="24"/>
              </w:rPr>
              <w:t xml:space="preserve">Gross capital expenditure </w:t>
            </w:r>
          </w:p>
        </w:tc>
        <w:tc>
          <w:tcPr>
            <w:tcW w:w="1242" w:type="dxa"/>
            <w:vAlign w:val="bottom"/>
          </w:tcPr>
          <w:p w14:paraId="1D0BD0AC" w14:textId="343BCB3A" w:rsidR="00773A54" w:rsidRPr="00925EFB" w:rsidRDefault="00773A54" w:rsidP="00907EA8">
            <w:pPr>
              <w:jc w:val="right"/>
              <w:rPr>
                <w:rFonts w:ascii="Arial" w:hAnsi="Arial" w:cs="Arial"/>
                <w:b/>
                <w:sz w:val="24"/>
                <w:szCs w:val="24"/>
              </w:rPr>
            </w:pPr>
            <w:r w:rsidRPr="00925EFB">
              <w:rPr>
                <w:rFonts w:ascii="Arial" w:hAnsi="Arial" w:cs="Arial"/>
                <w:b/>
                <w:sz w:val="24"/>
                <w:szCs w:val="24"/>
              </w:rPr>
              <w:t>(</w:t>
            </w:r>
            <w:r w:rsidR="00E16931" w:rsidRPr="00925EFB">
              <w:rPr>
                <w:rFonts w:ascii="Arial" w:hAnsi="Arial" w:cs="Arial"/>
                <w:b/>
                <w:sz w:val="24"/>
                <w:szCs w:val="24"/>
              </w:rPr>
              <w:t>141</w:t>
            </w:r>
            <w:r w:rsidRPr="00925EFB">
              <w:rPr>
                <w:rFonts w:ascii="Arial" w:hAnsi="Arial" w:cs="Arial"/>
                <w:b/>
                <w:sz w:val="24"/>
                <w:szCs w:val="24"/>
              </w:rPr>
              <w:t>)</w:t>
            </w:r>
          </w:p>
        </w:tc>
        <w:tc>
          <w:tcPr>
            <w:tcW w:w="1418" w:type="dxa"/>
          </w:tcPr>
          <w:p w14:paraId="69511605"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(177)</w:t>
            </w:r>
          </w:p>
        </w:tc>
      </w:tr>
      <w:tr w:rsidR="00773A54" w:rsidRPr="00E16931" w14:paraId="2439C98E" w14:textId="77777777" w:rsidTr="00907EA8">
        <w:trPr>
          <w:trHeight w:val="270"/>
        </w:trPr>
        <w:tc>
          <w:tcPr>
            <w:tcW w:w="6848" w:type="dxa"/>
            <w:gridSpan w:val="2"/>
            <w:tcBorders>
              <w:top w:val="single" w:sz="4" w:space="0" w:color="auto"/>
            </w:tcBorders>
            <w:shd w:val="clear" w:color="auto" w:fill="auto"/>
            <w:vAlign w:val="bottom"/>
          </w:tcPr>
          <w:p w14:paraId="71A2956B" w14:textId="77777777" w:rsidR="00773A54" w:rsidRPr="00925EFB" w:rsidRDefault="00773A54" w:rsidP="00907EA8">
            <w:pPr>
              <w:rPr>
                <w:rFonts w:ascii="Arial" w:hAnsi="Arial" w:cs="Arial"/>
                <w:b/>
                <w:sz w:val="24"/>
                <w:szCs w:val="24"/>
              </w:rPr>
            </w:pPr>
            <w:r w:rsidRPr="00925EFB">
              <w:rPr>
                <w:rFonts w:ascii="Arial" w:hAnsi="Arial" w:cs="Arial"/>
                <w:b/>
                <w:sz w:val="24"/>
                <w:szCs w:val="24"/>
              </w:rPr>
              <w:t>Free cash flow</w:t>
            </w:r>
          </w:p>
        </w:tc>
        <w:tc>
          <w:tcPr>
            <w:tcW w:w="1242" w:type="dxa"/>
            <w:tcBorders>
              <w:top w:val="single" w:sz="4" w:space="0" w:color="auto"/>
            </w:tcBorders>
            <w:vAlign w:val="bottom"/>
          </w:tcPr>
          <w:p w14:paraId="054B0E0E" w14:textId="415713F6" w:rsidR="00773A54" w:rsidRPr="00925EFB" w:rsidRDefault="005F02F0">
            <w:pPr>
              <w:jc w:val="right"/>
              <w:rPr>
                <w:rFonts w:ascii="Arial" w:hAnsi="Arial" w:cs="Arial"/>
                <w:b/>
                <w:sz w:val="24"/>
                <w:szCs w:val="24"/>
              </w:rPr>
            </w:pPr>
            <w:r w:rsidRPr="00925EFB">
              <w:rPr>
                <w:rFonts w:ascii="Arial" w:hAnsi="Arial" w:cs="Arial"/>
                <w:b/>
                <w:sz w:val="24"/>
                <w:szCs w:val="24"/>
              </w:rPr>
              <w:t>53</w:t>
            </w:r>
            <w:r>
              <w:rPr>
                <w:rFonts w:ascii="Arial" w:hAnsi="Arial" w:cs="Arial"/>
                <w:b/>
                <w:sz w:val="24"/>
                <w:szCs w:val="24"/>
              </w:rPr>
              <w:t>3</w:t>
            </w:r>
          </w:p>
        </w:tc>
        <w:tc>
          <w:tcPr>
            <w:tcW w:w="1418" w:type="dxa"/>
            <w:tcBorders>
              <w:top w:val="single" w:sz="4" w:space="0" w:color="auto"/>
            </w:tcBorders>
          </w:tcPr>
          <w:p w14:paraId="2B66DD05"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288</w:t>
            </w:r>
          </w:p>
        </w:tc>
      </w:tr>
      <w:tr w:rsidR="00773A54" w:rsidRPr="00E16931" w14:paraId="3A4E1D3E" w14:textId="77777777" w:rsidTr="00907EA8">
        <w:trPr>
          <w:trHeight w:val="270"/>
        </w:trPr>
        <w:tc>
          <w:tcPr>
            <w:tcW w:w="6848" w:type="dxa"/>
            <w:gridSpan w:val="2"/>
            <w:shd w:val="clear" w:color="auto" w:fill="auto"/>
            <w:vAlign w:val="bottom"/>
          </w:tcPr>
          <w:p w14:paraId="57F62407" w14:textId="77777777" w:rsidR="00773A54" w:rsidRPr="00925EFB" w:rsidRDefault="00773A54" w:rsidP="00907EA8">
            <w:pPr>
              <w:rPr>
                <w:rFonts w:ascii="Arial" w:hAnsi="Arial" w:cs="Arial"/>
                <w:sz w:val="24"/>
                <w:szCs w:val="24"/>
              </w:rPr>
            </w:pPr>
            <w:r w:rsidRPr="00925EFB">
              <w:rPr>
                <w:rFonts w:ascii="Arial" w:hAnsi="Arial" w:cs="Arial"/>
                <w:sz w:val="24"/>
                <w:szCs w:val="24"/>
              </w:rPr>
              <w:t>Ordinary dividends paid</w:t>
            </w:r>
          </w:p>
        </w:tc>
        <w:tc>
          <w:tcPr>
            <w:tcW w:w="1242" w:type="dxa"/>
            <w:vAlign w:val="bottom"/>
          </w:tcPr>
          <w:p w14:paraId="18D0F969" w14:textId="77777777" w:rsidR="00773A54" w:rsidRPr="00925EFB" w:rsidRDefault="00773A54" w:rsidP="00907EA8">
            <w:pPr>
              <w:jc w:val="right"/>
              <w:rPr>
                <w:rFonts w:ascii="Arial" w:hAnsi="Arial" w:cs="Arial"/>
                <w:b/>
                <w:sz w:val="24"/>
                <w:szCs w:val="24"/>
              </w:rPr>
            </w:pPr>
            <w:r w:rsidRPr="00925EFB">
              <w:rPr>
                <w:rFonts w:ascii="Arial" w:hAnsi="Arial" w:cs="Arial"/>
                <w:b/>
                <w:sz w:val="24"/>
                <w:szCs w:val="24"/>
              </w:rPr>
              <w:t>(157)</w:t>
            </w:r>
          </w:p>
        </w:tc>
        <w:tc>
          <w:tcPr>
            <w:tcW w:w="1418" w:type="dxa"/>
          </w:tcPr>
          <w:p w14:paraId="23FCF4F5"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(160)</w:t>
            </w:r>
          </w:p>
        </w:tc>
      </w:tr>
      <w:tr w:rsidR="00773A54" w:rsidRPr="00E16931" w14:paraId="508759CF" w14:textId="77777777" w:rsidTr="00907EA8">
        <w:trPr>
          <w:trHeight w:val="270"/>
        </w:trPr>
        <w:tc>
          <w:tcPr>
            <w:tcW w:w="6848" w:type="dxa"/>
            <w:gridSpan w:val="2"/>
            <w:shd w:val="clear" w:color="auto" w:fill="auto"/>
            <w:vAlign w:val="bottom"/>
          </w:tcPr>
          <w:p w14:paraId="61C49CE0" w14:textId="77777777" w:rsidR="00773A54" w:rsidRPr="00925EFB" w:rsidRDefault="00773A54" w:rsidP="00907EA8">
            <w:pPr>
              <w:rPr>
                <w:rFonts w:ascii="Arial" w:hAnsi="Arial" w:cs="Arial"/>
                <w:sz w:val="24"/>
                <w:szCs w:val="24"/>
              </w:rPr>
            </w:pPr>
            <w:r w:rsidRPr="00925EFB">
              <w:rPr>
                <w:rFonts w:ascii="Arial" w:hAnsi="Arial" w:cs="Arial"/>
                <w:sz w:val="24"/>
                <w:szCs w:val="24"/>
              </w:rPr>
              <w:t>Share buyback</w:t>
            </w:r>
          </w:p>
        </w:tc>
        <w:tc>
          <w:tcPr>
            <w:tcW w:w="1242" w:type="dxa"/>
            <w:vAlign w:val="bottom"/>
          </w:tcPr>
          <w:p w14:paraId="4EC336E8" w14:textId="77777777" w:rsidR="00773A54" w:rsidRPr="00925EFB" w:rsidRDefault="00773A54" w:rsidP="00907EA8">
            <w:pPr>
              <w:jc w:val="right"/>
              <w:rPr>
                <w:rFonts w:ascii="Arial" w:hAnsi="Arial" w:cs="Arial"/>
                <w:b/>
                <w:sz w:val="24"/>
                <w:szCs w:val="24"/>
              </w:rPr>
            </w:pPr>
            <w:r w:rsidRPr="00925EFB">
              <w:rPr>
                <w:rFonts w:ascii="Arial" w:hAnsi="Arial" w:cs="Arial"/>
                <w:b/>
                <w:sz w:val="24"/>
                <w:szCs w:val="24"/>
              </w:rPr>
              <w:t>(126)</w:t>
            </w:r>
          </w:p>
        </w:tc>
        <w:tc>
          <w:tcPr>
            <w:tcW w:w="1418" w:type="dxa"/>
          </w:tcPr>
          <w:p w14:paraId="321E53F3"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(139)</w:t>
            </w:r>
          </w:p>
        </w:tc>
      </w:tr>
      <w:tr w:rsidR="00773A54" w:rsidRPr="00E16931" w14:paraId="229F3DB2" w14:textId="77777777" w:rsidTr="00907EA8">
        <w:trPr>
          <w:trHeight w:val="270"/>
        </w:trPr>
        <w:tc>
          <w:tcPr>
            <w:tcW w:w="6848" w:type="dxa"/>
            <w:gridSpan w:val="2"/>
            <w:shd w:val="clear" w:color="auto" w:fill="auto"/>
            <w:vAlign w:val="bottom"/>
          </w:tcPr>
          <w:p w14:paraId="738D2D71" w14:textId="77777777" w:rsidR="00773A54" w:rsidRPr="00925EFB" w:rsidRDefault="00773A54" w:rsidP="00907EA8">
            <w:pPr>
              <w:rPr>
                <w:rFonts w:ascii="Arial" w:hAnsi="Arial" w:cs="Arial"/>
                <w:sz w:val="24"/>
                <w:szCs w:val="24"/>
              </w:rPr>
            </w:pPr>
            <w:r w:rsidRPr="00925EFB">
              <w:rPr>
                <w:rFonts w:ascii="Arial" w:hAnsi="Arial" w:cs="Arial"/>
                <w:sz w:val="24"/>
                <w:szCs w:val="24"/>
              </w:rPr>
              <w:t>Share purchase for employee incentive schemes</w:t>
            </w:r>
          </w:p>
        </w:tc>
        <w:tc>
          <w:tcPr>
            <w:tcW w:w="1242" w:type="dxa"/>
            <w:vAlign w:val="bottom"/>
          </w:tcPr>
          <w:p w14:paraId="0A1540B0" w14:textId="77777777" w:rsidR="00773A54" w:rsidRPr="00925EFB" w:rsidRDefault="00773A54" w:rsidP="00907EA8">
            <w:pPr>
              <w:jc w:val="right"/>
              <w:rPr>
                <w:rFonts w:ascii="Arial" w:hAnsi="Arial" w:cs="Arial"/>
                <w:b/>
                <w:sz w:val="24"/>
                <w:szCs w:val="24"/>
              </w:rPr>
            </w:pPr>
            <w:r w:rsidRPr="00925EFB">
              <w:rPr>
                <w:rFonts w:ascii="Arial" w:hAnsi="Arial" w:cs="Arial"/>
                <w:b/>
                <w:sz w:val="24"/>
                <w:szCs w:val="24"/>
              </w:rPr>
              <w:t>-</w:t>
            </w:r>
          </w:p>
        </w:tc>
        <w:tc>
          <w:tcPr>
            <w:tcW w:w="1418" w:type="dxa"/>
          </w:tcPr>
          <w:p w14:paraId="6C5F647F"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(11)</w:t>
            </w:r>
          </w:p>
        </w:tc>
      </w:tr>
      <w:tr w:rsidR="00773A54" w:rsidRPr="00E16931" w14:paraId="50963D36" w14:textId="77777777" w:rsidTr="00907EA8">
        <w:trPr>
          <w:trHeight w:val="270"/>
        </w:trPr>
        <w:tc>
          <w:tcPr>
            <w:tcW w:w="6848" w:type="dxa"/>
            <w:gridSpan w:val="2"/>
            <w:shd w:val="clear" w:color="auto" w:fill="auto"/>
            <w:vAlign w:val="bottom"/>
          </w:tcPr>
          <w:p w14:paraId="520E9C52" w14:textId="77777777" w:rsidR="00773A54" w:rsidRPr="00925EFB" w:rsidRDefault="00773A54" w:rsidP="00907EA8">
            <w:pPr>
              <w:rPr>
                <w:rFonts w:ascii="Arial" w:hAnsi="Arial" w:cs="Arial"/>
                <w:sz w:val="24"/>
                <w:szCs w:val="24"/>
              </w:rPr>
            </w:pPr>
            <w:r w:rsidRPr="00925EFB">
              <w:rPr>
                <w:rFonts w:ascii="Arial" w:hAnsi="Arial" w:cs="Arial"/>
                <w:sz w:val="24"/>
                <w:szCs w:val="24"/>
              </w:rPr>
              <w:t>Disposal of B&amp;Q China (net of disposal costs)</w:t>
            </w:r>
          </w:p>
        </w:tc>
        <w:tc>
          <w:tcPr>
            <w:tcW w:w="1242" w:type="dxa"/>
            <w:vAlign w:val="bottom"/>
          </w:tcPr>
          <w:p w14:paraId="158FDAA5" w14:textId="77777777" w:rsidR="00773A54" w:rsidRPr="00925EFB" w:rsidRDefault="00773A54" w:rsidP="00907EA8">
            <w:pPr>
              <w:jc w:val="right"/>
              <w:rPr>
                <w:rFonts w:ascii="Arial" w:hAnsi="Arial" w:cs="Arial"/>
                <w:b/>
                <w:sz w:val="24"/>
                <w:szCs w:val="24"/>
              </w:rPr>
            </w:pPr>
            <w:r w:rsidRPr="00925EFB">
              <w:rPr>
                <w:rFonts w:ascii="Arial" w:hAnsi="Arial" w:cs="Arial"/>
                <w:b/>
                <w:sz w:val="24"/>
                <w:szCs w:val="24"/>
              </w:rPr>
              <w:t>63</w:t>
            </w:r>
          </w:p>
        </w:tc>
        <w:tc>
          <w:tcPr>
            <w:tcW w:w="1418" w:type="dxa"/>
          </w:tcPr>
          <w:p w14:paraId="4AC3B226" w14:textId="77777777" w:rsidR="00773A54" w:rsidRPr="00925EFB" w:rsidRDefault="00773A54" w:rsidP="00907EA8">
            <w:pPr>
              <w:jc w:val="right"/>
              <w:rPr>
                <w:rFonts w:ascii="Arial" w:hAnsi="Arial" w:cs="Arial"/>
                <w:sz w:val="24"/>
                <w:szCs w:val="24"/>
              </w:rPr>
            </w:pPr>
            <w:r w:rsidRPr="00925EFB">
              <w:rPr>
                <w:rFonts w:ascii="Arial" w:hAnsi="Arial" w:cs="Arial"/>
                <w:sz w:val="24"/>
                <w:szCs w:val="24"/>
              </w:rPr>
              <w:t>137</w:t>
            </w:r>
          </w:p>
        </w:tc>
      </w:tr>
      <w:tr w:rsidR="00DE6534" w:rsidRPr="00E16931" w14:paraId="6344A0B5" w14:textId="77777777" w:rsidTr="00907EA8">
        <w:trPr>
          <w:trHeight w:val="270"/>
        </w:trPr>
        <w:tc>
          <w:tcPr>
            <w:tcW w:w="6848" w:type="dxa"/>
            <w:gridSpan w:val="2"/>
            <w:shd w:val="clear" w:color="auto" w:fill="auto"/>
            <w:vAlign w:val="bottom"/>
          </w:tcPr>
          <w:p w14:paraId="78300246" w14:textId="3AB2D4C0" w:rsidR="00DE6534" w:rsidRPr="00925EFB" w:rsidRDefault="00DE6534" w:rsidP="00DE6534">
            <w:pPr>
              <w:rPr>
                <w:rFonts w:ascii="Arial" w:hAnsi="Arial" w:cs="Arial"/>
                <w:sz w:val="24"/>
                <w:szCs w:val="24"/>
              </w:rPr>
            </w:pPr>
            <w:r>
              <w:rPr>
                <w:rFonts w:ascii="Arial" w:hAnsi="Arial" w:cs="Arial"/>
                <w:sz w:val="24"/>
                <w:szCs w:val="24"/>
              </w:rPr>
              <w:t>Disposal of assets</w:t>
            </w:r>
            <w:r w:rsidRPr="0020209B">
              <w:rPr>
                <w:rFonts w:ascii="Arial" w:hAnsi="Arial" w:cs="Arial"/>
                <w:sz w:val="20"/>
                <w:szCs w:val="20"/>
                <w:vertAlign w:val="superscript"/>
              </w:rPr>
              <w:t>(2)</w:t>
            </w:r>
            <w:r w:rsidRPr="0020209B">
              <w:rPr>
                <w:rFonts w:ascii="Arial" w:hAnsi="Arial" w:cs="Arial"/>
                <w:sz w:val="24"/>
                <w:szCs w:val="24"/>
                <w:vertAlign w:val="superscript"/>
              </w:rPr>
              <w:t xml:space="preserve"> </w:t>
            </w:r>
            <w:r>
              <w:rPr>
                <w:rFonts w:ascii="Arial" w:hAnsi="Arial" w:cs="Arial"/>
                <w:sz w:val="24"/>
                <w:szCs w:val="24"/>
              </w:rPr>
              <w:t>and other</w:t>
            </w:r>
            <w:r w:rsidRPr="0020209B">
              <w:rPr>
                <w:rFonts w:ascii="Arial" w:hAnsi="Arial" w:cs="Arial"/>
                <w:sz w:val="20"/>
                <w:szCs w:val="20"/>
                <w:vertAlign w:val="superscript"/>
              </w:rPr>
              <w:t>(3)</w:t>
            </w:r>
          </w:p>
        </w:tc>
        <w:tc>
          <w:tcPr>
            <w:tcW w:w="1242" w:type="dxa"/>
            <w:vAlign w:val="bottom"/>
          </w:tcPr>
          <w:p w14:paraId="64D43682" w14:textId="449D4E9B" w:rsidR="00DE6534" w:rsidRPr="00925EFB" w:rsidRDefault="00DE6534" w:rsidP="00DE6534">
            <w:pPr>
              <w:jc w:val="right"/>
              <w:rPr>
                <w:rFonts w:ascii="Arial" w:hAnsi="Arial" w:cs="Arial"/>
                <w:b/>
                <w:sz w:val="24"/>
                <w:szCs w:val="24"/>
              </w:rPr>
            </w:pPr>
            <w:r>
              <w:rPr>
                <w:rFonts w:ascii="Arial" w:hAnsi="Arial" w:cs="Arial"/>
                <w:b/>
                <w:sz w:val="24"/>
                <w:szCs w:val="24"/>
              </w:rPr>
              <w:t>(37)</w:t>
            </w:r>
          </w:p>
        </w:tc>
        <w:tc>
          <w:tcPr>
            <w:tcW w:w="1418" w:type="dxa"/>
          </w:tcPr>
          <w:p w14:paraId="3C3BF577" w14:textId="61DD60EE" w:rsidR="00DE6534" w:rsidRPr="00925EFB" w:rsidRDefault="00DE6534" w:rsidP="00DE6534">
            <w:pPr>
              <w:jc w:val="right"/>
              <w:rPr>
                <w:rFonts w:ascii="Arial" w:hAnsi="Arial" w:cs="Arial"/>
                <w:sz w:val="24"/>
                <w:szCs w:val="24"/>
              </w:rPr>
            </w:pPr>
            <w:r>
              <w:rPr>
                <w:rFonts w:ascii="Arial" w:hAnsi="Arial" w:cs="Arial"/>
                <w:sz w:val="24"/>
                <w:szCs w:val="24"/>
              </w:rPr>
              <w:t>22</w:t>
            </w:r>
          </w:p>
        </w:tc>
      </w:tr>
      <w:tr w:rsidR="00DE6534" w:rsidRPr="00E16931" w14:paraId="2D580E41" w14:textId="77777777" w:rsidTr="00907EA8">
        <w:trPr>
          <w:trHeight w:val="270"/>
        </w:trPr>
        <w:tc>
          <w:tcPr>
            <w:tcW w:w="6848" w:type="dxa"/>
            <w:gridSpan w:val="2"/>
            <w:tcBorders>
              <w:top w:val="single" w:sz="4" w:space="0" w:color="auto"/>
            </w:tcBorders>
            <w:shd w:val="clear" w:color="auto" w:fill="auto"/>
            <w:vAlign w:val="bottom"/>
          </w:tcPr>
          <w:p w14:paraId="18635883" w14:textId="77777777" w:rsidR="00DE6534" w:rsidRPr="00925EFB" w:rsidRDefault="00DE6534" w:rsidP="00DE6534">
            <w:pPr>
              <w:rPr>
                <w:rFonts w:ascii="Arial" w:hAnsi="Arial" w:cs="Arial"/>
                <w:b/>
                <w:sz w:val="24"/>
                <w:szCs w:val="24"/>
              </w:rPr>
            </w:pPr>
            <w:r w:rsidRPr="00925EFB">
              <w:rPr>
                <w:rFonts w:ascii="Arial" w:hAnsi="Arial" w:cs="Arial"/>
                <w:b/>
                <w:sz w:val="24"/>
                <w:szCs w:val="24"/>
              </w:rPr>
              <w:t>Net cash flow</w:t>
            </w:r>
          </w:p>
        </w:tc>
        <w:tc>
          <w:tcPr>
            <w:tcW w:w="1242" w:type="dxa"/>
            <w:tcBorders>
              <w:top w:val="single" w:sz="4" w:space="0" w:color="auto"/>
            </w:tcBorders>
          </w:tcPr>
          <w:p w14:paraId="36474E6A" w14:textId="4F97A6B1" w:rsidR="00DE6534" w:rsidRPr="000754C8" w:rsidRDefault="00DE6534" w:rsidP="00DE6534">
            <w:pPr>
              <w:jc w:val="right"/>
              <w:rPr>
                <w:rFonts w:ascii="Arial" w:hAnsi="Arial" w:cs="Arial"/>
                <w:b/>
                <w:sz w:val="24"/>
                <w:szCs w:val="24"/>
              </w:rPr>
            </w:pPr>
            <w:r>
              <w:rPr>
                <w:rFonts w:ascii="Arial" w:hAnsi="Arial" w:cs="Arial"/>
                <w:b/>
                <w:sz w:val="24"/>
                <w:szCs w:val="24"/>
              </w:rPr>
              <w:t>276</w:t>
            </w:r>
          </w:p>
        </w:tc>
        <w:tc>
          <w:tcPr>
            <w:tcW w:w="1418" w:type="dxa"/>
            <w:tcBorders>
              <w:top w:val="single" w:sz="4" w:space="0" w:color="auto"/>
            </w:tcBorders>
          </w:tcPr>
          <w:p w14:paraId="68981485" w14:textId="07E2BEB4" w:rsidR="00DE6534" w:rsidRPr="000754C8" w:rsidRDefault="00DE6534" w:rsidP="00DE6534">
            <w:pPr>
              <w:jc w:val="right"/>
              <w:rPr>
                <w:rFonts w:ascii="Arial" w:hAnsi="Arial" w:cs="Arial"/>
                <w:sz w:val="24"/>
                <w:szCs w:val="24"/>
              </w:rPr>
            </w:pPr>
            <w:r>
              <w:rPr>
                <w:rFonts w:ascii="Arial" w:hAnsi="Arial" w:cs="Arial"/>
                <w:sz w:val="24"/>
                <w:szCs w:val="24"/>
              </w:rPr>
              <w:t>137</w:t>
            </w:r>
          </w:p>
        </w:tc>
      </w:tr>
      <w:tr w:rsidR="00DE6534" w:rsidRPr="00E16931" w14:paraId="24B1E1B0" w14:textId="77777777" w:rsidTr="00907EA8">
        <w:trPr>
          <w:trHeight w:val="270"/>
        </w:trPr>
        <w:tc>
          <w:tcPr>
            <w:tcW w:w="6848" w:type="dxa"/>
            <w:gridSpan w:val="2"/>
            <w:shd w:val="clear" w:color="auto" w:fill="auto"/>
            <w:vAlign w:val="bottom"/>
          </w:tcPr>
          <w:p w14:paraId="2627A895" w14:textId="77777777" w:rsidR="00DE6534" w:rsidRPr="00925EFB" w:rsidRDefault="00DE6534" w:rsidP="00DE6534">
            <w:pPr>
              <w:rPr>
                <w:rFonts w:ascii="Arial" w:hAnsi="Arial" w:cs="Arial"/>
                <w:sz w:val="24"/>
                <w:szCs w:val="24"/>
              </w:rPr>
            </w:pPr>
            <w:r w:rsidRPr="00925EFB">
              <w:rPr>
                <w:rFonts w:ascii="Arial" w:hAnsi="Arial" w:cs="Arial"/>
                <w:sz w:val="24"/>
                <w:szCs w:val="24"/>
              </w:rPr>
              <w:t>Opening net cash</w:t>
            </w:r>
          </w:p>
        </w:tc>
        <w:tc>
          <w:tcPr>
            <w:tcW w:w="1242" w:type="dxa"/>
            <w:vAlign w:val="bottom"/>
          </w:tcPr>
          <w:p w14:paraId="5A7B3538" w14:textId="77777777" w:rsidR="00DE6534" w:rsidRPr="000754C8" w:rsidRDefault="00DE6534" w:rsidP="00DE6534">
            <w:pPr>
              <w:jc w:val="right"/>
              <w:rPr>
                <w:rFonts w:ascii="Arial" w:hAnsi="Arial" w:cs="Arial"/>
                <w:b/>
                <w:sz w:val="24"/>
                <w:szCs w:val="24"/>
              </w:rPr>
            </w:pPr>
            <w:r w:rsidRPr="000754C8">
              <w:rPr>
                <w:rFonts w:ascii="Arial" w:hAnsi="Arial" w:cs="Arial"/>
                <w:b/>
                <w:sz w:val="24"/>
                <w:szCs w:val="24"/>
              </w:rPr>
              <w:t>546</w:t>
            </w:r>
          </w:p>
        </w:tc>
        <w:tc>
          <w:tcPr>
            <w:tcW w:w="1418" w:type="dxa"/>
          </w:tcPr>
          <w:p w14:paraId="43B57E0F" w14:textId="77777777" w:rsidR="00DE6534" w:rsidRPr="000754C8" w:rsidRDefault="00DE6534" w:rsidP="00DE6534">
            <w:pPr>
              <w:jc w:val="right"/>
              <w:rPr>
                <w:rFonts w:ascii="Arial" w:hAnsi="Arial" w:cs="Arial"/>
                <w:sz w:val="24"/>
                <w:szCs w:val="24"/>
              </w:rPr>
            </w:pPr>
            <w:r w:rsidRPr="000754C8">
              <w:rPr>
                <w:rFonts w:ascii="Arial" w:hAnsi="Arial" w:cs="Arial"/>
                <w:sz w:val="24"/>
                <w:szCs w:val="24"/>
              </w:rPr>
              <w:t>329</w:t>
            </w:r>
          </w:p>
        </w:tc>
      </w:tr>
      <w:tr w:rsidR="00DE6534" w:rsidRPr="00E16931" w14:paraId="78BD4BEB" w14:textId="77777777" w:rsidTr="00907EA8">
        <w:trPr>
          <w:trHeight w:val="270"/>
        </w:trPr>
        <w:tc>
          <w:tcPr>
            <w:tcW w:w="6848" w:type="dxa"/>
            <w:gridSpan w:val="2"/>
            <w:tcBorders>
              <w:bottom w:val="single" w:sz="4" w:space="0" w:color="auto"/>
            </w:tcBorders>
            <w:shd w:val="clear" w:color="auto" w:fill="auto"/>
            <w:vAlign w:val="bottom"/>
          </w:tcPr>
          <w:p w14:paraId="572BE76A" w14:textId="77777777" w:rsidR="00DE6534" w:rsidRPr="00925EFB" w:rsidRDefault="00DE6534" w:rsidP="00DE6534">
            <w:pPr>
              <w:rPr>
                <w:rFonts w:ascii="Arial" w:hAnsi="Arial" w:cs="Arial"/>
                <w:sz w:val="24"/>
                <w:szCs w:val="24"/>
              </w:rPr>
            </w:pPr>
            <w:r w:rsidRPr="00925EFB">
              <w:rPr>
                <w:rFonts w:ascii="Arial" w:hAnsi="Arial" w:cs="Arial"/>
                <w:sz w:val="24"/>
                <w:szCs w:val="24"/>
              </w:rPr>
              <w:t>Other movement including foreign exchange</w:t>
            </w:r>
          </w:p>
        </w:tc>
        <w:tc>
          <w:tcPr>
            <w:tcW w:w="1242" w:type="dxa"/>
            <w:tcBorders>
              <w:bottom w:val="single" w:sz="4" w:space="0" w:color="auto"/>
            </w:tcBorders>
            <w:vAlign w:val="bottom"/>
          </w:tcPr>
          <w:p w14:paraId="4A59BC7A" w14:textId="1F5E9165" w:rsidR="00DE6534" w:rsidRPr="000754C8" w:rsidRDefault="00DE6534" w:rsidP="00DE6534">
            <w:pPr>
              <w:jc w:val="right"/>
              <w:rPr>
                <w:rFonts w:ascii="Arial" w:hAnsi="Arial" w:cs="Arial"/>
                <w:b/>
                <w:sz w:val="24"/>
                <w:szCs w:val="24"/>
              </w:rPr>
            </w:pPr>
            <w:r w:rsidRPr="000754C8">
              <w:rPr>
                <w:rFonts w:ascii="Arial" w:hAnsi="Arial" w:cs="Arial"/>
                <w:b/>
                <w:sz w:val="24"/>
                <w:szCs w:val="24"/>
              </w:rPr>
              <w:t>7</w:t>
            </w:r>
            <w:r>
              <w:rPr>
                <w:rFonts w:ascii="Arial" w:hAnsi="Arial" w:cs="Arial"/>
                <w:b/>
                <w:sz w:val="24"/>
                <w:szCs w:val="24"/>
              </w:rPr>
              <w:t>6</w:t>
            </w:r>
          </w:p>
        </w:tc>
        <w:tc>
          <w:tcPr>
            <w:tcW w:w="1418" w:type="dxa"/>
            <w:tcBorders>
              <w:bottom w:val="single" w:sz="4" w:space="0" w:color="auto"/>
            </w:tcBorders>
          </w:tcPr>
          <w:p w14:paraId="6FA06E88" w14:textId="77777777" w:rsidR="00DE6534" w:rsidRPr="000754C8" w:rsidRDefault="00DE6534" w:rsidP="00DE6534">
            <w:pPr>
              <w:jc w:val="right"/>
              <w:rPr>
                <w:rFonts w:ascii="Arial" w:hAnsi="Arial" w:cs="Arial"/>
                <w:sz w:val="24"/>
                <w:szCs w:val="24"/>
              </w:rPr>
            </w:pPr>
            <w:r w:rsidRPr="000754C8">
              <w:rPr>
                <w:rFonts w:ascii="Arial" w:hAnsi="Arial" w:cs="Arial"/>
                <w:sz w:val="24"/>
                <w:szCs w:val="24"/>
              </w:rPr>
              <w:t>(31)</w:t>
            </w:r>
          </w:p>
        </w:tc>
      </w:tr>
      <w:tr w:rsidR="00DE6534" w:rsidRPr="00265815" w14:paraId="2A381597" w14:textId="77777777" w:rsidTr="00907EA8">
        <w:trPr>
          <w:trHeight w:val="270"/>
        </w:trPr>
        <w:tc>
          <w:tcPr>
            <w:tcW w:w="6848" w:type="dxa"/>
            <w:gridSpan w:val="2"/>
            <w:tcBorders>
              <w:top w:val="single" w:sz="4" w:space="0" w:color="auto"/>
              <w:bottom w:val="single" w:sz="4" w:space="0" w:color="auto"/>
            </w:tcBorders>
            <w:shd w:val="clear" w:color="auto" w:fill="auto"/>
            <w:vAlign w:val="bottom"/>
          </w:tcPr>
          <w:p w14:paraId="11166199" w14:textId="77777777" w:rsidR="00DE6534" w:rsidRPr="00925EFB" w:rsidRDefault="00DE6534" w:rsidP="00DE6534">
            <w:pPr>
              <w:rPr>
                <w:rFonts w:ascii="Arial" w:hAnsi="Arial" w:cs="Arial"/>
                <w:b/>
                <w:sz w:val="24"/>
                <w:szCs w:val="24"/>
              </w:rPr>
            </w:pPr>
            <w:r w:rsidRPr="00925EFB">
              <w:rPr>
                <w:rFonts w:ascii="Arial" w:hAnsi="Arial" w:cs="Arial"/>
                <w:b/>
                <w:sz w:val="24"/>
                <w:szCs w:val="24"/>
              </w:rPr>
              <w:t>Closing net cash</w:t>
            </w:r>
          </w:p>
        </w:tc>
        <w:tc>
          <w:tcPr>
            <w:tcW w:w="1242" w:type="dxa"/>
            <w:tcBorders>
              <w:top w:val="single" w:sz="4" w:space="0" w:color="auto"/>
              <w:bottom w:val="single" w:sz="4" w:space="0" w:color="auto"/>
            </w:tcBorders>
            <w:vAlign w:val="bottom"/>
          </w:tcPr>
          <w:p w14:paraId="22AADB5D" w14:textId="44B7FCD0" w:rsidR="00DE6534" w:rsidRPr="00925EFB" w:rsidRDefault="00DE6534" w:rsidP="00DE6534">
            <w:pPr>
              <w:jc w:val="right"/>
              <w:rPr>
                <w:rFonts w:ascii="Arial" w:hAnsi="Arial" w:cs="Arial"/>
                <w:b/>
                <w:sz w:val="24"/>
                <w:szCs w:val="24"/>
              </w:rPr>
            </w:pPr>
            <w:r w:rsidRPr="00925EFB">
              <w:rPr>
                <w:rFonts w:ascii="Arial" w:hAnsi="Arial" w:cs="Arial"/>
                <w:b/>
                <w:sz w:val="24"/>
                <w:szCs w:val="24"/>
              </w:rPr>
              <w:t>89</w:t>
            </w:r>
            <w:r>
              <w:rPr>
                <w:rFonts w:ascii="Arial" w:hAnsi="Arial" w:cs="Arial"/>
                <w:b/>
                <w:sz w:val="24"/>
                <w:szCs w:val="24"/>
              </w:rPr>
              <w:t>8</w:t>
            </w:r>
          </w:p>
        </w:tc>
        <w:tc>
          <w:tcPr>
            <w:tcW w:w="1418" w:type="dxa"/>
            <w:tcBorders>
              <w:top w:val="single" w:sz="4" w:space="0" w:color="auto"/>
              <w:bottom w:val="single" w:sz="4" w:space="0" w:color="auto"/>
            </w:tcBorders>
          </w:tcPr>
          <w:p w14:paraId="0FAE3BC8" w14:textId="77777777" w:rsidR="00DE6534" w:rsidRPr="00925EFB" w:rsidRDefault="00DE6534" w:rsidP="00DE6534">
            <w:pPr>
              <w:jc w:val="right"/>
              <w:rPr>
                <w:rFonts w:ascii="Arial" w:hAnsi="Arial" w:cs="Arial"/>
                <w:sz w:val="24"/>
                <w:szCs w:val="24"/>
              </w:rPr>
            </w:pPr>
            <w:r w:rsidRPr="00925EFB">
              <w:rPr>
                <w:rFonts w:ascii="Arial" w:hAnsi="Arial" w:cs="Arial"/>
                <w:sz w:val="24"/>
                <w:szCs w:val="24"/>
              </w:rPr>
              <w:t>435</w:t>
            </w:r>
          </w:p>
        </w:tc>
      </w:tr>
    </w:tbl>
    <w:p w14:paraId="44A10298" w14:textId="77777777" w:rsidR="00773A54" w:rsidRPr="00A03549" w:rsidRDefault="00773A54" w:rsidP="00773A54">
      <w:pPr>
        <w:jc w:val="left"/>
        <w:rPr>
          <w:rFonts w:ascii="Arial" w:hAnsi="Arial" w:cs="Arial"/>
          <w:sz w:val="18"/>
          <w:szCs w:val="18"/>
          <w:highlight w:val="yellow"/>
          <w:vertAlign w:val="superscript"/>
        </w:rPr>
      </w:pPr>
    </w:p>
    <w:p w14:paraId="6FED58A8" w14:textId="1A59AD8A" w:rsidR="00773A54" w:rsidRPr="00925EFB" w:rsidRDefault="00773A54" w:rsidP="00773A54">
      <w:pPr>
        <w:jc w:val="left"/>
        <w:rPr>
          <w:rFonts w:ascii="Arial" w:hAnsi="Arial" w:cs="Arial"/>
          <w:sz w:val="18"/>
          <w:szCs w:val="18"/>
        </w:rPr>
      </w:pPr>
      <w:r w:rsidRPr="00925EFB">
        <w:rPr>
          <w:rFonts w:ascii="Arial" w:hAnsi="Arial" w:cs="Arial"/>
          <w:sz w:val="18"/>
          <w:szCs w:val="18"/>
          <w:vertAlign w:val="superscript"/>
        </w:rPr>
        <w:t>(1)</w:t>
      </w:r>
      <w:r w:rsidRPr="00925EFB">
        <w:rPr>
          <w:rFonts w:ascii="Arial" w:hAnsi="Arial" w:cs="Arial"/>
          <w:sz w:val="18"/>
          <w:szCs w:val="18"/>
        </w:rPr>
        <w:t xml:space="preserve"> Other non-cash items include depreciation and amortisation, share-based compensation charge, share of post-tax results of JVs and associates, pension operating cost and profit/loss on non-property disposals</w:t>
      </w:r>
    </w:p>
    <w:p w14:paraId="7F6F2442" w14:textId="77777777" w:rsidR="00773A54" w:rsidRPr="00925EFB" w:rsidRDefault="00773A54" w:rsidP="00773A54">
      <w:pPr>
        <w:jc w:val="left"/>
        <w:rPr>
          <w:rFonts w:ascii="Arial" w:hAnsi="Arial" w:cs="Arial"/>
          <w:sz w:val="24"/>
          <w:szCs w:val="24"/>
        </w:rPr>
      </w:pPr>
      <w:r w:rsidRPr="003574DC">
        <w:rPr>
          <w:rFonts w:ascii="Arial" w:hAnsi="Arial" w:cs="Arial"/>
          <w:sz w:val="18"/>
          <w:szCs w:val="18"/>
          <w:vertAlign w:val="superscript"/>
        </w:rPr>
        <w:t>(2)</w:t>
      </w:r>
      <w:r w:rsidRPr="003574DC">
        <w:rPr>
          <w:rFonts w:ascii="Arial" w:hAnsi="Arial" w:cs="Arial"/>
          <w:sz w:val="24"/>
          <w:szCs w:val="24"/>
        </w:rPr>
        <w:t xml:space="preserve"> </w:t>
      </w:r>
      <w:r w:rsidRPr="003574DC">
        <w:rPr>
          <w:rFonts w:ascii="Arial" w:hAnsi="Arial" w:cs="Arial"/>
          <w:sz w:val="18"/>
          <w:szCs w:val="24"/>
        </w:rPr>
        <w:t>Disposal of assets includes the disposal of an overseas property company in FY 2015/16</w:t>
      </w:r>
      <w:r w:rsidRPr="00925EFB">
        <w:rPr>
          <w:rFonts w:ascii="Arial" w:hAnsi="Arial" w:cs="Arial"/>
          <w:sz w:val="18"/>
          <w:szCs w:val="24"/>
        </w:rPr>
        <w:t xml:space="preserve">  </w:t>
      </w:r>
    </w:p>
    <w:p w14:paraId="4F8641B6" w14:textId="45BD6924" w:rsidR="002C29DB" w:rsidRPr="00925EFB" w:rsidRDefault="00773A54" w:rsidP="00773A54">
      <w:pPr>
        <w:ind w:right="-368"/>
        <w:rPr>
          <w:rFonts w:ascii="Arial" w:hAnsi="Arial" w:cs="Arial"/>
          <w:b/>
          <w:sz w:val="24"/>
          <w:szCs w:val="24"/>
        </w:rPr>
      </w:pPr>
      <w:r w:rsidRPr="00925EFB">
        <w:rPr>
          <w:rFonts w:ascii="Arial" w:hAnsi="Arial" w:cs="Arial"/>
          <w:sz w:val="18"/>
          <w:szCs w:val="18"/>
          <w:vertAlign w:val="superscript"/>
        </w:rPr>
        <w:t>(3)</w:t>
      </w:r>
      <w:r w:rsidRPr="00925EFB">
        <w:rPr>
          <w:rFonts w:ascii="Arial" w:hAnsi="Arial" w:cs="Arial"/>
          <w:sz w:val="18"/>
          <w:szCs w:val="18"/>
        </w:rPr>
        <w:t xml:space="preserve"> </w:t>
      </w:r>
      <w:r w:rsidR="003574DC" w:rsidRPr="003574DC">
        <w:rPr>
          <w:rFonts w:ascii="Arial" w:hAnsi="Arial" w:cs="Arial"/>
          <w:sz w:val="18"/>
          <w:szCs w:val="18"/>
        </w:rPr>
        <w:t xml:space="preserve">Includes exceptional items (excluding property disposals), principally </w:t>
      </w:r>
      <w:r w:rsidR="003353D8">
        <w:rPr>
          <w:rFonts w:ascii="Arial" w:hAnsi="Arial" w:cs="Arial"/>
          <w:sz w:val="18"/>
          <w:szCs w:val="18"/>
        </w:rPr>
        <w:t xml:space="preserve">relating to </w:t>
      </w:r>
      <w:r w:rsidR="003574DC" w:rsidRPr="003574DC">
        <w:rPr>
          <w:rFonts w:ascii="Arial" w:hAnsi="Arial" w:cs="Arial"/>
          <w:sz w:val="18"/>
          <w:szCs w:val="18"/>
        </w:rPr>
        <w:t>B&amp;Q closures, dividends received from JVs and associates and issue of shares</w:t>
      </w:r>
      <w:r w:rsidR="003574DC" w:rsidRPr="003574DC" w:rsidDel="003574DC">
        <w:rPr>
          <w:rFonts w:ascii="Arial" w:hAnsi="Arial" w:cs="Arial"/>
          <w:sz w:val="18"/>
          <w:szCs w:val="18"/>
        </w:rPr>
        <w:t xml:space="preserve"> </w:t>
      </w:r>
    </w:p>
    <w:p w14:paraId="4CCC7438" w14:textId="77777777" w:rsidR="00773A54" w:rsidRPr="00A03549" w:rsidRDefault="00773A54" w:rsidP="00DC23B3">
      <w:pPr>
        <w:ind w:right="-368"/>
        <w:rPr>
          <w:rFonts w:ascii="Arial" w:hAnsi="Arial" w:cs="Arial"/>
          <w:b/>
          <w:sz w:val="24"/>
          <w:szCs w:val="24"/>
          <w:highlight w:val="yellow"/>
        </w:rPr>
      </w:pPr>
    </w:p>
    <w:p w14:paraId="5A9376C9" w14:textId="29B01A04" w:rsidR="00773A54" w:rsidRPr="00925EFB" w:rsidRDefault="00773A54" w:rsidP="00773A54">
      <w:pPr>
        <w:jc w:val="left"/>
        <w:rPr>
          <w:rFonts w:ascii="Arial" w:hAnsi="Arial" w:cs="Arial"/>
          <w:sz w:val="24"/>
          <w:szCs w:val="24"/>
        </w:rPr>
      </w:pPr>
      <w:r w:rsidRPr="00C85DB3">
        <w:rPr>
          <w:rFonts w:ascii="Arial" w:hAnsi="Arial" w:cs="Arial"/>
          <w:sz w:val="24"/>
          <w:szCs w:val="24"/>
        </w:rPr>
        <w:t xml:space="preserve">Net cash at the end of the period was </w:t>
      </w:r>
      <w:r w:rsidRPr="00925EFB">
        <w:rPr>
          <w:rFonts w:ascii="Arial" w:hAnsi="Arial" w:cs="Arial"/>
          <w:sz w:val="24"/>
          <w:szCs w:val="24"/>
        </w:rPr>
        <w:t>£89</w:t>
      </w:r>
      <w:r w:rsidR="00306B43">
        <w:rPr>
          <w:rFonts w:ascii="Arial" w:hAnsi="Arial" w:cs="Arial"/>
          <w:sz w:val="24"/>
          <w:szCs w:val="24"/>
        </w:rPr>
        <w:t>8</w:t>
      </w:r>
      <w:r w:rsidRPr="00925EFB">
        <w:rPr>
          <w:rFonts w:ascii="Arial" w:hAnsi="Arial" w:cs="Arial"/>
          <w:sz w:val="24"/>
          <w:szCs w:val="24"/>
        </w:rPr>
        <w:t xml:space="preserve"> million</w:t>
      </w:r>
      <w:r w:rsidRPr="00C85DB3">
        <w:rPr>
          <w:rFonts w:ascii="Arial" w:hAnsi="Arial" w:cs="Arial"/>
          <w:sz w:val="24"/>
          <w:szCs w:val="24"/>
        </w:rPr>
        <w:t xml:space="preserve"> (</w:t>
      </w:r>
      <w:r w:rsidR="0016009C">
        <w:rPr>
          <w:rFonts w:ascii="Arial" w:hAnsi="Arial" w:cs="Arial"/>
          <w:sz w:val="24"/>
          <w:szCs w:val="24"/>
        </w:rPr>
        <w:t xml:space="preserve">H1 </w:t>
      </w:r>
      <w:r w:rsidRPr="00C85DB3">
        <w:rPr>
          <w:rFonts w:ascii="Arial" w:hAnsi="Arial" w:cs="Arial"/>
          <w:sz w:val="24"/>
          <w:szCs w:val="24"/>
        </w:rPr>
        <w:t>2015/16: £435</w:t>
      </w:r>
      <w:r w:rsidRPr="00C85DB3" w:rsidDel="00F44930">
        <w:rPr>
          <w:rFonts w:ascii="Arial" w:hAnsi="Arial" w:cs="Arial"/>
          <w:sz w:val="24"/>
          <w:szCs w:val="24"/>
        </w:rPr>
        <w:t xml:space="preserve"> </w:t>
      </w:r>
      <w:r w:rsidRPr="00C85DB3">
        <w:rPr>
          <w:rFonts w:ascii="Arial" w:hAnsi="Arial" w:cs="Arial"/>
          <w:sz w:val="24"/>
          <w:szCs w:val="24"/>
        </w:rPr>
        <w:t>million net cash</w:t>
      </w:r>
      <w:r w:rsidR="0016009C">
        <w:rPr>
          <w:rFonts w:ascii="Arial" w:hAnsi="Arial" w:cs="Arial"/>
          <w:sz w:val="24"/>
          <w:szCs w:val="24"/>
        </w:rPr>
        <w:t xml:space="preserve">; FY 2015/16: </w:t>
      </w:r>
      <w:r w:rsidR="0016009C" w:rsidRPr="00C85DB3">
        <w:rPr>
          <w:rFonts w:ascii="Arial" w:hAnsi="Arial" w:cs="Arial"/>
          <w:sz w:val="24"/>
          <w:szCs w:val="24"/>
        </w:rPr>
        <w:t>£</w:t>
      </w:r>
      <w:r w:rsidR="0016009C">
        <w:rPr>
          <w:rFonts w:ascii="Arial" w:hAnsi="Arial" w:cs="Arial"/>
          <w:sz w:val="24"/>
          <w:szCs w:val="24"/>
        </w:rPr>
        <w:t>546</w:t>
      </w:r>
      <w:r w:rsidR="0016009C" w:rsidRPr="00C85DB3" w:rsidDel="00F44930">
        <w:rPr>
          <w:rFonts w:ascii="Arial" w:hAnsi="Arial" w:cs="Arial"/>
          <w:sz w:val="24"/>
          <w:szCs w:val="24"/>
        </w:rPr>
        <w:t xml:space="preserve"> </w:t>
      </w:r>
      <w:r w:rsidR="0016009C" w:rsidRPr="00C85DB3">
        <w:rPr>
          <w:rFonts w:ascii="Arial" w:hAnsi="Arial" w:cs="Arial"/>
          <w:sz w:val="24"/>
          <w:szCs w:val="24"/>
        </w:rPr>
        <w:t>million net cash</w:t>
      </w:r>
      <w:r w:rsidRPr="00C85DB3">
        <w:rPr>
          <w:rFonts w:ascii="Arial" w:hAnsi="Arial" w:cs="Arial"/>
          <w:sz w:val="24"/>
          <w:szCs w:val="24"/>
        </w:rPr>
        <w:t>).</w:t>
      </w:r>
      <w:r w:rsidR="0016009C">
        <w:rPr>
          <w:rFonts w:ascii="Arial" w:hAnsi="Arial" w:cs="Arial"/>
          <w:sz w:val="24"/>
          <w:szCs w:val="24"/>
        </w:rPr>
        <w:t xml:space="preserve"> </w:t>
      </w:r>
    </w:p>
    <w:p w14:paraId="6640F32E" w14:textId="77777777" w:rsidR="00773A54" w:rsidRPr="00265815" w:rsidRDefault="00773A54" w:rsidP="00773A54">
      <w:pPr>
        <w:jc w:val="left"/>
        <w:rPr>
          <w:rFonts w:ascii="Arial" w:hAnsi="Arial" w:cs="Arial"/>
          <w:sz w:val="24"/>
          <w:szCs w:val="24"/>
          <w:highlight w:val="yellow"/>
        </w:rPr>
      </w:pPr>
    </w:p>
    <w:p w14:paraId="14D7AAA6" w14:textId="20BAB02C" w:rsidR="000539A9" w:rsidRPr="002E570E" w:rsidRDefault="00773A54" w:rsidP="002E570E">
      <w:pPr>
        <w:jc w:val="left"/>
        <w:rPr>
          <w:rFonts w:ascii="Arial" w:hAnsi="Arial" w:cs="Arial"/>
          <w:bCs/>
          <w:sz w:val="24"/>
          <w:szCs w:val="24"/>
        </w:rPr>
      </w:pPr>
      <w:r w:rsidRPr="002E570E">
        <w:rPr>
          <w:rFonts w:ascii="Arial" w:hAnsi="Arial" w:cs="Arial"/>
          <w:sz w:val="24"/>
          <w:szCs w:val="24"/>
        </w:rPr>
        <w:t>Free cash flow of £</w:t>
      </w:r>
      <w:r w:rsidR="00E16931" w:rsidRPr="002E570E">
        <w:rPr>
          <w:rFonts w:ascii="Arial" w:hAnsi="Arial" w:cs="Arial"/>
          <w:sz w:val="24"/>
          <w:szCs w:val="24"/>
        </w:rPr>
        <w:t>53</w:t>
      </w:r>
      <w:r w:rsidR="00A23C09" w:rsidRPr="002E570E">
        <w:rPr>
          <w:rFonts w:ascii="Arial" w:hAnsi="Arial" w:cs="Arial"/>
          <w:sz w:val="24"/>
          <w:szCs w:val="24"/>
        </w:rPr>
        <w:t>3</w:t>
      </w:r>
      <w:r w:rsidRPr="002E570E" w:rsidDel="00F44930">
        <w:rPr>
          <w:rFonts w:ascii="Arial" w:hAnsi="Arial" w:cs="Arial"/>
          <w:sz w:val="24"/>
          <w:szCs w:val="24"/>
        </w:rPr>
        <w:t xml:space="preserve"> </w:t>
      </w:r>
      <w:r w:rsidRPr="002E570E">
        <w:rPr>
          <w:rFonts w:ascii="Arial" w:hAnsi="Arial" w:cs="Arial"/>
          <w:sz w:val="24"/>
          <w:szCs w:val="24"/>
        </w:rPr>
        <w:t xml:space="preserve">million was generated in the </w:t>
      </w:r>
      <w:r w:rsidR="00ED6ED3" w:rsidRPr="002E570E">
        <w:rPr>
          <w:rFonts w:ascii="Arial" w:hAnsi="Arial" w:cs="Arial"/>
          <w:sz w:val="24"/>
          <w:szCs w:val="24"/>
        </w:rPr>
        <w:t>period</w:t>
      </w:r>
      <w:r w:rsidRPr="002E570E">
        <w:rPr>
          <w:rFonts w:ascii="Arial" w:hAnsi="Arial" w:cs="Arial"/>
          <w:sz w:val="24"/>
          <w:szCs w:val="24"/>
        </w:rPr>
        <w:t xml:space="preserve">, </w:t>
      </w:r>
      <w:r w:rsidR="00E16931" w:rsidRPr="002E570E">
        <w:rPr>
          <w:rFonts w:ascii="Arial" w:hAnsi="Arial" w:cs="Arial"/>
          <w:sz w:val="24"/>
          <w:szCs w:val="24"/>
        </w:rPr>
        <w:t>an increase of £24</w:t>
      </w:r>
      <w:r w:rsidR="0083039A">
        <w:rPr>
          <w:rFonts w:ascii="Arial" w:hAnsi="Arial" w:cs="Arial"/>
          <w:sz w:val="24"/>
          <w:szCs w:val="24"/>
        </w:rPr>
        <w:t>5</w:t>
      </w:r>
      <w:r w:rsidRPr="002E570E" w:rsidDel="00F44930">
        <w:rPr>
          <w:rFonts w:ascii="Arial" w:hAnsi="Arial" w:cs="Arial"/>
          <w:sz w:val="24"/>
          <w:szCs w:val="24"/>
        </w:rPr>
        <w:t xml:space="preserve"> </w:t>
      </w:r>
      <w:r w:rsidRPr="002E570E">
        <w:rPr>
          <w:rFonts w:ascii="Arial" w:hAnsi="Arial" w:cs="Arial"/>
          <w:sz w:val="24"/>
          <w:szCs w:val="24"/>
        </w:rPr>
        <w:t xml:space="preserve">million against the prior </w:t>
      </w:r>
      <w:r w:rsidR="00ED6ED3" w:rsidRPr="002E570E">
        <w:rPr>
          <w:rFonts w:ascii="Arial" w:hAnsi="Arial" w:cs="Arial"/>
          <w:sz w:val="24"/>
          <w:szCs w:val="24"/>
        </w:rPr>
        <w:t>period</w:t>
      </w:r>
      <w:r w:rsidRPr="002E570E">
        <w:rPr>
          <w:rFonts w:ascii="Arial" w:hAnsi="Arial" w:cs="Arial"/>
          <w:sz w:val="24"/>
          <w:szCs w:val="24"/>
        </w:rPr>
        <w:t xml:space="preserve">, due primarily to favourable </w:t>
      </w:r>
      <w:r w:rsidR="001113B5" w:rsidRPr="002E570E">
        <w:rPr>
          <w:rFonts w:ascii="Arial" w:hAnsi="Arial" w:cs="Arial"/>
          <w:sz w:val="24"/>
          <w:szCs w:val="24"/>
        </w:rPr>
        <w:t>timin</w:t>
      </w:r>
      <w:r w:rsidR="00A53CFB" w:rsidRPr="002E570E">
        <w:rPr>
          <w:rFonts w:ascii="Arial" w:hAnsi="Arial" w:cs="Arial"/>
          <w:sz w:val="24"/>
          <w:szCs w:val="24"/>
        </w:rPr>
        <w:t>g</w:t>
      </w:r>
      <w:r w:rsidRPr="002E570E">
        <w:rPr>
          <w:rFonts w:ascii="Arial" w:hAnsi="Arial" w:cs="Arial"/>
          <w:sz w:val="24"/>
          <w:szCs w:val="24"/>
        </w:rPr>
        <w:t xml:space="preserve"> in working capital</w:t>
      </w:r>
      <w:r w:rsidR="000539A9">
        <w:rPr>
          <w:rFonts w:ascii="Arial" w:hAnsi="Arial" w:cs="Arial"/>
          <w:sz w:val="24"/>
          <w:szCs w:val="24"/>
        </w:rPr>
        <w:t xml:space="preserve">. </w:t>
      </w:r>
    </w:p>
    <w:p w14:paraId="19829CA9" w14:textId="77777777" w:rsidR="000539A9" w:rsidRPr="00A03549" w:rsidRDefault="000539A9" w:rsidP="00773A54">
      <w:pPr>
        <w:jc w:val="left"/>
        <w:rPr>
          <w:rFonts w:ascii="Arial" w:hAnsi="Arial" w:cs="Arial"/>
          <w:sz w:val="24"/>
          <w:szCs w:val="24"/>
          <w:highlight w:val="yellow"/>
        </w:rPr>
      </w:pPr>
    </w:p>
    <w:p w14:paraId="47432F0F" w14:textId="350544FA" w:rsidR="00536CE9" w:rsidRPr="00E304FD" w:rsidRDefault="00536CE9" w:rsidP="00536CE9">
      <w:pPr>
        <w:jc w:val="left"/>
        <w:rPr>
          <w:rFonts w:ascii="Arial" w:hAnsi="Arial" w:cs="Arial"/>
          <w:sz w:val="24"/>
          <w:szCs w:val="24"/>
        </w:rPr>
      </w:pPr>
      <w:r w:rsidRPr="00E304FD">
        <w:rPr>
          <w:rFonts w:ascii="Arial" w:hAnsi="Arial" w:cs="Arial"/>
          <w:sz w:val="24"/>
          <w:szCs w:val="24"/>
        </w:rPr>
        <w:t xml:space="preserve">Gross capital expenditure for H1 was £141 million (2015/16: £177 million). Of this around </w:t>
      </w:r>
      <w:r w:rsidR="00B267EE" w:rsidRPr="00E304FD">
        <w:rPr>
          <w:rFonts w:ascii="Arial" w:hAnsi="Arial" w:cs="Arial"/>
          <w:sz w:val="24"/>
          <w:szCs w:val="24"/>
        </w:rPr>
        <w:t>14</w:t>
      </w:r>
      <w:r w:rsidRPr="00E304FD">
        <w:rPr>
          <w:rFonts w:ascii="Arial" w:hAnsi="Arial" w:cs="Arial"/>
          <w:sz w:val="24"/>
          <w:szCs w:val="24"/>
        </w:rPr>
        <w:t xml:space="preserve">% was invested in new stores and relocations, </w:t>
      </w:r>
      <w:r w:rsidR="00B267EE" w:rsidRPr="00E304FD">
        <w:rPr>
          <w:rFonts w:ascii="Arial" w:hAnsi="Arial" w:cs="Arial"/>
          <w:sz w:val="24"/>
          <w:szCs w:val="24"/>
        </w:rPr>
        <w:t>30</w:t>
      </w:r>
      <w:r w:rsidRPr="00E304FD">
        <w:rPr>
          <w:rFonts w:ascii="Arial" w:hAnsi="Arial" w:cs="Arial"/>
          <w:sz w:val="24"/>
          <w:szCs w:val="24"/>
        </w:rPr>
        <w:t>% on refreshing and maintaining existing stores</w:t>
      </w:r>
      <w:r w:rsidR="000F3A45">
        <w:rPr>
          <w:rFonts w:ascii="Arial" w:hAnsi="Arial" w:cs="Arial"/>
          <w:sz w:val="24"/>
          <w:szCs w:val="24"/>
        </w:rPr>
        <w:t xml:space="preserve">, </w:t>
      </w:r>
      <w:r w:rsidR="00B267EE" w:rsidRPr="00E304FD">
        <w:rPr>
          <w:rFonts w:ascii="Arial" w:hAnsi="Arial" w:cs="Arial"/>
          <w:sz w:val="24"/>
          <w:szCs w:val="24"/>
        </w:rPr>
        <w:t>34</w:t>
      </w:r>
      <w:r w:rsidRPr="00E304FD">
        <w:rPr>
          <w:rFonts w:ascii="Arial" w:hAnsi="Arial" w:cs="Arial"/>
          <w:sz w:val="24"/>
          <w:szCs w:val="24"/>
        </w:rPr>
        <w:t>% on IT, supply chain and digital development</w:t>
      </w:r>
      <w:r w:rsidR="000F3A45">
        <w:rPr>
          <w:rFonts w:ascii="Arial" w:hAnsi="Arial" w:cs="Arial"/>
          <w:sz w:val="24"/>
          <w:szCs w:val="24"/>
        </w:rPr>
        <w:t xml:space="preserve"> and </w:t>
      </w:r>
      <w:r w:rsidR="00BE4854">
        <w:rPr>
          <w:rFonts w:ascii="Arial" w:hAnsi="Arial" w:cs="Arial"/>
          <w:sz w:val="24"/>
          <w:szCs w:val="24"/>
        </w:rPr>
        <w:t>4</w:t>
      </w:r>
      <w:r w:rsidR="000F3A45">
        <w:rPr>
          <w:rFonts w:ascii="Arial" w:hAnsi="Arial" w:cs="Arial"/>
          <w:sz w:val="24"/>
          <w:szCs w:val="24"/>
        </w:rPr>
        <w:t>% on the transformation</w:t>
      </w:r>
      <w:r w:rsidRPr="00E304FD">
        <w:rPr>
          <w:rFonts w:ascii="Arial" w:hAnsi="Arial" w:cs="Arial"/>
          <w:sz w:val="24"/>
          <w:szCs w:val="24"/>
        </w:rPr>
        <w:t xml:space="preserve">. </w:t>
      </w:r>
    </w:p>
    <w:p w14:paraId="23CB3F2C" w14:textId="77777777" w:rsidR="00536CE9" w:rsidRDefault="00536CE9" w:rsidP="00773A54">
      <w:pPr>
        <w:jc w:val="left"/>
        <w:rPr>
          <w:rFonts w:ascii="Arial" w:hAnsi="Arial" w:cs="Arial"/>
          <w:sz w:val="24"/>
          <w:szCs w:val="24"/>
        </w:rPr>
      </w:pPr>
    </w:p>
    <w:p w14:paraId="434FBA8B" w14:textId="63522BFB" w:rsidR="00773A54" w:rsidRPr="00011156" w:rsidRDefault="00773A54" w:rsidP="00773A54">
      <w:pPr>
        <w:jc w:val="left"/>
        <w:rPr>
          <w:rFonts w:ascii="Arial" w:hAnsi="Arial" w:cs="Arial"/>
          <w:sz w:val="24"/>
          <w:szCs w:val="24"/>
        </w:rPr>
      </w:pPr>
      <w:r w:rsidRPr="00011156">
        <w:rPr>
          <w:rFonts w:ascii="Arial" w:hAnsi="Arial" w:cs="Arial"/>
          <w:sz w:val="24"/>
          <w:szCs w:val="24"/>
        </w:rPr>
        <w:t xml:space="preserve">Of free cash flow, </w:t>
      </w:r>
      <w:r w:rsidRPr="00925EFB">
        <w:rPr>
          <w:rFonts w:ascii="Arial" w:hAnsi="Arial" w:cs="Arial"/>
          <w:sz w:val="24"/>
          <w:szCs w:val="24"/>
        </w:rPr>
        <w:t>£</w:t>
      </w:r>
      <w:r w:rsidR="00E16931" w:rsidRPr="00925EFB">
        <w:rPr>
          <w:rFonts w:ascii="Arial" w:hAnsi="Arial" w:cs="Arial"/>
          <w:sz w:val="24"/>
          <w:szCs w:val="24"/>
        </w:rPr>
        <w:t>283</w:t>
      </w:r>
      <w:r w:rsidRPr="00925EFB">
        <w:rPr>
          <w:rFonts w:ascii="Arial" w:hAnsi="Arial" w:cs="Arial"/>
          <w:sz w:val="24"/>
          <w:szCs w:val="24"/>
        </w:rPr>
        <w:t xml:space="preserve"> million</w:t>
      </w:r>
      <w:r w:rsidRPr="00011156">
        <w:rPr>
          <w:rFonts w:ascii="Arial" w:hAnsi="Arial" w:cs="Arial"/>
          <w:sz w:val="24"/>
          <w:szCs w:val="24"/>
        </w:rPr>
        <w:t xml:space="preserve"> was returned to shareholders in the form of the ordinary dividend and share buybacks. </w:t>
      </w:r>
    </w:p>
    <w:p w14:paraId="64B43DEF" w14:textId="77777777" w:rsidR="00773A54" w:rsidRPr="00925EFB" w:rsidRDefault="00773A54" w:rsidP="00773A54">
      <w:pPr>
        <w:jc w:val="left"/>
        <w:rPr>
          <w:rFonts w:ascii="Arial" w:hAnsi="Arial" w:cs="Arial"/>
          <w:b/>
          <w:sz w:val="24"/>
          <w:szCs w:val="24"/>
        </w:rPr>
      </w:pPr>
    </w:p>
    <w:p w14:paraId="1988C200" w14:textId="0E7752B0" w:rsidR="002C29DB" w:rsidRPr="00A03549" w:rsidRDefault="00773A54" w:rsidP="00773A54">
      <w:pPr>
        <w:jc w:val="left"/>
        <w:rPr>
          <w:rFonts w:ascii="Arial" w:hAnsi="Arial" w:cs="Arial"/>
          <w:b/>
          <w:sz w:val="24"/>
          <w:szCs w:val="24"/>
        </w:rPr>
      </w:pPr>
      <w:r w:rsidRPr="00A03549">
        <w:rPr>
          <w:rFonts w:ascii="Arial" w:hAnsi="Arial" w:cs="Arial"/>
          <w:b/>
          <w:sz w:val="24"/>
          <w:szCs w:val="24"/>
        </w:rPr>
        <w:t>Management of balance sheet and liquidity risk and financing</w:t>
      </w:r>
    </w:p>
    <w:p w14:paraId="0B157BE8" w14:textId="77777777" w:rsidR="00773A54" w:rsidRPr="00A03549" w:rsidRDefault="00773A54" w:rsidP="00773A54">
      <w:pPr>
        <w:jc w:val="left"/>
        <w:rPr>
          <w:rFonts w:ascii="Arial" w:hAnsi="Arial" w:cs="Arial"/>
          <w:b/>
          <w:sz w:val="24"/>
        </w:rPr>
      </w:pPr>
    </w:p>
    <w:p w14:paraId="4BD8FDAF" w14:textId="226C5AFC" w:rsidR="00DA0765" w:rsidRPr="00032483" w:rsidRDefault="00773A54" w:rsidP="00925EFB">
      <w:pPr>
        <w:jc w:val="left"/>
        <w:rPr>
          <w:rFonts w:ascii="Arial" w:hAnsi="Arial" w:cs="Arial"/>
          <w:sz w:val="24"/>
          <w:szCs w:val="24"/>
        </w:rPr>
      </w:pPr>
      <w:r w:rsidRPr="00A03549">
        <w:rPr>
          <w:rFonts w:ascii="Arial" w:hAnsi="Arial" w:cs="Arial"/>
          <w:sz w:val="24"/>
          <w:szCs w:val="24"/>
        </w:rPr>
        <w:t xml:space="preserve">The Group finished the </w:t>
      </w:r>
      <w:r w:rsidR="000754C8">
        <w:rPr>
          <w:rFonts w:ascii="Arial" w:hAnsi="Arial" w:cs="Arial"/>
          <w:sz w:val="24"/>
          <w:szCs w:val="24"/>
        </w:rPr>
        <w:t>period</w:t>
      </w:r>
      <w:r w:rsidRPr="00A03549">
        <w:rPr>
          <w:rFonts w:ascii="Arial" w:hAnsi="Arial" w:cs="Arial"/>
          <w:sz w:val="24"/>
          <w:szCs w:val="24"/>
        </w:rPr>
        <w:t xml:space="preserve"> with </w:t>
      </w:r>
      <w:r w:rsidRPr="00925EFB">
        <w:rPr>
          <w:rFonts w:ascii="Arial" w:hAnsi="Arial" w:cs="Arial"/>
          <w:sz w:val="24"/>
          <w:szCs w:val="24"/>
        </w:rPr>
        <w:t>£89</w:t>
      </w:r>
      <w:r w:rsidR="00306B43" w:rsidRPr="00925EFB">
        <w:rPr>
          <w:rFonts w:ascii="Arial" w:hAnsi="Arial" w:cs="Arial"/>
          <w:sz w:val="24"/>
          <w:szCs w:val="24"/>
        </w:rPr>
        <w:t>8</w:t>
      </w:r>
      <w:r w:rsidRPr="00925EFB">
        <w:rPr>
          <w:rFonts w:ascii="Arial" w:hAnsi="Arial" w:cs="Arial"/>
          <w:sz w:val="24"/>
          <w:szCs w:val="24"/>
        </w:rPr>
        <w:t xml:space="preserve"> million</w:t>
      </w:r>
      <w:r w:rsidRPr="00A03549">
        <w:rPr>
          <w:rFonts w:ascii="Arial" w:hAnsi="Arial" w:cs="Arial"/>
          <w:sz w:val="24"/>
          <w:szCs w:val="24"/>
        </w:rPr>
        <w:t xml:space="preserve"> of net cash on the balance sheet. However the Group’s overall leverage is more significant when including capitalised lease debt that in accordance with accounting standards does not appear on the balance sheet. The ratio of the Group’s lease adjusted net debt (capitalising leases at 8 times annual rent) to EBITDAR</w:t>
      </w:r>
      <w:r w:rsidR="00461A73">
        <w:rPr>
          <w:rFonts w:ascii="Arial" w:hAnsi="Arial" w:cs="Arial"/>
          <w:sz w:val="24"/>
          <w:szCs w:val="24"/>
        </w:rPr>
        <w:t>*</w:t>
      </w:r>
      <w:r w:rsidRPr="00A03549">
        <w:rPr>
          <w:rFonts w:ascii="Arial" w:hAnsi="Arial" w:cs="Arial"/>
          <w:sz w:val="24"/>
          <w:szCs w:val="24"/>
        </w:rPr>
        <w:t xml:space="preserve"> on a moving annual total basis is </w:t>
      </w:r>
      <w:r w:rsidR="00DA0765">
        <w:rPr>
          <w:rFonts w:ascii="Arial" w:hAnsi="Arial" w:cs="Arial"/>
          <w:sz w:val="24"/>
          <w:szCs w:val="24"/>
        </w:rPr>
        <w:t>1.</w:t>
      </w:r>
      <w:r w:rsidR="009E70F6">
        <w:rPr>
          <w:rFonts w:ascii="Arial" w:hAnsi="Arial" w:cs="Arial"/>
          <w:sz w:val="24"/>
          <w:szCs w:val="24"/>
        </w:rPr>
        <w:t>7</w:t>
      </w:r>
      <w:r w:rsidR="00DA0765" w:rsidRPr="00032483">
        <w:rPr>
          <w:rFonts w:ascii="Arial" w:hAnsi="Arial" w:cs="Arial"/>
          <w:sz w:val="24"/>
          <w:szCs w:val="24"/>
        </w:rPr>
        <w:t xml:space="preserve"> times as at </w:t>
      </w:r>
      <w:r w:rsidR="00DA0765" w:rsidRPr="000F07BB">
        <w:rPr>
          <w:rFonts w:ascii="Arial" w:hAnsi="Arial" w:cs="Arial"/>
          <w:sz w:val="24"/>
          <w:szCs w:val="24"/>
        </w:rPr>
        <w:t>31 July 2016</w:t>
      </w:r>
      <w:r w:rsidR="008355A5">
        <w:rPr>
          <w:rFonts w:ascii="Arial" w:hAnsi="Arial" w:cs="Arial"/>
          <w:sz w:val="24"/>
          <w:szCs w:val="24"/>
        </w:rPr>
        <w:t>.</w:t>
      </w:r>
      <w:r w:rsidR="00DA0765">
        <w:rPr>
          <w:rFonts w:ascii="Arial" w:hAnsi="Arial" w:cs="Arial"/>
          <w:sz w:val="24"/>
          <w:szCs w:val="24"/>
        </w:rPr>
        <w:t xml:space="preserve"> </w:t>
      </w:r>
      <w:r w:rsidR="00DA0765" w:rsidRPr="00032483">
        <w:rPr>
          <w:rFonts w:ascii="Arial" w:hAnsi="Arial" w:cs="Arial"/>
          <w:sz w:val="24"/>
          <w:szCs w:val="24"/>
        </w:rPr>
        <w:t>At this level the Group has financial flexibility whilst retaining an efficient cost of capital.</w:t>
      </w:r>
    </w:p>
    <w:p w14:paraId="5E5F53E2" w14:textId="77777777" w:rsidR="00773A54" w:rsidRPr="00A03549" w:rsidRDefault="00773A54" w:rsidP="00773A54">
      <w:pPr>
        <w:jc w:val="left"/>
        <w:rPr>
          <w:rFonts w:ascii="Arial" w:hAnsi="Arial" w:cs="Arial"/>
          <w:sz w:val="24"/>
          <w:szCs w:val="24"/>
          <w:highlight w:val="lightGray"/>
        </w:rPr>
      </w:pPr>
    </w:p>
    <w:p w14:paraId="0A21FF9D" w14:textId="77777777" w:rsidR="00773A54" w:rsidRPr="00A03549" w:rsidRDefault="00773A54" w:rsidP="00773A54">
      <w:pPr>
        <w:jc w:val="left"/>
        <w:rPr>
          <w:rFonts w:ascii="Arial" w:hAnsi="Arial" w:cs="Arial"/>
          <w:sz w:val="24"/>
          <w:szCs w:val="24"/>
        </w:rPr>
      </w:pPr>
      <w:r w:rsidRPr="00A03549">
        <w:rPr>
          <w:rFonts w:ascii="Arial" w:hAnsi="Arial" w:cs="Arial"/>
          <w:sz w:val="24"/>
          <w:szCs w:val="24"/>
        </w:rPr>
        <w:t>A reconciliation of lease adjusted net debt to EBITDAR is set out below:</w:t>
      </w:r>
    </w:p>
    <w:p w14:paraId="5557DCD6" w14:textId="77777777" w:rsidR="00773A54" w:rsidRPr="00A03549" w:rsidRDefault="00773A54" w:rsidP="00773A54">
      <w:pPr>
        <w:jc w:val="left"/>
        <w:rPr>
          <w:rFonts w:ascii="Arial" w:hAnsi="Arial" w:cs="Arial"/>
          <w:sz w:val="24"/>
          <w:szCs w:val="24"/>
          <w:highlight w:val="lightGray"/>
        </w:rPr>
      </w:pPr>
    </w:p>
    <w:tbl>
      <w:tblPr>
        <w:tblW w:w="8832" w:type="dxa"/>
        <w:tblInd w:w="98" w:type="dxa"/>
        <w:tblLayout w:type="fixed"/>
        <w:tblLook w:val="04A0" w:firstRow="1" w:lastRow="0" w:firstColumn="1" w:lastColumn="0" w:noHBand="0" w:noVBand="1"/>
      </w:tblPr>
      <w:tblGrid>
        <w:gridCol w:w="4722"/>
        <w:gridCol w:w="2551"/>
        <w:gridCol w:w="1559"/>
      </w:tblGrid>
      <w:tr w:rsidR="00773A54" w:rsidRPr="00AC44CC" w14:paraId="417A87A1" w14:textId="77777777" w:rsidTr="00907EA8">
        <w:trPr>
          <w:trHeight w:val="555"/>
        </w:trPr>
        <w:tc>
          <w:tcPr>
            <w:tcW w:w="4722" w:type="dxa"/>
            <w:vAlign w:val="bottom"/>
          </w:tcPr>
          <w:p w14:paraId="26BFDD6D" w14:textId="77777777" w:rsidR="00773A54" w:rsidRPr="00A03549" w:rsidRDefault="00773A54" w:rsidP="00907EA8">
            <w:pPr>
              <w:jc w:val="left"/>
              <w:rPr>
                <w:rFonts w:ascii="Arial" w:hAnsi="Arial" w:cs="Arial"/>
                <w:bCs/>
                <w:sz w:val="24"/>
                <w:szCs w:val="24"/>
              </w:rPr>
            </w:pPr>
          </w:p>
        </w:tc>
        <w:tc>
          <w:tcPr>
            <w:tcW w:w="2551" w:type="dxa"/>
            <w:vAlign w:val="bottom"/>
            <w:hideMark/>
          </w:tcPr>
          <w:p w14:paraId="299E76B7" w14:textId="77777777" w:rsidR="00773A54" w:rsidRPr="00A03549" w:rsidRDefault="00773A54" w:rsidP="00907EA8">
            <w:pPr>
              <w:jc w:val="right"/>
              <w:rPr>
                <w:rFonts w:ascii="Arial" w:hAnsi="Arial" w:cs="Arial"/>
                <w:b/>
                <w:bCs/>
                <w:sz w:val="24"/>
                <w:szCs w:val="24"/>
              </w:rPr>
            </w:pPr>
            <w:r w:rsidRPr="00A03549">
              <w:rPr>
                <w:rFonts w:ascii="Arial" w:hAnsi="Arial" w:cs="Arial"/>
                <w:b/>
                <w:bCs/>
                <w:sz w:val="24"/>
                <w:szCs w:val="24"/>
              </w:rPr>
              <w:t>2016/17</w:t>
            </w:r>
          </w:p>
          <w:p w14:paraId="3F3D1556" w14:textId="77777777" w:rsidR="00773A54" w:rsidRPr="00A03549" w:rsidRDefault="00773A54" w:rsidP="00907EA8">
            <w:pPr>
              <w:jc w:val="right"/>
              <w:rPr>
                <w:rFonts w:ascii="Arial" w:hAnsi="Arial" w:cs="Arial"/>
                <w:b/>
                <w:bCs/>
                <w:sz w:val="24"/>
                <w:szCs w:val="24"/>
              </w:rPr>
            </w:pPr>
            <w:r w:rsidRPr="00A03549">
              <w:rPr>
                <w:rFonts w:ascii="Arial" w:hAnsi="Arial" w:cs="Arial"/>
                <w:b/>
                <w:bCs/>
                <w:sz w:val="24"/>
                <w:szCs w:val="24"/>
              </w:rPr>
              <w:t>Moving annual total</w:t>
            </w:r>
          </w:p>
          <w:p w14:paraId="25684954" w14:textId="77777777" w:rsidR="00773A54" w:rsidRPr="00A03549" w:rsidRDefault="00773A54" w:rsidP="00907EA8">
            <w:pPr>
              <w:jc w:val="right"/>
              <w:rPr>
                <w:rFonts w:ascii="Arial" w:hAnsi="Arial" w:cs="Arial"/>
                <w:b/>
                <w:bCs/>
                <w:sz w:val="24"/>
                <w:szCs w:val="24"/>
              </w:rPr>
            </w:pPr>
            <w:r w:rsidRPr="00A03549">
              <w:rPr>
                <w:rFonts w:ascii="Arial" w:hAnsi="Arial" w:cs="Arial"/>
                <w:b/>
                <w:bCs/>
                <w:sz w:val="24"/>
                <w:szCs w:val="24"/>
              </w:rPr>
              <w:t>£m</w:t>
            </w:r>
          </w:p>
        </w:tc>
        <w:tc>
          <w:tcPr>
            <w:tcW w:w="1559" w:type="dxa"/>
            <w:vAlign w:val="bottom"/>
            <w:hideMark/>
          </w:tcPr>
          <w:p w14:paraId="2CD1E120" w14:textId="78237EAE" w:rsidR="00773A54" w:rsidRPr="00A03549" w:rsidRDefault="00773A54" w:rsidP="00907EA8">
            <w:pPr>
              <w:jc w:val="right"/>
              <w:rPr>
                <w:rFonts w:ascii="Arial" w:hAnsi="Arial" w:cs="Arial"/>
                <w:bCs/>
                <w:sz w:val="24"/>
                <w:szCs w:val="24"/>
                <w:vertAlign w:val="superscript"/>
              </w:rPr>
            </w:pPr>
            <w:r w:rsidRPr="00A03549">
              <w:rPr>
                <w:rFonts w:ascii="Arial" w:hAnsi="Arial" w:cs="Arial"/>
                <w:bCs/>
                <w:sz w:val="24"/>
                <w:szCs w:val="24"/>
              </w:rPr>
              <w:t>2015</w:t>
            </w:r>
            <w:r w:rsidR="008355A5">
              <w:rPr>
                <w:rFonts w:ascii="Arial" w:hAnsi="Arial" w:cs="Arial"/>
                <w:bCs/>
                <w:sz w:val="24"/>
                <w:szCs w:val="24"/>
              </w:rPr>
              <w:t>/16</w:t>
            </w:r>
            <w:r w:rsidRPr="00A03549">
              <w:rPr>
                <w:rFonts w:ascii="Arial" w:hAnsi="Arial" w:cs="Arial"/>
                <w:bCs/>
                <w:sz w:val="24"/>
                <w:szCs w:val="24"/>
                <w:vertAlign w:val="superscript"/>
              </w:rPr>
              <w:t>(1)</w:t>
            </w:r>
          </w:p>
          <w:p w14:paraId="0AB658A7" w14:textId="77777777" w:rsidR="00773A54" w:rsidRPr="00A03549" w:rsidRDefault="00773A54" w:rsidP="00907EA8">
            <w:pPr>
              <w:jc w:val="right"/>
              <w:rPr>
                <w:rFonts w:ascii="Arial" w:hAnsi="Arial" w:cs="Arial"/>
                <w:bCs/>
                <w:sz w:val="14"/>
                <w:szCs w:val="24"/>
              </w:rPr>
            </w:pPr>
            <w:r w:rsidRPr="00A03549">
              <w:rPr>
                <w:rFonts w:ascii="Arial" w:hAnsi="Arial" w:cs="Arial"/>
                <w:bCs/>
                <w:sz w:val="24"/>
                <w:szCs w:val="24"/>
              </w:rPr>
              <w:t>Year end</w:t>
            </w:r>
          </w:p>
          <w:p w14:paraId="1073B1D9" w14:textId="77777777" w:rsidR="00773A54" w:rsidRPr="00A03549" w:rsidRDefault="00773A54" w:rsidP="00907EA8">
            <w:pPr>
              <w:jc w:val="right"/>
              <w:rPr>
                <w:rFonts w:ascii="Arial" w:hAnsi="Arial" w:cs="Arial"/>
                <w:bCs/>
                <w:sz w:val="24"/>
                <w:szCs w:val="24"/>
              </w:rPr>
            </w:pPr>
            <w:r w:rsidRPr="00A03549">
              <w:rPr>
                <w:rFonts w:ascii="Arial" w:hAnsi="Arial" w:cs="Arial"/>
                <w:bCs/>
                <w:sz w:val="24"/>
                <w:szCs w:val="24"/>
              </w:rPr>
              <w:t>£m</w:t>
            </w:r>
          </w:p>
        </w:tc>
      </w:tr>
      <w:tr w:rsidR="00773A54" w:rsidRPr="00AC44CC" w14:paraId="67D801A1" w14:textId="77777777" w:rsidTr="00907EA8">
        <w:trPr>
          <w:trHeight w:val="255"/>
        </w:trPr>
        <w:tc>
          <w:tcPr>
            <w:tcW w:w="4722" w:type="dxa"/>
            <w:tcBorders>
              <w:top w:val="single" w:sz="4" w:space="0" w:color="auto"/>
              <w:left w:val="nil"/>
              <w:bottom w:val="nil"/>
              <w:right w:val="nil"/>
            </w:tcBorders>
            <w:vAlign w:val="bottom"/>
            <w:hideMark/>
          </w:tcPr>
          <w:p w14:paraId="14B2155D" w14:textId="77777777" w:rsidR="00773A54" w:rsidRPr="00A03549" w:rsidRDefault="00773A54" w:rsidP="00907EA8">
            <w:pPr>
              <w:rPr>
                <w:rFonts w:ascii="Arial" w:hAnsi="Arial" w:cs="Arial"/>
                <w:sz w:val="24"/>
                <w:szCs w:val="24"/>
              </w:rPr>
            </w:pPr>
            <w:r w:rsidRPr="00A03549">
              <w:rPr>
                <w:rFonts w:ascii="Arial" w:hAnsi="Arial" w:cs="Arial"/>
                <w:sz w:val="24"/>
                <w:szCs w:val="24"/>
              </w:rPr>
              <w:t>EBITDA*</w:t>
            </w:r>
          </w:p>
        </w:tc>
        <w:tc>
          <w:tcPr>
            <w:tcW w:w="2551" w:type="dxa"/>
            <w:tcBorders>
              <w:top w:val="single" w:sz="4" w:space="0" w:color="auto"/>
              <w:left w:val="nil"/>
              <w:bottom w:val="nil"/>
              <w:right w:val="nil"/>
            </w:tcBorders>
            <w:vAlign w:val="bottom"/>
          </w:tcPr>
          <w:p w14:paraId="0EEA5D84" w14:textId="20A392C6" w:rsidR="00773A54" w:rsidRPr="00A03549" w:rsidRDefault="00BC6546">
            <w:pPr>
              <w:jc w:val="right"/>
              <w:rPr>
                <w:rFonts w:ascii="Arial" w:hAnsi="Arial" w:cs="Arial"/>
                <w:b/>
                <w:sz w:val="24"/>
                <w:szCs w:val="24"/>
              </w:rPr>
            </w:pPr>
            <w:r>
              <w:rPr>
                <w:rFonts w:ascii="Arial" w:hAnsi="Arial" w:cs="Arial"/>
                <w:b/>
                <w:sz w:val="24"/>
                <w:szCs w:val="24"/>
              </w:rPr>
              <w:t>9</w:t>
            </w:r>
            <w:r w:rsidR="00632672">
              <w:rPr>
                <w:rFonts w:ascii="Arial" w:hAnsi="Arial" w:cs="Arial"/>
                <w:b/>
                <w:sz w:val="24"/>
                <w:szCs w:val="24"/>
              </w:rPr>
              <w:t>7</w:t>
            </w:r>
            <w:r w:rsidR="00AD23AD">
              <w:rPr>
                <w:rFonts w:ascii="Arial" w:hAnsi="Arial" w:cs="Arial"/>
                <w:b/>
                <w:sz w:val="24"/>
                <w:szCs w:val="24"/>
              </w:rPr>
              <w:t>5</w:t>
            </w:r>
          </w:p>
        </w:tc>
        <w:tc>
          <w:tcPr>
            <w:tcW w:w="1559" w:type="dxa"/>
            <w:tcBorders>
              <w:top w:val="single" w:sz="4" w:space="0" w:color="auto"/>
              <w:left w:val="nil"/>
              <w:bottom w:val="nil"/>
              <w:right w:val="nil"/>
            </w:tcBorders>
            <w:vAlign w:val="bottom"/>
          </w:tcPr>
          <w:p w14:paraId="5012446E" w14:textId="77777777" w:rsidR="00773A54" w:rsidRPr="00A03549" w:rsidRDefault="00773A54" w:rsidP="00907EA8">
            <w:pPr>
              <w:jc w:val="right"/>
              <w:rPr>
                <w:rFonts w:ascii="Arial" w:hAnsi="Arial" w:cs="Arial"/>
                <w:sz w:val="24"/>
                <w:szCs w:val="24"/>
              </w:rPr>
            </w:pPr>
            <w:r>
              <w:rPr>
                <w:rFonts w:ascii="Arial" w:hAnsi="Arial" w:cs="Arial"/>
                <w:sz w:val="24"/>
                <w:szCs w:val="24"/>
              </w:rPr>
              <w:t>941</w:t>
            </w:r>
          </w:p>
        </w:tc>
      </w:tr>
      <w:tr w:rsidR="00773A54" w:rsidRPr="00AC44CC" w14:paraId="594A16D7" w14:textId="77777777" w:rsidTr="00907EA8">
        <w:trPr>
          <w:trHeight w:val="255"/>
        </w:trPr>
        <w:tc>
          <w:tcPr>
            <w:tcW w:w="4722" w:type="dxa"/>
            <w:tcBorders>
              <w:top w:val="nil"/>
              <w:left w:val="nil"/>
              <w:bottom w:val="single" w:sz="4" w:space="0" w:color="auto"/>
              <w:right w:val="nil"/>
            </w:tcBorders>
            <w:vAlign w:val="bottom"/>
            <w:hideMark/>
          </w:tcPr>
          <w:p w14:paraId="64C37D3D" w14:textId="77777777" w:rsidR="00773A54" w:rsidRPr="00A03549" w:rsidRDefault="00773A54" w:rsidP="00907EA8">
            <w:pPr>
              <w:rPr>
                <w:rFonts w:ascii="Arial" w:hAnsi="Arial" w:cs="Arial"/>
                <w:sz w:val="24"/>
                <w:szCs w:val="24"/>
              </w:rPr>
            </w:pPr>
            <w:r w:rsidRPr="00A03549">
              <w:rPr>
                <w:rFonts w:ascii="Arial" w:hAnsi="Arial" w:cs="Arial"/>
                <w:sz w:val="24"/>
                <w:szCs w:val="24"/>
              </w:rPr>
              <w:t>Property operating lease rentals</w:t>
            </w:r>
          </w:p>
        </w:tc>
        <w:tc>
          <w:tcPr>
            <w:tcW w:w="2551" w:type="dxa"/>
            <w:tcBorders>
              <w:top w:val="nil"/>
              <w:left w:val="nil"/>
              <w:bottom w:val="single" w:sz="4" w:space="0" w:color="auto"/>
              <w:right w:val="nil"/>
            </w:tcBorders>
            <w:vAlign w:val="bottom"/>
          </w:tcPr>
          <w:p w14:paraId="3AA881C0" w14:textId="77777777" w:rsidR="00773A54" w:rsidRPr="00A03549" w:rsidRDefault="00773A54" w:rsidP="00907EA8">
            <w:pPr>
              <w:jc w:val="right"/>
              <w:rPr>
                <w:rFonts w:ascii="Arial" w:hAnsi="Arial" w:cs="Arial"/>
                <w:b/>
                <w:sz w:val="24"/>
                <w:szCs w:val="24"/>
              </w:rPr>
            </w:pPr>
            <w:r>
              <w:rPr>
                <w:rFonts w:ascii="Arial" w:hAnsi="Arial" w:cs="Arial"/>
                <w:b/>
                <w:sz w:val="24"/>
                <w:szCs w:val="24"/>
              </w:rPr>
              <w:t>398</w:t>
            </w:r>
          </w:p>
        </w:tc>
        <w:tc>
          <w:tcPr>
            <w:tcW w:w="1559" w:type="dxa"/>
            <w:tcBorders>
              <w:top w:val="nil"/>
              <w:left w:val="nil"/>
              <w:bottom w:val="single" w:sz="4" w:space="0" w:color="auto"/>
              <w:right w:val="nil"/>
            </w:tcBorders>
            <w:vAlign w:val="bottom"/>
          </w:tcPr>
          <w:p w14:paraId="6D866E80" w14:textId="77777777" w:rsidR="00773A54" w:rsidRPr="00A03549" w:rsidRDefault="00773A54" w:rsidP="00907EA8">
            <w:pPr>
              <w:jc w:val="right"/>
              <w:rPr>
                <w:rFonts w:ascii="Arial" w:hAnsi="Arial" w:cs="Arial"/>
                <w:sz w:val="24"/>
                <w:szCs w:val="24"/>
              </w:rPr>
            </w:pPr>
            <w:r>
              <w:rPr>
                <w:rFonts w:ascii="Arial" w:hAnsi="Arial" w:cs="Arial"/>
                <w:sz w:val="24"/>
                <w:szCs w:val="24"/>
              </w:rPr>
              <w:t>402</w:t>
            </w:r>
          </w:p>
        </w:tc>
      </w:tr>
      <w:tr w:rsidR="00773A54" w:rsidRPr="00AC44CC" w14:paraId="677DAECA" w14:textId="77777777" w:rsidTr="00907EA8">
        <w:trPr>
          <w:trHeight w:val="255"/>
        </w:trPr>
        <w:tc>
          <w:tcPr>
            <w:tcW w:w="4722" w:type="dxa"/>
            <w:tcBorders>
              <w:top w:val="single" w:sz="4" w:space="0" w:color="auto"/>
              <w:left w:val="nil"/>
              <w:bottom w:val="single" w:sz="4" w:space="0" w:color="auto"/>
              <w:right w:val="nil"/>
            </w:tcBorders>
            <w:vAlign w:val="bottom"/>
            <w:hideMark/>
          </w:tcPr>
          <w:p w14:paraId="0A5B1724" w14:textId="77777777" w:rsidR="00773A54" w:rsidRPr="00A03549" w:rsidRDefault="00773A54" w:rsidP="00907EA8">
            <w:pPr>
              <w:rPr>
                <w:rFonts w:ascii="Arial" w:hAnsi="Arial" w:cs="Arial"/>
                <w:b/>
                <w:sz w:val="24"/>
                <w:szCs w:val="24"/>
              </w:rPr>
            </w:pPr>
            <w:r w:rsidRPr="00A03549">
              <w:rPr>
                <w:rFonts w:ascii="Arial" w:hAnsi="Arial" w:cs="Arial"/>
                <w:b/>
                <w:sz w:val="24"/>
                <w:szCs w:val="24"/>
              </w:rPr>
              <w:t>EBITDAR</w:t>
            </w:r>
          </w:p>
        </w:tc>
        <w:tc>
          <w:tcPr>
            <w:tcW w:w="2551" w:type="dxa"/>
            <w:tcBorders>
              <w:top w:val="single" w:sz="4" w:space="0" w:color="auto"/>
              <w:left w:val="nil"/>
              <w:bottom w:val="single" w:sz="4" w:space="0" w:color="auto"/>
              <w:right w:val="nil"/>
            </w:tcBorders>
            <w:vAlign w:val="bottom"/>
          </w:tcPr>
          <w:p w14:paraId="63937C2B" w14:textId="3E426A3B" w:rsidR="00773A54" w:rsidRPr="00A03549" w:rsidRDefault="00BC6546">
            <w:pPr>
              <w:jc w:val="right"/>
              <w:rPr>
                <w:rFonts w:ascii="Arial" w:hAnsi="Arial" w:cs="Arial"/>
                <w:b/>
                <w:sz w:val="24"/>
                <w:szCs w:val="24"/>
              </w:rPr>
            </w:pPr>
            <w:r>
              <w:rPr>
                <w:rFonts w:ascii="Arial" w:hAnsi="Arial" w:cs="Arial"/>
                <w:b/>
                <w:sz w:val="24"/>
                <w:szCs w:val="24"/>
              </w:rPr>
              <w:t>1,3</w:t>
            </w:r>
            <w:r w:rsidR="00632672">
              <w:rPr>
                <w:rFonts w:ascii="Arial" w:hAnsi="Arial" w:cs="Arial"/>
                <w:b/>
                <w:sz w:val="24"/>
                <w:szCs w:val="24"/>
              </w:rPr>
              <w:t>7</w:t>
            </w:r>
            <w:r w:rsidR="00AD23AD">
              <w:rPr>
                <w:rFonts w:ascii="Arial" w:hAnsi="Arial" w:cs="Arial"/>
                <w:b/>
                <w:sz w:val="24"/>
                <w:szCs w:val="24"/>
              </w:rPr>
              <w:t>3</w:t>
            </w:r>
          </w:p>
        </w:tc>
        <w:tc>
          <w:tcPr>
            <w:tcW w:w="1559" w:type="dxa"/>
            <w:tcBorders>
              <w:top w:val="single" w:sz="4" w:space="0" w:color="auto"/>
              <w:left w:val="nil"/>
              <w:bottom w:val="single" w:sz="4" w:space="0" w:color="auto"/>
              <w:right w:val="nil"/>
            </w:tcBorders>
            <w:vAlign w:val="bottom"/>
          </w:tcPr>
          <w:p w14:paraId="2C0F7163" w14:textId="77777777" w:rsidR="00773A54" w:rsidRPr="00A03549" w:rsidRDefault="00773A54" w:rsidP="00907EA8">
            <w:pPr>
              <w:jc w:val="right"/>
              <w:rPr>
                <w:rFonts w:ascii="Arial" w:hAnsi="Arial" w:cs="Arial"/>
                <w:sz w:val="24"/>
                <w:szCs w:val="24"/>
              </w:rPr>
            </w:pPr>
            <w:r>
              <w:rPr>
                <w:rFonts w:ascii="Arial" w:hAnsi="Arial" w:cs="Arial"/>
                <w:sz w:val="24"/>
                <w:szCs w:val="24"/>
              </w:rPr>
              <w:t>1,343</w:t>
            </w:r>
          </w:p>
        </w:tc>
      </w:tr>
      <w:tr w:rsidR="00773A54" w:rsidRPr="00AC44CC" w14:paraId="2E3502E0" w14:textId="77777777" w:rsidTr="00907EA8">
        <w:trPr>
          <w:trHeight w:val="311"/>
        </w:trPr>
        <w:tc>
          <w:tcPr>
            <w:tcW w:w="4722" w:type="dxa"/>
            <w:tcBorders>
              <w:top w:val="single" w:sz="4" w:space="0" w:color="auto"/>
              <w:left w:val="nil"/>
              <w:bottom w:val="nil"/>
              <w:right w:val="nil"/>
            </w:tcBorders>
            <w:vAlign w:val="bottom"/>
            <w:hideMark/>
          </w:tcPr>
          <w:p w14:paraId="5BA774B1" w14:textId="04BFD140" w:rsidR="00773A54" w:rsidRPr="00A03549" w:rsidRDefault="008355A5" w:rsidP="00907EA8">
            <w:pPr>
              <w:rPr>
                <w:rFonts w:ascii="Arial" w:hAnsi="Arial" w:cs="Arial"/>
                <w:sz w:val="24"/>
                <w:szCs w:val="24"/>
              </w:rPr>
            </w:pPr>
            <w:r>
              <w:rPr>
                <w:rFonts w:ascii="Arial" w:hAnsi="Arial" w:cs="Arial"/>
                <w:sz w:val="24"/>
                <w:szCs w:val="24"/>
              </w:rPr>
              <w:t>N</w:t>
            </w:r>
            <w:r w:rsidR="00773A54" w:rsidRPr="00A03549">
              <w:rPr>
                <w:rFonts w:ascii="Arial" w:hAnsi="Arial" w:cs="Arial"/>
                <w:sz w:val="24"/>
                <w:szCs w:val="24"/>
              </w:rPr>
              <w:t>et cash</w:t>
            </w:r>
          </w:p>
        </w:tc>
        <w:tc>
          <w:tcPr>
            <w:tcW w:w="2551" w:type="dxa"/>
            <w:tcBorders>
              <w:top w:val="single" w:sz="4" w:space="0" w:color="auto"/>
              <w:left w:val="nil"/>
              <w:bottom w:val="nil"/>
              <w:right w:val="nil"/>
            </w:tcBorders>
            <w:vAlign w:val="bottom"/>
          </w:tcPr>
          <w:p w14:paraId="42348710" w14:textId="1F729B49" w:rsidR="00773A54" w:rsidRPr="00A03549" w:rsidRDefault="00773A54">
            <w:pPr>
              <w:jc w:val="right"/>
              <w:rPr>
                <w:rFonts w:ascii="Arial" w:hAnsi="Arial" w:cs="Arial"/>
                <w:b/>
                <w:sz w:val="24"/>
                <w:szCs w:val="24"/>
              </w:rPr>
            </w:pPr>
            <w:r>
              <w:rPr>
                <w:rFonts w:ascii="Arial" w:hAnsi="Arial" w:cs="Arial"/>
                <w:b/>
                <w:sz w:val="24"/>
                <w:szCs w:val="24"/>
              </w:rPr>
              <w:t>(89</w:t>
            </w:r>
            <w:r w:rsidR="00835ECD">
              <w:rPr>
                <w:rFonts w:ascii="Arial" w:hAnsi="Arial" w:cs="Arial"/>
                <w:b/>
                <w:sz w:val="24"/>
                <w:szCs w:val="24"/>
              </w:rPr>
              <w:t>8</w:t>
            </w:r>
            <w:r>
              <w:rPr>
                <w:rFonts w:ascii="Arial" w:hAnsi="Arial" w:cs="Arial"/>
                <w:b/>
                <w:sz w:val="24"/>
                <w:szCs w:val="24"/>
              </w:rPr>
              <w:t>)</w:t>
            </w:r>
          </w:p>
        </w:tc>
        <w:tc>
          <w:tcPr>
            <w:tcW w:w="1559" w:type="dxa"/>
            <w:tcBorders>
              <w:top w:val="single" w:sz="4" w:space="0" w:color="auto"/>
              <w:left w:val="nil"/>
              <w:bottom w:val="nil"/>
              <w:right w:val="nil"/>
            </w:tcBorders>
            <w:vAlign w:val="bottom"/>
          </w:tcPr>
          <w:p w14:paraId="742E45B4" w14:textId="77777777" w:rsidR="00773A54" w:rsidRPr="00A03549" w:rsidRDefault="00773A54" w:rsidP="00907EA8">
            <w:pPr>
              <w:jc w:val="right"/>
              <w:rPr>
                <w:rFonts w:ascii="Arial" w:hAnsi="Arial" w:cs="Arial"/>
                <w:sz w:val="24"/>
                <w:szCs w:val="24"/>
              </w:rPr>
            </w:pPr>
            <w:r>
              <w:rPr>
                <w:rFonts w:ascii="Arial" w:hAnsi="Arial" w:cs="Arial"/>
                <w:sz w:val="24"/>
                <w:szCs w:val="24"/>
              </w:rPr>
              <w:t>(546)</w:t>
            </w:r>
          </w:p>
        </w:tc>
      </w:tr>
      <w:tr w:rsidR="00773A54" w:rsidRPr="00AC44CC" w14:paraId="652E75C8" w14:textId="77777777" w:rsidTr="00907EA8">
        <w:trPr>
          <w:trHeight w:val="270"/>
        </w:trPr>
        <w:tc>
          <w:tcPr>
            <w:tcW w:w="4722" w:type="dxa"/>
            <w:tcBorders>
              <w:top w:val="nil"/>
              <w:left w:val="nil"/>
              <w:bottom w:val="single" w:sz="4" w:space="0" w:color="auto"/>
              <w:right w:val="nil"/>
            </w:tcBorders>
            <w:vAlign w:val="bottom"/>
            <w:hideMark/>
          </w:tcPr>
          <w:p w14:paraId="42BC2836" w14:textId="77777777" w:rsidR="00773A54" w:rsidRPr="00A03549" w:rsidRDefault="00773A54" w:rsidP="00907EA8">
            <w:pPr>
              <w:rPr>
                <w:rFonts w:ascii="Arial" w:hAnsi="Arial" w:cs="Arial"/>
                <w:sz w:val="24"/>
                <w:szCs w:val="24"/>
              </w:rPr>
            </w:pPr>
            <w:r w:rsidRPr="00A03549">
              <w:rPr>
                <w:rFonts w:ascii="Arial" w:hAnsi="Arial" w:cs="Arial"/>
                <w:sz w:val="24"/>
                <w:szCs w:val="24"/>
              </w:rPr>
              <w:t>Property operating lease rentals (8x)</w:t>
            </w:r>
            <w:r w:rsidRPr="00A03549">
              <w:rPr>
                <w:rFonts w:ascii="Arial" w:hAnsi="Arial" w:cs="Arial"/>
                <w:sz w:val="24"/>
                <w:szCs w:val="24"/>
                <w:vertAlign w:val="superscript"/>
              </w:rPr>
              <w:t>(2)</w:t>
            </w:r>
          </w:p>
        </w:tc>
        <w:tc>
          <w:tcPr>
            <w:tcW w:w="2551" w:type="dxa"/>
            <w:tcBorders>
              <w:top w:val="nil"/>
              <w:left w:val="nil"/>
              <w:bottom w:val="single" w:sz="4" w:space="0" w:color="auto"/>
              <w:right w:val="nil"/>
            </w:tcBorders>
            <w:vAlign w:val="bottom"/>
          </w:tcPr>
          <w:p w14:paraId="475F7B7B" w14:textId="77777777" w:rsidR="00773A54" w:rsidRPr="00A03549" w:rsidRDefault="00773A54" w:rsidP="00907EA8">
            <w:pPr>
              <w:jc w:val="right"/>
              <w:rPr>
                <w:rFonts w:ascii="Arial" w:hAnsi="Arial" w:cs="Arial"/>
                <w:b/>
                <w:sz w:val="24"/>
                <w:szCs w:val="24"/>
              </w:rPr>
            </w:pPr>
            <w:r>
              <w:rPr>
                <w:rFonts w:ascii="Arial" w:hAnsi="Arial" w:cs="Arial"/>
                <w:b/>
                <w:sz w:val="24"/>
                <w:szCs w:val="24"/>
              </w:rPr>
              <w:t>3,184</w:t>
            </w:r>
          </w:p>
        </w:tc>
        <w:tc>
          <w:tcPr>
            <w:tcW w:w="1559" w:type="dxa"/>
            <w:tcBorders>
              <w:top w:val="nil"/>
              <w:left w:val="nil"/>
              <w:bottom w:val="single" w:sz="4" w:space="0" w:color="auto"/>
              <w:right w:val="nil"/>
            </w:tcBorders>
            <w:vAlign w:val="bottom"/>
          </w:tcPr>
          <w:p w14:paraId="3510EBAF" w14:textId="77777777" w:rsidR="00773A54" w:rsidRPr="00A03549" w:rsidRDefault="00773A54" w:rsidP="00907EA8">
            <w:pPr>
              <w:jc w:val="right"/>
              <w:rPr>
                <w:rFonts w:ascii="Arial" w:hAnsi="Arial" w:cs="Arial"/>
                <w:sz w:val="24"/>
                <w:szCs w:val="24"/>
              </w:rPr>
            </w:pPr>
            <w:r>
              <w:rPr>
                <w:rFonts w:ascii="Arial" w:hAnsi="Arial" w:cs="Arial"/>
                <w:sz w:val="24"/>
                <w:szCs w:val="24"/>
              </w:rPr>
              <w:t>3,216</w:t>
            </w:r>
          </w:p>
        </w:tc>
      </w:tr>
      <w:tr w:rsidR="00773A54" w:rsidRPr="00AC44CC" w14:paraId="07CE38D8" w14:textId="77777777" w:rsidTr="00907EA8">
        <w:trPr>
          <w:trHeight w:val="270"/>
        </w:trPr>
        <w:tc>
          <w:tcPr>
            <w:tcW w:w="4722" w:type="dxa"/>
            <w:tcBorders>
              <w:top w:val="single" w:sz="4" w:space="0" w:color="auto"/>
              <w:left w:val="nil"/>
              <w:bottom w:val="single" w:sz="4" w:space="0" w:color="auto"/>
              <w:right w:val="nil"/>
            </w:tcBorders>
            <w:vAlign w:val="bottom"/>
            <w:hideMark/>
          </w:tcPr>
          <w:p w14:paraId="4269785C" w14:textId="77777777" w:rsidR="00773A54" w:rsidRPr="00A03549" w:rsidRDefault="00773A54" w:rsidP="00907EA8">
            <w:pPr>
              <w:rPr>
                <w:rFonts w:ascii="Arial" w:hAnsi="Arial" w:cs="Arial"/>
                <w:b/>
                <w:sz w:val="24"/>
                <w:szCs w:val="24"/>
              </w:rPr>
            </w:pPr>
            <w:r w:rsidRPr="00A03549">
              <w:rPr>
                <w:rFonts w:ascii="Arial" w:hAnsi="Arial" w:cs="Arial"/>
                <w:b/>
                <w:sz w:val="24"/>
                <w:szCs w:val="24"/>
              </w:rPr>
              <w:t>Lease adjusted net debt</w:t>
            </w:r>
          </w:p>
        </w:tc>
        <w:tc>
          <w:tcPr>
            <w:tcW w:w="2551" w:type="dxa"/>
            <w:tcBorders>
              <w:top w:val="single" w:sz="4" w:space="0" w:color="auto"/>
              <w:left w:val="nil"/>
              <w:bottom w:val="single" w:sz="4" w:space="0" w:color="auto"/>
              <w:right w:val="nil"/>
            </w:tcBorders>
            <w:vAlign w:val="bottom"/>
          </w:tcPr>
          <w:p w14:paraId="633B412E" w14:textId="0ABBFC97" w:rsidR="00773A54" w:rsidRPr="00A03549" w:rsidRDefault="00773A54">
            <w:pPr>
              <w:jc w:val="right"/>
              <w:rPr>
                <w:rFonts w:ascii="Arial" w:hAnsi="Arial" w:cs="Arial"/>
                <w:b/>
                <w:sz w:val="24"/>
                <w:szCs w:val="24"/>
              </w:rPr>
            </w:pPr>
            <w:r>
              <w:rPr>
                <w:rFonts w:ascii="Arial" w:hAnsi="Arial" w:cs="Arial"/>
                <w:b/>
                <w:sz w:val="24"/>
                <w:szCs w:val="24"/>
              </w:rPr>
              <w:t>2,28</w:t>
            </w:r>
            <w:r w:rsidR="00835ECD">
              <w:rPr>
                <w:rFonts w:ascii="Arial" w:hAnsi="Arial" w:cs="Arial"/>
                <w:b/>
                <w:sz w:val="24"/>
                <w:szCs w:val="24"/>
              </w:rPr>
              <w:t>6</w:t>
            </w:r>
          </w:p>
        </w:tc>
        <w:tc>
          <w:tcPr>
            <w:tcW w:w="1559" w:type="dxa"/>
            <w:tcBorders>
              <w:top w:val="single" w:sz="4" w:space="0" w:color="auto"/>
              <w:left w:val="nil"/>
              <w:bottom w:val="single" w:sz="4" w:space="0" w:color="auto"/>
              <w:right w:val="nil"/>
            </w:tcBorders>
            <w:vAlign w:val="bottom"/>
          </w:tcPr>
          <w:p w14:paraId="734060CB" w14:textId="77777777" w:rsidR="00773A54" w:rsidRPr="00A03549" w:rsidRDefault="00773A54" w:rsidP="00907EA8">
            <w:pPr>
              <w:jc w:val="right"/>
              <w:rPr>
                <w:rFonts w:ascii="Arial" w:hAnsi="Arial" w:cs="Arial"/>
                <w:sz w:val="24"/>
                <w:szCs w:val="24"/>
              </w:rPr>
            </w:pPr>
            <w:r>
              <w:rPr>
                <w:rFonts w:ascii="Arial" w:hAnsi="Arial" w:cs="Arial"/>
                <w:sz w:val="24"/>
                <w:szCs w:val="24"/>
              </w:rPr>
              <w:t>2,670</w:t>
            </w:r>
          </w:p>
        </w:tc>
      </w:tr>
      <w:tr w:rsidR="00773A54" w:rsidRPr="00AC44CC" w14:paraId="25F88DFE" w14:textId="77777777" w:rsidTr="00907EA8">
        <w:trPr>
          <w:trHeight w:val="270"/>
        </w:trPr>
        <w:tc>
          <w:tcPr>
            <w:tcW w:w="4722" w:type="dxa"/>
            <w:tcBorders>
              <w:top w:val="single" w:sz="4" w:space="0" w:color="auto"/>
              <w:left w:val="nil"/>
              <w:bottom w:val="single" w:sz="4" w:space="0" w:color="auto"/>
              <w:right w:val="nil"/>
            </w:tcBorders>
            <w:vAlign w:val="bottom"/>
            <w:hideMark/>
          </w:tcPr>
          <w:p w14:paraId="0D677BEE" w14:textId="77777777" w:rsidR="00773A54" w:rsidRPr="00A03549" w:rsidRDefault="00773A54" w:rsidP="00907EA8">
            <w:pPr>
              <w:rPr>
                <w:rFonts w:ascii="Arial" w:hAnsi="Arial" w:cs="Arial"/>
                <w:b/>
                <w:sz w:val="24"/>
                <w:szCs w:val="24"/>
              </w:rPr>
            </w:pPr>
            <w:r w:rsidRPr="00A03549">
              <w:rPr>
                <w:rFonts w:ascii="Arial" w:hAnsi="Arial" w:cs="Arial"/>
                <w:b/>
                <w:sz w:val="24"/>
                <w:szCs w:val="24"/>
              </w:rPr>
              <w:t>Lease adjusted net debt to EBITDAR</w:t>
            </w:r>
          </w:p>
        </w:tc>
        <w:tc>
          <w:tcPr>
            <w:tcW w:w="2551" w:type="dxa"/>
            <w:tcBorders>
              <w:top w:val="single" w:sz="4" w:space="0" w:color="auto"/>
              <w:left w:val="nil"/>
              <w:bottom w:val="single" w:sz="4" w:space="0" w:color="auto"/>
              <w:right w:val="nil"/>
            </w:tcBorders>
            <w:vAlign w:val="bottom"/>
          </w:tcPr>
          <w:p w14:paraId="560A1B8C" w14:textId="393A28D9" w:rsidR="00773A54" w:rsidRPr="00A03549" w:rsidRDefault="00773A54" w:rsidP="00907EA8">
            <w:pPr>
              <w:jc w:val="right"/>
              <w:rPr>
                <w:rFonts w:ascii="Arial" w:hAnsi="Arial" w:cs="Arial"/>
                <w:b/>
                <w:sz w:val="24"/>
                <w:szCs w:val="24"/>
              </w:rPr>
            </w:pPr>
            <w:r>
              <w:rPr>
                <w:rFonts w:ascii="Arial" w:hAnsi="Arial" w:cs="Arial"/>
                <w:b/>
                <w:sz w:val="24"/>
                <w:szCs w:val="24"/>
              </w:rPr>
              <w:t>1.</w:t>
            </w:r>
            <w:r w:rsidR="00632672">
              <w:rPr>
                <w:rFonts w:ascii="Arial" w:hAnsi="Arial" w:cs="Arial"/>
                <w:b/>
                <w:sz w:val="24"/>
                <w:szCs w:val="24"/>
              </w:rPr>
              <w:t>7</w:t>
            </w:r>
          </w:p>
        </w:tc>
        <w:tc>
          <w:tcPr>
            <w:tcW w:w="1559" w:type="dxa"/>
            <w:tcBorders>
              <w:top w:val="single" w:sz="4" w:space="0" w:color="auto"/>
              <w:left w:val="nil"/>
              <w:bottom w:val="single" w:sz="4" w:space="0" w:color="auto"/>
              <w:right w:val="nil"/>
            </w:tcBorders>
            <w:vAlign w:val="bottom"/>
          </w:tcPr>
          <w:p w14:paraId="5CCFABA4" w14:textId="77777777" w:rsidR="00773A54" w:rsidRPr="00A03549" w:rsidRDefault="00773A54" w:rsidP="00907EA8">
            <w:pPr>
              <w:tabs>
                <w:tab w:val="center" w:pos="671"/>
                <w:tab w:val="right" w:pos="1343"/>
              </w:tabs>
              <w:jc w:val="right"/>
              <w:rPr>
                <w:rFonts w:ascii="Arial" w:hAnsi="Arial" w:cs="Arial"/>
                <w:sz w:val="24"/>
                <w:szCs w:val="24"/>
              </w:rPr>
            </w:pPr>
            <w:r>
              <w:rPr>
                <w:rFonts w:ascii="Arial" w:hAnsi="Arial" w:cs="Arial"/>
                <w:sz w:val="24"/>
                <w:szCs w:val="24"/>
              </w:rPr>
              <w:t>2.0</w:t>
            </w:r>
          </w:p>
        </w:tc>
      </w:tr>
    </w:tbl>
    <w:p w14:paraId="4B6C13D4" w14:textId="77777777" w:rsidR="00773A54" w:rsidRPr="00925EFB" w:rsidRDefault="00773A54" w:rsidP="00773A54">
      <w:pPr>
        <w:jc w:val="left"/>
        <w:rPr>
          <w:rFonts w:ascii="Arial" w:hAnsi="Arial" w:cs="Arial"/>
          <w:sz w:val="18"/>
          <w:szCs w:val="18"/>
        </w:rPr>
      </w:pPr>
    </w:p>
    <w:p w14:paraId="0C417B98" w14:textId="66685C88" w:rsidR="00773A54" w:rsidRPr="00A03549" w:rsidRDefault="00773A54" w:rsidP="00773A54">
      <w:pPr>
        <w:ind w:right="-368"/>
        <w:jc w:val="left"/>
        <w:rPr>
          <w:rFonts w:ascii="Arial" w:hAnsi="Arial" w:cs="Arial"/>
          <w:sz w:val="18"/>
          <w:szCs w:val="18"/>
        </w:rPr>
      </w:pPr>
      <w:r w:rsidRPr="00A03549">
        <w:rPr>
          <w:rFonts w:ascii="Arial" w:hAnsi="Arial" w:cs="Arial"/>
          <w:iCs/>
          <w:sz w:val="18"/>
          <w:szCs w:val="18"/>
          <w:vertAlign w:val="superscript"/>
        </w:rPr>
        <w:t>(1)</w:t>
      </w:r>
      <w:r w:rsidRPr="00A03549">
        <w:rPr>
          <w:rFonts w:ascii="Arial" w:hAnsi="Arial" w:cs="Arial"/>
          <w:iCs/>
          <w:sz w:val="18"/>
          <w:szCs w:val="18"/>
        </w:rPr>
        <w:t xml:space="preserve"> </w:t>
      </w:r>
      <w:r w:rsidR="0065238B">
        <w:rPr>
          <w:rFonts w:ascii="Arial" w:hAnsi="Arial" w:cs="Arial"/>
          <w:sz w:val="18"/>
          <w:szCs w:val="18"/>
        </w:rPr>
        <w:t>E</w:t>
      </w:r>
      <w:r w:rsidRPr="00A03549">
        <w:rPr>
          <w:rFonts w:ascii="Arial" w:hAnsi="Arial" w:cs="Arial"/>
          <w:sz w:val="18"/>
          <w:szCs w:val="18"/>
        </w:rPr>
        <w:t>xclude</w:t>
      </w:r>
      <w:r w:rsidR="0065238B">
        <w:rPr>
          <w:rFonts w:ascii="Arial" w:hAnsi="Arial" w:cs="Arial"/>
          <w:sz w:val="18"/>
          <w:szCs w:val="18"/>
        </w:rPr>
        <w:t>s</w:t>
      </w:r>
      <w:r w:rsidRPr="00A03549">
        <w:rPr>
          <w:rFonts w:ascii="Arial" w:hAnsi="Arial" w:cs="Arial"/>
          <w:sz w:val="18"/>
          <w:szCs w:val="18"/>
        </w:rPr>
        <w:t xml:space="preserve"> contribution from China following disposal </w:t>
      </w:r>
      <w:r w:rsidR="0065238B">
        <w:rPr>
          <w:rFonts w:ascii="Arial" w:hAnsi="Arial" w:cs="Arial"/>
          <w:sz w:val="18"/>
          <w:szCs w:val="18"/>
        </w:rPr>
        <w:t xml:space="preserve">of controlling 70% stake </w:t>
      </w:r>
      <w:r w:rsidRPr="00A03549">
        <w:rPr>
          <w:rFonts w:ascii="Arial" w:hAnsi="Arial" w:cs="Arial"/>
          <w:sz w:val="18"/>
          <w:szCs w:val="18"/>
        </w:rPr>
        <w:t>in April 2015</w:t>
      </w:r>
    </w:p>
    <w:p w14:paraId="472F25F3" w14:textId="77777777" w:rsidR="00773A54" w:rsidRPr="00A03549" w:rsidRDefault="00773A54" w:rsidP="00773A54">
      <w:pPr>
        <w:ind w:right="-368"/>
        <w:jc w:val="left"/>
        <w:rPr>
          <w:rFonts w:ascii="Arial" w:hAnsi="Arial" w:cs="Arial"/>
          <w:sz w:val="18"/>
          <w:szCs w:val="18"/>
        </w:rPr>
      </w:pPr>
      <w:r w:rsidRPr="00A03549">
        <w:rPr>
          <w:rFonts w:ascii="Arial" w:hAnsi="Arial" w:cs="Arial"/>
          <w:iCs/>
          <w:sz w:val="18"/>
          <w:szCs w:val="18"/>
          <w:vertAlign w:val="superscript"/>
        </w:rPr>
        <w:t>(2)</w:t>
      </w:r>
      <w:r w:rsidRPr="00A03549">
        <w:rPr>
          <w:rFonts w:ascii="Arial" w:hAnsi="Arial" w:cs="Arial"/>
          <w:iCs/>
          <w:sz w:val="18"/>
          <w:szCs w:val="18"/>
        </w:rPr>
        <w:t xml:space="preserve"> </w:t>
      </w:r>
      <w:r w:rsidRPr="00A03549">
        <w:rPr>
          <w:rFonts w:ascii="Arial" w:hAnsi="Arial" w:cs="Arial"/>
          <w:sz w:val="18"/>
          <w:szCs w:val="18"/>
        </w:rPr>
        <w:t>Kingfisher believes 8x is a reasonable industry standard for estimating the economic value of its leased assets</w:t>
      </w:r>
    </w:p>
    <w:p w14:paraId="76CFA9CD" w14:textId="77777777" w:rsidR="00773A54" w:rsidRPr="00A03549" w:rsidRDefault="00773A54" w:rsidP="00773A54">
      <w:pPr>
        <w:jc w:val="left"/>
        <w:rPr>
          <w:rFonts w:ascii="Arial" w:hAnsi="Arial" w:cs="Arial"/>
          <w:sz w:val="24"/>
          <w:szCs w:val="24"/>
          <w:highlight w:val="lightGray"/>
        </w:rPr>
      </w:pPr>
    </w:p>
    <w:p w14:paraId="17B2051A" w14:textId="77777777" w:rsidR="00773A54" w:rsidRPr="00A03549" w:rsidRDefault="00773A54" w:rsidP="00773A54">
      <w:pPr>
        <w:jc w:val="left"/>
        <w:rPr>
          <w:rFonts w:ascii="Arial" w:hAnsi="Arial" w:cs="Arial"/>
          <w:sz w:val="24"/>
          <w:szCs w:val="24"/>
        </w:rPr>
      </w:pPr>
      <w:r w:rsidRPr="00A03549">
        <w:rPr>
          <w:rFonts w:ascii="Arial" w:hAnsi="Arial" w:cs="Arial"/>
          <w:sz w:val="24"/>
          <w:szCs w:val="24"/>
        </w:rPr>
        <w:t>Kingfisher holds a BBB credit rating with all three rating agencies. Kingfisher aims to maintain its solid investment grade credit rating whilst investing in the business where economic returns are attractive and paying a healthy annual dividend to shareholders. After satisfying these key aims and taking into account the economic and trading outlook, any surplus capital would be returned to shareholders.</w:t>
      </w:r>
    </w:p>
    <w:p w14:paraId="237A7204" w14:textId="77777777" w:rsidR="00773A54" w:rsidRPr="00A03549" w:rsidRDefault="00773A54" w:rsidP="00773A54">
      <w:pPr>
        <w:jc w:val="left"/>
        <w:rPr>
          <w:rFonts w:ascii="Arial" w:hAnsi="Arial" w:cs="Arial"/>
          <w:sz w:val="24"/>
          <w:szCs w:val="24"/>
        </w:rPr>
      </w:pPr>
    </w:p>
    <w:p w14:paraId="39ED9F5D" w14:textId="4CB2B88E" w:rsidR="00773A54" w:rsidRPr="00925EFB" w:rsidRDefault="00773A54" w:rsidP="00773A54">
      <w:pPr>
        <w:jc w:val="left"/>
        <w:rPr>
          <w:rFonts w:ascii="Arial" w:hAnsi="Arial" w:cs="Arial"/>
          <w:sz w:val="24"/>
          <w:szCs w:val="24"/>
        </w:rPr>
      </w:pPr>
      <w:r w:rsidRPr="00A03549">
        <w:rPr>
          <w:rFonts w:ascii="Arial" w:hAnsi="Arial" w:cs="Arial"/>
          <w:sz w:val="24"/>
          <w:szCs w:val="24"/>
        </w:rPr>
        <w:t xml:space="preserve">Kingfisher regularly reviews the level of cash and debt facilities required to fund its activities. This involves preparing a prudent cash flow forecast for the </w:t>
      </w:r>
      <w:r w:rsidR="008355A5">
        <w:rPr>
          <w:rFonts w:ascii="Arial" w:hAnsi="Arial" w:cs="Arial"/>
          <w:sz w:val="24"/>
          <w:szCs w:val="24"/>
        </w:rPr>
        <w:t>medium term</w:t>
      </w:r>
      <w:r w:rsidRPr="00A03549">
        <w:rPr>
          <w:rFonts w:ascii="Arial" w:hAnsi="Arial" w:cs="Arial"/>
          <w:sz w:val="24"/>
          <w:szCs w:val="24"/>
        </w:rPr>
        <w:t xml:space="preserve">, determining the level of debt facilities required to fund the business, planning for repayments of debt at its maturity and identifying an appropriate amount of headroom to provide a reserve against unexpected outflows. </w:t>
      </w:r>
    </w:p>
    <w:p w14:paraId="6C07831B" w14:textId="081A2CC3" w:rsidR="00773A54" w:rsidRPr="00925EFB" w:rsidRDefault="00773A54" w:rsidP="00773A54">
      <w:pPr>
        <w:ind w:right="-368"/>
        <w:jc w:val="left"/>
        <w:rPr>
          <w:rFonts w:ascii="Arial" w:hAnsi="Arial" w:cs="Arial"/>
          <w:sz w:val="24"/>
          <w:szCs w:val="24"/>
        </w:rPr>
      </w:pPr>
      <w:r w:rsidRPr="00925EFB">
        <w:rPr>
          <w:rFonts w:ascii="Arial" w:hAnsi="Arial" w:cs="Arial"/>
          <w:sz w:val="24"/>
          <w:szCs w:val="24"/>
        </w:rPr>
        <w:lastRenderedPageBreak/>
        <w:t xml:space="preserve">The Group has a £225 million committed facility that expires in 2021 and was undrawn at 31 </w:t>
      </w:r>
      <w:r w:rsidR="006E589D" w:rsidRPr="00925EFB">
        <w:rPr>
          <w:rFonts w:ascii="Arial" w:hAnsi="Arial" w:cs="Arial"/>
          <w:sz w:val="24"/>
          <w:szCs w:val="24"/>
        </w:rPr>
        <w:t>J</w:t>
      </w:r>
      <w:r w:rsidR="006E589D">
        <w:rPr>
          <w:rFonts w:ascii="Arial" w:hAnsi="Arial" w:cs="Arial"/>
          <w:sz w:val="24"/>
          <w:szCs w:val="24"/>
        </w:rPr>
        <w:t>uly</w:t>
      </w:r>
      <w:r w:rsidR="006E589D" w:rsidRPr="00925EFB">
        <w:rPr>
          <w:rFonts w:ascii="Arial" w:hAnsi="Arial" w:cs="Arial"/>
          <w:sz w:val="24"/>
          <w:szCs w:val="24"/>
        </w:rPr>
        <w:t xml:space="preserve"> </w:t>
      </w:r>
      <w:r w:rsidRPr="00925EFB">
        <w:rPr>
          <w:rFonts w:ascii="Arial" w:hAnsi="Arial" w:cs="Arial"/>
          <w:sz w:val="24"/>
          <w:szCs w:val="24"/>
        </w:rPr>
        <w:t>2016. The next signific</w:t>
      </w:r>
      <w:r w:rsidR="00DA0765" w:rsidRPr="00925EFB">
        <w:rPr>
          <w:rFonts w:ascii="Arial" w:hAnsi="Arial" w:cs="Arial"/>
          <w:sz w:val="24"/>
          <w:szCs w:val="24"/>
        </w:rPr>
        <w:t>ant debt maturity is in May 2018</w:t>
      </w:r>
      <w:r w:rsidRPr="00925EFB">
        <w:rPr>
          <w:rFonts w:ascii="Arial" w:hAnsi="Arial" w:cs="Arial"/>
          <w:sz w:val="24"/>
          <w:szCs w:val="24"/>
        </w:rPr>
        <w:t xml:space="preserve"> when the Group is required to repay US Private Placement d</w:t>
      </w:r>
      <w:r w:rsidR="00DA0765" w:rsidRPr="00925EFB">
        <w:rPr>
          <w:rFonts w:ascii="Arial" w:hAnsi="Arial" w:cs="Arial"/>
          <w:sz w:val="24"/>
          <w:szCs w:val="24"/>
        </w:rPr>
        <w:t>ebt with a notional value of $179</w:t>
      </w:r>
      <w:r w:rsidRPr="00925EFB">
        <w:rPr>
          <w:rFonts w:ascii="Arial" w:hAnsi="Arial" w:cs="Arial"/>
          <w:sz w:val="24"/>
          <w:szCs w:val="24"/>
        </w:rPr>
        <w:t xml:space="preserve"> million.</w:t>
      </w:r>
    </w:p>
    <w:p w14:paraId="773D9838" w14:textId="77777777" w:rsidR="00773A54" w:rsidRPr="00A03549" w:rsidRDefault="00773A54" w:rsidP="00773A54">
      <w:pPr>
        <w:jc w:val="left"/>
        <w:rPr>
          <w:rFonts w:ascii="Arial" w:hAnsi="Arial" w:cs="Arial"/>
          <w:sz w:val="24"/>
          <w:szCs w:val="24"/>
          <w:highlight w:val="lightGray"/>
        </w:rPr>
      </w:pPr>
    </w:p>
    <w:p w14:paraId="11058E76" w14:textId="77777777" w:rsidR="00773A54" w:rsidRPr="00A03549" w:rsidRDefault="00773A54" w:rsidP="00773A54">
      <w:pPr>
        <w:jc w:val="left"/>
        <w:rPr>
          <w:rStyle w:val="Hyperlink"/>
          <w:rFonts w:ascii="Arial" w:hAnsi="Arial" w:cs="Arial"/>
          <w:sz w:val="24"/>
          <w:szCs w:val="24"/>
        </w:rPr>
      </w:pPr>
      <w:r w:rsidRPr="00A03549">
        <w:rPr>
          <w:rFonts w:ascii="Arial" w:hAnsi="Arial" w:cs="Arial"/>
          <w:sz w:val="24"/>
          <w:szCs w:val="24"/>
        </w:rPr>
        <w:t xml:space="preserve">The maturity profile of Kingfisher’s debt is illustrated at: </w:t>
      </w:r>
      <w:r w:rsidRPr="00A03549">
        <w:rPr>
          <w:rStyle w:val="Hyperlink"/>
          <w:rFonts w:ascii="Arial" w:hAnsi="Arial" w:cs="Arial"/>
          <w:sz w:val="24"/>
          <w:szCs w:val="24"/>
        </w:rPr>
        <w:t>www.kingfisher.com/index.asp?pageid=74</w:t>
      </w:r>
    </w:p>
    <w:p w14:paraId="1D3710EC" w14:textId="77777777" w:rsidR="00773A54" w:rsidRPr="00A03549" w:rsidRDefault="00773A54" w:rsidP="00773A54">
      <w:pPr>
        <w:jc w:val="left"/>
        <w:rPr>
          <w:rFonts w:ascii="Arial" w:hAnsi="Arial" w:cs="Arial"/>
          <w:sz w:val="24"/>
          <w:szCs w:val="24"/>
        </w:rPr>
      </w:pPr>
    </w:p>
    <w:p w14:paraId="6490EF38" w14:textId="77777777" w:rsidR="00773A54" w:rsidRPr="00A03549" w:rsidRDefault="00773A54" w:rsidP="00773A54">
      <w:pPr>
        <w:rPr>
          <w:rFonts w:ascii="Arial" w:hAnsi="Arial" w:cs="Arial"/>
          <w:b/>
          <w:sz w:val="24"/>
          <w:szCs w:val="24"/>
        </w:rPr>
      </w:pPr>
      <w:r w:rsidRPr="00A03549">
        <w:rPr>
          <w:rFonts w:ascii="Arial" w:hAnsi="Arial" w:cs="Arial"/>
          <w:b/>
          <w:sz w:val="24"/>
          <w:szCs w:val="24"/>
        </w:rPr>
        <w:t>Disposals</w:t>
      </w:r>
    </w:p>
    <w:p w14:paraId="27362E1B" w14:textId="77777777" w:rsidR="00773A54" w:rsidRPr="00A03549" w:rsidRDefault="00773A54" w:rsidP="00773A54">
      <w:pPr>
        <w:rPr>
          <w:rFonts w:ascii="Arial" w:hAnsi="Arial" w:cs="Arial"/>
          <w:b/>
          <w:sz w:val="24"/>
          <w:szCs w:val="24"/>
        </w:rPr>
      </w:pPr>
    </w:p>
    <w:p w14:paraId="649397D3" w14:textId="2633FF1E" w:rsidR="00773A54" w:rsidRPr="00A03549" w:rsidRDefault="00773A54" w:rsidP="00773A54">
      <w:pPr>
        <w:autoSpaceDE w:val="0"/>
        <w:autoSpaceDN w:val="0"/>
        <w:jc w:val="left"/>
        <w:rPr>
          <w:rFonts w:ascii="Arial" w:hAnsi="Arial" w:cs="Arial"/>
          <w:sz w:val="24"/>
          <w:szCs w:val="24"/>
          <w:highlight w:val="yellow"/>
        </w:rPr>
      </w:pPr>
      <w:r w:rsidRPr="00A03549">
        <w:rPr>
          <w:rFonts w:ascii="Arial" w:hAnsi="Arial" w:cs="Arial"/>
          <w:sz w:val="24"/>
          <w:szCs w:val="24"/>
        </w:rPr>
        <w:t>On 22 December 2014, Kingfisher announced a binding agreement for Wumei to acquire a controlling 70% stake in its B&amp;Q China business. Gross cash proceeds of £140 million were received in April 2015 following MOFCOM (Chinese Ministry of Commerce) approval. Kingfishe</w:t>
      </w:r>
      <w:r w:rsidR="00595B35">
        <w:rPr>
          <w:rFonts w:ascii="Arial" w:hAnsi="Arial" w:cs="Arial"/>
          <w:sz w:val="24"/>
          <w:szCs w:val="24"/>
        </w:rPr>
        <w:t>r</w:t>
      </w:r>
      <w:r w:rsidRPr="00A03549">
        <w:rPr>
          <w:rFonts w:ascii="Arial" w:hAnsi="Arial" w:cs="Arial"/>
          <w:sz w:val="24"/>
          <w:szCs w:val="24"/>
        </w:rPr>
        <w:t xml:space="preserve">, with the agreement of Wumei, exercised its option to dispose of the remaining 30% economic interest on 23 March 2016. </w:t>
      </w:r>
      <w:r w:rsidRPr="00595B35">
        <w:rPr>
          <w:rFonts w:ascii="Arial" w:hAnsi="Arial" w:cs="Arial"/>
          <w:sz w:val="24"/>
          <w:szCs w:val="24"/>
        </w:rPr>
        <w:t xml:space="preserve">Following regulatory approval, </w:t>
      </w:r>
      <w:r w:rsidRPr="00925EFB">
        <w:rPr>
          <w:rFonts w:ascii="Arial" w:hAnsi="Arial" w:cs="Arial"/>
          <w:sz w:val="24"/>
          <w:szCs w:val="24"/>
        </w:rPr>
        <w:t>Kingfisher received £63</w:t>
      </w:r>
      <w:r w:rsidR="00595B35" w:rsidRPr="00925EFB">
        <w:rPr>
          <w:rFonts w:ascii="Arial" w:hAnsi="Arial" w:cs="Arial"/>
          <w:sz w:val="24"/>
          <w:szCs w:val="24"/>
        </w:rPr>
        <w:t xml:space="preserve"> </w:t>
      </w:r>
      <w:r w:rsidRPr="00925EFB">
        <w:rPr>
          <w:rFonts w:ascii="Arial" w:hAnsi="Arial" w:cs="Arial"/>
          <w:sz w:val="24"/>
          <w:szCs w:val="24"/>
        </w:rPr>
        <w:t>m</w:t>
      </w:r>
      <w:r w:rsidR="00595B35" w:rsidRPr="00925EFB">
        <w:rPr>
          <w:rFonts w:ascii="Arial" w:hAnsi="Arial" w:cs="Arial"/>
          <w:sz w:val="24"/>
          <w:szCs w:val="24"/>
        </w:rPr>
        <w:t>illion</w:t>
      </w:r>
      <w:r w:rsidRPr="00925EFB">
        <w:rPr>
          <w:rFonts w:ascii="Arial" w:hAnsi="Arial" w:cs="Arial"/>
          <w:sz w:val="24"/>
          <w:szCs w:val="24"/>
        </w:rPr>
        <w:t xml:space="preserve"> </w:t>
      </w:r>
      <w:r w:rsidR="00ED6ED3" w:rsidRPr="00595B35">
        <w:rPr>
          <w:rFonts w:ascii="Arial" w:hAnsi="Arial" w:cs="Arial"/>
          <w:sz w:val="24"/>
          <w:szCs w:val="24"/>
        </w:rPr>
        <w:t xml:space="preserve">of </w:t>
      </w:r>
      <w:r w:rsidR="008355A5">
        <w:rPr>
          <w:rFonts w:ascii="Arial" w:hAnsi="Arial" w:cs="Arial"/>
          <w:sz w:val="24"/>
          <w:szCs w:val="24"/>
        </w:rPr>
        <w:t>net</w:t>
      </w:r>
      <w:r w:rsidR="00ED6ED3" w:rsidRPr="00595B35">
        <w:rPr>
          <w:rFonts w:ascii="Arial" w:hAnsi="Arial" w:cs="Arial"/>
          <w:sz w:val="24"/>
          <w:szCs w:val="24"/>
        </w:rPr>
        <w:t xml:space="preserve"> proceeds </w:t>
      </w:r>
      <w:r w:rsidR="00C85DB3" w:rsidRPr="00925EFB">
        <w:rPr>
          <w:rFonts w:ascii="Arial" w:hAnsi="Arial" w:cs="Arial"/>
          <w:sz w:val="24"/>
          <w:szCs w:val="24"/>
        </w:rPr>
        <w:t>in Ju</w:t>
      </w:r>
      <w:r w:rsidR="00595B35" w:rsidRPr="00925EFB">
        <w:rPr>
          <w:rFonts w:ascii="Arial" w:hAnsi="Arial" w:cs="Arial"/>
          <w:sz w:val="24"/>
          <w:szCs w:val="24"/>
        </w:rPr>
        <w:t>ly</w:t>
      </w:r>
      <w:r w:rsidRPr="00925EFB">
        <w:rPr>
          <w:rFonts w:ascii="Arial" w:hAnsi="Arial" w:cs="Arial"/>
          <w:sz w:val="24"/>
          <w:szCs w:val="24"/>
        </w:rPr>
        <w:t xml:space="preserve"> 2016, completing the transaction.</w:t>
      </w:r>
    </w:p>
    <w:p w14:paraId="0D346793" w14:textId="77777777" w:rsidR="00773A54" w:rsidRPr="00D461B1" w:rsidRDefault="00773A54" w:rsidP="00773A54">
      <w:pPr>
        <w:jc w:val="left"/>
        <w:rPr>
          <w:rFonts w:ascii="Arial" w:hAnsi="Arial" w:cs="Arial"/>
          <w:sz w:val="24"/>
          <w:szCs w:val="24"/>
        </w:rPr>
      </w:pPr>
    </w:p>
    <w:p w14:paraId="2E7637CA" w14:textId="6F42A31A" w:rsidR="00773A54" w:rsidRPr="00A03549" w:rsidRDefault="00773A54" w:rsidP="00773A54">
      <w:pPr>
        <w:jc w:val="left"/>
        <w:rPr>
          <w:rFonts w:ascii="Arial" w:hAnsi="Arial" w:cs="Arial"/>
          <w:b/>
          <w:sz w:val="24"/>
          <w:szCs w:val="24"/>
        </w:rPr>
      </w:pPr>
      <w:r w:rsidRPr="00A03549">
        <w:rPr>
          <w:rFonts w:ascii="Arial" w:hAnsi="Arial" w:cs="Arial"/>
          <w:b/>
          <w:sz w:val="24"/>
          <w:szCs w:val="24"/>
        </w:rPr>
        <w:t>Pensions</w:t>
      </w:r>
    </w:p>
    <w:p w14:paraId="0846FB81" w14:textId="77777777" w:rsidR="00773A54" w:rsidRPr="00A03549" w:rsidRDefault="00773A54" w:rsidP="00773A54">
      <w:pPr>
        <w:jc w:val="left"/>
        <w:rPr>
          <w:rFonts w:ascii="Arial" w:hAnsi="Arial" w:cs="Arial"/>
          <w:b/>
          <w:sz w:val="24"/>
          <w:szCs w:val="24"/>
          <w:highlight w:val="lightGray"/>
        </w:rPr>
      </w:pPr>
    </w:p>
    <w:p w14:paraId="17E862DF" w14:textId="33CEE2A3" w:rsidR="00BC6546" w:rsidRDefault="00BC6546" w:rsidP="00925EFB">
      <w:pPr>
        <w:jc w:val="left"/>
        <w:rPr>
          <w:rFonts w:ascii="Arial" w:hAnsi="Arial" w:cs="Arial"/>
          <w:sz w:val="24"/>
          <w:szCs w:val="24"/>
        </w:rPr>
      </w:pPr>
      <w:r>
        <w:rPr>
          <w:rFonts w:ascii="Arial" w:hAnsi="Arial" w:cs="Arial"/>
          <w:sz w:val="24"/>
          <w:szCs w:val="24"/>
        </w:rPr>
        <w:t>At the period end, the Group had a net surplus of £78 million (£159 million net surplus at 31 January 2016) in relation to defined benefit pension arrangements, of which a £178 million surplus (£246 million surplus at 31 January 2016) was in relation to the UK scheme. The adverse movement reflects a significantly lower discount rate being applied to the UK scheme liabilities (£3.</w:t>
      </w:r>
      <w:r w:rsidR="006359CA">
        <w:rPr>
          <w:rFonts w:ascii="Arial" w:hAnsi="Arial" w:cs="Arial"/>
          <w:sz w:val="24"/>
          <w:szCs w:val="24"/>
        </w:rPr>
        <w:t>0</w:t>
      </w:r>
      <w:r w:rsidR="00595B35">
        <w:rPr>
          <w:rFonts w:ascii="Arial" w:hAnsi="Arial" w:cs="Arial"/>
          <w:sz w:val="24"/>
          <w:szCs w:val="24"/>
        </w:rPr>
        <w:t xml:space="preserve"> </w:t>
      </w:r>
      <w:r>
        <w:rPr>
          <w:rFonts w:ascii="Arial" w:hAnsi="Arial" w:cs="Arial"/>
          <w:sz w:val="24"/>
          <w:szCs w:val="24"/>
        </w:rPr>
        <w:t>b</w:t>
      </w:r>
      <w:r w:rsidR="00595B35">
        <w:rPr>
          <w:rFonts w:ascii="Arial" w:hAnsi="Arial" w:cs="Arial"/>
          <w:sz w:val="24"/>
          <w:szCs w:val="24"/>
        </w:rPr>
        <w:t>illio</w:t>
      </w:r>
      <w:r>
        <w:rPr>
          <w:rFonts w:ascii="Arial" w:hAnsi="Arial" w:cs="Arial"/>
          <w:sz w:val="24"/>
          <w:szCs w:val="24"/>
        </w:rPr>
        <w:t>n at 31 July 2016), largely offset by the growth in UK asset values over the period due to the interest rate hedging in place. This accounting valuation is sensitive to a number of assumptions and market rates which are likely to fluctuate in the future.</w:t>
      </w:r>
    </w:p>
    <w:p w14:paraId="1BF4B8F3" w14:textId="77777777" w:rsidR="00773A54" w:rsidRPr="00A03549" w:rsidRDefault="00773A54" w:rsidP="00773A54">
      <w:pPr>
        <w:jc w:val="left"/>
        <w:rPr>
          <w:rFonts w:ascii="Arial" w:hAnsi="Arial" w:cs="Arial"/>
          <w:sz w:val="24"/>
          <w:szCs w:val="24"/>
          <w:highlight w:val="yellow"/>
        </w:rPr>
      </w:pPr>
    </w:p>
    <w:p w14:paraId="190B7986" w14:textId="3EEE0317" w:rsidR="000754C8" w:rsidRPr="0020209B" w:rsidRDefault="000754C8" w:rsidP="004B0C6D">
      <w:pPr>
        <w:jc w:val="left"/>
        <w:rPr>
          <w:rFonts w:ascii="Arial" w:hAnsi="Arial" w:cs="Arial"/>
          <w:b/>
          <w:sz w:val="24"/>
          <w:szCs w:val="24"/>
        </w:rPr>
      </w:pPr>
      <w:r w:rsidRPr="0020209B">
        <w:rPr>
          <w:rFonts w:ascii="Arial" w:hAnsi="Arial" w:cs="Arial"/>
          <w:b/>
          <w:sz w:val="24"/>
          <w:szCs w:val="24"/>
        </w:rPr>
        <w:t>Risks</w:t>
      </w:r>
    </w:p>
    <w:p w14:paraId="6841C9F7" w14:textId="77777777" w:rsidR="000754C8" w:rsidRDefault="000754C8" w:rsidP="004B0C6D">
      <w:pPr>
        <w:jc w:val="left"/>
        <w:rPr>
          <w:rFonts w:ascii="Arial" w:hAnsi="Arial" w:cs="Arial"/>
          <w:sz w:val="24"/>
          <w:szCs w:val="24"/>
        </w:rPr>
      </w:pPr>
    </w:p>
    <w:p w14:paraId="6CFB8F16" w14:textId="77777777" w:rsidR="004B0C6D" w:rsidRDefault="004B0C6D" w:rsidP="004B0C6D">
      <w:pPr>
        <w:jc w:val="left"/>
        <w:rPr>
          <w:rFonts w:ascii="Arial" w:hAnsi="Arial" w:cs="Arial"/>
          <w:sz w:val="24"/>
          <w:szCs w:val="24"/>
        </w:rPr>
      </w:pPr>
      <w:r>
        <w:rPr>
          <w:rFonts w:ascii="Arial" w:hAnsi="Arial" w:cs="Arial"/>
          <w:sz w:val="24"/>
          <w:szCs w:val="24"/>
        </w:rPr>
        <w:t xml:space="preserve">The principal risks and uncertainties have been reviewed as part of our half year procedures. We have considered the impact of the EU referendum result as part of this review. The EU referendum result has created uncertainty for the economic outlook in the UK. Although there has been no clear evidence of an impact neither on demand so far on our </w:t>
      </w:r>
      <w:r w:rsidRPr="00723F78">
        <w:rPr>
          <w:rFonts w:ascii="Arial" w:hAnsi="Arial" w:cs="Arial"/>
          <w:sz w:val="24"/>
          <w:szCs w:val="24"/>
        </w:rPr>
        <w:t xml:space="preserve">businesses </w:t>
      </w:r>
      <w:r w:rsidRPr="00DC23B3">
        <w:rPr>
          <w:rFonts w:ascii="Arial" w:hAnsi="Arial" w:cs="Arial"/>
          <w:sz w:val="24"/>
          <w:szCs w:val="24"/>
        </w:rPr>
        <w:t>nor our principal risks</w:t>
      </w:r>
      <w:r w:rsidRPr="00723F78">
        <w:rPr>
          <w:rFonts w:ascii="Arial" w:hAnsi="Arial" w:cs="Arial"/>
          <w:sz w:val="24"/>
          <w:szCs w:val="24"/>
        </w:rPr>
        <w:t>, we</w:t>
      </w:r>
      <w:r>
        <w:rPr>
          <w:rFonts w:ascii="Arial" w:hAnsi="Arial" w:cs="Arial"/>
          <w:sz w:val="24"/>
          <w:szCs w:val="24"/>
        </w:rPr>
        <w:t xml:space="preserve"> have established a working group to monitor developments and the potential future impact of Brexit. </w:t>
      </w:r>
    </w:p>
    <w:p w14:paraId="09AD3E99" w14:textId="77777777" w:rsidR="004B0C6D" w:rsidRDefault="004B0C6D" w:rsidP="004B0C6D">
      <w:pPr>
        <w:pStyle w:val="Default"/>
        <w:rPr>
          <w:rFonts w:ascii="Arial" w:hAnsi="Arial" w:cs="Arial"/>
        </w:rPr>
      </w:pPr>
    </w:p>
    <w:p w14:paraId="564733F2" w14:textId="77777777" w:rsidR="004B0C6D" w:rsidRDefault="004B0C6D" w:rsidP="004B0C6D">
      <w:pPr>
        <w:pStyle w:val="Default"/>
      </w:pPr>
      <w:r>
        <w:t xml:space="preserve">We therefore consider the principal risks to be unchanged from those reported in the Annual </w:t>
      </w:r>
      <w:r w:rsidRPr="004B0C6D">
        <w:t xml:space="preserve">Report </w:t>
      </w:r>
      <w:r w:rsidRPr="0020209B">
        <w:t>and are listed below.</w:t>
      </w:r>
    </w:p>
    <w:p w14:paraId="04A0A5E2" w14:textId="77777777" w:rsidR="004B0C6D" w:rsidRDefault="004B0C6D" w:rsidP="004B0C6D">
      <w:pPr>
        <w:tabs>
          <w:tab w:val="left" w:pos="2171"/>
        </w:tabs>
        <w:autoSpaceDE w:val="0"/>
        <w:autoSpaceDN w:val="0"/>
        <w:adjustRightInd w:val="0"/>
        <w:jc w:val="left"/>
        <w:rPr>
          <w:rFonts w:ascii="Arial" w:hAnsi="Arial" w:cs="Arial"/>
          <w:bCs/>
          <w:sz w:val="24"/>
          <w:szCs w:val="24"/>
        </w:rPr>
      </w:pPr>
      <w:r>
        <w:rPr>
          <w:rFonts w:ascii="Arial" w:hAnsi="Arial" w:cs="Arial"/>
          <w:bCs/>
          <w:sz w:val="24"/>
          <w:szCs w:val="24"/>
        </w:rPr>
        <w:tab/>
      </w:r>
    </w:p>
    <w:p w14:paraId="22086FD9" w14:textId="77777777" w:rsidR="004B0C6D" w:rsidRPr="00A03549"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t>Organising Kingfisher as a more unified company with a unified customer offer rather than a collection of individual businesses fails to deliver the anticipated benefits</w:t>
      </w:r>
    </w:p>
    <w:p w14:paraId="38B799C5" w14:textId="77777777" w:rsidR="004B0C6D" w:rsidRPr="00A03549" w:rsidRDefault="004B0C6D" w:rsidP="004B0C6D">
      <w:pPr>
        <w:autoSpaceDE w:val="0"/>
        <w:autoSpaceDN w:val="0"/>
        <w:adjustRightInd w:val="0"/>
        <w:jc w:val="left"/>
        <w:rPr>
          <w:rFonts w:ascii="Arial" w:hAnsi="Arial"/>
          <w:sz w:val="24"/>
          <w:szCs w:val="24"/>
        </w:rPr>
      </w:pPr>
    </w:p>
    <w:p w14:paraId="7692EE68" w14:textId="77777777" w:rsidR="004B0C6D" w:rsidRPr="00A03549"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t>We fail to deliver the benefits of a more unified and unique offer and standardised activities and processes</w:t>
      </w:r>
    </w:p>
    <w:p w14:paraId="7DD115CC" w14:textId="77777777" w:rsidR="004B0C6D" w:rsidRPr="00A03549" w:rsidRDefault="004B0C6D" w:rsidP="004B0C6D">
      <w:pPr>
        <w:autoSpaceDE w:val="0"/>
        <w:autoSpaceDN w:val="0"/>
        <w:adjustRightInd w:val="0"/>
        <w:jc w:val="left"/>
        <w:rPr>
          <w:rFonts w:ascii="ProximaNova" w:eastAsiaTheme="minorHAnsi" w:hAnsi="ProximaNova" w:cs="ProximaNova"/>
          <w:sz w:val="16"/>
          <w:szCs w:val="16"/>
          <w:lang w:eastAsia="en-US"/>
        </w:rPr>
      </w:pPr>
    </w:p>
    <w:p w14:paraId="593E236D" w14:textId="77777777" w:rsidR="004B0C6D" w:rsidRPr="00A03549"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t>A lack of perceived price competitiveness, particularly when compared to more discount based or online competitors, would affect our ability to maintain or grow market share</w:t>
      </w:r>
    </w:p>
    <w:p w14:paraId="3FE1F13A" w14:textId="77777777" w:rsidR="004B0C6D" w:rsidRPr="00A03549" w:rsidRDefault="004B0C6D" w:rsidP="004B0C6D">
      <w:pPr>
        <w:autoSpaceDE w:val="0"/>
        <w:autoSpaceDN w:val="0"/>
        <w:adjustRightInd w:val="0"/>
        <w:jc w:val="left"/>
        <w:rPr>
          <w:rFonts w:ascii="ProximaNova" w:eastAsiaTheme="minorHAnsi" w:hAnsi="ProximaNova" w:cs="ProximaNova"/>
          <w:color w:val="000000"/>
          <w:sz w:val="16"/>
          <w:szCs w:val="16"/>
          <w:lang w:eastAsia="en-US"/>
        </w:rPr>
      </w:pPr>
    </w:p>
    <w:p w14:paraId="59F015BC" w14:textId="77777777" w:rsidR="004B0C6D" w:rsidRPr="00A03549"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t>We fail to deliver our sustainability targets due to not integrating our sustainability plan into the day-to-day operations of the business</w:t>
      </w:r>
    </w:p>
    <w:p w14:paraId="6A7EBB11" w14:textId="77777777" w:rsidR="004B0C6D" w:rsidRPr="00A03549" w:rsidRDefault="004B0C6D" w:rsidP="004B0C6D">
      <w:pPr>
        <w:autoSpaceDE w:val="0"/>
        <w:autoSpaceDN w:val="0"/>
        <w:adjustRightInd w:val="0"/>
        <w:jc w:val="left"/>
        <w:rPr>
          <w:rFonts w:ascii="Arial" w:hAnsi="Arial"/>
          <w:sz w:val="24"/>
          <w:szCs w:val="24"/>
        </w:rPr>
      </w:pPr>
    </w:p>
    <w:p w14:paraId="1ADB58FD" w14:textId="77777777" w:rsidR="004B0C6D" w:rsidRPr="00A03549"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lastRenderedPageBreak/>
        <w:t>We fail to create a culture of innovation in our offer, format and digital channels to stimulate consumer spend and deliver desired sales growth</w:t>
      </w:r>
    </w:p>
    <w:p w14:paraId="6BF1A545" w14:textId="77777777" w:rsidR="004B0C6D" w:rsidRPr="00A03549" w:rsidRDefault="004B0C6D" w:rsidP="004B0C6D">
      <w:pPr>
        <w:autoSpaceDE w:val="0"/>
        <w:autoSpaceDN w:val="0"/>
        <w:adjustRightInd w:val="0"/>
        <w:jc w:val="left"/>
        <w:rPr>
          <w:rFonts w:ascii="Arial" w:hAnsi="Arial"/>
          <w:sz w:val="24"/>
          <w:szCs w:val="24"/>
        </w:rPr>
      </w:pPr>
    </w:p>
    <w:p w14:paraId="305E2D39" w14:textId="77777777" w:rsidR="004B0C6D" w:rsidRPr="00A03549"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t>Our investments fail to deliver value to the Company</w:t>
      </w:r>
    </w:p>
    <w:p w14:paraId="27F99F94" w14:textId="77777777" w:rsidR="004B0C6D" w:rsidRPr="00A03549" w:rsidRDefault="004B0C6D" w:rsidP="004B0C6D">
      <w:pPr>
        <w:autoSpaceDE w:val="0"/>
        <w:autoSpaceDN w:val="0"/>
        <w:adjustRightInd w:val="0"/>
        <w:jc w:val="left"/>
        <w:rPr>
          <w:rFonts w:ascii="Arial" w:hAnsi="Arial"/>
          <w:sz w:val="24"/>
          <w:szCs w:val="24"/>
        </w:rPr>
      </w:pPr>
    </w:p>
    <w:p w14:paraId="2E6BA943" w14:textId="77777777" w:rsidR="004B0C6D" w:rsidRPr="00A03549"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t>Our Unified IT platform programme fails to deliver the requirements in line with the plan needed to enable and support the delivery of the Company strategy</w:t>
      </w:r>
    </w:p>
    <w:p w14:paraId="73494787" w14:textId="77777777" w:rsidR="004B0C6D" w:rsidRPr="00A03549" w:rsidRDefault="004B0C6D" w:rsidP="004B0C6D">
      <w:pPr>
        <w:autoSpaceDE w:val="0"/>
        <w:autoSpaceDN w:val="0"/>
        <w:adjustRightInd w:val="0"/>
        <w:jc w:val="left"/>
        <w:rPr>
          <w:rFonts w:ascii="Arial" w:hAnsi="Arial"/>
          <w:sz w:val="24"/>
          <w:szCs w:val="24"/>
        </w:rPr>
      </w:pPr>
    </w:p>
    <w:p w14:paraId="5D49FE3A" w14:textId="77777777" w:rsidR="004B0C6D" w:rsidRPr="00A03549"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t>We fail to identify and maximise potential cost reductions and efficiency savings</w:t>
      </w:r>
    </w:p>
    <w:p w14:paraId="7AAADE65" w14:textId="77777777" w:rsidR="004B0C6D" w:rsidRPr="00A03549" w:rsidRDefault="004B0C6D" w:rsidP="004B0C6D">
      <w:pPr>
        <w:autoSpaceDE w:val="0"/>
        <w:autoSpaceDN w:val="0"/>
        <w:adjustRightInd w:val="0"/>
        <w:jc w:val="left"/>
        <w:rPr>
          <w:rFonts w:ascii="Arial" w:hAnsi="Arial"/>
          <w:sz w:val="24"/>
          <w:szCs w:val="24"/>
        </w:rPr>
      </w:pPr>
    </w:p>
    <w:p w14:paraId="0822B50B" w14:textId="77777777" w:rsidR="004B0C6D"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t>We do not make the necessary investment in our people to ensure that we have the appropriate capacity, skills and experience</w:t>
      </w:r>
    </w:p>
    <w:p w14:paraId="36880D49" w14:textId="77777777" w:rsidR="004B0C6D" w:rsidRPr="00A03549" w:rsidRDefault="004B0C6D" w:rsidP="004B0C6D">
      <w:pPr>
        <w:autoSpaceDE w:val="0"/>
        <w:autoSpaceDN w:val="0"/>
        <w:adjustRightInd w:val="0"/>
        <w:jc w:val="left"/>
        <w:rPr>
          <w:rFonts w:ascii="Arial" w:hAnsi="Arial"/>
          <w:sz w:val="24"/>
          <w:szCs w:val="24"/>
        </w:rPr>
      </w:pPr>
    </w:p>
    <w:p w14:paraId="1C727C65" w14:textId="77777777" w:rsidR="004B0C6D" w:rsidRPr="00A03549"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t>Uncertainty surrounding the resilience of the global economy and increased geopolitical volatility may impact both consumer confidence and the long-term sustainability and capabilities of our supplier base</w:t>
      </w:r>
    </w:p>
    <w:p w14:paraId="6F1ADE1E" w14:textId="77777777" w:rsidR="004B0C6D" w:rsidRPr="00A03549" w:rsidRDefault="004B0C6D" w:rsidP="004B0C6D">
      <w:pPr>
        <w:pStyle w:val="ListParagraph"/>
        <w:autoSpaceDE w:val="0"/>
        <w:autoSpaceDN w:val="0"/>
        <w:adjustRightInd w:val="0"/>
        <w:jc w:val="left"/>
        <w:rPr>
          <w:rFonts w:ascii="Arial" w:hAnsi="Arial" w:cs="Arial"/>
          <w:bCs/>
          <w:sz w:val="24"/>
          <w:szCs w:val="24"/>
        </w:rPr>
      </w:pPr>
    </w:p>
    <w:p w14:paraId="74C82446" w14:textId="77777777" w:rsidR="004B0C6D" w:rsidRPr="00A03549"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t>We fail to maintain a safe environment for our customers and store colleagues which results in a major incident or fatality that is directly attributable to a failure in our health and safety management systems</w:t>
      </w:r>
    </w:p>
    <w:p w14:paraId="3D24898A" w14:textId="77777777" w:rsidR="004B0C6D" w:rsidRPr="00A03549" w:rsidRDefault="004B0C6D" w:rsidP="004B0C6D">
      <w:pPr>
        <w:autoSpaceDE w:val="0"/>
        <w:autoSpaceDN w:val="0"/>
        <w:adjustRightInd w:val="0"/>
        <w:jc w:val="left"/>
        <w:rPr>
          <w:rFonts w:ascii="Arial" w:hAnsi="Arial"/>
          <w:sz w:val="24"/>
          <w:szCs w:val="24"/>
        </w:rPr>
      </w:pPr>
    </w:p>
    <w:p w14:paraId="3DBD5391" w14:textId="77777777" w:rsidR="004B0C6D" w:rsidRDefault="004B0C6D" w:rsidP="004B0C6D">
      <w:pPr>
        <w:pStyle w:val="ListParagraph"/>
        <w:numPr>
          <w:ilvl w:val="0"/>
          <w:numId w:val="4"/>
        </w:numPr>
        <w:autoSpaceDE w:val="0"/>
        <w:autoSpaceDN w:val="0"/>
        <w:adjustRightInd w:val="0"/>
        <w:jc w:val="left"/>
        <w:rPr>
          <w:rFonts w:ascii="Arial" w:hAnsi="Arial" w:cs="Arial"/>
          <w:bCs/>
          <w:sz w:val="24"/>
          <w:szCs w:val="24"/>
        </w:rPr>
      </w:pPr>
      <w:r w:rsidRPr="00A03549">
        <w:rPr>
          <w:rFonts w:ascii="Arial" w:hAnsi="Arial" w:cs="Arial"/>
          <w:bCs/>
          <w:sz w:val="24"/>
          <w:szCs w:val="24"/>
        </w:rPr>
        <w:t>Kingfisher’s reputation and brand are affected by a major environmental or ethical failure, a significant corporate fraud or material non-compliance with legislative or regulatory requirements resulting in punitive or custodial procedures</w:t>
      </w:r>
    </w:p>
    <w:p w14:paraId="233BB2C0" w14:textId="77777777" w:rsidR="004B0C6D" w:rsidRPr="00A03549" w:rsidRDefault="004B0C6D" w:rsidP="004B0C6D"/>
    <w:p w14:paraId="444537C2" w14:textId="77777777" w:rsidR="004B0C6D" w:rsidRDefault="004B0C6D" w:rsidP="004B0C6D">
      <w:r w:rsidRPr="00A03549">
        <w:rPr>
          <w:rFonts w:ascii="Arial" w:hAnsi="Arial"/>
          <w:sz w:val="24"/>
          <w:szCs w:val="24"/>
        </w:rPr>
        <w:t>Further details of the Group risks and risk management process can be found on pages 31 to 35 of the 2015/16 Annual Report and Accounts.</w:t>
      </w:r>
    </w:p>
    <w:p w14:paraId="2FD7B603" w14:textId="77777777" w:rsidR="00773A54" w:rsidRDefault="00773A54" w:rsidP="00773A54"/>
    <w:p w14:paraId="016E5F3F" w14:textId="77777777" w:rsidR="00773A54" w:rsidRDefault="00773A54">
      <w:pPr>
        <w:jc w:val="left"/>
        <w:rPr>
          <w:rFonts w:ascii="Arial" w:hAnsi="Arial" w:cs="Arial"/>
          <w:b/>
          <w:bCs/>
          <w:sz w:val="24"/>
          <w:szCs w:val="24"/>
        </w:rPr>
      </w:pPr>
    </w:p>
    <w:p w14:paraId="02489250" w14:textId="77777777" w:rsidR="00773A54" w:rsidRDefault="00773A54">
      <w:pPr>
        <w:jc w:val="left"/>
        <w:rPr>
          <w:rFonts w:ascii="Arial" w:hAnsi="Arial" w:cs="Arial"/>
          <w:b/>
          <w:bCs/>
          <w:sz w:val="24"/>
          <w:szCs w:val="24"/>
        </w:rPr>
      </w:pPr>
    </w:p>
    <w:p w14:paraId="3521B0CD" w14:textId="77777777" w:rsidR="00773A54" w:rsidRDefault="00773A54">
      <w:pPr>
        <w:jc w:val="left"/>
        <w:rPr>
          <w:rFonts w:ascii="Arial" w:hAnsi="Arial" w:cs="Arial"/>
          <w:b/>
          <w:bCs/>
          <w:sz w:val="24"/>
          <w:szCs w:val="24"/>
        </w:rPr>
      </w:pPr>
    </w:p>
    <w:p w14:paraId="68886E1D" w14:textId="77777777" w:rsidR="00773A54" w:rsidRDefault="00773A54">
      <w:pPr>
        <w:jc w:val="left"/>
        <w:rPr>
          <w:rFonts w:ascii="Arial" w:hAnsi="Arial" w:cs="Arial"/>
          <w:b/>
          <w:bCs/>
          <w:sz w:val="24"/>
          <w:szCs w:val="24"/>
        </w:rPr>
      </w:pPr>
    </w:p>
    <w:p w14:paraId="54F54495" w14:textId="77777777" w:rsidR="00773A54" w:rsidRDefault="00773A54">
      <w:pPr>
        <w:jc w:val="left"/>
        <w:rPr>
          <w:rFonts w:ascii="Arial" w:hAnsi="Arial" w:cs="Arial"/>
          <w:b/>
          <w:bCs/>
          <w:sz w:val="24"/>
          <w:szCs w:val="24"/>
        </w:rPr>
      </w:pPr>
    </w:p>
    <w:p w14:paraId="6054FBD1" w14:textId="77777777" w:rsidR="00773A54" w:rsidRDefault="00773A54">
      <w:pPr>
        <w:jc w:val="left"/>
        <w:rPr>
          <w:rFonts w:ascii="Arial" w:hAnsi="Arial" w:cs="Arial"/>
          <w:b/>
          <w:bCs/>
          <w:sz w:val="24"/>
          <w:szCs w:val="24"/>
        </w:rPr>
      </w:pPr>
    </w:p>
    <w:p w14:paraId="374D6C26" w14:textId="77777777" w:rsidR="00773A54" w:rsidRDefault="00773A54">
      <w:pPr>
        <w:jc w:val="left"/>
        <w:rPr>
          <w:rFonts w:ascii="Arial" w:hAnsi="Arial" w:cs="Arial"/>
          <w:b/>
          <w:bCs/>
          <w:sz w:val="24"/>
          <w:szCs w:val="24"/>
        </w:rPr>
      </w:pPr>
    </w:p>
    <w:p w14:paraId="303AC4DF" w14:textId="77777777" w:rsidR="00773A54" w:rsidRDefault="00773A54">
      <w:pPr>
        <w:jc w:val="left"/>
        <w:rPr>
          <w:rFonts w:ascii="Arial" w:hAnsi="Arial" w:cs="Arial"/>
          <w:b/>
          <w:bCs/>
          <w:sz w:val="24"/>
          <w:szCs w:val="24"/>
        </w:rPr>
      </w:pPr>
    </w:p>
    <w:p w14:paraId="599F7B66" w14:textId="77777777" w:rsidR="00773A54" w:rsidRDefault="00773A54">
      <w:pPr>
        <w:jc w:val="left"/>
        <w:rPr>
          <w:rFonts w:ascii="Arial" w:hAnsi="Arial" w:cs="Arial"/>
          <w:b/>
          <w:bCs/>
          <w:sz w:val="24"/>
          <w:szCs w:val="24"/>
        </w:rPr>
      </w:pPr>
    </w:p>
    <w:p w14:paraId="564DD078" w14:textId="77777777" w:rsidR="00773A54" w:rsidRDefault="00773A54">
      <w:pPr>
        <w:jc w:val="left"/>
        <w:rPr>
          <w:rFonts w:ascii="Arial" w:hAnsi="Arial" w:cs="Arial"/>
          <w:b/>
          <w:bCs/>
          <w:sz w:val="24"/>
          <w:szCs w:val="24"/>
        </w:rPr>
      </w:pPr>
    </w:p>
    <w:p w14:paraId="02437253" w14:textId="77777777" w:rsidR="00773A54" w:rsidRDefault="00773A54">
      <w:pPr>
        <w:jc w:val="left"/>
        <w:rPr>
          <w:rFonts w:ascii="Arial" w:hAnsi="Arial" w:cs="Arial"/>
          <w:b/>
          <w:bCs/>
          <w:sz w:val="24"/>
          <w:szCs w:val="24"/>
        </w:rPr>
      </w:pPr>
    </w:p>
    <w:p w14:paraId="70858EC0" w14:textId="77777777" w:rsidR="00773A54" w:rsidRDefault="00773A54">
      <w:pPr>
        <w:jc w:val="left"/>
        <w:rPr>
          <w:rFonts w:ascii="Arial" w:hAnsi="Arial" w:cs="Arial"/>
          <w:b/>
          <w:bCs/>
          <w:sz w:val="24"/>
          <w:szCs w:val="24"/>
        </w:rPr>
      </w:pPr>
    </w:p>
    <w:p w14:paraId="4EC24939" w14:textId="77777777" w:rsidR="00773A54" w:rsidRDefault="00773A54">
      <w:pPr>
        <w:jc w:val="left"/>
        <w:rPr>
          <w:rFonts w:ascii="Arial" w:hAnsi="Arial" w:cs="Arial"/>
          <w:b/>
          <w:bCs/>
          <w:sz w:val="24"/>
          <w:szCs w:val="24"/>
        </w:rPr>
      </w:pPr>
    </w:p>
    <w:p w14:paraId="4E055717" w14:textId="65818C18" w:rsidR="00C85DB3" w:rsidRDefault="00773A54">
      <w:pPr>
        <w:jc w:val="left"/>
        <w:rPr>
          <w:rFonts w:ascii="Arial" w:hAnsi="Arial" w:cs="Arial"/>
          <w:bCs/>
          <w:sz w:val="24"/>
          <w:szCs w:val="24"/>
          <w:highlight w:val="yellow"/>
        </w:rPr>
      </w:pPr>
      <w:r w:rsidRPr="000971B9" w:rsidDel="00773A54">
        <w:rPr>
          <w:rFonts w:ascii="Arial" w:hAnsi="Arial" w:cs="Arial"/>
          <w:b/>
          <w:bCs/>
          <w:sz w:val="24"/>
          <w:szCs w:val="24"/>
        </w:rPr>
        <w:t xml:space="preserve"> </w:t>
      </w:r>
      <w:bookmarkStart w:id="0" w:name="FR"/>
      <w:bookmarkEnd w:id="0"/>
    </w:p>
    <w:p w14:paraId="448F8C11" w14:textId="2B00F592" w:rsidR="00FF1280" w:rsidRDefault="00FF1280">
      <w:pPr>
        <w:jc w:val="left"/>
        <w:rPr>
          <w:rFonts w:ascii="Arial" w:hAnsi="Arial" w:cs="Arial"/>
          <w:bCs/>
          <w:sz w:val="24"/>
          <w:szCs w:val="24"/>
          <w:highlight w:val="yellow"/>
        </w:rPr>
      </w:pPr>
    </w:p>
    <w:p w14:paraId="5ED9A9F8" w14:textId="38A7751D" w:rsidR="00FF1280" w:rsidRDefault="00FF1280">
      <w:pPr>
        <w:jc w:val="left"/>
        <w:rPr>
          <w:rFonts w:ascii="Arial" w:hAnsi="Arial" w:cs="Arial"/>
          <w:bCs/>
          <w:sz w:val="24"/>
          <w:szCs w:val="24"/>
          <w:highlight w:val="yellow"/>
        </w:rPr>
      </w:pPr>
    </w:p>
    <w:p w14:paraId="0B44A524" w14:textId="3A3F9565" w:rsidR="00FF1280" w:rsidRDefault="00FF1280">
      <w:pPr>
        <w:jc w:val="left"/>
        <w:rPr>
          <w:rFonts w:ascii="Arial" w:hAnsi="Arial" w:cs="Arial"/>
          <w:bCs/>
          <w:sz w:val="24"/>
          <w:szCs w:val="24"/>
          <w:highlight w:val="yellow"/>
        </w:rPr>
      </w:pPr>
    </w:p>
    <w:p w14:paraId="345309FA" w14:textId="77777777" w:rsidR="00FF1280" w:rsidRDefault="00FF1280">
      <w:pPr>
        <w:jc w:val="left"/>
        <w:rPr>
          <w:rFonts w:ascii="Arial" w:hAnsi="Arial" w:cs="Arial"/>
          <w:bCs/>
          <w:sz w:val="24"/>
          <w:szCs w:val="24"/>
          <w:highlight w:val="yellow"/>
        </w:rPr>
      </w:pPr>
    </w:p>
    <w:p w14:paraId="43547618" w14:textId="77777777" w:rsidR="00106BDC" w:rsidRDefault="00106BDC">
      <w:pPr>
        <w:jc w:val="left"/>
        <w:rPr>
          <w:rFonts w:ascii="Arial" w:hAnsi="Arial" w:cs="Arial"/>
          <w:bCs/>
          <w:sz w:val="24"/>
          <w:szCs w:val="24"/>
          <w:highlight w:val="yellow"/>
        </w:rPr>
      </w:pPr>
    </w:p>
    <w:p w14:paraId="1A434DDD" w14:textId="77777777" w:rsidR="00106BDC" w:rsidRDefault="00106BDC">
      <w:pPr>
        <w:jc w:val="left"/>
        <w:rPr>
          <w:rFonts w:ascii="Arial" w:hAnsi="Arial" w:cs="Arial"/>
          <w:bCs/>
          <w:sz w:val="24"/>
          <w:szCs w:val="24"/>
          <w:highlight w:val="yellow"/>
        </w:rPr>
      </w:pPr>
    </w:p>
    <w:p w14:paraId="6C93C3D9" w14:textId="77777777" w:rsidR="002C29DB" w:rsidRDefault="002C29DB">
      <w:pPr>
        <w:jc w:val="left"/>
        <w:rPr>
          <w:rFonts w:ascii="Arial" w:hAnsi="Arial" w:cs="Arial"/>
          <w:b/>
          <w:bCs/>
          <w:sz w:val="24"/>
          <w:szCs w:val="24"/>
        </w:rPr>
      </w:pPr>
    </w:p>
    <w:p w14:paraId="7BCD48C6" w14:textId="77777777" w:rsidR="002C29DB" w:rsidRDefault="002C29DB">
      <w:pPr>
        <w:jc w:val="left"/>
        <w:rPr>
          <w:rFonts w:ascii="Arial" w:hAnsi="Arial" w:cs="Arial"/>
          <w:b/>
          <w:bCs/>
          <w:sz w:val="24"/>
          <w:szCs w:val="24"/>
        </w:rPr>
      </w:pPr>
    </w:p>
    <w:p w14:paraId="57728BFD" w14:textId="77777777" w:rsidR="008C7FE9" w:rsidRDefault="008C7FE9">
      <w:pPr>
        <w:jc w:val="left"/>
        <w:rPr>
          <w:rFonts w:ascii="Arial" w:hAnsi="Arial" w:cs="Arial"/>
          <w:b/>
          <w:bCs/>
          <w:sz w:val="24"/>
          <w:szCs w:val="24"/>
        </w:rPr>
      </w:pPr>
    </w:p>
    <w:p w14:paraId="6071496B" w14:textId="77777777" w:rsidR="008C7FE9" w:rsidRDefault="008C7FE9">
      <w:pPr>
        <w:jc w:val="left"/>
        <w:rPr>
          <w:rFonts w:ascii="Arial" w:hAnsi="Arial" w:cs="Arial"/>
          <w:b/>
          <w:bCs/>
          <w:sz w:val="24"/>
          <w:szCs w:val="24"/>
        </w:rPr>
      </w:pPr>
    </w:p>
    <w:p w14:paraId="7E2D1B64" w14:textId="183E1894" w:rsidR="000265B9" w:rsidRPr="000F07BB" w:rsidRDefault="00DA4C33">
      <w:pPr>
        <w:jc w:val="left"/>
        <w:rPr>
          <w:rFonts w:ascii="Arial" w:hAnsi="Arial" w:cs="Arial"/>
          <w:sz w:val="24"/>
          <w:szCs w:val="24"/>
        </w:rPr>
      </w:pPr>
      <w:r>
        <w:rPr>
          <w:rFonts w:ascii="Arial" w:hAnsi="Arial" w:cs="Arial"/>
          <w:b/>
          <w:bCs/>
          <w:sz w:val="24"/>
          <w:szCs w:val="24"/>
        </w:rPr>
        <w:t>Se</w:t>
      </w:r>
      <w:r w:rsidR="000265B9" w:rsidRPr="000F07BB">
        <w:rPr>
          <w:rFonts w:ascii="Arial" w:hAnsi="Arial" w:cs="Arial"/>
          <w:b/>
          <w:bCs/>
          <w:sz w:val="24"/>
          <w:szCs w:val="24"/>
        </w:rPr>
        <w:t>ction 5: Glossary (terms are listed in alphabetical order)</w:t>
      </w:r>
    </w:p>
    <w:p w14:paraId="2380CD08" w14:textId="77777777" w:rsidR="000265B9" w:rsidRPr="000F07BB" w:rsidRDefault="000265B9" w:rsidP="000265B9">
      <w:pPr>
        <w:rPr>
          <w:rFonts w:ascii="Arial" w:hAnsi="Arial" w:cs="Arial"/>
          <w:b/>
          <w:sz w:val="20"/>
          <w:szCs w:val="20"/>
        </w:rPr>
      </w:pPr>
    </w:p>
    <w:p w14:paraId="07354336" w14:textId="7F5EEFAE" w:rsidR="00CD58E9" w:rsidRDefault="000265B9" w:rsidP="000265B9">
      <w:pPr>
        <w:jc w:val="left"/>
        <w:rPr>
          <w:rFonts w:ascii="Arial" w:hAnsi="Arial" w:cs="Arial"/>
          <w:iCs/>
          <w:sz w:val="24"/>
          <w:szCs w:val="24"/>
        </w:rPr>
      </w:pPr>
      <w:r w:rsidRPr="000F07BB">
        <w:rPr>
          <w:rFonts w:ascii="Arial" w:hAnsi="Arial" w:cs="Arial"/>
          <w:b/>
          <w:sz w:val="24"/>
          <w:szCs w:val="24"/>
        </w:rPr>
        <w:lastRenderedPageBreak/>
        <w:t>Adjusted</w:t>
      </w:r>
      <w:r w:rsidRPr="000F07BB">
        <w:rPr>
          <w:rFonts w:ascii="Arial" w:hAnsi="Arial" w:cs="Arial"/>
          <w:iCs/>
          <w:sz w:val="24"/>
          <w:szCs w:val="24"/>
        </w:rPr>
        <w:t xml:space="preserve"> measures are before exceptional items, </w:t>
      </w:r>
      <w:r w:rsidR="00CD58E9">
        <w:rPr>
          <w:rFonts w:ascii="Arial" w:hAnsi="Arial" w:cs="Arial"/>
          <w:iCs/>
          <w:sz w:val="24"/>
          <w:szCs w:val="24"/>
        </w:rPr>
        <w:t>FFVR</w:t>
      </w:r>
      <w:r w:rsidRPr="000F07BB">
        <w:rPr>
          <w:rFonts w:ascii="Arial" w:hAnsi="Arial" w:cs="Arial"/>
          <w:iCs/>
          <w:sz w:val="24"/>
          <w:szCs w:val="24"/>
        </w:rPr>
        <w:t xml:space="preserve">, amortisation of acquisition intangibles, related tax items and tax on prior year items including the impact of rate changes on deferred tax. </w:t>
      </w:r>
      <w:r w:rsidR="00D702D6" w:rsidRPr="000F07BB">
        <w:rPr>
          <w:rFonts w:ascii="Arial" w:hAnsi="Arial" w:cs="Arial"/>
          <w:iCs/>
          <w:sz w:val="24"/>
          <w:szCs w:val="24"/>
        </w:rPr>
        <w:t xml:space="preserve">Half </w:t>
      </w:r>
      <w:r w:rsidR="00C13096" w:rsidRPr="000F07BB">
        <w:rPr>
          <w:rFonts w:ascii="Arial" w:hAnsi="Arial" w:cs="Arial"/>
          <w:iCs/>
          <w:sz w:val="24"/>
          <w:szCs w:val="24"/>
        </w:rPr>
        <w:t xml:space="preserve">year </w:t>
      </w:r>
      <w:r w:rsidRPr="000F07BB">
        <w:rPr>
          <w:rFonts w:ascii="Arial" w:hAnsi="Arial" w:cs="Arial"/>
          <w:iCs/>
          <w:sz w:val="24"/>
          <w:szCs w:val="24"/>
        </w:rPr>
        <w:t>2015</w:t>
      </w:r>
      <w:r w:rsidR="00D702D6" w:rsidRPr="000F07BB">
        <w:rPr>
          <w:rFonts w:ascii="Arial" w:hAnsi="Arial" w:cs="Arial"/>
          <w:iCs/>
          <w:sz w:val="24"/>
          <w:szCs w:val="24"/>
        </w:rPr>
        <w:t>/16</w:t>
      </w:r>
      <w:r w:rsidRPr="000F07BB">
        <w:rPr>
          <w:rFonts w:ascii="Arial" w:hAnsi="Arial" w:cs="Arial"/>
          <w:iCs/>
          <w:sz w:val="24"/>
          <w:szCs w:val="24"/>
        </w:rPr>
        <w:t xml:space="preserve"> comparatives exclude B&amp;Q China’s results. </w:t>
      </w:r>
    </w:p>
    <w:p w14:paraId="7DE0DD38" w14:textId="77777777" w:rsidR="00CD58E9" w:rsidRDefault="00CD58E9" w:rsidP="000265B9">
      <w:pPr>
        <w:jc w:val="left"/>
        <w:rPr>
          <w:rFonts w:ascii="Arial" w:hAnsi="Arial" w:cs="Arial"/>
          <w:iCs/>
          <w:sz w:val="24"/>
          <w:szCs w:val="24"/>
        </w:rPr>
      </w:pPr>
    </w:p>
    <w:p w14:paraId="56FC2C1D" w14:textId="14F22B09" w:rsidR="00CD58E9" w:rsidRPr="000F07BB" w:rsidRDefault="00CD58E9" w:rsidP="000265B9">
      <w:pPr>
        <w:jc w:val="left"/>
        <w:rPr>
          <w:rFonts w:ascii="Arial" w:hAnsi="Arial" w:cs="Arial"/>
          <w:iCs/>
          <w:sz w:val="24"/>
          <w:szCs w:val="24"/>
        </w:rPr>
      </w:pPr>
      <w:r>
        <w:rPr>
          <w:rFonts w:ascii="Arial" w:hAnsi="Arial" w:cs="Arial"/>
          <w:b/>
          <w:iCs/>
          <w:sz w:val="24"/>
          <w:szCs w:val="24"/>
        </w:rPr>
        <w:t>Adjusted pre-tax profit</w:t>
      </w:r>
      <w:r>
        <w:rPr>
          <w:rFonts w:ascii="Arial" w:hAnsi="Arial" w:cs="Arial"/>
          <w:iCs/>
          <w:sz w:val="24"/>
          <w:szCs w:val="24"/>
        </w:rPr>
        <w:t xml:space="preserve"> is used to report the performance of the business at a Group level including </w:t>
      </w:r>
      <w:r w:rsidR="00072B44">
        <w:rPr>
          <w:rFonts w:ascii="Arial" w:hAnsi="Arial" w:cs="Arial"/>
          <w:iCs/>
          <w:sz w:val="24"/>
          <w:szCs w:val="24"/>
        </w:rPr>
        <w:t xml:space="preserve">both the benefits of our </w:t>
      </w:r>
      <w:r>
        <w:rPr>
          <w:rFonts w:ascii="Arial" w:hAnsi="Arial" w:cs="Arial"/>
          <w:iCs/>
          <w:sz w:val="24"/>
          <w:szCs w:val="24"/>
        </w:rPr>
        <w:t xml:space="preserve">transformation </w:t>
      </w:r>
      <w:r w:rsidR="00072B44">
        <w:rPr>
          <w:rFonts w:ascii="Arial" w:hAnsi="Arial" w:cs="Arial"/>
          <w:iCs/>
          <w:sz w:val="24"/>
          <w:szCs w:val="24"/>
        </w:rPr>
        <w:t xml:space="preserve">programme and the associated </w:t>
      </w:r>
      <w:r w:rsidR="000B266B">
        <w:rPr>
          <w:rFonts w:ascii="Arial" w:hAnsi="Arial" w:cs="Arial"/>
          <w:iCs/>
          <w:sz w:val="24"/>
          <w:szCs w:val="24"/>
        </w:rPr>
        <w:t>costs</w:t>
      </w:r>
      <w:r>
        <w:rPr>
          <w:rFonts w:ascii="Arial" w:hAnsi="Arial" w:cs="Arial"/>
          <w:iCs/>
          <w:sz w:val="24"/>
          <w:szCs w:val="24"/>
        </w:rPr>
        <w:t xml:space="preserve">. This is stated before exceptional items and FFVR. </w:t>
      </w:r>
    </w:p>
    <w:p w14:paraId="6C32E856" w14:textId="77777777" w:rsidR="000265B9" w:rsidRPr="000F07BB" w:rsidRDefault="000265B9" w:rsidP="000265B9">
      <w:pPr>
        <w:rPr>
          <w:rFonts w:ascii="Arial" w:hAnsi="Arial" w:cs="Arial"/>
          <w:iCs/>
          <w:sz w:val="20"/>
          <w:szCs w:val="20"/>
        </w:rPr>
      </w:pPr>
    </w:p>
    <w:p w14:paraId="78082333" w14:textId="0834D6D1" w:rsidR="000265B9" w:rsidRPr="000F07BB" w:rsidRDefault="000265B9" w:rsidP="000265B9">
      <w:pPr>
        <w:jc w:val="left"/>
        <w:rPr>
          <w:rFonts w:ascii="Arial" w:hAnsi="Arial" w:cs="Arial"/>
          <w:iCs/>
          <w:sz w:val="24"/>
          <w:szCs w:val="24"/>
        </w:rPr>
      </w:pPr>
      <w:r w:rsidRPr="000F07BB">
        <w:rPr>
          <w:rFonts w:ascii="Arial" w:hAnsi="Arial" w:cs="Arial"/>
          <w:b/>
          <w:iCs/>
          <w:sz w:val="24"/>
          <w:szCs w:val="24"/>
        </w:rPr>
        <w:t>Adjusted sales</w:t>
      </w:r>
      <w:r w:rsidRPr="0020209B">
        <w:rPr>
          <w:rFonts w:ascii="Arial" w:hAnsi="Arial" w:cs="Arial"/>
          <w:iCs/>
          <w:sz w:val="24"/>
          <w:szCs w:val="24"/>
        </w:rPr>
        <w:t xml:space="preserve"> </w:t>
      </w:r>
      <w:r w:rsidR="00851292" w:rsidRPr="0020209B">
        <w:rPr>
          <w:rFonts w:ascii="Arial" w:hAnsi="Arial" w:cs="Arial"/>
          <w:iCs/>
          <w:sz w:val="24"/>
          <w:szCs w:val="24"/>
        </w:rPr>
        <w:t>represents statutory sales</w:t>
      </w:r>
      <w:r w:rsidR="00851292">
        <w:rPr>
          <w:rFonts w:ascii="Arial" w:hAnsi="Arial" w:cs="Arial"/>
          <w:b/>
          <w:iCs/>
          <w:sz w:val="24"/>
          <w:szCs w:val="24"/>
        </w:rPr>
        <w:t xml:space="preserve"> </w:t>
      </w:r>
      <w:r w:rsidR="00851292" w:rsidRPr="000F07BB">
        <w:rPr>
          <w:rFonts w:ascii="Arial" w:hAnsi="Arial" w:cs="Arial"/>
          <w:iCs/>
          <w:sz w:val="24"/>
          <w:szCs w:val="24"/>
        </w:rPr>
        <w:t>exclud</w:t>
      </w:r>
      <w:r w:rsidR="00851292">
        <w:rPr>
          <w:rFonts w:ascii="Arial" w:hAnsi="Arial" w:cs="Arial"/>
          <w:iCs/>
          <w:sz w:val="24"/>
          <w:szCs w:val="24"/>
        </w:rPr>
        <w:t>ing</w:t>
      </w:r>
      <w:r w:rsidR="00851292" w:rsidRPr="000F07BB">
        <w:rPr>
          <w:rFonts w:ascii="Arial" w:hAnsi="Arial" w:cs="Arial"/>
          <w:iCs/>
          <w:sz w:val="24"/>
          <w:szCs w:val="24"/>
        </w:rPr>
        <w:t xml:space="preserve"> </w:t>
      </w:r>
      <w:r w:rsidRPr="000F07BB">
        <w:rPr>
          <w:rFonts w:ascii="Arial" w:hAnsi="Arial" w:cs="Arial"/>
          <w:iCs/>
          <w:sz w:val="24"/>
          <w:szCs w:val="24"/>
        </w:rPr>
        <w:t>B&amp;Q China sales.</w:t>
      </w:r>
    </w:p>
    <w:p w14:paraId="6B3B5462" w14:textId="77777777" w:rsidR="000265B9" w:rsidRPr="000F07BB" w:rsidRDefault="000265B9" w:rsidP="000265B9">
      <w:pPr>
        <w:jc w:val="left"/>
        <w:rPr>
          <w:rFonts w:ascii="Arial" w:hAnsi="Arial" w:cs="Arial"/>
          <w:b/>
          <w:iCs/>
          <w:sz w:val="24"/>
          <w:szCs w:val="24"/>
        </w:rPr>
      </w:pPr>
      <w:r w:rsidRPr="000F07BB">
        <w:rPr>
          <w:rFonts w:ascii="Arial" w:hAnsi="Arial" w:cs="Arial"/>
          <w:b/>
          <w:iCs/>
          <w:sz w:val="24"/>
          <w:szCs w:val="24"/>
        </w:rPr>
        <w:t xml:space="preserve"> </w:t>
      </w:r>
    </w:p>
    <w:p w14:paraId="5E21335A" w14:textId="77777777" w:rsidR="000265B9" w:rsidRPr="000F07BB" w:rsidRDefault="000265B9" w:rsidP="000265B9">
      <w:pPr>
        <w:jc w:val="left"/>
        <w:rPr>
          <w:rFonts w:ascii="Arial" w:hAnsi="Arial" w:cs="Arial"/>
          <w:iCs/>
          <w:sz w:val="24"/>
          <w:szCs w:val="24"/>
        </w:rPr>
      </w:pPr>
      <w:r w:rsidRPr="000F07BB">
        <w:rPr>
          <w:rFonts w:ascii="Arial" w:hAnsi="Arial" w:cs="Arial"/>
          <w:b/>
          <w:iCs/>
          <w:sz w:val="24"/>
          <w:szCs w:val="24"/>
        </w:rPr>
        <w:t xml:space="preserve">Banque de France </w:t>
      </w:r>
      <w:r w:rsidRPr="000F07BB">
        <w:rPr>
          <w:rFonts w:ascii="Arial" w:hAnsi="Arial" w:cs="Arial"/>
          <w:iCs/>
          <w:sz w:val="24"/>
          <w:szCs w:val="24"/>
        </w:rPr>
        <w:t xml:space="preserve">data includes relocated and extended stores. </w:t>
      </w:r>
    </w:p>
    <w:p w14:paraId="3ABBF85C" w14:textId="77777777" w:rsidR="000265B9" w:rsidRPr="000F07BB" w:rsidRDefault="00F90807" w:rsidP="000265B9">
      <w:pPr>
        <w:jc w:val="left"/>
        <w:rPr>
          <w:rFonts w:ascii="Arial" w:hAnsi="Arial" w:cs="Arial"/>
          <w:iCs/>
          <w:sz w:val="24"/>
          <w:szCs w:val="24"/>
        </w:rPr>
      </w:pPr>
      <w:hyperlink r:id="rId9" w:history="1">
        <w:r w:rsidR="000265B9" w:rsidRPr="000F07BB">
          <w:rPr>
            <w:rStyle w:val="Hyperlink"/>
            <w:rFonts w:ascii="Arial" w:hAnsi="Arial" w:cs="Arial"/>
            <w:iCs/>
            <w:sz w:val="24"/>
            <w:szCs w:val="24"/>
          </w:rPr>
          <w:t>http://webstat.banque-france.fr/en/browse.do?node=5384326</w:t>
        </w:r>
      </w:hyperlink>
    </w:p>
    <w:p w14:paraId="5833B424" w14:textId="77777777" w:rsidR="000265B9" w:rsidRPr="000F07BB" w:rsidRDefault="000265B9" w:rsidP="000265B9">
      <w:pPr>
        <w:rPr>
          <w:rFonts w:ascii="Arial" w:hAnsi="Arial" w:cs="Arial"/>
          <w:b/>
          <w:iCs/>
          <w:sz w:val="24"/>
          <w:szCs w:val="24"/>
        </w:rPr>
      </w:pPr>
    </w:p>
    <w:p w14:paraId="130A35A4" w14:textId="3AD14362" w:rsidR="00A77D26" w:rsidRPr="000F07BB" w:rsidRDefault="00106BDC" w:rsidP="000265B9">
      <w:pPr>
        <w:jc w:val="left"/>
        <w:rPr>
          <w:rFonts w:ascii="Arial" w:hAnsi="Arial" w:cs="Arial"/>
          <w:b/>
          <w:iCs/>
          <w:sz w:val="24"/>
          <w:szCs w:val="24"/>
        </w:rPr>
      </w:pPr>
      <w:r>
        <w:rPr>
          <w:rFonts w:ascii="Arial" w:hAnsi="Arial" w:cs="Arial"/>
          <w:b/>
          <w:sz w:val="24"/>
          <w:szCs w:val="24"/>
        </w:rPr>
        <w:t>BAU</w:t>
      </w:r>
      <w:r w:rsidRPr="00B2652F">
        <w:rPr>
          <w:rFonts w:ascii="Arial" w:hAnsi="Arial" w:cs="Arial"/>
          <w:sz w:val="24"/>
          <w:szCs w:val="24"/>
        </w:rPr>
        <w:t xml:space="preserve"> (</w:t>
      </w:r>
      <w:r w:rsidR="00360422">
        <w:rPr>
          <w:rFonts w:ascii="Arial" w:hAnsi="Arial" w:cs="Arial"/>
          <w:iCs/>
          <w:sz w:val="24"/>
          <w:szCs w:val="24"/>
        </w:rPr>
        <w:t>b</w:t>
      </w:r>
      <w:r w:rsidR="00A77D26" w:rsidRPr="00B2652F">
        <w:rPr>
          <w:rFonts w:ascii="Arial" w:hAnsi="Arial" w:cs="Arial"/>
          <w:iCs/>
          <w:sz w:val="24"/>
          <w:szCs w:val="24"/>
        </w:rPr>
        <w:t>usiness as usual</w:t>
      </w:r>
      <w:r w:rsidRPr="00B2652F">
        <w:rPr>
          <w:rFonts w:ascii="Arial" w:hAnsi="Arial" w:cs="Arial"/>
          <w:iCs/>
          <w:sz w:val="24"/>
          <w:szCs w:val="24"/>
        </w:rPr>
        <w:t xml:space="preserve">) </w:t>
      </w:r>
      <w:r w:rsidR="00DA4C33">
        <w:rPr>
          <w:rFonts w:ascii="Arial" w:hAnsi="Arial" w:cs="Arial"/>
          <w:sz w:val="24"/>
          <w:szCs w:val="24"/>
        </w:rPr>
        <w:t>refer</w:t>
      </w:r>
      <w:r w:rsidR="0083039A">
        <w:rPr>
          <w:rFonts w:ascii="Arial" w:hAnsi="Arial" w:cs="Arial"/>
          <w:sz w:val="24"/>
          <w:szCs w:val="24"/>
        </w:rPr>
        <w:t>s</w:t>
      </w:r>
      <w:r w:rsidR="00DA4C33">
        <w:rPr>
          <w:rFonts w:ascii="Arial" w:hAnsi="Arial" w:cs="Arial"/>
          <w:sz w:val="24"/>
          <w:szCs w:val="24"/>
        </w:rPr>
        <w:t xml:space="preserve"> to activity </w:t>
      </w:r>
      <w:r w:rsidR="00A77D26" w:rsidRPr="00B501B6">
        <w:rPr>
          <w:rFonts w:ascii="Arial" w:hAnsi="Arial" w:cs="Arial"/>
          <w:sz w:val="24"/>
          <w:szCs w:val="24"/>
        </w:rPr>
        <w:t>without the transformation</w:t>
      </w:r>
      <w:r w:rsidR="00DA4C33">
        <w:rPr>
          <w:rFonts w:ascii="Arial" w:hAnsi="Arial" w:cs="Arial"/>
          <w:sz w:val="24"/>
          <w:szCs w:val="24"/>
        </w:rPr>
        <w:t xml:space="preserve">. </w:t>
      </w:r>
      <w:r w:rsidR="00A77D26" w:rsidRPr="00B501B6">
        <w:rPr>
          <w:rFonts w:ascii="Arial" w:hAnsi="Arial" w:cs="Arial"/>
          <w:sz w:val="24"/>
          <w:szCs w:val="24"/>
        </w:rPr>
        <w:t xml:space="preserve"> </w:t>
      </w:r>
      <w:r w:rsidR="00FF1280">
        <w:rPr>
          <w:rFonts w:ascii="Arial" w:hAnsi="Arial" w:cs="Arial"/>
          <w:sz w:val="24"/>
          <w:szCs w:val="24"/>
        </w:rPr>
        <w:t xml:space="preserve">When referring to our performance, we </w:t>
      </w:r>
      <w:r w:rsidR="00A77D26" w:rsidRPr="00B501B6">
        <w:rPr>
          <w:rFonts w:ascii="Arial" w:hAnsi="Arial" w:cs="Arial"/>
          <w:sz w:val="24"/>
          <w:szCs w:val="24"/>
        </w:rPr>
        <w:t xml:space="preserve">would expect </w:t>
      </w:r>
      <w:r w:rsidR="00FF1280">
        <w:rPr>
          <w:rFonts w:ascii="Arial" w:hAnsi="Arial" w:cs="Arial"/>
          <w:sz w:val="24"/>
          <w:szCs w:val="24"/>
        </w:rPr>
        <w:t>this</w:t>
      </w:r>
      <w:r w:rsidR="00A77D26" w:rsidRPr="00B501B6">
        <w:rPr>
          <w:rFonts w:ascii="Arial" w:hAnsi="Arial" w:cs="Arial"/>
          <w:sz w:val="24"/>
          <w:szCs w:val="24"/>
        </w:rPr>
        <w:t xml:space="preserve"> to be broadly in line with the macroeconomic backdrop in our respective markets.</w:t>
      </w:r>
    </w:p>
    <w:p w14:paraId="618EBFDD" w14:textId="77777777" w:rsidR="000265B9" w:rsidRPr="000F07BB" w:rsidRDefault="000265B9" w:rsidP="000265B9">
      <w:pPr>
        <w:rPr>
          <w:rFonts w:ascii="Arial" w:hAnsi="Arial" w:cs="Arial"/>
          <w:iCs/>
          <w:sz w:val="24"/>
          <w:szCs w:val="24"/>
        </w:rPr>
      </w:pPr>
    </w:p>
    <w:p w14:paraId="3C6378A5" w14:textId="2969A454" w:rsidR="000265B9" w:rsidRPr="000F07BB" w:rsidRDefault="000265B9" w:rsidP="000265B9">
      <w:pPr>
        <w:jc w:val="left"/>
        <w:rPr>
          <w:rFonts w:ascii="Arial" w:hAnsi="Arial" w:cs="Arial"/>
          <w:iCs/>
          <w:sz w:val="24"/>
          <w:szCs w:val="24"/>
        </w:rPr>
      </w:pPr>
      <w:r w:rsidRPr="000F07BB">
        <w:rPr>
          <w:rFonts w:ascii="Arial" w:hAnsi="Arial" w:cs="Arial"/>
          <w:b/>
          <w:iCs/>
          <w:sz w:val="24"/>
          <w:szCs w:val="24"/>
        </w:rPr>
        <w:t>EBITDA</w:t>
      </w:r>
      <w:r w:rsidRPr="000F07BB">
        <w:rPr>
          <w:rFonts w:ascii="Arial" w:hAnsi="Arial" w:cs="Arial"/>
          <w:iCs/>
          <w:sz w:val="24"/>
          <w:szCs w:val="24"/>
        </w:rPr>
        <w:t xml:space="preserve"> (earnings before interest, tax, depreciation and amortisation) is calculated as retail profit less central </w:t>
      </w:r>
      <w:r w:rsidR="00752703">
        <w:rPr>
          <w:rFonts w:ascii="Arial" w:hAnsi="Arial" w:cs="Arial"/>
          <w:iCs/>
          <w:sz w:val="24"/>
          <w:szCs w:val="24"/>
        </w:rPr>
        <w:t xml:space="preserve">and transformation </w:t>
      </w:r>
      <w:r w:rsidR="00B47AA5">
        <w:rPr>
          <w:rFonts w:ascii="Arial" w:hAnsi="Arial" w:cs="Arial"/>
          <w:iCs/>
          <w:sz w:val="24"/>
          <w:szCs w:val="24"/>
        </w:rPr>
        <w:t xml:space="preserve">P&amp;L </w:t>
      </w:r>
      <w:r w:rsidR="00752703">
        <w:rPr>
          <w:rFonts w:ascii="Arial" w:hAnsi="Arial" w:cs="Arial"/>
          <w:iCs/>
          <w:sz w:val="24"/>
          <w:szCs w:val="24"/>
        </w:rPr>
        <w:t xml:space="preserve">costs </w:t>
      </w:r>
      <w:r w:rsidRPr="000F07BB">
        <w:rPr>
          <w:rFonts w:ascii="Arial" w:hAnsi="Arial" w:cs="Arial"/>
          <w:iCs/>
          <w:sz w:val="24"/>
          <w:szCs w:val="24"/>
        </w:rPr>
        <w:t>and before depreciation and amortisation.</w:t>
      </w:r>
    </w:p>
    <w:p w14:paraId="4F183958" w14:textId="77777777" w:rsidR="000265B9" w:rsidRPr="000F07BB" w:rsidRDefault="000265B9" w:rsidP="000265B9">
      <w:pPr>
        <w:jc w:val="left"/>
        <w:rPr>
          <w:rFonts w:ascii="Arial" w:hAnsi="Arial" w:cs="Arial"/>
          <w:iCs/>
          <w:sz w:val="24"/>
          <w:szCs w:val="24"/>
        </w:rPr>
      </w:pPr>
    </w:p>
    <w:p w14:paraId="6F5CB1EB" w14:textId="54D1FCDC" w:rsidR="000265B9" w:rsidRPr="000F07BB" w:rsidRDefault="000265B9" w:rsidP="000265B9">
      <w:pPr>
        <w:jc w:val="left"/>
        <w:rPr>
          <w:rFonts w:ascii="Arial" w:hAnsi="Arial" w:cs="Arial"/>
          <w:i/>
          <w:sz w:val="18"/>
          <w:szCs w:val="18"/>
        </w:rPr>
      </w:pPr>
      <w:r w:rsidRPr="000F07BB">
        <w:rPr>
          <w:rFonts w:ascii="Arial" w:hAnsi="Arial" w:cs="Arial"/>
          <w:b/>
          <w:iCs/>
          <w:sz w:val="24"/>
          <w:szCs w:val="24"/>
        </w:rPr>
        <w:t>EBITDAR</w:t>
      </w:r>
      <w:r w:rsidRPr="000F07BB">
        <w:rPr>
          <w:rFonts w:ascii="Arial" w:hAnsi="Arial" w:cs="Arial"/>
          <w:iCs/>
          <w:sz w:val="24"/>
          <w:szCs w:val="24"/>
        </w:rPr>
        <w:t xml:space="preserve"> (earnings before interest, tax, depreciation, amortisation and property operating lease rentals) is calculated as retail profit less central </w:t>
      </w:r>
      <w:r w:rsidR="00752703">
        <w:rPr>
          <w:rFonts w:ascii="Arial" w:hAnsi="Arial" w:cs="Arial"/>
          <w:iCs/>
          <w:sz w:val="24"/>
          <w:szCs w:val="24"/>
        </w:rPr>
        <w:t>and transformation</w:t>
      </w:r>
      <w:r w:rsidR="00B47AA5">
        <w:rPr>
          <w:rFonts w:ascii="Arial" w:hAnsi="Arial" w:cs="Arial"/>
          <w:iCs/>
          <w:sz w:val="24"/>
          <w:szCs w:val="24"/>
        </w:rPr>
        <w:t xml:space="preserve"> P&amp;L</w:t>
      </w:r>
      <w:r w:rsidR="00752703">
        <w:rPr>
          <w:rFonts w:ascii="Arial" w:hAnsi="Arial" w:cs="Arial"/>
          <w:iCs/>
          <w:sz w:val="24"/>
          <w:szCs w:val="24"/>
        </w:rPr>
        <w:t xml:space="preserve"> </w:t>
      </w:r>
      <w:r w:rsidRPr="000F07BB">
        <w:rPr>
          <w:rFonts w:ascii="Arial" w:hAnsi="Arial" w:cs="Arial"/>
          <w:iCs/>
          <w:sz w:val="24"/>
          <w:szCs w:val="24"/>
        </w:rPr>
        <w:t xml:space="preserve">costs, before depreciation and amortisation and property operating lease rentals. </w:t>
      </w:r>
    </w:p>
    <w:p w14:paraId="5222731D" w14:textId="77777777" w:rsidR="000265B9" w:rsidRPr="000F07BB" w:rsidRDefault="000265B9" w:rsidP="000265B9">
      <w:pPr>
        <w:jc w:val="left"/>
        <w:rPr>
          <w:rFonts w:ascii="Arial" w:hAnsi="Arial" w:cs="Arial"/>
          <w:b/>
          <w:iCs/>
          <w:sz w:val="24"/>
          <w:szCs w:val="24"/>
        </w:rPr>
      </w:pPr>
    </w:p>
    <w:p w14:paraId="6DAD7F01" w14:textId="77777777" w:rsidR="000265B9" w:rsidRPr="000F07BB" w:rsidRDefault="000265B9" w:rsidP="000265B9">
      <w:pPr>
        <w:jc w:val="left"/>
        <w:rPr>
          <w:rFonts w:ascii="Arial" w:hAnsi="Arial" w:cs="Arial"/>
          <w:iCs/>
          <w:sz w:val="24"/>
          <w:szCs w:val="24"/>
        </w:rPr>
      </w:pPr>
      <w:r w:rsidRPr="000F07BB">
        <w:rPr>
          <w:rFonts w:ascii="Arial" w:hAnsi="Arial" w:cs="Arial"/>
          <w:b/>
          <w:iCs/>
          <w:sz w:val="24"/>
          <w:szCs w:val="24"/>
        </w:rPr>
        <w:t>France</w:t>
      </w:r>
      <w:r w:rsidRPr="000F07BB">
        <w:rPr>
          <w:rFonts w:ascii="Arial" w:hAnsi="Arial" w:cs="Arial"/>
          <w:iCs/>
          <w:sz w:val="24"/>
          <w:szCs w:val="24"/>
        </w:rPr>
        <w:t xml:space="preserve"> consists of Castorama France and Brico Dépôt France.</w:t>
      </w:r>
    </w:p>
    <w:p w14:paraId="33EE4B24" w14:textId="77777777" w:rsidR="000265B9" w:rsidRPr="000F07BB" w:rsidRDefault="000265B9" w:rsidP="000265B9">
      <w:pPr>
        <w:jc w:val="left"/>
        <w:rPr>
          <w:rFonts w:ascii="Arial" w:hAnsi="Arial" w:cs="Arial"/>
          <w:iCs/>
          <w:sz w:val="24"/>
          <w:szCs w:val="24"/>
        </w:rPr>
      </w:pPr>
    </w:p>
    <w:p w14:paraId="57C56EA1" w14:textId="6E21D60E" w:rsidR="000265B9" w:rsidRPr="000F07BB" w:rsidRDefault="000265B9" w:rsidP="000265B9">
      <w:pPr>
        <w:jc w:val="left"/>
        <w:rPr>
          <w:rFonts w:ascii="Arial" w:hAnsi="Arial" w:cs="Arial"/>
          <w:iCs/>
          <w:sz w:val="24"/>
          <w:szCs w:val="24"/>
        </w:rPr>
      </w:pPr>
      <w:r w:rsidRPr="000F07BB">
        <w:rPr>
          <w:rFonts w:ascii="Arial" w:hAnsi="Arial" w:cs="Arial"/>
          <w:b/>
          <w:iCs/>
          <w:sz w:val="24"/>
          <w:szCs w:val="24"/>
        </w:rPr>
        <w:t xml:space="preserve">Free cash flow </w:t>
      </w:r>
      <w:r w:rsidRPr="000F07BB">
        <w:rPr>
          <w:rFonts w:ascii="Arial" w:hAnsi="Arial" w:cs="Arial"/>
          <w:iCs/>
          <w:sz w:val="24"/>
          <w:szCs w:val="24"/>
        </w:rPr>
        <w:t>represents cash generated from operations</w:t>
      </w:r>
      <w:r w:rsidR="00851292">
        <w:rPr>
          <w:rFonts w:ascii="Arial" w:hAnsi="Arial" w:cs="Arial"/>
          <w:iCs/>
          <w:sz w:val="24"/>
          <w:szCs w:val="24"/>
        </w:rPr>
        <w:t xml:space="preserve"> (excluding exceptional items)</w:t>
      </w:r>
      <w:r w:rsidRPr="000F07BB">
        <w:rPr>
          <w:rFonts w:ascii="Arial" w:hAnsi="Arial" w:cs="Arial"/>
          <w:iCs/>
          <w:sz w:val="24"/>
          <w:szCs w:val="24"/>
        </w:rPr>
        <w:t xml:space="preserve"> less the amount spent on </w:t>
      </w:r>
      <w:r w:rsidR="00851292">
        <w:rPr>
          <w:rFonts w:ascii="Arial" w:hAnsi="Arial" w:cs="Arial"/>
          <w:iCs/>
          <w:sz w:val="24"/>
          <w:szCs w:val="24"/>
        </w:rPr>
        <w:t xml:space="preserve">interest, </w:t>
      </w:r>
      <w:r w:rsidRPr="000F07BB">
        <w:rPr>
          <w:rFonts w:ascii="Arial" w:hAnsi="Arial" w:cs="Arial"/>
          <w:iCs/>
          <w:sz w:val="24"/>
          <w:szCs w:val="24"/>
        </w:rPr>
        <w:t>tax and capital expenditure during the year (excluding business acquisitions and disposals</w:t>
      </w:r>
      <w:r w:rsidR="00BA1857" w:rsidRPr="000F07BB">
        <w:rPr>
          <w:rFonts w:ascii="Arial" w:hAnsi="Arial" w:cs="Arial"/>
          <w:iCs/>
          <w:sz w:val="24"/>
          <w:szCs w:val="24"/>
        </w:rPr>
        <w:t xml:space="preserve"> and asset disposals</w:t>
      </w:r>
      <w:r w:rsidRPr="000F07BB">
        <w:rPr>
          <w:rFonts w:ascii="Arial" w:hAnsi="Arial" w:cs="Arial"/>
          <w:iCs/>
          <w:sz w:val="24"/>
          <w:szCs w:val="24"/>
        </w:rPr>
        <w:t xml:space="preserve">). A reconciliation from operating profit (before exceptional items) is set out in the Financial Review (Section 4). </w:t>
      </w:r>
    </w:p>
    <w:p w14:paraId="4C320C6D" w14:textId="77777777" w:rsidR="000265B9" w:rsidRPr="000F07BB" w:rsidRDefault="000265B9" w:rsidP="000265B9">
      <w:pPr>
        <w:jc w:val="left"/>
        <w:rPr>
          <w:rFonts w:ascii="Arial" w:hAnsi="Arial" w:cs="Arial"/>
          <w:iCs/>
          <w:sz w:val="24"/>
          <w:szCs w:val="24"/>
        </w:rPr>
      </w:pPr>
    </w:p>
    <w:p w14:paraId="64954A10" w14:textId="1C249B59" w:rsidR="000B266B" w:rsidRDefault="000265B9" w:rsidP="000265B9">
      <w:pPr>
        <w:jc w:val="left"/>
        <w:rPr>
          <w:rFonts w:ascii="Arial" w:hAnsi="Arial" w:cs="Arial"/>
          <w:iCs/>
          <w:sz w:val="24"/>
          <w:szCs w:val="24"/>
        </w:rPr>
      </w:pPr>
      <w:r w:rsidRPr="000F07BB">
        <w:rPr>
          <w:rFonts w:ascii="Arial" w:hAnsi="Arial" w:cs="Arial"/>
          <w:b/>
          <w:iCs/>
          <w:sz w:val="24"/>
          <w:szCs w:val="24"/>
        </w:rPr>
        <w:t xml:space="preserve">FFVR </w:t>
      </w:r>
      <w:r w:rsidRPr="000F07BB">
        <w:rPr>
          <w:rFonts w:ascii="Arial" w:hAnsi="Arial" w:cs="Arial"/>
          <w:iCs/>
          <w:sz w:val="24"/>
          <w:szCs w:val="24"/>
        </w:rPr>
        <w:t>(financing fair value remeasurements)</w:t>
      </w:r>
      <w:r w:rsidRPr="000F07BB">
        <w:rPr>
          <w:rFonts w:ascii="Arial" w:hAnsi="Arial" w:cs="Arial"/>
          <w:b/>
          <w:iCs/>
          <w:sz w:val="24"/>
          <w:szCs w:val="24"/>
        </w:rPr>
        <w:t xml:space="preserve"> </w:t>
      </w:r>
      <w:r w:rsidRPr="000F07BB">
        <w:rPr>
          <w:rFonts w:ascii="Arial" w:hAnsi="Arial" w:cs="Arial"/>
          <w:iCs/>
          <w:sz w:val="24"/>
          <w:szCs w:val="24"/>
        </w:rPr>
        <w:t xml:space="preserve">represents </w:t>
      </w:r>
      <w:r w:rsidR="000B266B">
        <w:rPr>
          <w:rFonts w:ascii="Arial" w:hAnsi="Arial" w:cs="Arial"/>
          <w:iCs/>
          <w:sz w:val="24"/>
          <w:szCs w:val="24"/>
        </w:rPr>
        <w:t xml:space="preserve">fair value fluctuations from financial instruments. </w:t>
      </w:r>
    </w:p>
    <w:p w14:paraId="4EF93BB0" w14:textId="77777777" w:rsidR="000265B9" w:rsidRPr="000F07BB" w:rsidRDefault="000265B9" w:rsidP="000265B9">
      <w:pPr>
        <w:jc w:val="left"/>
        <w:rPr>
          <w:rFonts w:ascii="Arial" w:hAnsi="Arial" w:cs="Arial"/>
          <w:b/>
          <w:iCs/>
          <w:sz w:val="24"/>
          <w:szCs w:val="24"/>
        </w:rPr>
      </w:pPr>
    </w:p>
    <w:p w14:paraId="4A73B2AB" w14:textId="16DE75AA" w:rsidR="000265B9" w:rsidRPr="000F07BB" w:rsidRDefault="000265B9" w:rsidP="000265B9">
      <w:pPr>
        <w:jc w:val="left"/>
        <w:rPr>
          <w:rFonts w:ascii="Arial" w:hAnsi="Arial" w:cs="Arial"/>
          <w:b/>
          <w:iCs/>
          <w:sz w:val="24"/>
          <w:szCs w:val="24"/>
        </w:rPr>
      </w:pPr>
      <w:r w:rsidRPr="000F07BB">
        <w:rPr>
          <w:rFonts w:ascii="Arial" w:hAnsi="Arial" w:cs="Arial"/>
          <w:b/>
          <w:iCs/>
          <w:sz w:val="24"/>
          <w:szCs w:val="24"/>
        </w:rPr>
        <w:t xml:space="preserve">GNFR </w:t>
      </w:r>
      <w:r w:rsidR="00EE0CD7" w:rsidRPr="000F07BB">
        <w:rPr>
          <w:rFonts w:ascii="Arial" w:hAnsi="Arial" w:cs="Arial"/>
          <w:iCs/>
          <w:sz w:val="24"/>
          <w:szCs w:val="24"/>
        </w:rPr>
        <w:t>(</w:t>
      </w:r>
      <w:r w:rsidRPr="000F07BB">
        <w:rPr>
          <w:rFonts w:ascii="Arial" w:hAnsi="Arial" w:cs="Arial"/>
          <w:iCs/>
          <w:sz w:val="24"/>
          <w:szCs w:val="24"/>
        </w:rPr>
        <w:t>Goods Not For Resale</w:t>
      </w:r>
      <w:r w:rsidR="00EE0CD7" w:rsidRPr="000F07BB">
        <w:rPr>
          <w:rFonts w:ascii="Arial" w:hAnsi="Arial" w:cs="Arial"/>
          <w:iCs/>
          <w:sz w:val="24"/>
          <w:szCs w:val="24"/>
        </w:rPr>
        <w:t>)</w:t>
      </w:r>
      <w:r w:rsidRPr="000F07BB">
        <w:rPr>
          <w:rFonts w:ascii="Arial" w:hAnsi="Arial" w:cs="Arial"/>
          <w:iCs/>
          <w:sz w:val="24"/>
          <w:szCs w:val="24"/>
        </w:rPr>
        <w:t xml:space="preserve"> covers the procurement of all goods and services a retailer </w:t>
      </w:r>
      <w:r w:rsidR="0016009C">
        <w:rPr>
          <w:rFonts w:ascii="Arial" w:hAnsi="Arial" w:cs="Arial"/>
          <w:iCs/>
          <w:sz w:val="24"/>
          <w:szCs w:val="24"/>
        </w:rPr>
        <w:t>consumes</w:t>
      </w:r>
      <w:r w:rsidR="0016009C" w:rsidRPr="000F07BB">
        <w:rPr>
          <w:rFonts w:ascii="Arial" w:hAnsi="Arial" w:cs="Arial"/>
          <w:iCs/>
          <w:sz w:val="24"/>
          <w:szCs w:val="24"/>
        </w:rPr>
        <w:t xml:space="preserve"> </w:t>
      </w:r>
      <w:r w:rsidRPr="000F07BB">
        <w:rPr>
          <w:rFonts w:ascii="Arial" w:hAnsi="Arial" w:cs="Arial"/>
          <w:iCs/>
          <w:sz w:val="24"/>
          <w:szCs w:val="24"/>
        </w:rPr>
        <w:t>(including media buying, mechanical handling equipment, printing &amp; paper).</w:t>
      </w:r>
    </w:p>
    <w:p w14:paraId="539A1AE5" w14:textId="77777777" w:rsidR="000265B9" w:rsidRPr="000F07BB" w:rsidRDefault="000265B9" w:rsidP="000265B9">
      <w:pPr>
        <w:jc w:val="left"/>
        <w:rPr>
          <w:rFonts w:ascii="Arial" w:hAnsi="Arial" w:cs="Arial"/>
          <w:b/>
          <w:iCs/>
          <w:sz w:val="24"/>
          <w:szCs w:val="24"/>
        </w:rPr>
      </w:pPr>
    </w:p>
    <w:p w14:paraId="5A0695B0" w14:textId="77777777" w:rsidR="000265B9" w:rsidRPr="000F07BB" w:rsidRDefault="000265B9" w:rsidP="000265B9">
      <w:pPr>
        <w:jc w:val="left"/>
        <w:rPr>
          <w:rFonts w:ascii="Arial" w:hAnsi="Arial" w:cs="Arial"/>
          <w:iCs/>
          <w:sz w:val="24"/>
          <w:szCs w:val="24"/>
        </w:rPr>
      </w:pPr>
      <w:r w:rsidRPr="000F07BB">
        <w:rPr>
          <w:rFonts w:ascii="Arial" w:hAnsi="Arial" w:cs="Arial"/>
          <w:b/>
          <w:iCs/>
          <w:sz w:val="24"/>
          <w:szCs w:val="24"/>
        </w:rPr>
        <w:t>LFL</w:t>
      </w:r>
      <w:r w:rsidRPr="000F07BB">
        <w:rPr>
          <w:rFonts w:ascii="Arial" w:hAnsi="Arial" w:cs="Arial"/>
          <w:iCs/>
          <w:sz w:val="24"/>
          <w:szCs w:val="24"/>
        </w:rPr>
        <w:t xml:space="preserve"> stands for like-for-like sales growth representing the constant currency, year on year sales growth for stores that have been open for more than a year.</w:t>
      </w:r>
    </w:p>
    <w:p w14:paraId="49A95A40" w14:textId="77777777" w:rsidR="000265B9" w:rsidRPr="000F07BB" w:rsidRDefault="000265B9" w:rsidP="000265B9">
      <w:pPr>
        <w:jc w:val="left"/>
        <w:rPr>
          <w:rFonts w:ascii="Arial" w:hAnsi="Arial" w:cs="Arial"/>
          <w:b/>
          <w:iCs/>
          <w:sz w:val="24"/>
          <w:szCs w:val="24"/>
        </w:rPr>
      </w:pPr>
    </w:p>
    <w:p w14:paraId="31BA96C6" w14:textId="09FB8873" w:rsidR="005466D7" w:rsidRPr="000F07BB" w:rsidRDefault="000265B9" w:rsidP="000265B9">
      <w:pPr>
        <w:jc w:val="left"/>
        <w:rPr>
          <w:rFonts w:ascii="Arial" w:hAnsi="Arial" w:cs="Arial"/>
          <w:iCs/>
          <w:sz w:val="24"/>
          <w:szCs w:val="24"/>
        </w:rPr>
      </w:pPr>
      <w:r w:rsidRPr="000F07BB">
        <w:rPr>
          <w:rFonts w:ascii="Arial" w:hAnsi="Arial" w:cs="Arial"/>
          <w:b/>
          <w:iCs/>
          <w:sz w:val="24"/>
          <w:szCs w:val="24"/>
        </w:rPr>
        <w:t xml:space="preserve">Net cash </w:t>
      </w:r>
      <w:r w:rsidRPr="000F07BB">
        <w:rPr>
          <w:rFonts w:ascii="Arial" w:hAnsi="Arial" w:cs="Arial"/>
          <w:iCs/>
          <w:sz w:val="24"/>
          <w:szCs w:val="24"/>
        </w:rPr>
        <w:t>comprises cash and cash equivalents</w:t>
      </w:r>
      <w:r w:rsidR="0065238B">
        <w:rPr>
          <w:rFonts w:ascii="Arial" w:hAnsi="Arial" w:cs="Arial"/>
          <w:iCs/>
          <w:sz w:val="24"/>
          <w:szCs w:val="24"/>
        </w:rPr>
        <w:t xml:space="preserve"> and</w:t>
      </w:r>
      <w:r w:rsidR="00851292" w:rsidRPr="000F07BB">
        <w:rPr>
          <w:rFonts w:ascii="Arial" w:hAnsi="Arial" w:cs="Arial"/>
          <w:iCs/>
          <w:sz w:val="24"/>
          <w:szCs w:val="24"/>
        </w:rPr>
        <w:t xml:space="preserve"> </w:t>
      </w:r>
      <w:r w:rsidRPr="000F07BB">
        <w:rPr>
          <w:rFonts w:ascii="Arial" w:hAnsi="Arial" w:cs="Arial"/>
          <w:iCs/>
          <w:sz w:val="24"/>
          <w:szCs w:val="24"/>
        </w:rPr>
        <w:t>short term deposits</w:t>
      </w:r>
      <w:r w:rsidR="0065238B">
        <w:rPr>
          <w:rFonts w:ascii="Arial" w:hAnsi="Arial" w:cs="Arial"/>
          <w:iCs/>
          <w:sz w:val="24"/>
          <w:szCs w:val="24"/>
        </w:rPr>
        <w:t>, less</w:t>
      </w:r>
      <w:r w:rsidR="00851292">
        <w:rPr>
          <w:rFonts w:ascii="Arial" w:hAnsi="Arial" w:cs="Arial"/>
          <w:iCs/>
          <w:sz w:val="24"/>
          <w:szCs w:val="24"/>
        </w:rPr>
        <w:t xml:space="preserve"> </w:t>
      </w:r>
      <w:r w:rsidR="00851292" w:rsidRPr="000F07BB">
        <w:rPr>
          <w:rFonts w:ascii="Arial" w:hAnsi="Arial" w:cs="Arial"/>
          <w:iCs/>
          <w:sz w:val="24"/>
          <w:szCs w:val="24"/>
        </w:rPr>
        <w:t>borrowings and financing derivatives (excluding accrued interest)</w:t>
      </w:r>
      <w:r w:rsidRPr="000F07BB">
        <w:rPr>
          <w:rFonts w:ascii="Arial" w:hAnsi="Arial" w:cs="Arial"/>
          <w:iCs/>
          <w:sz w:val="24"/>
          <w:szCs w:val="24"/>
        </w:rPr>
        <w:t>. It excludes balances classified as held for sale.</w:t>
      </w:r>
    </w:p>
    <w:p w14:paraId="4D5DD8E3" w14:textId="77777777" w:rsidR="000265B9" w:rsidRPr="000F07BB" w:rsidRDefault="000265B9" w:rsidP="000265B9">
      <w:pPr>
        <w:jc w:val="left"/>
        <w:rPr>
          <w:rFonts w:ascii="Arial" w:hAnsi="Arial" w:cs="Arial"/>
          <w:iCs/>
          <w:sz w:val="24"/>
          <w:szCs w:val="24"/>
        </w:rPr>
      </w:pPr>
    </w:p>
    <w:p w14:paraId="24564812" w14:textId="7A48E4F9" w:rsidR="000265B9" w:rsidRPr="000F07BB" w:rsidRDefault="000265B9" w:rsidP="000265B9">
      <w:pPr>
        <w:jc w:val="left"/>
        <w:rPr>
          <w:rFonts w:ascii="Arial" w:hAnsi="Arial" w:cs="Arial"/>
          <w:iCs/>
          <w:sz w:val="24"/>
          <w:szCs w:val="24"/>
        </w:rPr>
      </w:pPr>
      <w:r w:rsidRPr="000F07BB">
        <w:rPr>
          <w:rFonts w:ascii="Arial" w:hAnsi="Arial" w:cs="Arial"/>
          <w:b/>
          <w:iCs/>
          <w:sz w:val="24"/>
          <w:szCs w:val="24"/>
        </w:rPr>
        <w:t xml:space="preserve">New </w:t>
      </w:r>
      <w:r w:rsidR="003678C1" w:rsidRPr="000F07BB">
        <w:rPr>
          <w:rFonts w:ascii="Arial" w:hAnsi="Arial" w:cs="Arial"/>
          <w:b/>
          <w:iCs/>
          <w:sz w:val="24"/>
          <w:szCs w:val="24"/>
        </w:rPr>
        <w:t>C</w:t>
      </w:r>
      <w:r w:rsidRPr="000F07BB">
        <w:rPr>
          <w:rFonts w:ascii="Arial" w:hAnsi="Arial" w:cs="Arial"/>
          <w:b/>
          <w:iCs/>
          <w:sz w:val="24"/>
          <w:szCs w:val="24"/>
        </w:rPr>
        <w:t xml:space="preserve">ountry </w:t>
      </w:r>
      <w:r w:rsidR="003678C1" w:rsidRPr="000F07BB">
        <w:rPr>
          <w:rFonts w:ascii="Arial" w:hAnsi="Arial" w:cs="Arial"/>
          <w:b/>
          <w:iCs/>
          <w:sz w:val="24"/>
          <w:szCs w:val="24"/>
        </w:rPr>
        <w:t>D</w:t>
      </w:r>
      <w:r w:rsidRPr="000F07BB">
        <w:rPr>
          <w:rFonts w:ascii="Arial" w:hAnsi="Arial" w:cs="Arial"/>
          <w:b/>
          <w:iCs/>
          <w:sz w:val="24"/>
          <w:szCs w:val="24"/>
        </w:rPr>
        <w:t xml:space="preserve">evelopment </w:t>
      </w:r>
      <w:r w:rsidRPr="000F07BB">
        <w:rPr>
          <w:rFonts w:ascii="Arial" w:hAnsi="Arial" w:cs="Arial"/>
          <w:iCs/>
          <w:sz w:val="24"/>
          <w:szCs w:val="24"/>
        </w:rPr>
        <w:t xml:space="preserve">consists of </w:t>
      </w:r>
      <w:r w:rsidR="00681C26" w:rsidRPr="000F07BB">
        <w:rPr>
          <w:rFonts w:ascii="Arial" w:hAnsi="Arial" w:cs="Arial"/>
          <w:iCs/>
          <w:sz w:val="24"/>
          <w:szCs w:val="24"/>
        </w:rPr>
        <w:t xml:space="preserve">Screwfix Europe, </w:t>
      </w:r>
      <w:r w:rsidRPr="000F07BB">
        <w:rPr>
          <w:rFonts w:ascii="Arial" w:hAnsi="Arial" w:cs="Arial"/>
          <w:iCs/>
          <w:sz w:val="24"/>
          <w:szCs w:val="24"/>
        </w:rPr>
        <w:t>Portugal and Romania.</w:t>
      </w:r>
    </w:p>
    <w:p w14:paraId="6E7E5C78" w14:textId="77777777" w:rsidR="000F752B" w:rsidRDefault="000F752B" w:rsidP="008355A5">
      <w:pPr>
        <w:jc w:val="left"/>
        <w:rPr>
          <w:rFonts w:ascii="Arial" w:hAnsi="Arial" w:cs="Arial"/>
          <w:b/>
          <w:iCs/>
          <w:sz w:val="24"/>
          <w:szCs w:val="24"/>
        </w:rPr>
      </w:pPr>
    </w:p>
    <w:p w14:paraId="0CDB2D0A" w14:textId="52C4AB1B" w:rsidR="008355A5" w:rsidRPr="000F07BB" w:rsidRDefault="008355A5" w:rsidP="008355A5">
      <w:pPr>
        <w:jc w:val="left"/>
        <w:rPr>
          <w:rFonts w:ascii="Arial" w:hAnsi="Arial" w:cs="Arial"/>
          <w:color w:val="000000" w:themeColor="text1"/>
          <w:sz w:val="24"/>
          <w:szCs w:val="24"/>
        </w:rPr>
      </w:pPr>
      <w:r w:rsidRPr="000F07BB">
        <w:rPr>
          <w:rFonts w:ascii="Arial" w:hAnsi="Arial" w:cs="Arial"/>
          <w:b/>
          <w:iCs/>
          <w:sz w:val="24"/>
          <w:szCs w:val="24"/>
        </w:rPr>
        <w:t xml:space="preserve">New </w:t>
      </w:r>
      <w:r w:rsidR="00CE0CBC">
        <w:rPr>
          <w:rFonts w:ascii="Arial" w:hAnsi="Arial" w:cs="Arial"/>
          <w:b/>
          <w:iCs/>
          <w:sz w:val="24"/>
          <w:szCs w:val="24"/>
        </w:rPr>
        <w:t xml:space="preserve">private </w:t>
      </w:r>
      <w:r w:rsidRPr="000F07BB">
        <w:rPr>
          <w:rFonts w:ascii="Arial" w:hAnsi="Arial" w:cs="Arial"/>
          <w:b/>
          <w:iCs/>
          <w:sz w:val="24"/>
          <w:szCs w:val="24"/>
        </w:rPr>
        <w:t>housing starts and planning permits</w:t>
      </w:r>
      <w:r w:rsidRPr="000F07BB">
        <w:rPr>
          <w:rFonts w:ascii="Arial" w:hAnsi="Arial" w:cs="Arial"/>
          <w:iCs/>
          <w:sz w:val="24"/>
          <w:szCs w:val="24"/>
        </w:rPr>
        <w:t xml:space="preserve"> for the </w:t>
      </w:r>
      <w:r>
        <w:rPr>
          <w:rFonts w:ascii="Arial" w:hAnsi="Arial" w:cs="Arial"/>
          <w:iCs/>
          <w:sz w:val="24"/>
          <w:szCs w:val="24"/>
        </w:rPr>
        <w:t>6</w:t>
      </w:r>
      <w:r w:rsidRPr="000F07BB">
        <w:rPr>
          <w:rFonts w:ascii="Arial" w:hAnsi="Arial" w:cs="Arial"/>
          <w:iCs/>
          <w:sz w:val="24"/>
          <w:szCs w:val="24"/>
        </w:rPr>
        <w:t xml:space="preserve"> months to </w:t>
      </w:r>
      <w:r>
        <w:rPr>
          <w:rFonts w:ascii="Arial" w:hAnsi="Arial" w:cs="Arial"/>
          <w:iCs/>
          <w:sz w:val="24"/>
          <w:szCs w:val="24"/>
        </w:rPr>
        <w:t>31 July</w:t>
      </w:r>
      <w:r w:rsidRPr="000F07BB">
        <w:rPr>
          <w:rFonts w:ascii="Arial" w:hAnsi="Arial" w:cs="Arial"/>
          <w:iCs/>
          <w:sz w:val="24"/>
          <w:szCs w:val="24"/>
        </w:rPr>
        <w:t xml:space="preserve"> 2016 according to the Ministry of Housing.</w:t>
      </w:r>
    </w:p>
    <w:p w14:paraId="4F5B9ADE" w14:textId="77777777" w:rsidR="008355A5" w:rsidRPr="000F07BB" w:rsidRDefault="00F90807" w:rsidP="008355A5">
      <w:pPr>
        <w:jc w:val="left"/>
        <w:rPr>
          <w:rFonts w:ascii="Arial" w:hAnsi="Arial" w:cs="Arial"/>
          <w:color w:val="000000" w:themeColor="text1"/>
          <w:sz w:val="24"/>
          <w:szCs w:val="24"/>
        </w:rPr>
      </w:pPr>
      <w:hyperlink r:id="rId10" w:history="1">
        <w:r w:rsidR="008355A5" w:rsidRPr="000F07BB">
          <w:rPr>
            <w:rStyle w:val="Hyperlink"/>
            <w:rFonts w:ascii="Arial" w:hAnsi="Arial" w:cs="Arial"/>
            <w:sz w:val="24"/>
            <w:szCs w:val="24"/>
          </w:rPr>
          <w:t>http://www.statistiques.developpement-durable.gouv.fr/logement-construction/s/construction-logements.html</w:t>
        </w:r>
      </w:hyperlink>
    </w:p>
    <w:p w14:paraId="00AE6B19" w14:textId="77777777" w:rsidR="000F752B" w:rsidRDefault="000F752B" w:rsidP="000265B9">
      <w:pPr>
        <w:jc w:val="left"/>
        <w:rPr>
          <w:rFonts w:ascii="Arial" w:hAnsi="Arial" w:cs="Arial"/>
          <w:b/>
          <w:iCs/>
          <w:sz w:val="24"/>
          <w:szCs w:val="24"/>
        </w:rPr>
      </w:pPr>
    </w:p>
    <w:p w14:paraId="4A081ECA" w14:textId="7875D5F6" w:rsidR="00E93EEF" w:rsidRPr="000F07BB" w:rsidRDefault="00E93EEF" w:rsidP="000265B9">
      <w:pPr>
        <w:jc w:val="left"/>
        <w:rPr>
          <w:rFonts w:ascii="Arial" w:hAnsi="Arial" w:cs="Arial"/>
          <w:iCs/>
          <w:sz w:val="24"/>
          <w:szCs w:val="24"/>
        </w:rPr>
      </w:pPr>
      <w:r w:rsidRPr="000F07BB">
        <w:rPr>
          <w:rFonts w:ascii="Arial" w:hAnsi="Arial" w:cs="Arial"/>
          <w:b/>
          <w:iCs/>
          <w:sz w:val="24"/>
          <w:szCs w:val="24"/>
        </w:rPr>
        <w:lastRenderedPageBreak/>
        <w:t xml:space="preserve">Online sales </w:t>
      </w:r>
      <w:r w:rsidR="00EE0CD7" w:rsidRPr="000F07BB">
        <w:rPr>
          <w:rFonts w:ascii="Arial" w:hAnsi="Arial" w:cs="Arial"/>
          <w:iCs/>
          <w:sz w:val="24"/>
          <w:szCs w:val="24"/>
        </w:rPr>
        <w:t>are</w:t>
      </w:r>
      <w:r w:rsidR="00EE0CD7" w:rsidRPr="000F07BB">
        <w:rPr>
          <w:rFonts w:ascii="Arial" w:hAnsi="Arial" w:cs="Arial"/>
          <w:b/>
          <w:iCs/>
          <w:sz w:val="24"/>
          <w:szCs w:val="24"/>
        </w:rPr>
        <w:t xml:space="preserve"> </w:t>
      </w:r>
      <w:r w:rsidR="00EE0CD7" w:rsidRPr="000F07BB">
        <w:rPr>
          <w:rFonts w:ascii="Arial" w:hAnsi="Arial" w:cs="Arial"/>
          <w:iCs/>
          <w:sz w:val="24"/>
          <w:szCs w:val="24"/>
        </w:rPr>
        <w:t>s</w:t>
      </w:r>
      <w:r w:rsidR="00065198" w:rsidRPr="000F07BB">
        <w:rPr>
          <w:rFonts w:ascii="Arial" w:hAnsi="Arial" w:cs="Arial"/>
          <w:iCs/>
          <w:sz w:val="24"/>
          <w:szCs w:val="24"/>
        </w:rPr>
        <w:t xml:space="preserve">ales derived from online transactions, </w:t>
      </w:r>
      <w:r w:rsidR="00220AFB" w:rsidRPr="000F07BB">
        <w:rPr>
          <w:rFonts w:ascii="Arial" w:hAnsi="Arial" w:cs="Arial"/>
          <w:iCs/>
          <w:sz w:val="24"/>
          <w:szCs w:val="24"/>
        </w:rPr>
        <w:t xml:space="preserve">including </w:t>
      </w:r>
      <w:r w:rsidR="00065198" w:rsidRPr="000F07BB">
        <w:rPr>
          <w:rFonts w:ascii="Arial" w:hAnsi="Arial" w:cs="Arial"/>
          <w:iCs/>
          <w:sz w:val="24"/>
          <w:szCs w:val="24"/>
        </w:rPr>
        <w:t>click &amp; collect</w:t>
      </w:r>
      <w:r w:rsidR="00C13096" w:rsidRPr="000F07BB">
        <w:rPr>
          <w:rFonts w:ascii="Arial" w:hAnsi="Arial" w:cs="Arial"/>
          <w:iCs/>
          <w:sz w:val="24"/>
          <w:szCs w:val="24"/>
        </w:rPr>
        <w:t>.</w:t>
      </w:r>
      <w:r w:rsidR="00065198" w:rsidRPr="000F07BB">
        <w:rPr>
          <w:rFonts w:ascii="Arial" w:hAnsi="Arial" w:cs="Arial"/>
          <w:iCs/>
          <w:sz w:val="24"/>
          <w:szCs w:val="24"/>
        </w:rPr>
        <w:t xml:space="preserve"> This includes sales transacted on any device</w:t>
      </w:r>
      <w:r w:rsidR="00764E9F" w:rsidRPr="000F07BB">
        <w:rPr>
          <w:rFonts w:ascii="Arial" w:hAnsi="Arial" w:cs="Arial"/>
          <w:iCs/>
          <w:sz w:val="24"/>
          <w:szCs w:val="24"/>
        </w:rPr>
        <w:t>,</w:t>
      </w:r>
      <w:r w:rsidR="00065198" w:rsidRPr="000F07BB">
        <w:rPr>
          <w:rFonts w:ascii="Arial" w:hAnsi="Arial" w:cs="Arial"/>
          <w:iCs/>
          <w:sz w:val="24"/>
          <w:szCs w:val="24"/>
        </w:rPr>
        <w:t xml:space="preserve"> however not sales through a call centre.</w:t>
      </w:r>
    </w:p>
    <w:p w14:paraId="349205BF" w14:textId="77777777" w:rsidR="00E93EEF" w:rsidRPr="000F07BB" w:rsidRDefault="00E93EEF" w:rsidP="000265B9">
      <w:pPr>
        <w:jc w:val="left"/>
        <w:rPr>
          <w:rFonts w:ascii="Arial" w:hAnsi="Arial" w:cs="Arial"/>
          <w:b/>
          <w:iCs/>
          <w:sz w:val="24"/>
          <w:szCs w:val="24"/>
        </w:rPr>
      </w:pPr>
    </w:p>
    <w:p w14:paraId="55863D4A" w14:textId="543AED40" w:rsidR="000265B9" w:rsidRPr="000F07BB" w:rsidRDefault="000265B9" w:rsidP="000265B9">
      <w:pPr>
        <w:jc w:val="left"/>
        <w:rPr>
          <w:rFonts w:ascii="Arial" w:hAnsi="Arial" w:cs="Arial"/>
          <w:iCs/>
          <w:sz w:val="24"/>
          <w:szCs w:val="24"/>
        </w:rPr>
      </w:pPr>
      <w:r w:rsidRPr="000F07BB">
        <w:rPr>
          <w:rFonts w:ascii="Arial" w:hAnsi="Arial" w:cs="Arial"/>
          <w:b/>
          <w:iCs/>
          <w:sz w:val="24"/>
          <w:szCs w:val="24"/>
        </w:rPr>
        <w:t>Other International</w:t>
      </w:r>
      <w:r w:rsidRPr="000F07BB">
        <w:rPr>
          <w:rFonts w:ascii="Arial" w:hAnsi="Arial" w:cs="Arial"/>
          <w:iCs/>
          <w:sz w:val="24"/>
          <w:szCs w:val="24"/>
        </w:rPr>
        <w:t xml:space="preserve"> consists of Poland, Portugal, Romania, Russia, </w:t>
      </w:r>
      <w:r w:rsidR="008355A5">
        <w:rPr>
          <w:rFonts w:ascii="Arial" w:hAnsi="Arial" w:cs="Arial"/>
          <w:iCs/>
          <w:sz w:val="24"/>
          <w:szCs w:val="24"/>
        </w:rPr>
        <w:t xml:space="preserve">Screwfix Europe, </w:t>
      </w:r>
      <w:r w:rsidRPr="000F07BB">
        <w:rPr>
          <w:rFonts w:ascii="Arial" w:hAnsi="Arial" w:cs="Arial"/>
          <w:iCs/>
          <w:sz w:val="24"/>
          <w:szCs w:val="24"/>
        </w:rPr>
        <w:t>Spain and Turkey (Koçtaş JV).</w:t>
      </w:r>
    </w:p>
    <w:p w14:paraId="786BD40B" w14:textId="77777777" w:rsidR="000265B9" w:rsidRPr="000F07BB" w:rsidRDefault="000265B9" w:rsidP="000265B9">
      <w:pPr>
        <w:jc w:val="left"/>
        <w:rPr>
          <w:rFonts w:ascii="Arial" w:hAnsi="Arial" w:cs="Arial"/>
          <w:iCs/>
          <w:sz w:val="24"/>
          <w:szCs w:val="24"/>
        </w:rPr>
      </w:pPr>
    </w:p>
    <w:p w14:paraId="5BB2A720" w14:textId="11AE4D97" w:rsidR="000265B9" w:rsidRPr="000F07BB" w:rsidRDefault="000265B9" w:rsidP="000265B9">
      <w:pPr>
        <w:jc w:val="left"/>
        <w:rPr>
          <w:rFonts w:ascii="Arial" w:hAnsi="Arial" w:cs="Arial"/>
          <w:iCs/>
          <w:sz w:val="24"/>
          <w:szCs w:val="24"/>
        </w:rPr>
      </w:pPr>
      <w:r w:rsidRPr="000F07BB">
        <w:rPr>
          <w:rFonts w:ascii="Arial" w:hAnsi="Arial" w:cs="Arial"/>
          <w:b/>
          <w:iCs/>
          <w:sz w:val="24"/>
          <w:szCs w:val="24"/>
        </w:rPr>
        <w:t>Retail profit</w:t>
      </w:r>
      <w:r w:rsidRPr="000F07BB">
        <w:rPr>
          <w:rFonts w:ascii="Arial" w:hAnsi="Arial" w:cs="Arial"/>
          <w:iCs/>
          <w:sz w:val="24"/>
          <w:szCs w:val="24"/>
        </w:rPr>
        <w:t xml:space="preserve"> is </w:t>
      </w:r>
      <w:r w:rsidR="000754C8">
        <w:rPr>
          <w:rFonts w:ascii="Arial" w:hAnsi="Arial" w:cs="Arial"/>
          <w:iCs/>
          <w:sz w:val="24"/>
          <w:szCs w:val="24"/>
        </w:rPr>
        <w:t xml:space="preserve">our </w:t>
      </w:r>
      <w:r w:rsidRPr="000F07BB">
        <w:rPr>
          <w:rFonts w:ascii="Arial" w:hAnsi="Arial" w:cs="Arial"/>
          <w:iCs/>
          <w:sz w:val="24"/>
          <w:szCs w:val="24"/>
        </w:rPr>
        <w:t>operating profit</w:t>
      </w:r>
      <w:r w:rsidR="000754C8">
        <w:rPr>
          <w:rFonts w:ascii="Arial" w:hAnsi="Arial" w:cs="Arial"/>
          <w:iCs/>
          <w:sz w:val="24"/>
          <w:szCs w:val="24"/>
        </w:rPr>
        <w:t xml:space="preserve"> measure </w:t>
      </w:r>
      <w:r w:rsidR="00683106">
        <w:rPr>
          <w:rFonts w:ascii="Arial" w:hAnsi="Arial" w:cs="Arial"/>
          <w:iCs/>
          <w:sz w:val="24"/>
          <w:szCs w:val="24"/>
        </w:rPr>
        <w:t>used to report</w:t>
      </w:r>
      <w:r w:rsidR="00CD58E9">
        <w:rPr>
          <w:rFonts w:ascii="Arial" w:hAnsi="Arial" w:cs="Arial"/>
          <w:iCs/>
          <w:sz w:val="24"/>
          <w:szCs w:val="24"/>
        </w:rPr>
        <w:t xml:space="preserve"> the performance of the</w:t>
      </w:r>
      <w:r w:rsidR="000754C8">
        <w:rPr>
          <w:rFonts w:ascii="Arial" w:hAnsi="Arial" w:cs="Arial"/>
          <w:iCs/>
          <w:sz w:val="24"/>
          <w:szCs w:val="24"/>
        </w:rPr>
        <w:t xml:space="preserve"> </w:t>
      </w:r>
      <w:r w:rsidR="00B94BBA">
        <w:rPr>
          <w:rFonts w:ascii="Arial" w:hAnsi="Arial" w:cs="Arial"/>
          <w:iCs/>
          <w:sz w:val="24"/>
          <w:szCs w:val="24"/>
        </w:rPr>
        <w:t xml:space="preserve">underlying </w:t>
      </w:r>
      <w:r w:rsidR="000754C8">
        <w:rPr>
          <w:rFonts w:ascii="Arial" w:hAnsi="Arial" w:cs="Arial"/>
          <w:iCs/>
          <w:sz w:val="24"/>
          <w:szCs w:val="24"/>
        </w:rPr>
        <w:t>retail businesses</w:t>
      </w:r>
      <w:r w:rsidR="00B94BBA">
        <w:rPr>
          <w:rFonts w:ascii="Arial" w:hAnsi="Arial" w:cs="Arial"/>
          <w:iCs/>
          <w:sz w:val="24"/>
          <w:szCs w:val="24"/>
        </w:rPr>
        <w:t xml:space="preserve"> including </w:t>
      </w:r>
      <w:r w:rsidR="00072B44">
        <w:rPr>
          <w:rFonts w:ascii="Arial" w:hAnsi="Arial" w:cs="Arial"/>
          <w:iCs/>
          <w:sz w:val="24"/>
          <w:szCs w:val="24"/>
        </w:rPr>
        <w:t xml:space="preserve">the </w:t>
      </w:r>
      <w:r w:rsidR="004A1D3F">
        <w:rPr>
          <w:rFonts w:ascii="Arial" w:hAnsi="Arial" w:cs="Arial"/>
          <w:iCs/>
          <w:sz w:val="24"/>
          <w:szCs w:val="24"/>
        </w:rPr>
        <w:t xml:space="preserve">sustainable </w:t>
      </w:r>
      <w:r w:rsidR="00072B44">
        <w:rPr>
          <w:rFonts w:ascii="Arial" w:hAnsi="Arial" w:cs="Arial"/>
          <w:iCs/>
          <w:sz w:val="24"/>
          <w:szCs w:val="24"/>
        </w:rPr>
        <w:t xml:space="preserve">benefits of our </w:t>
      </w:r>
      <w:r w:rsidR="00B94BBA">
        <w:rPr>
          <w:rFonts w:ascii="Arial" w:hAnsi="Arial" w:cs="Arial"/>
          <w:iCs/>
          <w:sz w:val="24"/>
          <w:szCs w:val="24"/>
        </w:rPr>
        <w:t xml:space="preserve">transformation </w:t>
      </w:r>
      <w:r w:rsidR="00072B44">
        <w:rPr>
          <w:rFonts w:ascii="Arial" w:hAnsi="Arial" w:cs="Arial"/>
          <w:iCs/>
          <w:sz w:val="24"/>
          <w:szCs w:val="24"/>
        </w:rPr>
        <w:t>programme</w:t>
      </w:r>
      <w:r w:rsidR="00B94BBA">
        <w:rPr>
          <w:rFonts w:ascii="Arial" w:hAnsi="Arial" w:cs="Arial"/>
          <w:iCs/>
          <w:sz w:val="24"/>
          <w:szCs w:val="24"/>
        </w:rPr>
        <w:t xml:space="preserve">. This is </w:t>
      </w:r>
      <w:r w:rsidRPr="000F07BB">
        <w:rPr>
          <w:rFonts w:ascii="Arial" w:hAnsi="Arial" w:cs="Arial"/>
          <w:iCs/>
          <w:sz w:val="24"/>
          <w:szCs w:val="24"/>
        </w:rPr>
        <w:t>stated before</w:t>
      </w:r>
      <w:r w:rsidR="00B94BBA">
        <w:rPr>
          <w:rFonts w:ascii="Arial" w:hAnsi="Arial" w:cs="Arial"/>
          <w:iCs/>
          <w:sz w:val="24"/>
          <w:szCs w:val="24"/>
        </w:rPr>
        <w:t xml:space="preserve"> </w:t>
      </w:r>
      <w:r w:rsidRPr="000F07BB">
        <w:rPr>
          <w:rFonts w:ascii="Arial" w:hAnsi="Arial" w:cs="Arial"/>
          <w:iCs/>
          <w:sz w:val="24"/>
          <w:szCs w:val="24"/>
        </w:rPr>
        <w:t xml:space="preserve">central costs, </w:t>
      </w:r>
      <w:r w:rsidR="00B94BBA">
        <w:rPr>
          <w:rFonts w:ascii="Arial" w:hAnsi="Arial" w:cs="Arial"/>
          <w:iCs/>
          <w:sz w:val="24"/>
          <w:szCs w:val="24"/>
        </w:rPr>
        <w:t xml:space="preserve">transformation costs, </w:t>
      </w:r>
      <w:r w:rsidRPr="000F07BB">
        <w:rPr>
          <w:rFonts w:ascii="Arial" w:hAnsi="Arial" w:cs="Arial"/>
          <w:iCs/>
          <w:sz w:val="24"/>
          <w:szCs w:val="24"/>
        </w:rPr>
        <w:t>exceptional items</w:t>
      </w:r>
      <w:r w:rsidR="00072B44">
        <w:rPr>
          <w:rFonts w:ascii="Arial" w:hAnsi="Arial" w:cs="Arial"/>
          <w:iCs/>
          <w:sz w:val="24"/>
          <w:szCs w:val="24"/>
        </w:rPr>
        <w:t xml:space="preserve"> </w:t>
      </w:r>
      <w:r w:rsidR="00CD58E9">
        <w:rPr>
          <w:rFonts w:ascii="Arial" w:hAnsi="Arial" w:cs="Arial"/>
          <w:iCs/>
          <w:sz w:val="24"/>
          <w:szCs w:val="24"/>
        </w:rPr>
        <w:t>and</w:t>
      </w:r>
      <w:r w:rsidRPr="000F07BB">
        <w:rPr>
          <w:rFonts w:ascii="Arial" w:hAnsi="Arial" w:cs="Arial"/>
          <w:iCs/>
          <w:sz w:val="24"/>
          <w:szCs w:val="24"/>
        </w:rPr>
        <w:t xml:space="preserve"> the Group’s share of interest and tax of JVs and associates. </w:t>
      </w:r>
      <w:r w:rsidR="00D702D6" w:rsidRPr="000F07BB">
        <w:rPr>
          <w:rFonts w:ascii="Arial" w:hAnsi="Arial" w:cs="Arial"/>
          <w:iCs/>
          <w:sz w:val="24"/>
          <w:szCs w:val="24"/>
        </w:rPr>
        <w:t xml:space="preserve">Half </w:t>
      </w:r>
      <w:r w:rsidR="002D2D9D" w:rsidRPr="000F07BB">
        <w:rPr>
          <w:rFonts w:ascii="Arial" w:hAnsi="Arial" w:cs="Arial"/>
          <w:iCs/>
          <w:sz w:val="24"/>
          <w:szCs w:val="24"/>
        </w:rPr>
        <w:t xml:space="preserve">year </w:t>
      </w:r>
      <w:r w:rsidRPr="000F07BB">
        <w:rPr>
          <w:rFonts w:ascii="Arial" w:hAnsi="Arial" w:cs="Arial"/>
          <w:iCs/>
          <w:sz w:val="24"/>
          <w:szCs w:val="24"/>
        </w:rPr>
        <w:t>2015</w:t>
      </w:r>
      <w:r w:rsidR="00D702D6" w:rsidRPr="000F07BB">
        <w:rPr>
          <w:rFonts w:ascii="Arial" w:hAnsi="Arial" w:cs="Arial"/>
          <w:iCs/>
          <w:sz w:val="24"/>
          <w:szCs w:val="24"/>
        </w:rPr>
        <w:t>/16</w:t>
      </w:r>
      <w:r w:rsidRPr="000F07BB">
        <w:rPr>
          <w:rFonts w:ascii="Arial" w:hAnsi="Arial" w:cs="Arial"/>
          <w:iCs/>
          <w:sz w:val="24"/>
          <w:szCs w:val="24"/>
        </w:rPr>
        <w:t xml:space="preserve"> comparatives exclude B&amp;Q China’s operating loss. </w:t>
      </w:r>
    </w:p>
    <w:p w14:paraId="6FC25DA6" w14:textId="77777777" w:rsidR="000265B9" w:rsidRPr="000F07BB" w:rsidRDefault="000265B9" w:rsidP="000265B9">
      <w:pPr>
        <w:tabs>
          <w:tab w:val="left" w:pos="357"/>
        </w:tabs>
        <w:ind w:right="-282"/>
        <w:jc w:val="left"/>
        <w:rPr>
          <w:rFonts w:ascii="Arial" w:hAnsi="Arial" w:cs="Arial"/>
          <w:b/>
          <w:sz w:val="24"/>
          <w:szCs w:val="24"/>
        </w:rPr>
      </w:pPr>
    </w:p>
    <w:p w14:paraId="060BE2C4" w14:textId="4C45C381" w:rsidR="00C13096" w:rsidRPr="000F07BB" w:rsidRDefault="00C13096" w:rsidP="000265B9">
      <w:pPr>
        <w:tabs>
          <w:tab w:val="left" w:pos="357"/>
        </w:tabs>
        <w:ind w:right="-282"/>
        <w:jc w:val="left"/>
        <w:rPr>
          <w:rFonts w:ascii="Arial" w:hAnsi="Arial" w:cs="Arial"/>
          <w:b/>
          <w:sz w:val="24"/>
          <w:szCs w:val="24"/>
        </w:rPr>
      </w:pPr>
      <w:r w:rsidRPr="000F07BB">
        <w:rPr>
          <w:rFonts w:ascii="Arial" w:hAnsi="Arial" w:cs="Arial"/>
          <w:b/>
          <w:sz w:val="24"/>
          <w:szCs w:val="24"/>
        </w:rPr>
        <w:t>Screwfix Europe</w:t>
      </w:r>
      <w:r w:rsidRPr="000F07BB">
        <w:rPr>
          <w:rFonts w:ascii="Arial" w:hAnsi="Arial" w:cs="Arial"/>
          <w:sz w:val="24"/>
          <w:szCs w:val="24"/>
        </w:rPr>
        <w:t xml:space="preserve"> -  Screwfix outside of UK in continental Europe</w:t>
      </w:r>
      <w:r w:rsidR="003678C1" w:rsidRPr="000F07BB">
        <w:rPr>
          <w:rFonts w:ascii="Arial" w:hAnsi="Arial" w:cs="Arial"/>
          <w:sz w:val="24"/>
          <w:szCs w:val="24"/>
        </w:rPr>
        <w:t>.</w:t>
      </w:r>
    </w:p>
    <w:p w14:paraId="11072E8E" w14:textId="77777777" w:rsidR="00C13096" w:rsidRPr="000F07BB" w:rsidRDefault="00C13096" w:rsidP="000265B9">
      <w:pPr>
        <w:tabs>
          <w:tab w:val="left" w:pos="357"/>
        </w:tabs>
        <w:ind w:right="-282"/>
        <w:jc w:val="left"/>
        <w:rPr>
          <w:rFonts w:ascii="Arial" w:hAnsi="Arial" w:cs="Arial"/>
          <w:b/>
          <w:sz w:val="24"/>
          <w:szCs w:val="24"/>
        </w:rPr>
      </w:pPr>
    </w:p>
    <w:p w14:paraId="3C207730" w14:textId="77777777" w:rsidR="000265B9" w:rsidRPr="000F07BB" w:rsidRDefault="000265B9" w:rsidP="000265B9">
      <w:pPr>
        <w:tabs>
          <w:tab w:val="left" w:pos="357"/>
        </w:tabs>
        <w:ind w:right="-282"/>
        <w:jc w:val="left"/>
        <w:rPr>
          <w:rFonts w:ascii="Arial" w:hAnsi="Arial" w:cs="Arial"/>
          <w:iCs/>
          <w:sz w:val="24"/>
          <w:szCs w:val="24"/>
        </w:rPr>
      </w:pPr>
      <w:r w:rsidRPr="000F07BB">
        <w:rPr>
          <w:rFonts w:ascii="Arial" w:hAnsi="Arial" w:cs="Arial"/>
          <w:b/>
          <w:sz w:val="24"/>
          <w:szCs w:val="24"/>
        </w:rPr>
        <w:t>Statutory sales</w:t>
      </w:r>
      <w:r w:rsidRPr="000F07BB">
        <w:rPr>
          <w:rFonts w:ascii="Arial" w:hAnsi="Arial" w:cs="Arial"/>
          <w:iCs/>
          <w:sz w:val="24"/>
          <w:szCs w:val="24"/>
        </w:rPr>
        <w:t xml:space="preserve"> - Group sales exclude Joint Venture (Koçtaş JV) sales.</w:t>
      </w:r>
    </w:p>
    <w:p w14:paraId="44893DA9" w14:textId="77777777" w:rsidR="000265B9" w:rsidRPr="000F07BB" w:rsidRDefault="000265B9" w:rsidP="000265B9">
      <w:pPr>
        <w:tabs>
          <w:tab w:val="left" w:pos="357"/>
        </w:tabs>
        <w:ind w:right="-282"/>
        <w:jc w:val="left"/>
        <w:rPr>
          <w:rFonts w:ascii="Arial" w:hAnsi="Arial" w:cs="Arial"/>
          <w:iCs/>
          <w:sz w:val="24"/>
          <w:szCs w:val="24"/>
        </w:rPr>
      </w:pPr>
    </w:p>
    <w:p w14:paraId="600F5256" w14:textId="72F45F83" w:rsidR="000265B9" w:rsidRPr="000F07BB" w:rsidRDefault="000265B9" w:rsidP="000265B9">
      <w:pPr>
        <w:tabs>
          <w:tab w:val="left" w:pos="357"/>
        </w:tabs>
        <w:ind w:right="-282"/>
        <w:jc w:val="left"/>
        <w:rPr>
          <w:rFonts w:ascii="Arial" w:hAnsi="Arial" w:cs="Arial"/>
          <w:iCs/>
          <w:sz w:val="24"/>
          <w:szCs w:val="24"/>
        </w:rPr>
      </w:pPr>
      <w:r w:rsidRPr="000F07BB">
        <w:rPr>
          <w:rFonts w:ascii="Arial" w:hAnsi="Arial" w:cs="Arial"/>
          <w:b/>
          <w:iCs/>
          <w:sz w:val="24"/>
          <w:szCs w:val="24"/>
        </w:rPr>
        <w:t xml:space="preserve">SKU </w:t>
      </w:r>
      <w:r w:rsidRPr="000F07BB">
        <w:rPr>
          <w:rFonts w:ascii="Arial" w:hAnsi="Arial" w:cs="Arial"/>
          <w:iCs/>
          <w:sz w:val="24"/>
          <w:szCs w:val="24"/>
        </w:rPr>
        <w:t>(Stock Keeping Unit)</w:t>
      </w:r>
      <w:r w:rsidRPr="000F07BB">
        <w:rPr>
          <w:rFonts w:ascii="Arial" w:hAnsi="Arial" w:cs="Arial"/>
          <w:b/>
          <w:iCs/>
          <w:sz w:val="24"/>
          <w:szCs w:val="24"/>
        </w:rPr>
        <w:t xml:space="preserve"> </w:t>
      </w:r>
      <w:r w:rsidRPr="000F07BB">
        <w:rPr>
          <w:rFonts w:ascii="Arial" w:hAnsi="Arial" w:cs="Arial"/>
          <w:iCs/>
          <w:sz w:val="24"/>
          <w:szCs w:val="24"/>
        </w:rPr>
        <w:t>- the number of individual variants of products sold or remaining in stock. It is a distinct type of item for sale, such as a product and all attributes associated with the item type that distinguish it from others. These attributes could include, but are not limited to, manufacturer, description, material, size, colour, packaging and warranty terms.</w:t>
      </w:r>
    </w:p>
    <w:p w14:paraId="46D69432" w14:textId="77777777" w:rsidR="000265B9" w:rsidRPr="000F07BB" w:rsidRDefault="000265B9" w:rsidP="000265B9">
      <w:pPr>
        <w:rPr>
          <w:rFonts w:ascii="Arial" w:hAnsi="Arial" w:cs="Arial"/>
          <w:b/>
          <w:iCs/>
          <w:sz w:val="24"/>
          <w:szCs w:val="24"/>
        </w:rPr>
      </w:pPr>
    </w:p>
    <w:p w14:paraId="541B2A83" w14:textId="178AB075" w:rsidR="00320919" w:rsidRPr="00B501B6" w:rsidRDefault="00320919" w:rsidP="000265B9">
      <w:pPr>
        <w:jc w:val="left"/>
        <w:rPr>
          <w:rFonts w:ascii="Arial" w:hAnsi="Arial" w:cs="Arial"/>
          <w:bCs/>
          <w:sz w:val="24"/>
          <w:szCs w:val="24"/>
        </w:rPr>
      </w:pPr>
      <w:r w:rsidRPr="000F07BB">
        <w:rPr>
          <w:rFonts w:ascii="Arial" w:hAnsi="Arial" w:cs="Arial"/>
          <w:b/>
          <w:bCs/>
          <w:sz w:val="24"/>
          <w:szCs w:val="24"/>
        </w:rPr>
        <w:t>TASCOM</w:t>
      </w:r>
      <w:r w:rsidR="00B501B6" w:rsidRPr="00B501B6">
        <w:rPr>
          <w:rFonts w:ascii="Arial" w:hAnsi="Arial" w:cs="Arial"/>
          <w:bCs/>
          <w:sz w:val="24"/>
          <w:szCs w:val="24"/>
        </w:rPr>
        <w:t xml:space="preserve"> </w:t>
      </w:r>
      <w:r w:rsidR="000754C8">
        <w:rPr>
          <w:rFonts w:ascii="Arial" w:hAnsi="Arial" w:cs="Arial"/>
          <w:bCs/>
          <w:sz w:val="24"/>
          <w:szCs w:val="24"/>
        </w:rPr>
        <w:t xml:space="preserve">(taxe sur les surfaces commerciales) </w:t>
      </w:r>
      <w:r w:rsidR="00B501B6" w:rsidRPr="00B501B6">
        <w:rPr>
          <w:rFonts w:ascii="Arial" w:hAnsi="Arial" w:cs="Arial"/>
          <w:bCs/>
          <w:sz w:val="24"/>
          <w:szCs w:val="24"/>
        </w:rPr>
        <w:t>is</w:t>
      </w:r>
      <w:r w:rsidRPr="00B501B6">
        <w:rPr>
          <w:rFonts w:ascii="Arial" w:hAnsi="Arial" w:cs="Arial"/>
          <w:bCs/>
          <w:sz w:val="24"/>
          <w:szCs w:val="24"/>
        </w:rPr>
        <w:t xml:space="preserve"> a </w:t>
      </w:r>
      <w:r w:rsidR="00994A45">
        <w:rPr>
          <w:rFonts w:ascii="Arial" w:hAnsi="Arial" w:cs="Arial"/>
          <w:bCs/>
          <w:sz w:val="24"/>
          <w:szCs w:val="24"/>
        </w:rPr>
        <w:t xml:space="preserve">French </w:t>
      </w:r>
      <w:r w:rsidRPr="00B501B6">
        <w:rPr>
          <w:rFonts w:ascii="Arial" w:hAnsi="Arial" w:cs="Arial"/>
          <w:bCs/>
          <w:sz w:val="24"/>
          <w:szCs w:val="24"/>
        </w:rPr>
        <w:t>levy charged based on store turnover per square metre</w:t>
      </w:r>
      <w:r w:rsidR="00994A45">
        <w:rPr>
          <w:rFonts w:ascii="Arial" w:hAnsi="Arial" w:cs="Arial"/>
          <w:bCs/>
          <w:sz w:val="24"/>
          <w:szCs w:val="24"/>
        </w:rPr>
        <w:t>.</w:t>
      </w:r>
    </w:p>
    <w:p w14:paraId="64F8F4C6" w14:textId="77777777" w:rsidR="00FF4F74" w:rsidRDefault="00FF4F74" w:rsidP="000265B9">
      <w:pPr>
        <w:jc w:val="left"/>
        <w:rPr>
          <w:rFonts w:ascii="Arial" w:hAnsi="Arial" w:cs="Arial"/>
          <w:b/>
          <w:iCs/>
          <w:sz w:val="24"/>
          <w:szCs w:val="24"/>
        </w:rPr>
      </w:pPr>
    </w:p>
    <w:p w14:paraId="2642AB67" w14:textId="6A6ECB4B" w:rsidR="00FF4F74" w:rsidRPr="0020209B" w:rsidRDefault="00FF4F74" w:rsidP="000265B9">
      <w:pPr>
        <w:jc w:val="left"/>
        <w:rPr>
          <w:rFonts w:ascii="Arial" w:hAnsi="Arial" w:cs="Arial"/>
          <w:iCs/>
          <w:sz w:val="24"/>
          <w:szCs w:val="24"/>
        </w:rPr>
      </w:pPr>
      <w:r w:rsidRPr="00FF4F74">
        <w:rPr>
          <w:rFonts w:ascii="Arial" w:hAnsi="Arial" w:cs="Arial"/>
          <w:b/>
          <w:iCs/>
          <w:sz w:val="24"/>
          <w:szCs w:val="24"/>
        </w:rPr>
        <w:t>Transformation costs</w:t>
      </w:r>
      <w:r w:rsidRPr="0020209B">
        <w:rPr>
          <w:rFonts w:ascii="Arial" w:hAnsi="Arial" w:cs="Arial"/>
          <w:iCs/>
          <w:sz w:val="24"/>
          <w:szCs w:val="24"/>
        </w:rPr>
        <w:t xml:space="preserve"> represent the additional costs of the ONE Kingfisher transformation</w:t>
      </w:r>
      <w:r w:rsidRPr="00FF4F74">
        <w:rPr>
          <w:rFonts w:ascii="Arial" w:hAnsi="Arial" w:cs="Arial"/>
          <w:iCs/>
          <w:sz w:val="24"/>
          <w:szCs w:val="24"/>
        </w:rPr>
        <w:t xml:space="preserve"> programme launched in 2016/17. </w:t>
      </w:r>
      <w:r w:rsidRPr="0020209B">
        <w:rPr>
          <w:rFonts w:ascii="Arial" w:hAnsi="Arial" w:cs="Arial"/>
          <w:iCs/>
          <w:sz w:val="24"/>
          <w:szCs w:val="24"/>
        </w:rPr>
        <w:t>They comprise ‘transformation exceptional costs’, ‘transformation P&amp;L costs’ (i.e. non-exceptional items) and ‘transformation capex’ (capital expenditure).</w:t>
      </w:r>
    </w:p>
    <w:p w14:paraId="66B658E5" w14:textId="77777777" w:rsidR="00FF4F74" w:rsidRDefault="00FF4F74" w:rsidP="000265B9">
      <w:pPr>
        <w:jc w:val="left"/>
        <w:rPr>
          <w:rFonts w:ascii="Arial" w:hAnsi="Arial" w:cs="Arial"/>
          <w:b/>
          <w:iCs/>
          <w:sz w:val="24"/>
          <w:szCs w:val="24"/>
        </w:rPr>
      </w:pPr>
    </w:p>
    <w:p w14:paraId="5605EE17" w14:textId="28CA8D3B" w:rsidR="00B94BBA" w:rsidRDefault="00791199" w:rsidP="000265B9">
      <w:pPr>
        <w:jc w:val="left"/>
        <w:rPr>
          <w:rFonts w:ascii="Arial" w:hAnsi="Arial" w:cs="Arial"/>
          <w:iCs/>
          <w:sz w:val="24"/>
          <w:szCs w:val="24"/>
        </w:rPr>
      </w:pPr>
      <w:r w:rsidRPr="000F07BB">
        <w:rPr>
          <w:rFonts w:ascii="Arial" w:hAnsi="Arial" w:cs="Arial"/>
          <w:b/>
          <w:iCs/>
          <w:sz w:val="24"/>
          <w:szCs w:val="24"/>
        </w:rPr>
        <w:t xml:space="preserve">Underlying </w:t>
      </w:r>
      <w:r w:rsidR="00B94BBA">
        <w:rPr>
          <w:rFonts w:ascii="Arial" w:hAnsi="Arial" w:cs="Arial"/>
          <w:b/>
          <w:iCs/>
          <w:sz w:val="24"/>
          <w:szCs w:val="24"/>
        </w:rPr>
        <w:t xml:space="preserve">pre-tax profit </w:t>
      </w:r>
      <w:r w:rsidR="00B94BBA">
        <w:rPr>
          <w:rFonts w:ascii="Arial" w:hAnsi="Arial" w:cs="Arial"/>
          <w:iCs/>
          <w:sz w:val="24"/>
          <w:szCs w:val="24"/>
        </w:rPr>
        <w:t>is used to</w:t>
      </w:r>
      <w:r w:rsidR="00683106">
        <w:rPr>
          <w:rFonts w:ascii="Arial" w:hAnsi="Arial" w:cs="Arial"/>
          <w:iCs/>
          <w:sz w:val="24"/>
          <w:szCs w:val="24"/>
        </w:rPr>
        <w:t xml:space="preserve"> report</w:t>
      </w:r>
      <w:r w:rsidR="00B94BBA">
        <w:rPr>
          <w:rFonts w:ascii="Arial" w:hAnsi="Arial" w:cs="Arial"/>
          <w:iCs/>
          <w:sz w:val="24"/>
          <w:szCs w:val="24"/>
        </w:rPr>
        <w:t xml:space="preserve"> the performance of the</w:t>
      </w:r>
      <w:r w:rsidR="00CD58E9">
        <w:rPr>
          <w:rFonts w:ascii="Arial" w:hAnsi="Arial" w:cs="Arial"/>
          <w:iCs/>
          <w:sz w:val="24"/>
          <w:szCs w:val="24"/>
        </w:rPr>
        <w:t xml:space="preserve"> </w:t>
      </w:r>
      <w:r w:rsidR="00B94BBA">
        <w:rPr>
          <w:rFonts w:ascii="Arial" w:hAnsi="Arial" w:cs="Arial"/>
          <w:iCs/>
          <w:sz w:val="24"/>
          <w:szCs w:val="24"/>
        </w:rPr>
        <w:t xml:space="preserve">underlying business </w:t>
      </w:r>
      <w:r w:rsidR="00683106">
        <w:rPr>
          <w:rFonts w:ascii="Arial" w:hAnsi="Arial" w:cs="Arial"/>
          <w:iCs/>
          <w:sz w:val="24"/>
          <w:szCs w:val="24"/>
        </w:rPr>
        <w:t>at a Group level</w:t>
      </w:r>
      <w:r w:rsidR="00CD58E9">
        <w:rPr>
          <w:rFonts w:ascii="Arial" w:hAnsi="Arial" w:cs="Arial"/>
          <w:iCs/>
          <w:sz w:val="24"/>
          <w:szCs w:val="24"/>
        </w:rPr>
        <w:t xml:space="preserve">, including </w:t>
      </w:r>
      <w:r w:rsidR="00072B44">
        <w:rPr>
          <w:rFonts w:ascii="Arial" w:hAnsi="Arial" w:cs="Arial"/>
          <w:iCs/>
          <w:sz w:val="24"/>
          <w:szCs w:val="24"/>
        </w:rPr>
        <w:t xml:space="preserve">the </w:t>
      </w:r>
      <w:r w:rsidR="00E32EA0">
        <w:rPr>
          <w:rFonts w:ascii="Arial" w:hAnsi="Arial" w:cs="Arial"/>
          <w:iCs/>
          <w:sz w:val="24"/>
          <w:szCs w:val="24"/>
        </w:rPr>
        <w:t xml:space="preserve">sustainable </w:t>
      </w:r>
      <w:r w:rsidR="00072B44">
        <w:rPr>
          <w:rFonts w:ascii="Arial" w:hAnsi="Arial" w:cs="Arial"/>
          <w:iCs/>
          <w:sz w:val="24"/>
          <w:szCs w:val="24"/>
        </w:rPr>
        <w:t>benefits of our transformation programme</w:t>
      </w:r>
      <w:r w:rsidR="00683106">
        <w:rPr>
          <w:rFonts w:ascii="Arial" w:hAnsi="Arial" w:cs="Arial"/>
          <w:iCs/>
          <w:sz w:val="24"/>
          <w:szCs w:val="24"/>
        </w:rPr>
        <w:t xml:space="preserve">. This is stated </w:t>
      </w:r>
      <w:r w:rsidR="00B94BBA">
        <w:rPr>
          <w:rFonts w:ascii="Arial" w:hAnsi="Arial" w:cs="Arial"/>
          <w:iCs/>
          <w:sz w:val="24"/>
          <w:szCs w:val="24"/>
        </w:rPr>
        <w:t xml:space="preserve">before </w:t>
      </w:r>
      <w:r w:rsidR="00072B44">
        <w:rPr>
          <w:rFonts w:ascii="Arial" w:hAnsi="Arial" w:cs="Arial"/>
          <w:iCs/>
          <w:sz w:val="24"/>
          <w:szCs w:val="24"/>
        </w:rPr>
        <w:t xml:space="preserve">the </w:t>
      </w:r>
      <w:r w:rsidR="00E32EA0">
        <w:rPr>
          <w:rFonts w:ascii="Arial" w:hAnsi="Arial" w:cs="Arial"/>
          <w:iCs/>
          <w:sz w:val="24"/>
          <w:szCs w:val="24"/>
        </w:rPr>
        <w:t xml:space="preserve">short-term </w:t>
      </w:r>
      <w:r w:rsidR="00072B44">
        <w:rPr>
          <w:rFonts w:ascii="Arial" w:hAnsi="Arial" w:cs="Arial"/>
          <w:iCs/>
          <w:sz w:val="24"/>
          <w:szCs w:val="24"/>
        </w:rPr>
        <w:t xml:space="preserve">costs associated with our </w:t>
      </w:r>
      <w:r w:rsidR="00B94BBA">
        <w:rPr>
          <w:rFonts w:ascii="Arial" w:hAnsi="Arial" w:cs="Arial"/>
          <w:iCs/>
          <w:sz w:val="24"/>
          <w:szCs w:val="24"/>
        </w:rPr>
        <w:t xml:space="preserve">transformation </w:t>
      </w:r>
      <w:r w:rsidR="00072B44">
        <w:rPr>
          <w:rFonts w:ascii="Arial" w:hAnsi="Arial" w:cs="Arial"/>
          <w:iCs/>
          <w:sz w:val="24"/>
          <w:szCs w:val="24"/>
        </w:rPr>
        <w:t>programme</w:t>
      </w:r>
      <w:r w:rsidR="00683106">
        <w:rPr>
          <w:rFonts w:ascii="Arial" w:hAnsi="Arial" w:cs="Arial"/>
          <w:iCs/>
          <w:sz w:val="24"/>
          <w:szCs w:val="24"/>
        </w:rPr>
        <w:t>,</w:t>
      </w:r>
      <w:r w:rsidR="00B94BBA">
        <w:rPr>
          <w:rFonts w:ascii="Arial" w:hAnsi="Arial" w:cs="Arial"/>
          <w:iCs/>
          <w:sz w:val="24"/>
          <w:szCs w:val="24"/>
        </w:rPr>
        <w:t xml:space="preserve"> exceptional items and FFVR. </w:t>
      </w:r>
    </w:p>
    <w:p w14:paraId="693F8429" w14:textId="77777777" w:rsidR="00791199" w:rsidRPr="000F07BB" w:rsidRDefault="00791199" w:rsidP="000265B9">
      <w:pPr>
        <w:jc w:val="left"/>
        <w:rPr>
          <w:rFonts w:ascii="Arial" w:hAnsi="Arial" w:cs="Arial"/>
          <w:b/>
          <w:iCs/>
          <w:sz w:val="24"/>
          <w:szCs w:val="24"/>
        </w:rPr>
      </w:pPr>
    </w:p>
    <w:p w14:paraId="31000BAC" w14:textId="7A833240" w:rsidR="000265B9" w:rsidRPr="000F07BB" w:rsidRDefault="000265B9" w:rsidP="000265B9">
      <w:pPr>
        <w:jc w:val="left"/>
        <w:rPr>
          <w:rFonts w:ascii="Arial" w:hAnsi="Arial" w:cs="Arial"/>
          <w:b/>
          <w:bCs/>
          <w:sz w:val="24"/>
          <w:szCs w:val="24"/>
        </w:rPr>
      </w:pPr>
      <w:r w:rsidRPr="000F07BB">
        <w:rPr>
          <w:rFonts w:ascii="Arial" w:hAnsi="Arial" w:cs="Arial"/>
          <w:b/>
          <w:iCs/>
          <w:sz w:val="24"/>
          <w:szCs w:val="24"/>
        </w:rPr>
        <w:t>UK &amp; Ireland</w:t>
      </w:r>
      <w:r w:rsidRPr="000F07BB">
        <w:rPr>
          <w:rFonts w:ascii="Arial" w:hAnsi="Arial" w:cs="Arial"/>
          <w:iCs/>
          <w:sz w:val="24"/>
          <w:szCs w:val="24"/>
        </w:rPr>
        <w:t xml:space="preserve"> consists of B&amp;Q in the UK &amp; Ireland and Screwfix</w:t>
      </w:r>
      <w:r w:rsidR="00EE0CD7" w:rsidRPr="000F07BB">
        <w:rPr>
          <w:rFonts w:ascii="Arial" w:hAnsi="Arial" w:cs="Arial"/>
          <w:iCs/>
          <w:sz w:val="24"/>
          <w:szCs w:val="24"/>
        </w:rPr>
        <w:t xml:space="preserve"> UK</w:t>
      </w:r>
      <w:r w:rsidRPr="000F07BB">
        <w:rPr>
          <w:rFonts w:ascii="Arial" w:hAnsi="Arial" w:cs="Arial"/>
          <w:iCs/>
          <w:sz w:val="24"/>
          <w:szCs w:val="24"/>
        </w:rPr>
        <w:t>.</w:t>
      </w:r>
    </w:p>
    <w:p w14:paraId="69CC803A" w14:textId="77777777" w:rsidR="000265B9" w:rsidRPr="000F07BB" w:rsidRDefault="000265B9" w:rsidP="000265B9">
      <w:pPr>
        <w:rPr>
          <w:rFonts w:ascii="Arial" w:hAnsi="Arial" w:cs="Arial"/>
          <w:b/>
          <w:bCs/>
          <w:sz w:val="24"/>
          <w:szCs w:val="24"/>
        </w:rPr>
      </w:pPr>
    </w:p>
    <w:p w14:paraId="32E5436B" w14:textId="77777777" w:rsidR="000265B9" w:rsidRPr="00925EFB" w:rsidRDefault="000265B9" w:rsidP="000265B9">
      <w:pPr>
        <w:rPr>
          <w:rFonts w:ascii="Arial" w:hAnsi="Arial" w:cs="Arial"/>
          <w:b/>
          <w:bCs/>
          <w:sz w:val="24"/>
          <w:szCs w:val="24"/>
          <w:highlight w:val="yellow"/>
        </w:rPr>
      </w:pPr>
    </w:p>
    <w:p w14:paraId="20582C13" w14:textId="77777777" w:rsidR="000265B9" w:rsidRPr="00925EFB" w:rsidRDefault="000265B9" w:rsidP="000265B9">
      <w:pPr>
        <w:rPr>
          <w:rFonts w:cs="Times New Roman"/>
          <w:sz w:val="24"/>
          <w:szCs w:val="24"/>
          <w:highlight w:val="yellow"/>
        </w:rPr>
      </w:pPr>
    </w:p>
    <w:p w14:paraId="39BC0394" w14:textId="77777777" w:rsidR="008E3FF2" w:rsidRPr="00925EFB" w:rsidRDefault="008E3FF2">
      <w:pPr>
        <w:jc w:val="left"/>
        <w:rPr>
          <w:rFonts w:ascii="Arial" w:hAnsi="Arial" w:cs="Arial"/>
          <w:b/>
          <w:bCs/>
          <w:sz w:val="24"/>
          <w:szCs w:val="24"/>
          <w:highlight w:val="yellow"/>
        </w:rPr>
      </w:pPr>
      <w:r w:rsidRPr="00925EFB">
        <w:rPr>
          <w:rFonts w:ascii="Arial" w:hAnsi="Arial" w:cs="Arial"/>
          <w:b/>
          <w:bCs/>
          <w:sz w:val="24"/>
          <w:szCs w:val="24"/>
          <w:highlight w:val="yellow"/>
        </w:rPr>
        <w:br w:type="page"/>
      </w:r>
    </w:p>
    <w:p w14:paraId="6A68225A" w14:textId="6FAFD820" w:rsidR="003A298D" w:rsidRPr="00C85DB3" w:rsidRDefault="003A298D" w:rsidP="00272A5E">
      <w:pPr>
        <w:rPr>
          <w:rFonts w:ascii="Arial" w:hAnsi="Arial" w:cs="Arial"/>
          <w:b/>
          <w:caps/>
        </w:rPr>
      </w:pPr>
      <w:r w:rsidRPr="00C85DB3">
        <w:rPr>
          <w:rFonts w:ascii="Arial" w:hAnsi="Arial" w:cs="Arial"/>
          <w:b/>
          <w:bCs/>
          <w:sz w:val="24"/>
          <w:szCs w:val="24"/>
        </w:rPr>
        <w:lastRenderedPageBreak/>
        <w:t xml:space="preserve">Section </w:t>
      </w:r>
      <w:r w:rsidR="00DD4F01" w:rsidRPr="00C85DB3">
        <w:rPr>
          <w:rFonts w:ascii="Arial" w:hAnsi="Arial" w:cs="Arial"/>
          <w:b/>
          <w:bCs/>
          <w:sz w:val="24"/>
          <w:szCs w:val="24"/>
        </w:rPr>
        <w:t>6</w:t>
      </w:r>
      <w:r w:rsidRPr="00C85DB3">
        <w:rPr>
          <w:rFonts w:ascii="Arial" w:hAnsi="Arial" w:cs="Arial"/>
          <w:b/>
          <w:bCs/>
          <w:sz w:val="24"/>
          <w:szCs w:val="24"/>
        </w:rPr>
        <w:t xml:space="preserve">: </w:t>
      </w:r>
      <w:r w:rsidRPr="00C85DB3">
        <w:rPr>
          <w:rFonts w:ascii="Arial" w:hAnsi="Arial" w:cs="Arial"/>
          <w:b/>
          <w:sz w:val="24"/>
          <w:szCs w:val="24"/>
        </w:rPr>
        <w:t>Forward-looking statements</w:t>
      </w:r>
    </w:p>
    <w:p w14:paraId="37FAC5F7" w14:textId="77777777" w:rsidR="003A298D" w:rsidRPr="00C85DB3" w:rsidRDefault="003A298D" w:rsidP="003A298D">
      <w:pPr>
        <w:jc w:val="left"/>
        <w:rPr>
          <w:rFonts w:ascii="Arial" w:hAnsi="Arial" w:cs="Arial"/>
          <w:sz w:val="24"/>
          <w:szCs w:val="24"/>
        </w:rPr>
      </w:pPr>
    </w:p>
    <w:p w14:paraId="2A896475" w14:textId="77777777" w:rsidR="003A298D" w:rsidRPr="00C85DB3" w:rsidRDefault="003A298D" w:rsidP="003A298D">
      <w:pPr>
        <w:jc w:val="left"/>
        <w:rPr>
          <w:rFonts w:ascii="Arial" w:hAnsi="Arial" w:cs="Arial"/>
          <w:sz w:val="24"/>
          <w:szCs w:val="24"/>
        </w:rPr>
      </w:pPr>
      <w:r w:rsidRPr="00C85DB3">
        <w:rPr>
          <w:rFonts w:ascii="Arial" w:hAnsi="Arial" w:cs="Arial"/>
          <w:sz w:val="24"/>
          <w:szCs w:val="24"/>
        </w:rPr>
        <w:t xml:space="preserve">You are not to construe the content of this announcement as investment, legal or tax advice and you should make you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73DF9A2B" w14:textId="77777777" w:rsidR="003A298D" w:rsidRPr="00C85DB3" w:rsidRDefault="003A298D" w:rsidP="003A298D">
      <w:pPr>
        <w:jc w:val="left"/>
        <w:rPr>
          <w:rFonts w:ascii="Arial" w:hAnsi="Arial" w:cs="Arial"/>
          <w:sz w:val="24"/>
          <w:szCs w:val="24"/>
        </w:rPr>
      </w:pPr>
    </w:p>
    <w:p w14:paraId="642A5044" w14:textId="31C2BDF0" w:rsidR="003A298D" w:rsidRPr="00C85DB3" w:rsidRDefault="003A298D" w:rsidP="003A298D">
      <w:pPr>
        <w:jc w:val="left"/>
        <w:rPr>
          <w:rFonts w:ascii="Arial" w:hAnsi="Arial" w:cs="Arial"/>
          <w:sz w:val="24"/>
          <w:szCs w:val="24"/>
        </w:rPr>
      </w:pPr>
      <w:r w:rsidRPr="00C85DB3">
        <w:rPr>
          <w:rFonts w:ascii="Arial" w:hAnsi="Arial" w:cs="Arial"/>
          <w:sz w:val="24"/>
          <w:szCs w:val="24"/>
        </w:rPr>
        <w:t>This announcement has been prepared in relation to the financial r</w:t>
      </w:r>
      <w:r w:rsidR="008E7ABE" w:rsidRPr="00C85DB3">
        <w:rPr>
          <w:rFonts w:ascii="Arial" w:hAnsi="Arial" w:cs="Arial"/>
          <w:sz w:val="24"/>
          <w:szCs w:val="24"/>
        </w:rPr>
        <w:t xml:space="preserve">esults for the </w:t>
      </w:r>
      <w:r w:rsidR="00020E6F" w:rsidRPr="00925EFB">
        <w:rPr>
          <w:rFonts w:ascii="Arial" w:hAnsi="Arial" w:cs="Arial"/>
          <w:sz w:val="24"/>
          <w:szCs w:val="24"/>
        </w:rPr>
        <w:t>half</w:t>
      </w:r>
      <w:r w:rsidR="008E7ABE" w:rsidRPr="00C85DB3">
        <w:rPr>
          <w:rFonts w:ascii="Arial" w:hAnsi="Arial" w:cs="Arial"/>
          <w:sz w:val="24"/>
          <w:szCs w:val="24"/>
        </w:rPr>
        <w:t xml:space="preserve"> year ended </w:t>
      </w:r>
      <w:r w:rsidR="008E3FF2" w:rsidRPr="00C85DB3">
        <w:rPr>
          <w:rFonts w:ascii="Arial" w:hAnsi="Arial" w:cs="Arial"/>
          <w:sz w:val="24"/>
          <w:szCs w:val="24"/>
        </w:rPr>
        <w:t>31</w:t>
      </w:r>
      <w:r w:rsidRPr="00C85DB3">
        <w:rPr>
          <w:rFonts w:ascii="Arial" w:hAnsi="Arial" w:cs="Arial"/>
          <w:sz w:val="24"/>
          <w:szCs w:val="24"/>
        </w:rPr>
        <w:t xml:space="preserve"> </w:t>
      </w:r>
      <w:r w:rsidR="00020E6F" w:rsidRPr="00C85DB3">
        <w:rPr>
          <w:rFonts w:ascii="Arial" w:hAnsi="Arial" w:cs="Arial"/>
          <w:sz w:val="24"/>
          <w:szCs w:val="24"/>
        </w:rPr>
        <w:t>J</w:t>
      </w:r>
      <w:r w:rsidR="00020E6F" w:rsidRPr="00925EFB">
        <w:rPr>
          <w:rFonts w:ascii="Arial" w:hAnsi="Arial" w:cs="Arial"/>
          <w:sz w:val="24"/>
          <w:szCs w:val="24"/>
        </w:rPr>
        <w:t>ul</w:t>
      </w:r>
      <w:r w:rsidR="00020E6F" w:rsidRPr="00C85DB3">
        <w:rPr>
          <w:rFonts w:ascii="Arial" w:hAnsi="Arial" w:cs="Arial"/>
          <w:sz w:val="24"/>
          <w:szCs w:val="24"/>
        </w:rPr>
        <w:t xml:space="preserve">y </w:t>
      </w:r>
      <w:r w:rsidRPr="00C85DB3">
        <w:rPr>
          <w:rFonts w:ascii="Arial" w:hAnsi="Arial" w:cs="Arial"/>
          <w:sz w:val="24"/>
          <w:szCs w:val="24"/>
        </w:rPr>
        <w:t>201</w:t>
      </w:r>
      <w:r w:rsidR="008E3FF2" w:rsidRPr="00C85DB3">
        <w:rPr>
          <w:rFonts w:ascii="Arial" w:hAnsi="Arial" w:cs="Arial"/>
          <w:sz w:val="24"/>
          <w:szCs w:val="24"/>
        </w:rPr>
        <w:t>6</w:t>
      </w:r>
      <w:r w:rsidRPr="00C85DB3">
        <w:rPr>
          <w:rFonts w:ascii="Arial" w:hAnsi="Arial" w:cs="Arial"/>
          <w:sz w:val="24"/>
          <w:szCs w:val="24"/>
        </w:rPr>
        <w:t>.</w:t>
      </w:r>
      <w:r w:rsidR="000E7097" w:rsidRPr="00C85DB3">
        <w:rPr>
          <w:rFonts w:ascii="Arial" w:hAnsi="Arial" w:cs="Arial"/>
          <w:sz w:val="24"/>
          <w:szCs w:val="24"/>
        </w:rPr>
        <w:t xml:space="preserve"> </w:t>
      </w:r>
      <w:r w:rsidRPr="00C85DB3">
        <w:rPr>
          <w:rFonts w:ascii="Arial" w:hAnsi="Arial" w:cs="Arial"/>
          <w:sz w:val="24"/>
          <w:szCs w:val="24"/>
        </w:rPr>
        <w:t>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r w:rsidRPr="00C85DB3">
        <w:rPr>
          <w:sz w:val="24"/>
          <w:szCs w:val="24"/>
        </w:rPr>
        <w:t xml:space="preserve"> </w:t>
      </w:r>
    </w:p>
    <w:p w14:paraId="4656293A" w14:textId="77777777" w:rsidR="003A298D" w:rsidRPr="00C85DB3" w:rsidRDefault="003A298D" w:rsidP="003A298D">
      <w:pPr>
        <w:jc w:val="left"/>
        <w:rPr>
          <w:rFonts w:ascii="Arial" w:hAnsi="Arial" w:cs="Arial"/>
          <w:sz w:val="24"/>
          <w:szCs w:val="24"/>
        </w:rPr>
      </w:pPr>
      <w:r w:rsidRPr="00C85DB3">
        <w:rPr>
          <w:rFonts w:ascii="Arial" w:hAnsi="Arial" w:cs="Arial"/>
          <w:sz w:val="24"/>
          <w:szCs w:val="24"/>
        </w:rPr>
        <w:t xml:space="preserve">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tax rates, liquidity, prospects, growth and strategies. </w:t>
      </w:r>
      <w:r w:rsidRPr="00C85DB3">
        <w:rPr>
          <w:rFonts w:ascii="Arial" w:hAnsi="Arial" w:cs="Arial"/>
          <w:i/>
          <w:iCs/>
          <w:sz w:val="24"/>
          <w:szCs w:val="24"/>
        </w:rPr>
        <w:t xml:space="preserve"> </w:t>
      </w:r>
      <w:r w:rsidRPr="00C85DB3">
        <w:rPr>
          <w:rFonts w:ascii="Arial" w:hAnsi="Arial" w:cs="Arial"/>
          <w:sz w:val="24"/>
          <w:szCs w:val="24"/>
        </w:rPr>
        <w:t>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72787ED1" w14:textId="77777777" w:rsidR="003A298D" w:rsidRPr="00C85DB3" w:rsidRDefault="003A298D" w:rsidP="003A298D">
      <w:pPr>
        <w:jc w:val="left"/>
        <w:rPr>
          <w:rFonts w:ascii="Arial" w:hAnsi="Arial" w:cs="Arial"/>
          <w:sz w:val="24"/>
          <w:szCs w:val="24"/>
        </w:rPr>
      </w:pPr>
    </w:p>
    <w:p w14:paraId="13A61595" w14:textId="77777777" w:rsidR="003A298D" w:rsidRPr="00506D26" w:rsidRDefault="003A298D" w:rsidP="003A298D">
      <w:pPr>
        <w:jc w:val="left"/>
        <w:rPr>
          <w:rFonts w:ascii="Arial" w:hAnsi="Arial" w:cs="Arial"/>
          <w:sz w:val="24"/>
          <w:szCs w:val="24"/>
        </w:rPr>
      </w:pPr>
      <w:r w:rsidRPr="00C85DB3">
        <w:rPr>
          <w:rFonts w:ascii="Arial" w:hAnsi="Arial" w:cs="Arial"/>
          <w:sz w:val="24"/>
          <w:szCs w:val="24"/>
        </w:rPr>
        <w:t xml:space="preserve">The Company does not undertake any obligation to update or revise any forward-looking statement to reflect any change in circumstances or </w:t>
      </w:r>
      <w:bookmarkStart w:id="1" w:name="_GoBack"/>
      <w:bookmarkEnd w:id="1"/>
      <w:r w:rsidRPr="00C85DB3">
        <w:rPr>
          <w:rFonts w:ascii="Arial" w:hAnsi="Arial" w:cs="Arial"/>
          <w:sz w:val="24"/>
          <w:szCs w:val="24"/>
        </w:rPr>
        <w:t>in the Company’s expectations.</w:t>
      </w:r>
    </w:p>
    <w:p w14:paraId="6596C021" w14:textId="77777777" w:rsidR="003A298D" w:rsidRPr="00506D26" w:rsidRDefault="003A298D" w:rsidP="003A298D">
      <w:pPr>
        <w:spacing w:after="240"/>
        <w:jc w:val="left"/>
        <w:rPr>
          <w:rFonts w:cs="Times New Roman"/>
          <w:sz w:val="24"/>
          <w:szCs w:val="24"/>
        </w:rPr>
      </w:pPr>
    </w:p>
    <w:p w14:paraId="3AE69977" w14:textId="372D3E47" w:rsidR="00181E03" w:rsidRPr="00506D26" w:rsidRDefault="00181E03" w:rsidP="003A298D">
      <w:pPr>
        <w:jc w:val="left"/>
        <w:rPr>
          <w:rFonts w:cs="Times New Roman"/>
          <w:sz w:val="24"/>
          <w:szCs w:val="24"/>
        </w:rPr>
      </w:pPr>
    </w:p>
    <w:sectPr w:rsidR="00181E03" w:rsidRPr="00506D26" w:rsidSect="00BB74AF">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077" w:right="1134" w:bottom="720" w:left="1134" w:header="11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5C7A7" w14:textId="77777777" w:rsidR="006058FA" w:rsidRDefault="006058FA">
      <w:pPr>
        <w:rPr>
          <w:rFonts w:cs="Times New Roman"/>
        </w:rPr>
      </w:pPr>
      <w:r>
        <w:rPr>
          <w:rFonts w:cs="Times New Roman"/>
        </w:rPr>
        <w:separator/>
      </w:r>
    </w:p>
  </w:endnote>
  <w:endnote w:type="continuationSeparator" w:id="0">
    <w:p w14:paraId="13405EEA" w14:textId="77777777" w:rsidR="006058FA" w:rsidRDefault="006058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ZapfCalligr BT">
    <w:altName w:val="Palatino Linotyp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35">
    <w:altName w:val="Avenir 35"/>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Trade Gothic LT Std Bold">
    <w:panose1 w:val="00000000000000000000"/>
    <w:charset w:val="00"/>
    <w:family w:val="modern"/>
    <w:notTrueType/>
    <w:pitch w:val="variable"/>
    <w:sig w:usb0="800000AF" w:usb1="4000204A"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ProximaNov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2112" w14:textId="77777777" w:rsidR="006058FA" w:rsidRDefault="00605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157898"/>
      <w:docPartObj>
        <w:docPartGallery w:val="Page Numbers (Bottom of Page)"/>
        <w:docPartUnique/>
      </w:docPartObj>
    </w:sdtPr>
    <w:sdtEndPr>
      <w:rPr>
        <w:noProof/>
      </w:rPr>
    </w:sdtEndPr>
    <w:sdtContent>
      <w:p w14:paraId="458AAD36" w14:textId="017E9858" w:rsidR="006058FA" w:rsidRDefault="006058FA">
        <w:pPr>
          <w:pStyle w:val="Footer"/>
          <w:jc w:val="right"/>
        </w:pPr>
        <w:r>
          <w:fldChar w:fldCharType="begin"/>
        </w:r>
        <w:r>
          <w:instrText xml:space="preserve"> PAGE   \* MERGEFORMAT </w:instrText>
        </w:r>
        <w:r>
          <w:fldChar w:fldCharType="separate"/>
        </w:r>
        <w:r w:rsidR="00F90807">
          <w:rPr>
            <w:noProof/>
          </w:rPr>
          <w:t>19</w:t>
        </w:r>
        <w:r>
          <w:rPr>
            <w:noProof/>
          </w:rPr>
          <w:fldChar w:fldCharType="end"/>
        </w:r>
      </w:p>
    </w:sdtContent>
  </w:sdt>
  <w:p w14:paraId="7423D219" w14:textId="77777777" w:rsidR="006058FA" w:rsidRPr="00930C11" w:rsidRDefault="006058FA" w:rsidP="00965768">
    <w:pPr>
      <w:pStyle w:val="Footer"/>
      <w:ind w:right="360"/>
      <w:rPr>
        <w:rFonts w:ascii="Arial" w:hAnsi="Arial" w:cs="Arial"/>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3296" w14:textId="77777777" w:rsidR="006058FA" w:rsidRDefault="0060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AEB62" w14:textId="77777777" w:rsidR="006058FA" w:rsidRDefault="006058FA">
      <w:pPr>
        <w:rPr>
          <w:rFonts w:cs="Times New Roman"/>
        </w:rPr>
      </w:pPr>
      <w:r>
        <w:rPr>
          <w:rFonts w:cs="Times New Roman"/>
        </w:rPr>
        <w:separator/>
      </w:r>
    </w:p>
  </w:footnote>
  <w:footnote w:type="continuationSeparator" w:id="0">
    <w:p w14:paraId="77ECB6D1" w14:textId="77777777" w:rsidR="006058FA" w:rsidRDefault="006058F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62E6" w14:textId="1BAE1911" w:rsidR="006058FA" w:rsidRDefault="00605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9458" w14:textId="66952D7A" w:rsidR="006058FA" w:rsidRPr="00341E1C" w:rsidRDefault="006058FA" w:rsidP="006E1748">
    <w:pPr>
      <w:pStyle w:val="Header"/>
      <w:jc w:val="center"/>
    </w:pPr>
    <w:r>
      <w:rPr>
        <w:noProof/>
      </w:rPr>
      <w:drawing>
        <wp:inline distT="0" distB="0" distL="0" distR="0" wp14:anchorId="7D377ADA" wp14:editId="5FA8AC83">
          <wp:extent cx="2066925" cy="586740"/>
          <wp:effectExtent l="0" t="0" r="9525" b="381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066925" cy="5867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CE4F" w14:textId="1AA088D5" w:rsidR="006058FA" w:rsidRDefault="00605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A9C0444"/>
    <w:lvl w:ilvl="0">
      <w:start w:val="1"/>
      <w:numFmt w:val="bullet"/>
      <w:pStyle w:val="ListBullet4"/>
      <w:lvlText w:val=""/>
      <w:lvlJc w:val="left"/>
      <w:pPr>
        <w:tabs>
          <w:tab w:val="num" w:pos="1440"/>
        </w:tabs>
        <w:ind w:left="1440" w:hanging="360"/>
      </w:pPr>
      <w:rPr>
        <w:rFonts w:ascii="Symbol" w:hAnsi="Symbol" w:hint="default"/>
        <w:lang w:val="en-GB"/>
      </w:rPr>
    </w:lvl>
  </w:abstractNum>
  <w:abstractNum w:abstractNumId="1" w15:restartNumberingAfterBreak="0">
    <w:nsid w:val="00B72404"/>
    <w:multiLevelType w:val="hybridMultilevel"/>
    <w:tmpl w:val="D6DE7B6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06264"/>
    <w:multiLevelType w:val="hybridMultilevel"/>
    <w:tmpl w:val="C92C29CE"/>
    <w:lvl w:ilvl="0" w:tplc="21008480">
      <w:start w:val="1"/>
      <w:numFmt w:val="bullet"/>
      <w:lvlText w:val=""/>
      <w:lvlJc w:val="left"/>
      <w:pPr>
        <w:tabs>
          <w:tab w:val="num" w:pos="720"/>
        </w:tabs>
        <w:ind w:left="720" w:hanging="360"/>
      </w:pPr>
      <w:rPr>
        <w:rFonts w:ascii="Wingdings" w:hAnsi="Wingdings" w:hint="default"/>
      </w:rPr>
    </w:lvl>
    <w:lvl w:ilvl="1" w:tplc="965E0032" w:tentative="1">
      <w:start w:val="1"/>
      <w:numFmt w:val="bullet"/>
      <w:lvlText w:val=""/>
      <w:lvlJc w:val="left"/>
      <w:pPr>
        <w:tabs>
          <w:tab w:val="num" w:pos="1440"/>
        </w:tabs>
        <w:ind w:left="1440" w:hanging="360"/>
      </w:pPr>
      <w:rPr>
        <w:rFonts w:ascii="Wingdings" w:hAnsi="Wingdings" w:hint="default"/>
      </w:rPr>
    </w:lvl>
    <w:lvl w:ilvl="2" w:tplc="D546743E" w:tentative="1">
      <w:start w:val="1"/>
      <w:numFmt w:val="bullet"/>
      <w:lvlText w:val=""/>
      <w:lvlJc w:val="left"/>
      <w:pPr>
        <w:tabs>
          <w:tab w:val="num" w:pos="2160"/>
        </w:tabs>
        <w:ind w:left="2160" w:hanging="360"/>
      </w:pPr>
      <w:rPr>
        <w:rFonts w:ascii="Wingdings" w:hAnsi="Wingdings" w:hint="default"/>
      </w:rPr>
    </w:lvl>
    <w:lvl w:ilvl="3" w:tplc="D4EAC0F4" w:tentative="1">
      <w:start w:val="1"/>
      <w:numFmt w:val="bullet"/>
      <w:lvlText w:val=""/>
      <w:lvlJc w:val="left"/>
      <w:pPr>
        <w:tabs>
          <w:tab w:val="num" w:pos="2880"/>
        </w:tabs>
        <w:ind w:left="2880" w:hanging="360"/>
      </w:pPr>
      <w:rPr>
        <w:rFonts w:ascii="Wingdings" w:hAnsi="Wingdings" w:hint="default"/>
      </w:rPr>
    </w:lvl>
    <w:lvl w:ilvl="4" w:tplc="D9F63188" w:tentative="1">
      <w:start w:val="1"/>
      <w:numFmt w:val="bullet"/>
      <w:lvlText w:val=""/>
      <w:lvlJc w:val="left"/>
      <w:pPr>
        <w:tabs>
          <w:tab w:val="num" w:pos="3600"/>
        </w:tabs>
        <w:ind w:left="3600" w:hanging="360"/>
      </w:pPr>
      <w:rPr>
        <w:rFonts w:ascii="Wingdings" w:hAnsi="Wingdings" w:hint="default"/>
      </w:rPr>
    </w:lvl>
    <w:lvl w:ilvl="5" w:tplc="AADC5B32" w:tentative="1">
      <w:start w:val="1"/>
      <w:numFmt w:val="bullet"/>
      <w:lvlText w:val=""/>
      <w:lvlJc w:val="left"/>
      <w:pPr>
        <w:tabs>
          <w:tab w:val="num" w:pos="4320"/>
        </w:tabs>
        <w:ind w:left="4320" w:hanging="360"/>
      </w:pPr>
      <w:rPr>
        <w:rFonts w:ascii="Wingdings" w:hAnsi="Wingdings" w:hint="default"/>
      </w:rPr>
    </w:lvl>
    <w:lvl w:ilvl="6" w:tplc="F260CDB8" w:tentative="1">
      <w:start w:val="1"/>
      <w:numFmt w:val="bullet"/>
      <w:lvlText w:val=""/>
      <w:lvlJc w:val="left"/>
      <w:pPr>
        <w:tabs>
          <w:tab w:val="num" w:pos="5040"/>
        </w:tabs>
        <w:ind w:left="5040" w:hanging="360"/>
      </w:pPr>
      <w:rPr>
        <w:rFonts w:ascii="Wingdings" w:hAnsi="Wingdings" w:hint="default"/>
      </w:rPr>
    </w:lvl>
    <w:lvl w:ilvl="7" w:tplc="8944681E" w:tentative="1">
      <w:start w:val="1"/>
      <w:numFmt w:val="bullet"/>
      <w:lvlText w:val=""/>
      <w:lvlJc w:val="left"/>
      <w:pPr>
        <w:tabs>
          <w:tab w:val="num" w:pos="5760"/>
        </w:tabs>
        <w:ind w:left="5760" w:hanging="360"/>
      </w:pPr>
      <w:rPr>
        <w:rFonts w:ascii="Wingdings" w:hAnsi="Wingdings" w:hint="default"/>
      </w:rPr>
    </w:lvl>
    <w:lvl w:ilvl="8" w:tplc="D4D205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A77ED"/>
    <w:multiLevelType w:val="hybridMultilevel"/>
    <w:tmpl w:val="FFD65E5A"/>
    <w:lvl w:ilvl="0" w:tplc="31DE82B8">
      <w:start w:val="1"/>
      <w:numFmt w:val="decimal"/>
      <w:lvlText w:val="%1."/>
      <w:lvlJc w:val="left"/>
      <w:pPr>
        <w:tabs>
          <w:tab w:val="num" w:pos="720"/>
        </w:tabs>
        <w:ind w:left="720" w:hanging="360"/>
      </w:pPr>
    </w:lvl>
    <w:lvl w:ilvl="1" w:tplc="39B2CCF8" w:tentative="1">
      <w:start w:val="1"/>
      <w:numFmt w:val="decimal"/>
      <w:lvlText w:val="%2."/>
      <w:lvlJc w:val="left"/>
      <w:pPr>
        <w:tabs>
          <w:tab w:val="num" w:pos="1440"/>
        </w:tabs>
        <w:ind w:left="1440" w:hanging="360"/>
      </w:pPr>
    </w:lvl>
    <w:lvl w:ilvl="2" w:tplc="C0889E46" w:tentative="1">
      <w:start w:val="1"/>
      <w:numFmt w:val="decimal"/>
      <w:lvlText w:val="%3."/>
      <w:lvlJc w:val="left"/>
      <w:pPr>
        <w:tabs>
          <w:tab w:val="num" w:pos="2160"/>
        </w:tabs>
        <w:ind w:left="2160" w:hanging="360"/>
      </w:pPr>
    </w:lvl>
    <w:lvl w:ilvl="3" w:tplc="524A5BAE" w:tentative="1">
      <w:start w:val="1"/>
      <w:numFmt w:val="decimal"/>
      <w:lvlText w:val="%4."/>
      <w:lvlJc w:val="left"/>
      <w:pPr>
        <w:tabs>
          <w:tab w:val="num" w:pos="2880"/>
        </w:tabs>
        <w:ind w:left="2880" w:hanging="360"/>
      </w:pPr>
    </w:lvl>
    <w:lvl w:ilvl="4" w:tplc="7BB89F6A" w:tentative="1">
      <w:start w:val="1"/>
      <w:numFmt w:val="decimal"/>
      <w:lvlText w:val="%5."/>
      <w:lvlJc w:val="left"/>
      <w:pPr>
        <w:tabs>
          <w:tab w:val="num" w:pos="3600"/>
        </w:tabs>
        <w:ind w:left="3600" w:hanging="360"/>
      </w:pPr>
    </w:lvl>
    <w:lvl w:ilvl="5" w:tplc="296A1180" w:tentative="1">
      <w:start w:val="1"/>
      <w:numFmt w:val="decimal"/>
      <w:lvlText w:val="%6."/>
      <w:lvlJc w:val="left"/>
      <w:pPr>
        <w:tabs>
          <w:tab w:val="num" w:pos="4320"/>
        </w:tabs>
        <w:ind w:left="4320" w:hanging="360"/>
      </w:pPr>
    </w:lvl>
    <w:lvl w:ilvl="6" w:tplc="A3183C4E" w:tentative="1">
      <w:start w:val="1"/>
      <w:numFmt w:val="decimal"/>
      <w:lvlText w:val="%7."/>
      <w:lvlJc w:val="left"/>
      <w:pPr>
        <w:tabs>
          <w:tab w:val="num" w:pos="5040"/>
        </w:tabs>
        <w:ind w:left="5040" w:hanging="360"/>
      </w:pPr>
    </w:lvl>
    <w:lvl w:ilvl="7" w:tplc="F63874DA" w:tentative="1">
      <w:start w:val="1"/>
      <w:numFmt w:val="decimal"/>
      <w:lvlText w:val="%8."/>
      <w:lvlJc w:val="left"/>
      <w:pPr>
        <w:tabs>
          <w:tab w:val="num" w:pos="5760"/>
        </w:tabs>
        <w:ind w:left="5760" w:hanging="360"/>
      </w:pPr>
    </w:lvl>
    <w:lvl w:ilvl="8" w:tplc="44E20630" w:tentative="1">
      <w:start w:val="1"/>
      <w:numFmt w:val="decimal"/>
      <w:lvlText w:val="%9."/>
      <w:lvlJc w:val="left"/>
      <w:pPr>
        <w:tabs>
          <w:tab w:val="num" w:pos="6480"/>
        </w:tabs>
        <w:ind w:left="6480" w:hanging="360"/>
      </w:pPr>
    </w:lvl>
  </w:abstractNum>
  <w:abstractNum w:abstractNumId="4" w15:restartNumberingAfterBreak="0">
    <w:nsid w:val="042D6DE8"/>
    <w:multiLevelType w:val="hybridMultilevel"/>
    <w:tmpl w:val="3F842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F6DCB"/>
    <w:multiLevelType w:val="hybridMultilevel"/>
    <w:tmpl w:val="133E8994"/>
    <w:lvl w:ilvl="0" w:tplc="5F6065B2">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50DA8"/>
    <w:multiLevelType w:val="hybridMultilevel"/>
    <w:tmpl w:val="2B68A0C8"/>
    <w:lvl w:ilvl="0" w:tplc="6010DA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C2513"/>
    <w:multiLevelType w:val="hybridMultilevel"/>
    <w:tmpl w:val="65DA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36B01"/>
    <w:multiLevelType w:val="hybridMultilevel"/>
    <w:tmpl w:val="2A6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054F9"/>
    <w:multiLevelType w:val="hybridMultilevel"/>
    <w:tmpl w:val="378C6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8014C7"/>
    <w:multiLevelType w:val="hybridMultilevel"/>
    <w:tmpl w:val="734211C8"/>
    <w:lvl w:ilvl="0" w:tplc="8806E798">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2135F"/>
    <w:multiLevelType w:val="hybridMultilevel"/>
    <w:tmpl w:val="C90C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C4C39"/>
    <w:multiLevelType w:val="hybridMultilevel"/>
    <w:tmpl w:val="B8004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442CC"/>
    <w:multiLevelType w:val="hybridMultilevel"/>
    <w:tmpl w:val="F080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1E1499"/>
    <w:multiLevelType w:val="hybridMultilevel"/>
    <w:tmpl w:val="BAB8B0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EE38B1"/>
    <w:multiLevelType w:val="hybridMultilevel"/>
    <w:tmpl w:val="59EC1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A76177"/>
    <w:multiLevelType w:val="hybridMultilevel"/>
    <w:tmpl w:val="B53A011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E5359B"/>
    <w:multiLevelType w:val="hybridMultilevel"/>
    <w:tmpl w:val="82882746"/>
    <w:lvl w:ilvl="0" w:tplc="29669A02">
      <w:start w:val="1"/>
      <w:numFmt w:val="bullet"/>
      <w:lvlText w:val="•"/>
      <w:lvlJc w:val="left"/>
      <w:pPr>
        <w:tabs>
          <w:tab w:val="num" w:pos="720"/>
        </w:tabs>
        <w:ind w:left="720" w:hanging="360"/>
      </w:pPr>
      <w:rPr>
        <w:rFonts w:ascii="Arial" w:hAnsi="Arial" w:hint="default"/>
      </w:rPr>
    </w:lvl>
    <w:lvl w:ilvl="1" w:tplc="ECC00E7E">
      <w:start w:val="1"/>
      <w:numFmt w:val="bullet"/>
      <w:lvlText w:val="•"/>
      <w:lvlJc w:val="left"/>
      <w:pPr>
        <w:tabs>
          <w:tab w:val="num" w:pos="1440"/>
        </w:tabs>
        <w:ind w:left="1440" w:hanging="360"/>
      </w:pPr>
      <w:rPr>
        <w:rFonts w:ascii="Arial" w:hAnsi="Arial" w:hint="default"/>
      </w:rPr>
    </w:lvl>
    <w:lvl w:ilvl="2" w:tplc="683A1004" w:tentative="1">
      <w:start w:val="1"/>
      <w:numFmt w:val="bullet"/>
      <w:lvlText w:val="•"/>
      <w:lvlJc w:val="left"/>
      <w:pPr>
        <w:tabs>
          <w:tab w:val="num" w:pos="2160"/>
        </w:tabs>
        <w:ind w:left="2160" w:hanging="360"/>
      </w:pPr>
      <w:rPr>
        <w:rFonts w:ascii="Arial" w:hAnsi="Arial" w:hint="default"/>
      </w:rPr>
    </w:lvl>
    <w:lvl w:ilvl="3" w:tplc="D730E624" w:tentative="1">
      <w:start w:val="1"/>
      <w:numFmt w:val="bullet"/>
      <w:lvlText w:val="•"/>
      <w:lvlJc w:val="left"/>
      <w:pPr>
        <w:tabs>
          <w:tab w:val="num" w:pos="2880"/>
        </w:tabs>
        <w:ind w:left="2880" w:hanging="360"/>
      </w:pPr>
      <w:rPr>
        <w:rFonts w:ascii="Arial" w:hAnsi="Arial" w:hint="default"/>
      </w:rPr>
    </w:lvl>
    <w:lvl w:ilvl="4" w:tplc="7A7692B0" w:tentative="1">
      <w:start w:val="1"/>
      <w:numFmt w:val="bullet"/>
      <w:lvlText w:val="•"/>
      <w:lvlJc w:val="left"/>
      <w:pPr>
        <w:tabs>
          <w:tab w:val="num" w:pos="3600"/>
        </w:tabs>
        <w:ind w:left="3600" w:hanging="360"/>
      </w:pPr>
      <w:rPr>
        <w:rFonts w:ascii="Arial" w:hAnsi="Arial" w:hint="default"/>
      </w:rPr>
    </w:lvl>
    <w:lvl w:ilvl="5" w:tplc="035AFF02" w:tentative="1">
      <w:start w:val="1"/>
      <w:numFmt w:val="bullet"/>
      <w:lvlText w:val="•"/>
      <w:lvlJc w:val="left"/>
      <w:pPr>
        <w:tabs>
          <w:tab w:val="num" w:pos="4320"/>
        </w:tabs>
        <w:ind w:left="4320" w:hanging="360"/>
      </w:pPr>
      <w:rPr>
        <w:rFonts w:ascii="Arial" w:hAnsi="Arial" w:hint="default"/>
      </w:rPr>
    </w:lvl>
    <w:lvl w:ilvl="6" w:tplc="A7586CC2" w:tentative="1">
      <w:start w:val="1"/>
      <w:numFmt w:val="bullet"/>
      <w:lvlText w:val="•"/>
      <w:lvlJc w:val="left"/>
      <w:pPr>
        <w:tabs>
          <w:tab w:val="num" w:pos="5040"/>
        </w:tabs>
        <w:ind w:left="5040" w:hanging="360"/>
      </w:pPr>
      <w:rPr>
        <w:rFonts w:ascii="Arial" w:hAnsi="Arial" w:hint="default"/>
      </w:rPr>
    </w:lvl>
    <w:lvl w:ilvl="7" w:tplc="CE9CC640" w:tentative="1">
      <w:start w:val="1"/>
      <w:numFmt w:val="bullet"/>
      <w:lvlText w:val="•"/>
      <w:lvlJc w:val="left"/>
      <w:pPr>
        <w:tabs>
          <w:tab w:val="num" w:pos="5760"/>
        </w:tabs>
        <w:ind w:left="5760" w:hanging="360"/>
      </w:pPr>
      <w:rPr>
        <w:rFonts w:ascii="Arial" w:hAnsi="Arial" w:hint="default"/>
      </w:rPr>
    </w:lvl>
    <w:lvl w:ilvl="8" w:tplc="16E6F6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8F5D74"/>
    <w:multiLevelType w:val="hybridMultilevel"/>
    <w:tmpl w:val="2AB0F004"/>
    <w:lvl w:ilvl="0" w:tplc="4FD05FAC">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BE61CD"/>
    <w:multiLevelType w:val="hybridMultilevel"/>
    <w:tmpl w:val="84DA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24A67"/>
    <w:multiLevelType w:val="hybridMultilevel"/>
    <w:tmpl w:val="98B4B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555B0"/>
    <w:multiLevelType w:val="hybridMultilevel"/>
    <w:tmpl w:val="2D405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AE7997"/>
    <w:multiLevelType w:val="hybridMultilevel"/>
    <w:tmpl w:val="EA78A52C"/>
    <w:lvl w:ilvl="0" w:tplc="882C9CE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E52A26"/>
    <w:multiLevelType w:val="hybridMultilevel"/>
    <w:tmpl w:val="E0B40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BA35FB"/>
    <w:multiLevelType w:val="hybridMultilevel"/>
    <w:tmpl w:val="1A24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BF2BAD"/>
    <w:multiLevelType w:val="hybridMultilevel"/>
    <w:tmpl w:val="AD2638EA"/>
    <w:lvl w:ilvl="0" w:tplc="801A0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0C06D6"/>
    <w:multiLevelType w:val="hybridMultilevel"/>
    <w:tmpl w:val="6DF8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A37218"/>
    <w:multiLevelType w:val="hybridMultilevel"/>
    <w:tmpl w:val="8DF6B16E"/>
    <w:lvl w:ilvl="0" w:tplc="360A9410">
      <w:start w:val="1"/>
      <w:numFmt w:val="bullet"/>
      <w:lvlText w:val="•"/>
      <w:lvlJc w:val="left"/>
      <w:pPr>
        <w:tabs>
          <w:tab w:val="num" w:pos="720"/>
        </w:tabs>
        <w:ind w:left="720" w:hanging="360"/>
      </w:pPr>
      <w:rPr>
        <w:rFonts w:ascii="Arial" w:hAnsi="Arial" w:hint="default"/>
      </w:rPr>
    </w:lvl>
    <w:lvl w:ilvl="1" w:tplc="D00AB86C" w:tentative="1">
      <w:start w:val="1"/>
      <w:numFmt w:val="bullet"/>
      <w:lvlText w:val="•"/>
      <w:lvlJc w:val="left"/>
      <w:pPr>
        <w:tabs>
          <w:tab w:val="num" w:pos="1440"/>
        </w:tabs>
        <w:ind w:left="1440" w:hanging="360"/>
      </w:pPr>
      <w:rPr>
        <w:rFonts w:ascii="Arial" w:hAnsi="Arial" w:hint="default"/>
      </w:rPr>
    </w:lvl>
    <w:lvl w:ilvl="2" w:tplc="AA809D30" w:tentative="1">
      <w:start w:val="1"/>
      <w:numFmt w:val="bullet"/>
      <w:lvlText w:val="•"/>
      <w:lvlJc w:val="left"/>
      <w:pPr>
        <w:tabs>
          <w:tab w:val="num" w:pos="2160"/>
        </w:tabs>
        <w:ind w:left="2160" w:hanging="360"/>
      </w:pPr>
      <w:rPr>
        <w:rFonts w:ascii="Arial" w:hAnsi="Arial" w:hint="default"/>
      </w:rPr>
    </w:lvl>
    <w:lvl w:ilvl="3" w:tplc="CF7A188C" w:tentative="1">
      <w:start w:val="1"/>
      <w:numFmt w:val="bullet"/>
      <w:lvlText w:val="•"/>
      <w:lvlJc w:val="left"/>
      <w:pPr>
        <w:tabs>
          <w:tab w:val="num" w:pos="2880"/>
        </w:tabs>
        <w:ind w:left="2880" w:hanging="360"/>
      </w:pPr>
      <w:rPr>
        <w:rFonts w:ascii="Arial" w:hAnsi="Arial" w:hint="default"/>
      </w:rPr>
    </w:lvl>
    <w:lvl w:ilvl="4" w:tplc="0592018A" w:tentative="1">
      <w:start w:val="1"/>
      <w:numFmt w:val="bullet"/>
      <w:lvlText w:val="•"/>
      <w:lvlJc w:val="left"/>
      <w:pPr>
        <w:tabs>
          <w:tab w:val="num" w:pos="3600"/>
        </w:tabs>
        <w:ind w:left="3600" w:hanging="360"/>
      </w:pPr>
      <w:rPr>
        <w:rFonts w:ascii="Arial" w:hAnsi="Arial" w:hint="default"/>
      </w:rPr>
    </w:lvl>
    <w:lvl w:ilvl="5" w:tplc="6D164E28" w:tentative="1">
      <w:start w:val="1"/>
      <w:numFmt w:val="bullet"/>
      <w:lvlText w:val="•"/>
      <w:lvlJc w:val="left"/>
      <w:pPr>
        <w:tabs>
          <w:tab w:val="num" w:pos="4320"/>
        </w:tabs>
        <w:ind w:left="4320" w:hanging="360"/>
      </w:pPr>
      <w:rPr>
        <w:rFonts w:ascii="Arial" w:hAnsi="Arial" w:hint="default"/>
      </w:rPr>
    </w:lvl>
    <w:lvl w:ilvl="6" w:tplc="AAA4E6CC" w:tentative="1">
      <w:start w:val="1"/>
      <w:numFmt w:val="bullet"/>
      <w:lvlText w:val="•"/>
      <w:lvlJc w:val="left"/>
      <w:pPr>
        <w:tabs>
          <w:tab w:val="num" w:pos="5040"/>
        </w:tabs>
        <w:ind w:left="5040" w:hanging="360"/>
      </w:pPr>
      <w:rPr>
        <w:rFonts w:ascii="Arial" w:hAnsi="Arial" w:hint="default"/>
      </w:rPr>
    </w:lvl>
    <w:lvl w:ilvl="7" w:tplc="DF2AD0F6" w:tentative="1">
      <w:start w:val="1"/>
      <w:numFmt w:val="bullet"/>
      <w:lvlText w:val="•"/>
      <w:lvlJc w:val="left"/>
      <w:pPr>
        <w:tabs>
          <w:tab w:val="num" w:pos="5760"/>
        </w:tabs>
        <w:ind w:left="5760" w:hanging="360"/>
      </w:pPr>
      <w:rPr>
        <w:rFonts w:ascii="Arial" w:hAnsi="Arial" w:hint="default"/>
      </w:rPr>
    </w:lvl>
    <w:lvl w:ilvl="8" w:tplc="1BA880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9675C19"/>
    <w:multiLevelType w:val="hybridMultilevel"/>
    <w:tmpl w:val="EDB603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9EE1A4A"/>
    <w:multiLevelType w:val="hybridMultilevel"/>
    <w:tmpl w:val="658C0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88392C"/>
    <w:multiLevelType w:val="hybridMultilevel"/>
    <w:tmpl w:val="FE1E5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4F5960"/>
    <w:multiLevelType w:val="hybridMultilevel"/>
    <w:tmpl w:val="2940D406"/>
    <w:lvl w:ilvl="0" w:tplc="08090001">
      <w:start w:val="1"/>
      <w:numFmt w:val="bullet"/>
      <w:lvlText w:val=""/>
      <w:lvlJc w:val="left"/>
      <w:pPr>
        <w:ind w:left="720" w:hanging="360"/>
      </w:pPr>
      <w:rPr>
        <w:rFonts w:ascii="Symbol" w:hAnsi="Symbo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BE6105"/>
    <w:multiLevelType w:val="hybridMultilevel"/>
    <w:tmpl w:val="C8A88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E33A7A"/>
    <w:multiLevelType w:val="hybridMultilevel"/>
    <w:tmpl w:val="ED86DA54"/>
    <w:lvl w:ilvl="0" w:tplc="E8826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044D9E"/>
    <w:multiLevelType w:val="hybridMultilevel"/>
    <w:tmpl w:val="D6DE7B6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000FF6"/>
    <w:multiLevelType w:val="hybridMultilevel"/>
    <w:tmpl w:val="088C6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25B56CD"/>
    <w:multiLevelType w:val="hybridMultilevel"/>
    <w:tmpl w:val="78D8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5C67CE"/>
    <w:multiLevelType w:val="hybridMultilevel"/>
    <w:tmpl w:val="17EE54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1372E7"/>
    <w:multiLevelType w:val="hybridMultilevel"/>
    <w:tmpl w:val="D6DE7B6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3447BD"/>
    <w:multiLevelType w:val="hybridMultilevel"/>
    <w:tmpl w:val="E41A48BE"/>
    <w:lvl w:ilvl="0" w:tplc="8C88B2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8E66CB0"/>
    <w:multiLevelType w:val="hybridMultilevel"/>
    <w:tmpl w:val="22B27A28"/>
    <w:lvl w:ilvl="0" w:tplc="17241C32">
      <w:start w:val="10"/>
      <w:numFmt w:val="bullet"/>
      <w:lvlText w:val="-"/>
      <w:lvlJc w:val="left"/>
      <w:pPr>
        <w:ind w:left="432" w:hanging="360"/>
      </w:pPr>
      <w:rPr>
        <w:rFonts w:ascii="Arial" w:eastAsia="Batang"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1" w15:restartNumberingAfterBreak="0">
    <w:nsid w:val="48F81838"/>
    <w:multiLevelType w:val="hybridMultilevel"/>
    <w:tmpl w:val="C130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3167AF"/>
    <w:multiLevelType w:val="multilevel"/>
    <w:tmpl w:val="06F05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5F6498"/>
    <w:multiLevelType w:val="hybridMultilevel"/>
    <w:tmpl w:val="B9C2E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F803A5C"/>
    <w:multiLevelType w:val="hybridMultilevel"/>
    <w:tmpl w:val="D6DE7B6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26F34D4"/>
    <w:multiLevelType w:val="hybridMultilevel"/>
    <w:tmpl w:val="3C642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5A61864"/>
    <w:multiLevelType w:val="hybridMultilevel"/>
    <w:tmpl w:val="0F36DEAC"/>
    <w:lvl w:ilvl="0" w:tplc="E820BD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61E0A65"/>
    <w:multiLevelType w:val="hybridMultilevel"/>
    <w:tmpl w:val="724C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692612D"/>
    <w:multiLevelType w:val="hybridMultilevel"/>
    <w:tmpl w:val="76E47E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72739BF"/>
    <w:multiLevelType w:val="hybridMultilevel"/>
    <w:tmpl w:val="3C481F76"/>
    <w:lvl w:ilvl="0" w:tplc="651C7084">
      <w:start w:val="1"/>
      <w:numFmt w:val="decimal"/>
      <w:lvlText w:val="%1)"/>
      <w:lvlJc w:val="left"/>
      <w:pPr>
        <w:ind w:left="720" w:hanging="360"/>
      </w:pPr>
      <w:rPr>
        <w:rFonts w:hint="default"/>
        <w:b w:val="0"/>
        <w:sz w:val="24"/>
        <w:szCs w:val="24"/>
      </w:rPr>
    </w:lvl>
    <w:lvl w:ilvl="1" w:tplc="738402EC">
      <w:start w:val="1"/>
      <w:numFmt w:val="bullet"/>
      <w:lvlText w:val="-"/>
      <w:lvlJc w:val="left"/>
      <w:pPr>
        <w:ind w:left="1440" w:hanging="360"/>
      </w:pPr>
      <w:rPr>
        <w:rFonts w:ascii="Univers" w:hAnsi="Univer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0" w15:restartNumberingAfterBreak="0">
    <w:nsid w:val="58643212"/>
    <w:multiLevelType w:val="hybridMultilevel"/>
    <w:tmpl w:val="416ACE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8823DC3"/>
    <w:multiLevelType w:val="hybridMultilevel"/>
    <w:tmpl w:val="37A2A2D8"/>
    <w:lvl w:ilvl="0" w:tplc="E578C2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9A55947"/>
    <w:multiLevelType w:val="hybridMultilevel"/>
    <w:tmpl w:val="8362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670A12"/>
    <w:multiLevelType w:val="hybridMultilevel"/>
    <w:tmpl w:val="E580F74C"/>
    <w:lvl w:ilvl="0" w:tplc="E1784E96">
      <w:start w:val="1"/>
      <w:numFmt w:val="bullet"/>
      <w:lvlText w:val="•"/>
      <w:lvlJc w:val="left"/>
      <w:pPr>
        <w:tabs>
          <w:tab w:val="num" w:pos="720"/>
        </w:tabs>
        <w:ind w:left="720" w:hanging="360"/>
      </w:pPr>
      <w:rPr>
        <w:rFonts w:ascii="Arial" w:hAnsi="Arial" w:hint="default"/>
      </w:rPr>
    </w:lvl>
    <w:lvl w:ilvl="1" w:tplc="3C2CC39C">
      <w:start w:val="1"/>
      <w:numFmt w:val="bullet"/>
      <w:lvlText w:val="•"/>
      <w:lvlJc w:val="left"/>
      <w:pPr>
        <w:tabs>
          <w:tab w:val="num" w:pos="1440"/>
        </w:tabs>
        <w:ind w:left="1440" w:hanging="360"/>
      </w:pPr>
      <w:rPr>
        <w:rFonts w:ascii="Arial" w:hAnsi="Arial" w:hint="default"/>
      </w:rPr>
    </w:lvl>
    <w:lvl w:ilvl="2" w:tplc="D1B8F52E">
      <w:start w:val="49"/>
      <w:numFmt w:val="bullet"/>
      <w:lvlText w:val="•"/>
      <w:lvlJc w:val="left"/>
      <w:pPr>
        <w:tabs>
          <w:tab w:val="num" w:pos="2160"/>
        </w:tabs>
        <w:ind w:left="2160" w:hanging="360"/>
      </w:pPr>
      <w:rPr>
        <w:rFonts w:ascii="Arial" w:hAnsi="Arial" w:hint="default"/>
      </w:rPr>
    </w:lvl>
    <w:lvl w:ilvl="3" w:tplc="A488880A">
      <w:start w:val="49"/>
      <w:numFmt w:val="bullet"/>
      <w:lvlText w:val="•"/>
      <w:lvlJc w:val="left"/>
      <w:pPr>
        <w:tabs>
          <w:tab w:val="num" w:pos="2880"/>
        </w:tabs>
        <w:ind w:left="2880" w:hanging="360"/>
      </w:pPr>
      <w:rPr>
        <w:rFonts w:ascii="Arial" w:hAnsi="Arial" w:hint="default"/>
      </w:rPr>
    </w:lvl>
    <w:lvl w:ilvl="4" w:tplc="4CCECCF8" w:tentative="1">
      <w:start w:val="1"/>
      <w:numFmt w:val="bullet"/>
      <w:lvlText w:val="•"/>
      <w:lvlJc w:val="left"/>
      <w:pPr>
        <w:tabs>
          <w:tab w:val="num" w:pos="3600"/>
        </w:tabs>
        <w:ind w:left="3600" w:hanging="360"/>
      </w:pPr>
      <w:rPr>
        <w:rFonts w:ascii="Arial" w:hAnsi="Arial" w:hint="default"/>
      </w:rPr>
    </w:lvl>
    <w:lvl w:ilvl="5" w:tplc="C7CA2988" w:tentative="1">
      <w:start w:val="1"/>
      <w:numFmt w:val="bullet"/>
      <w:lvlText w:val="•"/>
      <w:lvlJc w:val="left"/>
      <w:pPr>
        <w:tabs>
          <w:tab w:val="num" w:pos="4320"/>
        </w:tabs>
        <w:ind w:left="4320" w:hanging="360"/>
      </w:pPr>
      <w:rPr>
        <w:rFonts w:ascii="Arial" w:hAnsi="Arial" w:hint="default"/>
      </w:rPr>
    </w:lvl>
    <w:lvl w:ilvl="6" w:tplc="A516E890" w:tentative="1">
      <w:start w:val="1"/>
      <w:numFmt w:val="bullet"/>
      <w:lvlText w:val="•"/>
      <w:lvlJc w:val="left"/>
      <w:pPr>
        <w:tabs>
          <w:tab w:val="num" w:pos="5040"/>
        </w:tabs>
        <w:ind w:left="5040" w:hanging="360"/>
      </w:pPr>
      <w:rPr>
        <w:rFonts w:ascii="Arial" w:hAnsi="Arial" w:hint="default"/>
      </w:rPr>
    </w:lvl>
    <w:lvl w:ilvl="7" w:tplc="9AA080D2" w:tentative="1">
      <w:start w:val="1"/>
      <w:numFmt w:val="bullet"/>
      <w:lvlText w:val="•"/>
      <w:lvlJc w:val="left"/>
      <w:pPr>
        <w:tabs>
          <w:tab w:val="num" w:pos="5760"/>
        </w:tabs>
        <w:ind w:left="5760" w:hanging="360"/>
      </w:pPr>
      <w:rPr>
        <w:rFonts w:ascii="Arial" w:hAnsi="Arial" w:hint="default"/>
      </w:rPr>
    </w:lvl>
    <w:lvl w:ilvl="8" w:tplc="8532435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F1A365A"/>
    <w:multiLevelType w:val="hybridMultilevel"/>
    <w:tmpl w:val="BB044230"/>
    <w:lvl w:ilvl="0" w:tplc="650C128A">
      <w:start w:val="1"/>
      <w:numFmt w:val="decimal"/>
      <w:lvlText w:val="%1."/>
      <w:lvlJc w:val="left"/>
      <w:pPr>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62301D28"/>
    <w:multiLevelType w:val="hybridMultilevel"/>
    <w:tmpl w:val="98B0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F46E15"/>
    <w:multiLevelType w:val="hybridMultilevel"/>
    <w:tmpl w:val="C5CEF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7481386"/>
    <w:multiLevelType w:val="hybridMultilevel"/>
    <w:tmpl w:val="EDB603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80304C2"/>
    <w:multiLevelType w:val="hybridMultilevel"/>
    <w:tmpl w:val="580C4636"/>
    <w:lvl w:ilvl="0" w:tplc="D4F0A5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80A04AE"/>
    <w:multiLevelType w:val="hybridMultilevel"/>
    <w:tmpl w:val="7A743BBE"/>
    <w:lvl w:ilvl="0" w:tplc="600079A8">
      <w:start w:val="1"/>
      <w:numFmt w:val="bullet"/>
      <w:lvlText w:val=""/>
      <w:lvlJc w:val="left"/>
      <w:pPr>
        <w:tabs>
          <w:tab w:val="num" w:pos="720"/>
        </w:tabs>
        <w:ind w:left="720" w:hanging="360"/>
      </w:pPr>
      <w:rPr>
        <w:rFonts w:ascii="Wingdings" w:hAnsi="Wingdings" w:hint="default"/>
      </w:rPr>
    </w:lvl>
    <w:lvl w:ilvl="1" w:tplc="B0CCF282">
      <w:start w:val="1"/>
      <w:numFmt w:val="bullet"/>
      <w:lvlText w:val=""/>
      <w:lvlJc w:val="left"/>
      <w:pPr>
        <w:tabs>
          <w:tab w:val="num" w:pos="1440"/>
        </w:tabs>
        <w:ind w:left="1440" w:hanging="360"/>
      </w:pPr>
      <w:rPr>
        <w:rFonts w:ascii="Wingdings" w:hAnsi="Wingdings" w:hint="default"/>
      </w:rPr>
    </w:lvl>
    <w:lvl w:ilvl="2" w:tplc="F022F782" w:tentative="1">
      <w:start w:val="1"/>
      <w:numFmt w:val="bullet"/>
      <w:lvlText w:val=""/>
      <w:lvlJc w:val="left"/>
      <w:pPr>
        <w:tabs>
          <w:tab w:val="num" w:pos="2160"/>
        </w:tabs>
        <w:ind w:left="2160" w:hanging="360"/>
      </w:pPr>
      <w:rPr>
        <w:rFonts w:ascii="Wingdings" w:hAnsi="Wingdings" w:hint="default"/>
      </w:rPr>
    </w:lvl>
    <w:lvl w:ilvl="3" w:tplc="BF98CEFC" w:tentative="1">
      <w:start w:val="1"/>
      <w:numFmt w:val="bullet"/>
      <w:lvlText w:val=""/>
      <w:lvlJc w:val="left"/>
      <w:pPr>
        <w:tabs>
          <w:tab w:val="num" w:pos="2880"/>
        </w:tabs>
        <w:ind w:left="2880" w:hanging="360"/>
      </w:pPr>
      <w:rPr>
        <w:rFonts w:ascii="Wingdings" w:hAnsi="Wingdings" w:hint="default"/>
      </w:rPr>
    </w:lvl>
    <w:lvl w:ilvl="4" w:tplc="19BA3BC2" w:tentative="1">
      <w:start w:val="1"/>
      <w:numFmt w:val="bullet"/>
      <w:lvlText w:val=""/>
      <w:lvlJc w:val="left"/>
      <w:pPr>
        <w:tabs>
          <w:tab w:val="num" w:pos="3600"/>
        </w:tabs>
        <w:ind w:left="3600" w:hanging="360"/>
      </w:pPr>
      <w:rPr>
        <w:rFonts w:ascii="Wingdings" w:hAnsi="Wingdings" w:hint="default"/>
      </w:rPr>
    </w:lvl>
    <w:lvl w:ilvl="5" w:tplc="01ACA206" w:tentative="1">
      <w:start w:val="1"/>
      <w:numFmt w:val="bullet"/>
      <w:lvlText w:val=""/>
      <w:lvlJc w:val="left"/>
      <w:pPr>
        <w:tabs>
          <w:tab w:val="num" w:pos="4320"/>
        </w:tabs>
        <w:ind w:left="4320" w:hanging="360"/>
      </w:pPr>
      <w:rPr>
        <w:rFonts w:ascii="Wingdings" w:hAnsi="Wingdings" w:hint="default"/>
      </w:rPr>
    </w:lvl>
    <w:lvl w:ilvl="6" w:tplc="446EAD1E" w:tentative="1">
      <w:start w:val="1"/>
      <w:numFmt w:val="bullet"/>
      <w:lvlText w:val=""/>
      <w:lvlJc w:val="left"/>
      <w:pPr>
        <w:tabs>
          <w:tab w:val="num" w:pos="5040"/>
        </w:tabs>
        <w:ind w:left="5040" w:hanging="360"/>
      </w:pPr>
      <w:rPr>
        <w:rFonts w:ascii="Wingdings" w:hAnsi="Wingdings" w:hint="default"/>
      </w:rPr>
    </w:lvl>
    <w:lvl w:ilvl="7" w:tplc="DEC820F4" w:tentative="1">
      <w:start w:val="1"/>
      <w:numFmt w:val="bullet"/>
      <w:lvlText w:val=""/>
      <w:lvlJc w:val="left"/>
      <w:pPr>
        <w:tabs>
          <w:tab w:val="num" w:pos="5760"/>
        </w:tabs>
        <w:ind w:left="5760" w:hanging="360"/>
      </w:pPr>
      <w:rPr>
        <w:rFonts w:ascii="Wingdings" w:hAnsi="Wingdings" w:hint="default"/>
      </w:rPr>
    </w:lvl>
    <w:lvl w:ilvl="8" w:tplc="8224343E"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746B20"/>
    <w:multiLevelType w:val="hybridMultilevel"/>
    <w:tmpl w:val="76DAF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A6F7D67"/>
    <w:multiLevelType w:val="hybridMultilevel"/>
    <w:tmpl w:val="64FA4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AD778AD"/>
    <w:multiLevelType w:val="hybridMultilevel"/>
    <w:tmpl w:val="C8A88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B5E4057"/>
    <w:multiLevelType w:val="hybridMultilevel"/>
    <w:tmpl w:val="AD2638EA"/>
    <w:lvl w:ilvl="0" w:tplc="801A0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C647F83"/>
    <w:multiLevelType w:val="hybridMultilevel"/>
    <w:tmpl w:val="AD2638EA"/>
    <w:lvl w:ilvl="0" w:tplc="801A0D8A">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5" w15:restartNumberingAfterBreak="0">
    <w:nsid w:val="70A35E6F"/>
    <w:multiLevelType w:val="hybridMultilevel"/>
    <w:tmpl w:val="3C642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6E164B8"/>
    <w:multiLevelType w:val="hybridMultilevel"/>
    <w:tmpl w:val="EE2A531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512058"/>
    <w:multiLevelType w:val="hybridMultilevel"/>
    <w:tmpl w:val="EDB603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DD05AAC"/>
    <w:multiLevelType w:val="hybridMultilevel"/>
    <w:tmpl w:val="8352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18"/>
  </w:num>
  <w:num w:numId="3">
    <w:abstractNumId w:val="0"/>
  </w:num>
  <w:num w:numId="4">
    <w:abstractNumId w:val="7"/>
  </w:num>
  <w:num w:numId="5">
    <w:abstractNumId w:val="68"/>
  </w:num>
  <w:num w:numId="6">
    <w:abstractNumId w:val="3"/>
  </w:num>
  <w:num w:numId="7">
    <w:abstractNumId w:val="22"/>
  </w:num>
  <w:num w:numId="8">
    <w:abstractNumId w:val="20"/>
  </w:num>
  <w:num w:numId="9">
    <w:abstractNumId w:val="31"/>
  </w:num>
  <w:num w:numId="10">
    <w:abstractNumId w:val="55"/>
  </w:num>
  <w:num w:numId="11">
    <w:abstractNumId w:val="40"/>
  </w:num>
  <w:num w:numId="12">
    <w:abstractNumId w:val="26"/>
  </w:num>
  <w:num w:numId="13">
    <w:abstractNumId w:val="11"/>
  </w:num>
  <w:num w:numId="14">
    <w:abstractNumId w:val="8"/>
  </w:num>
  <w:num w:numId="15">
    <w:abstractNumId w:val="12"/>
  </w:num>
  <w:num w:numId="16">
    <w:abstractNumId w:val="2"/>
  </w:num>
  <w:num w:numId="17">
    <w:abstractNumId w:val="56"/>
  </w:num>
  <w:num w:numId="18">
    <w:abstractNumId w:val="52"/>
  </w:num>
  <w:num w:numId="19">
    <w:abstractNumId w:val="30"/>
  </w:num>
  <w:num w:numId="20">
    <w:abstractNumId w:val="50"/>
  </w:num>
  <w:num w:numId="21">
    <w:abstractNumId w:val="17"/>
  </w:num>
  <w:num w:numId="22">
    <w:abstractNumId w:val="53"/>
  </w:num>
  <w:num w:numId="23">
    <w:abstractNumId w:val="10"/>
  </w:num>
  <w:num w:numId="24">
    <w:abstractNumId w:val="66"/>
  </w:num>
  <w:num w:numId="25">
    <w:abstractNumId w:val="41"/>
  </w:num>
  <w:num w:numId="26">
    <w:abstractNumId w:val="19"/>
  </w:num>
  <w:num w:numId="27">
    <w:abstractNumId w:val="59"/>
  </w:num>
  <w:num w:numId="28">
    <w:abstractNumId w:val="60"/>
  </w:num>
  <w:num w:numId="29">
    <w:abstractNumId w:val="13"/>
  </w:num>
  <w:num w:numId="30">
    <w:abstractNumId w:val="47"/>
  </w:num>
  <w:num w:numId="31">
    <w:abstractNumId w:val="5"/>
  </w:num>
  <w:num w:numId="32">
    <w:abstractNumId w:val="61"/>
  </w:num>
  <w:num w:numId="33">
    <w:abstractNumId w:val="15"/>
  </w:num>
  <w:num w:numId="34">
    <w:abstractNumId w:val="28"/>
  </w:num>
  <w:num w:numId="35">
    <w:abstractNumId w:val="35"/>
  </w:num>
  <w:num w:numId="36">
    <w:abstractNumId w:val="21"/>
  </w:num>
  <w:num w:numId="37">
    <w:abstractNumId w:val="32"/>
  </w:num>
  <w:num w:numId="38">
    <w:abstractNumId w:val="64"/>
  </w:num>
  <w:num w:numId="39">
    <w:abstractNumId w:val="63"/>
  </w:num>
  <w:num w:numId="40">
    <w:abstractNumId w:val="9"/>
  </w:num>
  <w:num w:numId="41">
    <w:abstractNumId w:val="58"/>
  </w:num>
  <w:num w:numId="42">
    <w:abstractNumId w:val="1"/>
  </w:num>
  <w:num w:numId="43">
    <w:abstractNumId w:val="23"/>
  </w:num>
  <w:num w:numId="44">
    <w:abstractNumId w:val="38"/>
  </w:num>
  <w:num w:numId="45">
    <w:abstractNumId w:val="34"/>
  </w:num>
  <w:num w:numId="46">
    <w:abstractNumId w:val="44"/>
  </w:num>
  <w:num w:numId="47">
    <w:abstractNumId w:val="33"/>
  </w:num>
  <w:num w:numId="48">
    <w:abstractNumId w:val="39"/>
  </w:num>
  <w:num w:numId="49">
    <w:abstractNumId w:val="46"/>
  </w:num>
  <w:num w:numId="50">
    <w:abstractNumId w:val="62"/>
  </w:num>
  <w:num w:numId="51">
    <w:abstractNumId w:val="54"/>
  </w:num>
  <w:num w:numId="52">
    <w:abstractNumId w:val="6"/>
  </w:num>
  <w:num w:numId="53">
    <w:abstractNumId w:val="16"/>
  </w:num>
  <w:num w:numId="54">
    <w:abstractNumId w:val="7"/>
  </w:num>
  <w:num w:numId="55">
    <w:abstractNumId w:val="65"/>
  </w:num>
  <w:num w:numId="56">
    <w:abstractNumId w:val="27"/>
  </w:num>
  <w:num w:numId="57">
    <w:abstractNumId w:val="43"/>
  </w:num>
  <w:num w:numId="58">
    <w:abstractNumId w:val="57"/>
  </w:num>
  <w:num w:numId="59">
    <w:abstractNumId w:val="67"/>
  </w:num>
  <w:num w:numId="60">
    <w:abstractNumId w:val="14"/>
  </w:num>
  <w:num w:numId="61">
    <w:abstractNumId w:val="48"/>
  </w:num>
  <w:num w:numId="62">
    <w:abstractNumId w:val="37"/>
  </w:num>
  <w:num w:numId="63">
    <w:abstractNumId w:val="25"/>
  </w:num>
  <w:num w:numId="64">
    <w:abstractNumId w:val="45"/>
  </w:num>
  <w:num w:numId="65">
    <w:abstractNumId w:val="29"/>
  </w:num>
  <w:num w:numId="66">
    <w:abstractNumId w:val="51"/>
  </w:num>
  <w:num w:numId="67">
    <w:abstractNumId w:val="42"/>
  </w:num>
  <w:num w:numId="68">
    <w:abstractNumId w:val="4"/>
  </w:num>
  <w:num w:numId="69">
    <w:abstractNumId w:val="36"/>
  </w:num>
  <w:num w:numId="70">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revisionView w:markup="0"/>
  <w:trackRevisions/>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47F"/>
    <w:rsid w:val="000006D2"/>
    <w:rsid w:val="00000FE7"/>
    <w:rsid w:val="000012DD"/>
    <w:rsid w:val="0000154D"/>
    <w:rsid w:val="000015BF"/>
    <w:rsid w:val="00001E1A"/>
    <w:rsid w:val="000026D0"/>
    <w:rsid w:val="00002DFA"/>
    <w:rsid w:val="00002F27"/>
    <w:rsid w:val="0000303B"/>
    <w:rsid w:val="000034A6"/>
    <w:rsid w:val="00003A9F"/>
    <w:rsid w:val="00003FF5"/>
    <w:rsid w:val="0000423D"/>
    <w:rsid w:val="000045F9"/>
    <w:rsid w:val="000047E4"/>
    <w:rsid w:val="00005607"/>
    <w:rsid w:val="00006863"/>
    <w:rsid w:val="00006B3B"/>
    <w:rsid w:val="00006C01"/>
    <w:rsid w:val="00006F66"/>
    <w:rsid w:val="00007058"/>
    <w:rsid w:val="000071ED"/>
    <w:rsid w:val="000077C7"/>
    <w:rsid w:val="00007BD0"/>
    <w:rsid w:val="0001042A"/>
    <w:rsid w:val="00010672"/>
    <w:rsid w:val="000109D7"/>
    <w:rsid w:val="00010EC9"/>
    <w:rsid w:val="00011156"/>
    <w:rsid w:val="00011491"/>
    <w:rsid w:val="000119D5"/>
    <w:rsid w:val="00012085"/>
    <w:rsid w:val="000125AC"/>
    <w:rsid w:val="00012C17"/>
    <w:rsid w:val="00012C99"/>
    <w:rsid w:val="00012FF2"/>
    <w:rsid w:val="00013088"/>
    <w:rsid w:val="00013174"/>
    <w:rsid w:val="000138C0"/>
    <w:rsid w:val="00013A12"/>
    <w:rsid w:val="00013AD9"/>
    <w:rsid w:val="00013BFF"/>
    <w:rsid w:val="00014458"/>
    <w:rsid w:val="00014608"/>
    <w:rsid w:val="000147F4"/>
    <w:rsid w:val="00014AB9"/>
    <w:rsid w:val="00014C8E"/>
    <w:rsid w:val="00014F94"/>
    <w:rsid w:val="00015283"/>
    <w:rsid w:val="000156C2"/>
    <w:rsid w:val="00015B14"/>
    <w:rsid w:val="00016040"/>
    <w:rsid w:val="00016C9C"/>
    <w:rsid w:val="00016E58"/>
    <w:rsid w:val="0001743F"/>
    <w:rsid w:val="00020047"/>
    <w:rsid w:val="000206F6"/>
    <w:rsid w:val="00020713"/>
    <w:rsid w:val="00020B7F"/>
    <w:rsid w:val="00020DCF"/>
    <w:rsid w:val="00020E6F"/>
    <w:rsid w:val="0002185E"/>
    <w:rsid w:val="00021ADE"/>
    <w:rsid w:val="00021E77"/>
    <w:rsid w:val="00021FC5"/>
    <w:rsid w:val="00021FCA"/>
    <w:rsid w:val="00022100"/>
    <w:rsid w:val="000221CC"/>
    <w:rsid w:val="00022456"/>
    <w:rsid w:val="00023169"/>
    <w:rsid w:val="000232E9"/>
    <w:rsid w:val="000234FE"/>
    <w:rsid w:val="0002395F"/>
    <w:rsid w:val="00023E6F"/>
    <w:rsid w:val="00024CBC"/>
    <w:rsid w:val="00025399"/>
    <w:rsid w:val="00025774"/>
    <w:rsid w:val="000261CC"/>
    <w:rsid w:val="000265B9"/>
    <w:rsid w:val="00026714"/>
    <w:rsid w:val="00026977"/>
    <w:rsid w:val="00027085"/>
    <w:rsid w:val="00027B8D"/>
    <w:rsid w:val="00027E09"/>
    <w:rsid w:val="000300B8"/>
    <w:rsid w:val="0003078B"/>
    <w:rsid w:val="00030D76"/>
    <w:rsid w:val="00030DEB"/>
    <w:rsid w:val="00030F90"/>
    <w:rsid w:val="00031334"/>
    <w:rsid w:val="0003137D"/>
    <w:rsid w:val="00031453"/>
    <w:rsid w:val="000317BC"/>
    <w:rsid w:val="000317F9"/>
    <w:rsid w:val="000318DF"/>
    <w:rsid w:val="00031C7B"/>
    <w:rsid w:val="00031D82"/>
    <w:rsid w:val="00031E2E"/>
    <w:rsid w:val="0003213B"/>
    <w:rsid w:val="00032390"/>
    <w:rsid w:val="00032C17"/>
    <w:rsid w:val="00033259"/>
    <w:rsid w:val="00033342"/>
    <w:rsid w:val="0003393C"/>
    <w:rsid w:val="00033A05"/>
    <w:rsid w:val="00033A74"/>
    <w:rsid w:val="00033D2D"/>
    <w:rsid w:val="00033D3C"/>
    <w:rsid w:val="00033D68"/>
    <w:rsid w:val="000341AB"/>
    <w:rsid w:val="000344B3"/>
    <w:rsid w:val="000346AA"/>
    <w:rsid w:val="000349E8"/>
    <w:rsid w:val="00034CB7"/>
    <w:rsid w:val="00034CC9"/>
    <w:rsid w:val="00034DDC"/>
    <w:rsid w:val="000359DA"/>
    <w:rsid w:val="00035B51"/>
    <w:rsid w:val="00035FDA"/>
    <w:rsid w:val="00036114"/>
    <w:rsid w:val="00036C2F"/>
    <w:rsid w:val="00037404"/>
    <w:rsid w:val="0003744D"/>
    <w:rsid w:val="00037641"/>
    <w:rsid w:val="00037997"/>
    <w:rsid w:val="00037A15"/>
    <w:rsid w:val="00037AEB"/>
    <w:rsid w:val="00040085"/>
    <w:rsid w:val="00040303"/>
    <w:rsid w:val="0004034D"/>
    <w:rsid w:val="000407D5"/>
    <w:rsid w:val="00040C08"/>
    <w:rsid w:val="000413C4"/>
    <w:rsid w:val="00041831"/>
    <w:rsid w:val="00041D18"/>
    <w:rsid w:val="0004258A"/>
    <w:rsid w:val="0004288F"/>
    <w:rsid w:val="00042926"/>
    <w:rsid w:val="00043801"/>
    <w:rsid w:val="00043BA4"/>
    <w:rsid w:val="00043CDA"/>
    <w:rsid w:val="00044165"/>
    <w:rsid w:val="0004430A"/>
    <w:rsid w:val="0004443C"/>
    <w:rsid w:val="00044627"/>
    <w:rsid w:val="000446E4"/>
    <w:rsid w:val="000448DF"/>
    <w:rsid w:val="00044BCA"/>
    <w:rsid w:val="00044C1B"/>
    <w:rsid w:val="00044F13"/>
    <w:rsid w:val="000457B5"/>
    <w:rsid w:val="00045E54"/>
    <w:rsid w:val="0004608E"/>
    <w:rsid w:val="00046120"/>
    <w:rsid w:val="00046B2D"/>
    <w:rsid w:val="00046BDE"/>
    <w:rsid w:val="000471A5"/>
    <w:rsid w:val="0004773B"/>
    <w:rsid w:val="0004782C"/>
    <w:rsid w:val="000478E9"/>
    <w:rsid w:val="00050886"/>
    <w:rsid w:val="00050BDB"/>
    <w:rsid w:val="00050CE5"/>
    <w:rsid w:val="0005114B"/>
    <w:rsid w:val="00051573"/>
    <w:rsid w:val="00051EBF"/>
    <w:rsid w:val="00052140"/>
    <w:rsid w:val="0005238F"/>
    <w:rsid w:val="000523F7"/>
    <w:rsid w:val="000526A4"/>
    <w:rsid w:val="0005276B"/>
    <w:rsid w:val="00052A6C"/>
    <w:rsid w:val="00052C44"/>
    <w:rsid w:val="000533AE"/>
    <w:rsid w:val="000537E2"/>
    <w:rsid w:val="000539A9"/>
    <w:rsid w:val="00053DE2"/>
    <w:rsid w:val="00054194"/>
    <w:rsid w:val="00054A32"/>
    <w:rsid w:val="00054D9E"/>
    <w:rsid w:val="00054DE9"/>
    <w:rsid w:val="00054FD6"/>
    <w:rsid w:val="000550AF"/>
    <w:rsid w:val="00055787"/>
    <w:rsid w:val="000561C7"/>
    <w:rsid w:val="00056513"/>
    <w:rsid w:val="000568B5"/>
    <w:rsid w:val="00056BAD"/>
    <w:rsid w:val="00056CA7"/>
    <w:rsid w:val="00056F7A"/>
    <w:rsid w:val="0005739A"/>
    <w:rsid w:val="00057892"/>
    <w:rsid w:val="0005796C"/>
    <w:rsid w:val="00060482"/>
    <w:rsid w:val="000604E7"/>
    <w:rsid w:val="0006063A"/>
    <w:rsid w:val="00060679"/>
    <w:rsid w:val="00060680"/>
    <w:rsid w:val="000606BF"/>
    <w:rsid w:val="00060E8F"/>
    <w:rsid w:val="000622E7"/>
    <w:rsid w:val="00062381"/>
    <w:rsid w:val="000629AB"/>
    <w:rsid w:val="00062AB6"/>
    <w:rsid w:val="0006315F"/>
    <w:rsid w:val="000634B6"/>
    <w:rsid w:val="00063EB2"/>
    <w:rsid w:val="000643D9"/>
    <w:rsid w:val="000645AA"/>
    <w:rsid w:val="00064E7C"/>
    <w:rsid w:val="00065198"/>
    <w:rsid w:val="00065824"/>
    <w:rsid w:val="0006589E"/>
    <w:rsid w:val="0006596C"/>
    <w:rsid w:val="00065A51"/>
    <w:rsid w:val="00065AA7"/>
    <w:rsid w:val="00065E95"/>
    <w:rsid w:val="00065F74"/>
    <w:rsid w:val="0006601F"/>
    <w:rsid w:val="00066649"/>
    <w:rsid w:val="00066FEB"/>
    <w:rsid w:val="0006717E"/>
    <w:rsid w:val="0006778C"/>
    <w:rsid w:val="00067B95"/>
    <w:rsid w:val="00070120"/>
    <w:rsid w:val="00070779"/>
    <w:rsid w:val="00070A63"/>
    <w:rsid w:val="00070D5F"/>
    <w:rsid w:val="00070F3E"/>
    <w:rsid w:val="00071152"/>
    <w:rsid w:val="00071858"/>
    <w:rsid w:val="00071F89"/>
    <w:rsid w:val="00072063"/>
    <w:rsid w:val="000723A4"/>
    <w:rsid w:val="00072489"/>
    <w:rsid w:val="000728CF"/>
    <w:rsid w:val="00072B44"/>
    <w:rsid w:val="000734F4"/>
    <w:rsid w:val="000735D9"/>
    <w:rsid w:val="00073851"/>
    <w:rsid w:val="00073EFC"/>
    <w:rsid w:val="00074103"/>
    <w:rsid w:val="00074233"/>
    <w:rsid w:val="00074443"/>
    <w:rsid w:val="0007468C"/>
    <w:rsid w:val="0007470C"/>
    <w:rsid w:val="00074BF9"/>
    <w:rsid w:val="00074C6A"/>
    <w:rsid w:val="000754C8"/>
    <w:rsid w:val="000754CF"/>
    <w:rsid w:val="00075A92"/>
    <w:rsid w:val="000761DC"/>
    <w:rsid w:val="0007631F"/>
    <w:rsid w:val="00076513"/>
    <w:rsid w:val="00076530"/>
    <w:rsid w:val="00076649"/>
    <w:rsid w:val="000770A2"/>
    <w:rsid w:val="000770D6"/>
    <w:rsid w:val="0007726C"/>
    <w:rsid w:val="000773CF"/>
    <w:rsid w:val="00077704"/>
    <w:rsid w:val="00077F5C"/>
    <w:rsid w:val="00080311"/>
    <w:rsid w:val="00080538"/>
    <w:rsid w:val="00080DD2"/>
    <w:rsid w:val="00080F1A"/>
    <w:rsid w:val="000810B7"/>
    <w:rsid w:val="0008111F"/>
    <w:rsid w:val="00081216"/>
    <w:rsid w:val="00081230"/>
    <w:rsid w:val="0008136D"/>
    <w:rsid w:val="00081417"/>
    <w:rsid w:val="000814F6"/>
    <w:rsid w:val="000819DF"/>
    <w:rsid w:val="00081CC8"/>
    <w:rsid w:val="00082B7C"/>
    <w:rsid w:val="00083039"/>
    <w:rsid w:val="000840E2"/>
    <w:rsid w:val="0008484C"/>
    <w:rsid w:val="00084CB8"/>
    <w:rsid w:val="00084E72"/>
    <w:rsid w:val="00085149"/>
    <w:rsid w:val="00085179"/>
    <w:rsid w:val="000861D8"/>
    <w:rsid w:val="00086349"/>
    <w:rsid w:val="00087019"/>
    <w:rsid w:val="00087315"/>
    <w:rsid w:val="00087C26"/>
    <w:rsid w:val="00087D55"/>
    <w:rsid w:val="00087E41"/>
    <w:rsid w:val="0009025C"/>
    <w:rsid w:val="00090A60"/>
    <w:rsid w:val="00090AE2"/>
    <w:rsid w:val="00090B70"/>
    <w:rsid w:val="00090CF9"/>
    <w:rsid w:val="000910B9"/>
    <w:rsid w:val="000913CA"/>
    <w:rsid w:val="000918E1"/>
    <w:rsid w:val="00091980"/>
    <w:rsid w:val="00091FD4"/>
    <w:rsid w:val="00092194"/>
    <w:rsid w:val="000923E0"/>
    <w:rsid w:val="000924F7"/>
    <w:rsid w:val="00092DF5"/>
    <w:rsid w:val="00093029"/>
    <w:rsid w:val="00093517"/>
    <w:rsid w:val="000937B3"/>
    <w:rsid w:val="00093C1A"/>
    <w:rsid w:val="00093F7F"/>
    <w:rsid w:val="00094F50"/>
    <w:rsid w:val="00095120"/>
    <w:rsid w:val="000952F8"/>
    <w:rsid w:val="00095327"/>
    <w:rsid w:val="0009560E"/>
    <w:rsid w:val="000959E8"/>
    <w:rsid w:val="00096816"/>
    <w:rsid w:val="000971B9"/>
    <w:rsid w:val="000975F7"/>
    <w:rsid w:val="00097698"/>
    <w:rsid w:val="00097D37"/>
    <w:rsid w:val="00097DD9"/>
    <w:rsid w:val="000A0129"/>
    <w:rsid w:val="000A0209"/>
    <w:rsid w:val="000A02C6"/>
    <w:rsid w:val="000A02EF"/>
    <w:rsid w:val="000A0CAC"/>
    <w:rsid w:val="000A0EFF"/>
    <w:rsid w:val="000A107E"/>
    <w:rsid w:val="000A1234"/>
    <w:rsid w:val="000A14C5"/>
    <w:rsid w:val="000A17AE"/>
    <w:rsid w:val="000A23C5"/>
    <w:rsid w:val="000A25C5"/>
    <w:rsid w:val="000A2C95"/>
    <w:rsid w:val="000A2E03"/>
    <w:rsid w:val="000A2E55"/>
    <w:rsid w:val="000A3006"/>
    <w:rsid w:val="000A3330"/>
    <w:rsid w:val="000A35D3"/>
    <w:rsid w:val="000A37A0"/>
    <w:rsid w:val="000A3A1C"/>
    <w:rsid w:val="000A3AC5"/>
    <w:rsid w:val="000A4351"/>
    <w:rsid w:val="000A45C8"/>
    <w:rsid w:val="000A4B7D"/>
    <w:rsid w:val="000A4D5A"/>
    <w:rsid w:val="000A51C2"/>
    <w:rsid w:val="000A60E5"/>
    <w:rsid w:val="000A6215"/>
    <w:rsid w:val="000A66C7"/>
    <w:rsid w:val="000A761B"/>
    <w:rsid w:val="000A7C3E"/>
    <w:rsid w:val="000B0535"/>
    <w:rsid w:val="000B09FC"/>
    <w:rsid w:val="000B0B47"/>
    <w:rsid w:val="000B0CB0"/>
    <w:rsid w:val="000B0F79"/>
    <w:rsid w:val="000B1C32"/>
    <w:rsid w:val="000B25D8"/>
    <w:rsid w:val="000B266B"/>
    <w:rsid w:val="000B2C8D"/>
    <w:rsid w:val="000B32F7"/>
    <w:rsid w:val="000B34A0"/>
    <w:rsid w:val="000B3DB1"/>
    <w:rsid w:val="000B3FD3"/>
    <w:rsid w:val="000B430F"/>
    <w:rsid w:val="000B4470"/>
    <w:rsid w:val="000B4EFA"/>
    <w:rsid w:val="000B53D0"/>
    <w:rsid w:val="000B5C0B"/>
    <w:rsid w:val="000B61C5"/>
    <w:rsid w:val="000B641C"/>
    <w:rsid w:val="000B67C0"/>
    <w:rsid w:val="000B6AD0"/>
    <w:rsid w:val="000B71EB"/>
    <w:rsid w:val="000B76FF"/>
    <w:rsid w:val="000B7CF2"/>
    <w:rsid w:val="000C0248"/>
    <w:rsid w:val="000C05C9"/>
    <w:rsid w:val="000C0AFD"/>
    <w:rsid w:val="000C10EC"/>
    <w:rsid w:val="000C1266"/>
    <w:rsid w:val="000C1FD6"/>
    <w:rsid w:val="000C30BC"/>
    <w:rsid w:val="000C33C3"/>
    <w:rsid w:val="000C347E"/>
    <w:rsid w:val="000C382A"/>
    <w:rsid w:val="000C3C41"/>
    <w:rsid w:val="000C3DF2"/>
    <w:rsid w:val="000C431F"/>
    <w:rsid w:val="000C47B3"/>
    <w:rsid w:val="000C4AAD"/>
    <w:rsid w:val="000C4C21"/>
    <w:rsid w:val="000C574B"/>
    <w:rsid w:val="000C57DF"/>
    <w:rsid w:val="000C59E4"/>
    <w:rsid w:val="000C5B09"/>
    <w:rsid w:val="000C5B45"/>
    <w:rsid w:val="000C5C21"/>
    <w:rsid w:val="000C5D0A"/>
    <w:rsid w:val="000C5D1B"/>
    <w:rsid w:val="000C5F79"/>
    <w:rsid w:val="000C67CC"/>
    <w:rsid w:val="000C69C8"/>
    <w:rsid w:val="000C6C27"/>
    <w:rsid w:val="000C7415"/>
    <w:rsid w:val="000C7426"/>
    <w:rsid w:val="000C7A93"/>
    <w:rsid w:val="000D0336"/>
    <w:rsid w:val="000D07E5"/>
    <w:rsid w:val="000D0A03"/>
    <w:rsid w:val="000D0DCD"/>
    <w:rsid w:val="000D16B8"/>
    <w:rsid w:val="000D1772"/>
    <w:rsid w:val="000D21AF"/>
    <w:rsid w:val="000D2867"/>
    <w:rsid w:val="000D2B97"/>
    <w:rsid w:val="000D2F02"/>
    <w:rsid w:val="000D30A7"/>
    <w:rsid w:val="000D381E"/>
    <w:rsid w:val="000D3AE7"/>
    <w:rsid w:val="000D432E"/>
    <w:rsid w:val="000D49CD"/>
    <w:rsid w:val="000D4BE1"/>
    <w:rsid w:val="000D4DD5"/>
    <w:rsid w:val="000D503E"/>
    <w:rsid w:val="000D569F"/>
    <w:rsid w:val="000D5F1B"/>
    <w:rsid w:val="000D645B"/>
    <w:rsid w:val="000D67DC"/>
    <w:rsid w:val="000D7D54"/>
    <w:rsid w:val="000E0314"/>
    <w:rsid w:val="000E03E0"/>
    <w:rsid w:val="000E0BFB"/>
    <w:rsid w:val="000E0D80"/>
    <w:rsid w:val="000E0EB7"/>
    <w:rsid w:val="000E1109"/>
    <w:rsid w:val="000E155B"/>
    <w:rsid w:val="000E1C7B"/>
    <w:rsid w:val="000E1D6E"/>
    <w:rsid w:val="000E1F6A"/>
    <w:rsid w:val="000E2220"/>
    <w:rsid w:val="000E22DF"/>
    <w:rsid w:val="000E2675"/>
    <w:rsid w:val="000E3241"/>
    <w:rsid w:val="000E329D"/>
    <w:rsid w:val="000E330A"/>
    <w:rsid w:val="000E3683"/>
    <w:rsid w:val="000E37CA"/>
    <w:rsid w:val="000E3AA8"/>
    <w:rsid w:val="000E3BC6"/>
    <w:rsid w:val="000E43AB"/>
    <w:rsid w:val="000E4433"/>
    <w:rsid w:val="000E4D33"/>
    <w:rsid w:val="000E4D3A"/>
    <w:rsid w:val="000E4ED4"/>
    <w:rsid w:val="000E50AD"/>
    <w:rsid w:val="000E51EF"/>
    <w:rsid w:val="000E5636"/>
    <w:rsid w:val="000E566A"/>
    <w:rsid w:val="000E5899"/>
    <w:rsid w:val="000E5933"/>
    <w:rsid w:val="000E66AC"/>
    <w:rsid w:val="000E6720"/>
    <w:rsid w:val="000E693E"/>
    <w:rsid w:val="000E695E"/>
    <w:rsid w:val="000E6AA6"/>
    <w:rsid w:val="000E6BB6"/>
    <w:rsid w:val="000E6C79"/>
    <w:rsid w:val="000E6DE6"/>
    <w:rsid w:val="000E7097"/>
    <w:rsid w:val="000E74CA"/>
    <w:rsid w:val="000E792C"/>
    <w:rsid w:val="000E7C80"/>
    <w:rsid w:val="000E7CBF"/>
    <w:rsid w:val="000E7DA1"/>
    <w:rsid w:val="000E7DD2"/>
    <w:rsid w:val="000F00F9"/>
    <w:rsid w:val="000F03E3"/>
    <w:rsid w:val="000F06B1"/>
    <w:rsid w:val="000F07BB"/>
    <w:rsid w:val="000F105E"/>
    <w:rsid w:val="000F10A7"/>
    <w:rsid w:val="000F1261"/>
    <w:rsid w:val="000F14C3"/>
    <w:rsid w:val="000F14C6"/>
    <w:rsid w:val="000F14D4"/>
    <w:rsid w:val="000F1B86"/>
    <w:rsid w:val="000F2115"/>
    <w:rsid w:val="000F2179"/>
    <w:rsid w:val="000F2813"/>
    <w:rsid w:val="000F3278"/>
    <w:rsid w:val="000F36CC"/>
    <w:rsid w:val="000F3A45"/>
    <w:rsid w:val="000F3B5F"/>
    <w:rsid w:val="000F3BA5"/>
    <w:rsid w:val="000F3BA7"/>
    <w:rsid w:val="000F3EF1"/>
    <w:rsid w:val="000F4496"/>
    <w:rsid w:val="000F45CE"/>
    <w:rsid w:val="000F480A"/>
    <w:rsid w:val="000F4BB3"/>
    <w:rsid w:val="000F4C2D"/>
    <w:rsid w:val="000F4E80"/>
    <w:rsid w:val="000F5397"/>
    <w:rsid w:val="000F547C"/>
    <w:rsid w:val="000F593D"/>
    <w:rsid w:val="000F5D2A"/>
    <w:rsid w:val="000F5ECE"/>
    <w:rsid w:val="000F6944"/>
    <w:rsid w:val="000F6A44"/>
    <w:rsid w:val="000F6F92"/>
    <w:rsid w:val="000F752B"/>
    <w:rsid w:val="000F7781"/>
    <w:rsid w:val="000F7E4C"/>
    <w:rsid w:val="000F7FC4"/>
    <w:rsid w:val="001003DE"/>
    <w:rsid w:val="0010042D"/>
    <w:rsid w:val="0010057A"/>
    <w:rsid w:val="0010133E"/>
    <w:rsid w:val="00101D68"/>
    <w:rsid w:val="0010261D"/>
    <w:rsid w:val="00102A51"/>
    <w:rsid w:val="00102D39"/>
    <w:rsid w:val="0010341A"/>
    <w:rsid w:val="00103485"/>
    <w:rsid w:val="00103C76"/>
    <w:rsid w:val="00103E5A"/>
    <w:rsid w:val="00103FAD"/>
    <w:rsid w:val="00103FCE"/>
    <w:rsid w:val="00104057"/>
    <w:rsid w:val="00104159"/>
    <w:rsid w:val="00104D21"/>
    <w:rsid w:val="00104E76"/>
    <w:rsid w:val="001052D4"/>
    <w:rsid w:val="0010539C"/>
    <w:rsid w:val="00105632"/>
    <w:rsid w:val="00105890"/>
    <w:rsid w:val="00105A25"/>
    <w:rsid w:val="00105DCF"/>
    <w:rsid w:val="00105DD3"/>
    <w:rsid w:val="0010640D"/>
    <w:rsid w:val="00106539"/>
    <w:rsid w:val="00106815"/>
    <w:rsid w:val="001068E7"/>
    <w:rsid w:val="00106BDC"/>
    <w:rsid w:val="00106E6B"/>
    <w:rsid w:val="001075FB"/>
    <w:rsid w:val="00107924"/>
    <w:rsid w:val="00107DC8"/>
    <w:rsid w:val="00110FD8"/>
    <w:rsid w:val="001113B5"/>
    <w:rsid w:val="00112117"/>
    <w:rsid w:val="0011220C"/>
    <w:rsid w:val="001123D6"/>
    <w:rsid w:val="0011248C"/>
    <w:rsid w:val="001125A1"/>
    <w:rsid w:val="00112D48"/>
    <w:rsid w:val="001132B5"/>
    <w:rsid w:val="00113FDA"/>
    <w:rsid w:val="00114781"/>
    <w:rsid w:val="00114869"/>
    <w:rsid w:val="0011509F"/>
    <w:rsid w:val="00115135"/>
    <w:rsid w:val="00115399"/>
    <w:rsid w:val="001156D0"/>
    <w:rsid w:val="00115731"/>
    <w:rsid w:val="0011658F"/>
    <w:rsid w:val="00116CA5"/>
    <w:rsid w:val="001172A6"/>
    <w:rsid w:val="001174B7"/>
    <w:rsid w:val="001176F2"/>
    <w:rsid w:val="001177E6"/>
    <w:rsid w:val="001178CC"/>
    <w:rsid w:val="001179F4"/>
    <w:rsid w:val="00117BBF"/>
    <w:rsid w:val="0012027D"/>
    <w:rsid w:val="00120567"/>
    <w:rsid w:val="00121339"/>
    <w:rsid w:val="001214EC"/>
    <w:rsid w:val="0012195C"/>
    <w:rsid w:val="00121D1E"/>
    <w:rsid w:val="00121D2D"/>
    <w:rsid w:val="00121D66"/>
    <w:rsid w:val="00121EB0"/>
    <w:rsid w:val="00122311"/>
    <w:rsid w:val="00122998"/>
    <w:rsid w:val="0012310C"/>
    <w:rsid w:val="001238A3"/>
    <w:rsid w:val="00123FB3"/>
    <w:rsid w:val="00124093"/>
    <w:rsid w:val="001241B9"/>
    <w:rsid w:val="0012450C"/>
    <w:rsid w:val="001248E5"/>
    <w:rsid w:val="00124A9D"/>
    <w:rsid w:val="00125011"/>
    <w:rsid w:val="00125156"/>
    <w:rsid w:val="001254D4"/>
    <w:rsid w:val="001255A5"/>
    <w:rsid w:val="00125606"/>
    <w:rsid w:val="00125621"/>
    <w:rsid w:val="001258AE"/>
    <w:rsid w:val="00125FF5"/>
    <w:rsid w:val="00126394"/>
    <w:rsid w:val="0012667F"/>
    <w:rsid w:val="001267F5"/>
    <w:rsid w:val="00126A7C"/>
    <w:rsid w:val="00126C3C"/>
    <w:rsid w:val="00126DDD"/>
    <w:rsid w:val="0012761F"/>
    <w:rsid w:val="00127849"/>
    <w:rsid w:val="00127950"/>
    <w:rsid w:val="001279C4"/>
    <w:rsid w:val="00127D81"/>
    <w:rsid w:val="001306D8"/>
    <w:rsid w:val="00130825"/>
    <w:rsid w:val="00130A12"/>
    <w:rsid w:val="0013193D"/>
    <w:rsid w:val="00132109"/>
    <w:rsid w:val="001323D4"/>
    <w:rsid w:val="00132841"/>
    <w:rsid w:val="00132C25"/>
    <w:rsid w:val="00132DA1"/>
    <w:rsid w:val="00132E7F"/>
    <w:rsid w:val="0013374D"/>
    <w:rsid w:val="00133ED6"/>
    <w:rsid w:val="00134488"/>
    <w:rsid w:val="001346F4"/>
    <w:rsid w:val="00134B83"/>
    <w:rsid w:val="00134C67"/>
    <w:rsid w:val="001350EA"/>
    <w:rsid w:val="00135512"/>
    <w:rsid w:val="001367DD"/>
    <w:rsid w:val="00136898"/>
    <w:rsid w:val="001368E3"/>
    <w:rsid w:val="00136BEE"/>
    <w:rsid w:val="00136C20"/>
    <w:rsid w:val="00137504"/>
    <w:rsid w:val="00137696"/>
    <w:rsid w:val="00137A9B"/>
    <w:rsid w:val="00137D76"/>
    <w:rsid w:val="00137F69"/>
    <w:rsid w:val="001406FE"/>
    <w:rsid w:val="00140960"/>
    <w:rsid w:val="001409EC"/>
    <w:rsid w:val="00140B2F"/>
    <w:rsid w:val="00140DDA"/>
    <w:rsid w:val="001414FB"/>
    <w:rsid w:val="00141725"/>
    <w:rsid w:val="001419E6"/>
    <w:rsid w:val="00141F58"/>
    <w:rsid w:val="00142342"/>
    <w:rsid w:val="00142A02"/>
    <w:rsid w:val="00143087"/>
    <w:rsid w:val="001430D1"/>
    <w:rsid w:val="00143169"/>
    <w:rsid w:val="00143242"/>
    <w:rsid w:val="00143717"/>
    <w:rsid w:val="001437C2"/>
    <w:rsid w:val="001440B0"/>
    <w:rsid w:val="00144266"/>
    <w:rsid w:val="00144881"/>
    <w:rsid w:val="00144892"/>
    <w:rsid w:val="00144DA6"/>
    <w:rsid w:val="00144DF2"/>
    <w:rsid w:val="00145253"/>
    <w:rsid w:val="001459A8"/>
    <w:rsid w:val="00145B45"/>
    <w:rsid w:val="001463FD"/>
    <w:rsid w:val="00146976"/>
    <w:rsid w:val="00147033"/>
    <w:rsid w:val="00147242"/>
    <w:rsid w:val="00147529"/>
    <w:rsid w:val="00147604"/>
    <w:rsid w:val="00147758"/>
    <w:rsid w:val="00147B4B"/>
    <w:rsid w:val="00147D09"/>
    <w:rsid w:val="00147E0E"/>
    <w:rsid w:val="001500FF"/>
    <w:rsid w:val="00151602"/>
    <w:rsid w:val="00151CB3"/>
    <w:rsid w:val="00151DE3"/>
    <w:rsid w:val="00151E36"/>
    <w:rsid w:val="001521BF"/>
    <w:rsid w:val="00152970"/>
    <w:rsid w:val="001530C9"/>
    <w:rsid w:val="001530E5"/>
    <w:rsid w:val="00153546"/>
    <w:rsid w:val="00154498"/>
    <w:rsid w:val="00154569"/>
    <w:rsid w:val="001545E7"/>
    <w:rsid w:val="00154BD5"/>
    <w:rsid w:val="00154E06"/>
    <w:rsid w:val="00155091"/>
    <w:rsid w:val="001550F0"/>
    <w:rsid w:val="0015554A"/>
    <w:rsid w:val="00155560"/>
    <w:rsid w:val="001555BA"/>
    <w:rsid w:val="001559A1"/>
    <w:rsid w:val="00155BA5"/>
    <w:rsid w:val="00155BF2"/>
    <w:rsid w:val="00155E46"/>
    <w:rsid w:val="001561D8"/>
    <w:rsid w:val="0015666B"/>
    <w:rsid w:val="00156680"/>
    <w:rsid w:val="00156BCF"/>
    <w:rsid w:val="00157321"/>
    <w:rsid w:val="0015740A"/>
    <w:rsid w:val="0015753E"/>
    <w:rsid w:val="00157A7A"/>
    <w:rsid w:val="00157AF0"/>
    <w:rsid w:val="00157D7C"/>
    <w:rsid w:val="0016009C"/>
    <w:rsid w:val="00160179"/>
    <w:rsid w:val="00160253"/>
    <w:rsid w:val="001603A4"/>
    <w:rsid w:val="001618DA"/>
    <w:rsid w:val="00161BD1"/>
    <w:rsid w:val="00161FB0"/>
    <w:rsid w:val="00162253"/>
    <w:rsid w:val="00162348"/>
    <w:rsid w:val="0016260A"/>
    <w:rsid w:val="0016285F"/>
    <w:rsid w:val="00162CED"/>
    <w:rsid w:val="00162ED2"/>
    <w:rsid w:val="00162F7E"/>
    <w:rsid w:val="00163576"/>
    <w:rsid w:val="00163CD6"/>
    <w:rsid w:val="00163CE5"/>
    <w:rsid w:val="00163F65"/>
    <w:rsid w:val="001642CA"/>
    <w:rsid w:val="001645BA"/>
    <w:rsid w:val="00164E76"/>
    <w:rsid w:val="001657B6"/>
    <w:rsid w:val="00165942"/>
    <w:rsid w:val="00165F09"/>
    <w:rsid w:val="001663A2"/>
    <w:rsid w:val="00166698"/>
    <w:rsid w:val="001668C9"/>
    <w:rsid w:val="00166D70"/>
    <w:rsid w:val="00167400"/>
    <w:rsid w:val="00167502"/>
    <w:rsid w:val="00167897"/>
    <w:rsid w:val="00167E65"/>
    <w:rsid w:val="001702A2"/>
    <w:rsid w:val="00170B1B"/>
    <w:rsid w:val="00170F08"/>
    <w:rsid w:val="0017169D"/>
    <w:rsid w:val="001717DD"/>
    <w:rsid w:val="00171828"/>
    <w:rsid w:val="0017212B"/>
    <w:rsid w:val="001728D4"/>
    <w:rsid w:val="00172940"/>
    <w:rsid w:val="00172D06"/>
    <w:rsid w:val="00172F2D"/>
    <w:rsid w:val="00173093"/>
    <w:rsid w:val="00173180"/>
    <w:rsid w:val="0017367D"/>
    <w:rsid w:val="0017384D"/>
    <w:rsid w:val="001740EC"/>
    <w:rsid w:val="001744CB"/>
    <w:rsid w:val="00174B61"/>
    <w:rsid w:val="00174C13"/>
    <w:rsid w:val="001756D9"/>
    <w:rsid w:val="00175763"/>
    <w:rsid w:val="001759EF"/>
    <w:rsid w:val="001760E8"/>
    <w:rsid w:val="00176254"/>
    <w:rsid w:val="001773CE"/>
    <w:rsid w:val="00177B0B"/>
    <w:rsid w:val="00180355"/>
    <w:rsid w:val="001804FE"/>
    <w:rsid w:val="00180574"/>
    <w:rsid w:val="00180729"/>
    <w:rsid w:val="001807FA"/>
    <w:rsid w:val="00180AAA"/>
    <w:rsid w:val="0018100A"/>
    <w:rsid w:val="001817D5"/>
    <w:rsid w:val="001819B5"/>
    <w:rsid w:val="00181D50"/>
    <w:rsid w:val="00181D91"/>
    <w:rsid w:val="00181E03"/>
    <w:rsid w:val="00182416"/>
    <w:rsid w:val="00182848"/>
    <w:rsid w:val="0018289C"/>
    <w:rsid w:val="00182A58"/>
    <w:rsid w:val="00182DC2"/>
    <w:rsid w:val="001832FA"/>
    <w:rsid w:val="001833EF"/>
    <w:rsid w:val="001834B9"/>
    <w:rsid w:val="0018372E"/>
    <w:rsid w:val="0018398E"/>
    <w:rsid w:val="001844E0"/>
    <w:rsid w:val="001847AC"/>
    <w:rsid w:val="001847F0"/>
    <w:rsid w:val="001848CB"/>
    <w:rsid w:val="00184DF4"/>
    <w:rsid w:val="001851E5"/>
    <w:rsid w:val="00185741"/>
    <w:rsid w:val="00185D09"/>
    <w:rsid w:val="00185D0E"/>
    <w:rsid w:val="00185E72"/>
    <w:rsid w:val="001863A8"/>
    <w:rsid w:val="0018667C"/>
    <w:rsid w:val="00186CF0"/>
    <w:rsid w:val="00186FB0"/>
    <w:rsid w:val="001903E1"/>
    <w:rsid w:val="00190730"/>
    <w:rsid w:val="001907D6"/>
    <w:rsid w:val="00190E69"/>
    <w:rsid w:val="00191239"/>
    <w:rsid w:val="001920B5"/>
    <w:rsid w:val="0019224E"/>
    <w:rsid w:val="00192DE9"/>
    <w:rsid w:val="00193BD3"/>
    <w:rsid w:val="00193ED2"/>
    <w:rsid w:val="00193EF4"/>
    <w:rsid w:val="0019409B"/>
    <w:rsid w:val="001941E7"/>
    <w:rsid w:val="001949E2"/>
    <w:rsid w:val="00195B4C"/>
    <w:rsid w:val="00195C53"/>
    <w:rsid w:val="00196317"/>
    <w:rsid w:val="001963AA"/>
    <w:rsid w:val="00196439"/>
    <w:rsid w:val="00197094"/>
    <w:rsid w:val="0019717A"/>
    <w:rsid w:val="00197495"/>
    <w:rsid w:val="00197597"/>
    <w:rsid w:val="00197611"/>
    <w:rsid w:val="00197636"/>
    <w:rsid w:val="001A00C5"/>
    <w:rsid w:val="001A096E"/>
    <w:rsid w:val="001A0C15"/>
    <w:rsid w:val="001A1C02"/>
    <w:rsid w:val="001A208F"/>
    <w:rsid w:val="001A210E"/>
    <w:rsid w:val="001A2467"/>
    <w:rsid w:val="001A24CD"/>
    <w:rsid w:val="001A262A"/>
    <w:rsid w:val="001A2641"/>
    <w:rsid w:val="001A2711"/>
    <w:rsid w:val="001A2812"/>
    <w:rsid w:val="001A2A64"/>
    <w:rsid w:val="001A2AE7"/>
    <w:rsid w:val="001A2CFD"/>
    <w:rsid w:val="001A2E65"/>
    <w:rsid w:val="001A31DE"/>
    <w:rsid w:val="001A32E2"/>
    <w:rsid w:val="001A3654"/>
    <w:rsid w:val="001A3734"/>
    <w:rsid w:val="001A38A9"/>
    <w:rsid w:val="001A3D04"/>
    <w:rsid w:val="001A46A3"/>
    <w:rsid w:val="001A4EB0"/>
    <w:rsid w:val="001A5124"/>
    <w:rsid w:val="001A5347"/>
    <w:rsid w:val="001A5A94"/>
    <w:rsid w:val="001A5B46"/>
    <w:rsid w:val="001A5DAF"/>
    <w:rsid w:val="001A6658"/>
    <w:rsid w:val="001A666F"/>
    <w:rsid w:val="001A6B97"/>
    <w:rsid w:val="001A7079"/>
    <w:rsid w:val="001A7725"/>
    <w:rsid w:val="001A786D"/>
    <w:rsid w:val="001A7C96"/>
    <w:rsid w:val="001B0660"/>
    <w:rsid w:val="001B09B8"/>
    <w:rsid w:val="001B0BE4"/>
    <w:rsid w:val="001B0DE1"/>
    <w:rsid w:val="001B10B5"/>
    <w:rsid w:val="001B157F"/>
    <w:rsid w:val="001B1D8A"/>
    <w:rsid w:val="001B22FA"/>
    <w:rsid w:val="001B2A81"/>
    <w:rsid w:val="001B2D85"/>
    <w:rsid w:val="001B30B2"/>
    <w:rsid w:val="001B32DB"/>
    <w:rsid w:val="001B36A0"/>
    <w:rsid w:val="001B38B3"/>
    <w:rsid w:val="001B3B55"/>
    <w:rsid w:val="001B3CC2"/>
    <w:rsid w:val="001B40F9"/>
    <w:rsid w:val="001B4454"/>
    <w:rsid w:val="001B4529"/>
    <w:rsid w:val="001B4B71"/>
    <w:rsid w:val="001B4B8A"/>
    <w:rsid w:val="001B5062"/>
    <w:rsid w:val="001B551E"/>
    <w:rsid w:val="001B5D4F"/>
    <w:rsid w:val="001B616C"/>
    <w:rsid w:val="001B61AE"/>
    <w:rsid w:val="001B63A5"/>
    <w:rsid w:val="001B64A1"/>
    <w:rsid w:val="001C0410"/>
    <w:rsid w:val="001C05A0"/>
    <w:rsid w:val="001C0A2B"/>
    <w:rsid w:val="001C0C20"/>
    <w:rsid w:val="001C14B2"/>
    <w:rsid w:val="001C1AD9"/>
    <w:rsid w:val="001C1B4B"/>
    <w:rsid w:val="001C1FD6"/>
    <w:rsid w:val="001C236D"/>
    <w:rsid w:val="001C3A3B"/>
    <w:rsid w:val="001C3FF6"/>
    <w:rsid w:val="001C41B3"/>
    <w:rsid w:val="001C43C3"/>
    <w:rsid w:val="001C495A"/>
    <w:rsid w:val="001C576D"/>
    <w:rsid w:val="001C5B77"/>
    <w:rsid w:val="001C61AF"/>
    <w:rsid w:val="001C6248"/>
    <w:rsid w:val="001C644B"/>
    <w:rsid w:val="001C68F7"/>
    <w:rsid w:val="001C6B19"/>
    <w:rsid w:val="001C74EC"/>
    <w:rsid w:val="001C7824"/>
    <w:rsid w:val="001C7B9C"/>
    <w:rsid w:val="001D0081"/>
    <w:rsid w:val="001D0858"/>
    <w:rsid w:val="001D0C2E"/>
    <w:rsid w:val="001D0F76"/>
    <w:rsid w:val="001D0FD4"/>
    <w:rsid w:val="001D10B9"/>
    <w:rsid w:val="001D11D3"/>
    <w:rsid w:val="001D19CC"/>
    <w:rsid w:val="001D209D"/>
    <w:rsid w:val="001D2341"/>
    <w:rsid w:val="001D3670"/>
    <w:rsid w:val="001D3D6A"/>
    <w:rsid w:val="001D3FF2"/>
    <w:rsid w:val="001D40C4"/>
    <w:rsid w:val="001D4CA3"/>
    <w:rsid w:val="001D4F4F"/>
    <w:rsid w:val="001D6E75"/>
    <w:rsid w:val="001D7300"/>
    <w:rsid w:val="001D750C"/>
    <w:rsid w:val="001D7D5D"/>
    <w:rsid w:val="001D7DCF"/>
    <w:rsid w:val="001D7F11"/>
    <w:rsid w:val="001E032B"/>
    <w:rsid w:val="001E0B77"/>
    <w:rsid w:val="001E0CF3"/>
    <w:rsid w:val="001E0F90"/>
    <w:rsid w:val="001E0F97"/>
    <w:rsid w:val="001E0FB3"/>
    <w:rsid w:val="001E167F"/>
    <w:rsid w:val="001E1B55"/>
    <w:rsid w:val="001E22FD"/>
    <w:rsid w:val="001E23D7"/>
    <w:rsid w:val="001E25DC"/>
    <w:rsid w:val="001E26A5"/>
    <w:rsid w:val="001E3374"/>
    <w:rsid w:val="001E35B4"/>
    <w:rsid w:val="001E3970"/>
    <w:rsid w:val="001E3E62"/>
    <w:rsid w:val="001E44C2"/>
    <w:rsid w:val="001E49DC"/>
    <w:rsid w:val="001E4AA8"/>
    <w:rsid w:val="001E4B6A"/>
    <w:rsid w:val="001E4B8F"/>
    <w:rsid w:val="001E4FF1"/>
    <w:rsid w:val="001E51D1"/>
    <w:rsid w:val="001E5224"/>
    <w:rsid w:val="001E5448"/>
    <w:rsid w:val="001E549F"/>
    <w:rsid w:val="001E5FE6"/>
    <w:rsid w:val="001E612D"/>
    <w:rsid w:val="001E69BA"/>
    <w:rsid w:val="001E6AFC"/>
    <w:rsid w:val="001E6C2E"/>
    <w:rsid w:val="001E7DAF"/>
    <w:rsid w:val="001E7E51"/>
    <w:rsid w:val="001F02E4"/>
    <w:rsid w:val="001F052B"/>
    <w:rsid w:val="001F058F"/>
    <w:rsid w:val="001F0815"/>
    <w:rsid w:val="001F0AC0"/>
    <w:rsid w:val="001F141B"/>
    <w:rsid w:val="001F151F"/>
    <w:rsid w:val="001F155F"/>
    <w:rsid w:val="001F197F"/>
    <w:rsid w:val="001F1F9A"/>
    <w:rsid w:val="001F240F"/>
    <w:rsid w:val="001F25DD"/>
    <w:rsid w:val="001F2637"/>
    <w:rsid w:val="001F3047"/>
    <w:rsid w:val="001F31B0"/>
    <w:rsid w:val="001F33BF"/>
    <w:rsid w:val="001F344B"/>
    <w:rsid w:val="001F3480"/>
    <w:rsid w:val="001F4090"/>
    <w:rsid w:val="001F449D"/>
    <w:rsid w:val="001F46A7"/>
    <w:rsid w:val="001F4B82"/>
    <w:rsid w:val="001F4E9A"/>
    <w:rsid w:val="001F4FD9"/>
    <w:rsid w:val="001F5390"/>
    <w:rsid w:val="001F56B2"/>
    <w:rsid w:val="001F62BE"/>
    <w:rsid w:val="001F6476"/>
    <w:rsid w:val="001F64C9"/>
    <w:rsid w:val="001F678F"/>
    <w:rsid w:val="001F68BC"/>
    <w:rsid w:val="001F6CD3"/>
    <w:rsid w:val="001F717E"/>
    <w:rsid w:val="001F73BC"/>
    <w:rsid w:val="001F73F4"/>
    <w:rsid w:val="001F74B0"/>
    <w:rsid w:val="001F74E8"/>
    <w:rsid w:val="001F7951"/>
    <w:rsid w:val="001F7F62"/>
    <w:rsid w:val="002000C7"/>
    <w:rsid w:val="002004B5"/>
    <w:rsid w:val="0020069F"/>
    <w:rsid w:val="00200789"/>
    <w:rsid w:val="00200984"/>
    <w:rsid w:val="002009E5"/>
    <w:rsid w:val="00201642"/>
    <w:rsid w:val="00201908"/>
    <w:rsid w:val="00201A93"/>
    <w:rsid w:val="00201B7D"/>
    <w:rsid w:val="0020209B"/>
    <w:rsid w:val="00202469"/>
    <w:rsid w:val="00202558"/>
    <w:rsid w:val="002025ED"/>
    <w:rsid w:val="00202B2B"/>
    <w:rsid w:val="00202DE9"/>
    <w:rsid w:val="00203083"/>
    <w:rsid w:val="00204CC6"/>
    <w:rsid w:val="002053C1"/>
    <w:rsid w:val="00205885"/>
    <w:rsid w:val="00205974"/>
    <w:rsid w:val="00205DE3"/>
    <w:rsid w:val="0020685A"/>
    <w:rsid w:val="00206EA1"/>
    <w:rsid w:val="0020716C"/>
    <w:rsid w:val="0020782F"/>
    <w:rsid w:val="0020786D"/>
    <w:rsid w:val="00207A9C"/>
    <w:rsid w:val="00207DB9"/>
    <w:rsid w:val="00210466"/>
    <w:rsid w:val="00210A4F"/>
    <w:rsid w:val="00210C30"/>
    <w:rsid w:val="00210C5B"/>
    <w:rsid w:val="00211A24"/>
    <w:rsid w:val="00211C22"/>
    <w:rsid w:val="002120B5"/>
    <w:rsid w:val="002125F7"/>
    <w:rsid w:val="00212750"/>
    <w:rsid w:val="00212BEF"/>
    <w:rsid w:val="00212CEB"/>
    <w:rsid w:val="00212E20"/>
    <w:rsid w:val="00213517"/>
    <w:rsid w:val="0021353B"/>
    <w:rsid w:val="00213633"/>
    <w:rsid w:val="0021373C"/>
    <w:rsid w:val="0021398F"/>
    <w:rsid w:val="002139FD"/>
    <w:rsid w:val="00213A90"/>
    <w:rsid w:val="00213B91"/>
    <w:rsid w:val="002143ED"/>
    <w:rsid w:val="00215200"/>
    <w:rsid w:val="00216069"/>
    <w:rsid w:val="00216651"/>
    <w:rsid w:val="0021682C"/>
    <w:rsid w:val="00216902"/>
    <w:rsid w:val="00216B3D"/>
    <w:rsid w:val="002174C6"/>
    <w:rsid w:val="00217643"/>
    <w:rsid w:val="0021776A"/>
    <w:rsid w:val="0021781B"/>
    <w:rsid w:val="00217AE1"/>
    <w:rsid w:val="00217BA0"/>
    <w:rsid w:val="00217BC0"/>
    <w:rsid w:val="00217F26"/>
    <w:rsid w:val="00220117"/>
    <w:rsid w:val="00220559"/>
    <w:rsid w:val="00220AFB"/>
    <w:rsid w:val="00220E0D"/>
    <w:rsid w:val="00220F00"/>
    <w:rsid w:val="002214BA"/>
    <w:rsid w:val="0022150B"/>
    <w:rsid w:val="00221D83"/>
    <w:rsid w:val="00221DAD"/>
    <w:rsid w:val="00221EEC"/>
    <w:rsid w:val="00221F1D"/>
    <w:rsid w:val="002224B8"/>
    <w:rsid w:val="00222677"/>
    <w:rsid w:val="00222907"/>
    <w:rsid w:val="002236FA"/>
    <w:rsid w:val="00223701"/>
    <w:rsid w:val="00223745"/>
    <w:rsid w:val="00224235"/>
    <w:rsid w:val="0022459D"/>
    <w:rsid w:val="00224FE9"/>
    <w:rsid w:val="00225554"/>
    <w:rsid w:val="0022587A"/>
    <w:rsid w:val="00225A73"/>
    <w:rsid w:val="00225C77"/>
    <w:rsid w:val="00226281"/>
    <w:rsid w:val="002268B8"/>
    <w:rsid w:val="00226B44"/>
    <w:rsid w:val="0022714E"/>
    <w:rsid w:val="0022756D"/>
    <w:rsid w:val="00227A42"/>
    <w:rsid w:val="0023055D"/>
    <w:rsid w:val="002305B6"/>
    <w:rsid w:val="00230F47"/>
    <w:rsid w:val="00230F98"/>
    <w:rsid w:val="002316B2"/>
    <w:rsid w:val="00231DE7"/>
    <w:rsid w:val="0023201E"/>
    <w:rsid w:val="00232125"/>
    <w:rsid w:val="00232433"/>
    <w:rsid w:val="00232566"/>
    <w:rsid w:val="00232DF6"/>
    <w:rsid w:val="0023327C"/>
    <w:rsid w:val="00233E21"/>
    <w:rsid w:val="00234ACC"/>
    <w:rsid w:val="00234B68"/>
    <w:rsid w:val="00234C19"/>
    <w:rsid w:val="00234FFB"/>
    <w:rsid w:val="00235259"/>
    <w:rsid w:val="00235459"/>
    <w:rsid w:val="002356B1"/>
    <w:rsid w:val="00236551"/>
    <w:rsid w:val="00236BC0"/>
    <w:rsid w:val="00236C76"/>
    <w:rsid w:val="002372D8"/>
    <w:rsid w:val="002374FC"/>
    <w:rsid w:val="0023760C"/>
    <w:rsid w:val="00237B8A"/>
    <w:rsid w:val="00240184"/>
    <w:rsid w:val="002408D1"/>
    <w:rsid w:val="00240A37"/>
    <w:rsid w:val="00240E07"/>
    <w:rsid w:val="00240E0C"/>
    <w:rsid w:val="00240F3E"/>
    <w:rsid w:val="002410F3"/>
    <w:rsid w:val="0024124E"/>
    <w:rsid w:val="0024127A"/>
    <w:rsid w:val="00241539"/>
    <w:rsid w:val="00241592"/>
    <w:rsid w:val="00241697"/>
    <w:rsid w:val="00241F07"/>
    <w:rsid w:val="00242044"/>
    <w:rsid w:val="002426BF"/>
    <w:rsid w:val="002427BB"/>
    <w:rsid w:val="00242856"/>
    <w:rsid w:val="002428ED"/>
    <w:rsid w:val="00242EEA"/>
    <w:rsid w:val="00242F12"/>
    <w:rsid w:val="00243175"/>
    <w:rsid w:val="00243A8E"/>
    <w:rsid w:val="00244016"/>
    <w:rsid w:val="00244E28"/>
    <w:rsid w:val="00244F3A"/>
    <w:rsid w:val="00244FA0"/>
    <w:rsid w:val="002461B0"/>
    <w:rsid w:val="002462B5"/>
    <w:rsid w:val="002468B9"/>
    <w:rsid w:val="00246F58"/>
    <w:rsid w:val="00247602"/>
    <w:rsid w:val="00247C2C"/>
    <w:rsid w:val="00247DF8"/>
    <w:rsid w:val="00250000"/>
    <w:rsid w:val="00250A7A"/>
    <w:rsid w:val="00250AB1"/>
    <w:rsid w:val="00250E3C"/>
    <w:rsid w:val="00251194"/>
    <w:rsid w:val="00251EB0"/>
    <w:rsid w:val="00252063"/>
    <w:rsid w:val="002520A3"/>
    <w:rsid w:val="00252245"/>
    <w:rsid w:val="0025268D"/>
    <w:rsid w:val="002527B3"/>
    <w:rsid w:val="00252BA1"/>
    <w:rsid w:val="002530C8"/>
    <w:rsid w:val="00253618"/>
    <w:rsid w:val="00253707"/>
    <w:rsid w:val="0025382B"/>
    <w:rsid w:val="00253898"/>
    <w:rsid w:val="0025390B"/>
    <w:rsid w:val="00253A2D"/>
    <w:rsid w:val="0025400C"/>
    <w:rsid w:val="0025420C"/>
    <w:rsid w:val="002545D0"/>
    <w:rsid w:val="002547A7"/>
    <w:rsid w:val="002552C7"/>
    <w:rsid w:val="0025575D"/>
    <w:rsid w:val="002559A5"/>
    <w:rsid w:val="002559B4"/>
    <w:rsid w:val="0025641A"/>
    <w:rsid w:val="00256589"/>
    <w:rsid w:val="0025676F"/>
    <w:rsid w:val="00256A04"/>
    <w:rsid w:val="00257085"/>
    <w:rsid w:val="00257167"/>
    <w:rsid w:val="00257330"/>
    <w:rsid w:val="00257522"/>
    <w:rsid w:val="00257ABF"/>
    <w:rsid w:val="00257BE5"/>
    <w:rsid w:val="002600D2"/>
    <w:rsid w:val="0026099B"/>
    <w:rsid w:val="00260A45"/>
    <w:rsid w:val="00260B50"/>
    <w:rsid w:val="00260E7F"/>
    <w:rsid w:val="0026145B"/>
    <w:rsid w:val="0026182A"/>
    <w:rsid w:val="0026186D"/>
    <w:rsid w:val="002618DF"/>
    <w:rsid w:val="00261C09"/>
    <w:rsid w:val="002620BE"/>
    <w:rsid w:val="0026281D"/>
    <w:rsid w:val="00262B01"/>
    <w:rsid w:val="00262E5E"/>
    <w:rsid w:val="0026331C"/>
    <w:rsid w:val="00263422"/>
    <w:rsid w:val="00263A9D"/>
    <w:rsid w:val="00263B3A"/>
    <w:rsid w:val="00264215"/>
    <w:rsid w:val="00264277"/>
    <w:rsid w:val="0026532B"/>
    <w:rsid w:val="0026543C"/>
    <w:rsid w:val="00265513"/>
    <w:rsid w:val="00265815"/>
    <w:rsid w:val="0026599C"/>
    <w:rsid w:val="002662A2"/>
    <w:rsid w:val="0026633C"/>
    <w:rsid w:val="0026648B"/>
    <w:rsid w:val="00266730"/>
    <w:rsid w:val="00267128"/>
    <w:rsid w:val="00267361"/>
    <w:rsid w:val="002678E4"/>
    <w:rsid w:val="00267DE7"/>
    <w:rsid w:val="00267F24"/>
    <w:rsid w:val="00267F41"/>
    <w:rsid w:val="00270132"/>
    <w:rsid w:val="002704E7"/>
    <w:rsid w:val="00270D26"/>
    <w:rsid w:val="00270DC3"/>
    <w:rsid w:val="00270F04"/>
    <w:rsid w:val="002712F3"/>
    <w:rsid w:val="00271502"/>
    <w:rsid w:val="002715F0"/>
    <w:rsid w:val="00271C02"/>
    <w:rsid w:val="00271CF2"/>
    <w:rsid w:val="00271DBF"/>
    <w:rsid w:val="00272183"/>
    <w:rsid w:val="0027277E"/>
    <w:rsid w:val="00272937"/>
    <w:rsid w:val="00272A5E"/>
    <w:rsid w:val="00272C73"/>
    <w:rsid w:val="00273005"/>
    <w:rsid w:val="0027300D"/>
    <w:rsid w:val="00273314"/>
    <w:rsid w:val="00273430"/>
    <w:rsid w:val="0027369E"/>
    <w:rsid w:val="00274209"/>
    <w:rsid w:val="002742F1"/>
    <w:rsid w:val="00274313"/>
    <w:rsid w:val="002749FB"/>
    <w:rsid w:val="00274E3C"/>
    <w:rsid w:val="00274F2B"/>
    <w:rsid w:val="00275065"/>
    <w:rsid w:val="002750F2"/>
    <w:rsid w:val="00275B89"/>
    <w:rsid w:val="00276B89"/>
    <w:rsid w:val="00276D77"/>
    <w:rsid w:val="0027721D"/>
    <w:rsid w:val="00277DC8"/>
    <w:rsid w:val="00277ECC"/>
    <w:rsid w:val="00280042"/>
    <w:rsid w:val="00280659"/>
    <w:rsid w:val="0028139B"/>
    <w:rsid w:val="00281C9C"/>
    <w:rsid w:val="00282067"/>
    <w:rsid w:val="00282130"/>
    <w:rsid w:val="00282177"/>
    <w:rsid w:val="002821BE"/>
    <w:rsid w:val="00282502"/>
    <w:rsid w:val="00282800"/>
    <w:rsid w:val="00284592"/>
    <w:rsid w:val="0028461B"/>
    <w:rsid w:val="00284889"/>
    <w:rsid w:val="00284D28"/>
    <w:rsid w:val="0028512B"/>
    <w:rsid w:val="00285D1A"/>
    <w:rsid w:val="00285F60"/>
    <w:rsid w:val="002864DA"/>
    <w:rsid w:val="00286B83"/>
    <w:rsid w:val="00286D70"/>
    <w:rsid w:val="002873DC"/>
    <w:rsid w:val="00287449"/>
    <w:rsid w:val="00287573"/>
    <w:rsid w:val="00287B80"/>
    <w:rsid w:val="00287F41"/>
    <w:rsid w:val="00290146"/>
    <w:rsid w:val="00290517"/>
    <w:rsid w:val="002908E9"/>
    <w:rsid w:val="00291095"/>
    <w:rsid w:val="002910BD"/>
    <w:rsid w:val="0029137E"/>
    <w:rsid w:val="002914DE"/>
    <w:rsid w:val="0029193E"/>
    <w:rsid w:val="00291BBE"/>
    <w:rsid w:val="00291E13"/>
    <w:rsid w:val="0029216A"/>
    <w:rsid w:val="002929E2"/>
    <w:rsid w:val="00292A9C"/>
    <w:rsid w:val="00292E9C"/>
    <w:rsid w:val="00292FDF"/>
    <w:rsid w:val="002938BD"/>
    <w:rsid w:val="00293C10"/>
    <w:rsid w:val="00294032"/>
    <w:rsid w:val="00294126"/>
    <w:rsid w:val="002945DC"/>
    <w:rsid w:val="00294947"/>
    <w:rsid w:val="00294A44"/>
    <w:rsid w:val="00294A6C"/>
    <w:rsid w:val="00294D87"/>
    <w:rsid w:val="002952BA"/>
    <w:rsid w:val="0029539A"/>
    <w:rsid w:val="002959B8"/>
    <w:rsid w:val="00295D2C"/>
    <w:rsid w:val="00295D85"/>
    <w:rsid w:val="00296819"/>
    <w:rsid w:val="0029725A"/>
    <w:rsid w:val="00297530"/>
    <w:rsid w:val="002978F8"/>
    <w:rsid w:val="00297B4B"/>
    <w:rsid w:val="002A009D"/>
    <w:rsid w:val="002A05B5"/>
    <w:rsid w:val="002A0831"/>
    <w:rsid w:val="002A094A"/>
    <w:rsid w:val="002A0A6C"/>
    <w:rsid w:val="002A2133"/>
    <w:rsid w:val="002A254E"/>
    <w:rsid w:val="002A28D5"/>
    <w:rsid w:val="002A2BF6"/>
    <w:rsid w:val="002A2FCD"/>
    <w:rsid w:val="002A3337"/>
    <w:rsid w:val="002A414F"/>
    <w:rsid w:val="002A42D4"/>
    <w:rsid w:val="002A431F"/>
    <w:rsid w:val="002A447C"/>
    <w:rsid w:val="002A482E"/>
    <w:rsid w:val="002A4B25"/>
    <w:rsid w:val="002A4C6F"/>
    <w:rsid w:val="002A4D46"/>
    <w:rsid w:val="002A4F73"/>
    <w:rsid w:val="002A4FF0"/>
    <w:rsid w:val="002A5005"/>
    <w:rsid w:val="002A56B9"/>
    <w:rsid w:val="002A58A9"/>
    <w:rsid w:val="002A5DD1"/>
    <w:rsid w:val="002A60B3"/>
    <w:rsid w:val="002A6143"/>
    <w:rsid w:val="002A6209"/>
    <w:rsid w:val="002A67F5"/>
    <w:rsid w:val="002A68AA"/>
    <w:rsid w:val="002A6CB7"/>
    <w:rsid w:val="002A79FF"/>
    <w:rsid w:val="002A7FB8"/>
    <w:rsid w:val="002B0726"/>
    <w:rsid w:val="002B078D"/>
    <w:rsid w:val="002B088B"/>
    <w:rsid w:val="002B08ED"/>
    <w:rsid w:val="002B0937"/>
    <w:rsid w:val="002B1626"/>
    <w:rsid w:val="002B17E5"/>
    <w:rsid w:val="002B18CF"/>
    <w:rsid w:val="002B1A71"/>
    <w:rsid w:val="002B1C75"/>
    <w:rsid w:val="002B2071"/>
    <w:rsid w:val="002B26AC"/>
    <w:rsid w:val="002B26D8"/>
    <w:rsid w:val="002B2E28"/>
    <w:rsid w:val="002B2E9B"/>
    <w:rsid w:val="002B30CD"/>
    <w:rsid w:val="002B310B"/>
    <w:rsid w:val="002B3284"/>
    <w:rsid w:val="002B34E6"/>
    <w:rsid w:val="002B3EBF"/>
    <w:rsid w:val="002B3FF3"/>
    <w:rsid w:val="002B42FC"/>
    <w:rsid w:val="002B46B6"/>
    <w:rsid w:val="002B48A6"/>
    <w:rsid w:val="002B5199"/>
    <w:rsid w:val="002B5358"/>
    <w:rsid w:val="002B53D5"/>
    <w:rsid w:val="002B5AF4"/>
    <w:rsid w:val="002B5FB2"/>
    <w:rsid w:val="002B6637"/>
    <w:rsid w:val="002B6725"/>
    <w:rsid w:val="002B69AA"/>
    <w:rsid w:val="002B6BB5"/>
    <w:rsid w:val="002B6BD1"/>
    <w:rsid w:val="002B7140"/>
    <w:rsid w:val="002B72A6"/>
    <w:rsid w:val="002B731A"/>
    <w:rsid w:val="002B7495"/>
    <w:rsid w:val="002B7600"/>
    <w:rsid w:val="002B7721"/>
    <w:rsid w:val="002B78B6"/>
    <w:rsid w:val="002B7A7E"/>
    <w:rsid w:val="002B7D6B"/>
    <w:rsid w:val="002B7DBE"/>
    <w:rsid w:val="002C020D"/>
    <w:rsid w:val="002C0288"/>
    <w:rsid w:val="002C0ADD"/>
    <w:rsid w:val="002C1177"/>
    <w:rsid w:val="002C1526"/>
    <w:rsid w:val="002C1697"/>
    <w:rsid w:val="002C169D"/>
    <w:rsid w:val="002C1874"/>
    <w:rsid w:val="002C18B3"/>
    <w:rsid w:val="002C18DA"/>
    <w:rsid w:val="002C1B97"/>
    <w:rsid w:val="002C26CF"/>
    <w:rsid w:val="002C2876"/>
    <w:rsid w:val="002C29DB"/>
    <w:rsid w:val="002C36EF"/>
    <w:rsid w:val="002C3A51"/>
    <w:rsid w:val="002C408D"/>
    <w:rsid w:val="002C4729"/>
    <w:rsid w:val="002C4A8A"/>
    <w:rsid w:val="002C4B2A"/>
    <w:rsid w:val="002C5038"/>
    <w:rsid w:val="002C5CD5"/>
    <w:rsid w:val="002C5E09"/>
    <w:rsid w:val="002C5F40"/>
    <w:rsid w:val="002C6749"/>
    <w:rsid w:val="002C7040"/>
    <w:rsid w:val="002C7078"/>
    <w:rsid w:val="002C721A"/>
    <w:rsid w:val="002C75DE"/>
    <w:rsid w:val="002C7AC8"/>
    <w:rsid w:val="002C7C60"/>
    <w:rsid w:val="002C7E9A"/>
    <w:rsid w:val="002D01E7"/>
    <w:rsid w:val="002D0337"/>
    <w:rsid w:val="002D042F"/>
    <w:rsid w:val="002D0B4C"/>
    <w:rsid w:val="002D0C07"/>
    <w:rsid w:val="002D1012"/>
    <w:rsid w:val="002D1185"/>
    <w:rsid w:val="002D1709"/>
    <w:rsid w:val="002D180D"/>
    <w:rsid w:val="002D18EA"/>
    <w:rsid w:val="002D2375"/>
    <w:rsid w:val="002D24D5"/>
    <w:rsid w:val="002D2823"/>
    <w:rsid w:val="002D2CC0"/>
    <w:rsid w:val="002D2D9D"/>
    <w:rsid w:val="002D4402"/>
    <w:rsid w:val="002D4A60"/>
    <w:rsid w:val="002D4E61"/>
    <w:rsid w:val="002D5207"/>
    <w:rsid w:val="002D531F"/>
    <w:rsid w:val="002D541F"/>
    <w:rsid w:val="002D6187"/>
    <w:rsid w:val="002D7583"/>
    <w:rsid w:val="002D7796"/>
    <w:rsid w:val="002D7815"/>
    <w:rsid w:val="002D7B68"/>
    <w:rsid w:val="002D7BCB"/>
    <w:rsid w:val="002E0088"/>
    <w:rsid w:val="002E03CF"/>
    <w:rsid w:val="002E04A3"/>
    <w:rsid w:val="002E05B3"/>
    <w:rsid w:val="002E12A5"/>
    <w:rsid w:val="002E159F"/>
    <w:rsid w:val="002E1699"/>
    <w:rsid w:val="002E1BA5"/>
    <w:rsid w:val="002E1C49"/>
    <w:rsid w:val="002E24BE"/>
    <w:rsid w:val="002E261F"/>
    <w:rsid w:val="002E32B2"/>
    <w:rsid w:val="002E34F6"/>
    <w:rsid w:val="002E35F8"/>
    <w:rsid w:val="002E4587"/>
    <w:rsid w:val="002E4648"/>
    <w:rsid w:val="002E46EB"/>
    <w:rsid w:val="002E4AA6"/>
    <w:rsid w:val="002E501D"/>
    <w:rsid w:val="002E5203"/>
    <w:rsid w:val="002E554A"/>
    <w:rsid w:val="002E55DD"/>
    <w:rsid w:val="002E560A"/>
    <w:rsid w:val="002E570E"/>
    <w:rsid w:val="002E5D72"/>
    <w:rsid w:val="002E62C3"/>
    <w:rsid w:val="002E669A"/>
    <w:rsid w:val="002E7046"/>
    <w:rsid w:val="002E707A"/>
    <w:rsid w:val="002F01C0"/>
    <w:rsid w:val="002F1560"/>
    <w:rsid w:val="002F16C7"/>
    <w:rsid w:val="002F1ABE"/>
    <w:rsid w:val="002F1F0F"/>
    <w:rsid w:val="002F2502"/>
    <w:rsid w:val="002F2556"/>
    <w:rsid w:val="002F25D1"/>
    <w:rsid w:val="002F2F2E"/>
    <w:rsid w:val="002F2FAB"/>
    <w:rsid w:val="002F3169"/>
    <w:rsid w:val="002F321F"/>
    <w:rsid w:val="002F3483"/>
    <w:rsid w:val="002F34AA"/>
    <w:rsid w:val="002F35FE"/>
    <w:rsid w:val="002F3897"/>
    <w:rsid w:val="002F3946"/>
    <w:rsid w:val="002F4045"/>
    <w:rsid w:val="002F421C"/>
    <w:rsid w:val="002F4384"/>
    <w:rsid w:val="002F4662"/>
    <w:rsid w:val="002F532B"/>
    <w:rsid w:val="002F5458"/>
    <w:rsid w:val="002F5C9B"/>
    <w:rsid w:val="002F5D64"/>
    <w:rsid w:val="002F65D9"/>
    <w:rsid w:val="002F6E24"/>
    <w:rsid w:val="002F73FE"/>
    <w:rsid w:val="002F75B6"/>
    <w:rsid w:val="002F7839"/>
    <w:rsid w:val="002F7C45"/>
    <w:rsid w:val="0030015E"/>
    <w:rsid w:val="003004E6"/>
    <w:rsid w:val="00300D1C"/>
    <w:rsid w:val="00301624"/>
    <w:rsid w:val="0030180A"/>
    <w:rsid w:val="00301851"/>
    <w:rsid w:val="0030198A"/>
    <w:rsid w:val="00301EA3"/>
    <w:rsid w:val="003022D1"/>
    <w:rsid w:val="00302318"/>
    <w:rsid w:val="003024F1"/>
    <w:rsid w:val="00302ADC"/>
    <w:rsid w:val="00303155"/>
    <w:rsid w:val="00303364"/>
    <w:rsid w:val="0030381D"/>
    <w:rsid w:val="00303BD0"/>
    <w:rsid w:val="00303C17"/>
    <w:rsid w:val="0030452F"/>
    <w:rsid w:val="003049FA"/>
    <w:rsid w:val="00304A8F"/>
    <w:rsid w:val="00304ADD"/>
    <w:rsid w:val="00304B68"/>
    <w:rsid w:val="00304C3E"/>
    <w:rsid w:val="00304EF1"/>
    <w:rsid w:val="003055DB"/>
    <w:rsid w:val="003056F3"/>
    <w:rsid w:val="0030578B"/>
    <w:rsid w:val="00306B43"/>
    <w:rsid w:val="003072F6"/>
    <w:rsid w:val="00307402"/>
    <w:rsid w:val="00307E4B"/>
    <w:rsid w:val="0031026D"/>
    <w:rsid w:val="0031044C"/>
    <w:rsid w:val="00310945"/>
    <w:rsid w:val="0031095C"/>
    <w:rsid w:val="00310C83"/>
    <w:rsid w:val="00310DFA"/>
    <w:rsid w:val="003111A9"/>
    <w:rsid w:val="00311566"/>
    <w:rsid w:val="00311A91"/>
    <w:rsid w:val="00311D38"/>
    <w:rsid w:val="00312A17"/>
    <w:rsid w:val="00312A5D"/>
    <w:rsid w:val="00312DC6"/>
    <w:rsid w:val="003130EE"/>
    <w:rsid w:val="00313306"/>
    <w:rsid w:val="00313324"/>
    <w:rsid w:val="003146E2"/>
    <w:rsid w:val="00315200"/>
    <w:rsid w:val="003152E6"/>
    <w:rsid w:val="00315B25"/>
    <w:rsid w:val="003160EE"/>
    <w:rsid w:val="0031622A"/>
    <w:rsid w:val="003163E5"/>
    <w:rsid w:val="0031695E"/>
    <w:rsid w:val="003169D4"/>
    <w:rsid w:val="00316CF3"/>
    <w:rsid w:val="003170E4"/>
    <w:rsid w:val="00317387"/>
    <w:rsid w:val="0031747B"/>
    <w:rsid w:val="00317708"/>
    <w:rsid w:val="00317918"/>
    <w:rsid w:val="00317C77"/>
    <w:rsid w:val="00317EDE"/>
    <w:rsid w:val="003204FB"/>
    <w:rsid w:val="0032067A"/>
    <w:rsid w:val="00320771"/>
    <w:rsid w:val="00320919"/>
    <w:rsid w:val="00320B71"/>
    <w:rsid w:val="00321260"/>
    <w:rsid w:val="00321A64"/>
    <w:rsid w:val="00321E6A"/>
    <w:rsid w:val="00321E6E"/>
    <w:rsid w:val="0032210D"/>
    <w:rsid w:val="00322163"/>
    <w:rsid w:val="00322474"/>
    <w:rsid w:val="0032264B"/>
    <w:rsid w:val="00322B58"/>
    <w:rsid w:val="00322BF0"/>
    <w:rsid w:val="00323224"/>
    <w:rsid w:val="0032411D"/>
    <w:rsid w:val="003248EF"/>
    <w:rsid w:val="00324C0C"/>
    <w:rsid w:val="003254BC"/>
    <w:rsid w:val="003255F5"/>
    <w:rsid w:val="00325BF5"/>
    <w:rsid w:val="00325F22"/>
    <w:rsid w:val="003261A1"/>
    <w:rsid w:val="00326CDE"/>
    <w:rsid w:val="00326DF5"/>
    <w:rsid w:val="00327804"/>
    <w:rsid w:val="00327C39"/>
    <w:rsid w:val="0033015D"/>
    <w:rsid w:val="003303A6"/>
    <w:rsid w:val="003305F3"/>
    <w:rsid w:val="003307BC"/>
    <w:rsid w:val="003307C5"/>
    <w:rsid w:val="0033091A"/>
    <w:rsid w:val="00330AA1"/>
    <w:rsid w:val="00330D2D"/>
    <w:rsid w:val="00331159"/>
    <w:rsid w:val="00331D37"/>
    <w:rsid w:val="00331E8F"/>
    <w:rsid w:val="00332A96"/>
    <w:rsid w:val="00332AA3"/>
    <w:rsid w:val="00332C39"/>
    <w:rsid w:val="00332F21"/>
    <w:rsid w:val="00332FD3"/>
    <w:rsid w:val="00333F06"/>
    <w:rsid w:val="003344AC"/>
    <w:rsid w:val="00334E78"/>
    <w:rsid w:val="00335128"/>
    <w:rsid w:val="00335273"/>
    <w:rsid w:val="003353D8"/>
    <w:rsid w:val="00335566"/>
    <w:rsid w:val="00335B8C"/>
    <w:rsid w:val="00335E11"/>
    <w:rsid w:val="003363CA"/>
    <w:rsid w:val="00336822"/>
    <w:rsid w:val="00336BEA"/>
    <w:rsid w:val="00336E31"/>
    <w:rsid w:val="00336FF8"/>
    <w:rsid w:val="003375B0"/>
    <w:rsid w:val="003375B9"/>
    <w:rsid w:val="003379E0"/>
    <w:rsid w:val="00337F91"/>
    <w:rsid w:val="00337FBB"/>
    <w:rsid w:val="00340291"/>
    <w:rsid w:val="00340B57"/>
    <w:rsid w:val="00340F94"/>
    <w:rsid w:val="003410A8"/>
    <w:rsid w:val="0034180B"/>
    <w:rsid w:val="00341E1C"/>
    <w:rsid w:val="003424E1"/>
    <w:rsid w:val="00342F25"/>
    <w:rsid w:val="00343147"/>
    <w:rsid w:val="003431EE"/>
    <w:rsid w:val="003437E5"/>
    <w:rsid w:val="003438D6"/>
    <w:rsid w:val="003445C3"/>
    <w:rsid w:val="0034489E"/>
    <w:rsid w:val="003448A0"/>
    <w:rsid w:val="0034492B"/>
    <w:rsid w:val="00344CBB"/>
    <w:rsid w:val="00344E56"/>
    <w:rsid w:val="00345676"/>
    <w:rsid w:val="00345954"/>
    <w:rsid w:val="00345C19"/>
    <w:rsid w:val="00345CAF"/>
    <w:rsid w:val="00345CB5"/>
    <w:rsid w:val="00345DD4"/>
    <w:rsid w:val="003464B5"/>
    <w:rsid w:val="003465BA"/>
    <w:rsid w:val="00346779"/>
    <w:rsid w:val="00346CD5"/>
    <w:rsid w:val="00346DB7"/>
    <w:rsid w:val="00346F79"/>
    <w:rsid w:val="00346F7D"/>
    <w:rsid w:val="00347018"/>
    <w:rsid w:val="00347DB1"/>
    <w:rsid w:val="0035035B"/>
    <w:rsid w:val="003509E5"/>
    <w:rsid w:val="003510FB"/>
    <w:rsid w:val="003516AA"/>
    <w:rsid w:val="0035187F"/>
    <w:rsid w:val="00351935"/>
    <w:rsid w:val="00351970"/>
    <w:rsid w:val="00351BD6"/>
    <w:rsid w:val="003520CA"/>
    <w:rsid w:val="0035230C"/>
    <w:rsid w:val="00352523"/>
    <w:rsid w:val="003525D9"/>
    <w:rsid w:val="00352BDA"/>
    <w:rsid w:val="003531AA"/>
    <w:rsid w:val="00353542"/>
    <w:rsid w:val="003536BB"/>
    <w:rsid w:val="003536D4"/>
    <w:rsid w:val="003537BD"/>
    <w:rsid w:val="003539C5"/>
    <w:rsid w:val="00353AC0"/>
    <w:rsid w:val="00353B5A"/>
    <w:rsid w:val="00354A9E"/>
    <w:rsid w:val="00354CD5"/>
    <w:rsid w:val="003550B1"/>
    <w:rsid w:val="00355753"/>
    <w:rsid w:val="00355C45"/>
    <w:rsid w:val="00356010"/>
    <w:rsid w:val="003562A6"/>
    <w:rsid w:val="003570FA"/>
    <w:rsid w:val="003572CA"/>
    <w:rsid w:val="003574DC"/>
    <w:rsid w:val="003577E0"/>
    <w:rsid w:val="00357915"/>
    <w:rsid w:val="0036007D"/>
    <w:rsid w:val="00360422"/>
    <w:rsid w:val="00360995"/>
    <w:rsid w:val="00361345"/>
    <w:rsid w:val="00361718"/>
    <w:rsid w:val="003622F2"/>
    <w:rsid w:val="0036279F"/>
    <w:rsid w:val="003632E0"/>
    <w:rsid w:val="003639D6"/>
    <w:rsid w:val="003639F0"/>
    <w:rsid w:val="00364734"/>
    <w:rsid w:val="00364D8E"/>
    <w:rsid w:val="00364E33"/>
    <w:rsid w:val="0036518A"/>
    <w:rsid w:val="0036570B"/>
    <w:rsid w:val="00365752"/>
    <w:rsid w:val="0036583C"/>
    <w:rsid w:val="00365B2C"/>
    <w:rsid w:val="00365E32"/>
    <w:rsid w:val="00365F16"/>
    <w:rsid w:val="003664BB"/>
    <w:rsid w:val="003665CB"/>
    <w:rsid w:val="003666D3"/>
    <w:rsid w:val="00366833"/>
    <w:rsid w:val="00367006"/>
    <w:rsid w:val="0036719C"/>
    <w:rsid w:val="0036777F"/>
    <w:rsid w:val="003677DE"/>
    <w:rsid w:val="003678C1"/>
    <w:rsid w:val="0036794A"/>
    <w:rsid w:val="00367EE5"/>
    <w:rsid w:val="003702A2"/>
    <w:rsid w:val="00370C48"/>
    <w:rsid w:val="00371182"/>
    <w:rsid w:val="003716BE"/>
    <w:rsid w:val="00371E6A"/>
    <w:rsid w:val="00372217"/>
    <w:rsid w:val="00372302"/>
    <w:rsid w:val="00372886"/>
    <w:rsid w:val="00372FA8"/>
    <w:rsid w:val="00372FF1"/>
    <w:rsid w:val="003735B7"/>
    <w:rsid w:val="003739DE"/>
    <w:rsid w:val="00373C86"/>
    <w:rsid w:val="00373E56"/>
    <w:rsid w:val="00374041"/>
    <w:rsid w:val="0037475F"/>
    <w:rsid w:val="00375646"/>
    <w:rsid w:val="003757EC"/>
    <w:rsid w:val="00375A4F"/>
    <w:rsid w:val="00375E3F"/>
    <w:rsid w:val="00376203"/>
    <w:rsid w:val="00376255"/>
    <w:rsid w:val="00376788"/>
    <w:rsid w:val="00376A7D"/>
    <w:rsid w:val="00376C53"/>
    <w:rsid w:val="00376E50"/>
    <w:rsid w:val="00377045"/>
    <w:rsid w:val="003773F9"/>
    <w:rsid w:val="00377708"/>
    <w:rsid w:val="00377934"/>
    <w:rsid w:val="00377B17"/>
    <w:rsid w:val="00377CEE"/>
    <w:rsid w:val="00377F1B"/>
    <w:rsid w:val="003801C7"/>
    <w:rsid w:val="003803A5"/>
    <w:rsid w:val="0038053F"/>
    <w:rsid w:val="0038068E"/>
    <w:rsid w:val="0038093C"/>
    <w:rsid w:val="003814F5"/>
    <w:rsid w:val="00381719"/>
    <w:rsid w:val="00381760"/>
    <w:rsid w:val="0038176E"/>
    <w:rsid w:val="003817A7"/>
    <w:rsid w:val="00381C1A"/>
    <w:rsid w:val="00381F34"/>
    <w:rsid w:val="00382193"/>
    <w:rsid w:val="00382355"/>
    <w:rsid w:val="00382473"/>
    <w:rsid w:val="0038260D"/>
    <w:rsid w:val="003828F1"/>
    <w:rsid w:val="00382F1B"/>
    <w:rsid w:val="00383F78"/>
    <w:rsid w:val="00384060"/>
    <w:rsid w:val="003840E9"/>
    <w:rsid w:val="00384C21"/>
    <w:rsid w:val="00384DD9"/>
    <w:rsid w:val="00384FC0"/>
    <w:rsid w:val="0038502C"/>
    <w:rsid w:val="003850DC"/>
    <w:rsid w:val="00386651"/>
    <w:rsid w:val="00386E10"/>
    <w:rsid w:val="003871E2"/>
    <w:rsid w:val="00387496"/>
    <w:rsid w:val="00387E98"/>
    <w:rsid w:val="003907B0"/>
    <w:rsid w:val="00390866"/>
    <w:rsid w:val="00390E01"/>
    <w:rsid w:val="00390F42"/>
    <w:rsid w:val="00391C05"/>
    <w:rsid w:val="00391F32"/>
    <w:rsid w:val="00392367"/>
    <w:rsid w:val="00392595"/>
    <w:rsid w:val="00392C3A"/>
    <w:rsid w:val="00392F37"/>
    <w:rsid w:val="00393E7C"/>
    <w:rsid w:val="00393FBA"/>
    <w:rsid w:val="00394079"/>
    <w:rsid w:val="003943C8"/>
    <w:rsid w:val="003943FD"/>
    <w:rsid w:val="00394A23"/>
    <w:rsid w:val="00394D4C"/>
    <w:rsid w:val="00394EE4"/>
    <w:rsid w:val="003954A4"/>
    <w:rsid w:val="003954FA"/>
    <w:rsid w:val="003956CC"/>
    <w:rsid w:val="00396099"/>
    <w:rsid w:val="003960EA"/>
    <w:rsid w:val="0039678E"/>
    <w:rsid w:val="0039782F"/>
    <w:rsid w:val="003A0D23"/>
    <w:rsid w:val="003A137B"/>
    <w:rsid w:val="003A179E"/>
    <w:rsid w:val="003A1DC8"/>
    <w:rsid w:val="003A23E0"/>
    <w:rsid w:val="003A24DF"/>
    <w:rsid w:val="003A298D"/>
    <w:rsid w:val="003A32C1"/>
    <w:rsid w:val="003A34BD"/>
    <w:rsid w:val="003A35D2"/>
    <w:rsid w:val="003A43B1"/>
    <w:rsid w:val="003A4588"/>
    <w:rsid w:val="003A4D48"/>
    <w:rsid w:val="003A4E1C"/>
    <w:rsid w:val="003A5261"/>
    <w:rsid w:val="003A588B"/>
    <w:rsid w:val="003A5D6A"/>
    <w:rsid w:val="003A5EC5"/>
    <w:rsid w:val="003A6656"/>
    <w:rsid w:val="003A6689"/>
    <w:rsid w:val="003A6965"/>
    <w:rsid w:val="003A6C6A"/>
    <w:rsid w:val="003A748E"/>
    <w:rsid w:val="003A7885"/>
    <w:rsid w:val="003A7B31"/>
    <w:rsid w:val="003A7CEC"/>
    <w:rsid w:val="003A7D7C"/>
    <w:rsid w:val="003B04B8"/>
    <w:rsid w:val="003B0512"/>
    <w:rsid w:val="003B06F1"/>
    <w:rsid w:val="003B0ADC"/>
    <w:rsid w:val="003B0C14"/>
    <w:rsid w:val="003B0D78"/>
    <w:rsid w:val="003B1F01"/>
    <w:rsid w:val="003B2552"/>
    <w:rsid w:val="003B2736"/>
    <w:rsid w:val="003B2E71"/>
    <w:rsid w:val="003B3335"/>
    <w:rsid w:val="003B41A5"/>
    <w:rsid w:val="003B456F"/>
    <w:rsid w:val="003B4647"/>
    <w:rsid w:val="003B570F"/>
    <w:rsid w:val="003B5713"/>
    <w:rsid w:val="003B5A2D"/>
    <w:rsid w:val="003B5CDA"/>
    <w:rsid w:val="003B5EEF"/>
    <w:rsid w:val="003B6486"/>
    <w:rsid w:val="003B64D6"/>
    <w:rsid w:val="003B65DD"/>
    <w:rsid w:val="003B6F0E"/>
    <w:rsid w:val="003B72BB"/>
    <w:rsid w:val="003B736B"/>
    <w:rsid w:val="003B7467"/>
    <w:rsid w:val="003B7625"/>
    <w:rsid w:val="003B7D7F"/>
    <w:rsid w:val="003C0742"/>
    <w:rsid w:val="003C0B1C"/>
    <w:rsid w:val="003C0F37"/>
    <w:rsid w:val="003C1551"/>
    <w:rsid w:val="003C15B9"/>
    <w:rsid w:val="003C1CE9"/>
    <w:rsid w:val="003C1F8C"/>
    <w:rsid w:val="003C278C"/>
    <w:rsid w:val="003C304F"/>
    <w:rsid w:val="003C3085"/>
    <w:rsid w:val="003C3E6A"/>
    <w:rsid w:val="003C3EAC"/>
    <w:rsid w:val="003C41D6"/>
    <w:rsid w:val="003C424F"/>
    <w:rsid w:val="003C4657"/>
    <w:rsid w:val="003C4989"/>
    <w:rsid w:val="003C4FFB"/>
    <w:rsid w:val="003C58D7"/>
    <w:rsid w:val="003C6173"/>
    <w:rsid w:val="003C6D67"/>
    <w:rsid w:val="003C6DEA"/>
    <w:rsid w:val="003C7210"/>
    <w:rsid w:val="003C759A"/>
    <w:rsid w:val="003C75BF"/>
    <w:rsid w:val="003C7887"/>
    <w:rsid w:val="003C7EE1"/>
    <w:rsid w:val="003D04F6"/>
    <w:rsid w:val="003D0830"/>
    <w:rsid w:val="003D095E"/>
    <w:rsid w:val="003D0DF2"/>
    <w:rsid w:val="003D132C"/>
    <w:rsid w:val="003D1572"/>
    <w:rsid w:val="003D16A4"/>
    <w:rsid w:val="003D1DC2"/>
    <w:rsid w:val="003D21AF"/>
    <w:rsid w:val="003D235F"/>
    <w:rsid w:val="003D37B0"/>
    <w:rsid w:val="003D3821"/>
    <w:rsid w:val="003D39B7"/>
    <w:rsid w:val="003D3A55"/>
    <w:rsid w:val="003D4EB0"/>
    <w:rsid w:val="003D5005"/>
    <w:rsid w:val="003D560B"/>
    <w:rsid w:val="003D5AB1"/>
    <w:rsid w:val="003D5D63"/>
    <w:rsid w:val="003D642E"/>
    <w:rsid w:val="003D644B"/>
    <w:rsid w:val="003D6732"/>
    <w:rsid w:val="003D79DC"/>
    <w:rsid w:val="003D7E43"/>
    <w:rsid w:val="003D7EA8"/>
    <w:rsid w:val="003D7F0E"/>
    <w:rsid w:val="003D7F3E"/>
    <w:rsid w:val="003D7FFA"/>
    <w:rsid w:val="003E05CB"/>
    <w:rsid w:val="003E0858"/>
    <w:rsid w:val="003E0F26"/>
    <w:rsid w:val="003E148F"/>
    <w:rsid w:val="003E1A6B"/>
    <w:rsid w:val="003E26CF"/>
    <w:rsid w:val="003E26ED"/>
    <w:rsid w:val="003E2B26"/>
    <w:rsid w:val="003E2E6B"/>
    <w:rsid w:val="003E30AD"/>
    <w:rsid w:val="003E3617"/>
    <w:rsid w:val="003E37B2"/>
    <w:rsid w:val="003E3841"/>
    <w:rsid w:val="003E39DE"/>
    <w:rsid w:val="003E3C5C"/>
    <w:rsid w:val="003E3FEF"/>
    <w:rsid w:val="003E41A4"/>
    <w:rsid w:val="003E439A"/>
    <w:rsid w:val="003E47D2"/>
    <w:rsid w:val="003E4860"/>
    <w:rsid w:val="003E4933"/>
    <w:rsid w:val="003E4A7C"/>
    <w:rsid w:val="003E4D08"/>
    <w:rsid w:val="003E4D57"/>
    <w:rsid w:val="003E568A"/>
    <w:rsid w:val="003E60BC"/>
    <w:rsid w:val="003E6298"/>
    <w:rsid w:val="003E6906"/>
    <w:rsid w:val="003E6D82"/>
    <w:rsid w:val="003F0811"/>
    <w:rsid w:val="003F08D3"/>
    <w:rsid w:val="003F08E8"/>
    <w:rsid w:val="003F09F3"/>
    <w:rsid w:val="003F0AF7"/>
    <w:rsid w:val="003F0C90"/>
    <w:rsid w:val="003F1B69"/>
    <w:rsid w:val="003F20FA"/>
    <w:rsid w:val="003F22D7"/>
    <w:rsid w:val="003F2725"/>
    <w:rsid w:val="003F2937"/>
    <w:rsid w:val="003F2D13"/>
    <w:rsid w:val="003F359B"/>
    <w:rsid w:val="003F4319"/>
    <w:rsid w:val="003F45F2"/>
    <w:rsid w:val="003F4664"/>
    <w:rsid w:val="003F4AD0"/>
    <w:rsid w:val="003F5035"/>
    <w:rsid w:val="003F5673"/>
    <w:rsid w:val="003F5B6F"/>
    <w:rsid w:val="003F6658"/>
    <w:rsid w:val="003F6B1B"/>
    <w:rsid w:val="003F6DDB"/>
    <w:rsid w:val="003F6F54"/>
    <w:rsid w:val="003F78C3"/>
    <w:rsid w:val="003F7B37"/>
    <w:rsid w:val="003F7CFC"/>
    <w:rsid w:val="004002B1"/>
    <w:rsid w:val="00400731"/>
    <w:rsid w:val="00400799"/>
    <w:rsid w:val="00401614"/>
    <w:rsid w:val="00401BE3"/>
    <w:rsid w:val="00401C3D"/>
    <w:rsid w:val="00401CD8"/>
    <w:rsid w:val="00401D29"/>
    <w:rsid w:val="00401D56"/>
    <w:rsid w:val="00401E3B"/>
    <w:rsid w:val="00401EEE"/>
    <w:rsid w:val="00401FAB"/>
    <w:rsid w:val="004029C5"/>
    <w:rsid w:val="00402BBF"/>
    <w:rsid w:val="0040320E"/>
    <w:rsid w:val="004035AE"/>
    <w:rsid w:val="00403B9A"/>
    <w:rsid w:val="00403C33"/>
    <w:rsid w:val="00403DE1"/>
    <w:rsid w:val="004048A7"/>
    <w:rsid w:val="00404927"/>
    <w:rsid w:val="00404AB9"/>
    <w:rsid w:val="0040525C"/>
    <w:rsid w:val="00405270"/>
    <w:rsid w:val="0040576B"/>
    <w:rsid w:val="00405C0A"/>
    <w:rsid w:val="00405E64"/>
    <w:rsid w:val="004061F9"/>
    <w:rsid w:val="004066FC"/>
    <w:rsid w:val="0040679D"/>
    <w:rsid w:val="00406B79"/>
    <w:rsid w:val="00407079"/>
    <w:rsid w:val="004071D7"/>
    <w:rsid w:val="00407204"/>
    <w:rsid w:val="004072E4"/>
    <w:rsid w:val="00407551"/>
    <w:rsid w:val="0040768B"/>
    <w:rsid w:val="004079C3"/>
    <w:rsid w:val="00407B0F"/>
    <w:rsid w:val="00407B52"/>
    <w:rsid w:val="00407BDF"/>
    <w:rsid w:val="0041028C"/>
    <w:rsid w:val="00410307"/>
    <w:rsid w:val="0041163C"/>
    <w:rsid w:val="004117C3"/>
    <w:rsid w:val="004119B4"/>
    <w:rsid w:val="00411F1B"/>
    <w:rsid w:val="00412110"/>
    <w:rsid w:val="004123DC"/>
    <w:rsid w:val="00412AF0"/>
    <w:rsid w:val="0041325F"/>
    <w:rsid w:val="00413495"/>
    <w:rsid w:val="00413B28"/>
    <w:rsid w:val="00413BE0"/>
    <w:rsid w:val="0041417B"/>
    <w:rsid w:val="00414645"/>
    <w:rsid w:val="004149E7"/>
    <w:rsid w:val="00414C67"/>
    <w:rsid w:val="00414E7A"/>
    <w:rsid w:val="00415174"/>
    <w:rsid w:val="00415182"/>
    <w:rsid w:val="004153FD"/>
    <w:rsid w:val="00415458"/>
    <w:rsid w:val="0041570D"/>
    <w:rsid w:val="00415889"/>
    <w:rsid w:val="00415A1C"/>
    <w:rsid w:val="00415C38"/>
    <w:rsid w:val="004164DD"/>
    <w:rsid w:val="0041657F"/>
    <w:rsid w:val="0041662F"/>
    <w:rsid w:val="00416AE8"/>
    <w:rsid w:val="00417245"/>
    <w:rsid w:val="00417A9B"/>
    <w:rsid w:val="00420465"/>
    <w:rsid w:val="004204D7"/>
    <w:rsid w:val="00420754"/>
    <w:rsid w:val="004208A3"/>
    <w:rsid w:val="00420946"/>
    <w:rsid w:val="00420AA6"/>
    <w:rsid w:val="00420F18"/>
    <w:rsid w:val="0042140A"/>
    <w:rsid w:val="004215E6"/>
    <w:rsid w:val="00421716"/>
    <w:rsid w:val="0042190E"/>
    <w:rsid w:val="00421A9F"/>
    <w:rsid w:val="00421C36"/>
    <w:rsid w:val="00421D36"/>
    <w:rsid w:val="00421ED6"/>
    <w:rsid w:val="00421FDF"/>
    <w:rsid w:val="00422269"/>
    <w:rsid w:val="004229D5"/>
    <w:rsid w:val="00422A38"/>
    <w:rsid w:val="00422B92"/>
    <w:rsid w:val="00422CE2"/>
    <w:rsid w:val="00423669"/>
    <w:rsid w:val="00423701"/>
    <w:rsid w:val="0042371C"/>
    <w:rsid w:val="0042374E"/>
    <w:rsid w:val="00423B1E"/>
    <w:rsid w:val="0042420D"/>
    <w:rsid w:val="004247D7"/>
    <w:rsid w:val="00424FC2"/>
    <w:rsid w:val="00425705"/>
    <w:rsid w:val="004257B4"/>
    <w:rsid w:val="00426054"/>
    <w:rsid w:val="00426693"/>
    <w:rsid w:val="004271AE"/>
    <w:rsid w:val="00427370"/>
    <w:rsid w:val="00427799"/>
    <w:rsid w:val="00427A74"/>
    <w:rsid w:val="00427EF3"/>
    <w:rsid w:val="00427F95"/>
    <w:rsid w:val="00430224"/>
    <w:rsid w:val="004302BC"/>
    <w:rsid w:val="0043060F"/>
    <w:rsid w:val="00430AB7"/>
    <w:rsid w:val="004310C2"/>
    <w:rsid w:val="00431136"/>
    <w:rsid w:val="00432463"/>
    <w:rsid w:val="00432A3A"/>
    <w:rsid w:val="00432AFC"/>
    <w:rsid w:val="00432B79"/>
    <w:rsid w:val="004335BA"/>
    <w:rsid w:val="00435274"/>
    <w:rsid w:val="00435570"/>
    <w:rsid w:val="004359B3"/>
    <w:rsid w:val="00435D19"/>
    <w:rsid w:val="00435EB5"/>
    <w:rsid w:val="00435F18"/>
    <w:rsid w:val="004361C7"/>
    <w:rsid w:val="0043628C"/>
    <w:rsid w:val="00436BB2"/>
    <w:rsid w:val="00436D37"/>
    <w:rsid w:val="00436EB4"/>
    <w:rsid w:val="00437070"/>
    <w:rsid w:val="0043744F"/>
    <w:rsid w:val="004374E8"/>
    <w:rsid w:val="0043753C"/>
    <w:rsid w:val="00437A6E"/>
    <w:rsid w:val="00437C7D"/>
    <w:rsid w:val="00437CE5"/>
    <w:rsid w:val="00437EED"/>
    <w:rsid w:val="0044060E"/>
    <w:rsid w:val="00440A54"/>
    <w:rsid w:val="00440B16"/>
    <w:rsid w:val="00440EA5"/>
    <w:rsid w:val="0044113D"/>
    <w:rsid w:val="00441535"/>
    <w:rsid w:val="00441B42"/>
    <w:rsid w:val="00441E17"/>
    <w:rsid w:val="00442129"/>
    <w:rsid w:val="00442956"/>
    <w:rsid w:val="00442D67"/>
    <w:rsid w:val="00442ED1"/>
    <w:rsid w:val="00442EDC"/>
    <w:rsid w:val="00442F0E"/>
    <w:rsid w:val="004430B4"/>
    <w:rsid w:val="00443A2D"/>
    <w:rsid w:val="00443D9D"/>
    <w:rsid w:val="00443F45"/>
    <w:rsid w:val="0044410A"/>
    <w:rsid w:val="004441D9"/>
    <w:rsid w:val="00444919"/>
    <w:rsid w:val="00444ADE"/>
    <w:rsid w:val="00444C30"/>
    <w:rsid w:val="00444EF4"/>
    <w:rsid w:val="0044545A"/>
    <w:rsid w:val="00445793"/>
    <w:rsid w:val="00445875"/>
    <w:rsid w:val="00446BC6"/>
    <w:rsid w:val="00446CB8"/>
    <w:rsid w:val="004474B4"/>
    <w:rsid w:val="004504A1"/>
    <w:rsid w:val="00450624"/>
    <w:rsid w:val="004506E7"/>
    <w:rsid w:val="004509F0"/>
    <w:rsid w:val="004509FF"/>
    <w:rsid w:val="00450BDF"/>
    <w:rsid w:val="00450C97"/>
    <w:rsid w:val="0045126A"/>
    <w:rsid w:val="00451994"/>
    <w:rsid w:val="00451C40"/>
    <w:rsid w:val="00451C5A"/>
    <w:rsid w:val="0045216E"/>
    <w:rsid w:val="0045217B"/>
    <w:rsid w:val="004521D1"/>
    <w:rsid w:val="004530A8"/>
    <w:rsid w:val="00453172"/>
    <w:rsid w:val="004533CA"/>
    <w:rsid w:val="00453AB5"/>
    <w:rsid w:val="00453F2E"/>
    <w:rsid w:val="00454158"/>
    <w:rsid w:val="00454FEB"/>
    <w:rsid w:val="004554DD"/>
    <w:rsid w:val="00455ACD"/>
    <w:rsid w:val="00455C11"/>
    <w:rsid w:val="00455F1A"/>
    <w:rsid w:val="004565CF"/>
    <w:rsid w:val="004567F1"/>
    <w:rsid w:val="0045691F"/>
    <w:rsid w:val="00456A0C"/>
    <w:rsid w:val="00456E39"/>
    <w:rsid w:val="004576DA"/>
    <w:rsid w:val="004576F5"/>
    <w:rsid w:val="00457EA9"/>
    <w:rsid w:val="00457FC2"/>
    <w:rsid w:val="00460AE5"/>
    <w:rsid w:val="004617ED"/>
    <w:rsid w:val="00461A73"/>
    <w:rsid w:val="00461AEC"/>
    <w:rsid w:val="00461BB5"/>
    <w:rsid w:val="0046215A"/>
    <w:rsid w:val="0046218A"/>
    <w:rsid w:val="0046251F"/>
    <w:rsid w:val="00462793"/>
    <w:rsid w:val="004629C2"/>
    <w:rsid w:val="004629FB"/>
    <w:rsid w:val="00462CCF"/>
    <w:rsid w:val="00462D69"/>
    <w:rsid w:val="00462F04"/>
    <w:rsid w:val="004634EA"/>
    <w:rsid w:val="0046357C"/>
    <w:rsid w:val="00463B6E"/>
    <w:rsid w:val="00463E25"/>
    <w:rsid w:val="0046477E"/>
    <w:rsid w:val="00464AC3"/>
    <w:rsid w:val="00465174"/>
    <w:rsid w:val="0046573D"/>
    <w:rsid w:val="00465E70"/>
    <w:rsid w:val="00465E88"/>
    <w:rsid w:val="00466B4B"/>
    <w:rsid w:val="00466E20"/>
    <w:rsid w:val="00466F1B"/>
    <w:rsid w:val="00467059"/>
    <w:rsid w:val="0046712E"/>
    <w:rsid w:val="00467201"/>
    <w:rsid w:val="00467621"/>
    <w:rsid w:val="00467AE8"/>
    <w:rsid w:val="00467C4F"/>
    <w:rsid w:val="00467E08"/>
    <w:rsid w:val="00467F21"/>
    <w:rsid w:val="00470066"/>
    <w:rsid w:val="0047012C"/>
    <w:rsid w:val="0047012D"/>
    <w:rsid w:val="0047032F"/>
    <w:rsid w:val="004708C3"/>
    <w:rsid w:val="00471146"/>
    <w:rsid w:val="0047127B"/>
    <w:rsid w:val="004715F6"/>
    <w:rsid w:val="00471603"/>
    <w:rsid w:val="004718E8"/>
    <w:rsid w:val="0047191C"/>
    <w:rsid w:val="00471CAC"/>
    <w:rsid w:val="00471F27"/>
    <w:rsid w:val="00472543"/>
    <w:rsid w:val="00472783"/>
    <w:rsid w:val="00472924"/>
    <w:rsid w:val="00472BA8"/>
    <w:rsid w:val="00473B7E"/>
    <w:rsid w:val="00473E1F"/>
    <w:rsid w:val="004741A0"/>
    <w:rsid w:val="00474B48"/>
    <w:rsid w:val="004752D0"/>
    <w:rsid w:val="0047568E"/>
    <w:rsid w:val="00475E3C"/>
    <w:rsid w:val="004763E6"/>
    <w:rsid w:val="00476680"/>
    <w:rsid w:val="00476AC0"/>
    <w:rsid w:val="00476D0D"/>
    <w:rsid w:val="0047756B"/>
    <w:rsid w:val="0047785F"/>
    <w:rsid w:val="00477894"/>
    <w:rsid w:val="004779B2"/>
    <w:rsid w:val="00477A93"/>
    <w:rsid w:val="00477C36"/>
    <w:rsid w:val="00477C5D"/>
    <w:rsid w:val="00477CCF"/>
    <w:rsid w:val="00477D6E"/>
    <w:rsid w:val="00477DC9"/>
    <w:rsid w:val="00480359"/>
    <w:rsid w:val="0048052F"/>
    <w:rsid w:val="00480BFA"/>
    <w:rsid w:val="00480EE4"/>
    <w:rsid w:val="00480FA8"/>
    <w:rsid w:val="004810CD"/>
    <w:rsid w:val="00481BBF"/>
    <w:rsid w:val="00481E51"/>
    <w:rsid w:val="00482382"/>
    <w:rsid w:val="004824BB"/>
    <w:rsid w:val="00482539"/>
    <w:rsid w:val="00482E98"/>
    <w:rsid w:val="00483958"/>
    <w:rsid w:val="0048414D"/>
    <w:rsid w:val="004841D4"/>
    <w:rsid w:val="00484232"/>
    <w:rsid w:val="004842DA"/>
    <w:rsid w:val="0048447B"/>
    <w:rsid w:val="004846B3"/>
    <w:rsid w:val="00484EB7"/>
    <w:rsid w:val="004855DE"/>
    <w:rsid w:val="00485BA6"/>
    <w:rsid w:val="00485BF4"/>
    <w:rsid w:val="00485C87"/>
    <w:rsid w:val="00485D0B"/>
    <w:rsid w:val="00485EE2"/>
    <w:rsid w:val="00486384"/>
    <w:rsid w:val="00486553"/>
    <w:rsid w:val="00486D58"/>
    <w:rsid w:val="00486E06"/>
    <w:rsid w:val="00487150"/>
    <w:rsid w:val="004874A3"/>
    <w:rsid w:val="004874D8"/>
    <w:rsid w:val="00487A65"/>
    <w:rsid w:val="00487D43"/>
    <w:rsid w:val="00490349"/>
    <w:rsid w:val="00490421"/>
    <w:rsid w:val="0049057B"/>
    <w:rsid w:val="00490A55"/>
    <w:rsid w:val="00490D00"/>
    <w:rsid w:val="00490D5F"/>
    <w:rsid w:val="00490D64"/>
    <w:rsid w:val="00490F9A"/>
    <w:rsid w:val="0049118E"/>
    <w:rsid w:val="004913BE"/>
    <w:rsid w:val="004916C9"/>
    <w:rsid w:val="00491924"/>
    <w:rsid w:val="00491EEB"/>
    <w:rsid w:val="00491F89"/>
    <w:rsid w:val="004920CC"/>
    <w:rsid w:val="004923F7"/>
    <w:rsid w:val="004924BD"/>
    <w:rsid w:val="0049363D"/>
    <w:rsid w:val="00493C9E"/>
    <w:rsid w:val="00493F3B"/>
    <w:rsid w:val="0049482E"/>
    <w:rsid w:val="004948B3"/>
    <w:rsid w:val="00494A20"/>
    <w:rsid w:val="00495418"/>
    <w:rsid w:val="00495FD9"/>
    <w:rsid w:val="004965B3"/>
    <w:rsid w:val="004966C1"/>
    <w:rsid w:val="00496DB7"/>
    <w:rsid w:val="00497669"/>
    <w:rsid w:val="004978EE"/>
    <w:rsid w:val="00497920"/>
    <w:rsid w:val="004A018C"/>
    <w:rsid w:val="004A04DB"/>
    <w:rsid w:val="004A07AC"/>
    <w:rsid w:val="004A0E96"/>
    <w:rsid w:val="004A12D4"/>
    <w:rsid w:val="004A1D3F"/>
    <w:rsid w:val="004A22F4"/>
    <w:rsid w:val="004A273E"/>
    <w:rsid w:val="004A2E68"/>
    <w:rsid w:val="004A2E69"/>
    <w:rsid w:val="004A30A1"/>
    <w:rsid w:val="004A33AC"/>
    <w:rsid w:val="004A3689"/>
    <w:rsid w:val="004A49D1"/>
    <w:rsid w:val="004A5017"/>
    <w:rsid w:val="004A5124"/>
    <w:rsid w:val="004A515B"/>
    <w:rsid w:val="004A517F"/>
    <w:rsid w:val="004A5482"/>
    <w:rsid w:val="004A574C"/>
    <w:rsid w:val="004A5E10"/>
    <w:rsid w:val="004A5EE7"/>
    <w:rsid w:val="004A6706"/>
    <w:rsid w:val="004A6A71"/>
    <w:rsid w:val="004A6B29"/>
    <w:rsid w:val="004A6DD9"/>
    <w:rsid w:val="004A6E1D"/>
    <w:rsid w:val="004A7148"/>
    <w:rsid w:val="004A75E4"/>
    <w:rsid w:val="004B0132"/>
    <w:rsid w:val="004B027E"/>
    <w:rsid w:val="004B0611"/>
    <w:rsid w:val="004B07DC"/>
    <w:rsid w:val="004B0950"/>
    <w:rsid w:val="004B0B09"/>
    <w:rsid w:val="004B0B20"/>
    <w:rsid w:val="004B0C6D"/>
    <w:rsid w:val="004B0DCF"/>
    <w:rsid w:val="004B0FDA"/>
    <w:rsid w:val="004B12F0"/>
    <w:rsid w:val="004B1697"/>
    <w:rsid w:val="004B16E3"/>
    <w:rsid w:val="004B173A"/>
    <w:rsid w:val="004B1D16"/>
    <w:rsid w:val="004B2265"/>
    <w:rsid w:val="004B22DD"/>
    <w:rsid w:val="004B287F"/>
    <w:rsid w:val="004B31FF"/>
    <w:rsid w:val="004B32F1"/>
    <w:rsid w:val="004B344B"/>
    <w:rsid w:val="004B36D9"/>
    <w:rsid w:val="004B376D"/>
    <w:rsid w:val="004B3D63"/>
    <w:rsid w:val="004B3EE6"/>
    <w:rsid w:val="004B463A"/>
    <w:rsid w:val="004B52E1"/>
    <w:rsid w:val="004B5F8E"/>
    <w:rsid w:val="004B5FEE"/>
    <w:rsid w:val="004B6415"/>
    <w:rsid w:val="004B6A42"/>
    <w:rsid w:val="004B6C74"/>
    <w:rsid w:val="004B75DC"/>
    <w:rsid w:val="004B7717"/>
    <w:rsid w:val="004B77ED"/>
    <w:rsid w:val="004B7872"/>
    <w:rsid w:val="004B7CE8"/>
    <w:rsid w:val="004C0A97"/>
    <w:rsid w:val="004C0CC8"/>
    <w:rsid w:val="004C1194"/>
    <w:rsid w:val="004C1438"/>
    <w:rsid w:val="004C155C"/>
    <w:rsid w:val="004C17A6"/>
    <w:rsid w:val="004C1C35"/>
    <w:rsid w:val="004C27BD"/>
    <w:rsid w:val="004C2A24"/>
    <w:rsid w:val="004C2DD2"/>
    <w:rsid w:val="004C317C"/>
    <w:rsid w:val="004C349F"/>
    <w:rsid w:val="004C36D6"/>
    <w:rsid w:val="004C3893"/>
    <w:rsid w:val="004C3EC9"/>
    <w:rsid w:val="004C4075"/>
    <w:rsid w:val="004C4415"/>
    <w:rsid w:val="004C44C6"/>
    <w:rsid w:val="004C4609"/>
    <w:rsid w:val="004C4742"/>
    <w:rsid w:val="004C4933"/>
    <w:rsid w:val="004C52FE"/>
    <w:rsid w:val="004C5B2B"/>
    <w:rsid w:val="004C5BEA"/>
    <w:rsid w:val="004C60BD"/>
    <w:rsid w:val="004C6197"/>
    <w:rsid w:val="004C6280"/>
    <w:rsid w:val="004C705A"/>
    <w:rsid w:val="004C7229"/>
    <w:rsid w:val="004C74A4"/>
    <w:rsid w:val="004C7820"/>
    <w:rsid w:val="004C7CE2"/>
    <w:rsid w:val="004D003D"/>
    <w:rsid w:val="004D0044"/>
    <w:rsid w:val="004D01A5"/>
    <w:rsid w:val="004D0363"/>
    <w:rsid w:val="004D08F4"/>
    <w:rsid w:val="004D0AA7"/>
    <w:rsid w:val="004D0F20"/>
    <w:rsid w:val="004D13B5"/>
    <w:rsid w:val="004D13E7"/>
    <w:rsid w:val="004D1BE9"/>
    <w:rsid w:val="004D20BA"/>
    <w:rsid w:val="004D215C"/>
    <w:rsid w:val="004D242A"/>
    <w:rsid w:val="004D27EA"/>
    <w:rsid w:val="004D3559"/>
    <w:rsid w:val="004D38A3"/>
    <w:rsid w:val="004D3F8B"/>
    <w:rsid w:val="004D4A74"/>
    <w:rsid w:val="004D4AD8"/>
    <w:rsid w:val="004D4ADD"/>
    <w:rsid w:val="004D4E0A"/>
    <w:rsid w:val="004D4F17"/>
    <w:rsid w:val="004D59CE"/>
    <w:rsid w:val="004D5A88"/>
    <w:rsid w:val="004D5CF0"/>
    <w:rsid w:val="004D607D"/>
    <w:rsid w:val="004D62F2"/>
    <w:rsid w:val="004D686A"/>
    <w:rsid w:val="004D7565"/>
    <w:rsid w:val="004D7805"/>
    <w:rsid w:val="004E06A0"/>
    <w:rsid w:val="004E0A90"/>
    <w:rsid w:val="004E11F4"/>
    <w:rsid w:val="004E1464"/>
    <w:rsid w:val="004E1B62"/>
    <w:rsid w:val="004E205D"/>
    <w:rsid w:val="004E20B2"/>
    <w:rsid w:val="004E2E1C"/>
    <w:rsid w:val="004E30C2"/>
    <w:rsid w:val="004E30E4"/>
    <w:rsid w:val="004E3575"/>
    <w:rsid w:val="004E4167"/>
    <w:rsid w:val="004E42CA"/>
    <w:rsid w:val="004E4586"/>
    <w:rsid w:val="004E4ECE"/>
    <w:rsid w:val="004E525D"/>
    <w:rsid w:val="004E53F7"/>
    <w:rsid w:val="004E58F2"/>
    <w:rsid w:val="004E59EE"/>
    <w:rsid w:val="004E5EAE"/>
    <w:rsid w:val="004E601F"/>
    <w:rsid w:val="004E6B08"/>
    <w:rsid w:val="004E6CFA"/>
    <w:rsid w:val="004E6E8A"/>
    <w:rsid w:val="004E7075"/>
    <w:rsid w:val="004E70D8"/>
    <w:rsid w:val="004E72C2"/>
    <w:rsid w:val="004E7337"/>
    <w:rsid w:val="004E7768"/>
    <w:rsid w:val="004E7793"/>
    <w:rsid w:val="004E77CE"/>
    <w:rsid w:val="004E7F5A"/>
    <w:rsid w:val="004F01BF"/>
    <w:rsid w:val="004F03E8"/>
    <w:rsid w:val="004F099A"/>
    <w:rsid w:val="004F09B3"/>
    <w:rsid w:val="004F0AA0"/>
    <w:rsid w:val="004F103F"/>
    <w:rsid w:val="004F1059"/>
    <w:rsid w:val="004F1839"/>
    <w:rsid w:val="004F19D2"/>
    <w:rsid w:val="004F1A97"/>
    <w:rsid w:val="004F1D61"/>
    <w:rsid w:val="004F1E21"/>
    <w:rsid w:val="004F1ED6"/>
    <w:rsid w:val="004F1F7B"/>
    <w:rsid w:val="004F228A"/>
    <w:rsid w:val="004F22E9"/>
    <w:rsid w:val="004F24B0"/>
    <w:rsid w:val="004F2739"/>
    <w:rsid w:val="004F28E7"/>
    <w:rsid w:val="004F2DCA"/>
    <w:rsid w:val="004F32A6"/>
    <w:rsid w:val="004F3476"/>
    <w:rsid w:val="004F3D20"/>
    <w:rsid w:val="004F4325"/>
    <w:rsid w:val="004F4426"/>
    <w:rsid w:val="004F4461"/>
    <w:rsid w:val="004F460E"/>
    <w:rsid w:val="004F4692"/>
    <w:rsid w:val="004F4BB9"/>
    <w:rsid w:val="004F4BCA"/>
    <w:rsid w:val="004F5601"/>
    <w:rsid w:val="004F5D22"/>
    <w:rsid w:val="004F63B9"/>
    <w:rsid w:val="004F6F2C"/>
    <w:rsid w:val="004F7506"/>
    <w:rsid w:val="004F762E"/>
    <w:rsid w:val="004F7785"/>
    <w:rsid w:val="004F79C5"/>
    <w:rsid w:val="004F7E8C"/>
    <w:rsid w:val="00500015"/>
    <w:rsid w:val="005004BC"/>
    <w:rsid w:val="00500731"/>
    <w:rsid w:val="00500AA8"/>
    <w:rsid w:val="0050100A"/>
    <w:rsid w:val="0050111B"/>
    <w:rsid w:val="0050147E"/>
    <w:rsid w:val="005020CB"/>
    <w:rsid w:val="00502A55"/>
    <w:rsid w:val="00502CFF"/>
    <w:rsid w:val="00503717"/>
    <w:rsid w:val="005038DB"/>
    <w:rsid w:val="00503BD4"/>
    <w:rsid w:val="00504431"/>
    <w:rsid w:val="00505034"/>
    <w:rsid w:val="00505676"/>
    <w:rsid w:val="005056EA"/>
    <w:rsid w:val="0050574E"/>
    <w:rsid w:val="00506D26"/>
    <w:rsid w:val="00507656"/>
    <w:rsid w:val="00507B19"/>
    <w:rsid w:val="00507C25"/>
    <w:rsid w:val="00507CD6"/>
    <w:rsid w:val="00507FA9"/>
    <w:rsid w:val="00510126"/>
    <w:rsid w:val="00510345"/>
    <w:rsid w:val="0051060F"/>
    <w:rsid w:val="0051064D"/>
    <w:rsid w:val="0051093E"/>
    <w:rsid w:val="00510ABD"/>
    <w:rsid w:val="00510D12"/>
    <w:rsid w:val="00511253"/>
    <w:rsid w:val="005113D0"/>
    <w:rsid w:val="00511A39"/>
    <w:rsid w:val="00511BAD"/>
    <w:rsid w:val="00511D9E"/>
    <w:rsid w:val="00512862"/>
    <w:rsid w:val="00512BF0"/>
    <w:rsid w:val="00512F23"/>
    <w:rsid w:val="005132E4"/>
    <w:rsid w:val="005140E8"/>
    <w:rsid w:val="005142CF"/>
    <w:rsid w:val="005145A9"/>
    <w:rsid w:val="005147A0"/>
    <w:rsid w:val="0051543B"/>
    <w:rsid w:val="0051676F"/>
    <w:rsid w:val="00516E41"/>
    <w:rsid w:val="00517090"/>
    <w:rsid w:val="00517A78"/>
    <w:rsid w:val="005201F1"/>
    <w:rsid w:val="0052035E"/>
    <w:rsid w:val="00522480"/>
    <w:rsid w:val="005228AC"/>
    <w:rsid w:val="00522A41"/>
    <w:rsid w:val="00522EA4"/>
    <w:rsid w:val="00523F9C"/>
    <w:rsid w:val="005244D9"/>
    <w:rsid w:val="005245DF"/>
    <w:rsid w:val="005255F3"/>
    <w:rsid w:val="0052562F"/>
    <w:rsid w:val="00525B67"/>
    <w:rsid w:val="00526292"/>
    <w:rsid w:val="005263DF"/>
    <w:rsid w:val="005264A7"/>
    <w:rsid w:val="00527249"/>
    <w:rsid w:val="00527B73"/>
    <w:rsid w:val="00527CA8"/>
    <w:rsid w:val="00530E0B"/>
    <w:rsid w:val="005312F9"/>
    <w:rsid w:val="0053135F"/>
    <w:rsid w:val="005315F9"/>
    <w:rsid w:val="00531E7A"/>
    <w:rsid w:val="00532936"/>
    <w:rsid w:val="00532B5C"/>
    <w:rsid w:val="00532D7A"/>
    <w:rsid w:val="00532FB1"/>
    <w:rsid w:val="00533922"/>
    <w:rsid w:val="005341EE"/>
    <w:rsid w:val="005342FB"/>
    <w:rsid w:val="005343DB"/>
    <w:rsid w:val="005346A4"/>
    <w:rsid w:val="00534893"/>
    <w:rsid w:val="00534A26"/>
    <w:rsid w:val="00534D4F"/>
    <w:rsid w:val="00534E59"/>
    <w:rsid w:val="00535362"/>
    <w:rsid w:val="00536382"/>
    <w:rsid w:val="00536CE9"/>
    <w:rsid w:val="00536E44"/>
    <w:rsid w:val="00536E81"/>
    <w:rsid w:val="00536EAF"/>
    <w:rsid w:val="00540129"/>
    <w:rsid w:val="00540515"/>
    <w:rsid w:val="00540522"/>
    <w:rsid w:val="0054080A"/>
    <w:rsid w:val="00540987"/>
    <w:rsid w:val="00540A1F"/>
    <w:rsid w:val="00541199"/>
    <w:rsid w:val="00541913"/>
    <w:rsid w:val="00541A01"/>
    <w:rsid w:val="00541C7E"/>
    <w:rsid w:val="005423E8"/>
    <w:rsid w:val="00542A98"/>
    <w:rsid w:val="00543473"/>
    <w:rsid w:val="00543ACD"/>
    <w:rsid w:val="00543CFA"/>
    <w:rsid w:val="00543FB9"/>
    <w:rsid w:val="0054418D"/>
    <w:rsid w:val="005447EB"/>
    <w:rsid w:val="00544A05"/>
    <w:rsid w:val="00544A19"/>
    <w:rsid w:val="00544CB7"/>
    <w:rsid w:val="0054503F"/>
    <w:rsid w:val="0054509B"/>
    <w:rsid w:val="0054517F"/>
    <w:rsid w:val="00545581"/>
    <w:rsid w:val="00545CC4"/>
    <w:rsid w:val="00545D72"/>
    <w:rsid w:val="00545E4C"/>
    <w:rsid w:val="0054624C"/>
    <w:rsid w:val="005466D7"/>
    <w:rsid w:val="0054671A"/>
    <w:rsid w:val="00546856"/>
    <w:rsid w:val="00546A62"/>
    <w:rsid w:val="00546BAE"/>
    <w:rsid w:val="00546D54"/>
    <w:rsid w:val="0054731D"/>
    <w:rsid w:val="005474B5"/>
    <w:rsid w:val="00547899"/>
    <w:rsid w:val="00547C86"/>
    <w:rsid w:val="00547DF8"/>
    <w:rsid w:val="00550163"/>
    <w:rsid w:val="005505B9"/>
    <w:rsid w:val="005508C6"/>
    <w:rsid w:val="00550CA7"/>
    <w:rsid w:val="00550FCE"/>
    <w:rsid w:val="005516C9"/>
    <w:rsid w:val="00551952"/>
    <w:rsid w:val="00551A04"/>
    <w:rsid w:val="00551FE5"/>
    <w:rsid w:val="00552387"/>
    <w:rsid w:val="00552487"/>
    <w:rsid w:val="00552592"/>
    <w:rsid w:val="00552A43"/>
    <w:rsid w:val="00552EEB"/>
    <w:rsid w:val="00553810"/>
    <w:rsid w:val="00553829"/>
    <w:rsid w:val="005538FA"/>
    <w:rsid w:val="00553A7E"/>
    <w:rsid w:val="005545A3"/>
    <w:rsid w:val="00554B2F"/>
    <w:rsid w:val="00555203"/>
    <w:rsid w:val="0055537E"/>
    <w:rsid w:val="0055548D"/>
    <w:rsid w:val="00555542"/>
    <w:rsid w:val="00555C48"/>
    <w:rsid w:val="00555D6D"/>
    <w:rsid w:val="005561BD"/>
    <w:rsid w:val="005563A5"/>
    <w:rsid w:val="005568D0"/>
    <w:rsid w:val="00556E1F"/>
    <w:rsid w:val="005571ED"/>
    <w:rsid w:val="0055730A"/>
    <w:rsid w:val="005573CA"/>
    <w:rsid w:val="00557B0E"/>
    <w:rsid w:val="005604A6"/>
    <w:rsid w:val="005604B8"/>
    <w:rsid w:val="005604E8"/>
    <w:rsid w:val="00560CC1"/>
    <w:rsid w:val="0056112F"/>
    <w:rsid w:val="0056126C"/>
    <w:rsid w:val="0056127A"/>
    <w:rsid w:val="005614C1"/>
    <w:rsid w:val="0056200D"/>
    <w:rsid w:val="005623CE"/>
    <w:rsid w:val="005631E0"/>
    <w:rsid w:val="00563230"/>
    <w:rsid w:val="00563267"/>
    <w:rsid w:val="005634EE"/>
    <w:rsid w:val="0056355B"/>
    <w:rsid w:val="005635F1"/>
    <w:rsid w:val="005646D1"/>
    <w:rsid w:val="00564CED"/>
    <w:rsid w:val="005650B9"/>
    <w:rsid w:val="00565E59"/>
    <w:rsid w:val="00565EBC"/>
    <w:rsid w:val="00566267"/>
    <w:rsid w:val="0056628A"/>
    <w:rsid w:val="005662F4"/>
    <w:rsid w:val="00566566"/>
    <w:rsid w:val="00566696"/>
    <w:rsid w:val="00566E90"/>
    <w:rsid w:val="00566FAF"/>
    <w:rsid w:val="005670E2"/>
    <w:rsid w:val="0056735A"/>
    <w:rsid w:val="0056783F"/>
    <w:rsid w:val="005704AB"/>
    <w:rsid w:val="0057078F"/>
    <w:rsid w:val="005708AA"/>
    <w:rsid w:val="005708AD"/>
    <w:rsid w:val="005709B5"/>
    <w:rsid w:val="00570A9E"/>
    <w:rsid w:val="00570D58"/>
    <w:rsid w:val="005711E2"/>
    <w:rsid w:val="0057124B"/>
    <w:rsid w:val="005714B2"/>
    <w:rsid w:val="00571632"/>
    <w:rsid w:val="00571662"/>
    <w:rsid w:val="00571C19"/>
    <w:rsid w:val="00571C1E"/>
    <w:rsid w:val="005721EA"/>
    <w:rsid w:val="0057327E"/>
    <w:rsid w:val="00573396"/>
    <w:rsid w:val="00573B96"/>
    <w:rsid w:val="0057404A"/>
    <w:rsid w:val="00574242"/>
    <w:rsid w:val="00574353"/>
    <w:rsid w:val="005746A2"/>
    <w:rsid w:val="0057471E"/>
    <w:rsid w:val="00574DE8"/>
    <w:rsid w:val="005753E5"/>
    <w:rsid w:val="0057592F"/>
    <w:rsid w:val="00576132"/>
    <w:rsid w:val="00576557"/>
    <w:rsid w:val="00577024"/>
    <w:rsid w:val="0057739D"/>
    <w:rsid w:val="0057796F"/>
    <w:rsid w:val="00577A8E"/>
    <w:rsid w:val="005807BA"/>
    <w:rsid w:val="00580CE9"/>
    <w:rsid w:val="0058124A"/>
    <w:rsid w:val="0058132D"/>
    <w:rsid w:val="00581772"/>
    <w:rsid w:val="005830DE"/>
    <w:rsid w:val="00583234"/>
    <w:rsid w:val="00583DA8"/>
    <w:rsid w:val="005845FD"/>
    <w:rsid w:val="00584CDC"/>
    <w:rsid w:val="00585CDB"/>
    <w:rsid w:val="00585D6D"/>
    <w:rsid w:val="00585F9F"/>
    <w:rsid w:val="005863E9"/>
    <w:rsid w:val="0058650E"/>
    <w:rsid w:val="005867D6"/>
    <w:rsid w:val="00586962"/>
    <w:rsid w:val="00586A6A"/>
    <w:rsid w:val="00586DB2"/>
    <w:rsid w:val="0058735E"/>
    <w:rsid w:val="005874FB"/>
    <w:rsid w:val="0058765E"/>
    <w:rsid w:val="00587CA4"/>
    <w:rsid w:val="00587E09"/>
    <w:rsid w:val="00587EBE"/>
    <w:rsid w:val="005901D4"/>
    <w:rsid w:val="00590201"/>
    <w:rsid w:val="00590707"/>
    <w:rsid w:val="00590A2E"/>
    <w:rsid w:val="00590C5D"/>
    <w:rsid w:val="00590CD5"/>
    <w:rsid w:val="005911A1"/>
    <w:rsid w:val="005917A8"/>
    <w:rsid w:val="00591F02"/>
    <w:rsid w:val="0059232C"/>
    <w:rsid w:val="00592628"/>
    <w:rsid w:val="00592D01"/>
    <w:rsid w:val="005930BC"/>
    <w:rsid w:val="005932E5"/>
    <w:rsid w:val="00593350"/>
    <w:rsid w:val="0059369D"/>
    <w:rsid w:val="00593A8E"/>
    <w:rsid w:val="00593C81"/>
    <w:rsid w:val="00593DE5"/>
    <w:rsid w:val="00593F42"/>
    <w:rsid w:val="00594118"/>
    <w:rsid w:val="00594857"/>
    <w:rsid w:val="00594CA5"/>
    <w:rsid w:val="005958A8"/>
    <w:rsid w:val="00595B35"/>
    <w:rsid w:val="005961BD"/>
    <w:rsid w:val="00596399"/>
    <w:rsid w:val="00596718"/>
    <w:rsid w:val="00596826"/>
    <w:rsid w:val="00596958"/>
    <w:rsid w:val="00596A60"/>
    <w:rsid w:val="00596BD3"/>
    <w:rsid w:val="005970DE"/>
    <w:rsid w:val="00597978"/>
    <w:rsid w:val="00597A2D"/>
    <w:rsid w:val="005A04B9"/>
    <w:rsid w:val="005A08FE"/>
    <w:rsid w:val="005A0B0D"/>
    <w:rsid w:val="005A1540"/>
    <w:rsid w:val="005A1911"/>
    <w:rsid w:val="005A1A8A"/>
    <w:rsid w:val="005A21EB"/>
    <w:rsid w:val="005A2354"/>
    <w:rsid w:val="005A267E"/>
    <w:rsid w:val="005A296C"/>
    <w:rsid w:val="005A3063"/>
    <w:rsid w:val="005A392D"/>
    <w:rsid w:val="005A3B55"/>
    <w:rsid w:val="005A3B72"/>
    <w:rsid w:val="005A3F20"/>
    <w:rsid w:val="005A41F0"/>
    <w:rsid w:val="005A4202"/>
    <w:rsid w:val="005A42ED"/>
    <w:rsid w:val="005A491A"/>
    <w:rsid w:val="005A5798"/>
    <w:rsid w:val="005A5940"/>
    <w:rsid w:val="005A598C"/>
    <w:rsid w:val="005A5998"/>
    <w:rsid w:val="005A5F32"/>
    <w:rsid w:val="005A6356"/>
    <w:rsid w:val="005A6493"/>
    <w:rsid w:val="005A64D4"/>
    <w:rsid w:val="005A6B13"/>
    <w:rsid w:val="005A6D9C"/>
    <w:rsid w:val="005A7722"/>
    <w:rsid w:val="005A7A82"/>
    <w:rsid w:val="005A7F59"/>
    <w:rsid w:val="005B012E"/>
    <w:rsid w:val="005B01DD"/>
    <w:rsid w:val="005B0283"/>
    <w:rsid w:val="005B0506"/>
    <w:rsid w:val="005B0DC7"/>
    <w:rsid w:val="005B0F50"/>
    <w:rsid w:val="005B0FE8"/>
    <w:rsid w:val="005B11DD"/>
    <w:rsid w:val="005B19F2"/>
    <w:rsid w:val="005B1A1E"/>
    <w:rsid w:val="005B1C58"/>
    <w:rsid w:val="005B1D91"/>
    <w:rsid w:val="005B2678"/>
    <w:rsid w:val="005B2C78"/>
    <w:rsid w:val="005B35FB"/>
    <w:rsid w:val="005B36DB"/>
    <w:rsid w:val="005B3792"/>
    <w:rsid w:val="005B37E4"/>
    <w:rsid w:val="005B3F58"/>
    <w:rsid w:val="005B414A"/>
    <w:rsid w:val="005B4153"/>
    <w:rsid w:val="005B4303"/>
    <w:rsid w:val="005B4611"/>
    <w:rsid w:val="005B4D0C"/>
    <w:rsid w:val="005B5483"/>
    <w:rsid w:val="005B5904"/>
    <w:rsid w:val="005B59E6"/>
    <w:rsid w:val="005B5AA3"/>
    <w:rsid w:val="005B5B54"/>
    <w:rsid w:val="005B5D55"/>
    <w:rsid w:val="005B6B0F"/>
    <w:rsid w:val="005B6EE0"/>
    <w:rsid w:val="005B73C1"/>
    <w:rsid w:val="005B7509"/>
    <w:rsid w:val="005B752C"/>
    <w:rsid w:val="005C014C"/>
    <w:rsid w:val="005C037F"/>
    <w:rsid w:val="005C04B5"/>
    <w:rsid w:val="005C065C"/>
    <w:rsid w:val="005C0CFF"/>
    <w:rsid w:val="005C0ECE"/>
    <w:rsid w:val="005C1258"/>
    <w:rsid w:val="005C1694"/>
    <w:rsid w:val="005C1859"/>
    <w:rsid w:val="005C189F"/>
    <w:rsid w:val="005C19AF"/>
    <w:rsid w:val="005C1C2E"/>
    <w:rsid w:val="005C240B"/>
    <w:rsid w:val="005C2775"/>
    <w:rsid w:val="005C2CB3"/>
    <w:rsid w:val="005C35A3"/>
    <w:rsid w:val="005C35CF"/>
    <w:rsid w:val="005C39C0"/>
    <w:rsid w:val="005C3C80"/>
    <w:rsid w:val="005C3F62"/>
    <w:rsid w:val="005C3F79"/>
    <w:rsid w:val="005C417E"/>
    <w:rsid w:val="005C4200"/>
    <w:rsid w:val="005C42A5"/>
    <w:rsid w:val="005C4BB1"/>
    <w:rsid w:val="005C4C76"/>
    <w:rsid w:val="005C4CBD"/>
    <w:rsid w:val="005C4DA4"/>
    <w:rsid w:val="005C4FED"/>
    <w:rsid w:val="005C522B"/>
    <w:rsid w:val="005C52B9"/>
    <w:rsid w:val="005C5663"/>
    <w:rsid w:val="005C5799"/>
    <w:rsid w:val="005C59BA"/>
    <w:rsid w:val="005C6160"/>
    <w:rsid w:val="005C6367"/>
    <w:rsid w:val="005C6BAB"/>
    <w:rsid w:val="005C6D58"/>
    <w:rsid w:val="005C7670"/>
    <w:rsid w:val="005C7D50"/>
    <w:rsid w:val="005C7E11"/>
    <w:rsid w:val="005C7F78"/>
    <w:rsid w:val="005D00C0"/>
    <w:rsid w:val="005D086C"/>
    <w:rsid w:val="005D0B7D"/>
    <w:rsid w:val="005D0B9F"/>
    <w:rsid w:val="005D13BE"/>
    <w:rsid w:val="005D1724"/>
    <w:rsid w:val="005D1B64"/>
    <w:rsid w:val="005D1C86"/>
    <w:rsid w:val="005D1E53"/>
    <w:rsid w:val="005D21C0"/>
    <w:rsid w:val="005D3666"/>
    <w:rsid w:val="005D3A29"/>
    <w:rsid w:val="005D40DC"/>
    <w:rsid w:val="005D49A4"/>
    <w:rsid w:val="005D50BB"/>
    <w:rsid w:val="005D5187"/>
    <w:rsid w:val="005D518B"/>
    <w:rsid w:val="005D57A4"/>
    <w:rsid w:val="005D5A63"/>
    <w:rsid w:val="005D5C2D"/>
    <w:rsid w:val="005D5EAE"/>
    <w:rsid w:val="005D664C"/>
    <w:rsid w:val="005D694F"/>
    <w:rsid w:val="005D696F"/>
    <w:rsid w:val="005D6E0A"/>
    <w:rsid w:val="005D704B"/>
    <w:rsid w:val="005D70ED"/>
    <w:rsid w:val="005D74EE"/>
    <w:rsid w:val="005D7B06"/>
    <w:rsid w:val="005D7EF3"/>
    <w:rsid w:val="005E0480"/>
    <w:rsid w:val="005E0644"/>
    <w:rsid w:val="005E0A52"/>
    <w:rsid w:val="005E0A90"/>
    <w:rsid w:val="005E0EDB"/>
    <w:rsid w:val="005E0FCB"/>
    <w:rsid w:val="005E13C5"/>
    <w:rsid w:val="005E17CE"/>
    <w:rsid w:val="005E188F"/>
    <w:rsid w:val="005E1B4E"/>
    <w:rsid w:val="005E24D5"/>
    <w:rsid w:val="005E24E7"/>
    <w:rsid w:val="005E2623"/>
    <w:rsid w:val="005E2BEA"/>
    <w:rsid w:val="005E2EFA"/>
    <w:rsid w:val="005E3508"/>
    <w:rsid w:val="005E3680"/>
    <w:rsid w:val="005E3930"/>
    <w:rsid w:val="005E3A16"/>
    <w:rsid w:val="005E4144"/>
    <w:rsid w:val="005E438F"/>
    <w:rsid w:val="005E454F"/>
    <w:rsid w:val="005E4866"/>
    <w:rsid w:val="005E4BA4"/>
    <w:rsid w:val="005E5118"/>
    <w:rsid w:val="005E5149"/>
    <w:rsid w:val="005E5192"/>
    <w:rsid w:val="005E62DF"/>
    <w:rsid w:val="005E6A21"/>
    <w:rsid w:val="005E6C6D"/>
    <w:rsid w:val="005E6DAD"/>
    <w:rsid w:val="005E732F"/>
    <w:rsid w:val="005E74D7"/>
    <w:rsid w:val="005E758C"/>
    <w:rsid w:val="005E79C6"/>
    <w:rsid w:val="005F0031"/>
    <w:rsid w:val="005F02F0"/>
    <w:rsid w:val="005F0454"/>
    <w:rsid w:val="005F0693"/>
    <w:rsid w:val="005F081C"/>
    <w:rsid w:val="005F0A5B"/>
    <w:rsid w:val="005F0C2C"/>
    <w:rsid w:val="005F0D3B"/>
    <w:rsid w:val="005F1101"/>
    <w:rsid w:val="005F1237"/>
    <w:rsid w:val="005F1A8E"/>
    <w:rsid w:val="005F1B34"/>
    <w:rsid w:val="005F2E64"/>
    <w:rsid w:val="005F2EF7"/>
    <w:rsid w:val="005F309B"/>
    <w:rsid w:val="005F34A8"/>
    <w:rsid w:val="005F39FE"/>
    <w:rsid w:val="005F3A0E"/>
    <w:rsid w:val="005F3BA5"/>
    <w:rsid w:val="005F3CDC"/>
    <w:rsid w:val="005F3E1E"/>
    <w:rsid w:val="005F4497"/>
    <w:rsid w:val="005F453B"/>
    <w:rsid w:val="005F4A72"/>
    <w:rsid w:val="005F4CBF"/>
    <w:rsid w:val="005F505A"/>
    <w:rsid w:val="005F572A"/>
    <w:rsid w:val="005F5CCB"/>
    <w:rsid w:val="005F5F24"/>
    <w:rsid w:val="005F63F2"/>
    <w:rsid w:val="005F641C"/>
    <w:rsid w:val="005F6436"/>
    <w:rsid w:val="005F6568"/>
    <w:rsid w:val="005F6BEF"/>
    <w:rsid w:val="005F6C43"/>
    <w:rsid w:val="005F6E1A"/>
    <w:rsid w:val="005F711B"/>
    <w:rsid w:val="005F720D"/>
    <w:rsid w:val="005F73AB"/>
    <w:rsid w:val="005F784F"/>
    <w:rsid w:val="005F7AF1"/>
    <w:rsid w:val="005F7E54"/>
    <w:rsid w:val="005F7F62"/>
    <w:rsid w:val="005F7FCE"/>
    <w:rsid w:val="00600604"/>
    <w:rsid w:val="00600993"/>
    <w:rsid w:val="00600D24"/>
    <w:rsid w:val="00600E12"/>
    <w:rsid w:val="00601311"/>
    <w:rsid w:val="0060177C"/>
    <w:rsid w:val="006017F9"/>
    <w:rsid w:val="00601BCE"/>
    <w:rsid w:val="006024F7"/>
    <w:rsid w:val="00602C94"/>
    <w:rsid w:val="00603048"/>
    <w:rsid w:val="006030FD"/>
    <w:rsid w:val="00603116"/>
    <w:rsid w:val="00603278"/>
    <w:rsid w:val="0060380C"/>
    <w:rsid w:val="006040A0"/>
    <w:rsid w:val="006042D8"/>
    <w:rsid w:val="00604442"/>
    <w:rsid w:val="00604B5E"/>
    <w:rsid w:val="00604D3F"/>
    <w:rsid w:val="00605107"/>
    <w:rsid w:val="006058FA"/>
    <w:rsid w:val="00605B19"/>
    <w:rsid w:val="00605B9F"/>
    <w:rsid w:val="00605EF3"/>
    <w:rsid w:val="00606309"/>
    <w:rsid w:val="0060671F"/>
    <w:rsid w:val="006069DA"/>
    <w:rsid w:val="00606BEC"/>
    <w:rsid w:val="00606D2D"/>
    <w:rsid w:val="00607721"/>
    <w:rsid w:val="0060787B"/>
    <w:rsid w:val="006100DA"/>
    <w:rsid w:val="006105D3"/>
    <w:rsid w:val="006105D6"/>
    <w:rsid w:val="00610C3B"/>
    <w:rsid w:val="00610F5E"/>
    <w:rsid w:val="006117E3"/>
    <w:rsid w:val="0061190D"/>
    <w:rsid w:val="0061279E"/>
    <w:rsid w:val="00612825"/>
    <w:rsid w:val="00612978"/>
    <w:rsid w:val="00612FC2"/>
    <w:rsid w:val="00613210"/>
    <w:rsid w:val="006133A7"/>
    <w:rsid w:val="0061357D"/>
    <w:rsid w:val="006137AC"/>
    <w:rsid w:val="00613D84"/>
    <w:rsid w:val="006149BB"/>
    <w:rsid w:val="00614AE1"/>
    <w:rsid w:val="00615012"/>
    <w:rsid w:val="00615255"/>
    <w:rsid w:val="00615542"/>
    <w:rsid w:val="00615796"/>
    <w:rsid w:val="006158A7"/>
    <w:rsid w:val="0061590B"/>
    <w:rsid w:val="00615D1B"/>
    <w:rsid w:val="006160C7"/>
    <w:rsid w:val="006163AC"/>
    <w:rsid w:val="00616A26"/>
    <w:rsid w:val="00616B9B"/>
    <w:rsid w:val="00616C00"/>
    <w:rsid w:val="00616DB8"/>
    <w:rsid w:val="00616E46"/>
    <w:rsid w:val="00616E83"/>
    <w:rsid w:val="00617A23"/>
    <w:rsid w:val="00617A8A"/>
    <w:rsid w:val="00617BDF"/>
    <w:rsid w:val="00617DCB"/>
    <w:rsid w:val="00620C5E"/>
    <w:rsid w:val="00620E13"/>
    <w:rsid w:val="006212BA"/>
    <w:rsid w:val="006214E2"/>
    <w:rsid w:val="00621C61"/>
    <w:rsid w:val="00621ED0"/>
    <w:rsid w:val="00622159"/>
    <w:rsid w:val="0062221F"/>
    <w:rsid w:val="0062254F"/>
    <w:rsid w:val="0062268A"/>
    <w:rsid w:val="00622C97"/>
    <w:rsid w:val="00623357"/>
    <w:rsid w:val="006233D0"/>
    <w:rsid w:val="00623681"/>
    <w:rsid w:val="00623CA6"/>
    <w:rsid w:val="00624144"/>
    <w:rsid w:val="00624ACF"/>
    <w:rsid w:val="00624B42"/>
    <w:rsid w:val="00624CA6"/>
    <w:rsid w:val="00625C1A"/>
    <w:rsid w:val="00625E6C"/>
    <w:rsid w:val="006261D0"/>
    <w:rsid w:val="006264D8"/>
    <w:rsid w:val="00626783"/>
    <w:rsid w:val="00627633"/>
    <w:rsid w:val="0062792E"/>
    <w:rsid w:val="00627A41"/>
    <w:rsid w:val="00627AEF"/>
    <w:rsid w:val="00630434"/>
    <w:rsid w:val="00630B33"/>
    <w:rsid w:val="00630C6B"/>
    <w:rsid w:val="00630CA6"/>
    <w:rsid w:val="00630E1A"/>
    <w:rsid w:val="00630EE8"/>
    <w:rsid w:val="0063107F"/>
    <w:rsid w:val="00631823"/>
    <w:rsid w:val="0063185E"/>
    <w:rsid w:val="00632009"/>
    <w:rsid w:val="00632211"/>
    <w:rsid w:val="00632538"/>
    <w:rsid w:val="00632672"/>
    <w:rsid w:val="0063270F"/>
    <w:rsid w:val="006329B5"/>
    <w:rsid w:val="00633601"/>
    <w:rsid w:val="00633648"/>
    <w:rsid w:val="00633D90"/>
    <w:rsid w:val="006352E8"/>
    <w:rsid w:val="006356E5"/>
    <w:rsid w:val="006359CA"/>
    <w:rsid w:val="00635B94"/>
    <w:rsid w:val="00635B98"/>
    <w:rsid w:val="00636498"/>
    <w:rsid w:val="006365A0"/>
    <w:rsid w:val="00636669"/>
    <w:rsid w:val="00637054"/>
    <w:rsid w:val="00637280"/>
    <w:rsid w:val="006374FD"/>
    <w:rsid w:val="00637505"/>
    <w:rsid w:val="0063753C"/>
    <w:rsid w:val="00637B1E"/>
    <w:rsid w:val="00637B9B"/>
    <w:rsid w:val="00637FAE"/>
    <w:rsid w:val="006400DB"/>
    <w:rsid w:val="00640422"/>
    <w:rsid w:val="006408CD"/>
    <w:rsid w:val="006413F4"/>
    <w:rsid w:val="00641B70"/>
    <w:rsid w:val="00641D29"/>
    <w:rsid w:val="006427DC"/>
    <w:rsid w:val="00642921"/>
    <w:rsid w:val="00642B1D"/>
    <w:rsid w:val="00642EE2"/>
    <w:rsid w:val="00643624"/>
    <w:rsid w:val="00643994"/>
    <w:rsid w:val="00643F33"/>
    <w:rsid w:val="006448BB"/>
    <w:rsid w:val="00644C12"/>
    <w:rsid w:val="00644CA0"/>
    <w:rsid w:val="0064505B"/>
    <w:rsid w:val="006450E0"/>
    <w:rsid w:val="0064522A"/>
    <w:rsid w:val="00645284"/>
    <w:rsid w:val="0064567A"/>
    <w:rsid w:val="00645DC4"/>
    <w:rsid w:val="00646514"/>
    <w:rsid w:val="006466D3"/>
    <w:rsid w:val="00646955"/>
    <w:rsid w:val="00646978"/>
    <w:rsid w:val="00646BD3"/>
    <w:rsid w:val="00646C2D"/>
    <w:rsid w:val="00647350"/>
    <w:rsid w:val="00647960"/>
    <w:rsid w:val="00647A86"/>
    <w:rsid w:val="00647EB6"/>
    <w:rsid w:val="00650857"/>
    <w:rsid w:val="00650B75"/>
    <w:rsid w:val="00651705"/>
    <w:rsid w:val="00651FBA"/>
    <w:rsid w:val="0065238B"/>
    <w:rsid w:val="00652585"/>
    <w:rsid w:val="00652651"/>
    <w:rsid w:val="006530B2"/>
    <w:rsid w:val="006532F9"/>
    <w:rsid w:val="00653C89"/>
    <w:rsid w:val="0065418A"/>
    <w:rsid w:val="0065486A"/>
    <w:rsid w:val="00654A04"/>
    <w:rsid w:val="00654AA7"/>
    <w:rsid w:val="00655168"/>
    <w:rsid w:val="006556B4"/>
    <w:rsid w:val="006557A9"/>
    <w:rsid w:val="0065597A"/>
    <w:rsid w:val="00656532"/>
    <w:rsid w:val="00657162"/>
    <w:rsid w:val="00657208"/>
    <w:rsid w:val="006578C8"/>
    <w:rsid w:val="006579DD"/>
    <w:rsid w:val="00657B3E"/>
    <w:rsid w:val="00660151"/>
    <w:rsid w:val="00660AC8"/>
    <w:rsid w:val="00660E70"/>
    <w:rsid w:val="006611C8"/>
    <w:rsid w:val="00661868"/>
    <w:rsid w:val="00661C46"/>
    <w:rsid w:val="00662A7A"/>
    <w:rsid w:val="00662CF1"/>
    <w:rsid w:val="006631F5"/>
    <w:rsid w:val="006637DF"/>
    <w:rsid w:val="0066381D"/>
    <w:rsid w:val="00663C5D"/>
    <w:rsid w:val="00664020"/>
    <w:rsid w:val="0066460E"/>
    <w:rsid w:val="00664BEF"/>
    <w:rsid w:val="00665141"/>
    <w:rsid w:val="006654FC"/>
    <w:rsid w:val="00665A97"/>
    <w:rsid w:val="00665E84"/>
    <w:rsid w:val="0066611C"/>
    <w:rsid w:val="0066634E"/>
    <w:rsid w:val="00666D74"/>
    <w:rsid w:val="00667A28"/>
    <w:rsid w:val="00667AB6"/>
    <w:rsid w:val="00667BCD"/>
    <w:rsid w:val="0067000D"/>
    <w:rsid w:val="00670424"/>
    <w:rsid w:val="006708DB"/>
    <w:rsid w:val="00670A41"/>
    <w:rsid w:val="00670B06"/>
    <w:rsid w:val="00670EFD"/>
    <w:rsid w:val="00670F37"/>
    <w:rsid w:val="00671021"/>
    <w:rsid w:val="006710C3"/>
    <w:rsid w:val="00671CB9"/>
    <w:rsid w:val="00671EC3"/>
    <w:rsid w:val="0067206B"/>
    <w:rsid w:val="00672718"/>
    <w:rsid w:val="0067283A"/>
    <w:rsid w:val="00672D2C"/>
    <w:rsid w:val="00673662"/>
    <w:rsid w:val="006737FD"/>
    <w:rsid w:val="0067394E"/>
    <w:rsid w:val="00673A48"/>
    <w:rsid w:val="00674077"/>
    <w:rsid w:val="006744B1"/>
    <w:rsid w:val="00674632"/>
    <w:rsid w:val="0067468D"/>
    <w:rsid w:val="00674B56"/>
    <w:rsid w:val="00674C99"/>
    <w:rsid w:val="00674F6D"/>
    <w:rsid w:val="00675469"/>
    <w:rsid w:val="0067546C"/>
    <w:rsid w:val="006756B0"/>
    <w:rsid w:val="006758B5"/>
    <w:rsid w:val="00675C6D"/>
    <w:rsid w:val="00675C7E"/>
    <w:rsid w:val="00675C80"/>
    <w:rsid w:val="00676379"/>
    <w:rsid w:val="006763F5"/>
    <w:rsid w:val="00676684"/>
    <w:rsid w:val="00676722"/>
    <w:rsid w:val="00676A4C"/>
    <w:rsid w:val="00676ABB"/>
    <w:rsid w:val="00676D35"/>
    <w:rsid w:val="006770F7"/>
    <w:rsid w:val="006774E2"/>
    <w:rsid w:val="00677652"/>
    <w:rsid w:val="00677A8B"/>
    <w:rsid w:val="00677BF1"/>
    <w:rsid w:val="00677F0E"/>
    <w:rsid w:val="006801A1"/>
    <w:rsid w:val="0068032A"/>
    <w:rsid w:val="0068050C"/>
    <w:rsid w:val="0068072B"/>
    <w:rsid w:val="00680882"/>
    <w:rsid w:val="00680D0E"/>
    <w:rsid w:val="00681086"/>
    <w:rsid w:val="00681A94"/>
    <w:rsid w:val="00681C26"/>
    <w:rsid w:val="00681D2B"/>
    <w:rsid w:val="00681E98"/>
    <w:rsid w:val="00682647"/>
    <w:rsid w:val="00682687"/>
    <w:rsid w:val="006828DE"/>
    <w:rsid w:val="00683106"/>
    <w:rsid w:val="006833C2"/>
    <w:rsid w:val="00683719"/>
    <w:rsid w:val="006839FD"/>
    <w:rsid w:val="00683AB1"/>
    <w:rsid w:val="00683B13"/>
    <w:rsid w:val="006847CC"/>
    <w:rsid w:val="00684A1A"/>
    <w:rsid w:val="00684B6F"/>
    <w:rsid w:val="00684C33"/>
    <w:rsid w:val="00684D38"/>
    <w:rsid w:val="00684F85"/>
    <w:rsid w:val="00685114"/>
    <w:rsid w:val="006851BD"/>
    <w:rsid w:val="0068583C"/>
    <w:rsid w:val="00685D32"/>
    <w:rsid w:val="00686158"/>
    <w:rsid w:val="006862B3"/>
    <w:rsid w:val="006862CD"/>
    <w:rsid w:val="006864A4"/>
    <w:rsid w:val="0068651F"/>
    <w:rsid w:val="00686549"/>
    <w:rsid w:val="00686C0A"/>
    <w:rsid w:val="00686C56"/>
    <w:rsid w:val="00686DE1"/>
    <w:rsid w:val="00687BA0"/>
    <w:rsid w:val="00687F81"/>
    <w:rsid w:val="00687FD4"/>
    <w:rsid w:val="00690777"/>
    <w:rsid w:val="0069079C"/>
    <w:rsid w:val="00690B4F"/>
    <w:rsid w:val="00690E2F"/>
    <w:rsid w:val="00691388"/>
    <w:rsid w:val="006913CD"/>
    <w:rsid w:val="00691444"/>
    <w:rsid w:val="0069169E"/>
    <w:rsid w:val="006916A9"/>
    <w:rsid w:val="0069194C"/>
    <w:rsid w:val="00691D3A"/>
    <w:rsid w:val="0069260C"/>
    <w:rsid w:val="0069269B"/>
    <w:rsid w:val="00692831"/>
    <w:rsid w:val="00693B42"/>
    <w:rsid w:val="00694221"/>
    <w:rsid w:val="0069427F"/>
    <w:rsid w:val="0069464D"/>
    <w:rsid w:val="00694B5D"/>
    <w:rsid w:val="00695A27"/>
    <w:rsid w:val="00695BC8"/>
    <w:rsid w:val="00695E47"/>
    <w:rsid w:val="0069600C"/>
    <w:rsid w:val="00696214"/>
    <w:rsid w:val="00696494"/>
    <w:rsid w:val="00697269"/>
    <w:rsid w:val="0069756A"/>
    <w:rsid w:val="00697636"/>
    <w:rsid w:val="0069770E"/>
    <w:rsid w:val="00697FEB"/>
    <w:rsid w:val="006A0121"/>
    <w:rsid w:val="006A04C7"/>
    <w:rsid w:val="006A06E8"/>
    <w:rsid w:val="006A0810"/>
    <w:rsid w:val="006A0ED4"/>
    <w:rsid w:val="006A14F3"/>
    <w:rsid w:val="006A17A8"/>
    <w:rsid w:val="006A21E0"/>
    <w:rsid w:val="006A2252"/>
    <w:rsid w:val="006A22F2"/>
    <w:rsid w:val="006A23DF"/>
    <w:rsid w:val="006A27F9"/>
    <w:rsid w:val="006A2C70"/>
    <w:rsid w:val="006A3659"/>
    <w:rsid w:val="006A3A22"/>
    <w:rsid w:val="006A3C1F"/>
    <w:rsid w:val="006A42CA"/>
    <w:rsid w:val="006A48CD"/>
    <w:rsid w:val="006A4A3B"/>
    <w:rsid w:val="006A5BAF"/>
    <w:rsid w:val="006A671A"/>
    <w:rsid w:val="006A69E2"/>
    <w:rsid w:val="006A6BD2"/>
    <w:rsid w:val="006A6D86"/>
    <w:rsid w:val="006A75C8"/>
    <w:rsid w:val="006A75E1"/>
    <w:rsid w:val="006A7718"/>
    <w:rsid w:val="006A7978"/>
    <w:rsid w:val="006A7D66"/>
    <w:rsid w:val="006A7E73"/>
    <w:rsid w:val="006B02CB"/>
    <w:rsid w:val="006B0B5C"/>
    <w:rsid w:val="006B0ECA"/>
    <w:rsid w:val="006B1626"/>
    <w:rsid w:val="006B2B14"/>
    <w:rsid w:val="006B319B"/>
    <w:rsid w:val="006B35C9"/>
    <w:rsid w:val="006B36D3"/>
    <w:rsid w:val="006B3B48"/>
    <w:rsid w:val="006B3E63"/>
    <w:rsid w:val="006B4564"/>
    <w:rsid w:val="006B4A10"/>
    <w:rsid w:val="006B5002"/>
    <w:rsid w:val="006B580B"/>
    <w:rsid w:val="006B5B62"/>
    <w:rsid w:val="006B6138"/>
    <w:rsid w:val="006B64D4"/>
    <w:rsid w:val="006B6641"/>
    <w:rsid w:val="006B66EF"/>
    <w:rsid w:val="006B67FF"/>
    <w:rsid w:val="006B6CBD"/>
    <w:rsid w:val="006B6D18"/>
    <w:rsid w:val="006B6DCB"/>
    <w:rsid w:val="006B7548"/>
    <w:rsid w:val="006B77EA"/>
    <w:rsid w:val="006B789C"/>
    <w:rsid w:val="006B7CBA"/>
    <w:rsid w:val="006B7D52"/>
    <w:rsid w:val="006C0679"/>
    <w:rsid w:val="006C06C6"/>
    <w:rsid w:val="006C0BDB"/>
    <w:rsid w:val="006C0F30"/>
    <w:rsid w:val="006C14E7"/>
    <w:rsid w:val="006C1919"/>
    <w:rsid w:val="006C1D1B"/>
    <w:rsid w:val="006C1E5A"/>
    <w:rsid w:val="006C1EE5"/>
    <w:rsid w:val="006C213C"/>
    <w:rsid w:val="006C22E8"/>
    <w:rsid w:val="006C2C39"/>
    <w:rsid w:val="006C2ED5"/>
    <w:rsid w:val="006C30B8"/>
    <w:rsid w:val="006C30C7"/>
    <w:rsid w:val="006C3379"/>
    <w:rsid w:val="006C3892"/>
    <w:rsid w:val="006C46DD"/>
    <w:rsid w:val="006C4A18"/>
    <w:rsid w:val="006C4F4D"/>
    <w:rsid w:val="006C517B"/>
    <w:rsid w:val="006C586F"/>
    <w:rsid w:val="006C5D6B"/>
    <w:rsid w:val="006C5F03"/>
    <w:rsid w:val="006C628E"/>
    <w:rsid w:val="006C6D23"/>
    <w:rsid w:val="006C79CB"/>
    <w:rsid w:val="006C7ADC"/>
    <w:rsid w:val="006C7B32"/>
    <w:rsid w:val="006C7D9E"/>
    <w:rsid w:val="006D0116"/>
    <w:rsid w:val="006D011A"/>
    <w:rsid w:val="006D016E"/>
    <w:rsid w:val="006D0698"/>
    <w:rsid w:val="006D0C7B"/>
    <w:rsid w:val="006D1237"/>
    <w:rsid w:val="006D14FE"/>
    <w:rsid w:val="006D1677"/>
    <w:rsid w:val="006D1BEC"/>
    <w:rsid w:val="006D1D26"/>
    <w:rsid w:val="006D1DE5"/>
    <w:rsid w:val="006D201B"/>
    <w:rsid w:val="006D2062"/>
    <w:rsid w:val="006D213C"/>
    <w:rsid w:val="006D235A"/>
    <w:rsid w:val="006D3C22"/>
    <w:rsid w:val="006D3DD1"/>
    <w:rsid w:val="006D4243"/>
    <w:rsid w:val="006D4638"/>
    <w:rsid w:val="006D46E2"/>
    <w:rsid w:val="006D4B63"/>
    <w:rsid w:val="006D513D"/>
    <w:rsid w:val="006D517E"/>
    <w:rsid w:val="006D51FC"/>
    <w:rsid w:val="006D5386"/>
    <w:rsid w:val="006D53B8"/>
    <w:rsid w:val="006D54A0"/>
    <w:rsid w:val="006D56BC"/>
    <w:rsid w:val="006D5783"/>
    <w:rsid w:val="006D5815"/>
    <w:rsid w:val="006D59DA"/>
    <w:rsid w:val="006D5B46"/>
    <w:rsid w:val="006D5BEB"/>
    <w:rsid w:val="006D5E25"/>
    <w:rsid w:val="006D5E4B"/>
    <w:rsid w:val="006D5F51"/>
    <w:rsid w:val="006D60FF"/>
    <w:rsid w:val="006D6235"/>
    <w:rsid w:val="006D65E6"/>
    <w:rsid w:val="006D6EA2"/>
    <w:rsid w:val="006D78E3"/>
    <w:rsid w:val="006D7993"/>
    <w:rsid w:val="006D7C59"/>
    <w:rsid w:val="006D7E0D"/>
    <w:rsid w:val="006E0D80"/>
    <w:rsid w:val="006E1122"/>
    <w:rsid w:val="006E121F"/>
    <w:rsid w:val="006E162F"/>
    <w:rsid w:val="006E1690"/>
    <w:rsid w:val="006E1748"/>
    <w:rsid w:val="006E17EC"/>
    <w:rsid w:val="006E1952"/>
    <w:rsid w:val="006E19B8"/>
    <w:rsid w:val="006E1AC2"/>
    <w:rsid w:val="006E278A"/>
    <w:rsid w:val="006E2847"/>
    <w:rsid w:val="006E2A49"/>
    <w:rsid w:val="006E2E01"/>
    <w:rsid w:val="006E2F6F"/>
    <w:rsid w:val="006E3131"/>
    <w:rsid w:val="006E347C"/>
    <w:rsid w:val="006E396B"/>
    <w:rsid w:val="006E3A7F"/>
    <w:rsid w:val="006E3B27"/>
    <w:rsid w:val="006E3B41"/>
    <w:rsid w:val="006E3BFA"/>
    <w:rsid w:val="006E44A7"/>
    <w:rsid w:val="006E4ECA"/>
    <w:rsid w:val="006E508D"/>
    <w:rsid w:val="006E52BD"/>
    <w:rsid w:val="006E589D"/>
    <w:rsid w:val="006E60BD"/>
    <w:rsid w:val="006E66B7"/>
    <w:rsid w:val="006F0C68"/>
    <w:rsid w:val="006F1141"/>
    <w:rsid w:val="006F1304"/>
    <w:rsid w:val="006F1B67"/>
    <w:rsid w:val="006F1BFD"/>
    <w:rsid w:val="006F208C"/>
    <w:rsid w:val="006F2581"/>
    <w:rsid w:val="006F2AC1"/>
    <w:rsid w:val="006F2CAB"/>
    <w:rsid w:val="006F320D"/>
    <w:rsid w:val="006F32C3"/>
    <w:rsid w:val="006F33BE"/>
    <w:rsid w:val="006F353B"/>
    <w:rsid w:val="006F37DA"/>
    <w:rsid w:val="006F3BAC"/>
    <w:rsid w:val="006F3BE2"/>
    <w:rsid w:val="006F3E77"/>
    <w:rsid w:val="006F3FC6"/>
    <w:rsid w:val="006F402F"/>
    <w:rsid w:val="006F47B9"/>
    <w:rsid w:val="006F4AAE"/>
    <w:rsid w:val="006F4B5F"/>
    <w:rsid w:val="006F56CE"/>
    <w:rsid w:val="006F5F97"/>
    <w:rsid w:val="006F6857"/>
    <w:rsid w:val="006F6A12"/>
    <w:rsid w:val="006F6D98"/>
    <w:rsid w:val="006F6DF7"/>
    <w:rsid w:val="006F6FFB"/>
    <w:rsid w:val="006F7BCC"/>
    <w:rsid w:val="00700470"/>
    <w:rsid w:val="0070058A"/>
    <w:rsid w:val="00700DD1"/>
    <w:rsid w:val="00700E2D"/>
    <w:rsid w:val="00700E8E"/>
    <w:rsid w:val="00700F23"/>
    <w:rsid w:val="00701368"/>
    <w:rsid w:val="00701506"/>
    <w:rsid w:val="00701810"/>
    <w:rsid w:val="0070183B"/>
    <w:rsid w:val="007018F4"/>
    <w:rsid w:val="0070190E"/>
    <w:rsid w:val="00701C34"/>
    <w:rsid w:val="00701EEA"/>
    <w:rsid w:val="00702384"/>
    <w:rsid w:val="007029F5"/>
    <w:rsid w:val="00702A86"/>
    <w:rsid w:val="00702F20"/>
    <w:rsid w:val="00702F35"/>
    <w:rsid w:val="00702FE2"/>
    <w:rsid w:val="0070301D"/>
    <w:rsid w:val="007031A9"/>
    <w:rsid w:val="0070423F"/>
    <w:rsid w:val="00704347"/>
    <w:rsid w:val="0070448F"/>
    <w:rsid w:val="007046BE"/>
    <w:rsid w:val="007046F2"/>
    <w:rsid w:val="00705011"/>
    <w:rsid w:val="0070504B"/>
    <w:rsid w:val="00705542"/>
    <w:rsid w:val="00706487"/>
    <w:rsid w:val="00706827"/>
    <w:rsid w:val="007068C9"/>
    <w:rsid w:val="00706F8F"/>
    <w:rsid w:val="00707205"/>
    <w:rsid w:val="007072BB"/>
    <w:rsid w:val="007073DB"/>
    <w:rsid w:val="00707CA4"/>
    <w:rsid w:val="0071021C"/>
    <w:rsid w:val="0071048B"/>
    <w:rsid w:val="007105CB"/>
    <w:rsid w:val="00710661"/>
    <w:rsid w:val="00710770"/>
    <w:rsid w:val="00710FFF"/>
    <w:rsid w:val="007110AC"/>
    <w:rsid w:val="007112E5"/>
    <w:rsid w:val="00711573"/>
    <w:rsid w:val="007116B5"/>
    <w:rsid w:val="00711845"/>
    <w:rsid w:val="007119DD"/>
    <w:rsid w:val="00711A36"/>
    <w:rsid w:val="00711AD2"/>
    <w:rsid w:val="00712137"/>
    <w:rsid w:val="00712315"/>
    <w:rsid w:val="00712927"/>
    <w:rsid w:val="00712B76"/>
    <w:rsid w:val="00712C24"/>
    <w:rsid w:val="0071308E"/>
    <w:rsid w:val="007133B6"/>
    <w:rsid w:val="00714258"/>
    <w:rsid w:val="0071489C"/>
    <w:rsid w:val="00714C34"/>
    <w:rsid w:val="007150F6"/>
    <w:rsid w:val="007157EF"/>
    <w:rsid w:val="00715BDB"/>
    <w:rsid w:val="00715D23"/>
    <w:rsid w:val="00715E07"/>
    <w:rsid w:val="00716338"/>
    <w:rsid w:val="0071640E"/>
    <w:rsid w:val="00716520"/>
    <w:rsid w:val="00716D4C"/>
    <w:rsid w:val="00717158"/>
    <w:rsid w:val="00717237"/>
    <w:rsid w:val="007173BD"/>
    <w:rsid w:val="00717432"/>
    <w:rsid w:val="0071760B"/>
    <w:rsid w:val="00717704"/>
    <w:rsid w:val="007177AE"/>
    <w:rsid w:val="0071795A"/>
    <w:rsid w:val="007204FA"/>
    <w:rsid w:val="007208DA"/>
    <w:rsid w:val="007209B6"/>
    <w:rsid w:val="00720C57"/>
    <w:rsid w:val="00720C74"/>
    <w:rsid w:val="00720D56"/>
    <w:rsid w:val="00721073"/>
    <w:rsid w:val="00721347"/>
    <w:rsid w:val="00721B48"/>
    <w:rsid w:val="00721C9B"/>
    <w:rsid w:val="00721F8F"/>
    <w:rsid w:val="00722239"/>
    <w:rsid w:val="007222F5"/>
    <w:rsid w:val="00722562"/>
    <w:rsid w:val="00722862"/>
    <w:rsid w:val="00722DBE"/>
    <w:rsid w:val="007238BE"/>
    <w:rsid w:val="00723C21"/>
    <w:rsid w:val="00723CCB"/>
    <w:rsid w:val="00723F78"/>
    <w:rsid w:val="00724007"/>
    <w:rsid w:val="007244F5"/>
    <w:rsid w:val="00724877"/>
    <w:rsid w:val="00724F32"/>
    <w:rsid w:val="007255B2"/>
    <w:rsid w:val="00725805"/>
    <w:rsid w:val="00726532"/>
    <w:rsid w:val="00726652"/>
    <w:rsid w:val="00726B79"/>
    <w:rsid w:val="0072710D"/>
    <w:rsid w:val="007271E5"/>
    <w:rsid w:val="00727404"/>
    <w:rsid w:val="007308C3"/>
    <w:rsid w:val="0073096D"/>
    <w:rsid w:val="00730C55"/>
    <w:rsid w:val="00731247"/>
    <w:rsid w:val="00731352"/>
    <w:rsid w:val="007313B6"/>
    <w:rsid w:val="007314FB"/>
    <w:rsid w:val="00731A16"/>
    <w:rsid w:val="00731E9A"/>
    <w:rsid w:val="00732DBA"/>
    <w:rsid w:val="00733153"/>
    <w:rsid w:val="007332D3"/>
    <w:rsid w:val="00733580"/>
    <w:rsid w:val="00733582"/>
    <w:rsid w:val="00733642"/>
    <w:rsid w:val="007337BA"/>
    <w:rsid w:val="007341CC"/>
    <w:rsid w:val="007341EF"/>
    <w:rsid w:val="00734210"/>
    <w:rsid w:val="007345E8"/>
    <w:rsid w:val="007347F0"/>
    <w:rsid w:val="0073504B"/>
    <w:rsid w:val="0073539E"/>
    <w:rsid w:val="007354B1"/>
    <w:rsid w:val="007356C2"/>
    <w:rsid w:val="00735A89"/>
    <w:rsid w:val="00735AC7"/>
    <w:rsid w:val="00735ED1"/>
    <w:rsid w:val="00736679"/>
    <w:rsid w:val="007367AB"/>
    <w:rsid w:val="00736946"/>
    <w:rsid w:val="0073697D"/>
    <w:rsid w:val="00736E5E"/>
    <w:rsid w:val="00737812"/>
    <w:rsid w:val="00737F83"/>
    <w:rsid w:val="007403BB"/>
    <w:rsid w:val="00740D12"/>
    <w:rsid w:val="00740D1D"/>
    <w:rsid w:val="00740D99"/>
    <w:rsid w:val="00742660"/>
    <w:rsid w:val="0074278D"/>
    <w:rsid w:val="00742872"/>
    <w:rsid w:val="007428A6"/>
    <w:rsid w:val="00742F4C"/>
    <w:rsid w:val="007433A8"/>
    <w:rsid w:val="00743BA0"/>
    <w:rsid w:val="00743D7E"/>
    <w:rsid w:val="007440B2"/>
    <w:rsid w:val="00744BF8"/>
    <w:rsid w:val="00744C1A"/>
    <w:rsid w:val="00744FCF"/>
    <w:rsid w:val="00745283"/>
    <w:rsid w:val="00745354"/>
    <w:rsid w:val="00745698"/>
    <w:rsid w:val="00745727"/>
    <w:rsid w:val="00745844"/>
    <w:rsid w:val="00745C19"/>
    <w:rsid w:val="0074649E"/>
    <w:rsid w:val="00746705"/>
    <w:rsid w:val="00746E22"/>
    <w:rsid w:val="00747EEC"/>
    <w:rsid w:val="00750275"/>
    <w:rsid w:val="0075047A"/>
    <w:rsid w:val="00750502"/>
    <w:rsid w:val="0075059C"/>
    <w:rsid w:val="007508D2"/>
    <w:rsid w:val="00750FA5"/>
    <w:rsid w:val="007512D0"/>
    <w:rsid w:val="007513D7"/>
    <w:rsid w:val="007514A8"/>
    <w:rsid w:val="00751F30"/>
    <w:rsid w:val="0075238A"/>
    <w:rsid w:val="00752392"/>
    <w:rsid w:val="00752703"/>
    <w:rsid w:val="00752899"/>
    <w:rsid w:val="007528A9"/>
    <w:rsid w:val="00752D54"/>
    <w:rsid w:val="00752D98"/>
    <w:rsid w:val="00752F1E"/>
    <w:rsid w:val="007533F8"/>
    <w:rsid w:val="007537C3"/>
    <w:rsid w:val="00753A3D"/>
    <w:rsid w:val="00754581"/>
    <w:rsid w:val="007547D0"/>
    <w:rsid w:val="00754A07"/>
    <w:rsid w:val="00754BAF"/>
    <w:rsid w:val="00754F37"/>
    <w:rsid w:val="00755ACA"/>
    <w:rsid w:val="00755E60"/>
    <w:rsid w:val="0075630B"/>
    <w:rsid w:val="0075639F"/>
    <w:rsid w:val="00756497"/>
    <w:rsid w:val="0075689E"/>
    <w:rsid w:val="007568A1"/>
    <w:rsid w:val="0075695B"/>
    <w:rsid w:val="00756CA9"/>
    <w:rsid w:val="00757024"/>
    <w:rsid w:val="00757055"/>
    <w:rsid w:val="007574B1"/>
    <w:rsid w:val="00760285"/>
    <w:rsid w:val="00760655"/>
    <w:rsid w:val="00760678"/>
    <w:rsid w:val="00760A5C"/>
    <w:rsid w:val="0076169B"/>
    <w:rsid w:val="00761874"/>
    <w:rsid w:val="00761BF7"/>
    <w:rsid w:val="00761CC8"/>
    <w:rsid w:val="00761D0A"/>
    <w:rsid w:val="00762974"/>
    <w:rsid w:val="0076334B"/>
    <w:rsid w:val="0076359F"/>
    <w:rsid w:val="0076399E"/>
    <w:rsid w:val="00763E5E"/>
    <w:rsid w:val="00764696"/>
    <w:rsid w:val="00764E9F"/>
    <w:rsid w:val="00765675"/>
    <w:rsid w:val="0076567B"/>
    <w:rsid w:val="0076582C"/>
    <w:rsid w:val="007658EF"/>
    <w:rsid w:val="00765F87"/>
    <w:rsid w:val="0076611E"/>
    <w:rsid w:val="007666AE"/>
    <w:rsid w:val="00766881"/>
    <w:rsid w:val="00766891"/>
    <w:rsid w:val="00766B91"/>
    <w:rsid w:val="00766FEB"/>
    <w:rsid w:val="0076772C"/>
    <w:rsid w:val="007678AD"/>
    <w:rsid w:val="00767958"/>
    <w:rsid w:val="00767BEE"/>
    <w:rsid w:val="00767D8A"/>
    <w:rsid w:val="00770176"/>
    <w:rsid w:val="007701C0"/>
    <w:rsid w:val="00770853"/>
    <w:rsid w:val="00770969"/>
    <w:rsid w:val="00770E79"/>
    <w:rsid w:val="00771258"/>
    <w:rsid w:val="0077161B"/>
    <w:rsid w:val="007717AB"/>
    <w:rsid w:val="00771892"/>
    <w:rsid w:val="00771AC1"/>
    <w:rsid w:val="00771E1A"/>
    <w:rsid w:val="00771EF7"/>
    <w:rsid w:val="00771F2B"/>
    <w:rsid w:val="00772500"/>
    <w:rsid w:val="007726D3"/>
    <w:rsid w:val="00772E9C"/>
    <w:rsid w:val="007732D4"/>
    <w:rsid w:val="00773483"/>
    <w:rsid w:val="007734FE"/>
    <w:rsid w:val="00773548"/>
    <w:rsid w:val="00773832"/>
    <w:rsid w:val="0077385F"/>
    <w:rsid w:val="00773A54"/>
    <w:rsid w:val="0077416B"/>
    <w:rsid w:val="00774F4C"/>
    <w:rsid w:val="00774F8E"/>
    <w:rsid w:val="00775307"/>
    <w:rsid w:val="00775B9D"/>
    <w:rsid w:val="00776B79"/>
    <w:rsid w:val="00776C41"/>
    <w:rsid w:val="00776E3A"/>
    <w:rsid w:val="007774C9"/>
    <w:rsid w:val="007777B8"/>
    <w:rsid w:val="00777B03"/>
    <w:rsid w:val="00780107"/>
    <w:rsid w:val="00780159"/>
    <w:rsid w:val="007803D3"/>
    <w:rsid w:val="0078041A"/>
    <w:rsid w:val="00780595"/>
    <w:rsid w:val="0078071C"/>
    <w:rsid w:val="00781544"/>
    <w:rsid w:val="00781A59"/>
    <w:rsid w:val="00781C5B"/>
    <w:rsid w:val="00782368"/>
    <w:rsid w:val="00782840"/>
    <w:rsid w:val="00782A32"/>
    <w:rsid w:val="00782E22"/>
    <w:rsid w:val="00782F98"/>
    <w:rsid w:val="0078333C"/>
    <w:rsid w:val="00784BE3"/>
    <w:rsid w:val="007853A6"/>
    <w:rsid w:val="00785548"/>
    <w:rsid w:val="007860EE"/>
    <w:rsid w:val="007861AB"/>
    <w:rsid w:val="00786767"/>
    <w:rsid w:val="0078687B"/>
    <w:rsid w:val="00786E10"/>
    <w:rsid w:val="00786E1D"/>
    <w:rsid w:val="00786FDF"/>
    <w:rsid w:val="00787293"/>
    <w:rsid w:val="0078733D"/>
    <w:rsid w:val="0078764E"/>
    <w:rsid w:val="007876C4"/>
    <w:rsid w:val="00787ADA"/>
    <w:rsid w:val="00787D59"/>
    <w:rsid w:val="00787E7F"/>
    <w:rsid w:val="00787F56"/>
    <w:rsid w:val="00790034"/>
    <w:rsid w:val="007900C4"/>
    <w:rsid w:val="007902C8"/>
    <w:rsid w:val="00790367"/>
    <w:rsid w:val="00790902"/>
    <w:rsid w:val="00790E5A"/>
    <w:rsid w:val="00791199"/>
    <w:rsid w:val="00791255"/>
    <w:rsid w:val="00791383"/>
    <w:rsid w:val="007914CC"/>
    <w:rsid w:val="00791559"/>
    <w:rsid w:val="00791A78"/>
    <w:rsid w:val="00791B66"/>
    <w:rsid w:val="00791C7A"/>
    <w:rsid w:val="00791F3C"/>
    <w:rsid w:val="00792754"/>
    <w:rsid w:val="0079291C"/>
    <w:rsid w:val="00792DC9"/>
    <w:rsid w:val="007933D8"/>
    <w:rsid w:val="00793CF3"/>
    <w:rsid w:val="00793F84"/>
    <w:rsid w:val="0079497E"/>
    <w:rsid w:val="00794E16"/>
    <w:rsid w:val="00795AA8"/>
    <w:rsid w:val="00796963"/>
    <w:rsid w:val="00797E7C"/>
    <w:rsid w:val="007A013D"/>
    <w:rsid w:val="007A077E"/>
    <w:rsid w:val="007A08EE"/>
    <w:rsid w:val="007A09D0"/>
    <w:rsid w:val="007A16DC"/>
    <w:rsid w:val="007A1897"/>
    <w:rsid w:val="007A1925"/>
    <w:rsid w:val="007A1AF6"/>
    <w:rsid w:val="007A1B03"/>
    <w:rsid w:val="007A20AB"/>
    <w:rsid w:val="007A22E5"/>
    <w:rsid w:val="007A263B"/>
    <w:rsid w:val="007A26E6"/>
    <w:rsid w:val="007A28FE"/>
    <w:rsid w:val="007A2989"/>
    <w:rsid w:val="007A334A"/>
    <w:rsid w:val="007A3FBB"/>
    <w:rsid w:val="007A44D8"/>
    <w:rsid w:val="007A45DB"/>
    <w:rsid w:val="007A544D"/>
    <w:rsid w:val="007A5D81"/>
    <w:rsid w:val="007A5E76"/>
    <w:rsid w:val="007A61E5"/>
    <w:rsid w:val="007A63FF"/>
    <w:rsid w:val="007A7AE1"/>
    <w:rsid w:val="007A7BCA"/>
    <w:rsid w:val="007B0131"/>
    <w:rsid w:val="007B015F"/>
    <w:rsid w:val="007B035F"/>
    <w:rsid w:val="007B03FE"/>
    <w:rsid w:val="007B0583"/>
    <w:rsid w:val="007B09D2"/>
    <w:rsid w:val="007B0CE6"/>
    <w:rsid w:val="007B0DA7"/>
    <w:rsid w:val="007B11AD"/>
    <w:rsid w:val="007B131A"/>
    <w:rsid w:val="007B1B20"/>
    <w:rsid w:val="007B1C81"/>
    <w:rsid w:val="007B1D8D"/>
    <w:rsid w:val="007B24D9"/>
    <w:rsid w:val="007B25CB"/>
    <w:rsid w:val="007B29A2"/>
    <w:rsid w:val="007B306A"/>
    <w:rsid w:val="007B3341"/>
    <w:rsid w:val="007B355D"/>
    <w:rsid w:val="007B3AFC"/>
    <w:rsid w:val="007B5110"/>
    <w:rsid w:val="007B5134"/>
    <w:rsid w:val="007B53A3"/>
    <w:rsid w:val="007B596F"/>
    <w:rsid w:val="007B5EF3"/>
    <w:rsid w:val="007B5FF2"/>
    <w:rsid w:val="007B6133"/>
    <w:rsid w:val="007B629A"/>
    <w:rsid w:val="007B6452"/>
    <w:rsid w:val="007B6B76"/>
    <w:rsid w:val="007B6CD5"/>
    <w:rsid w:val="007B7168"/>
    <w:rsid w:val="007B718C"/>
    <w:rsid w:val="007C00FC"/>
    <w:rsid w:val="007C03E4"/>
    <w:rsid w:val="007C051A"/>
    <w:rsid w:val="007C0B82"/>
    <w:rsid w:val="007C0CF7"/>
    <w:rsid w:val="007C17D6"/>
    <w:rsid w:val="007C17FA"/>
    <w:rsid w:val="007C1B6B"/>
    <w:rsid w:val="007C228C"/>
    <w:rsid w:val="007C23F3"/>
    <w:rsid w:val="007C27CF"/>
    <w:rsid w:val="007C3506"/>
    <w:rsid w:val="007C378A"/>
    <w:rsid w:val="007C39DA"/>
    <w:rsid w:val="007C3B43"/>
    <w:rsid w:val="007C3F02"/>
    <w:rsid w:val="007C4328"/>
    <w:rsid w:val="007C47AE"/>
    <w:rsid w:val="007C4A12"/>
    <w:rsid w:val="007C4E55"/>
    <w:rsid w:val="007C5DFE"/>
    <w:rsid w:val="007C63B2"/>
    <w:rsid w:val="007C6550"/>
    <w:rsid w:val="007C7074"/>
    <w:rsid w:val="007C742B"/>
    <w:rsid w:val="007C7C2C"/>
    <w:rsid w:val="007D0045"/>
    <w:rsid w:val="007D03F7"/>
    <w:rsid w:val="007D052A"/>
    <w:rsid w:val="007D0941"/>
    <w:rsid w:val="007D0A1E"/>
    <w:rsid w:val="007D132A"/>
    <w:rsid w:val="007D13AD"/>
    <w:rsid w:val="007D15FF"/>
    <w:rsid w:val="007D1C36"/>
    <w:rsid w:val="007D2034"/>
    <w:rsid w:val="007D220F"/>
    <w:rsid w:val="007D297B"/>
    <w:rsid w:val="007D2AFC"/>
    <w:rsid w:val="007D2C20"/>
    <w:rsid w:val="007D308D"/>
    <w:rsid w:val="007D30E7"/>
    <w:rsid w:val="007D3DB2"/>
    <w:rsid w:val="007D43ED"/>
    <w:rsid w:val="007D4620"/>
    <w:rsid w:val="007D468F"/>
    <w:rsid w:val="007D4867"/>
    <w:rsid w:val="007D4BA6"/>
    <w:rsid w:val="007D500C"/>
    <w:rsid w:val="007D567F"/>
    <w:rsid w:val="007D5B3B"/>
    <w:rsid w:val="007D68AF"/>
    <w:rsid w:val="007D6C94"/>
    <w:rsid w:val="007D71B5"/>
    <w:rsid w:val="007D7E6A"/>
    <w:rsid w:val="007D7F3E"/>
    <w:rsid w:val="007E025C"/>
    <w:rsid w:val="007E038D"/>
    <w:rsid w:val="007E1441"/>
    <w:rsid w:val="007E1636"/>
    <w:rsid w:val="007E1D4F"/>
    <w:rsid w:val="007E2299"/>
    <w:rsid w:val="007E2F63"/>
    <w:rsid w:val="007E353A"/>
    <w:rsid w:val="007E39BE"/>
    <w:rsid w:val="007E43E0"/>
    <w:rsid w:val="007E4D8F"/>
    <w:rsid w:val="007E5323"/>
    <w:rsid w:val="007E532F"/>
    <w:rsid w:val="007E5414"/>
    <w:rsid w:val="007E5B46"/>
    <w:rsid w:val="007E5B5D"/>
    <w:rsid w:val="007E5D23"/>
    <w:rsid w:val="007E5D69"/>
    <w:rsid w:val="007E62C5"/>
    <w:rsid w:val="007E659A"/>
    <w:rsid w:val="007E69FD"/>
    <w:rsid w:val="007E6E27"/>
    <w:rsid w:val="007E7360"/>
    <w:rsid w:val="007E7642"/>
    <w:rsid w:val="007F009A"/>
    <w:rsid w:val="007F00EC"/>
    <w:rsid w:val="007F0130"/>
    <w:rsid w:val="007F014D"/>
    <w:rsid w:val="007F02C0"/>
    <w:rsid w:val="007F02FC"/>
    <w:rsid w:val="007F0396"/>
    <w:rsid w:val="007F075E"/>
    <w:rsid w:val="007F114E"/>
    <w:rsid w:val="007F1CD4"/>
    <w:rsid w:val="007F21E6"/>
    <w:rsid w:val="007F2C8D"/>
    <w:rsid w:val="007F2CDE"/>
    <w:rsid w:val="007F2E2B"/>
    <w:rsid w:val="007F2E5C"/>
    <w:rsid w:val="007F32F2"/>
    <w:rsid w:val="007F33CA"/>
    <w:rsid w:val="007F39D8"/>
    <w:rsid w:val="007F3C3D"/>
    <w:rsid w:val="007F3C5D"/>
    <w:rsid w:val="007F444D"/>
    <w:rsid w:val="007F4562"/>
    <w:rsid w:val="007F469F"/>
    <w:rsid w:val="007F4AD6"/>
    <w:rsid w:val="007F4EF6"/>
    <w:rsid w:val="007F51E1"/>
    <w:rsid w:val="007F5570"/>
    <w:rsid w:val="007F5863"/>
    <w:rsid w:val="007F65BF"/>
    <w:rsid w:val="007F6C57"/>
    <w:rsid w:val="007F6F88"/>
    <w:rsid w:val="007F73B2"/>
    <w:rsid w:val="007F75AB"/>
    <w:rsid w:val="007F7895"/>
    <w:rsid w:val="007F7AC9"/>
    <w:rsid w:val="007F7FFA"/>
    <w:rsid w:val="00800230"/>
    <w:rsid w:val="008011DB"/>
    <w:rsid w:val="008013F4"/>
    <w:rsid w:val="00801879"/>
    <w:rsid w:val="00801E74"/>
    <w:rsid w:val="00801EF1"/>
    <w:rsid w:val="008020CC"/>
    <w:rsid w:val="008021DA"/>
    <w:rsid w:val="0080256C"/>
    <w:rsid w:val="008026EF"/>
    <w:rsid w:val="0080349D"/>
    <w:rsid w:val="008038FF"/>
    <w:rsid w:val="00803989"/>
    <w:rsid w:val="008039A6"/>
    <w:rsid w:val="00803C43"/>
    <w:rsid w:val="0080413D"/>
    <w:rsid w:val="0080417F"/>
    <w:rsid w:val="00804E0D"/>
    <w:rsid w:val="00804E59"/>
    <w:rsid w:val="00805371"/>
    <w:rsid w:val="00806153"/>
    <w:rsid w:val="008066A9"/>
    <w:rsid w:val="00806A5C"/>
    <w:rsid w:val="0080708F"/>
    <w:rsid w:val="008070C0"/>
    <w:rsid w:val="008070FD"/>
    <w:rsid w:val="008072BC"/>
    <w:rsid w:val="008073AF"/>
    <w:rsid w:val="00807B62"/>
    <w:rsid w:val="00807E2D"/>
    <w:rsid w:val="00810693"/>
    <w:rsid w:val="0081081E"/>
    <w:rsid w:val="00811A2B"/>
    <w:rsid w:val="00811D3A"/>
    <w:rsid w:val="00812A23"/>
    <w:rsid w:val="00812A37"/>
    <w:rsid w:val="00812B24"/>
    <w:rsid w:val="0081307B"/>
    <w:rsid w:val="00813399"/>
    <w:rsid w:val="00813C60"/>
    <w:rsid w:val="00813D84"/>
    <w:rsid w:val="00813F48"/>
    <w:rsid w:val="00814252"/>
    <w:rsid w:val="00814950"/>
    <w:rsid w:val="00814EC4"/>
    <w:rsid w:val="00815D2D"/>
    <w:rsid w:val="00815EEB"/>
    <w:rsid w:val="00815F18"/>
    <w:rsid w:val="008161BB"/>
    <w:rsid w:val="008165F7"/>
    <w:rsid w:val="008168CF"/>
    <w:rsid w:val="00816F7A"/>
    <w:rsid w:val="008178A9"/>
    <w:rsid w:val="00817BCE"/>
    <w:rsid w:val="0082076D"/>
    <w:rsid w:val="008207D6"/>
    <w:rsid w:val="00820B95"/>
    <w:rsid w:val="00821727"/>
    <w:rsid w:val="008218C0"/>
    <w:rsid w:val="00821FA9"/>
    <w:rsid w:val="00822054"/>
    <w:rsid w:val="0082268B"/>
    <w:rsid w:val="00822B9C"/>
    <w:rsid w:val="00822DB1"/>
    <w:rsid w:val="00823DBE"/>
    <w:rsid w:val="00823F78"/>
    <w:rsid w:val="0082418E"/>
    <w:rsid w:val="00824608"/>
    <w:rsid w:val="00824959"/>
    <w:rsid w:val="00824F2F"/>
    <w:rsid w:val="00825029"/>
    <w:rsid w:val="008250A9"/>
    <w:rsid w:val="008251CE"/>
    <w:rsid w:val="0082568D"/>
    <w:rsid w:val="008259CB"/>
    <w:rsid w:val="00825B03"/>
    <w:rsid w:val="008268A4"/>
    <w:rsid w:val="00827733"/>
    <w:rsid w:val="00827B0A"/>
    <w:rsid w:val="0083039A"/>
    <w:rsid w:val="008303E2"/>
    <w:rsid w:val="00830EB6"/>
    <w:rsid w:val="00831433"/>
    <w:rsid w:val="00831473"/>
    <w:rsid w:val="00831AA0"/>
    <w:rsid w:val="00832483"/>
    <w:rsid w:val="0083285B"/>
    <w:rsid w:val="00833094"/>
    <w:rsid w:val="008332E9"/>
    <w:rsid w:val="00833775"/>
    <w:rsid w:val="0083379C"/>
    <w:rsid w:val="00833B9B"/>
    <w:rsid w:val="00833D09"/>
    <w:rsid w:val="0083450A"/>
    <w:rsid w:val="0083475E"/>
    <w:rsid w:val="00834BFC"/>
    <w:rsid w:val="00834DEE"/>
    <w:rsid w:val="00835160"/>
    <w:rsid w:val="008352E2"/>
    <w:rsid w:val="00835521"/>
    <w:rsid w:val="008355A5"/>
    <w:rsid w:val="008356FD"/>
    <w:rsid w:val="00835ECD"/>
    <w:rsid w:val="0083638A"/>
    <w:rsid w:val="0083656F"/>
    <w:rsid w:val="008366D7"/>
    <w:rsid w:val="00836F15"/>
    <w:rsid w:val="008370FD"/>
    <w:rsid w:val="008372B5"/>
    <w:rsid w:val="00840071"/>
    <w:rsid w:val="008407D7"/>
    <w:rsid w:val="0084080C"/>
    <w:rsid w:val="00840BD2"/>
    <w:rsid w:val="00840C6F"/>
    <w:rsid w:val="00840D3A"/>
    <w:rsid w:val="00840EBE"/>
    <w:rsid w:val="008411FC"/>
    <w:rsid w:val="008414A2"/>
    <w:rsid w:val="008414CF"/>
    <w:rsid w:val="00841D63"/>
    <w:rsid w:val="00841D9A"/>
    <w:rsid w:val="008424B4"/>
    <w:rsid w:val="0084263F"/>
    <w:rsid w:val="0084279A"/>
    <w:rsid w:val="00842931"/>
    <w:rsid w:val="00842F7C"/>
    <w:rsid w:val="0084320D"/>
    <w:rsid w:val="00843257"/>
    <w:rsid w:val="008433B9"/>
    <w:rsid w:val="00843553"/>
    <w:rsid w:val="00843D12"/>
    <w:rsid w:val="008440E2"/>
    <w:rsid w:val="00844677"/>
    <w:rsid w:val="00844733"/>
    <w:rsid w:val="00844759"/>
    <w:rsid w:val="00844963"/>
    <w:rsid w:val="00844A91"/>
    <w:rsid w:val="00844C2C"/>
    <w:rsid w:val="00845268"/>
    <w:rsid w:val="008454CD"/>
    <w:rsid w:val="0084648F"/>
    <w:rsid w:val="00846666"/>
    <w:rsid w:val="00846777"/>
    <w:rsid w:val="008468A8"/>
    <w:rsid w:val="00846F5B"/>
    <w:rsid w:val="00846F6C"/>
    <w:rsid w:val="008473EB"/>
    <w:rsid w:val="0084740E"/>
    <w:rsid w:val="00847743"/>
    <w:rsid w:val="00847B2F"/>
    <w:rsid w:val="00847BE7"/>
    <w:rsid w:val="00847DA6"/>
    <w:rsid w:val="00847F4B"/>
    <w:rsid w:val="00850001"/>
    <w:rsid w:val="00850217"/>
    <w:rsid w:val="008502F9"/>
    <w:rsid w:val="008506A2"/>
    <w:rsid w:val="008507FB"/>
    <w:rsid w:val="00850A53"/>
    <w:rsid w:val="00851292"/>
    <w:rsid w:val="008515A1"/>
    <w:rsid w:val="008517D6"/>
    <w:rsid w:val="00851B42"/>
    <w:rsid w:val="00851BD4"/>
    <w:rsid w:val="00851DA8"/>
    <w:rsid w:val="00852083"/>
    <w:rsid w:val="00853289"/>
    <w:rsid w:val="008536B5"/>
    <w:rsid w:val="008536C9"/>
    <w:rsid w:val="00853E80"/>
    <w:rsid w:val="00853FEC"/>
    <w:rsid w:val="0085402B"/>
    <w:rsid w:val="00854249"/>
    <w:rsid w:val="00854512"/>
    <w:rsid w:val="0085455D"/>
    <w:rsid w:val="008546EB"/>
    <w:rsid w:val="00854F50"/>
    <w:rsid w:val="00855760"/>
    <w:rsid w:val="00855A6A"/>
    <w:rsid w:val="00856099"/>
    <w:rsid w:val="008560AB"/>
    <w:rsid w:val="008562FF"/>
    <w:rsid w:val="008566FB"/>
    <w:rsid w:val="00856806"/>
    <w:rsid w:val="0085730C"/>
    <w:rsid w:val="008601EC"/>
    <w:rsid w:val="008606E9"/>
    <w:rsid w:val="00860F31"/>
    <w:rsid w:val="00861CB3"/>
    <w:rsid w:val="008622BC"/>
    <w:rsid w:val="0086269D"/>
    <w:rsid w:val="00862CC5"/>
    <w:rsid w:val="00862DBC"/>
    <w:rsid w:val="008635BD"/>
    <w:rsid w:val="00863BF2"/>
    <w:rsid w:val="00863D1C"/>
    <w:rsid w:val="00863E24"/>
    <w:rsid w:val="008640DB"/>
    <w:rsid w:val="00864737"/>
    <w:rsid w:val="00864B00"/>
    <w:rsid w:val="00864C85"/>
    <w:rsid w:val="0086508C"/>
    <w:rsid w:val="008655F2"/>
    <w:rsid w:val="008657C6"/>
    <w:rsid w:val="00865EFF"/>
    <w:rsid w:val="008661D5"/>
    <w:rsid w:val="00866751"/>
    <w:rsid w:val="008669E9"/>
    <w:rsid w:val="00866A4E"/>
    <w:rsid w:val="00866ADF"/>
    <w:rsid w:val="00866B13"/>
    <w:rsid w:val="008670F0"/>
    <w:rsid w:val="00867544"/>
    <w:rsid w:val="0086796B"/>
    <w:rsid w:val="0086798A"/>
    <w:rsid w:val="00867EA2"/>
    <w:rsid w:val="00867F9E"/>
    <w:rsid w:val="008707A1"/>
    <w:rsid w:val="00870949"/>
    <w:rsid w:val="0087116E"/>
    <w:rsid w:val="00871650"/>
    <w:rsid w:val="008718FD"/>
    <w:rsid w:val="00871D4C"/>
    <w:rsid w:val="00871E23"/>
    <w:rsid w:val="00871E59"/>
    <w:rsid w:val="00872525"/>
    <w:rsid w:val="00872A10"/>
    <w:rsid w:val="008738E9"/>
    <w:rsid w:val="00873C76"/>
    <w:rsid w:val="00874242"/>
    <w:rsid w:val="0087434D"/>
    <w:rsid w:val="008748A4"/>
    <w:rsid w:val="00874E7C"/>
    <w:rsid w:val="008757E1"/>
    <w:rsid w:val="00875921"/>
    <w:rsid w:val="008759E3"/>
    <w:rsid w:val="00875A76"/>
    <w:rsid w:val="00875B59"/>
    <w:rsid w:val="00875F9A"/>
    <w:rsid w:val="00875FF7"/>
    <w:rsid w:val="0087667E"/>
    <w:rsid w:val="008767E5"/>
    <w:rsid w:val="00876837"/>
    <w:rsid w:val="00876926"/>
    <w:rsid w:val="008771D2"/>
    <w:rsid w:val="0087773C"/>
    <w:rsid w:val="008778C9"/>
    <w:rsid w:val="00877A96"/>
    <w:rsid w:val="00877D8C"/>
    <w:rsid w:val="00877E09"/>
    <w:rsid w:val="0088017A"/>
    <w:rsid w:val="0088089A"/>
    <w:rsid w:val="008808D8"/>
    <w:rsid w:val="00880D9A"/>
    <w:rsid w:val="00880E5E"/>
    <w:rsid w:val="0088126D"/>
    <w:rsid w:val="0088151D"/>
    <w:rsid w:val="00881ACE"/>
    <w:rsid w:val="00881F41"/>
    <w:rsid w:val="00881F59"/>
    <w:rsid w:val="008822E1"/>
    <w:rsid w:val="008829B0"/>
    <w:rsid w:val="00882AE3"/>
    <w:rsid w:val="0088355F"/>
    <w:rsid w:val="008837F1"/>
    <w:rsid w:val="00883882"/>
    <w:rsid w:val="00883B46"/>
    <w:rsid w:val="00883C7C"/>
    <w:rsid w:val="00883F29"/>
    <w:rsid w:val="00884702"/>
    <w:rsid w:val="00884A21"/>
    <w:rsid w:val="00884C50"/>
    <w:rsid w:val="00885179"/>
    <w:rsid w:val="0088534A"/>
    <w:rsid w:val="00885924"/>
    <w:rsid w:val="00885AA8"/>
    <w:rsid w:val="00885AF7"/>
    <w:rsid w:val="00886412"/>
    <w:rsid w:val="00886E5C"/>
    <w:rsid w:val="00887193"/>
    <w:rsid w:val="008875FE"/>
    <w:rsid w:val="00887894"/>
    <w:rsid w:val="0088795C"/>
    <w:rsid w:val="00887A3C"/>
    <w:rsid w:val="00887ECC"/>
    <w:rsid w:val="008901DE"/>
    <w:rsid w:val="00890ABA"/>
    <w:rsid w:val="00890BD6"/>
    <w:rsid w:val="00891762"/>
    <w:rsid w:val="00891CFE"/>
    <w:rsid w:val="00892136"/>
    <w:rsid w:val="008921F8"/>
    <w:rsid w:val="008932B1"/>
    <w:rsid w:val="00893355"/>
    <w:rsid w:val="008933E6"/>
    <w:rsid w:val="008934F3"/>
    <w:rsid w:val="00894178"/>
    <w:rsid w:val="00894229"/>
    <w:rsid w:val="00894596"/>
    <w:rsid w:val="00894959"/>
    <w:rsid w:val="00894FB8"/>
    <w:rsid w:val="00894FDF"/>
    <w:rsid w:val="0089577A"/>
    <w:rsid w:val="00895A8A"/>
    <w:rsid w:val="00895AD8"/>
    <w:rsid w:val="008961F3"/>
    <w:rsid w:val="0089693D"/>
    <w:rsid w:val="008969DE"/>
    <w:rsid w:val="00896E7B"/>
    <w:rsid w:val="00896F2B"/>
    <w:rsid w:val="008970A2"/>
    <w:rsid w:val="00897144"/>
    <w:rsid w:val="008977D8"/>
    <w:rsid w:val="008A022D"/>
    <w:rsid w:val="008A09C1"/>
    <w:rsid w:val="008A100A"/>
    <w:rsid w:val="008A132F"/>
    <w:rsid w:val="008A1CE3"/>
    <w:rsid w:val="008A1F35"/>
    <w:rsid w:val="008A2104"/>
    <w:rsid w:val="008A2248"/>
    <w:rsid w:val="008A241D"/>
    <w:rsid w:val="008A2ED7"/>
    <w:rsid w:val="008A3630"/>
    <w:rsid w:val="008A39DB"/>
    <w:rsid w:val="008A3FD6"/>
    <w:rsid w:val="008A41F7"/>
    <w:rsid w:val="008A42AB"/>
    <w:rsid w:val="008A4358"/>
    <w:rsid w:val="008A488A"/>
    <w:rsid w:val="008A4D64"/>
    <w:rsid w:val="008A5405"/>
    <w:rsid w:val="008A5660"/>
    <w:rsid w:val="008A59EA"/>
    <w:rsid w:val="008A5F80"/>
    <w:rsid w:val="008A61A7"/>
    <w:rsid w:val="008A7A70"/>
    <w:rsid w:val="008A7B91"/>
    <w:rsid w:val="008B0070"/>
    <w:rsid w:val="008B015B"/>
    <w:rsid w:val="008B01C1"/>
    <w:rsid w:val="008B07B6"/>
    <w:rsid w:val="008B0B4E"/>
    <w:rsid w:val="008B0BF3"/>
    <w:rsid w:val="008B0CA6"/>
    <w:rsid w:val="008B1159"/>
    <w:rsid w:val="008B11A3"/>
    <w:rsid w:val="008B1236"/>
    <w:rsid w:val="008B12EA"/>
    <w:rsid w:val="008B15BE"/>
    <w:rsid w:val="008B162E"/>
    <w:rsid w:val="008B252C"/>
    <w:rsid w:val="008B2804"/>
    <w:rsid w:val="008B2EB2"/>
    <w:rsid w:val="008B31B8"/>
    <w:rsid w:val="008B3278"/>
    <w:rsid w:val="008B352B"/>
    <w:rsid w:val="008B3909"/>
    <w:rsid w:val="008B3EBE"/>
    <w:rsid w:val="008B440F"/>
    <w:rsid w:val="008B48C2"/>
    <w:rsid w:val="008B4EEC"/>
    <w:rsid w:val="008B54AF"/>
    <w:rsid w:val="008B5528"/>
    <w:rsid w:val="008B5995"/>
    <w:rsid w:val="008B5C1E"/>
    <w:rsid w:val="008B5D7E"/>
    <w:rsid w:val="008B5F22"/>
    <w:rsid w:val="008B5FA5"/>
    <w:rsid w:val="008B70FB"/>
    <w:rsid w:val="008B718B"/>
    <w:rsid w:val="008B78EA"/>
    <w:rsid w:val="008B7BC1"/>
    <w:rsid w:val="008B7F6D"/>
    <w:rsid w:val="008C05A8"/>
    <w:rsid w:val="008C0632"/>
    <w:rsid w:val="008C0BC2"/>
    <w:rsid w:val="008C0EEE"/>
    <w:rsid w:val="008C10BC"/>
    <w:rsid w:val="008C13D2"/>
    <w:rsid w:val="008C16B2"/>
    <w:rsid w:val="008C1A68"/>
    <w:rsid w:val="008C1C7C"/>
    <w:rsid w:val="008C1D57"/>
    <w:rsid w:val="008C1FAB"/>
    <w:rsid w:val="008C20C1"/>
    <w:rsid w:val="008C2C5C"/>
    <w:rsid w:val="008C2D4F"/>
    <w:rsid w:val="008C305E"/>
    <w:rsid w:val="008C3202"/>
    <w:rsid w:val="008C369F"/>
    <w:rsid w:val="008C4089"/>
    <w:rsid w:val="008C420A"/>
    <w:rsid w:val="008C4404"/>
    <w:rsid w:val="008C45D2"/>
    <w:rsid w:val="008C4935"/>
    <w:rsid w:val="008C499C"/>
    <w:rsid w:val="008C4BB5"/>
    <w:rsid w:val="008C4D03"/>
    <w:rsid w:val="008C5007"/>
    <w:rsid w:val="008C51F0"/>
    <w:rsid w:val="008C53F0"/>
    <w:rsid w:val="008C5545"/>
    <w:rsid w:val="008C5746"/>
    <w:rsid w:val="008C5B02"/>
    <w:rsid w:val="008C5C4B"/>
    <w:rsid w:val="008C5F02"/>
    <w:rsid w:val="008C6348"/>
    <w:rsid w:val="008C6942"/>
    <w:rsid w:val="008C69EC"/>
    <w:rsid w:val="008C6ACD"/>
    <w:rsid w:val="008C788B"/>
    <w:rsid w:val="008C7949"/>
    <w:rsid w:val="008C7E49"/>
    <w:rsid w:val="008C7FE9"/>
    <w:rsid w:val="008D056A"/>
    <w:rsid w:val="008D1193"/>
    <w:rsid w:val="008D1333"/>
    <w:rsid w:val="008D1A6B"/>
    <w:rsid w:val="008D1C17"/>
    <w:rsid w:val="008D22AF"/>
    <w:rsid w:val="008D23F7"/>
    <w:rsid w:val="008D2913"/>
    <w:rsid w:val="008D2FBA"/>
    <w:rsid w:val="008D335E"/>
    <w:rsid w:val="008D351C"/>
    <w:rsid w:val="008D3785"/>
    <w:rsid w:val="008D379B"/>
    <w:rsid w:val="008D399A"/>
    <w:rsid w:val="008D4535"/>
    <w:rsid w:val="008D4847"/>
    <w:rsid w:val="008D4C46"/>
    <w:rsid w:val="008D5C58"/>
    <w:rsid w:val="008D5DA1"/>
    <w:rsid w:val="008D6182"/>
    <w:rsid w:val="008D63AA"/>
    <w:rsid w:val="008D6E70"/>
    <w:rsid w:val="008D79CB"/>
    <w:rsid w:val="008D7A41"/>
    <w:rsid w:val="008D7AE5"/>
    <w:rsid w:val="008D7E66"/>
    <w:rsid w:val="008D7F95"/>
    <w:rsid w:val="008E0059"/>
    <w:rsid w:val="008E022A"/>
    <w:rsid w:val="008E0CF5"/>
    <w:rsid w:val="008E1658"/>
    <w:rsid w:val="008E17B0"/>
    <w:rsid w:val="008E18C8"/>
    <w:rsid w:val="008E1985"/>
    <w:rsid w:val="008E3324"/>
    <w:rsid w:val="008E3FF2"/>
    <w:rsid w:val="008E40C6"/>
    <w:rsid w:val="008E44D1"/>
    <w:rsid w:val="008E49A9"/>
    <w:rsid w:val="008E4B49"/>
    <w:rsid w:val="008E4B5A"/>
    <w:rsid w:val="008E5180"/>
    <w:rsid w:val="008E5501"/>
    <w:rsid w:val="008E5638"/>
    <w:rsid w:val="008E5ACD"/>
    <w:rsid w:val="008E5D33"/>
    <w:rsid w:val="008E5F0D"/>
    <w:rsid w:val="008E5F62"/>
    <w:rsid w:val="008E6314"/>
    <w:rsid w:val="008E65C2"/>
    <w:rsid w:val="008E6BB0"/>
    <w:rsid w:val="008E6C24"/>
    <w:rsid w:val="008E6D54"/>
    <w:rsid w:val="008E6D73"/>
    <w:rsid w:val="008E6E22"/>
    <w:rsid w:val="008E6FA5"/>
    <w:rsid w:val="008E7383"/>
    <w:rsid w:val="008E76D5"/>
    <w:rsid w:val="008E79AE"/>
    <w:rsid w:val="008E7A67"/>
    <w:rsid w:val="008E7ABE"/>
    <w:rsid w:val="008F0061"/>
    <w:rsid w:val="008F0DCF"/>
    <w:rsid w:val="008F1877"/>
    <w:rsid w:val="008F18DA"/>
    <w:rsid w:val="008F1929"/>
    <w:rsid w:val="008F1AC8"/>
    <w:rsid w:val="008F1B94"/>
    <w:rsid w:val="008F2A01"/>
    <w:rsid w:val="008F2DFF"/>
    <w:rsid w:val="008F2ED6"/>
    <w:rsid w:val="008F2F64"/>
    <w:rsid w:val="008F32E1"/>
    <w:rsid w:val="008F367A"/>
    <w:rsid w:val="008F3747"/>
    <w:rsid w:val="008F37F4"/>
    <w:rsid w:val="008F4043"/>
    <w:rsid w:val="008F4A53"/>
    <w:rsid w:val="008F4ADF"/>
    <w:rsid w:val="008F55C5"/>
    <w:rsid w:val="008F58CF"/>
    <w:rsid w:val="008F5AA6"/>
    <w:rsid w:val="008F60FF"/>
    <w:rsid w:val="008F6173"/>
    <w:rsid w:val="008F61AB"/>
    <w:rsid w:val="008F6444"/>
    <w:rsid w:val="008F6565"/>
    <w:rsid w:val="008F66CE"/>
    <w:rsid w:val="008F6A01"/>
    <w:rsid w:val="008F7363"/>
    <w:rsid w:val="008F7675"/>
    <w:rsid w:val="008F7AC8"/>
    <w:rsid w:val="008F7BE3"/>
    <w:rsid w:val="008F7FD2"/>
    <w:rsid w:val="00900880"/>
    <w:rsid w:val="009014DF"/>
    <w:rsid w:val="00902195"/>
    <w:rsid w:val="00902CE0"/>
    <w:rsid w:val="00903140"/>
    <w:rsid w:val="0090329C"/>
    <w:rsid w:val="0090381E"/>
    <w:rsid w:val="00904C62"/>
    <w:rsid w:val="009051DE"/>
    <w:rsid w:val="0090564C"/>
    <w:rsid w:val="00905689"/>
    <w:rsid w:val="00905B68"/>
    <w:rsid w:val="00906486"/>
    <w:rsid w:val="009067DE"/>
    <w:rsid w:val="00906BBD"/>
    <w:rsid w:val="00906D92"/>
    <w:rsid w:val="00907647"/>
    <w:rsid w:val="009076E6"/>
    <w:rsid w:val="00907EA8"/>
    <w:rsid w:val="009100C3"/>
    <w:rsid w:val="00910FF2"/>
    <w:rsid w:val="009111C2"/>
    <w:rsid w:val="009112E4"/>
    <w:rsid w:val="009112ED"/>
    <w:rsid w:val="00911553"/>
    <w:rsid w:val="00911695"/>
    <w:rsid w:val="00911DC1"/>
    <w:rsid w:val="00911DCE"/>
    <w:rsid w:val="009120C2"/>
    <w:rsid w:val="0091243D"/>
    <w:rsid w:val="0091293D"/>
    <w:rsid w:val="00912B38"/>
    <w:rsid w:val="00912CCA"/>
    <w:rsid w:val="00912D47"/>
    <w:rsid w:val="00912E89"/>
    <w:rsid w:val="00913271"/>
    <w:rsid w:val="00913601"/>
    <w:rsid w:val="00914052"/>
    <w:rsid w:val="00914B18"/>
    <w:rsid w:val="00914B26"/>
    <w:rsid w:val="00914C00"/>
    <w:rsid w:val="009155CE"/>
    <w:rsid w:val="009159A9"/>
    <w:rsid w:val="009163CE"/>
    <w:rsid w:val="00916626"/>
    <w:rsid w:val="00916A29"/>
    <w:rsid w:val="0091738D"/>
    <w:rsid w:val="00917D39"/>
    <w:rsid w:val="00920127"/>
    <w:rsid w:val="009201B3"/>
    <w:rsid w:val="009206C8"/>
    <w:rsid w:val="009209D7"/>
    <w:rsid w:val="00920DE1"/>
    <w:rsid w:val="00921092"/>
    <w:rsid w:val="009216CE"/>
    <w:rsid w:val="00921FFC"/>
    <w:rsid w:val="009226A6"/>
    <w:rsid w:val="009229FA"/>
    <w:rsid w:val="00922D32"/>
    <w:rsid w:val="009230A5"/>
    <w:rsid w:val="009234D7"/>
    <w:rsid w:val="009236DC"/>
    <w:rsid w:val="009236F1"/>
    <w:rsid w:val="00924627"/>
    <w:rsid w:val="00924D44"/>
    <w:rsid w:val="00925259"/>
    <w:rsid w:val="00925574"/>
    <w:rsid w:val="00925970"/>
    <w:rsid w:val="00925A30"/>
    <w:rsid w:val="00925C48"/>
    <w:rsid w:val="00925CBE"/>
    <w:rsid w:val="00925D05"/>
    <w:rsid w:val="00925E57"/>
    <w:rsid w:val="00925EFB"/>
    <w:rsid w:val="00925F5D"/>
    <w:rsid w:val="00925F64"/>
    <w:rsid w:val="00926216"/>
    <w:rsid w:val="0092647E"/>
    <w:rsid w:val="00926654"/>
    <w:rsid w:val="00926779"/>
    <w:rsid w:val="00926AC4"/>
    <w:rsid w:val="00926D0D"/>
    <w:rsid w:val="00926ED0"/>
    <w:rsid w:val="00926FC5"/>
    <w:rsid w:val="00927AFF"/>
    <w:rsid w:val="009301CD"/>
    <w:rsid w:val="0093044B"/>
    <w:rsid w:val="00930457"/>
    <w:rsid w:val="009307A2"/>
    <w:rsid w:val="00930C11"/>
    <w:rsid w:val="00930D94"/>
    <w:rsid w:val="009311CE"/>
    <w:rsid w:val="00931630"/>
    <w:rsid w:val="00931942"/>
    <w:rsid w:val="00931A00"/>
    <w:rsid w:val="00931F07"/>
    <w:rsid w:val="009321A8"/>
    <w:rsid w:val="00932217"/>
    <w:rsid w:val="009325A3"/>
    <w:rsid w:val="00932F2E"/>
    <w:rsid w:val="00933F19"/>
    <w:rsid w:val="0093472D"/>
    <w:rsid w:val="0093487C"/>
    <w:rsid w:val="00934BF1"/>
    <w:rsid w:val="00934F59"/>
    <w:rsid w:val="00934FA0"/>
    <w:rsid w:val="00935E8A"/>
    <w:rsid w:val="00936186"/>
    <w:rsid w:val="00936610"/>
    <w:rsid w:val="009367A8"/>
    <w:rsid w:val="00936AE2"/>
    <w:rsid w:val="00936D94"/>
    <w:rsid w:val="00936F31"/>
    <w:rsid w:val="009371B0"/>
    <w:rsid w:val="0093767E"/>
    <w:rsid w:val="00937688"/>
    <w:rsid w:val="0093770F"/>
    <w:rsid w:val="00937988"/>
    <w:rsid w:val="00937B07"/>
    <w:rsid w:val="00937B31"/>
    <w:rsid w:val="00940386"/>
    <w:rsid w:val="009403D6"/>
    <w:rsid w:val="009404DD"/>
    <w:rsid w:val="009404F6"/>
    <w:rsid w:val="00940E19"/>
    <w:rsid w:val="00940EA3"/>
    <w:rsid w:val="009411BC"/>
    <w:rsid w:val="0094146E"/>
    <w:rsid w:val="009414DB"/>
    <w:rsid w:val="00941678"/>
    <w:rsid w:val="0094242A"/>
    <w:rsid w:val="00943148"/>
    <w:rsid w:val="0094324E"/>
    <w:rsid w:val="009437D1"/>
    <w:rsid w:val="0094440C"/>
    <w:rsid w:val="00945344"/>
    <w:rsid w:val="00945768"/>
    <w:rsid w:val="009457C0"/>
    <w:rsid w:val="00945B54"/>
    <w:rsid w:val="00945F53"/>
    <w:rsid w:val="009462CA"/>
    <w:rsid w:val="0094659E"/>
    <w:rsid w:val="00946C39"/>
    <w:rsid w:val="0094756F"/>
    <w:rsid w:val="0094776D"/>
    <w:rsid w:val="009477CA"/>
    <w:rsid w:val="00947887"/>
    <w:rsid w:val="00947D66"/>
    <w:rsid w:val="00950094"/>
    <w:rsid w:val="009516AD"/>
    <w:rsid w:val="009517D4"/>
    <w:rsid w:val="00951DAE"/>
    <w:rsid w:val="009522AA"/>
    <w:rsid w:val="009522C2"/>
    <w:rsid w:val="0095239A"/>
    <w:rsid w:val="0095270B"/>
    <w:rsid w:val="00952810"/>
    <w:rsid w:val="00952845"/>
    <w:rsid w:val="00953666"/>
    <w:rsid w:val="0095371D"/>
    <w:rsid w:val="00954D40"/>
    <w:rsid w:val="009550DC"/>
    <w:rsid w:val="0095518B"/>
    <w:rsid w:val="009551F9"/>
    <w:rsid w:val="00955581"/>
    <w:rsid w:val="00955AD4"/>
    <w:rsid w:val="00955F74"/>
    <w:rsid w:val="009561DB"/>
    <w:rsid w:val="009569BE"/>
    <w:rsid w:val="009569EE"/>
    <w:rsid w:val="00956B5B"/>
    <w:rsid w:val="00956FAD"/>
    <w:rsid w:val="009570FC"/>
    <w:rsid w:val="00957196"/>
    <w:rsid w:val="00957560"/>
    <w:rsid w:val="00957D35"/>
    <w:rsid w:val="00957F28"/>
    <w:rsid w:val="00957FD7"/>
    <w:rsid w:val="009605EE"/>
    <w:rsid w:val="0096151E"/>
    <w:rsid w:val="0096164C"/>
    <w:rsid w:val="009617E3"/>
    <w:rsid w:val="009618C2"/>
    <w:rsid w:val="00961D53"/>
    <w:rsid w:val="0096216A"/>
    <w:rsid w:val="00962170"/>
    <w:rsid w:val="009622A0"/>
    <w:rsid w:val="009622CB"/>
    <w:rsid w:val="009630F5"/>
    <w:rsid w:val="0096316A"/>
    <w:rsid w:val="009631EE"/>
    <w:rsid w:val="00963768"/>
    <w:rsid w:val="00963DA6"/>
    <w:rsid w:val="00963DAD"/>
    <w:rsid w:val="00964046"/>
    <w:rsid w:val="0096467A"/>
    <w:rsid w:val="00964A3C"/>
    <w:rsid w:val="00964DC6"/>
    <w:rsid w:val="00964E12"/>
    <w:rsid w:val="00965232"/>
    <w:rsid w:val="00965293"/>
    <w:rsid w:val="00965341"/>
    <w:rsid w:val="00965768"/>
    <w:rsid w:val="0096662B"/>
    <w:rsid w:val="00966819"/>
    <w:rsid w:val="00966A90"/>
    <w:rsid w:val="00966B7E"/>
    <w:rsid w:val="00966C8D"/>
    <w:rsid w:val="0096715D"/>
    <w:rsid w:val="009673CB"/>
    <w:rsid w:val="00967583"/>
    <w:rsid w:val="00967D82"/>
    <w:rsid w:val="009707FB"/>
    <w:rsid w:val="00970B72"/>
    <w:rsid w:val="00970BF4"/>
    <w:rsid w:val="00970E5C"/>
    <w:rsid w:val="00971952"/>
    <w:rsid w:val="00971FAD"/>
    <w:rsid w:val="009722F9"/>
    <w:rsid w:val="009723D0"/>
    <w:rsid w:val="00972688"/>
    <w:rsid w:val="009726BE"/>
    <w:rsid w:val="00972B11"/>
    <w:rsid w:val="00972D30"/>
    <w:rsid w:val="009730B3"/>
    <w:rsid w:val="00973C3A"/>
    <w:rsid w:val="00973D65"/>
    <w:rsid w:val="00974015"/>
    <w:rsid w:val="00974046"/>
    <w:rsid w:val="0097410D"/>
    <w:rsid w:val="009749C2"/>
    <w:rsid w:val="00975011"/>
    <w:rsid w:val="00975862"/>
    <w:rsid w:val="009758DE"/>
    <w:rsid w:val="00975B6A"/>
    <w:rsid w:val="00975D6F"/>
    <w:rsid w:val="009761A4"/>
    <w:rsid w:val="009762BD"/>
    <w:rsid w:val="00976414"/>
    <w:rsid w:val="00976BDB"/>
    <w:rsid w:val="00976DB2"/>
    <w:rsid w:val="00977300"/>
    <w:rsid w:val="00977A8C"/>
    <w:rsid w:val="00980200"/>
    <w:rsid w:val="00980B29"/>
    <w:rsid w:val="00981341"/>
    <w:rsid w:val="0098151E"/>
    <w:rsid w:val="00981588"/>
    <w:rsid w:val="00981B59"/>
    <w:rsid w:val="00981D76"/>
    <w:rsid w:val="00981D79"/>
    <w:rsid w:val="00981EF5"/>
    <w:rsid w:val="00981F56"/>
    <w:rsid w:val="00982D62"/>
    <w:rsid w:val="00982F91"/>
    <w:rsid w:val="00983269"/>
    <w:rsid w:val="00983DBB"/>
    <w:rsid w:val="00983EC1"/>
    <w:rsid w:val="009841A4"/>
    <w:rsid w:val="00984A0A"/>
    <w:rsid w:val="00985F2A"/>
    <w:rsid w:val="0098665F"/>
    <w:rsid w:val="00986BF7"/>
    <w:rsid w:val="00987B60"/>
    <w:rsid w:val="00987FCD"/>
    <w:rsid w:val="0099021C"/>
    <w:rsid w:val="00990226"/>
    <w:rsid w:val="009903D7"/>
    <w:rsid w:val="0099040C"/>
    <w:rsid w:val="009905E4"/>
    <w:rsid w:val="0099063A"/>
    <w:rsid w:val="009911D2"/>
    <w:rsid w:val="009914CC"/>
    <w:rsid w:val="009914E4"/>
    <w:rsid w:val="00991792"/>
    <w:rsid w:val="009917AB"/>
    <w:rsid w:val="00991B6C"/>
    <w:rsid w:val="00991C6B"/>
    <w:rsid w:val="009922F3"/>
    <w:rsid w:val="00992B44"/>
    <w:rsid w:val="00992D40"/>
    <w:rsid w:val="0099325E"/>
    <w:rsid w:val="00993A76"/>
    <w:rsid w:val="00994030"/>
    <w:rsid w:val="009940A8"/>
    <w:rsid w:val="00994186"/>
    <w:rsid w:val="0099469B"/>
    <w:rsid w:val="009946EF"/>
    <w:rsid w:val="00994A45"/>
    <w:rsid w:val="00994BD6"/>
    <w:rsid w:val="00994FF8"/>
    <w:rsid w:val="00995156"/>
    <w:rsid w:val="00995BF9"/>
    <w:rsid w:val="00995E5E"/>
    <w:rsid w:val="00995E90"/>
    <w:rsid w:val="00995ECD"/>
    <w:rsid w:val="00996075"/>
    <w:rsid w:val="0099648B"/>
    <w:rsid w:val="00996711"/>
    <w:rsid w:val="00997013"/>
    <w:rsid w:val="009972D1"/>
    <w:rsid w:val="00997917"/>
    <w:rsid w:val="009979ED"/>
    <w:rsid w:val="00997B0A"/>
    <w:rsid w:val="00997EBE"/>
    <w:rsid w:val="009A06BE"/>
    <w:rsid w:val="009A0795"/>
    <w:rsid w:val="009A0B1C"/>
    <w:rsid w:val="009A0DEA"/>
    <w:rsid w:val="009A18CD"/>
    <w:rsid w:val="009A1F29"/>
    <w:rsid w:val="009A200E"/>
    <w:rsid w:val="009A20B2"/>
    <w:rsid w:val="009A214F"/>
    <w:rsid w:val="009A3A69"/>
    <w:rsid w:val="009A3F58"/>
    <w:rsid w:val="009A4329"/>
    <w:rsid w:val="009A468D"/>
    <w:rsid w:val="009A4C7C"/>
    <w:rsid w:val="009A4D67"/>
    <w:rsid w:val="009A501F"/>
    <w:rsid w:val="009A5304"/>
    <w:rsid w:val="009A5A54"/>
    <w:rsid w:val="009A5B13"/>
    <w:rsid w:val="009A5B4F"/>
    <w:rsid w:val="009A5F21"/>
    <w:rsid w:val="009A5F71"/>
    <w:rsid w:val="009A66A7"/>
    <w:rsid w:val="009A6F26"/>
    <w:rsid w:val="009A76D6"/>
    <w:rsid w:val="009A799A"/>
    <w:rsid w:val="009A79E7"/>
    <w:rsid w:val="009A7B49"/>
    <w:rsid w:val="009A7C7F"/>
    <w:rsid w:val="009A7F69"/>
    <w:rsid w:val="009B09C5"/>
    <w:rsid w:val="009B0A8D"/>
    <w:rsid w:val="009B16BE"/>
    <w:rsid w:val="009B179C"/>
    <w:rsid w:val="009B18DC"/>
    <w:rsid w:val="009B19A6"/>
    <w:rsid w:val="009B1BA9"/>
    <w:rsid w:val="009B1FD5"/>
    <w:rsid w:val="009B2588"/>
    <w:rsid w:val="009B298E"/>
    <w:rsid w:val="009B2EEF"/>
    <w:rsid w:val="009B393E"/>
    <w:rsid w:val="009B39BA"/>
    <w:rsid w:val="009B3B32"/>
    <w:rsid w:val="009B3BC2"/>
    <w:rsid w:val="009B3E30"/>
    <w:rsid w:val="009B4C36"/>
    <w:rsid w:val="009B4DB4"/>
    <w:rsid w:val="009B537F"/>
    <w:rsid w:val="009B55E2"/>
    <w:rsid w:val="009B5C02"/>
    <w:rsid w:val="009B6367"/>
    <w:rsid w:val="009B6718"/>
    <w:rsid w:val="009B6844"/>
    <w:rsid w:val="009B6896"/>
    <w:rsid w:val="009B6EE2"/>
    <w:rsid w:val="009C0441"/>
    <w:rsid w:val="009C0A91"/>
    <w:rsid w:val="009C0B5A"/>
    <w:rsid w:val="009C0C89"/>
    <w:rsid w:val="009C1092"/>
    <w:rsid w:val="009C11FF"/>
    <w:rsid w:val="009C13DB"/>
    <w:rsid w:val="009C18B1"/>
    <w:rsid w:val="009C1A55"/>
    <w:rsid w:val="009C1D89"/>
    <w:rsid w:val="009C24EB"/>
    <w:rsid w:val="009C2EFA"/>
    <w:rsid w:val="009C2FF5"/>
    <w:rsid w:val="009C3105"/>
    <w:rsid w:val="009C321D"/>
    <w:rsid w:val="009C35D2"/>
    <w:rsid w:val="009C37C1"/>
    <w:rsid w:val="009C38F3"/>
    <w:rsid w:val="009C3E45"/>
    <w:rsid w:val="009C426F"/>
    <w:rsid w:val="009C457F"/>
    <w:rsid w:val="009C4904"/>
    <w:rsid w:val="009C4BB8"/>
    <w:rsid w:val="009C4BB9"/>
    <w:rsid w:val="009C4C49"/>
    <w:rsid w:val="009C4C53"/>
    <w:rsid w:val="009C4D9A"/>
    <w:rsid w:val="009C4DCB"/>
    <w:rsid w:val="009C5050"/>
    <w:rsid w:val="009C546D"/>
    <w:rsid w:val="009C56F2"/>
    <w:rsid w:val="009C5C6E"/>
    <w:rsid w:val="009C62A4"/>
    <w:rsid w:val="009C63E5"/>
    <w:rsid w:val="009C6430"/>
    <w:rsid w:val="009C6546"/>
    <w:rsid w:val="009C65D6"/>
    <w:rsid w:val="009C6FA5"/>
    <w:rsid w:val="009C7858"/>
    <w:rsid w:val="009C78B1"/>
    <w:rsid w:val="009C78BD"/>
    <w:rsid w:val="009C79BE"/>
    <w:rsid w:val="009C7AA7"/>
    <w:rsid w:val="009C7C98"/>
    <w:rsid w:val="009C7E3B"/>
    <w:rsid w:val="009D02AE"/>
    <w:rsid w:val="009D0702"/>
    <w:rsid w:val="009D07FE"/>
    <w:rsid w:val="009D0A47"/>
    <w:rsid w:val="009D0C70"/>
    <w:rsid w:val="009D1060"/>
    <w:rsid w:val="009D1168"/>
    <w:rsid w:val="009D2302"/>
    <w:rsid w:val="009D2D7F"/>
    <w:rsid w:val="009D31E0"/>
    <w:rsid w:val="009D4F50"/>
    <w:rsid w:val="009D5122"/>
    <w:rsid w:val="009D5483"/>
    <w:rsid w:val="009D5555"/>
    <w:rsid w:val="009D56ED"/>
    <w:rsid w:val="009D5AB3"/>
    <w:rsid w:val="009D5D63"/>
    <w:rsid w:val="009D612C"/>
    <w:rsid w:val="009D638E"/>
    <w:rsid w:val="009D673A"/>
    <w:rsid w:val="009D6CA6"/>
    <w:rsid w:val="009D72DD"/>
    <w:rsid w:val="009D7659"/>
    <w:rsid w:val="009D7D4C"/>
    <w:rsid w:val="009D7DE0"/>
    <w:rsid w:val="009E0259"/>
    <w:rsid w:val="009E0347"/>
    <w:rsid w:val="009E0561"/>
    <w:rsid w:val="009E057F"/>
    <w:rsid w:val="009E062A"/>
    <w:rsid w:val="009E0C81"/>
    <w:rsid w:val="009E1A69"/>
    <w:rsid w:val="009E1D6F"/>
    <w:rsid w:val="009E1D84"/>
    <w:rsid w:val="009E1DB0"/>
    <w:rsid w:val="009E2269"/>
    <w:rsid w:val="009E22B9"/>
    <w:rsid w:val="009E2CE2"/>
    <w:rsid w:val="009E3010"/>
    <w:rsid w:val="009E3E79"/>
    <w:rsid w:val="009E484E"/>
    <w:rsid w:val="009E4CA5"/>
    <w:rsid w:val="009E4CBE"/>
    <w:rsid w:val="009E4E5E"/>
    <w:rsid w:val="009E5220"/>
    <w:rsid w:val="009E52DA"/>
    <w:rsid w:val="009E5538"/>
    <w:rsid w:val="009E5556"/>
    <w:rsid w:val="009E579F"/>
    <w:rsid w:val="009E589A"/>
    <w:rsid w:val="009E5D4B"/>
    <w:rsid w:val="009E5D4D"/>
    <w:rsid w:val="009E5D7C"/>
    <w:rsid w:val="009E5FD7"/>
    <w:rsid w:val="009E66CE"/>
    <w:rsid w:val="009E70F6"/>
    <w:rsid w:val="009E71B8"/>
    <w:rsid w:val="009E71FD"/>
    <w:rsid w:val="009E7733"/>
    <w:rsid w:val="009E776C"/>
    <w:rsid w:val="009E78DE"/>
    <w:rsid w:val="009E7999"/>
    <w:rsid w:val="009E79F9"/>
    <w:rsid w:val="009E7D20"/>
    <w:rsid w:val="009E7D48"/>
    <w:rsid w:val="009E7E37"/>
    <w:rsid w:val="009F052D"/>
    <w:rsid w:val="009F0602"/>
    <w:rsid w:val="009F0B65"/>
    <w:rsid w:val="009F0D42"/>
    <w:rsid w:val="009F1475"/>
    <w:rsid w:val="009F1BFE"/>
    <w:rsid w:val="009F1CB7"/>
    <w:rsid w:val="009F21D3"/>
    <w:rsid w:val="009F2916"/>
    <w:rsid w:val="009F4745"/>
    <w:rsid w:val="009F48CA"/>
    <w:rsid w:val="009F4F0A"/>
    <w:rsid w:val="009F4F52"/>
    <w:rsid w:val="009F4FC3"/>
    <w:rsid w:val="009F54BC"/>
    <w:rsid w:val="009F55A9"/>
    <w:rsid w:val="009F585A"/>
    <w:rsid w:val="009F5B4D"/>
    <w:rsid w:val="009F5D69"/>
    <w:rsid w:val="009F6759"/>
    <w:rsid w:val="009F6778"/>
    <w:rsid w:val="009F6B7F"/>
    <w:rsid w:val="009F6BCC"/>
    <w:rsid w:val="009F6C7F"/>
    <w:rsid w:val="00A000BB"/>
    <w:rsid w:val="00A00214"/>
    <w:rsid w:val="00A002D4"/>
    <w:rsid w:val="00A003A8"/>
    <w:rsid w:val="00A01BBD"/>
    <w:rsid w:val="00A01C06"/>
    <w:rsid w:val="00A01C2E"/>
    <w:rsid w:val="00A01F89"/>
    <w:rsid w:val="00A0203D"/>
    <w:rsid w:val="00A022BF"/>
    <w:rsid w:val="00A023D1"/>
    <w:rsid w:val="00A0289E"/>
    <w:rsid w:val="00A02A1B"/>
    <w:rsid w:val="00A02C2D"/>
    <w:rsid w:val="00A02ECD"/>
    <w:rsid w:val="00A02FD8"/>
    <w:rsid w:val="00A0370C"/>
    <w:rsid w:val="00A03A2A"/>
    <w:rsid w:val="00A03AEC"/>
    <w:rsid w:val="00A03C36"/>
    <w:rsid w:val="00A03F76"/>
    <w:rsid w:val="00A04186"/>
    <w:rsid w:val="00A0425F"/>
    <w:rsid w:val="00A04F15"/>
    <w:rsid w:val="00A04F85"/>
    <w:rsid w:val="00A0510D"/>
    <w:rsid w:val="00A053D6"/>
    <w:rsid w:val="00A05583"/>
    <w:rsid w:val="00A05953"/>
    <w:rsid w:val="00A05DB1"/>
    <w:rsid w:val="00A06091"/>
    <w:rsid w:val="00A060B1"/>
    <w:rsid w:val="00A06696"/>
    <w:rsid w:val="00A067E0"/>
    <w:rsid w:val="00A06C66"/>
    <w:rsid w:val="00A074CF"/>
    <w:rsid w:val="00A075A0"/>
    <w:rsid w:val="00A0768A"/>
    <w:rsid w:val="00A07728"/>
    <w:rsid w:val="00A07E1F"/>
    <w:rsid w:val="00A107A1"/>
    <w:rsid w:val="00A10F13"/>
    <w:rsid w:val="00A1105F"/>
    <w:rsid w:val="00A1138B"/>
    <w:rsid w:val="00A115E5"/>
    <w:rsid w:val="00A11776"/>
    <w:rsid w:val="00A11BB7"/>
    <w:rsid w:val="00A11EA2"/>
    <w:rsid w:val="00A121E0"/>
    <w:rsid w:val="00A122E0"/>
    <w:rsid w:val="00A124D0"/>
    <w:rsid w:val="00A125B6"/>
    <w:rsid w:val="00A127A2"/>
    <w:rsid w:val="00A12D04"/>
    <w:rsid w:val="00A12DAC"/>
    <w:rsid w:val="00A135CA"/>
    <w:rsid w:val="00A1370E"/>
    <w:rsid w:val="00A13DB5"/>
    <w:rsid w:val="00A13E04"/>
    <w:rsid w:val="00A14062"/>
    <w:rsid w:val="00A141EB"/>
    <w:rsid w:val="00A1426F"/>
    <w:rsid w:val="00A1436B"/>
    <w:rsid w:val="00A1444B"/>
    <w:rsid w:val="00A14B0F"/>
    <w:rsid w:val="00A14C99"/>
    <w:rsid w:val="00A1519E"/>
    <w:rsid w:val="00A1555D"/>
    <w:rsid w:val="00A16192"/>
    <w:rsid w:val="00A16595"/>
    <w:rsid w:val="00A166A8"/>
    <w:rsid w:val="00A16A45"/>
    <w:rsid w:val="00A16B43"/>
    <w:rsid w:val="00A171AD"/>
    <w:rsid w:val="00A172C0"/>
    <w:rsid w:val="00A17397"/>
    <w:rsid w:val="00A176DE"/>
    <w:rsid w:val="00A17792"/>
    <w:rsid w:val="00A17CC8"/>
    <w:rsid w:val="00A17F04"/>
    <w:rsid w:val="00A2041B"/>
    <w:rsid w:val="00A20D90"/>
    <w:rsid w:val="00A20DBD"/>
    <w:rsid w:val="00A210EA"/>
    <w:rsid w:val="00A216B5"/>
    <w:rsid w:val="00A22391"/>
    <w:rsid w:val="00A22743"/>
    <w:rsid w:val="00A22C7A"/>
    <w:rsid w:val="00A23074"/>
    <w:rsid w:val="00A23199"/>
    <w:rsid w:val="00A237BA"/>
    <w:rsid w:val="00A2388B"/>
    <w:rsid w:val="00A23C09"/>
    <w:rsid w:val="00A24194"/>
    <w:rsid w:val="00A24520"/>
    <w:rsid w:val="00A2464E"/>
    <w:rsid w:val="00A249C9"/>
    <w:rsid w:val="00A24D06"/>
    <w:rsid w:val="00A252DA"/>
    <w:rsid w:val="00A254DD"/>
    <w:rsid w:val="00A25585"/>
    <w:rsid w:val="00A258C7"/>
    <w:rsid w:val="00A2661C"/>
    <w:rsid w:val="00A2695B"/>
    <w:rsid w:val="00A269C8"/>
    <w:rsid w:val="00A26B16"/>
    <w:rsid w:val="00A2712B"/>
    <w:rsid w:val="00A274A2"/>
    <w:rsid w:val="00A27605"/>
    <w:rsid w:val="00A27650"/>
    <w:rsid w:val="00A27D35"/>
    <w:rsid w:val="00A30652"/>
    <w:rsid w:val="00A3069F"/>
    <w:rsid w:val="00A30738"/>
    <w:rsid w:val="00A30991"/>
    <w:rsid w:val="00A30AB8"/>
    <w:rsid w:val="00A30ABB"/>
    <w:rsid w:val="00A30BFC"/>
    <w:rsid w:val="00A317A2"/>
    <w:rsid w:val="00A31AF3"/>
    <w:rsid w:val="00A323D3"/>
    <w:rsid w:val="00A325DB"/>
    <w:rsid w:val="00A327A0"/>
    <w:rsid w:val="00A32C1B"/>
    <w:rsid w:val="00A32E99"/>
    <w:rsid w:val="00A33956"/>
    <w:rsid w:val="00A33D31"/>
    <w:rsid w:val="00A33F34"/>
    <w:rsid w:val="00A33F74"/>
    <w:rsid w:val="00A34A6C"/>
    <w:rsid w:val="00A34FAC"/>
    <w:rsid w:val="00A350EB"/>
    <w:rsid w:val="00A3514D"/>
    <w:rsid w:val="00A359EE"/>
    <w:rsid w:val="00A35E7C"/>
    <w:rsid w:val="00A364FB"/>
    <w:rsid w:val="00A366AF"/>
    <w:rsid w:val="00A36758"/>
    <w:rsid w:val="00A36B74"/>
    <w:rsid w:val="00A36CEA"/>
    <w:rsid w:val="00A37251"/>
    <w:rsid w:val="00A375B4"/>
    <w:rsid w:val="00A40546"/>
    <w:rsid w:val="00A40B40"/>
    <w:rsid w:val="00A41B1B"/>
    <w:rsid w:val="00A41C31"/>
    <w:rsid w:val="00A41C51"/>
    <w:rsid w:val="00A42162"/>
    <w:rsid w:val="00A424BD"/>
    <w:rsid w:val="00A42C6B"/>
    <w:rsid w:val="00A42D02"/>
    <w:rsid w:val="00A42EB7"/>
    <w:rsid w:val="00A42FBF"/>
    <w:rsid w:val="00A439A9"/>
    <w:rsid w:val="00A43CF5"/>
    <w:rsid w:val="00A44047"/>
    <w:rsid w:val="00A45362"/>
    <w:rsid w:val="00A454BB"/>
    <w:rsid w:val="00A4558B"/>
    <w:rsid w:val="00A455A7"/>
    <w:rsid w:val="00A459DB"/>
    <w:rsid w:val="00A45F1D"/>
    <w:rsid w:val="00A46CEE"/>
    <w:rsid w:val="00A472AD"/>
    <w:rsid w:val="00A47384"/>
    <w:rsid w:val="00A47CA0"/>
    <w:rsid w:val="00A47D47"/>
    <w:rsid w:val="00A504A9"/>
    <w:rsid w:val="00A5052D"/>
    <w:rsid w:val="00A50DDD"/>
    <w:rsid w:val="00A50F81"/>
    <w:rsid w:val="00A5115F"/>
    <w:rsid w:val="00A511F0"/>
    <w:rsid w:val="00A51FB7"/>
    <w:rsid w:val="00A521C1"/>
    <w:rsid w:val="00A528B5"/>
    <w:rsid w:val="00A52BBE"/>
    <w:rsid w:val="00A5304E"/>
    <w:rsid w:val="00A53668"/>
    <w:rsid w:val="00A53BB2"/>
    <w:rsid w:val="00A53CFB"/>
    <w:rsid w:val="00A53D23"/>
    <w:rsid w:val="00A53D25"/>
    <w:rsid w:val="00A54957"/>
    <w:rsid w:val="00A54BD3"/>
    <w:rsid w:val="00A54FD5"/>
    <w:rsid w:val="00A554A5"/>
    <w:rsid w:val="00A55A3C"/>
    <w:rsid w:val="00A55A89"/>
    <w:rsid w:val="00A55B5D"/>
    <w:rsid w:val="00A55B77"/>
    <w:rsid w:val="00A55C2A"/>
    <w:rsid w:val="00A55C5D"/>
    <w:rsid w:val="00A56255"/>
    <w:rsid w:val="00A56614"/>
    <w:rsid w:val="00A56F17"/>
    <w:rsid w:val="00A579FF"/>
    <w:rsid w:val="00A57BB5"/>
    <w:rsid w:val="00A602A0"/>
    <w:rsid w:val="00A604B0"/>
    <w:rsid w:val="00A605C0"/>
    <w:rsid w:val="00A607B1"/>
    <w:rsid w:val="00A60976"/>
    <w:rsid w:val="00A60C76"/>
    <w:rsid w:val="00A60FE8"/>
    <w:rsid w:val="00A619F0"/>
    <w:rsid w:val="00A61D9E"/>
    <w:rsid w:val="00A623EC"/>
    <w:rsid w:val="00A625AD"/>
    <w:rsid w:val="00A625BC"/>
    <w:rsid w:val="00A62F24"/>
    <w:rsid w:val="00A63258"/>
    <w:rsid w:val="00A63FD2"/>
    <w:rsid w:val="00A647E9"/>
    <w:rsid w:val="00A64865"/>
    <w:rsid w:val="00A64D40"/>
    <w:rsid w:val="00A6519A"/>
    <w:rsid w:val="00A651B6"/>
    <w:rsid w:val="00A65700"/>
    <w:rsid w:val="00A659C8"/>
    <w:rsid w:val="00A65A03"/>
    <w:rsid w:val="00A66135"/>
    <w:rsid w:val="00A666A2"/>
    <w:rsid w:val="00A667A7"/>
    <w:rsid w:val="00A6702C"/>
    <w:rsid w:val="00A6717D"/>
    <w:rsid w:val="00A677F3"/>
    <w:rsid w:val="00A67A8B"/>
    <w:rsid w:val="00A67C49"/>
    <w:rsid w:val="00A70E81"/>
    <w:rsid w:val="00A71101"/>
    <w:rsid w:val="00A7113E"/>
    <w:rsid w:val="00A7134A"/>
    <w:rsid w:val="00A714E6"/>
    <w:rsid w:val="00A71977"/>
    <w:rsid w:val="00A71C1F"/>
    <w:rsid w:val="00A71E23"/>
    <w:rsid w:val="00A7221D"/>
    <w:rsid w:val="00A7352B"/>
    <w:rsid w:val="00A73586"/>
    <w:rsid w:val="00A736FF"/>
    <w:rsid w:val="00A739B8"/>
    <w:rsid w:val="00A73F44"/>
    <w:rsid w:val="00A74621"/>
    <w:rsid w:val="00A749C1"/>
    <w:rsid w:val="00A749C4"/>
    <w:rsid w:val="00A74F77"/>
    <w:rsid w:val="00A75614"/>
    <w:rsid w:val="00A75655"/>
    <w:rsid w:val="00A75916"/>
    <w:rsid w:val="00A75CAB"/>
    <w:rsid w:val="00A75E65"/>
    <w:rsid w:val="00A75EB2"/>
    <w:rsid w:val="00A76722"/>
    <w:rsid w:val="00A76730"/>
    <w:rsid w:val="00A76D2D"/>
    <w:rsid w:val="00A76DC2"/>
    <w:rsid w:val="00A76FA2"/>
    <w:rsid w:val="00A76FDC"/>
    <w:rsid w:val="00A7711C"/>
    <w:rsid w:val="00A771E6"/>
    <w:rsid w:val="00A77248"/>
    <w:rsid w:val="00A773B5"/>
    <w:rsid w:val="00A774E3"/>
    <w:rsid w:val="00A77594"/>
    <w:rsid w:val="00A775CF"/>
    <w:rsid w:val="00A77802"/>
    <w:rsid w:val="00A77AD9"/>
    <w:rsid w:val="00A77D26"/>
    <w:rsid w:val="00A77E8F"/>
    <w:rsid w:val="00A800DF"/>
    <w:rsid w:val="00A800EF"/>
    <w:rsid w:val="00A808A4"/>
    <w:rsid w:val="00A81421"/>
    <w:rsid w:val="00A815D0"/>
    <w:rsid w:val="00A81B8B"/>
    <w:rsid w:val="00A8268E"/>
    <w:rsid w:val="00A835D3"/>
    <w:rsid w:val="00A83692"/>
    <w:rsid w:val="00A837CF"/>
    <w:rsid w:val="00A83846"/>
    <w:rsid w:val="00A83A46"/>
    <w:rsid w:val="00A83AB1"/>
    <w:rsid w:val="00A845C6"/>
    <w:rsid w:val="00A8491B"/>
    <w:rsid w:val="00A84A77"/>
    <w:rsid w:val="00A84B6A"/>
    <w:rsid w:val="00A84D71"/>
    <w:rsid w:val="00A84F75"/>
    <w:rsid w:val="00A85C09"/>
    <w:rsid w:val="00A86604"/>
    <w:rsid w:val="00A86E5D"/>
    <w:rsid w:val="00A86EA2"/>
    <w:rsid w:val="00A87073"/>
    <w:rsid w:val="00A87409"/>
    <w:rsid w:val="00A8756C"/>
    <w:rsid w:val="00A875DE"/>
    <w:rsid w:val="00A876FC"/>
    <w:rsid w:val="00A87D00"/>
    <w:rsid w:val="00A87FC0"/>
    <w:rsid w:val="00A906C2"/>
    <w:rsid w:val="00A9079F"/>
    <w:rsid w:val="00A9081A"/>
    <w:rsid w:val="00A90A8A"/>
    <w:rsid w:val="00A90C9F"/>
    <w:rsid w:val="00A90F81"/>
    <w:rsid w:val="00A9110E"/>
    <w:rsid w:val="00A91629"/>
    <w:rsid w:val="00A91B24"/>
    <w:rsid w:val="00A91CA6"/>
    <w:rsid w:val="00A91D72"/>
    <w:rsid w:val="00A92794"/>
    <w:rsid w:val="00A92965"/>
    <w:rsid w:val="00A92CA0"/>
    <w:rsid w:val="00A93153"/>
    <w:rsid w:val="00A93953"/>
    <w:rsid w:val="00A93DD2"/>
    <w:rsid w:val="00A93E15"/>
    <w:rsid w:val="00A941BE"/>
    <w:rsid w:val="00A94D1B"/>
    <w:rsid w:val="00A9568C"/>
    <w:rsid w:val="00A95A0B"/>
    <w:rsid w:val="00A95B30"/>
    <w:rsid w:val="00A95E14"/>
    <w:rsid w:val="00A95FC4"/>
    <w:rsid w:val="00A962D8"/>
    <w:rsid w:val="00A963E4"/>
    <w:rsid w:val="00A967E3"/>
    <w:rsid w:val="00A96E14"/>
    <w:rsid w:val="00A96E94"/>
    <w:rsid w:val="00A96FF3"/>
    <w:rsid w:val="00A97F3D"/>
    <w:rsid w:val="00A97F8B"/>
    <w:rsid w:val="00AA0109"/>
    <w:rsid w:val="00AA054C"/>
    <w:rsid w:val="00AA0586"/>
    <w:rsid w:val="00AA1106"/>
    <w:rsid w:val="00AA13CD"/>
    <w:rsid w:val="00AA1626"/>
    <w:rsid w:val="00AA1924"/>
    <w:rsid w:val="00AA1928"/>
    <w:rsid w:val="00AA1B3E"/>
    <w:rsid w:val="00AA23A3"/>
    <w:rsid w:val="00AA253D"/>
    <w:rsid w:val="00AA2E55"/>
    <w:rsid w:val="00AA2FA8"/>
    <w:rsid w:val="00AA3130"/>
    <w:rsid w:val="00AA34D0"/>
    <w:rsid w:val="00AA3A4C"/>
    <w:rsid w:val="00AA3B99"/>
    <w:rsid w:val="00AA3FAF"/>
    <w:rsid w:val="00AA4425"/>
    <w:rsid w:val="00AA470F"/>
    <w:rsid w:val="00AA4BD1"/>
    <w:rsid w:val="00AA5101"/>
    <w:rsid w:val="00AA59C0"/>
    <w:rsid w:val="00AA5A3F"/>
    <w:rsid w:val="00AA5F33"/>
    <w:rsid w:val="00AA6133"/>
    <w:rsid w:val="00AA61BF"/>
    <w:rsid w:val="00AA62A7"/>
    <w:rsid w:val="00AA64B2"/>
    <w:rsid w:val="00AA66FA"/>
    <w:rsid w:val="00AA6B61"/>
    <w:rsid w:val="00AA74EC"/>
    <w:rsid w:val="00AA7761"/>
    <w:rsid w:val="00AA7834"/>
    <w:rsid w:val="00AA788C"/>
    <w:rsid w:val="00AA7C8B"/>
    <w:rsid w:val="00AA7EFB"/>
    <w:rsid w:val="00AB042A"/>
    <w:rsid w:val="00AB087F"/>
    <w:rsid w:val="00AB0F54"/>
    <w:rsid w:val="00AB0FF0"/>
    <w:rsid w:val="00AB10CC"/>
    <w:rsid w:val="00AB19C4"/>
    <w:rsid w:val="00AB1A5F"/>
    <w:rsid w:val="00AB1B9D"/>
    <w:rsid w:val="00AB2557"/>
    <w:rsid w:val="00AB2F9E"/>
    <w:rsid w:val="00AB395B"/>
    <w:rsid w:val="00AB3A3F"/>
    <w:rsid w:val="00AB3F07"/>
    <w:rsid w:val="00AB40AD"/>
    <w:rsid w:val="00AB43C5"/>
    <w:rsid w:val="00AB46DE"/>
    <w:rsid w:val="00AB4792"/>
    <w:rsid w:val="00AB4D48"/>
    <w:rsid w:val="00AB4EA9"/>
    <w:rsid w:val="00AB5638"/>
    <w:rsid w:val="00AB5786"/>
    <w:rsid w:val="00AB57D0"/>
    <w:rsid w:val="00AB5E55"/>
    <w:rsid w:val="00AB5F99"/>
    <w:rsid w:val="00AB6451"/>
    <w:rsid w:val="00AB6AFC"/>
    <w:rsid w:val="00AB6EC0"/>
    <w:rsid w:val="00AB7A37"/>
    <w:rsid w:val="00AC02E8"/>
    <w:rsid w:val="00AC03AC"/>
    <w:rsid w:val="00AC0426"/>
    <w:rsid w:val="00AC04D1"/>
    <w:rsid w:val="00AC0576"/>
    <w:rsid w:val="00AC0D6F"/>
    <w:rsid w:val="00AC0E2A"/>
    <w:rsid w:val="00AC12BF"/>
    <w:rsid w:val="00AC163F"/>
    <w:rsid w:val="00AC19B7"/>
    <w:rsid w:val="00AC1C63"/>
    <w:rsid w:val="00AC2022"/>
    <w:rsid w:val="00AC213C"/>
    <w:rsid w:val="00AC2362"/>
    <w:rsid w:val="00AC2A46"/>
    <w:rsid w:val="00AC2B0B"/>
    <w:rsid w:val="00AC2D47"/>
    <w:rsid w:val="00AC3486"/>
    <w:rsid w:val="00AC3D2C"/>
    <w:rsid w:val="00AC430B"/>
    <w:rsid w:val="00AC454C"/>
    <w:rsid w:val="00AC4823"/>
    <w:rsid w:val="00AC5413"/>
    <w:rsid w:val="00AC5547"/>
    <w:rsid w:val="00AC5745"/>
    <w:rsid w:val="00AC5AFF"/>
    <w:rsid w:val="00AC5C62"/>
    <w:rsid w:val="00AC624B"/>
    <w:rsid w:val="00AC64C7"/>
    <w:rsid w:val="00AC6A0A"/>
    <w:rsid w:val="00AC6BF6"/>
    <w:rsid w:val="00AC7046"/>
    <w:rsid w:val="00AC7416"/>
    <w:rsid w:val="00AC761A"/>
    <w:rsid w:val="00AC7675"/>
    <w:rsid w:val="00AC77FB"/>
    <w:rsid w:val="00AC79CA"/>
    <w:rsid w:val="00AC7C25"/>
    <w:rsid w:val="00AC7F78"/>
    <w:rsid w:val="00AD09D5"/>
    <w:rsid w:val="00AD09FB"/>
    <w:rsid w:val="00AD0D65"/>
    <w:rsid w:val="00AD1269"/>
    <w:rsid w:val="00AD1366"/>
    <w:rsid w:val="00AD1A1D"/>
    <w:rsid w:val="00AD22F3"/>
    <w:rsid w:val="00AD23AD"/>
    <w:rsid w:val="00AD2A4D"/>
    <w:rsid w:val="00AD3484"/>
    <w:rsid w:val="00AD39A0"/>
    <w:rsid w:val="00AD3BB6"/>
    <w:rsid w:val="00AD3C97"/>
    <w:rsid w:val="00AD3ED4"/>
    <w:rsid w:val="00AD4500"/>
    <w:rsid w:val="00AD47A4"/>
    <w:rsid w:val="00AD4D06"/>
    <w:rsid w:val="00AD4E6B"/>
    <w:rsid w:val="00AD4E98"/>
    <w:rsid w:val="00AD515E"/>
    <w:rsid w:val="00AD519B"/>
    <w:rsid w:val="00AD5289"/>
    <w:rsid w:val="00AD545E"/>
    <w:rsid w:val="00AD5657"/>
    <w:rsid w:val="00AD5BF9"/>
    <w:rsid w:val="00AD5DF8"/>
    <w:rsid w:val="00AD5EDA"/>
    <w:rsid w:val="00AD66B0"/>
    <w:rsid w:val="00AD7536"/>
    <w:rsid w:val="00AD7996"/>
    <w:rsid w:val="00AD7FEA"/>
    <w:rsid w:val="00AE0A09"/>
    <w:rsid w:val="00AE0E6C"/>
    <w:rsid w:val="00AE1692"/>
    <w:rsid w:val="00AE19F0"/>
    <w:rsid w:val="00AE30FC"/>
    <w:rsid w:val="00AE3AAB"/>
    <w:rsid w:val="00AE3BA9"/>
    <w:rsid w:val="00AE3C64"/>
    <w:rsid w:val="00AE488A"/>
    <w:rsid w:val="00AE4BC2"/>
    <w:rsid w:val="00AE515D"/>
    <w:rsid w:val="00AE532F"/>
    <w:rsid w:val="00AE5394"/>
    <w:rsid w:val="00AE557D"/>
    <w:rsid w:val="00AE55B7"/>
    <w:rsid w:val="00AE5A41"/>
    <w:rsid w:val="00AE5BC3"/>
    <w:rsid w:val="00AE601D"/>
    <w:rsid w:val="00AE60F7"/>
    <w:rsid w:val="00AE6498"/>
    <w:rsid w:val="00AE6BB4"/>
    <w:rsid w:val="00AE6F00"/>
    <w:rsid w:val="00AE758A"/>
    <w:rsid w:val="00AE7937"/>
    <w:rsid w:val="00AE7B5C"/>
    <w:rsid w:val="00AF11F7"/>
    <w:rsid w:val="00AF13D5"/>
    <w:rsid w:val="00AF1467"/>
    <w:rsid w:val="00AF1662"/>
    <w:rsid w:val="00AF1DA5"/>
    <w:rsid w:val="00AF1E0C"/>
    <w:rsid w:val="00AF1E22"/>
    <w:rsid w:val="00AF2D07"/>
    <w:rsid w:val="00AF3171"/>
    <w:rsid w:val="00AF3255"/>
    <w:rsid w:val="00AF3719"/>
    <w:rsid w:val="00AF3AD0"/>
    <w:rsid w:val="00AF417D"/>
    <w:rsid w:val="00AF4366"/>
    <w:rsid w:val="00AF43FA"/>
    <w:rsid w:val="00AF4DDB"/>
    <w:rsid w:val="00AF55C7"/>
    <w:rsid w:val="00AF5CF3"/>
    <w:rsid w:val="00AF6A5B"/>
    <w:rsid w:val="00AF725C"/>
    <w:rsid w:val="00AF7550"/>
    <w:rsid w:val="00AF7C82"/>
    <w:rsid w:val="00AF7E1A"/>
    <w:rsid w:val="00AF7F22"/>
    <w:rsid w:val="00AF7F5F"/>
    <w:rsid w:val="00B00270"/>
    <w:rsid w:val="00B005F5"/>
    <w:rsid w:val="00B019A1"/>
    <w:rsid w:val="00B01F70"/>
    <w:rsid w:val="00B02230"/>
    <w:rsid w:val="00B023FD"/>
    <w:rsid w:val="00B02528"/>
    <w:rsid w:val="00B0295F"/>
    <w:rsid w:val="00B02F4C"/>
    <w:rsid w:val="00B03066"/>
    <w:rsid w:val="00B03C15"/>
    <w:rsid w:val="00B03C69"/>
    <w:rsid w:val="00B03FA5"/>
    <w:rsid w:val="00B04019"/>
    <w:rsid w:val="00B047D7"/>
    <w:rsid w:val="00B04822"/>
    <w:rsid w:val="00B048E9"/>
    <w:rsid w:val="00B04BF4"/>
    <w:rsid w:val="00B04E1A"/>
    <w:rsid w:val="00B04E2A"/>
    <w:rsid w:val="00B057B4"/>
    <w:rsid w:val="00B05E25"/>
    <w:rsid w:val="00B05FBD"/>
    <w:rsid w:val="00B060B1"/>
    <w:rsid w:val="00B062DD"/>
    <w:rsid w:val="00B063B4"/>
    <w:rsid w:val="00B06851"/>
    <w:rsid w:val="00B068AA"/>
    <w:rsid w:val="00B068D7"/>
    <w:rsid w:val="00B06DDE"/>
    <w:rsid w:val="00B06EC0"/>
    <w:rsid w:val="00B0713C"/>
    <w:rsid w:val="00B0743B"/>
    <w:rsid w:val="00B0767E"/>
    <w:rsid w:val="00B076F0"/>
    <w:rsid w:val="00B07C2E"/>
    <w:rsid w:val="00B10582"/>
    <w:rsid w:val="00B10772"/>
    <w:rsid w:val="00B110CA"/>
    <w:rsid w:val="00B111DF"/>
    <w:rsid w:val="00B11212"/>
    <w:rsid w:val="00B11B25"/>
    <w:rsid w:val="00B11BBF"/>
    <w:rsid w:val="00B11D2D"/>
    <w:rsid w:val="00B1203A"/>
    <w:rsid w:val="00B12286"/>
    <w:rsid w:val="00B12307"/>
    <w:rsid w:val="00B1250E"/>
    <w:rsid w:val="00B126A2"/>
    <w:rsid w:val="00B129B4"/>
    <w:rsid w:val="00B12C69"/>
    <w:rsid w:val="00B12F69"/>
    <w:rsid w:val="00B12F7F"/>
    <w:rsid w:val="00B12FB1"/>
    <w:rsid w:val="00B13234"/>
    <w:rsid w:val="00B13A5A"/>
    <w:rsid w:val="00B13D19"/>
    <w:rsid w:val="00B13D1C"/>
    <w:rsid w:val="00B13D56"/>
    <w:rsid w:val="00B1437B"/>
    <w:rsid w:val="00B14826"/>
    <w:rsid w:val="00B14AF3"/>
    <w:rsid w:val="00B14C86"/>
    <w:rsid w:val="00B14DA0"/>
    <w:rsid w:val="00B152DA"/>
    <w:rsid w:val="00B16204"/>
    <w:rsid w:val="00B1664F"/>
    <w:rsid w:val="00B16666"/>
    <w:rsid w:val="00B16854"/>
    <w:rsid w:val="00B16B21"/>
    <w:rsid w:val="00B17011"/>
    <w:rsid w:val="00B173A5"/>
    <w:rsid w:val="00B17C3C"/>
    <w:rsid w:val="00B20036"/>
    <w:rsid w:val="00B205ED"/>
    <w:rsid w:val="00B208D1"/>
    <w:rsid w:val="00B20F4A"/>
    <w:rsid w:val="00B21279"/>
    <w:rsid w:val="00B21524"/>
    <w:rsid w:val="00B217D7"/>
    <w:rsid w:val="00B2258B"/>
    <w:rsid w:val="00B2260E"/>
    <w:rsid w:val="00B229D9"/>
    <w:rsid w:val="00B22A44"/>
    <w:rsid w:val="00B22B35"/>
    <w:rsid w:val="00B22C36"/>
    <w:rsid w:val="00B23AEE"/>
    <w:rsid w:val="00B23CF4"/>
    <w:rsid w:val="00B23E0B"/>
    <w:rsid w:val="00B24372"/>
    <w:rsid w:val="00B2474C"/>
    <w:rsid w:val="00B2480B"/>
    <w:rsid w:val="00B24BC2"/>
    <w:rsid w:val="00B24CC0"/>
    <w:rsid w:val="00B24E07"/>
    <w:rsid w:val="00B24FB6"/>
    <w:rsid w:val="00B2553D"/>
    <w:rsid w:val="00B259F5"/>
    <w:rsid w:val="00B25A17"/>
    <w:rsid w:val="00B25B51"/>
    <w:rsid w:val="00B26206"/>
    <w:rsid w:val="00B262AA"/>
    <w:rsid w:val="00B263E1"/>
    <w:rsid w:val="00B2652F"/>
    <w:rsid w:val="00B2667D"/>
    <w:rsid w:val="00B267EE"/>
    <w:rsid w:val="00B26BA1"/>
    <w:rsid w:val="00B27E55"/>
    <w:rsid w:val="00B30279"/>
    <w:rsid w:val="00B30561"/>
    <w:rsid w:val="00B3067D"/>
    <w:rsid w:val="00B30A6F"/>
    <w:rsid w:val="00B30AAB"/>
    <w:rsid w:val="00B30C68"/>
    <w:rsid w:val="00B312FA"/>
    <w:rsid w:val="00B31C38"/>
    <w:rsid w:val="00B320ED"/>
    <w:rsid w:val="00B32380"/>
    <w:rsid w:val="00B32448"/>
    <w:rsid w:val="00B3292E"/>
    <w:rsid w:val="00B32BAA"/>
    <w:rsid w:val="00B32D50"/>
    <w:rsid w:val="00B32EB0"/>
    <w:rsid w:val="00B331A6"/>
    <w:rsid w:val="00B335D7"/>
    <w:rsid w:val="00B33C08"/>
    <w:rsid w:val="00B33CBA"/>
    <w:rsid w:val="00B34ABB"/>
    <w:rsid w:val="00B34EEA"/>
    <w:rsid w:val="00B35073"/>
    <w:rsid w:val="00B35241"/>
    <w:rsid w:val="00B35520"/>
    <w:rsid w:val="00B35BC2"/>
    <w:rsid w:val="00B35D71"/>
    <w:rsid w:val="00B361B3"/>
    <w:rsid w:val="00B36454"/>
    <w:rsid w:val="00B36669"/>
    <w:rsid w:val="00B36CB4"/>
    <w:rsid w:val="00B3743E"/>
    <w:rsid w:val="00B37F85"/>
    <w:rsid w:val="00B400D2"/>
    <w:rsid w:val="00B400E8"/>
    <w:rsid w:val="00B401BF"/>
    <w:rsid w:val="00B40255"/>
    <w:rsid w:val="00B4066D"/>
    <w:rsid w:val="00B40E0B"/>
    <w:rsid w:val="00B4184A"/>
    <w:rsid w:val="00B41875"/>
    <w:rsid w:val="00B41B89"/>
    <w:rsid w:val="00B41F3E"/>
    <w:rsid w:val="00B431F3"/>
    <w:rsid w:val="00B433AC"/>
    <w:rsid w:val="00B433EB"/>
    <w:rsid w:val="00B43CD0"/>
    <w:rsid w:val="00B43D0D"/>
    <w:rsid w:val="00B442F1"/>
    <w:rsid w:val="00B445BC"/>
    <w:rsid w:val="00B45C3C"/>
    <w:rsid w:val="00B45FA1"/>
    <w:rsid w:val="00B4610E"/>
    <w:rsid w:val="00B461D8"/>
    <w:rsid w:val="00B4624C"/>
    <w:rsid w:val="00B46354"/>
    <w:rsid w:val="00B4718A"/>
    <w:rsid w:val="00B47431"/>
    <w:rsid w:val="00B47727"/>
    <w:rsid w:val="00B47968"/>
    <w:rsid w:val="00B47AA5"/>
    <w:rsid w:val="00B47BF6"/>
    <w:rsid w:val="00B47ED7"/>
    <w:rsid w:val="00B501B6"/>
    <w:rsid w:val="00B502D8"/>
    <w:rsid w:val="00B50605"/>
    <w:rsid w:val="00B5078B"/>
    <w:rsid w:val="00B50D6D"/>
    <w:rsid w:val="00B514CE"/>
    <w:rsid w:val="00B5229B"/>
    <w:rsid w:val="00B527CA"/>
    <w:rsid w:val="00B52A57"/>
    <w:rsid w:val="00B52DAF"/>
    <w:rsid w:val="00B52DE0"/>
    <w:rsid w:val="00B53210"/>
    <w:rsid w:val="00B5338A"/>
    <w:rsid w:val="00B5389F"/>
    <w:rsid w:val="00B539DB"/>
    <w:rsid w:val="00B53AE9"/>
    <w:rsid w:val="00B53F01"/>
    <w:rsid w:val="00B54073"/>
    <w:rsid w:val="00B5425E"/>
    <w:rsid w:val="00B545E6"/>
    <w:rsid w:val="00B5471E"/>
    <w:rsid w:val="00B549EA"/>
    <w:rsid w:val="00B54C09"/>
    <w:rsid w:val="00B553E3"/>
    <w:rsid w:val="00B55AC3"/>
    <w:rsid w:val="00B55C1A"/>
    <w:rsid w:val="00B56DD7"/>
    <w:rsid w:val="00B57298"/>
    <w:rsid w:val="00B576F7"/>
    <w:rsid w:val="00B57702"/>
    <w:rsid w:val="00B577E3"/>
    <w:rsid w:val="00B602D9"/>
    <w:rsid w:val="00B60EDE"/>
    <w:rsid w:val="00B611C2"/>
    <w:rsid w:val="00B6158A"/>
    <w:rsid w:val="00B6207B"/>
    <w:rsid w:val="00B62445"/>
    <w:rsid w:val="00B62807"/>
    <w:rsid w:val="00B63941"/>
    <w:rsid w:val="00B63B5B"/>
    <w:rsid w:val="00B63F20"/>
    <w:rsid w:val="00B643D2"/>
    <w:rsid w:val="00B6470F"/>
    <w:rsid w:val="00B648C9"/>
    <w:rsid w:val="00B64B0D"/>
    <w:rsid w:val="00B6500E"/>
    <w:rsid w:val="00B650B1"/>
    <w:rsid w:val="00B65391"/>
    <w:rsid w:val="00B65A57"/>
    <w:rsid w:val="00B6606D"/>
    <w:rsid w:val="00B66141"/>
    <w:rsid w:val="00B66273"/>
    <w:rsid w:val="00B663CC"/>
    <w:rsid w:val="00B66BBE"/>
    <w:rsid w:val="00B66BE1"/>
    <w:rsid w:val="00B67189"/>
    <w:rsid w:val="00B672B2"/>
    <w:rsid w:val="00B70065"/>
    <w:rsid w:val="00B70759"/>
    <w:rsid w:val="00B70A2C"/>
    <w:rsid w:val="00B70BF4"/>
    <w:rsid w:val="00B70FCD"/>
    <w:rsid w:val="00B71236"/>
    <w:rsid w:val="00B717C0"/>
    <w:rsid w:val="00B71950"/>
    <w:rsid w:val="00B719AE"/>
    <w:rsid w:val="00B71E65"/>
    <w:rsid w:val="00B71E90"/>
    <w:rsid w:val="00B7252B"/>
    <w:rsid w:val="00B72E5C"/>
    <w:rsid w:val="00B73197"/>
    <w:rsid w:val="00B733ED"/>
    <w:rsid w:val="00B735E8"/>
    <w:rsid w:val="00B73CFD"/>
    <w:rsid w:val="00B73EF4"/>
    <w:rsid w:val="00B743DC"/>
    <w:rsid w:val="00B74D72"/>
    <w:rsid w:val="00B74EFF"/>
    <w:rsid w:val="00B74F8E"/>
    <w:rsid w:val="00B752DD"/>
    <w:rsid w:val="00B756B8"/>
    <w:rsid w:val="00B76549"/>
    <w:rsid w:val="00B766CB"/>
    <w:rsid w:val="00B767C4"/>
    <w:rsid w:val="00B76BCE"/>
    <w:rsid w:val="00B76F8A"/>
    <w:rsid w:val="00B772F2"/>
    <w:rsid w:val="00B77449"/>
    <w:rsid w:val="00B77B0C"/>
    <w:rsid w:val="00B77C0D"/>
    <w:rsid w:val="00B77C4D"/>
    <w:rsid w:val="00B77F41"/>
    <w:rsid w:val="00B807D7"/>
    <w:rsid w:val="00B80ADD"/>
    <w:rsid w:val="00B8118E"/>
    <w:rsid w:val="00B81551"/>
    <w:rsid w:val="00B81C7F"/>
    <w:rsid w:val="00B81E79"/>
    <w:rsid w:val="00B81F8D"/>
    <w:rsid w:val="00B8207A"/>
    <w:rsid w:val="00B82080"/>
    <w:rsid w:val="00B82456"/>
    <w:rsid w:val="00B827AE"/>
    <w:rsid w:val="00B82B09"/>
    <w:rsid w:val="00B82BA9"/>
    <w:rsid w:val="00B82D66"/>
    <w:rsid w:val="00B82DCB"/>
    <w:rsid w:val="00B835BF"/>
    <w:rsid w:val="00B836A6"/>
    <w:rsid w:val="00B840D5"/>
    <w:rsid w:val="00B8430A"/>
    <w:rsid w:val="00B84988"/>
    <w:rsid w:val="00B84A2E"/>
    <w:rsid w:val="00B84AA0"/>
    <w:rsid w:val="00B84C8D"/>
    <w:rsid w:val="00B84EE9"/>
    <w:rsid w:val="00B85274"/>
    <w:rsid w:val="00B85740"/>
    <w:rsid w:val="00B857C7"/>
    <w:rsid w:val="00B85D21"/>
    <w:rsid w:val="00B86056"/>
    <w:rsid w:val="00B8611D"/>
    <w:rsid w:val="00B8776C"/>
    <w:rsid w:val="00B87BB5"/>
    <w:rsid w:val="00B903FE"/>
    <w:rsid w:val="00B906AB"/>
    <w:rsid w:val="00B908BA"/>
    <w:rsid w:val="00B90BC9"/>
    <w:rsid w:val="00B90D1B"/>
    <w:rsid w:val="00B91765"/>
    <w:rsid w:val="00B917BE"/>
    <w:rsid w:val="00B91BAB"/>
    <w:rsid w:val="00B91BD5"/>
    <w:rsid w:val="00B91DFC"/>
    <w:rsid w:val="00B923CF"/>
    <w:rsid w:val="00B924C0"/>
    <w:rsid w:val="00B940B7"/>
    <w:rsid w:val="00B940BD"/>
    <w:rsid w:val="00B9420D"/>
    <w:rsid w:val="00B942A7"/>
    <w:rsid w:val="00B94A1E"/>
    <w:rsid w:val="00B94BBA"/>
    <w:rsid w:val="00B94E6B"/>
    <w:rsid w:val="00B95822"/>
    <w:rsid w:val="00B95EC5"/>
    <w:rsid w:val="00B95ED9"/>
    <w:rsid w:val="00B96291"/>
    <w:rsid w:val="00B9637F"/>
    <w:rsid w:val="00B96DD5"/>
    <w:rsid w:val="00B96E18"/>
    <w:rsid w:val="00B972F1"/>
    <w:rsid w:val="00B974B6"/>
    <w:rsid w:val="00B977EE"/>
    <w:rsid w:val="00B979B3"/>
    <w:rsid w:val="00B97D53"/>
    <w:rsid w:val="00BA0189"/>
    <w:rsid w:val="00BA121A"/>
    <w:rsid w:val="00BA126D"/>
    <w:rsid w:val="00BA174F"/>
    <w:rsid w:val="00BA1857"/>
    <w:rsid w:val="00BA1AA0"/>
    <w:rsid w:val="00BA1F1E"/>
    <w:rsid w:val="00BA23C7"/>
    <w:rsid w:val="00BA26A4"/>
    <w:rsid w:val="00BA2B16"/>
    <w:rsid w:val="00BA2EC9"/>
    <w:rsid w:val="00BA322E"/>
    <w:rsid w:val="00BA358F"/>
    <w:rsid w:val="00BA3B8C"/>
    <w:rsid w:val="00BA3DDC"/>
    <w:rsid w:val="00BA3E49"/>
    <w:rsid w:val="00BA4383"/>
    <w:rsid w:val="00BA4620"/>
    <w:rsid w:val="00BA4708"/>
    <w:rsid w:val="00BA4A58"/>
    <w:rsid w:val="00BA4C96"/>
    <w:rsid w:val="00BA51DA"/>
    <w:rsid w:val="00BA59B2"/>
    <w:rsid w:val="00BA5CDF"/>
    <w:rsid w:val="00BA64CA"/>
    <w:rsid w:val="00BA6703"/>
    <w:rsid w:val="00BA672A"/>
    <w:rsid w:val="00BA6823"/>
    <w:rsid w:val="00BA6848"/>
    <w:rsid w:val="00BA69CB"/>
    <w:rsid w:val="00BA6BD9"/>
    <w:rsid w:val="00BA7376"/>
    <w:rsid w:val="00BA7919"/>
    <w:rsid w:val="00BA7BE4"/>
    <w:rsid w:val="00BA7FCD"/>
    <w:rsid w:val="00BB0151"/>
    <w:rsid w:val="00BB1DA5"/>
    <w:rsid w:val="00BB1E82"/>
    <w:rsid w:val="00BB1F2E"/>
    <w:rsid w:val="00BB2611"/>
    <w:rsid w:val="00BB2BB6"/>
    <w:rsid w:val="00BB2C0D"/>
    <w:rsid w:val="00BB2E28"/>
    <w:rsid w:val="00BB3458"/>
    <w:rsid w:val="00BB38AE"/>
    <w:rsid w:val="00BB38E0"/>
    <w:rsid w:val="00BB3D68"/>
    <w:rsid w:val="00BB4AB2"/>
    <w:rsid w:val="00BB4C68"/>
    <w:rsid w:val="00BB4C9F"/>
    <w:rsid w:val="00BB50CD"/>
    <w:rsid w:val="00BB51A1"/>
    <w:rsid w:val="00BB5305"/>
    <w:rsid w:val="00BB55C9"/>
    <w:rsid w:val="00BB564C"/>
    <w:rsid w:val="00BB57FB"/>
    <w:rsid w:val="00BB5B31"/>
    <w:rsid w:val="00BB68E9"/>
    <w:rsid w:val="00BB7281"/>
    <w:rsid w:val="00BB74AF"/>
    <w:rsid w:val="00BB7B10"/>
    <w:rsid w:val="00BB7C53"/>
    <w:rsid w:val="00BB7FDF"/>
    <w:rsid w:val="00BC00CF"/>
    <w:rsid w:val="00BC059C"/>
    <w:rsid w:val="00BC06FE"/>
    <w:rsid w:val="00BC0F8D"/>
    <w:rsid w:val="00BC12F1"/>
    <w:rsid w:val="00BC159F"/>
    <w:rsid w:val="00BC1E53"/>
    <w:rsid w:val="00BC216E"/>
    <w:rsid w:val="00BC3A58"/>
    <w:rsid w:val="00BC3B0B"/>
    <w:rsid w:val="00BC3BE1"/>
    <w:rsid w:val="00BC3D69"/>
    <w:rsid w:val="00BC3F2B"/>
    <w:rsid w:val="00BC4447"/>
    <w:rsid w:val="00BC4B10"/>
    <w:rsid w:val="00BC5418"/>
    <w:rsid w:val="00BC5848"/>
    <w:rsid w:val="00BC61A6"/>
    <w:rsid w:val="00BC6546"/>
    <w:rsid w:val="00BC6D76"/>
    <w:rsid w:val="00BC70DD"/>
    <w:rsid w:val="00BC7334"/>
    <w:rsid w:val="00BC740D"/>
    <w:rsid w:val="00BC7493"/>
    <w:rsid w:val="00BC74E2"/>
    <w:rsid w:val="00BC770E"/>
    <w:rsid w:val="00BC7D0A"/>
    <w:rsid w:val="00BD01F7"/>
    <w:rsid w:val="00BD036D"/>
    <w:rsid w:val="00BD04FE"/>
    <w:rsid w:val="00BD06A9"/>
    <w:rsid w:val="00BD0D03"/>
    <w:rsid w:val="00BD110A"/>
    <w:rsid w:val="00BD1276"/>
    <w:rsid w:val="00BD12C2"/>
    <w:rsid w:val="00BD13F0"/>
    <w:rsid w:val="00BD1444"/>
    <w:rsid w:val="00BD1956"/>
    <w:rsid w:val="00BD1C06"/>
    <w:rsid w:val="00BD1E87"/>
    <w:rsid w:val="00BD20D4"/>
    <w:rsid w:val="00BD216A"/>
    <w:rsid w:val="00BD2580"/>
    <w:rsid w:val="00BD2DF8"/>
    <w:rsid w:val="00BD35EC"/>
    <w:rsid w:val="00BD36C6"/>
    <w:rsid w:val="00BD4182"/>
    <w:rsid w:val="00BD426D"/>
    <w:rsid w:val="00BD46D1"/>
    <w:rsid w:val="00BD490B"/>
    <w:rsid w:val="00BD4B3D"/>
    <w:rsid w:val="00BD56DA"/>
    <w:rsid w:val="00BD5B20"/>
    <w:rsid w:val="00BD5DDD"/>
    <w:rsid w:val="00BD6048"/>
    <w:rsid w:val="00BD6184"/>
    <w:rsid w:val="00BD67DB"/>
    <w:rsid w:val="00BD69AD"/>
    <w:rsid w:val="00BD6AE3"/>
    <w:rsid w:val="00BD6BD5"/>
    <w:rsid w:val="00BD7368"/>
    <w:rsid w:val="00BD7446"/>
    <w:rsid w:val="00BD770A"/>
    <w:rsid w:val="00BD7B8E"/>
    <w:rsid w:val="00BD7BCB"/>
    <w:rsid w:val="00BE033F"/>
    <w:rsid w:val="00BE0412"/>
    <w:rsid w:val="00BE0633"/>
    <w:rsid w:val="00BE07B8"/>
    <w:rsid w:val="00BE08F9"/>
    <w:rsid w:val="00BE0AD6"/>
    <w:rsid w:val="00BE0F87"/>
    <w:rsid w:val="00BE11FA"/>
    <w:rsid w:val="00BE14E7"/>
    <w:rsid w:val="00BE16A5"/>
    <w:rsid w:val="00BE16C5"/>
    <w:rsid w:val="00BE1799"/>
    <w:rsid w:val="00BE1F37"/>
    <w:rsid w:val="00BE20E7"/>
    <w:rsid w:val="00BE2247"/>
    <w:rsid w:val="00BE23CA"/>
    <w:rsid w:val="00BE2DBE"/>
    <w:rsid w:val="00BE314C"/>
    <w:rsid w:val="00BE3A0C"/>
    <w:rsid w:val="00BE3A8B"/>
    <w:rsid w:val="00BE3AEC"/>
    <w:rsid w:val="00BE3C11"/>
    <w:rsid w:val="00BE40EE"/>
    <w:rsid w:val="00BE4854"/>
    <w:rsid w:val="00BE4899"/>
    <w:rsid w:val="00BE4B0B"/>
    <w:rsid w:val="00BE4DEA"/>
    <w:rsid w:val="00BE4F86"/>
    <w:rsid w:val="00BE4FDE"/>
    <w:rsid w:val="00BE56A8"/>
    <w:rsid w:val="00BE587C"/>
    <w:rsid w:val="00BE59DD"/>
    <w:rsid w:val="00BE5E4B"/>
    <w:rsid w:val="00BE6394"/>
    <w:rsid w:val="00BE6890"/>
    <w:rsid w:val="00BE68AF"/>
    <w:rsid w:val="00BE7560"/>
    <w:rsid w:val="00BE77F1"/>
    <w:rsid w:val="00BE7C0D"/>
    <w:rsid w:val="00BE7D2C"/>
    <w:rsid w:val="00BF0232"/>
    <w:rsid w:val="00BF03A6"/>
    <w:rsid w:val="00BF0801"/>
    <w:rsid w:val="00BF0805"/>
    <w:rsid w:val="00BF0912"/>
    <w:rsid w:val="00BF092B"/>
    <w:rsid w:val="00BF0A10"/>
    <w:rsid w:val="00BF0AFF"/>
    <w:rsid w:val="00BF1362"/>
    <w:rsid w:val="00BF19B6"/>
    <w:rsid w:val="00BF1B89"/>
    <w:rsid w:val="00BF2050"/>
    <w:rsid w:val="00BF213E"/>
    <w:rsid w:val="00BF24D7"/>
    <w:rsid w:val="00BF251D"/>
    <w:rsid w:val="00BF3123"/>
    <w:rsid w:val="00BF31AA"/>
    <w:rsid w:val="00BF32B2"/>
    <w:rsid w:val="00BF3335"/>
    <w:rsid w:val="00BF33FD"/>
    <w:rsid w:val="00BF3611"/>
    <w:rsid w:val="00BF388B"/>
    <w:rsid w:val="00BF3DAD"/>
    <w:rsid w:val="00BF45AF"/>
    <w:rsid w:val="00BF47E7"/>
    <w:rsid w:val="00BF48A3"/>
    <w:rsid w:val="00BF4F11"/>
    <w:rsid w:val="00BF5455"/>
    <w:rsid w:val="00BF5A5B"/>
    <w:rsid w:val="00BF5ECA"/>
    <w:rsid w:val="00BF63D0"/>
    <w:rsid w:val="00BF63E1"/>
    <w:rsid w:val="00BF661B"/>
    <w:rsid w:val="00BF68CF"/>
    <w:rsid w:val="00BF6B56"/>
    <w:rsid w:val="00BF6F4C"/>
    <w:rsid w:val="00BF7104"/>
    <w:rsid w:val="00BF7CFA"/>
    <w:rsid w:val="00C000FC"/>
    <w:rsid w:val="00C00597"/>
    <w:rsid w:val="00C01594"/>
    <w:rsid w:val="00C01BAD"/>
    <w:rsid w:val="00C01C56"/>
    <w:rsid w:val="00C01D9A"/>
    <w:rsid w:val="00C0236B"/>
    <w:rsid w:val="00C02D5D"/>
    <w:rsid w:val="00C02E76"/>
    <w:rsid w:val="00C02FEB"/>
    <w:rsid w:val="00C030F1"/>
    <w:rsid w:val="00C031EA"/>
    <w:rsid w:val="00C0353A"/>
    <w:rsid w:val="00C03ADC"/>
    <w:rsid w:val="00C0407B"/>
    <w:rsid w:val="00C04483"/>
    <w:rsid w:val="00C04975"/>
    <w:rsid w:val="00C04A24"/>
    <w:rsid w:val="00C04DC9"/>
    <w:rsid w:val="00C050BA"/>
    <w:rsid w:val="00C051C0"/>
    <w:rsid w:val="00C0527F"/>
    <w:rsid w:val="00C05454"/>
    <w:rsid w:val="00C05956"/>
    <w:rsid w:val="00C05BAA"/>
    <w:rsid w:val="00C0606D"/>
    <w:rsid w:val="00C06326"/>
    <w:rsid w:val="00C0665A"/>
    <w:rsid w:val="00C06CD1"/>
    <w:rsid w:val="00C06D12"/>
    <w:rsid w:val="00C06DE4"/>
    <w:rsid w:val="00C06E9F"/>
    <w:rsid w:val="00C06F32"/>
    <w:rsid w:val="00C0717D"/>
    <w:rsid w:val="00C07258"/>
    <w:rsid w:val="00C072F7"/>
    <w:rsid w:val="00C07737"/>
    <w:rsid w:val="00C07AAF"/>
    <w:rsid w:val="00C109A3"/>
    <w:rsid w:val="00C11B6A"/>
    <w:rsid w:val="00C124A4"/>
    <w:rsid w:val="00C1256C"/>
    <w:rsid w:val="00C13096"/>
    <w:rsid w:val="00C130E4"/>
    <w:rsid w:val="00C13149"/>
    <w:rsid w:val="00C137D0"/>
    <w:rsid w:val="00C139E0"/>
    <w:rsid w:val="00C13A6C"/>
    <w:rsid w:val="00C13C01"/>
    <w:rsid w:val="00C142B2"/>
    <w:rsid w:val="00C149B4"/>
    <w:rsid w:val="00C14ADD"/>
    <w:rsid w:val="00C14E5D"/>
    <w:rsid w:val="00C152C8"/>
    <w:rsid w:val="00C1560F"/>
    <w:rsid w:val="00C1578B"/>
    <w:rsid w:val="00C15FBD"/>
    <w:rsid w:val="00C16111"/>
    <w:rsid w:val="00C16565"/>
    <w:rsid w:val="00C16692"/>
    <w:rsid w:val="00C16BFD"/>
    <w:rsid w:val="00C16ED3"/>
    <w:rsid w:val="00C170B0"/>
    <w:rsid w:val="00C173E9"/>
    <w:rsid w:val="00C17433"/>
    <w:rsid w:val="00C176E2"/>
    <w:rsid w:val="00C17B45"/>
    <w:rsid w:val="00C17B89"/>
    <w:rsid w:val="00C2005B"/>
    <w:rsid w:val="00C20122"/>
    <w:rsid w:val="00C201DF"/>
    <w:rsid w:val="00C206FD"/>
    <w:rsid w:val="00C209BF"/>
    <w:rsid w:val="00C21029"/>
    <w:rsid w:val="00C215DC"/>
    <w:rsid w:val="00C217D9"/>
    <w:rsid w:val="00C2181D"/>
    <w:rsid w:val="00C21C9C"/>
    <w:rsid w:val="00C21D6E"/>
    <w:rsid w:val="00C22107"/>
    <w:rsid w:val="00C221FE"/>
    <w:rsid w:val="00C22CD4"/>
    <w:rsid w:val="00C23196"/>
    <w:rsid w:val="00C234C7"/>
    <w:rsid w:val="00C23E1B"/>
    <w:rsid w:val="00C240DA"/>
    <w:rsid w:val="00C2445E"/>
    <w:rsid w:val="00C24912"/>
    <w:rsid w:val="00C24D6A"/>
    <w:rsid w:val="00C24DDF"/>
    <w:rsid w:val="00C24E33"/>
    <w:rsid w:val="00C25003"/>
    <w:rsid w:val="00C25191"/>
    <w:rsid w:val="00C25381"/>
    <w:rsid w:val="00C25B7B"/>
    <w:rsid w:val="00C26188"/>
    <w:rsid w:val="00C2678B"/>
    <w:rsid w:val="00C268FB"/>
    <w:rsid w:val="00C27123"/>
    <w:rsid w:val="00C2727C"/>
    <w:rsid w:val="00C27CA3"/>
    <w:rsid w:val="00C30789"/>
    <w:rsid w:val="00C30B98"/>
    <w:rsid w:val="00C30DAB"/>
    <w:rsid w:val="00C3113C"/>
    <w:rsid w:val="00C313C4"/>
    <w:rsid w:val="00C31562"/>
    <w:rsid w:val="00C31768"/>
    <w:rsid w:val="00C31CFF"/>
    <w:rsid w:val="00C320E1"/>
    <w:rsid w:val="00C32282"/>
    <w:rsid w:val="00C3236E"/>
    <w:rsid w:val="00C324A1"/>
    <w:rsid w:val="00C3263C"/>
    <w:rsid w:val="00C32C9B"/>
    <w:rsid w:val="00C32CEF"/>
    <w:rsid w:val="00C330B4"/>
    <w:rsid w:val="00C330FE"/>
    <w:rsid w:val="00C3315A"/>
    <w:rsid w:val="00C3333C"/>
    <w:rsid w:val="00C33540"/>
    <w:rsid w:val="00C33556"/>
    <w:rsid w:val="00C3384C"/>
    <w:rsid w:val="00C3386D"/>
    <w:rsid w:val="00C339C0"/>
    <w:rsid w:val="00C33A0F"/>
    <w:rsid w:val="00C33B3F"/>
    <w:rsid w:val="00C3428D"/>
    <w:rsid w:val="00C344C8"/>
    <w:rsid w:val="00C345A8"/>
    <w:rsid w:val="00C346FB"/>
    <w:rsid w:val="00C34874"/>
    <w:rsid w:val="00C34BD7"/>
    <w:rsid w:val="00C34F2D"/>
    <w:rsid w:val="00C35096"/>
    <w:rsid w:val="00C35373"/>
    <w:rsid w:val="00C35DD2"/>
    <w:rsid w:val="00C369BF"/>
    <w:rsid w:val="00C37A32"/>
    <w:rsid w:val="00C37AE7"/>
    <w:rsid w:val="00C37F72"/>
    <w:rsid w:val="00C40887"/>
    <w:rsid w:val="00C409E5"/>
    <w:rsid w:val="00C40CA0"/>
    <w:rsid w:val="00C40E8D"/>
    <w:rsid w:val="00C412D9"/>
    <w:rsid w:val="00C413D0"/>
    <w:rsid w:val="00C418DC"/>
    <w:rsid w:val="00C41C1F"/>
    <w:rsid w:val="00C425DF"/>
    <w:rsid w:val="00C42C19"/>
    <w:rsid w:val="00C42DF6"/>
    <w:rsid w:val="00C4319F"/>
    <w:rsid w:val="00C43846"/>
    <w:rsid w:val="00C440EB"/>
    <w:rsid w:val="00C4480C"/>
    <w:rsid w:val="00C4481A"/>
    <w:rsid w:val="00C449AA"/>
    <w:rsid w:val="00C44BED"/>
    <w:rsid w:val="00C4527D"/>
    <w:rsid w:val="00C45303"/>
    <w:rsid w:val="00C45636"/>
    <w:rsid w:val="00C463D6"/>
    <w:rsid w:val="00C46744"/>
    <w:rsid w:val="00C46943"/>
    <w:rsid w:val="00C469FC"/>
    <w:rsid w:val="00C46B0B"/>
    <w:rsid w:val="00C4706F"/>
    <w:rsid w:val="00C470C7"/>
    <w:rsid w:val="00C474AE"/>
    <w:rsid w:val="00C4760F"/>
    <w:rsid w:val="00C47C5D"/>
    <w:rsid w:val="00C47DD4"/>
    <w:rsid w:val="00C502E1"/>
    <w:rsid w:val="00C50D1C"/>
    <w:rsid w:val="00C50E28"/>
    <w:rsid w:val="00C50F25"/>
    <w:rsid w:val="00C51098"/>
    <w:rsid w:val="00C51D91"/>
    <w:rsid w:val="00C51ED1"/>
    <w:rsid w:val="00C529EA"/>
    <w:rsid w:val="00C52F33"/>
    <w:rsid w:val="00C534F3"/>
    <w:rsid w:val="00C53550"/>
    <w:rsid w:val="00C5357D"/>
    <w:rsid w:val="00C5359B"/>
    <w:rsid w:val="00C536EA"/>
    <w:rsid w:val="00C53BA1"/>
    <w:rsid w:val="00C540E5"/>
    <w:rsid w:val="00C545DA"/>
    <w:rsid w:val="00C5525B"/>
    <w:rsid w:val="00C55689"/>
    <w:rsid w:val="00C556E4"/>
    <w:rsid w:val="00C5592A"/>
    <w:rsid w:val="00C55F90"/>
    <w:rsid w:val="00C55FEE"/>
    <w:rsid w:val="00C56137"/>
    <w:rsid w:val="00C5615B"/>
    <w:rsid w:val="00C563C1"/>
    <w:rsid w:val="00C56C07"/>
    <w:rsid w:val="00C5701E"/>
    <w:rsid w:val="00C57073"/>
    <w:rsid w:val="00C60008"/>
    <w:rsid w:val="00C618F9"/>
    <w:rsid w:val="00C61BAA"/>
    <w:rsid w:val="00C6230B"/>
    <w:rsid w:val="00C62542"/>
    <w:rsid w:val="00C6300D"/>
    <w:rsid w:val="00C630CA"/>
    <w:rsid w:val="00C6368A"/>
    <w:rsid w:val="00C63AD6"/>
    <w:rsid w:val="00C64370"/>
    <w:rsid w:val="00C646EB"/>
    <w:rsid w:val="00C64B0F"/>
    <w:rsid w:val="00C6505D"/>
    <w:rsid w:val="00C6528E"/>
    <w:rsid w:val="00C659A8"/>
    <w:rsid w:val="00C65B79"/>
    <w:rsid w:val="00C65C02"/>
    <w:rsid w:val="00C65D05"/>
    <w:rsid w:val="00C661D7"/>
    <w:rsid w:val="00C662F0"/>
    <w:rsid w:val="00C663F0"/>
    <w:rsid w:val="00C66B59"/>
    <w:rsid w:val="00C675C6"/>
    <w:rsid w:val="00C67632"/>
    <w:rsid w:val="00C67D27"/>
    <w:rsid w:val="00C67FB0"/>
    <w:rsid w:val="00C7011E"/>
    <w:rsid w:val="00C70501"/>
    <w:rsid w:val="00C70B4E"/>
    <w:rsid w:val="00C70D22"/>
    <w:rsid w:val="00C70F74"/>
    <w:rsid w:val="00C70FE8"/>
    <w:rsid w:val="00C71375"/>
    <w:rsid w:val="00C71412"/>
    <w:rsid w:val="00C715AF"/>
    <w:rsid w:val="00C71A51"/>
    <w:rsid w:val="00C71C7F"/>
    <w:rsid w:val="00C71FC3"/>
    <w:rsid w:val="00C7212A"/>
    <w:rsid w:val="00C72405"/>
    <w:rsid w:val="00C72AEB"/>
    <w:rsid w:val="00C73332"/>
    <w:rsid w:val="00C733D5"/>
    <w:rsid w:val="00C73A78"/>
    <w:rsid w:val="00C73A89"/>
    <w:rsid w:val="00C73E43"/>
    <w:rsid w:val="00C744B4"/>
    <w:rsid w:val="00C74A95"/>
    <w:rsid w:val="00C75338"/>
    <w:rsid w:val="00C758C8"/>
    <w:rsid w:val="00C75A92"/>
    <w:rsid w:val="00C75DFC"/>
    <w:rsid w:val="00C760BE"/>
    <w:rsid w:val="00C765A4"/>
    <w:rsid w:val="00C767BD"/>
    <w:rsid w:val="00C76CE5"/>
    <w:rsid w:val="00C7713E"/>
    <w:rsid w:val="00C774BF"/>
    <w:rsid w:val="00C774FB"/>
    <w:rsid w:val="00C779EC"/>
    <w:rsid w:val="00C77D02"/>
    <w:rsid w:val="00C802E0"/>
    <w:rsid w:val="00C807EE"/>
    <w:rsid w:val="00C808D3"/>
    <w:rsid w:val="00C80BFD"/>
    <w:rsid w:val="00C81441"/>
    <w:rsid w:val="00C814F9"/>
    <w:rsid w:val="00C815F2"/>
    <w:rsid w:val="00C819C5"/>
    <w:rsid w:val="00C81D66"/>
    <w:rsid w:val="00C82BFF"/>
    <w:rsid w:val="00C82E2A"/>
    <w:rsid w:val="00C82E98"/>
    <w:rsid w:val="00C82F88"/>
    <w:rsid w:val="00C8334C"/>
    <w:rsid w:val="00C8375A"/>
    <w:rsid w:val="00C8380E"/>
    <w:rsid w:val="00C838B4"/>
    <w:rsid w:val="00C83B57"/>
    <w:rsid w:val="00C8402F"/>
    <w:rsid w:val="00C84675"/>
    <w:rsid w:val="00C8483D"/>
    <w:rsid w:val="00C84DCF"/>
    <w:rsid w:val="00C8534C"/>
    <w:rsid w:val="00C85637"/>
    <w:rsid w:val="00C85CC6"/>
    <w:rsid w:val="00C85CF9"/>
    <w:rsid w:val="00C85DB3"/>
    <w:rsid w:val="00C85E85"/>
    <w:rsid w:val="00C8613B"/>
    <w:rsid w:val="00C86A42"/>
    <w:rsid w:val="00C86E11"/>
    <w:rsid w:val="00C870FE"/>
    <w:rsid w:val="00C8719D"/>
    <w:rsid w:val="00C871FB"/>
    <w:rsid w:val="00C87303"/>
    <w:rsid w:val="00C8754F"/>
    <w:rsid w:val="00C877FA"/>
    <w:rsid w:val="00C879C6"/>
    <w:rsid w:val="00C87C7F"/>
    <w:rsid w:val="00C87D04"/>
    <w:rsid w:val="00C904FC"/>
    <w:rsid w:val="00C90F20"/>
    <w:rsid w:val="00C913DE"/>
    <w:rsid w:val="00C91449"/>
    <w:rsid w:val="00C914D6"/>
    <w:rsid w:val="00C91BD9"/>
    <w:rsid w:val="00C91C55"/>
    <w:rsid w:val="00C91D0D"/>
    <w:rsid w:val="00C92105"/>
    <w:rsid w:val="00C92423"/>
    <w:rsid w:val="00C928AA"/>
    <w:rsid w:val="00C92A47"/>
    <w:rsid w:val="00C93635"/>
    <w:rsid w:val="00C93D34"/>
    <w:rsid w:val="00C940C9"/>
    <w:rsid w:val="00C941B7"/>
    <w:rsid w:val="00C942D9"/>
    <w:rsid w:val="00C943C9"/>
    <w:rsid w:val="00C94876"/>
    <w:rsid w:val="00C94AEC"/>
    <w:rsid w:val="00C94D5C"/>
    <w:rsid w:val="00C94E20"/>
    <w:rsid w:val="00C95291"/>
    <w:rsid w:val="00C95486"/>
    <w:rsid w:val="00C95619"/>
    <w:rsid w:val="00C95686"/>
    <w:rsid w:val="00C957D2"/>
    <w:rsid w:val="00C95BF8"/>
    <w:rsid w:val="00C95CBC"/>
    <w:rsid w:val="00C960C7"/>
    <w:rsid w:val="00C96E57"/>
    <w:rsid w:val="00C96E88"/>
    <w:rsid w:val="00C971C9"/>
    <w:rsid w:val="00C972A1"/>
    <w:rsid w:val="00C9732A"/>
    <w:rsid w:val="00C9768F"/>
    <w:rsid w:val="00C97C1C"/>
    <w:rsid w:val="00C97F3B"/>
    <w:rsid w:val="00CA00FB"/>
    <w:rsid w:val="00CA025C"/>
    <w:rsid w:val="00CA0D49"/>
    <w:rsid w:val="00CA0F5E"/>
    <w:rsid w:val="00CA1884"/>
    <w:rsid w:val="00CA19D3"/>
    <w:rsid w:val="00CA20D7"/>
    <w:rsid w:val="00CA268F"/>
    <w:rsid w:val="00CA29E6"/>
    <w:rsid w:val="00CA2EA9"/>
    <w:rsid w:val="00CA31DE"/>
    <w:rsid w:val="00CA4512"/>
    <w:rsid w:val="00CA45E0"/>
    <w:rsid w:val="00CA4CAD"/>
    <w:rsid w:val="00CA4E63"/>
    <w:rsid w:val="00CA5164"/>
    <w:rsid w:val="00CA51D5"/>
    <w:rsid w:val="00CA5396"/>
    <w:rsid w:val="00CA5421"/>
    <w:rsid w:val="00CA542E"/>
    <w:rsid w:val="00CA589D"/>
    <w:rsid w:val="00CA5C15"/>
    <w:rsid w:val="00CA618B"/>
    <w:rsid w:val="00CA661C"/>
    <w:rsid w:val="00CA68C2"/>
    <w:rsid w:val="00CA6E9C"/>
    <w:rsid w:val="00CA6F36"/>
    <w:rsid w:val="00CA7142"/>
    <w:rsid w:val="00CA74C7"/>
    <w:rsid w:val="00CA75E4"/>
    <w:rsid w:val="00CA7709"/>
    <w:rsid w:val="00CA7880"/>
    <w:rsid w:val="00CA7BBD"/>
    <w:rsid w:val="00CA7C72"/>
    <w:rsid w:val="00CB0273"/>
    <w:rsid w:val="00CB05F5"/>
    <w:rsid w:val="00CB0A48"/>
    <w:rsid w:val="00CB0B84"/>
    <w:rsid w:val="00CB10F9"/>
    <w:rsid w:val="00CB1694"/>
    <w:rsid w:val="00CB1793"/>
    <w:rsid w:val="00CB1B2F"/>
    <w:rsid w:val="00CB2668"/>
    <w:rsid w:val="00CB2827"/>
    <w:rsid w:val="00CB29EF"/>
    <w:rsid w:val="00CB2ED9"/>
    <w:rsid w:val="00CB2FE9"/>
    <w:rsid w:val="00CB33CA"/>
    <w:rsid w:val="00CB3439"/>
    <w:rsid w:val="00CB4056"/>
    <w:rsid w:val="00CB407B"/>
    <w:rsid w:val="00CB44B7"/>
    <w:rsid w:val="00CB450F"/>
    <w:rsid w:val="00CB605A"/>
    <w:rsid w:val="00CB62D0"/>
    <w:rsid w:val="00CB655D"/>
    <w:rsid w:val="00CB656C"/>
    <w:rsid w:val="00CB6704"/>
    <w:rsid w:val="00CB6EF0"/>
    <w:rsid w:val="00CB6F76"/>
    <w:rsid w:val="00CB747C"/>
    <w:rsid w:val="00CB7720"/>
    <w:rsid w:val="00CB7901"/>
    <w:rsid w:val="00CB7A54"/>
    <w:rsid w:val="00CB7D31"/>
    <w:rsid w:val="00CC0A9C"/>
    <w:rsid w:val="00CC134F"/>
    <w:rsid w:val="00CC1645"/>
    <w:rsid w:val="00CC1A77"/>
    <w:rsid w:val="00CC1C13"/>
    <w:rsid w:val="00CC1F96"/>
    <w:rsid w:val="00CC201B"/>
    <w:rsid w:val="00CC258D"/>
    <w:rsid w:val="00CC278B"/>
    <w:rsid w:val="00CC28E8"/>
    <w:rsid w:val="00CC2EB6"/>
    <w:rsid w:val="00CC2FE1"/>
    <w:rsid w:val="00CC317E"/>
    <w:rsid w:val="00CC388A"/>
    <w:rsid w:val="00CC3AB5"/>
    <w:rsid w:val="00CC413C"/>
    <w:rsid w:val="00CC415B"/>
    <w:rsid w:val="00CC45F6"/>
    <w:rsid w:val="00CC480D"/>
    <w:rsid w:val="00CC4B43"/>
    <w:rsid w:val="00CC5773"/>
    <w:rsid w:val="00CC58EB"/>
    <w:rsid w:val="00CC59CF"/>
    <w:rsid w:val="00CC5D6F"/>
    <w:rsid w:val="00CC6619"/>
    <w:rsid w:val="00CC6761"/>
    <w:rsid w:val="00CC6DF1"/>
    <w:rsid w:val="00CC759E"/>
    <w:rsid w:val="00CC7CB8"/>
    <w:rsid w:val="00CC7DA8"/>
    <w:rsid w:val="00CC7DE7"/>
    <w:rsid w:val="00CD01B3"/>
    <w:rsid w:val="00CD0225"/>
    <w:rsid w:val="00CD0303"/>
    <w:rsid w:val="00CD08A9"/>
    <w:rsid w:val="00CD0A80"/>
    <w:rsid w:val="00CD0C8B"/>
    <w:rsid w:val="00CD0FEA"/>
    <w:rsid w:val="00CD16EA"/>
    <w:rsid w:val="00CD19E4"/>
    <w:rsid w:val="00CD1E5C"/>
    <w:rsid w:val="00CD2027"/>
    <w:rsid w:val="00CD2831"/>
    <w:rsid w:val="00CD2DA6"/>
    <w:rsid w:val="00CD33A1"/>
    <w:rsid w:val="00CD36B5"/>
    <w:rsid w:val="00CD38BB"/>
    <w:rsid w:val="00CD4228"/>
    <w:rsid w:val="00CD4488"/>
    <w:rsid w:val="00CD519A"/>
    <w:rsid w:val="00CD566E"/>
    <w:rsid w:val="00CD5830"/>
    <w:rsid w:val="00CD586B"/>
    <w:rsid w:val="00CD58E9"/>
    <w:rsid w:val="00CD5AE8"/>
    <w:rsid w:val="00CD5F72"/>
    <w:rsid w:val="00CD63A4"/>
    <w:rsid w:val="00CD6A34"/>
    <w:rsid w:val="00CD6F41"/>
    <w:rsid w:val="00CD6FA9"/>
    <w:rsid w:val="00CD7534"/>
    <w:rsid w:val="00CD793A"/>
    <w:rsid w:val="00CE026E"/>
    <w:rsid w:val="00CE08D0"/>
    <w:rsid w:val="00CE0C3E"/>
    <w:rsid w:val="00CE0CBC"/>
    <w:rsid w:val="00CE0E62"/>
    <w:rsid w:val="00CE120F"/>
    <w:rsid w:val="00CE1211"/>
    <w:rsid w:val="00CE14B3"/>
    <w:rsid w:val="00CE1688"/>
    <w:rsid w:val="00CE17D2"/>
    <w:rsid w:val="00CE17E3"/>
    <w:rsid w:val="00CE1983"/>
    <w:rsid w:val="00CE226E"/>
    <w:rsid w:val="00CE2620"/>
    <w:rsid w:val="00CE2A2C"/>
    <w:rsid w:val="00CE3176"/>
    <w:rsid w:val="00CE3E44"/>
    <w:rsid w:val="00CE3F0E"/>
    <w:rsid w:val="00CE40BE"/>
    <w:rsid w:val="00CE40EF"/>
    <w:rsid w:val="00CE458D"/>
    <w:rsid w:val="00CE473E"/>
    <w:rsid w:val="00CE4D2D"/>
    <w:rsid w:val="00CE4DBB"/>
    <w:rsid w:val="00CE4E50"/>
    <w:rsid w:val="00CE5428"/>
    <w:rsid w:val="00CE56B3"/>
    <w:rsid w:val="00CE5BFF"/>
    <w:rsid w:val="00CE5C1E"/>
    <w:rsid w:val="00CE5F42"/>
    <w:rsid w:val="00CE6286"/>
    <w:rsid w:val="00CE6881"/>
    <w:rsid w:val="00CE6E1D"/>
    <w:rsid w:val="00CE6E4C"/>
    <w:rsid w:val="00CE6F08"/>
    <w:rsid w:val="00CE6F37"/>
    <w:rsid w:val="00CE76EB"/>
    <w:rsid w:val="00CF0033"/>
    <w:rsid w:val="00CF017F"/>
    <w:rsid w:val="00CF08A9"/>
    <w:rsid w:val="00CF09C3"/>
    <w:rsid w:val="00CF0A33"/>
    <w:rsid w:val="00CF0A43"/>
    <w:rsid w:val="00CF0E99"/>
    <w:rsid w:val="00CF0F3C"/>
    <w:rsid w:val="00CF2329"/>
    <w:rsid w:val="00CF253E"/>
    <w:rsid w:val="00CF257B"/>
    <w:rsid w:val="00CF2620"/>
    <w:rsid w:val="00CF2A40"/>
    <w:rsid w:val="00CF2A4A"/>
    <w:rsid w:val="00CF2BC3"/>
    <w:rsid w:val="00CF2DB0"/>
    <w:rsid w:val="00CF2E43"/>
    <w:rsid w:val="00CF3A4C"/>
    <w:rsid w:val="00CF4198"/>
    <w:rsid w:val="00CF4377"/>
    <w:rsid w:val="00CF465E"/>
    <w:rsid w:val="00CF4694"/>
    <w:rsid w:val="00CF470A"/>
    <w:rsid w:val="00CF487E"/>
    <w:rsid w:val="00CF4B98"/>
    <w:rsid w:val="00CF4C98"/>
    <w:rsid w:val="00CF4E83"/>
    <w:rsid w:val="00CF5442"/>
    <w:rsid w:val="00CF5491"/>
    <w:rsid w:val="00CF5522"/>
    <w:rsid w:val="00CF5641"/>
    <w:rsid w:val="00CF58F6"/>
    <w:rsid w:val="00CF5F91"/>
    <w:rsid w:val="00CF61ED"/>
    <w:rsid w:val="00CF6467"/>
    <w:rsid w:val="00CF68BB"/>
    <w:rsid w:val="00CF6CFB"/>
    <w:rsid w:val="00CF6ED9"/>
    <w:rsid w:val="00CF760D"/>
    <w:rsid w:val="00CF7BE1"/>
    <w:rsid w:val="00CF7EE5"/>
    <w:rsid w:val="00D00293"/>
    <w:rsid w:val="00D005D9"/>
    <w:rsid w:val="00D00860"/>
    <w:rsid w:val="00D009EC"/>
    <w:rsid w:val="00D01DDE"/>
    <w:rsid w:val="00D020B8"/>
    <w:rsid w:val="00D02149"/>
    <w:rsid w:val="00D023A6"/>
    <w:rsid w:val="00D02650"/>
    <w:rsid w:val="00D026D2"/>
    <w:rsid w:val="00D027BE"/>
    <w:rsid w:val="00D0293E"/>
    <w:rsid w:val="00D0293F"/>
    <w:rsid w:val="00D02AC2"/>
    <w:rsid w:val="00D0328D"/>
    <w:rsid w:val="00D033B4"/>
    <w:rsid w:val="00D0341D"/>
    <w:rsid w:val="00D03F15"/>
    <w:rsid w:val="00D03FCC"/>
    <w:rsid w:val="00D03FE0"/>
    <w:rsid w:val="00D03FEE"/>
    <w:rsid w:val="00D0427E"/>
    <w:rsid w:val="00D042C2"/>
    <w:rsid w:val="00D042E8"/>
    <w:rsid w:val="00D04617"/>
    <w:rsid w:val="00D047D7"/>
    <w:rsid w:val="00D04A1B"/>
    <w:rsid w:val="00D04B2B"/>
    <w:rsid w:val="00D04FDA"/>
    <w:rsid w:val="00D052D2"/>
    <w:rsid w:val="00D0566F"/>
    <w:rsid w:val="00D05830"/>
    <w:rsid w:val="00D05AAD"/>
    <w:rsid w:val="00D05E80"/>
    <w:rsid w:val="00D06368"/>
    <w:rsid w:val="00D06601"/>
    <w:rsid w:val="00D06BF9"/>
    <w:rsid w:val="00D06CB9"/>
    <w:rsid w:val="00D0708D"/>
    <w:rsid w:val="00D070B2"/>
    <w:rsid w:val="00D077D9"/>
    <w:rsid w:val="00D1065D"/>
    <w:rsid w:val="00D106C6"/>
    <w:rsid w:val="00D10D01"/>
    <w:rsid w:val="00D10E08"/>
    <w:rsid w:val="00D10EE4"/>
    <w:rsid w:val="00D10FDA"/>
    <w:rsid w:val="00D11EBE"/>
    <w:rsid w:val="00D1200B"/>
    <w:rsid w:val="00D12133"/>
    <w:rsid w:val="00D12753"/>
    <w:rsid w:val="00D12CD3"/>
    <w:rsid w:val="00D12E3E"/>
    <w:rsid w:val="00D13422"/>
    <w:rsid w:val="00D138DA"/>
    <w:rsid w:val="00D139B2"/>
    <w:rsid w:val="00D13AC1"/>
    <w:rsid w:val="00D14263"/>
    <w:rsid w:val="00D147A4"/>
    <w:rsid w:val="00D147C9"/>
    <w:rsid w:val="00D14CCB"/>
    <w:rsid w:val="00D15035"/>
    <w:rsid w:val="00D15917"/>
    <w:rsid w:val="00D160AA"/>
    <w:rsid w:val="00D169D5"/>
    <w:rsid w:val="00D175BD"/>
    <w:rsid w:val="00D178ED"/>
    <w:rsid w:val="00D17D56"/>
    <w:rsid w:val="00D17ED0"/>
    <w:rsid w:val="00D203FE"/>
    <w:rsid w:val="00D2064B"/>
    <w:rsid w:val="00D208E6"/>
    <w:rsid w:val="00D20AAB"/>
    <w:rsid w:val="00D2130C"/>
    <w:rsid w:val="00D214C3"/>
    <w:rsid w:val="00D21736"/>
    <w:rsid w:val="00D2179F"/>
    <w:rsid w:val="00D21914"/>
    <w:rsid w:val="00D21D6D"/>
    <w:rsid w:val="00D21F15"/>
    <w:rsid w:val="00D21FEC"/>
    <w:rsid w:val="00D2245A"/>
    <w:rsid w:val="00D2276D"/>
    <w:rsid w:val="00D23149"/>
    <w:rsid w:val="00D234AA"/>
    <w:rsid w:val="00D23791"/>
    <w:rsid w:val="00D23E19"/>
    <w:rsid w:val="00D23E41"/>
    <w:rsid w:val="00D24001"/>
    <w:rsid w:val="00D24141"/>
    <w:rsid w:val="00D2556D"/>
    <w:rsid w:val="00D2625F"/>
    <w:rsid w:val="00D269AF"/>
    <w:rsid w:val="00D26AE2"/>
    <w:rsid w:val="00D26B80"/>
    <w:rsid w:val="00D26ED6"/>
    <w:rsid w:val="00D273FD"/>
    <w:rsid w:val="00D275F3"/>
    <w:rsid w:val="00D278A4"/>
    <w:rsid w:val="00D30291"/>
    <w:rsid w:val="00D30327"/>
    <w:rsid w:val="00D30BB1"/>
    <w:rsid w:val="00D30F2A"/>
    <w:rsid w:val="00D31048"/>
    <w:rsid w:val="00D3171F"/>
    <w:rsid w:val="00D31981"/>
    <w:rsid w:val="00D31A9A"/>
    <w:rsid w:val="00D31D9E"/>
    <w:rsid w:val="00D320DD"/>
    <w:rsid w:val="00D32135"/>
    <w:rsid w:val="00D32911"/>
    <w:rsid w:val="00D32BE6"/>
    <w:rsid w:val="00D334E4"/>
    <w:rsid w:val="00D33503"/>
    <w:rsid w:val="00D336EE"/>
    <w:rsid w:val="00D339D1"/>
    <w:rsid w:val="00D33C9F"/>
    <w:rsid w:val="00D34380"/>
    <w:rsid w:val="00D348AA"/>
    <w:rsid w:val="00D34AD7"/>
    <w:rsid w:val="00D34E81"/>
    <w:rsid w:val="00D34FF2"/>
    <w:rsid w:val="00D35135"/>
    <w:rsid w:val="00D35E0D"/>
    <w:rsid w:val="00D3645C"/>
    <w:rsid w:val="00D36828"/>
    <w:rsid w:val="00D36B68"/>
    <w:rsid w:val="00D36E4F"/>
    <w:rsid w:val="00D36EC8"/>
    <w:rsid w:val="00D371D5"/>
    <w:rsid w:val="00D37435"/>
    <w:rsid w:val="00D37680"/>
    <w:rsid w:val="00D37F89"/>
    <w:rsid w:val="00D400C9"/>
    <w:rsid w:val="00D40267"/>
    <w:rsid w:val="00D4054C"/>
    <w:rsid w:val="00D40DC3"/>
    <w:rsid w:val="00D40E52"/>
    <w:rsid w:val="00D41143"/>
    <w:rsid w:val="00D4133D"/>
    <w:rsid w:val="00D41C90"/>
    <w:rsid w:val="00D420B2"/>
    <w:rsid w:val="00D42145"/>
    <w:rsid w:val="00D42E11"/>
    <w:rsid w:val="00D432A5"/>
    <w:rsid w:val="00D43564"/>
    <w:rsid w:val="00D435DA"/>
    <w:rsid w:val="00D4371B"/>
    <w:rsid w:val="00D439E8"/>
    <w:rsid w:val="00D43BAC"/>
    <w:rsid w:val="00D43E18"/>
    <w:rsid w:val="00D443FA"/>
    <w:rsid w:val="00D44473"/>
    <w:rsid w:val="00D44E83"/>
    <w:rsid w:val="00D456CD"/>
    <w:rsid w:val="00D45CF4"/>
    <w:rsid w:val="00D45D16"/>
    <w:rsid w:val="00D45E05"/>
    <w:rsid w:val="00D46028"/>
    <w:rsid w:val="00D46D04"/>
    <w:rsid w:val="00D46E64"/>
    <w:rsid w:val="00D472A3"/>
    <w:rsid w:val="00D47C35"/>
    <w:rsid w:val="00D50371"/>
    <w:rsid w:val="00D50CF1"/>
    <w:rsid w:val="00D51305"/>
    <w:rsid w:val="00D5134B"/>
    <w:rsid w:val="00D519E9"/>
    <w:rsid w:val="00D5275F"/>
    <w:rsid w:val="00D53068"/>
    <w:rsid w:val="00D533B1"/>
    <w:rsid w:val="00D53569"/>
    <w:rsid w:val="00D5394F"/>
    <w:rsid w:val="00D53E1D"/>
    <w:rsid w:val="00D54525"/>
    <w:rsid w:val="00D547E6"/>
    <w:rsid w:val="00D55055"/>
    <w:rsid w:val="00D556C6"/>
    <w:rsid w:val="00D558EF"/>
    <w:rsid w:val="00D55925"/>
    <w:rsid w:val="00D55FE4"/>
    <w:rsid w:val="00D5621B"/>
    <w:rsid w:val="00D5634F"/>
    <w:rsid w:val="00D563FD"/>
    <w:rsid w:val="00D5641B"/>
    <w:rsid w:val="00D56BEB"/>
    <w:rsid w:val="00D56E13"/>
    <w:rsid w:val="00D56F1A"/>
    <w:rsid w:val="00D56F98"/>
    <w:rsid w:val="00D573FA"/>
    <w:rsid w:val="00D57789"/>
    <w:rsid w:val="00D57D50"/>
    <w:rsid w:val="00D60104"/>
    <w:rsid w:val="00D605BD"/>
    <w:rsid w:val="00D605E9"/>
    <w:rsid w:val="00D607A6"/>
    <w:rsid w:val="00D609F0"/>
    <w:rsid w:val="00D60BCC"/>
    <w:rsid w:val="00D61120"/>
    <w:rsid w:val="00D61603"/>
    <w:rsid w:val="00D61723"/>
    <w:rsid w:val="00D62771"/>
    <w:rsid w:val="00D629D1"/>
    <w:rsid w:val="00D62B99"/>
    <w:rsid w:val="00D62CD1"/>
    <w:rsid w:val="00D62D85"/>
    <w:rsid w:val="00D63171"/>
    <w:rsid w:val="00D63355"/>
    <w:rsid w:val="00D63C0E"/>
    <w:rsid w:val="00D63D8D"/>
    <w:rsid w:val="00D641A7"/>
    <w:rsid w:val="00D648A1"/>
    <w:rsid w:val="00D64971"/>
    <w:rsid w:val="00D64ADC"/>
    <w:rsid w:val="00D650F8"/>
    <w:rsid w:val="00D65351"/>
    <w:rsid w:val="00D654A1"/>
    <w:rsid w:val="00D66713"/>
    <w:rsid w:val="00D66827"/>
    <w:rsid w:val="00D66EDA"/>
    <w:rsid w:val="00D67372"/>
    <w:rsid w:val="00D673E5"/>
    <w:rsid w:val="00D6747E"/>
    <w:rsid w:val="00D67CFF"/>
    <w:rsid w:val="00D67D7A"/>
    <w:rsid w:val="00D67E8C"/>
    <w:rsid w:val="00D67EFF"/>
    <w:rsid w:val="00D70047"/>
    <w:rsid w:val="00D702D6"/>
    <w:rsid w:val="00D7101E"/>
    <w:rsid w:val="00D711A5"/>
    <w:rsid w:val="00D711FE"/>
    <w:rsid w:val="00D712EF"/>
    <w:rsid w:val="00D71302"/>
    <w:rsid w:val="00D71803"/>
    <w:rsid w:val="00D71F53"/>
    <w:rsid w:val="00D728DF"/>
    <w:rsid w:val="00D72D6C"/>
    <w:rsid w:val="00D72E13"/>
    <w:rsid w:val="00D73753"/>
    <w:rsid w:val="00D73B6C"/>
    <w:rsid w:val="00D742A4"/>
    <w:rsid w:val="00D7499F"/>
    <w:rsid w:val="00D74BBF"/>
    <w:rsid w:val="00D74BFF"/>
    <w:rsid w:val="00D74E8F"/>
    <w:rsid w:val="00D74E9A"/>
    <w:rsid w:val="00D75756"/>
    <w:rsid w:val="00D76A30"/>
    <w:rsid w:val="00D76D71"/>
    <w:rsid w:val="00D770DD"/>
    <w:rsid w:val="00D77320"/>
    <w:rsid w:val="00D801DF"/>
    <w:rsid w:val="00D80545"/>
    <w:rsid w:val="00D80AB4"/>
    <w:rsid w:val="00D80DC5"/>
    <w:rsid w:val="00D81579"/>
    <w:rsid w:val="00D81D0E"/>
    <w:rsid w:val="00D829FB"/>
    <w:rsid w:val="00D82C13"/>
    <w:rsid w:val="00D82C6B"/>
    <w:rsid w:val="00D82CD9"/>
    <w:rsid w:val="00D8315F"/>
    <w:rsid w:val="00D8346C"/>
    <w:rsid w:val="00D84128"/>
    <w:rsid w:val="00D845A2"/>
    <w:rsid w:val="00D84662"/>
    <w:rsid w:val="00D856C0"/>
    <w:rsid w:val="00D85F37"/>
    <w:rsid w:val="00D85F67"/>
    <w:rsid w:val="00D86455"/>
    <w:rsid w:val="00D865C2"/>
    <w:rsid w:val="00D86881"/>
    <w:rsid w:val="00D86AC1"/>
    <w:rsid w:val="00D87251"/>
    <w:rsid w:val="00D8751F"/>
    <w:rsid w:val="00D8758A"/>
    <w:rsid w:val="00D87B09"/>
    <w:rsid w:val="00D87F66"/>
    <w:rsid w:val="00D87FD6"/>
    <w:rsid w:val="00D87FE4"/>
    <w:rsid w:val="00D90ADB"/>
    <w:rsid w:val="00D90C50"/>
    <w:rsid w:val="00D912DC"/>
    <w:rsid w:val="00D91460"/>
    <w:rsid w:val="00D914DB"/>
    <w:rsid w:val="00D91C14"/>
    <w:rsid w:val="00D91C41"/>
    <w:rsid w:val="00D91ED7"/>
    <w:rsid w:val="00D9267C"/>
    <w:rsid w:val="00D9324C"/>
    <w:rsid w:val="00D93375"/>
    <w:rsid w:val="00D93880"/>
    <w:rsid w:val="00D93D59"/>
    <w:rsid w:val="00D93EFF"/>
    <w:rsid w:val="00D93F72"/>
    <w:rsid w:val="00D9460D"/>
    <w:rsid w:val="00D94EBE"/>
    <w:rsid w:val="00D956EF"/>
    <w:rsid w:val="00D95F00"/>
    <w:rsid w:val="00D96313"/>
    <w:rsid w:val="00D96499"/>
    <w:rsid w:val="00D9676F"/>
    <w:rsid w:val="00D96A0F"/>
    <w:rsid w:val="00D96CB4"/>
    <w:rsid w:val="00D9711B"/>
    <w:rsid w:val="00D97CAE"/>
    <w:rsid w:val="00DA0552"/>
    <w:rsid w:val="00DA0765"/>
    <w:rsid w:val="00DA0B8A"/>
    <w:rsid w:val="00DA10D0"/>
    <w:rsid w:val="00DA11B2"/>
    <w:rsid w:val="00DA1AD0"/>
    <w:rsid w:val="00DA1BA7"/>
    <w:rsid w:val="00DA20B5"/>
    <w:rsid w:val="00DA22DA"/>
    <w:rsid w:val="00DA23DD"/>
    <w:rsid w:val="00DA2423"/>
    <w:rsid w:val="00DA287B"/>
    <w:rsid w:val="00DA2A96"/>
    <w:rsid w:val="00DA3080"/>
    <w:rsid w:val="00DA30A2"/>
    <w:rsid w:val="00DA337B"/>
    <w:rsid w:val="00DA390D"/>
    <w:rsid w:val="00DA3961"/>
    <w:rsid w:val="00DA436C"/>
    <w:rsid w:val="00DA44A8"/>
    <w:rsid w:val="00DA44CF"/>
    <w:rsid w:val="00DA47A3"/>
    <w:rsid w:val="00DA4C33"/>
    <w:rsid w:val="00DA5076"/>
    <w:rsid w:val="00DA5D0B"/>
    <w:rsid w:val="00DA5F76"/>
    <w:rsid w:val="00DA60A5"/>
    <w:rsid w:val="00DA60F5"/>
    <w:rsid w:val="00DA76EE"/>
    <w:rsid w:val="00DA79C8"/>
    <w:rsid w:val="00DB01EA"/>
    <w:rsid w:val="00DB03AE"/>
    <w:rsid w:val="00DB03F6"/>
    <w:rsid w:val="00DB08CB"/>
    <w:rsid w:val="00DB0963"/>
    <w:rsid w:val="00DB0B52"/>
    <w:rsid w:val="00DB0FA3"/>
    <w:rsid w:val="00DB16C1"/>
    <w:rsid w:val="00DB196A"/>
    <w:rsid w:val="00DB1D88"/>
    <w:rsid w:val="00DB2595"/>
    <w:rsid w:val="00DB303F"/>
    <w:rsid w:val="00DB321D"/>
    <w:rsid w:val="00DB3421"/>
    <w:rsid w:val="00DB3635"/>
    <w:rsid w:val="00DB3649"/>
    <w:rsid w:val="00DB3C08"/>
    <w:rsid w:val="00DB4006"/>
    <w:rsid w:val="00DB42EF"/>
    <w:rsid w:val="00DB462A"/>
    <w:rsid w:val="00DB4B61"/>
    <w:rsid w:val="00DB55CE"/>
    <w:rsid w:val="00DB55F6"/>
    <w:rsid w:val="00DB5FF8"/>
    <w:rsid w:val="00DB64F5"/>
    <w:rsid w:val="00DB6CAF"/>
    <w:rsid w:val="00DB7164"/>
    <w:rsid w:val="00DB729B"/>
    <w:rsid w:val="00DB72CE"/>
    <w:rsid w:val="00DB7400"/>
    <w:rsid w:val="00DB7EB1"/>
    <w:rsid w:val="00DC0114"/>
    <w:rsid w:val="00DC02FC"/>
    <w:rsid w:val="00DC0347"/>
    <w:rsid w:val="00DC051E"/>
    <w:rsid w:val="00DC0ADA"/>
    <w:rsid w:val="00DC0CF6"/>
    <w:rsid w:val="00DC0FE9"/>
    <w:rsid w:val="00DC13C3"/>
    <w:rsid w:val="00DC1763"/>
    <w:rsid w:val="00DC1C03"/>
    <w:rsid w:val="00DC2212"/>
    <w:rsid w:val="00DC23B3"/>
    <w:rsid w:val="00DC252D"/>
    <w:rsid w:val="00DC2595"/>
    <w:rsid w:val="00DC2823"/>
    <w:rsid w:val="00DC2C47"/>
    <w:rsid w:val="00DC2DF4"/>
    <w:rsid w:val="00DC30E1"/>
    <w:rsid w:val="00DC3143"/>
    <w:rsid w:val="00DC31F2"/>
    <w:rsid w:val="00DC3339"/>
    <w:rsid w:val="00DC35F6"/>
    <w:rsid w:val="00DC3752"/>
    <w:rsid w:val="00DC3898"/>
    <w:rsid w:val="00DC4083"/>
    <w:rsid w:val="00DC48DF"/>
    <w:rsid w:val="00DC4C8A"/>
    <w:rsid w:val="00DC5631"/>
    <w:rsid w:val="00DC5D8A"/>
    <w:rsid w:val="00DC6572"/>
    <w:rsid w:val="00DC6E4A"/>
    <w:rsid w:val="00DC7650"/>
    <w:rsid w:val="00DC789A"/>
    <w:rsid w:val="00DC7912"/>
    <w:rsid w:val="00DC7AEF"/>
    <w:rsid w:val="00DD0D38"/>
    <w:rsid w:val="00DD0D67"/>
    <w:rsid w:val="00DD0D77"/>
    <w:rsid w:val="00DD0E2A"/>
    <w:rsid w:val="00DD15E7"/>
    <w:rsid w:val="00DD16E2"/>
    <w:rsid w:val="00DD1A0F"/>
    <w:rsid w:val="00DD1C3A"/>
    <w:rsid w:val="00DD2514"/>
    <w:rsid w:val="00DD25D6"/>
    <w:rsid w:val="00DD3364"/>
    <w:rsid w:val="00DD3CA2"/>
    <w:rsid w:val="00DD3E8E"/>
    <w:rsid w:val="00DD4038"/>
    <w:rsid w:val="00DD40B6"/>
    <w:rsid w:val="00DD426B"/>
    <w:rsid w:val="00DD42C3"/>
    <w:rsid w:val="00DD46E2"/>
    <w:rsid w:val="00DD485A"/>
    <w:rsid w:val="00DD4F01"/>
    <w:rsid w:val="00DD51F6"/>
    <w:rsid w:val="00DD595A"/>
    <w:rsid w:val="00DD5BB8"/>
    <w:rsid w:val="00DD685B"/>
    <w:rsid w:val="00DD6A64"/>
    <w:rsid w:val="00DD6C94"/>
    <w:rsid w:val="00DD711F"/>
    <w:rsid w:val="00DD7703"/>
    <w:rsid w:val="00DE1838"/>
    <w:rsid w:val="00DE1CB1"/>
    <w:rsid w:val="00DE1E5B"/>
    <w:rsid w:val="00DE2409"/>
    <w:rsid w:val="00DE339D"/>
    <w:rsid w:val="00DE3604"/>
    <w:rsid w:val="00DE3621"/>
    <w:rsid w:val="00DE3788"/>
    <w:rsid w:val="00DE3F28"/>
    <w:rsid w:val="00DE41A5"/>
    <w:rsid w:val="00DE44B4"/>
    <w:rsid w:val="00DE588F"/>
    <w:rsid w:val="00DE5E98"/>
    <w:rsid w:val="00DE63D0"/>
    <w:rsid w:val="00DE6534"/>
    <w:rsid w:val="00DE67D6"/>
    <w:rsid w:val="00DE67EC"/>
    <w:rsid w:val="00DE69D3"/>
    <w:rsid w:val="00DE6A43"/>
    <w:rsid w:val="00DE6D32"/>
    <w:rsid w:val="00DE6DF3"/>
    <w:rsid w:val="00DE7542"/>
    <w:rsid w:val="00DE77A1"/>
    <w:rsid w:val="00DE77C6"/>
    <w:rsid w:val="00DE79D6"/>
    <w:rsid w:val="00DF0045"/>
    <w:rsid w:val="00DF03B1"/>
    <w:rsid w:val="00DF04D2"/>
    <w:rsid w:val="00DF0775"/>
    <w:rsid w:val="00DF083E"/>
    <w:rsid w:val="00DF0AD2"/>
    <w:rsid w:val="00DF11E3"/>
    <w:rsid w:val="00DF13B9"/>
    <w:rsid w:val="00DF17E4"/>
    <w:rsid w:val="00DF192E"/>
    <w:rsid w:val="00DF1D0B"/>
    <w:rsid w:val="00DF1FD5"/>
    <w:rsid w:val="00DF22CE"/>
    <w:rsid w:val="00DF23DF"/>
    <w:rsid w:val="00DF29F8"/>
    <w:rsid w:val="00DF3641"/>
    <w:rsid w:val="00DF366D"/>
    <w:rsid w:val="00DF37D4"/>
    <w:rsid w:val="00DF38AD"/>
    <w:rsid w:val="00DF3917"/>
    <w:rsid w:val="00DF3D97"/>
    <w:rsid w:val="00DF3F0D"/>
    <w:rsid w:val="00DF4271"/>
    <w:rsid w:val="00DF4521"/>
    <w:rsid w:val="00DF45B7"/>
    <w:rsid w:val="00DF497D"/>
    <w:rsid w:val="00DF4C0F"/>
    <w:rsid w:val="00DF5008"/>
    <w:rsid w:val="00DF50ED"/>
    <w:rsid w:val="00DF60B0"/>
    <w:rsid w:val="00DF61F5"/>
    <w:rsid w:val="00DF66C8"/>
    <w:rsid w:val="00DF67EC"/>
    <w:rsid w:val="00DF6C17"/>
    <w:rsid w:val="00DF707F"/>
    <w:rsid w:val="00DF75EA"/>
    <w:rsid w:val="00DF785E"/>
    <w:rsid w:val="00DF7966"/>
    <w:rsid w:val="00DF7B53"/>
    <w:rsid w:val="00DF7E4A"/>
    <w:rsid w:val="00DF7F08"/>
    <w:rsid w:val="00E002A8"/>
    <w:rsid w:val="00E00596"/>
    <w:rsid w:val="00E00F89"/>
    <w:rsid w:val="00E015E4"/>
    <w:rsid w:val="00E01698"/>
    <w:rsid w:val="00E01943"/>
    <w:rsid w:val="00E01DC4"/>
    <w:rsid w:val="00E01F35"/>
    <w:rsid w:val="00E022E5"/>
    <w:rsid w:val="00E026D3"/>
    <w:rsid w:val="00E02A18"/>
    <w:rsid w:val="00E02E9C"/>
    <w:rsid w:val="00E02FD4"/>
    <w:rsid w:val="00E03BC7"/>
    <w:rsid w:val="00E04230"/>
    <w:rsid w:val="00E04676"/>
    <w:rsid w:val="00E04D1A"/>
    <w:rsid w:val="00E051CF"/>
    <w:rsid w:val="00E051E0"/>
    <w:rsid w:val="00E05662"/>
    <w:rsid w:val="00E0571C"/>
    <w:rsid w:val="00E060BA"/>
    <w:rsid w:val="00E062CB"/>
    <w:rsid w:val="00E063FD"/>
    <w:rsid w:val="00E065B4"/>
    <w:rsid w:val="00E0674D"/>
    <w:rsid w:val="00E06835"/>
    <w:rsid w:val="00E07183"/>
    <w:rsid w:val="00E071DA"/>
    <w:rsid w:val="00E0770D"/>
    <w:rsid w:val="00E07776"/>
    <w:rsid w:val="00E07E8B"/>
    <w:rsid w:val="00E1026F"/>
    <w:rsid w:val="00E1047C"/>
    <w:rsid w:val="00E10699"/>
    <w:rsid w:val="00E10812"/>
    <w:rsid w:val="00E11421"/>
    <w:rsid w:val="00E11FFD"/>
    <w:rsid w:val="00E1228F"/>
    <w:rsid w:val="00E12A15"/>
    <w:rsid w:val="00E1321F"/>
    <w:rsid w:val="00E135D6"/>
    <w:rsid w:val="00E1369C"/>
    <w:rsid w:val="00E13807"/>
    <w:rsid w:val="00E13B1D"/>
    <w:rsid w:val="00E13D11"/>
    <w:rsid w:val="00E14011"/>
    <w:rsid w:val="00E14176"/>
    <w:rsid w:val="00E144AC"/>
    <w:rsid w:val="00E14E05"/>
    <w:rsid w:val="00E1539A"/>
    <w:rsid w:val="00E1592F"/>
    <w:rsid w:val="00E15B70"/>
    <w:rsid w:val="00E15C72"/>
    <w:rsid w:val="00E1606C"/>
    <w:rsid w:val="00E16931"/>
    <w:rsid w:val="00E16A6C"/>
    <w:rsid w:val="00E16ABA"/>
    <w:rsid w:val="00E16E41"/>
    <w:rsid w:val="00E20246"/>
    <w:rsid w:val="00E2024A"/>
    <w:rsid w:val="00E209D7"/>
    <w:rsid w:val="00E20B38"/>
    <w:rsid w:val="00E20C45"/>
    <w:rsid w:val="00E2103F"/>
    <w:rsid w:val="00E210E8"/>
    <w:rsid w:val="00E2132A"/>
    <w:rsid w:val="00E21484"/>
    <w:rsid w:val="00E21AA0"/>
    <w:rsid w:val="00E21C0D"/>
    <w:rsid w:val="00E2232E"/>
    <w:rsid w:val="00E223F5"/>
    <w:rsid w:val="00E224BF"/>
    <w:rsid w:val="00E22686"/>
    <w:rsid w:val="00E22708"/>
    <w:rsid w:val="00E22D70"/>
    <w:rsid w:val="00E23C85"/>
    <w:rsid w:val="00E23D60"/>
    <w:rsid w:val="00E23E5D"/>
    <w:rsid w:val="00E23F4C"/>
    <w:rsid w:val="00E24D8A"/>
    <w:rsid w:val="00E24F38"/>
    <w:rsid w:val="00E24F54"/>
    <w:rsid w:val="00E2516F"/>
    <w:rsid w:val="00E25B4D"/>
    <w:rsid w:val="00E25BB7"/>
    <w:rsid w:val="00E261B9"/>
    <w:rsid w:val="00E263E0"/>
    <w:rsid w:val="00E26ABB"/>
    <w:rsid w:val="00E26CC1"/>
    <w:rsid w:val="00E27589"/>
    <w:rsid w:val="00E27B98"/>
    <w:rsid w:val="00E27F3C"/>
    <w:rsid w:val="00E30084"/>
    <w:rsid w:val="00E30488"/>
    <w:rsid w:val="00E3049E"/>
    <w:rsid w:val="00E304FD"/>
    <w:rsid w:val="00E30B31"/>
    <w:rsid w:val="00E31BE7"/>
    <w:rsid w:val="00E320D0"/>
    <w:rsid w:val="00E322C9"/>
    <w:rsid w:val="00E3241F"/>
    <w:rsid w:val="00E32A87"/>
    <w:rsid w:val="00E32EA0"/>
    <w:rsid w:val="00E3369A"/>
    <w:rsid w:val="00E338C8"/>
    <w:rsid w:val="00E33F38"/>
    <w:rsid w:val="00E349A4"/>
    <w:rsid w:val="00E3565C"/>
    <w:rsid w:val="00E3565D"/>
    <w:rsid w:val="00E35B26"/>
    <w:rsid w:val="00E35B99"/>
    <w:rsid w:val="00E35EEE"/>
    <w:rsid w:val="00E35F79"/>
    <w:rsid w:val="00E36F91"/>
    <w:rsid w:val="00E37058"/>
    <w:rsid w:val="00E3706C"/>
    <w:rsid w:val="00E37635"/>
    <w:rsid w:val="00E37E56"/>
    <w:rsid w:val="00E37E6C"/>
    <w:rsid w:val="00E37E6F"/>
    <w:rsid w:val="00E40384"/>
    <w:rsid w:val="00E4049E"/>
    <w:rsid w:val="00E407DD"/>
    <w:rsid w:val="00E408E3"/>
    <w:rsid w:val="00E40B5B"/>
    <w:rsid w:val="00E419AE"/>
    <w:rsid w:val="00E41B74"/>
    <w:rsid w:val="00E41E7E"/>
    <w:rsid w:val="00E41FCB"/>
    <w:rsid w:val="00E4268B"/>
    <w:rsid w:val="00E426DF"/>
    <w:rsid w:val="00E428C0"/>
    <w:rsid w:val="00E42B80"/>
    <w:rsid w:val="00E43152"/>
    <w:rsid w:val="00E434DF"/>
    <w:rsid w:val="00E437C3"/>
    <w:rsid w:val="00E439D0"/>
    <w:rsid w:val="00E43AB5"/>
    <w:rsid w:val="00E44055"/>
    <w:rsid w:val="00E449C2"/>
    <w:rsid w:val="00E44BE3"/>
    <w:rsid w:val="00E44ED4"/>
    <w:rsid w:val="00E45058"/>
    <w:rsid w:val="00E4511B"/>
    <w:rsid w:val="00E455F3"/>
    <w:rsid w:val="00E45D71"/>
    <w:rsid w:val="00E45E18"/>
    <w:rsid w:val="00E463DA"/>
    <w:rsid w:val="00E46DC7"/>
    <w:rsid w:val="00E47164"/>
    <w:rsid w:val="00E4733A"/>
    <w:rsid w:val="00E47789"/>
    <w:rsid w:val="00E47B32"/>
    <w:rsid w:val="00E509B9"/>
    <w:rsid w:val="00E5153C"/>
    <w:rsid w:val="00E5191C"/>
    <w:rsid w:val="00E51D90"/>
    <w:rsid w:val="00E52A6D"/>
    <w:rsid w:val="00E52BAA"/>
    <w:rsid w:val="00E530B3"/>
    <w:rsid w:val="00E531F6"/>
    <w:rsid w:val="00E53746"/>
    <w:rsid w:val="00E537A4"/>
    <w:rsid w:val="00E53836"/>
    <w:rsid w:val="00E53A31"/>
    <w:rsid w:val="00E53B79"/>
    <w:rsid w:val="00E54117"/>
    <w:rsid w:val="00E54441"/>
    <w:rsid w:val="00E548B3"/>
    <w:rsid w:val="00E5523A"/>
    <w:rsid w:val="00E55B2B"/>
    <w:rsid w:val="00E55DFF"/>
    <w:rsid w:val="00E560B2"/>
    <w:rsid w:val="00E56AC0"/>
    <w:rsid w:val="00E56B77"/>
    <w:rsid w:val="00E57273"/>
    <w:rsid w:val="00E6064A"/>
    <w:rsid w:val="00E607E0"/>
    <w:rsid w:val="00E60CD8"/>
    <w:rsid w:val="00E60D1A"/>
    <w:rsid w:val="00E60EA0"/>
    <w:rsid w:val="00E60FC7"/>
    <w:rsid w:val="00E6149B"/>
    <w:rsid w:val="00E61515"/>
    <w:rsid w:val="00E6151D"/>
    <w:rsid w:val="00E617F8"/>
    <w:rsid w:val="00E619A3"/>
    <w:rsid w:val="00E622A8"/>
    <w:rsid w:val="00E628CC"/>
    <w:rsid w:val="00E62926"/>
    <w:rsid w:val="00E62927"/>
    <w:rsid w:val="00E62C66"/>
    <w:rsid w:val="00E62DC6"/>
    <w:rsid w:val="00E637B9"/>
    <w:rsid w:val="00E638B3"/>
    <w:rsid w:val="00E6484D"/>
    <w:rsid w:val="00E64965"/>
    <w:rsid w:val="00E6509F"/>
    <w:rsid w:val="00E65133"/>
    <w:rsid w:val="00E652D5"/>
    <w:rsid w:val="00E659DE"/>
    <w:rsid w:val="00E65A20"/>
    <w:rsid w:val="00E66062"/>
    <w:rsid w:val="00E6619D"/>
    <w:rsid w:val="00E662A0"/>
    <w:rsid w:val="00E6659E"/>
    <w:rsid w:val="00E666A6"/>
    <w:rsid w:val="00E6684C"/>
    <w:rsid w:val="00E668C9"/>
    <w:rsid w:val="00E67841"/>
    <w:rsid w:val="00E67FD8"/>
    <w:rsid w:val="00E70614"/>
    <w:rsid w:val="00E7067A"/>
    <w:rsid w:val="00E7069F"/>
    <w:rsid w:val="00E70DA8"/>
    <w:rsid w:val="00E70EF9"/>
    <w:rsid w:val="00E71B3C"/>
    <w:rsid w:val="00E71CE6"/>
    <w:rsid w:val="00E720CC"/>
    <w:rsid w:val="00E72BFE"/>
    <w:rsid w:val="00E7413E"/>
    <w:rsid w:val="00E74797"/>
    <w:rsid w:val="00E74812"/>
    <w:rsid w:val="00E74B4E"/>
    <w:rsid w:val="00E74E4C"/>
    <w:rsid w:val="00E74F22"/>
    <w:rsid w:val="00E74F9D"/>
    <w:rsid w:val="00E75009"/>
    <w:rsid w:val="00E7642E"/>
    <w:rsid w:val="00E76D59"/>
    <w:rsid w:val="00E76DC9"/>
    <w:rsid w:val="00E771C7"/>
    <w:rsid w:val="00E77537"/>
    <w:rsid w:val="00E775CE"/>
    <w:rsid w:val="00E77BB8"/>
    <w:rsid w:val="00E77D3B"/>
    <w:rsid w:val="00E803E8"/>
    <w:rsid w:val="00E80A0B"/>
    <w:rsid w:val="00E80A1D"/>
    <w:rsid w:val="00E80A39"/>
    <w:rsid w:val="00E80C56"/>
    <w:rsid w:val="00E81AE7"/>
    <w:rsid w:val="00E81B71"/>
    <w:rsid w:val="00E81C52"/>
    <w:rsid w:val="00E82574"/>
    <w:rsid w:val="00E82DA4"/>
    <w:rsid w:val="00E832E5"/>
    <w:rsid w:val="00E834CB"/>
    <w:rsid w:val="00E83961"/>
    <w:rsid w:val="00E83AF3"/>
    <w:rsid w:val="00E83C11"/>
    <w:rsid w:val="00E84B5E"/>
    <w:rsid w:val="00E850CB"/>
    <w:rsid w:val="00E855CA"/>
    <w:rsid w:val="00E857B8"/>
    <w:rsid w:val="00E857CA"/>
    <w:rsid w:val="00E857D5"/>
    <w:rsid w:val="00E85E41"/>
    <w:rsid w:val="00E86143"/>
    <w:rsid w:val="00E8628F"/>
    <w:rsid w:val="00E867B0"/>
    <w:rsid w:val="00E86BE8"/>
    <w:rsid w:val="00E86CF3"/>
    <w:rsid w:val="00E86D30"/>
    <w:rsid w:val="00E8711A"/>
    <w:rsid w:val="00E8736B"/>
    <w:rsid w:val="00E87723"/>
    <w:rsid w:val="00E87731"/>
    <w:rsid w:val="00E903B8"/>
    <w:rsid w:val="00E904FD"/>
    <w:rsid w:val="00E90B67"/>
    <w:rsid w:val="00E90DB4"/>
    <w:rsid w:val="00E90F78"/>
    <w:rsid w:val="00E913B9"/>
    <w:rsid w:val="00E914AE"/>
    <w:rsid w:val="00E92A47"/>
    <w:rsid w:val="00E92ABD"/>
    <w:rsid w:val="00E92C6C"/>
    <w:rsid w:val="00E9374F"/>
    <w:rsid w:val="00E9376F"/>
    <w:rsid w:val="00E938A4"/>
    <w:rsid w:val="00E93982"/>
    <w:rsid w:val="00E93EEF"/>
    <w:rsid w:val="00E93F0E"/>
    <w:rsid w:val="00E940C7"/>
    <w:rsid w:val="00E941E5"/>
    <w:rsid w:val="00E94809"/>
    <w:rsid w:val="00E95001"/>
    <w:rsid w:val="00E9546D"/>
    <w:rsid w:val="00E95549"/>
    <w:rsid w:val="00E95C8E"/>
    <w:rsid w:val="00E95D30"/>
    <w:rsid w:val="00E95FB3"/>
    <w:rsid w:val="00E95FDF"/>
    <w:rsid w:val="00E9626E"/>
    <w:rsid w:val="00E964E7"/>
    <w:rsid w:val="00E96825"/>
    <w:rsid w:val="00E969FB"/>
    <w:rsid w:val="00E96A96"/>
    <w:rsid w:val="00E96B9E"/>
    <w:rsid w:val="00E977BC"/>
    <w:rsid w:val="00E978C5"/>
    <w:rsid w:val="00E9799F"/>
    <w:rsid w:val="00E97AF9"/>
    <w:rsid w:val="00E97E73"/>
    <w:rsid w:val="00EA05E7"/>
    <w:rsid w:val="00EA066A"/>
    <w:rsid w:val="00EA0C7F"/>
    <w:rsid w:val="00EA0D31"/>
    <w:rsid w:val="00EA0DAD"/>
    <w:rsid w:val="00EA1186"/>
    <w:rsid w:val="00EA1680"/>
    <w:rsid w:val="00EA183B"/>
    <w:rsid w:val="00EA21AD"/>
    <w:rsid w:val="00EA2393"/>
    <w:rsid w:val="00EA2EEA"/>
    <w:rsid w:val="00EA2F66"/>
    <w:rsid w:val="00EA3982"/>
    <w:rsid w:val="00EA434B"/>
    <w:rsid w:val="00EA4766"/>
    <w:rsid w:val="00EA481C"/>
    <w:rsid w:val="00EA4941"/>
    <w:rsid w:val="00EA4D30"/>
    <w:rsid w:val="00EA500C"/>
    <w:rsid w:val="00EA58FA"/>
    <w:rsid w:val="00EA5E96"/>
    <w:rsid w:val="00EA5EF9"/>
    <w:rsid w:val="00EA6927"/>
    <w:rsid w:val="00EA69BF"/>
    <w:rsid w:val="00EA6C58"/>
    <w:rsid w:val="00EA6DC0"/>
    <w:rsid w:val="00EA7048"/>
    <w:rsid w:val="00EA7395"/>
    <w:rsid w:val="00EA7A42"/>
    <w:rsid w:val="00EA7B4E"/>
    <w:rsid w:val="00EA7E88"/>
    <w:rsid w:val="00EB00B9"/>
    <w:rsid w:val="00EB0319"/>
    <w:rsid w:val="00EB04DA"/>
    <w:rsid w:val="00EB0755"/>
    <w:rsid w:val="00EB07C1"/>
    <w:rsid w:val="00EB0885"/>
    <w:rsid w:val="00EB0AC1"/>
    <w:rsid w:val="00EB14CF"/>
    <w:rsid w:val="00EB1DC5"/>
    <w:rsid w:val="00EB229C"/>
    <w:rsid w:val="00EB237F"/>
    <w:rsid w:val="00EB2481"/>
    <w:rsid w:val="00EB271B"/>
    <w:rsid w:val="00EB2832"/>
    <w:rsid w:val="00EB29E1"/>
    <w:rsid w:val="00EB37D4"/>
    <w:rsid w:val="00EB3EF5"/>
    <w:rsid w:val="00EB4430"/>
    <w:rsid w:val="00EB4734"/>
    <w:rsid w:val="00EB4ACF"/>
    <w:rsid w:val="00EB5300"/>
    <w:rsid w:val="00EB5312"/>
    <w:rsid w:val="00EB568B"/>
    <w:rsid w:val="00EB614B"/>
    <w:rsid w:val="00EB614D"/>
    <w:rsid w:val="00EB617D"/>
    <w:rsid w:val="00EB625F"/>
    <w:rsid w:val="00EB6482"/>
    <w:rsid w:val="00EB6614"/>
    <w:rsid w:val="00EB676A"/>
    <w:rsid w:val="00EB6D92"/>
    <w:rsid w:val="00EB72DF"/>
    <w:rsid w:val="00EB7794"/>
    <w:rsid w:val="00EB7804"/>
    <w:rsid w:val="00EB7E0B"/>
    <w:rsid w:val="00EB7E6D"/>
    <w:rsid w:val="00EC015F"/>
    <w:rsid w:val="00EC0184"/>
    <w:rsid w:val="00EC0243"/>
    <w:rsid w:val="00EC0D5D"/>
    <w:rsid w:val="00EC0ECF"/>
    <w:rsid w:val="00EC1506"/>
    <w:rsid w:val="00EC16C8"/>
    <w:rsid w:val="00EC170B"/>
    <w:rsid w:val="00EC1C2C"/>
    <w:rsid w:val="00EC1CC5"/>
    <w:rsid w:val="00EC1E41"/>
    <w:rsid w:val="00EC1FEB"/>
    <w:rsid w:val="00EC2670"/>
    <w:rsid w:val="00EC2AC8"/>
    <w:rsid w:val="00EC2F83"/>
    <w:rsid w:val="00EC3215"/>
    <w:rsid w:val="00EC323A"/>
    <w:rsid w:val="00EC3438"/>
    <w:rsid w:val="00EC34F3"/>
    <w:rsid w:val="00EC380E"/>
    <w:rsid w:val="00EC43FB"/>
    <w:rsid w:val="00EC53A3"/>
    <w:rsid w:val="00EC604E"/>
    <w:rsid w:val="00EC640B"/>
    <w:rsid w:val="00EC6760"/>
    <w:rsid w:val="00EC686B"/>
    <w:rsid w:val="00EC699C"/>
    <w:rsid w:val="00EC6CB8"/>
    <w:rsid w:val="00EC6EDD"/>
    <w:rsid w:val="00EC706B"/>
    <w:rsid w:val="00EC712E"/>
    <w:rsid w:val="00EC7384"/>
    <w:rsid w:val="00EC7473"/>
    <w:rsid w:val="00EC754B"/>
    <w:rsid w:val="00ED0702"/>
    <w:rsid w:val="00ED0998"/>
    <w:rsid w:val="00ED0A64"/>
    <w:rsid w:val="00ED0C89"/>
    <w:rsid w:val="00ED0E87"/>
    <w:rsid w:val="00ED1382"/>
    <w:rsid w:val="00ED1CD0"/>
    <w:rsid w:val="00ED1D38"/>
    <w:rsid w:val="00ED2504"/>
    <w:rsid w:val="00ED294F"/>
    <w:rsid w:val="00ED2A18"/>
    <w:rsid w:val="00ED311E"/>
    <w:rsid w:val="00ED3561"/>
    <w:rsid w:val="00ED48B7"/>
    <w:rsid w:val="00ED5091"/>
    <w:rsid w:val="00ED51C6"/>
    <w:rsid w:val="00ED51E1"/>
    <w:rsid w:val="00ED550D"/>
    <w:rsid w:val="00ED5738"/>
    <w:rsid w:val="00ED5DDE"/>
    <w:rsid w:val="00ED62E3"/>
    <w:rsid w:val="00ED631F"/>
    <w:rsid w:val="00ED6839"/>
    <w:rsid w:val="00ED6A84"/>
    <w:rsid w:val="00ED6BF7"/>
    <w:rsid w:val="00ED6ED3"/>
    <w:rsid w:val="00ED724E"/>
    <w:rsid w:val="00ED7299"/>
    <w:rsid w:val="00ED731D"/>
    <w:rsid w:val="00ED7733"/>
    <w:rsid w:val="00ED7D57"/>
    <w:rsid w:val="00EE0161"/>
    <w:rsid w:val="00EE0CD7"/>
    <w:rsid w:val="00EE1028"/>
    <w:rsid w:val="00EE1AB2"/>
    <w:rsid w:val="00EE1D2F"/>
    <w:rsid w:val="00EE1E29"/>
    <w:rsid w:val="00EE1F6F"/>
    <w:rsid w:val="00EE202C"/>
    <w:rsid w:val="00EE21ED"/>
    <w:rsid w:val="00EE2260"/>
    <w:rsid w:val="00EE25F8"/>
    <w:rsid w:val="00EE2CD7"/>
    <w:rsid w:val="00EE3096"/>
    <w:rsid w:val="00EE3257"/>
    <w:rsid w:val="00EE3966"/>
    <w:rsid w:val="00EE3C33"/>
    <w:rsid w:val="00EE3E73"/>
    <w:rsid w:val="00EE404E"/>
    <w:rsid w:val="00EE42DB"/>
    <w:rsid w:val="00EE43A2"/>
    <w:rsid w:val="00EE47B1"/>
    <w:rsid w:val="00EE4AD9"/>
    <w:rsid w:val="00EE4F4E"/>
    <w:rsid w:val="00EE54A6"/>
    <w:rsid w:val="00EE5A5B"/>
    <w:rsid w:val="00EE5D9F"/>
    <w:rsid w:val="00EE5FB3"/>
    <w:rsid w:val="00EE613D"/>
    <w:rsid w:val="00EE61F7"/>
    <w:rsid w:val="00EE6240"/>
    <w:rsid w:val="00EE6754"/>
    <w:rsid w:val="00EE694F"/>
    <w:rsid w:val="00EE69A6"/>
    <w:rsid w:val="00EE7214"/>
    <w:rsid w:val="00EE7881"/>
    <w:rsid w:val="00EE78D6"/>
    <w:rsid w:val="00EE7967"/>
    <w:rsid w:val="00EE7D68"/>
    <w:rsid w:val="00EF013D"/>
    <w:rsid w:val="00EF0927"/>
    <w:rsid w:val="00EF0E51"/>
    <w:rsid w:val="00EF0E5D"/>
    <w:rsid w:val="00EF1608"/>
    <w:rsid w:val="00EF1A22"/>
    <w:rsid w:val="00EF1B0A"/>
    <w:rsid w:val="00EF1C38"/>
    <w:rsid w:val="00EF3CC3"/>
    <w:rsid w:val="00EF3F84"/>
    <w:rsid w:val="00EF4219"/>
    <w:rsid w:val="00EF42EF"/>
    <w:rsid w:val="00EF47D9"/>
    <w:rsid w:val="00EF4C13"/>
    <w:rsid w:val="00EF5176"/>
    <w:rsid w:val="00EF5EBC"/>
    <w:rsid w:val="00EF634B"/>
    <w:rsid w:val="00EF6605"/>
    <w:rsid w:val="00EF6C7F"/>
    <w:rsid w:val="00EF6EE0"/>
    <w:rsid w:val="00EF74BC"/>
    <w:rsid w:val="00EF75EA"/>
    <w:rsid w:val="00EF7BCF"/>
    <w:rsid w:val="00EF7E31"/>
    <w:rsid w:val="00F0009E"/>
    <w:rsid w:val="00F00771"/>
    <w:rsid w:val="00F00FB3"/>
    <w:rsid w:val="00F010F1"/>
    <w:rsid w:val="00F01340"/>
    <w:rsid w:val="00F019E5"/>
    <w:rsid w:val="00F01A09"/>
    <w:rsid w:val="00F01A4E"/>
    <w:rsid w:val="00F02504"/>
    <w:rsid w:val="00F02872"/>
    <w:rsid w:val="00F03044"/>
    <w:rsid w:val="00F0308A"/>
    <w:rsid w:val="00F03393"/>
    <w:rsid w:val="00F03CA2"/>
    <w:rsid w:val="00F03FDA"/>
    <w:rsid w:val="00F04410"/>
    <w:rsid w:val="00F04AC3"/>
    <w:rsid w:val="00F04BDE"/>
    <w:rsid w:val="00F04EC6"/>
    <w:rsid w:val="00F04F80"/>
    <w:rsid w:val="00F05B4C"/>
    <w:rsid w:val="00F05D30"/>
    <w:rsid w:val="00F06266"/>
    <w:rsid w:val="00F0672B"/>
    <w:rsid w:val="00F06E5D"/>
    <w:rsid w:val="00F074E2"/>
    <w:rsid w:val="00F0768C"/>
    <w:rsid w:val="00F102B2"/>
    <w:rsid w:val="00F10896"/>
    <w:rsid w:val="00F109F5"/>
    <w:rsid w:val="00F10AC3"/>
    <w:rsid w:val="00F10E28"/>
    <w:rsid w:val="00F10F3F"/>
    <w:rsid w:val="00F114AC"/>
    <w:rsid w:val="00F11EEA"/>
    <w:rsid w:val="00F1254A"/>
    <w:rsid w:val="00F1292A"/>
    <w:rsid w:val="00F12D5D"/>
    <w:rsid w:val="00F13426"/>
    <w:rsid w:val="00F13545"/>
    <w:rsid w:val="00F13F6D"/>
    <w:rsid w:val="00F14F2A"/>
    <w:rsid w:val="00F15167"/>
    <w:rsid w:val="00F1567C"/>
    <w:rsid w:val="00F158C0"/>
    <w:rsid w:val="00F15E4E"/>
    <w:rsid w:val="00F161FA"/>
    <w:rsid w:val="00F16255"/>
    <w:rsid w:val="00F1654F"/>
    <w:rsid w:val="00F167BF"/>
    <w:rsid w:val="00F16C8E"/>
    <w:rsid w:val="00F16EF9"/>
    <w:rsid w:val="00F16F07"/>
    <w:rsid w:val="00F1719A"/>
    <w:rsid w:val="00F179C7"/>
    <w:rsid w:val="00F17DAA"/>
    <w:rsid w:val="00F17F1E"/>
    <w:rsid w:val="00F2038B"/>
    <w:rsid w:val="00F209AB"/>
    <w:rsid w:val="00F20DB6"/>
    <w:rsid w:val="00F20F65"/>
    <w:rsid w:val="00F20FC5"/>
    <w:rsid w:val="00F21343"/>
    <w:rsid w:val="00F2172B"/>
    <w:rsid w:val="00F21CF9"/>
    <w:rsid w:val="00F21DD0"/>
    <w:rsid w:val="00F22393"/>
    <w:rsid w:val="00F223EE"/>
    <w:rsid w:val="00F22AF2"/>
    <w:rsid w:val="00F22D51"/>
    <w:rsid w:val="00F2306B"/>
    <w:rsid w:val="00F2338B"/>
    <w:rsid w:val="00F23600"/>
    <w:rsid w:val="00F2362D"/>
    <w:rsid w:val="00F23A95"/>
    <w:rsid w:val="00F23ACF"/>
    <w:rsid w:val="00F23D3F"/>
    <w:rsid w:val="00F23EB0"/>
    <w:rsid w:val="00F24808"/>
    <w:rsid w:val="00F24EAE"/>
    <w:rsid w:val="00F2515E"/>
    <w:rsid w:val="00F2543C"/>
    <w:rsid w:val="00F25B8B"/>
    <w:rsid w:val="00F25EA9"/>
    <w:rsid w:val="00F2627D"/>
    <w:rsid w:val="00F27094"/>
    <w:rsid w:val="00F27299"/>
    <w:rsid w:val="00F2756F"/>
    <w:rsid w:val="00F275DF"/>
    <w:rsid w:val="00F276AE"/>
    <w:rsid w:val="00F278E3"/>
    <w:rsid w:val="00F27A6B"/>
    <w:rsid w:val="00F27C71"/>
    <w:rsid w:val="00F27D67"/>
    <w:rsid w:val="00F3065F"/>
    <w:rsid w:val="00F30699"/>
    <w:rsid w:val="00F30902"/>
    <w:rsid w:val="00F3092B"/>
    <w:rsid w:val="00F312BB"/>
    <w:rsid w:val="00F318F0"/>
    <w:rsid w:val="00F31ACE"/>
    <w:rsid w:val="00F31B62"/>
    <w:rsid w:val="00F31FA6"/>
    <w:rsid w:val="00F32BE4"/>
    <w:rsid w:val="00F32C7E"/>
    <w:rsid w:val="00F32E03"/>
    <w:rsid w:val="00F331EE"/>
    <w:rsid w:val="00F33698"/>
    <w:rsid w:val="00F33794"/>
    <w:rsid w:val="00F339D9"/>
    <w:rsid w:val="00F33B83"/>
    <w:rsid w:val="00F33CCB"/>
    <w:rsid w:val="00F33CFD"/>
    <w:rsid w:val="00F33F31"/>
    <w:rsid w:val="00F33FD6"/>
    <w:rsid w:val="00F3400E"/>
    <w:rsid w:val="00F348D0"/>
    <w:rsid w:val="00F349C9"/>
    <w:rsid w:val="00F34EFF"/>
    <w:rsid w:val="00F35DCC"/>
    <w:rsid w:val="00F362DF"/>
    <w:rsid w:val="00F36A74"/>
    <w:rsid w:val="00F36BC0"/>
    <w:rsid w:val="00F36D00"/>
    <w:rsid w:val="00F37053"/>
    <w:rsid w:val="00F372E2"/>
    <w:rsid w:val="00F3776E"/>
    <w:rsid w:val="00F37782"/>
    <w:rsid w:val="00F37947"/>
    <w:rsid w:val="00F37A3D"/>
    <w:rsid w:val="00F37F6D"/>
    <w:rsid w:val="00F40026"/>
    <w:rsid w:val="00F4012B"/>
    <w:rsid w:val="00F4055C"/>
    <w:rsid w:val="00F40754"/>
    <w:rsid w:val="00F40A86"/>
    <w:rsid w:val="00F40C40"/>
    <w:rsid w:val="00F40D46"/>
    <w:rsid w:val="00F40ED6"/>
    <w:rsid w:val="00F40FF8"/>
    <w:rsid w:val="00F41006"/>
    <w:rsid w:val="00F4114A"/>
    <w:rsid w:val="00F411CD"/>
    <w:rsid w:val="00F413DD"/>
    <w:rsid w:val="00F417EF"/>
    <w:rsid w:val="00F4188F"/>
    <w:rsid w:val="00F41CE4"/>
    <w:rsid w:val="00F41E1C"/>
    <w:rsid w:val="00F41E95"/>
    <w:rsid w:val="00F41ECF"/>
    <w:rsid w:val="00F4212D"/>
    <w:rsid w:val="00F4226F"/>
    <w:rsid w:val="00F42337"/>
    <w:rsid w:val="00F426E2"/>
    <w:rsid w:val="00F427D4"/>
    <w:rsid w:val="00F428C0"/>
    <w:rsid w:val="00F42A57"/>
    <w:rsid w:val="00F42FB7"/>
    <w:rsid w:val="00F432EA"/>
    <w:rsid w:val="00F43634"/>
    <w:rsid w:val="00F439EF"/>
    <w:rsid w:val="00F44151"/>
    <w:rsid w:val="00F443CA"/>
    <w:rsid w:val="00F4478C"/>
    <w:rsid w:val="00F447C8"/>
    <w:rsid w:val="00F44D08"/>
    <w:rsid w:val="00F44E6B"/>
    <w:rsid w:val="00F453ED"/>
    <w:rsid w:val="00F45807"/>
    <w:rsid w:val="00F45903"/>
    <w:rsid w:val="00F45AB4"/>
    <w:rsid w:val="00F45ABF"/>
    <w:rsid w:val="00F45B05"/>
    <w:rsid w:val="00F45FAA"/>
    <w:rsid w:val="00F46332"/>
    <w:rsid w:val="00F463EE"/>
    <w:rsid w:val="00F47072"/>
    <w:rsid w:val="00F477B9"/>
    <w:rsid w:val="00F47CDD"/>
    <w:rsid w:val="00F47DE5"/>
    <w:rsid w:val="00F50283"/>
    <w:rsid w:val="00F50318"/>
    <w:rsid w:val="00F50637"/>
    <w:rsid w:val="00F506B3"/>
    <w:rsid w:val="00F50738"/>
    <w:rsid w:val="00F509C3"/>
    <w:rsid w:val="00F50B4A"/>
    <w:rsid w:val="00F50E1A"/>
    <w:rsid w:val="00F51486"/>
    <w:rsid w:val="00F51531"/>
    <w:rsid w:val="00F51632"/>
    <w:rsid w:val="00F521FD"/>
    <w:rsid w:val="00F52216"/>
    <w:rsid w:val="00F52558"/>
    <w:rsid w:val="00F52691"/>
    <w:rsid w:val="00F52E30"/>
    <w:rsid w:val="00F52E92"/>
    <w:rsid w:val="00F53135"/>
    <w:rsid w:val="00F535CC"/>
    <w:rsid w:val="00F53EBA"/>
    <w:rsid w:val="00F53F2D"/>
    <w:rsid w:val="00F540E8"/>
    <w:rsid w:val="00F54156"/>
    <w:rsid w:val="00F542C1"/>
    <w:rsid w:val="00F54302"/>
    <w:rsid w:val="00F5473B"/>
    <w:rsid w:val="00F54D6D"/>
    <w:rsid w:val="00F555F0"/>
    <w:rsid w:val="00F5565E"/>
    <w:rsid w:val="00F556FA"/>
    <w:rsid w:val="00F56279"/>
    <w:rsid w:val="00F56336"/>
    <w:rsid w:val="00F563D6"/>
    <w:rsid w:val="00F566E0"/>
    <w:rsid w:val="00F5677D"/>
    <w:rsid w:val="00F56B85"/>
    <w:rsid w:val="00F56E0B"/>
    <w:rsid w:val="00F57717"/>
    <w:rsid w:val="00F6010F"/>
    <w:rsid w:val="00F60788"/>
    <w:rsid w:val="00F607BE"/>
    <w:rsid w:val="00F608B9"/>
    <w:rsid w:val="00F60A2D"/>
    <w:rsid w:val="00F60E13"/>
    <w:rsid w:val="00F60EB2"/>
    <w:rsid w:val="00F610AD"/>
    <w:rsid w:val="00F615DC"/>
    <w:rsid w:val="00F6193C"/>
    <w:rsid w:val="00F61A8C"/>
    <w:rsid w:val="00F61BBA"/>
    <w:rsid w:val="00F62099"/>
    <w:rsid w:val="00F6214C"/>
    <w:rsid w:val="00F62477"/>
    <w:rsid w:val="00F625EC"/>
    <w:rsid w:val="00F6291C"/>
    <w:rsid w:val="00F6345A"/>
    <w:rsid w:val="00F63464"/>
    <w:rsid w:val="00F637BB"/>
    <w:rsid w:val="00F63991"/>
    <w:rsid w:val="00F6497B"/>
    <w:rsid w:val="00F64B34"/>
    <w:rsid w:val="00F64C09"/>
    <w:rsid w:val="00F6507E"/>
    <w:rsid w:val="00F650A5"/>
    <w:rsid w:val="00F651EC"/>
    <w:rsid w:val="00F65604"/>
    <w:rsid w:val="00F656DB"/>
    <w:rsid w:val="00F6576B"/>
    <w:rsid w:val="00F658CC"/>
    <w:rsid w:val="00F6615B"/>
    <w:rsid w:val="00F668B7"/>
    <w:rsid w:val="00F66CB0"/>
    <w:rsid w:val="00F67775"/>
    <w:rsid w:val="00F679F2"/>
    <w:rsid w:val="00F67B0E"/>
    <w:rsid w:val="00F67E49"/>
    <w:rsid w:val="00F701CA"/>
    <w:rsid w:val="00F7088E"/>
    <w:rsid w:val="00F722A3"/>
    <w:rsid w:val="00F72EAA"/>
    <w:rsid w:val="00F7301E"/>
    <w:rsid w:val="00F7367E"/>
    <w:rsid w:val="00F73881"/>
    <w:rsid w:val="00F73F12"/>
    <w:rsid w:val="00F741A7"/>
    <w:rsid w:val="00F742F8"/>
    <w:rsid w:val="00F748EA"/>
    <w:rsid w:val="00F74F7D"/>
    <w:rsid w:val="00F75065"/>
    <w:rsid w:val="00F75095"/>
    <w:rsid w:val="00F75737"/>
    <w:rsid w:val="00F757AF"/>
    <w:rsid w:val="00F75ADC"/>
    <w:rsid w:val="00F76408"/>
    <w:rsid w:val="00F76BE7"/>
    <w:rsid w:val="00F7716E"/>
    <w:rsid w:val="00F7741E"/>
    <w:rsid w:val="00F77932"/>
    <w:rsid w:val="00F77ED9"/>
    <w:rsid w:val="00F801DB"/>
    <w:rsid w:val="00F806A0"/>
    <w:rsid w:val="00F80AEA"/>
    <w:rsid w:val="00F811DB"/>
    <w:rsid w:val="00F81D31"/>
    <w:rsid w:val="00F82763"/>
    <w:rsid w:val="00F82F24"/>
    <w:rsid w:val="00F8314A"/>
    <w:rsid w:val="00F83E96"/>
    <w:rsid w:val="00F8406A"/>
    <w:rsid w:val="00F84103"/>
    <w:rsid w:val="00F845C6"/>
    <w:rsid w:val="00F84A0B"/>
    <w:rsid w:val="00F84E22"/>
    <w:rsid w:val="00F84FCB"/>
    <w:rsid w:val="00F8563D"/>
    <w:rsid w:val="00F85F25"/>
    <w:rsid w:val="00F865E8"/>
    <w:rsid w:val="00F86DCE"/>
    <w:rsid w:val="00F87CFF"/>
    <w:rsid w:val="00F903BE"/>
    <w:rsid w:val="00F907A8"/>
    <w:rsid w:val="00F907E5"/>
    <w:rsid w:val="00F90807"/>
    <w:rsid w:val="00F90A06"/>
    <w:rsid w:val="00F90CF2"/>
    <w:rsid w:val="00F910D2"/>
    <w:rsid w:val="00F91E1D"/>
    <w:rsid w:val="00F91F0C"/>
    <w:rsid w:val="00F92250"/>
    <w:rsid w:val="00F928A8"/>
    <w:rsid w:val="00F92ADD"/>
    <w:rsid w:val="00F92C05"/>
    <w:rsid w:val="00F92C7C"/>
    <w:rsid w:val="00F92D63"/>
    <w:rsid w:val="00F93010"/>
    <w:rsid w:val="00F934FD"/>
    <w:rsid w:val="00F93CDA"/>
    <w:rsid w:val="00F93ED7"/>
    <w:rsid w:val="00F93FC9"/>
    <w:rsid w:val="00F94190"/>
    <w:rsid w:val="00F941F2"/>
    <w:rsid w:val="00F94534"/>
    <w:rsid w:val="00F94744"/>
    <w:rsid w:val="00F94CE4"/>
    <w:rsid w:val="00F94DD3"/>
    <w:rsid w:val="00F951A9"/>
    <w:rsid w:val="00F952E3"/>
    <w:rsid w:val="00F9554F"/>
    <w:rsid w:val="00F95E69"/>
    <w:rsid w:val="00F9680E"/>
    <w:rsid w:val="00F96D0D"/>
    <w:rsid w:val="00F96ECE"/>
    <w:rsid w:val="00F972E0"/>
    <w:rsid w:val="00F9746C"/>
    <w:rsid w:val="00F9757F"/>
    <w:rsid w:val="00F979C4"/>
    <w:rsid w:val="00FA028E"/>
    <w:rsid w:val="00FA0BBC"/>
    <w:rsid w:val="00FA0D03"/>
    <w:rsid w:val="00FA0EAB"/>
    <w:rsid w:val="00FA1250"/>
    <w:rsid w:val="00FA166F"/>
    <w:rsid w:val="00FA16ED"/>
    <w:rsid w:val="00FA1898"/>
    <w:rsid w:val="00FA19C2"/>
    <w:rsid w:val="00FA1FDE"/>
    <w:rsid w:val="00FA246F"/>
    <w:rsid w:val="00FA26D3"/>
    <w:rsid w:val="00FA2779"/>
    <w:rsid w:val="00FA2866"/>
    <w:rsid w:val="00FA2B05"/>
    <w:rsid w:val="00FA2EEB"/>
    <w:rsid w:val="00FA3BCB"/>
    <w:rsid w:val="00FA3DAE"/>
    <w:rsid w:val="00FA4124"/>
    <w:rsid w:val="00FA45D6"/>
    <w:rsid w:val="00FA4D9A"/>
    <w:rsid w:val="00FA5B63"/>
    <w:rsid w:val="00FA5C13"/>
    <w:rsid w:val="00FA6518"/>
    <w:rsid w:val="00FA699D"/>
    <w:rsid w:val="00FA6F68"/>
    <w:rsid w:val="00FA718D"/>
    <w:rsid w:val="00FA71CF"/>
    <w:rsid w:val="00FB0466"/>
    <w:rsid w:val="00FB064C"/>
    <w:rsid w:val="00FB0999"/>
    <w:rsid w:val="00FB0A50"/>
    <w:rsid w:val="00FB0DF1"/>
    <w:rsid w:val="00FB11D0"/>
    <w:rsid w:val="00FB1B43"/>
    <w:rsid w:val="00FB278F"/>
    <w:rsid w:val="00FB3860"/>
    <w:rsid w:val="00FB4124"/>
    <w:rsid w:val="00FB41EA"/>
    <w:rsid w:val="00FB4505"/>
    <w:rsid w:val="00FB458E"/>
    <w:rsid w:val="00FB4E26"/>
    <w:rsid w:val="00FB4F97"/>
    <w:rsid w:val="00FB5520"/>
    <w:rsid w:val="00FB581D"/>
    <w:rsid w:val="00FB5FA6"/>
    <w:rsid w:val="00FB6278"/>
    <w:rsid w:val="00FB6606"/>
    <w:rsid w:val="00FB691E"/>
    <w:rsid w:val="00FB6C43"/>
    <w:rsid w:val="00FB7293"/>
    <w:rsid w:val="00FB7491"/>
    <w:rsid w:val="00FB74EE"/>
    <w:rsid w:val="00FB7AE4"/>
    <w:rsid w:val="00FC0422"/>
    <w:rsid w:val="00FC0F41"/>
    <w:rsid w:val="00FC104E"/>
    <w:rsid w:val="00FC10AB"/>
    <w:rsid w:val="00FC1204"/>
    <w:rsid w:val="00FC1857"/>
    <w:rsid w:val="00FC1C68"/>
    <w:rsid w:val="00FC1EC4"/>
    <w:rsid w:val="00FC1ECF"/>
    <w:rsid w:val="00FC2237"/>
    <w:rsid w:val="00FC2360"/>
    <w:rsid w:val="00FC2511"/>
    <w:rsid w:val="00FC292E"/>
    <w:rsid w:val="00FC2C44"/>
    <w:rsid w:val="00FC2CAA"/>
    <w:rsid w:val="00FC2D3D"/>
    <w:rsid w:val="00FC2F33"/>
    <w:rsid w:val="00FC3717"/>
    <w:rsid w:val="00FC39AA"/>
    <w:rsid w:val="00FC3ECC"/>
    <w:rsid w:val="00FC416F"/>
    <w:rsid w:val="00FC4480"/>
    <w:rsid w:val="00FC48E4"/>
    <w:rsid w:val="00FC51D0"/>
    <w:rsid w:val="00FC521F"/>
    <w:rsid w:val="00FC5490"/>
    <w:rsid w:val="00FC5C5A"/>
    <w:rsid w:val="00FC61FB"/>
    <w:rsid w:val="00FC6ED0"/>
    <w:rsid w:val="00FC6FC5"/>
    <w:rsid w:val="00FC70F5"/>
    <w:rsid w:val="00FC770B"/>
    <w:rsid w:val="00FC7830"/>
    <w:rsid w:val="00FC794E"/>
    <w:rsid w:val="00FD0472"/>
    <w:rsid w:val="00FD065E"/>
    <w:rsid w:val="00FD07C3"/>
    <w:rsid w:val="00FD08ED"/>
    <w:rsid w:val="00FD0989"/>
    <w:rsid w:val="00FD0A83"/>
    <w:rsid w:val="00FD0AE7"/>
    <w:rsid w:val="00FD0CDD"/>
    <w:rsid w:val="00FD0D3E"/>
    <w:rsid w:val="00FD133A"/>
    <w:rsid w:val="00FD168D"/>
    <w:rsid w:val="00FD1691"/>
    <w:rsid w:val="00FD2648"/>
    <w:rsid w:val="00FD26E5"/>
    <w:rsid w:val="00FD2792"/>
    <w:rsid w:val="00FD2D89"/>
    <w:rsid w:val="00FD336B"/>
    <w:rsid w:val="00FD4095"/>
    <w:rsid w:val="00FD43E0"/>
    <w:rsid w:val="00FD468D"/>
    <w:rsid w:val="00FD48E7"/>
    <w:rsid w:val="00FD4BE0"/>
    <w:rsid w:val="00FD4BFA"/>
    <w:rsid w:val="00FD4DC7"/>
    <w:rsid w:val="00FD4EC5"/>
    <w:rsid w:val="00FD5303"/>
    <w:rsid w:val="00FD56D9"/>
    <w:rsid w:val="00FD59A1"/>
    <w:rsid w:val="00FD5A2D"/>
    <w:rsid w:val="00FD628F"/>
    <w:rsid w:val="00FD64E1"/>
    <w:rsid w:val="00FD66FF"/>
    <w:rsid w:val="00FD6A9B"/>
    <w:rsid w:val="00FD70C3"/>
    <w:rsid w:val="00FD7353"/>
    <w:rsid w:val="00FD754E"/>
    <w:rsid w:val="00FD7BED"/>
    <w:rsid w:val="00FE0772"/>
    <w:rsid w:val="00FE07BB"/>
    <w:rsid w:val="00FE0921"/>
    <w:rsid w:val="00FE0A69"/>
    <w:rsid w:val="00FE10CA"/>
    <w:rsid w:val="00FE146F"/>
    <w:rsid w:val="00FE1BD8"/>
    <w:rsid w:val="00FE21CE"/>
    <w:rsid w:val="00FE2660"/>
    <w:rsid w:val="00FE2D84"/>
    <w:rsid w:val="00FE2E29"/>
    <w:rsid w:val="00FE3921"/>
    <w:rsid w:val="00FE3954"/>
    <w:rsid w:val="00FE3A51"/>
    <w:rsid w:val="00FE3BBA"/>
    <w:rsid w:val="00FE3C08"/>
    <w:rsid w:val="00FE3E6A"/>
    <w:rsid w:val="00FE4165"/>
    <w:rsid w:val="00FE4299"/>
    <w:rsid w:val="00FE4F49"/>
    <w:rsid w:val="00FE4FB6"/>
    <w:rsid w:val="00FE5068"/>
    <w:rsid w:val="00FE57F9"/>
    <w:rsid w:val="00FE60C9"/>
    <w:rsid w:val="00FE66B3"/>
    <w:rsid w:val="00FE6A9C"/>
    <w:rsid w:val="00FE7079"/>
    <w:rsid w:val="00FE723F"/>
    <w:rsid w:val="00FE7374"/>
    <w:rsid w:val="00FE75DA"/>
    <w:rsid w:val="00FE784B"/>
    <w:rsid w:val="00FE795F"/>
    <w:rsid w:val="00FE7A65"/>
    <w:rsid w:val="00FF0245"/>
    <w:rsid w:val="00FF046F"/>
    <w:rsid w:val="00FF0899"/>
    <w:rsid w:val="00FF1280"/>
    <w:rsid w:val="00FF1A6D"/>
    <w:rsid w:val="00FF20B9"/>
    <w:rsid w:val="00FF28D6"/>
    <w:rsid w:val="00FF36AF"/>
    <w:rsid w:val="00FF3898"/>
    <w:rsid w:val="00FF3A16"/>
    <w:rsid w:val="00FF3E53"/>
    <w:rsid w:val="00FF407A"/>
    <w:rsid w:val="00FF4E65"/>
    <w:rsid w:val="00FF4F74"/>
    <w:rsid w:val="00FF5257"/>
    <w:rsid w:val="00FF5B46"/>
    <w:rsid w:val="00FF5D58"/>
    <w:rsid w:val="00FF68B1"/>
    <w:rsid w:val="00FF6B01"/>
    <w:rsid w:val="00FF6C35"/>
    <w:rsid w:val="00FF6D0E"/>
    <w:rsid w:val="00FF6D58"/>
    <w:rsid w:val="00FF6ED4"/>
    <w:rsid w:val="00FF703B"/>
    <w:rsid w:val="00FF7085"/>
    <w:rsid w:val="00FF7444"/>
    <w:rsid w:val="00FF7630"/>
    <w:rsid w:val="00FF7646"/>
    <w:rsid w:val="00FF7A90"/>
    <w:rsid w:val="00FF7BB0"/>
    <w:rsid w:val="00FF7CDC"/>
    <w:rsid w:val="00FF7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18CA29"/>
  <w15:docId w15:val="{7FC832A0-08DE-41F1-94EE-E31BA53C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98"/>
    <w:pPr>
      <w:jc w:val="both"/>
    </w:pPr>
    <w:rPr>
      <w:rFonts w:ascii="ZapfCalligr BT" w:hAnsi="ZapfCalligr BT" w:cs="ZapfCalligr BT"/>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cs="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cs="Arial"/>
      <w:b/>
      <w:bCs/>
      <w:sz w:val="24"/>
      <w:szCs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bCs/>
      <w:sz w:val="28"/>
      <w:szCs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bCs/>
      <w:sz w:val="26"/>
      <w:szCs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bCs/>
      <w:sz w:val="28"/>
      <w:szCs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6ADF"/>
    <w:pPr>
      <w:keepNext/>
      <w:outlineLvl w:val="7"/>
    </w:pPr>
    <w:rPr>
      <w:sz w:val="26"/>
      <w:szCs w:val="26"/>
      <w:u w:val="single"/>
      <w:lang w:eastAsia="en-US"/>
    </w:rPr>
  </w:style>
  <w:style w:type="paragraph" w:styleId="Heading9">
    <w:name w:val="heading 9"/>
    <w:basedOn w:val="Normal"/>
    <w:next w:val="Normal"/>
    <w:link w:val="Heading9Char"/>
    <w:uiPriority w:val="99"/>
    <w:qFormat/>
    <w:rsid w:val="00866ADF"/>
    <w:pPr>
      <w:keepNext/>
      <w:outlineLvl w:val="8"/>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A1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12A1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2A1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12A1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12A1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12A15"/>
    <w:rPr>
      <w:rFonts w:ascii="Calibri" w:hAnsi="Calibri" w:cs="Calibri"/>
      <w:b/>
      <w:bCs/>
    </w:rPr>
  </w:style>
  <w:style w:type="character" w:customStyle="1" w:styleId="Heading7Char">
    <w:name w:val="Heading 7 Char"/>
    <w:basedOn w:val="DefaultParagraphFont"/>
    <w:link w:val="Heading7"/>
    <w:uiPriority w:val="99"/>
    <w:semiHidden/>
    <w:locked/>
    <w:rsid w:val="00E12A15"/>
    <w:rPr>
      <w:rFonts w:ascii="Calibri" w:hAnsi="Calibri" w:cs="Calibri"/>
      <w:sz w:val="24"/>
      <w:szCs w:val="24"/>
    </w:rPr>
  </w:style>
  <w:style w:type="character" w:customStyle="1" w:styleId="Heading8Char">
    <w:name w:val="Heading 8 Char"/>
    <w:basedOn w:val="DefaultParagraphFont"/>
    <w:link w:val="Heading8"/>
    <w:uiPriority w:val="99"/>
    <w:semiHidden/>
    <w:locked/>
    <w:rsid w:val="00E12A15"/>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12A15"/>
    <w:rPr>
      <w:rFonts w:ascii="Cambria" w:hAnsi="Cambria" w:cs="Cambria"/>
    </w:rPr>
  </w:style>
  <w:style w:type="table" w:styleId="TableGrid">
    <w:name w:val="Table Grid"/>
    <w:basedOn w:val="TableNormal"/>
    <w:uiPriority w:val="59"/>
    <w:rsid w:val="00ED09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basedOn w:val="DefaultParagraphFont"/>
    <w:link w:val="Footer"/>
    <w:uiPriority w:val="99"/>
    <w:locked/>
    <w:rsid w:val="00E12A15"/>
    <w:rPr>
      <w:rFonts w:ascii="ZapfCalligr BT" w:hAnsi="ZapfCalligr BT" w:cs="ZapfCalligr BT"/>
      <w:sz w:val="20"/>
      <w:szCs w:val="20"/>
    </w:rPr>
  </w:style>
  <w:style w:type="character" w:styleId="PageNumber">
    <w:name w:val="page number"/>
    <w:basedOn w:val="DefaultParagraphFont"/>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basedOn w:val="DefaultParagraphFont"/>
    <w:link w:val="Header"/>
    <w:uiPriority w:val="99"/>
    <w:locked/>
    <w:rsid w:val="00E12A15"/>
    <w:rPr>
      <w:rFonts w:ascii="ZapfCalligr BT" w:hAnsi="ZapfCalligr BT" w:cs="ZapfCalligr BT"/>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A15"/>
    <w:rPr>
      <w:rFonts w:cs="Times New Roman"/>
      <w:sz w:val="2"/>
      <w:szCs w:val="2"/>
    </w:rPr>
  </w:style>
  <w:style w:type="paragraph" w:styleId="BodyText">
    <w:name w:val="Body Text"/>
    <w:basedOn w:val="Normal"/>
    <w:link w:val="BodyTextChar"/>
    <w:uiPriority w:val="99"/>
    <w:rsid w:val="00866ADF"/>
    <w:rPr>
      <w:sz w:val="28"/>
      <w:szCs w:val="28"/>
      <w:lang w:eastAsia="en-US"/>
    </w:rPr>
  </w:style>
  <w:style w:type="character" w:customStyle="1" w:styleId="BodyTextChar">
    <w:name w:val="Body Text Char"/>
    <w:basedOn w:val="DefaultParagraphFont"/>
    <w:link w:val="BodyText"/>
    <w:uiPriority w:val="99"/>
    <w:semiHidden/>
    <w:locked/>
    <w:rsid w:val="00E12A15"/>
    <w:rPr>
      <w:rFonts w:ascii="ZapfCalligr BT" w:hAnsi="ZapfCalligr BT" w:cs="ZapfCalligr BT"/>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E12A15"/>
    <w:rPr>
      <w:rFonts w:ascii="ZapfCalligr BT" w:hAnsi="ZapfCalligr BT" w:cs="ZapfCalligr BT"/>
      <w:sz w:val="20"/>
      <w:szCs w:val="20"/>
    </w:rPr>
  </w:style>
  <w:style w:type="paragraph" w:styleId="BodyText2">
    <w:name w:val="Body Text 2"/>
    <w:basedOn w:val="Normal"/>
    <w:link w:val="BodyText2Char"/>
    <w:uiPriority w:val="99"/>
    <w:rsid w:val="00866ADF"/>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semiHidden/>
    <w:locked/>
    <w:rsid w:val="00E12A15"/>
    <w:rPr>
      <w:rFonts w:ascii="ZapfCalligr BT" w:hAnsi="ZapfCalligr BT" w:cs="ZapfCalligr BT"/>
      <w:sz w:val="20"/>
      <w:szCs w:val="20"/>
    </w:rPr>
  </w:style>
  <w:style w:type="paragraph" w:styleId="BodyText3">
    <w:name w:val="Body Text 3"/>
    <w:basedOn w:val="Normal"/>
    <w:link w:val="BodyText3Char"/>
    <w:uiPriority w:val="99"/>
    <w:rsid w:val="00866ADF"/>
    <w:pPr>
      <w:spacing w:after="120"/>
    </w:pPr>
    <w:rPr>
      <w:rFonts w:ascii="Arial" w:hAnsi="Arial" w:cs="Arial"/>
      <w:sz w:val="16"/>
      <w:szCs w:val="16"/>
    </w:rPr>
  </w:style>
  <w:style w:type="character" w:customStyle="1" w:styleId="BodyText3Char">
    <w:name w:val="Body Text 3 Char"/>
    <w:basedOn w:val="DefaultParagraphFont"/>
    <w:link w:val="BodyText3"/>
    <w:uiPriority w:val="99"/>
    <w:semiHidden/>
    <w:locked/>
    <w:rsid w:val="00E12A15"/>
    <w:rPr>
      <w:rFonts w:ascii="ZapfCalligr BT" w:hAnsi="ZapfCalligr BT" w:cs="ZapfCalligr BT"/>
      <w:sz w:val="16"/>
      <w:szCs w:val="16"/>
    </w:rPr>
  </w:style>
  <w:style w:type="character" w:styleId="FollowedHyperlink">
    <w:name w:val="FollowedHyperlink"/>
    <w:basedOn w:val="DefaultParagraphFont"/>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szCs w:val="24"/>
      <w:lang w:eastAsia="en-US"/>
    </w:rPr>
  </w:style>
  <w:style w:type="character" w:customStyle="1" w:styleId="BodyTextIndentChar">
    <w:name w:val="Body Text Indent Char"/>
    <w:basedOn w:val="DefaultParagraphFont"/>
    <w:link w:val="BodyTextIndent"/>
    <w:uiPriority w:val="99"/>
    <w:semiHidden/>
    <w:locked/>
    <w:rsid w:val="00E12A15"/>
    <w:rPr>
      <w:rFonts w:ascii="ZapfCalligr BT" w:hAnsi="ZapfCalligr BT" w:cs="ZapfCalligr BT"/>
      <w:sz w:val="20"/>
      <w:szCs w:val="20"/>
    </w:rPr>
  </w:style>
  <w:style w:type="paragraph" w:styleId="BodyTextIndent3">
    <w:name w:val="Body Text Indent 3"/>
    <w:basedOn w:val="Normal"/>
    <w:link w:val="BodyTextIndent3Char"/>
    <w:uiPriority w:val="99"/>
    <w:rsid w:val="00866ADF"/>
    <w:pPr>
      <w:ind w:left="180" w:hanging="180"/>
    </w:pPr>
    <w:rPr>
      <w:sz w:val="26"/>
      <w:szCs w:val="26"/>
      <w:lang w:eastAsia="en-US"/>
    </w:rPr>
  </w:style>
  <w:style w:type="character" w:customStyle="1" w:styleId="BodyTextIndent3Char">
    <w:name w:val="Body Text Indent 3 Char"/>
    <w:basedOn w:val="DefaultParagraphFont"/>
    <w:link w:val="BodyTextIndent3"/>
    <w:uiPriority w:val="99"/>
    <w:semiHidden/>
    <w:locked/>
    <w:rsid w:val="00E12A15"/>
    <w:rPr>
      <w:rFonts w:ascii="ZapfCalligr BT" w:hAnsi="ZapfCalligr BT" w:cs="ZapfCalligr BT"/>
      <w:sz w:val="16"/>
      <w:szCs w:val="16"/>
    </w:rPr>
  </w:style>
  <w:style w:type="paragraph" w:styleId="NoSpacing">
    <w:name w:val="No Spacing"/>
    <w:uiPriority w:val="99"/>
    <w:qFormat/>
    <w:rsid w:val="008A2104"/>
    <w:rPr>
      <w:rFonts w:ascii="Calibri" w:hAnsi="Calibri" w:cs="Calibri"/>
      <w:lang w:eastAsia="en-US"/>
    </w:rPr>
  </w:style>
  <w:style w:type="paragraph" w:styleId="PlainText">
    <w:name w:val="Plain Text"/>
    <w:basedOn w:val="Normal"/>
    <w:link w:val="PlainTextChar"/>
    <w:uiPriority w:val="99"/>
    <w:rsid w:val="00647960"/>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E12A15"/>
    <w:rPr>
      <w:rFonts w:ascii="Courier New" w:hAnsi="Courier New" w:cs="Courier New"/>
      <w:sz w:val="20"/>
      <w:szCs w:val="20"/>
    </w:rPr>
  </w:style>
  <w:style w:type="character" w:customStyle="1" w:styleId="n66611listyle">
    <w:name w:val="n66611 listyle"/>
    <w:basedOn w:val="DefaultParagraphFont"/>
    <w:uiPriority w:val="99"/>
    <w:rsid w:val="00523F9C"/>
    <w:rPr>
      <w:rFonts w:cs="Times New Roman"/>
    </w:rPr>
  </w:style>
  <w:style w:type="paragraph" w:styleId="NormalWeb">
    <w:name w:val="Normal (Web)"/>
    <w:basedOn w:val="Normal"/>
    <w:uiPriority w:val="99"/>
    <w:rsid w:val="008C0BC2"/>
    <w:pPr>
      <w:spacing w:before="100" w:beforeAutospacing="1" w:after="100" w:afterAutospacing="1"/>
      <w:jc w:val="left"/>
    </w:pPr>
    <w:rPr>
      <w:rFonts w:ascii="Times New Roman" w:hAnsi="Times New Roman" w:cs="Times New Roman"/>
      <w:sz w:val="24"/>
      <w:szCs w:val="24"/>
    </w:rPr>
  </w:style>
  <w:style w:type="paragraph" w:customStyle="1" w:styleId="Default">
    <w:name w:val="Default"/>
    <w:rsid w:val="00E92C6C"/>
    <w:pPr>
      <w:autoSpaceDE w:val="0"/>
      <w:autoSpaceDN w:val="0"/>
      <w:adjustRightInd w:val="0"/>
    </w:pPr>
    <w:rPr>
      <w:rFonts w:ascii="Avenir 35" w:hAnsi="Avenir 35" w:cs="Avenir 35"/>
      <w:color w:val="000000"/>
      <w:sz w:val="24"/>
      <w:szCs w:val="24"/>
    </w:rPr>
  </w:style>
  <w:style w:type="character" w:customStyle="1" w:styleId="EmailStyle52">
    <w:name w:val="EmailStyle52"/>
    <w:basedOn w:val="DefaultParagraphFont"/>
    <w:uiPriority w:val="99"/>
    <w:semiHidden/>
    <w:rsid w:val="000D21AF"/>
    <w:rPr>
      <w:rFonts w:ascii="Arial" w:hAnsi="Arial" w:cs="Arial"/>
      <w:color w:val="auto"/>
      <w:sz w:val="20"/>
      <w:szCs w:val="20"/>
    </w:rPr>
  </w:style>
  <w:style w:type="paragraph" w:styleId="Revision">
    <w:name w:val="Revision"/>
    <w:hidden/>
    <w:uiPriority w:val="99"/>
    <w:semiHidden/>
    <w:rsid w:val="003B0D78"/>
    <w:rPr>
      <w:rFonts w:ascii="ZapfCalligr BT" w:hAnsi="ZapfCalligr BT" w:cs="ZapfCalligr BT"/>
    </w:rPr>
  </w:style>
  <w:style w:type="paragraph" w:customStyle="1" w:styleId="smalltext">
    <w:name w:val="smalltext"/>
    <w:basedOn w:val="Normal"/>
    <w:uiPriority w:val="99"/>
    <w:rsid w:val="008D399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rsid w:val="008D399A"/>
    <w:rPr>
      <w:rFonts w:cs="Times New Roman"/>
      <w:i/>
      <w:iCs/>
    </w:rPr>
  </w:style>
  <w:style w:type="paragraph" w:styleId="ListParagraph">
    <w:name w:val="List Paragraph"/>
    <w:basedOn w:val="Normal"/>
    <w:uiPriority w:val="34"/>
    <w:qFormat/>
    <w:rsid w:val="00D027BE"/>
    <w:pPr>
      <w:ind w:left="720"/>
    </w:pPr>
  </w:style>
  <w:style w:type="character" w:styleId="SubtleEmphasis">
    <w:name w:val="Subtle Emphasis"/>
    <w:basedOn w:val="DefaultParagraphFont"/>
    <w:uiPriority w:val="19"/>
    <w:qFormat/>
    <w:rsid w:val="00BC7D0A"/>
    <w:rPr>
      <w:i/>
      <w:iCs/>
      <w:color w:val="808080" w:themeColor="text1" w:themeTint="7F"/>
    </w:rPr>
  </w:style>
  <w:style w:type="character" w:customStyle="1" w:styleId="gerrans">
    <w:name w:val="gerrans"/>
    <w:basedOn w:val="DefaultParagraphFont"/>
    <w:semiHidden/>
    <w:rsid w:val="000D30A7"/>
    <w:rPr>
      <w:rFonts w:ascii="Arial" w:hAnsi="Arial" w:cs="Arial"/>
      <w:color w:val="auto"/>
      <w:sz w:val="20"/>
      <w:szCs w:val="20"/>
    </w:rPr>
  </w:style>
  <w:style w:type="character" w:styleId="CommentReference">
    <w:name w:val="annotation reference"/>
    <w:basedOn w:val="DefaultParagraphFont"/>
    <w:uiPriority w:val="99"/>
    <w:semiHidden/>
    <w:locked/>
    <w:rsid w:val="000D30A7"/>
    <w:rPr>
      <w:sz w:val="16"/>
      <w:szCs w:val="16"/>
    </w:rPr>
  </w:style>
  <w:style w:type="paragraph" w:styleId="CommentText">
    <w:name w:val="annotation text"/>
    <w:basedOn w:val="Normal"/>
    <w:link w:val="CommentTextChar"/>
    <w:uiPriority w:val="99"/>
    <w:semiHidden/>
    <w:locked/>
    <w:rsid w:val="000D30A7"/>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D30A7"/>
    <w:rPr>
      <w:rFonts w:ascii="ZapfCalligr BT" w:eastAsia="Times New Roman" w:hAnsi="ZapfCalligr BT"/>
      <w:sz w:val="20"/>
      <w:szCs w:val="20"/>
    </w:rPr>
  </w:style>
  <w:style w:type="table" w:styleId="LightShading">
    <w:name w:val="Light Shading"/>
    <w:basedOn w:val="TableNormal"/>
    <w:uiPriority w:val="60"/>
    <w:rsid w:val="00CA6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A6F3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14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AfterTables">
    <w:name w:val="Bodytext AfterTables"/>
    <w:basedOn w:val="Normal"/>
    <w:rsid w:val="00C050BA"/>
    <w:pPr>
      <w:spacing w:before="120" w:after="105" w:line="210" w:lineRule="exact"/>
      <w:jc w:val="left"/>
    </w:pPr>
    <w:rPr>
      <w:rFonts w:ascii="Trade Gothic LT Std Light" w:eastAsia="Times New Roman" w:hAnsi="Trade Gothic LT Std Light" w:cs="Times New Roman"/>
      <w:spacing w:val="-3"/>
      <w:sz w:val="18"/>
      <w:szCs w:val="24"/>
    </w:rPr>
  </w:style>
  <w:style w:type="paragraph" w:customStyle="1" w:styleId="Tabletext">
    <w:name w:val="Tabletext"/>
    <w:basedOn w:val="Normal"/>
    <w:rsid w:val="00C050BA"/>
    <w:pPr>
      <w:tabs>
        <w:tab w:val="left" w:pos="284"/>
      </w:tabs>
      <w:spacing w:before="20" w:after="20" w:line="180" w:lineRule="exact"/>
      <w:jc w:val="left"/>
    </w:pPr>
    <w:rPr>
      <w:rFonts w:ascii="Trade Gothic LT Std Light" w:eastAsia="Times New Roman" w:hAnsi="Trade Gothic LT Std Light" w:cs="Times New Roman"/>
      <w:spacing w:val="-3"/>
      <w:sz w:val="16"/>
      <w:szCs w:val="20"/>
    </w:rPr>
  </w:style>
  <w:style w:type="paragraph" w:customStyle="1" w:styleId="TableColHeads">
    <w:name w:val="TableColHeads"/>
    <w:basedOn w:val="Tabletext"/>
    <w:rsid w:val="00C050BA"/>
    <w:pPr>
      <w:spacing w:before="40" w:after="40" w:line="160" w:lineRule="exact"/>
      <w:ind w:right="57"/>
      <w:jc w:val="right"/>
    </w:pPr>
    <w:rPr>
      <w:sz w:val="14"/>
    </w:rPr>
  </w:style>
  <w:style w:type="paragraph" w:customStyle="1" w:styleId="TableFigures">
    <w:name w:val="TableFigures"/>
    <w:basedOn w:val="Tabletext"/>
    <w:rsid w:val="00C050BA"/>
    <w:pPr>
      <w:ind w:right="57"/>
      <w:jc w:val="right"/>
    </w:pPr>
  </w:style>
  <w:style w:type="paragraph" w:customStyle="1" w:styleId="TableFiguresBold">
    <w:name w:val="TableFigures Bold"/>
    <w:basedOn w:val="TableFigures"/>
    <w:rsid w:val="00C050BA"/>
    <w:rPr>
      <w:rFonts w:ascii="Trade Gothic LT Std Bold" w:hAnsi="Trade Gothic LT Std Bold"/>
      <w:bCs/>
    </w:rPr>
  </w:style>
  <w:style w:type="paragraph" w:customStyle="1" w:styleId="Footnotes">
    <w:name w:val="Footnotes"/>
    <w:basedOn w:val="Normal"/>
    <w:rsid w:val="00EE1AB2"/>
    <w:pPr>
      <w:spacing w:before="85" w:line="170" w:lineRule="exact"/>
      <w:ind w:left="170" w:hanging="170"/>
      <w:jc w:val="left"/>
    </w:pPr>
    <w:rPr>
      <w:rFonts w:ascii="Trade Gothic LT Std Light" w:eastAsia="Times New Roman" w:hAnsi="Trade Gothic LT Std Light" w:cs="Times New Roman"/>
      <w:spacing w:val="-3"/>
      <w:sz w:val="15"/>
      <w:szCs w:val="24"/>
    </w:rPr>
  </w:style>
  <w:style w:type="paragraph" w:customStyle="1" w:styleId="TableColHeadsLeft">
    <w:name w:val="TableColHeads Left"/>
    <w:basedOn w:val="TableColHeads"/>
    <w:rsid w:val="00793F84"/>
    <w:pPr>
      <w:jc w:val="left"/>
    </w:pPr>
  </w:style>
  <w:style w:type="paragraph" w:customStyle="1" w:styleId="TableFiguresBrackets">
    <w:name w:val="TableFigures Brackets"/>
    <w:basedOn w:val="TableFigures"/>
    <w:rsid w:val="005F309B"/>
    <w:pPr>
      <w:ind w:right="17"/>
    </w:pPr>
  </w:style>
  <w:style w:type="paragraph" w:customStyle="1" w:styleId="Bullets">
    <w:name w:val="Bullets"/>
    <w:basedOn w:val="Normal"/>
    <w:rsid w:val="00C659A8"/>
    <w:pPr>
      <w:numPr>
        <w:numId w:val="2"/>
      </w:numPr>
      <w:spacing w:after="105" w:line="210" w:lineRule="exact"/>
      <w:jc w:val="left"/>
    </w:pPr>
    <w:rPr>
      <w:rFonts w:ascii="Trade Gothic LT Std Light" w:eastAsia="Times New Roman" w:hAnsi="Trade Gothic LT Std Light" w:cs="Times New Roman"/>
      <w:spacing w:val="-3"/>
      <w:sz w:val="18"/>
      <w:szCs w:val="24"/>
    </w:rPr>
  </w:style>
  <w:style w:type="paragraph" w:styleId="ListBullet4">
    <w:name w:val="List Bullet 4"/>
    <w:basedOn w:val="Normal"/>
    <w:uiPriority w:val="99"/>
    <w:semiHidden/>
    <w:unhideWhenUsed/>
    <w:locked/>
    <w:rsid w:val="000A761B"/>
    <w:pPr>
      <w:numPr>
        <w:numId w:val="3"/>
      </w:numPr>
      <w:spacing w:after="80" w:line="210" w:lineRule="exact"/>
      <w:jc w:val="left"/>
    </w:pPr>
    <w:rPr>
      <w:rFonts w:ascii="Trade Gothic LT Std Light" w:eastAsiaTheme="minorHAnsi" w:hAnsi="Trade Gothic LT Std Light" w:cs="Times New Roman"/>
      <w:spacing w:val="-4"/>
      <w:sz w:val="18"/>
      <w:szCs w:val="18"/>
    </w:rPr>
  </w:style>
  <w:style w:type="paragraph" w:styleId="CommentSubject">
    <w:name w:val="annotation subject"/>
    <w:basedOn w:val="CommentText"/>
    <w:next w:val="CommentText"/>
    <w:link w:val="CommentSubjectChar"/>
    <w:uiPriority w:val="99"/>
    <w:semiHidden/>
    <w:unhideWhenUsed/>
    <w:locked/>
    <w:rsid w:val="00A7352B"/>
    <w:rPr>
      <w:rFonts w:eastAsia="Batang" w:cs="ZapfCalligr BT"/>
      <w:b/>
      <w:bCs/>
    </w:rPr>
  </w:style>
  <w:style w:type="character" w:customStyle="1" w:styleId="CommentSubjectChar">
    <w:name w:val="Comment Subject Char"/>
    <w:basedOn w:val="CommentTextChar"/>
    <w:link w:val="CommentSubject"/>
    <w:uiPriority w:val="99"/>
    <w:semiHidden/>
    <w:rsid w:val="00A7352B"/>
    <w:rPr>
      <w:rFonts w:ascii="ZapfCalligr BT" w:eastAsia="Times New Roman" w:hAnsi="ZapfCalligr BT" w:cs="ZapfCalligr BT"/>
      <w:b/>
      <w:bCs/>
      <w:sz w:val="20"/>
      <w:szCs w:val="20"/>
    </w:rPr>
  </w:style>
  <w:style w:type="paragraph" w:customStyle="1" w:styleId="Heading1NoSpace">
    <w:name w:val="Heading 1 NoSpace"/>
    <w:basedOn w:val="Heading1"/>
    <w:rsid w:val="00104D21"/>
    <w:pPr>
      <w:pBdr>
        <w:bottom w:val="single" w:sz="8" w:space="4" w:color="auto"/>
      </w:pBdr>
      <w:shd w:val="clear" w:color="auto" w:fill="auto"/>
      <w:tabs>
        <w:tab w:val="left" w:pos="284"/>
        <w:tab w:val="left" w:pos="340"/>
      </w:tabs>
      <w:spacing w:after="60" w:line="280" w:lineRule="exact"/>
      <w:jc w:val="left"/>
    </w:pPr>
    <w:rPr>
      <w:rFonts w:ascii="Trade Gothic LT Std Bold" w:eastAsia="Times New Roman" w:hAnsi="Trade Gothic LT Std Bold" w:cs="Times New Roman"/>
      <w:bCs w:val="0"/>
      <w:color w:val="auto"/>
      <w:spacing w:val="-3"/>
      <w:kern w:val="32"/>
      <w:sz w:val="24"/>
      <w:szCs w:val="20"/>
      <w:lang w:eastAsia="en-GB"/>
    </w:rPr>
  </w:style>
  <w:style w:type="character" w:customStyle="1" w:styleId="Bold">
    <w:name w:val="Bold"/>
    <w:rsid w:val="00104D21"/>
    <w:rPr>
      <w:rFonts w:ascii="Trade Gothic LT Std Bold" w:hAnsi="Trade Gothic LT Std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1328">
      <w:bodyDiv w:val="1"/>
      <w:marLeft w:val="0"/>
      <w:marRight w:val="0"/>
      <w:marTop w:val="0"/>
      <w:marBottom w:val="0"/>
      <w:divBdr>
        <w:top w:val="none" w:sz="0" w:space="0" w:color="auto"/>
        <w:left w:val="none" w:sz="0" w:space="0" w:color="auto"/>
        <w:bottom w:val="none" w:sz="0" w:space="0" w:color="auto"/>
        <w:right w:val="none" w:sz="0" w:space="0" w:color="auto"/>
      </w:divBdr>
      <w:divsChild>
        <w:div w:id="1093934589">
          <w:marLeft w:val="547"/>
          <w:marRight w:val="0"/>
          <w:marTop w:val="0"/>
          <w:marBottom w:val="0"/>
          <w:divBdr>
            <w:top w:val="none" w:sz="0" w:space="0" w:color="auto"/>
            <w:left w:val="none" w:sz="0" w:space="0" w:color="auto"/>
            <w:bottom w:val="none" w:sz="0" w:space="0" w:color="auto"/>
            <w:right w:val="none" w:sz="0" w:space="0" w:color="auto"/>
          </w:divBdr>
        </w:div>
      </w:divsChild>
    </w:div>
    <w:div w:id="67116346">
      <w:bodyDiv w:val="1"/>
      <w:marLeft w:val="0"/>
      <w:marRight w:val="0"/>
      <w:marTop w:val="0"/>
      <w:marBottom w:val="0"/>
      <w:divBdr>
        <w:top w:val="none" w:sz="0" w:space="0" w:color="auto"/>
        <w:left w:val="none" w:sz="0" w:space="0" w:color="auto"/>
        <w:bottom w:val="none" w:sz="0" w:space="0" w:color="auto"/>
        <w:right w:val="none" w:sz="0" w:space="0" w:color="auto"/>
      </w:divBdr>
      <w:divsChild>
        <w:div w:id="29301691">
          <w:marLeft w:val="562"/>
          <w:marRight w:val="0"/>
          <w:marTop w:val="67"/>
          <w:marBottom w:val="0"/>
          <w:divBdr>
            <w:top w:val="none" w:sz="0" w:space="0" w:color="auto"/>
            <w:left w:val="none" w:sz="0" w:space="0" w:color="auto"/>
            <w:bottom w:val="none" w:sz="0" w:space="0" w:color="auto"/>
            <w:right w:val="none" w:sz="0" w:space="0" w:color="auto"/>
          </w:divBdr>
        </w:div>
        <w:div w:id="159661310">
          <w:marLeft w:val="562"/>
          <w:marRight w:val="0"/>
          <w:marTop w:val="67"/>
          <w:marBottom w:val="0"/>
          <w:divBdr>
            <w:top w:val="none" w:sz="0" w:space="0" w:color="auto"/>
            <w:left w:val="none" w:sz="0" w:space="0" w:color="auto"/>
            <w:bottom w:val="none" w:sz="0" w:space="0" w:color="auto"/>
            <w:right w:val="none" w:sz="0" w:space="0" w:color="auto"/>
          </w:divBdr>
        </w:div>
        <w:div w:id="397900498">
          <w:marLeft w:val="274"/>
          <w:marRight w:val="0"/>
          <w:marTop w:val="120"/>
          <w:marBottom w:val="0"/>
          <w:divBdr>
            <w:top w:val="none" w:sz="0" w:space="0" w:color="auto"/>
            <w:left w:val="none" w:sz="0" w:space="0" w:color="auto"/>
            <w:bottom w:val="none" w:sz="0" w:space="0" w:color="auto"/>
            <w:right w:val="none" w:sz="0" w:space="0" w:color="auto"/>
          </w:divBdr>
        </w:div>
        <w:div w:id="1118914631">
          <w:marLeft w:val="562"/>
          <w:marRight w:val="0"/>
          <w:marTop w:val="67"/>
          <w:marBottom w:val="0"/>
          <w:divBdr>
            <w:top w:val="none" w:sz="0" w:space="0" w:color="auto"/>
            <w:left w:val="none" w:sz="0" w:space="0" w:color="auto"/>
            <w:bottom w:val="none" w:sz="0" w:space="0" w:color="auto"/>
            <w:right w:val="none" w:sz="0" w:space="0" w:color="auto"/>
          </w:divBdr>
        </w:div>
        <w:div w:id="1152479381">
          <w:marLeft w:val="274"/>
          <w:marRight w:val="0"/>
          <w:marTop w:val="120"/>
          <w:marBottom w:val="0"/>
          <w:divBdr>
            <w:top w:val="none" w:sz="0" w:space="0" w:color="auto"/>
            <w:left w:val="none" w:sz="0" w:space="0" w:color="auto"/>
            <w:bottom w:val="none" w:sz="0" w:space="0" w:color="auto"/>
            <w:right w:val="none" w:sz="0" w:space="0" w:color="auto"/>
          </w:divBdr>
        </w:div>
        <w:div w:id="1446121874">
          <w:marLeft w:val="274"/>
          <w:marRight w:val="0"/>
          <w:marTop w:val="120"/>
          <w:marBottom w:val="0"/>
          <w:divBdr>
            <w:top w:val="none" w:sz="0" w:space="0" w:color="auto"/>
            <w:left w:val="none" w:sz="0" w:space="0" w:color="auto"/>
            <w:bottom w:val="none" w:sz="0" w:space="0" w:color="auto"/>
            <w:right w:val="none" w:sz="0" w:space="0" w:color="auto"/>
          </w:divBdr>
        </w:div>
      </w:divsChild>
    </w:div>
    <w:div w:id="93670323">
      <w:bodyDiv w:val="1"/>
      <w:marLeft w:val="0"/>
      <w:marRight w:val="0"/>
      <w:marTop w:val="0"/>
      <w:marBottom w:val="0"/>
      <w:divBdr>
        <w:top w:val="none" w:sz="0" w:space="0" w:color="auto"/>
        <w:left w:val="none" w:sz="0" w:space="0" w:color="auto"/>
        <w:bottom w:val="none" w:sz="0" w:space="0" w:color="auto"/>
        <w:right w:val="none" w:sz="0" w:space="0" w:color="auto"/>
      </w:divBdr>
    </w:div>
    <w:div w:id="97062309">
      <w:bodyDiv w:val="1"/>
      <w:marLeft w:val="0"/>
      <w:marRight w:val="0"/>
      <w:marTop w:val="0"/>
      <w:marBottom w:val="0"/>
      <w:divBdr>
        <w:top w:val="none" w:sz="0" w:space="0" w:color="auto"/>
        <w:left w:val="none" w:sz="0" w:space="0" w:color="auto"/>
        <w:bottom w:val="none" w:sz="0" w:space="0" w:color="auto"/>
        <w:right w:val="none" w:sz="0" w:space="0" w:color="auto"/>
      </w:divBdr>
    </w:div>
    <w:div w:id="109907516">
      <w:bodyDiv w:val="1"/>
      <w:marLeft w:val="0"/>
      <w:marRight w:val="0"/>
      <w:marTop w:val="0"/>
      <w:marBottom w:val="0"/>
      <w:divBdr>
        <w:top w:val="none" w:sz="0" w:space="0" w:color="auto"/>
        <w:left w:val="none" w:sz="0" w:space="0" w:color="auto"/>
        <w:bottom w:val="none" w:sz="0" w:space="0" w:color="auto"/>
        <w:right w:val="none" w:sz="0" w:space="0" w:color="auto"/>
      </w:divBdr>
    </w:div>
    <w:div w:id="116529282">
      <w:bodyDiv w:val="1"/>
      <w:marLeft w:val="0"/>
      <w:marRight w:val="0"/>
      <w:marTop w:val="0"/>
      <w:marBottom w:val="0"/>
      <w:divBdr>
        <w:top w:val="none" w:sz="0" w:space="0" w:color="auto"/>
        <w:left w:val="none" w:sz="0" w:space="0" w:color="auto"/>
        <w:bottom w:val="none" w:sz="0" w:space="0" w:color="auto"/>
        <w:right w:val="none" w:sz="0" w:space="0" w:color="auto"/>
      </w:divBdr>
    </w:div>
    <w:div w:id="128600077">
      <w:bodyDiv w:val="1"/>
      <w:marLeft w:val="0"/>
      <w:marRight w:val="0"/>
      <w:marTop w:val="0"/>
      <w:marBottom w:val="0"/>
      <w:divBdr>
        <w:top w:val="none" w:sz="0" w:space="0" w:color="auto"/>
        <w:left w:val="none" w:sz="0" w:space="0" w:color="auto"/>
        <w:bottom w:val="none" w:sz="0" w:space="0" w:color="auto"/>
        <w:right w:val="none" w:sz="0" w:space="0" w:color="auto"/>
      </w:divBdr>
    </w:div>
    <w:div w:id="141505133">
      <w:bodyDiv w:val="1"/>
      <w:marLeft w:val="0"/>
      <w:marRight w:val="0"/>
      <w:marTop w:val="0"/>
      <w:marBottom w:val="0"/>
      <w:divBdr>
        <w:top w:val="none" w:sz="0" w:space="0" w:color="auto"/>
        <w:left w:val="none" w:sz="0" w:space="0" w:color="auto"/>
        <w:bottom w:val="none" w:sz="0" w:space="0" w:color="auto"/>
        <w:right w:val="none" w:sz="0" w:space="0" w:color="auto"/>
      </w:divBdr>
    </w:div>
    <w:div w:id="150146212">
      <w:bodyDiv w:val="1"/>
      <w:marLeft w:val="0"/>
      <w:marRight w:val="0"/>
      <w:marTop w:val="0"/>
      <w:marBottom w:val="0"/>
      <w:divBdr>
        <w:top w:val="none" w:sz="0" w:space="0" w:color="auto"/>
        <w:left w:val="none" w:sz="0" w:space="0" w:color="auto"/>
        <w:bottom w:val="none" w:sz="0" w:space="0" w:color="auto"/>
        <w:right w:val="none" w:sz="0" w:space="0" w:color="auto"/>
      </w:divBdr>
    </w:div>
    <w:div w:id="170024012">
      <w:bodyDiv w:val="1"/>
      <w:marLeft w:val="0"/>
      <w:marRight w:val="0"/>
      <w:marTop w:val="0"/>
      <w:marBottom w:val="0"/>
      <w:divBdr>
        <w:top w:val="none" w:sz="0" w:space="0" w:color="auto"/>
        <w:left w:val="none" w:sz="0" w:space="0" w:color="auto"/>
        <w:bottom w:val="none" w:sz="0" w:space="0" w:color="auto"/>
        <w:right w:val="none" w:sz="0" w:space="0" w:color="auto"/>
      </w:divBdr>
    </w:div>
    <w:div w:id="214003881">
      <w:bodyDiv w:val="1"/>
      <w:marLeft w:val="0"/>
      <w:marRight w:val="0"/>
      <w:marTop w:val="0"/>
      <w:marBottom w:val="0"/>
      <w:divBdr>
        <w:top w:val="none" w:sz="0" w:space="0" w:color="auto"/>
        <w:left w:val="none" w:sz="0" w:space="0" w:color="auto"/>
        <w:bottom w:val="none" w:sz="0" w:space="0" w:color="auto"/>
        <w:right w:val="none" w:sz="0" w:space="0" w:color="auto"/>
      </w:divBdr>
    </w:div>
    <w:div w:id="222567162">
      <w:bodyDiv w:val="1"/>
      <w:marLeft w:val="0"/>
      <w:marRight w:val="0"/>
      <w:marTop w:val="0"/>
      <w:marBottom w:val="0"/>
      <w:divBdr>
        <w:top w:val="none" w:sz="0" w:space="0" w:color="auto"/>
        <w:left w:val="none" w:sz="0" w:space="0" w:color="auto"/>
        <w:bottom w:val="none" w:sz="0" w:space="0" w:color="auto"/>
        <w:right w:val="none" w:sz="0" w:space="0" w:color="auto"/>
      </w:divBdr>
      <w:divsChild>
        <w:div w:id="1934627304">
          <w:marLeft w:val="547"/>
          <w:marRight w:val="0"/>
          <w:marTop w:val="0"/>
          <w:marBottom w:val="0"/>
          <w:divBdr>
            <w:top w:val="none" w:sz="0" w:space="0" w:color="auto"/>
            <w:left w:val="none" w:sz="0" w:space="0" w:color="auto"/>
            <w:bottom w:val="none" w:sz="0" w:space="0" w:color="auto"/>
            <w:right w:val="none" w:sz="0" w:space="0" w:color="auto"/>
          </w:divBdr>
        </w:div>
      </w:divsChild>
    </w:div>
    <w:div w:id="255134714">
      <w:bodyDiv w:val="1"/>
      <w:marLeft w:val="0"/>
      <w:marRight w:val="0"/>
      <w:marTop w:val="0"/>
      <w:marBottom w:val="0"/>
      <w:divBdr>
        <w:top w:val="none" w:sz="0" w:space="0" w:color="auto"/>
        <w:left w:val="none" w:sz="0" w:space="0" w:color="auto"/>
        <w:bottom w:val="none" w:sz="0" w:space="0" w:color="auto"/>
        <w:right w:val="none" w:sz="0" w:space="0" w:color="auto"/>
      </w:divBdr>
    </w:div>
    <w:div w:id="312831615">
      <w:bodyDiv w:val="1"/>
      <w:marLeft w:val="0"/>
      <w:marRight w:val="0"/>
      <w:marTop w:val="0"/>
      <w:marBottom w:val="0"/>
      <w:divBdr>
        <w:top w:val="none" w:sz="0" w:space="0" w:color="auto"/>
        <w:left w:val="none" w:sz="0" w:space="0" w:color="auto"/>
        <w:bottom w:val="none" w:sz="0" w:space="0" w:color="auto"/>
        <w:right w:val="none" w:sz="0" w:space="0" w:color="auto"/>
      </w:divBdr>
    </w:div>
    <w:div w:id="318655922">
      <w:bodyDiv w:val="1"/>
      <w:marLeft w:val="0"/>
      <w:marRight w:val="0"/>
      <w:marTop w:val="0"/>
      <w:marBottom w:val="0"/>
      <w:divBdr>
        <w:top w:val="none" w:sz="0" w:space="0" w:color="auto"/>
        <w:left w:val="none" w:sz="0" w:space="0" w:color="auto"/>
        <w:bottom w:val="none" w:sz="0" w:space="0" w:color="auto"/>
        <w:right w:val="none" w:sz="0" w:space="0" w:color="auto"/>
      </w:divBdr>
    </w:div>
    <w:div w:id="321088581">
      <w:bodyDiv w:val="1"/>
      <w:marLeft w:val="0"/>
      <w:marRight w:val="0"/>
      <w:marTop w:val="0"/>
      <w:marBottom w:val="0"/>
      <w:divBdr>
        <w:top w:val="none" w:sz="0" w:space="0" w:color="auto"/>
        <w:left w:val="none" w:sz="0" w:space="0" w:color="auto"/>
        <w:bottom w:val="none" w:sz="0" w:space="0" w:color="auto"/>
        <w:right w:val="none" w:sz="0" w:space="0" w:color="auto"/>
      </w:divBdr>
    </w:div>
    <w:div w:id="323168312">
      <w:bodyDiv w:val="1"/>
      <w:marLeft w:val="0"/>
      <w:marRight w:val="0"/>
      <w:marTop w:val="0"/>
      <w:marBottom w:val="0"/>
      <w:divBdr>
        <w:top w:val="none" w:sz="0" w:space="0" w:color="auto"/>
        <w:left w:val="none" w:sz="0" w:space="0" w:color="auto"/>
        <w:bottom w:val="none" w:sz="0" w:space="0" w:color="auto"/>
        <w:right w:val="none" w:sz="0" w:space="0" w:color="auto"/>
      </w:divBdr>
      <w:divsChild>
        <w:div w:id="323438993">
          <w:marLeft w:val="274"/>
          <w:marRight w:val="0"/>
          <w:marTop w:val="120"/>
          <w:marBottom w:val="0"/>
          <w:divBdr>
            <w:top w:val="none" w:sz="0" w:space="0" w:color="auto"/>
            <w:left w:val="none" w:sz="0" w:space="0" w:color="auto"/>
            <w:bottom w:val="none" w:sz="0" w:space="0" w:color="auto"/>
            <w:right w:val="none" w:sz="0" w:space="0" w:color="auto"/>
          </w:divBdr>
        </w:div>
        <w:div w:id="605891898">
          <w:marLeft w:val="274"/>
          <w:marRight w:val="0"/>
          <w:marTop w:val="120"/>
          <w:marBottom w:val="0"/>
          <w:divBdr>
            <w:top w:val="none" w:sz="0" w:space="0" w:color="auto"/>
            <w:left w:val="none" w:sz="0" w:space="0" w:color="auto"/>
            <w:bottom w:val="none" w:sz="0" w:space="0" w:color="auto"/>
            <w:right w:val="none" w:sz="0" w:space="0" w:color="auto"/>
          </w:divBdr>
        </w:div>
        <w:div w:id="642319462">
          <w:marLeft w:val="562"/>
          <w:marRight w:val="0"/>
          <w:marTop w:val="67"/>
          <w:marBottom w:val="0"/>
          <w:divBdr>
            <w:top w:val="none" w:sz="0" w:space="0" w:color="auto"/>
            <w:left w:val="none" w:sz="0" w:space="0" w:color="auto"/>
            <w:bottom w:val="none" w:sz="0" w:space="0" w:color="auto"/>
            <w:right w:val="none" w:sz="0" w:space="0" w:color="auto"/>
          </w:divBdr>
        </w:div>
        <w:div w:id="1587494853">
          <w:marLeft w:val="274"/>
          <w:marRight w:val="0"/>
          <w:marTop w:val="120"/>
          <w:marBottom w:val="0"/>
          <w:divBdr>
            <w:top w:val="none" w:sz="0" w:space="0" w:color="auto"/>
            <w:left w:val="none" w:sz="0" w:space="0" w:color="auto"/>
            <w:bottom w:val="none" w:sz="0" w:space="0" w:color="auto"/>
            <w:right w:val="none" w:sz="0" w:space="0" w:color="auto"/>
          </w:divBdr>
        </w:div>
      </w:divsChild>
    </w:div>
    <w:div w:id="414211730">
      <w:bodyDiv w:val="1"/>
      <w:marLeft w:val="0"/>
      <w:marRight w:val="0"/>
      <w:marTop w:val="0"/>
      <w:marBottom w:val="0"/>
      <w:divBdr>
        <w:top w:val="none" w:sz="0" w:space="0" w:color="auto"/>
        <w:left w:val="none" w:sz="0" w:space="0" w:color="auto"/>
        <w:bottom w:val="none" w:sz="0" w:space="0" w:color="auto"/>
        <w:right w:val="none" w:sz="0" w:space="0" w:color="auto"/>
      </w:divBdr>
    </w:div>
    <w:div w:id="419108924">
      <w:bodyDiv w:val="1"/>
      <w:marLeft w:val="0"/>
      <w:marRight w:val="0"/>
      <w:marTop w:val="0"/>
      <w:marBottom w:val="0"/>
      <w:divBdr>
        <w:top w:val="none" w:sz="0" w:space="0" w:color="auto"/>
        <w:left w:val="none" w:sz="0" w:space="0" w:color="auto"/>
        <w:bottom w:val="none" w:sz="0" w:space="0" w:color="auto"/>
        <w:right w:val="none" w:sz="0" w:space="0" w:color="auto"/>
      </w:divBdr>
      <w:divsChild>
        <w:div w:id="19136873">
          <w:marLeft w:val="0"/>
          <w:marRight w:val="0"/>
          <w:marTop w:val="0"/>
          <w:marBottom w:val="0"/>
          <w:divBdr>
            <w:top w:val="none" w:sz="0" w:space="0" w:color="auto"/>
            <w:left w:val="none" w:sz="0" w:space="0" w:color="auto"/>
            <w:bottom w:val="none" w:sz="0" w:space="0" w:color="auto"/>
            <w:right w:val="none" w:sz="0" w:space="0" w:color="auto"/>
          </w:divBdr>
          <w:divsChild>
            <w:div w:id="472523094">
              <w:marLeft w:val="0"/>
              <w:marRight w:val="0"/>
              <w:marTop w:val="0"/>
              <w:marBottom w:val="0"/>
              <w:divBdr>
                <w:top w:val="none" w:sz="0" w:space="0" w:color="auto"/>
                <w:left w:val="none" w:sz="0" w:space="0" w:color="auto"/>
                <w:bottom w:val="none" w:sz="0" w:space="0" w:color="auto"/>
                <w:right w:val="none" w:sz="0" w:space="0" w:color="auto"/>
              </w:divBdr>
              <w:divsChild>
                <w:div w:id="842210777">
                  <w:marLeft w:val="0"/>
                  <w:marRight w:val="0"/>
                  <w:marTop w:val="0"/>
                  <w:marBottom w:val="0"/>
                  <w:divBdr>
                    <w:top w:val="none" w:sz="0" w:space="0" w:color="auto"/>
                    <w:left w:val="none" w:sz="0" w:space="0" w:color="auto"/>
                    <w:bottom w:val="none" w:sz="0" w:space="0" w:color="auto"/>
                    <w:right w:val="none" w:sz="0" w:space="0" w:color="auto"/>
                  </w:divBdr>
                  <w:divsChild>
                    <w:div w:id="1111785195">
                      <w:marLeft w:val="0"/>
                      <w:marRight w:val="0"/>
                      <w:marTop w:val="0"/>
                      <w:marBottom w:val="0"/>
                      <w:divBdr>
                        <w:top w:val="none" w:sz="0" w:space="0" w:color="auto"/>
                        <w:left w:val="none" w:sz="0" w:space="0" w:color="auto"/>
                        <w:bottom w:val="none" w:sz="0" w:space="0" w:color="auto"/>
                        <w:right w:val="none" w:sz="0" w:space="0" w:color="auto"/>
                      </w:divBdr>
                      <w:divsChild>
                        <w:div w:id="2024234883">
                          <w:marLeft w:val="0"/>
                          <w:marRight w:val="0"/>
                          <w:marTop w:val="0"/>
                          <w:marBottom w:val="0"/>
                          <w:divBdr>
                            <w:top w:val="none" w:sz="0" w:space="0" w:color="auto"/>
                            <w:left w:val="none" w:sz="0" w:space="0" w:color="auto"/>
                            <w:bottom w:val="none" w:sz="0" w:space="0" w:color="auto"/>
                            <w:right w:val="none" w:sz="0" w:space="0" w:color="auto"/>
                          </w:divBdr>
                          <w:divsChild>
                            <w:div w:id="4965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180496">
      <w:bodyDiv w:val="1"/>
      <w:marLeft w:val="0"/>
      <w:marRight w:val="0"/>
      <w:marTop w:val="0"/>
      <w:marBottom w:val="0"/>
      <w:divBdr>
        <w:top w:val="none" w:sz="0" w:space="0" w:color="auto"/>
        <w:left w:val="none" w:sz="0" w:space="0" w:color="auto"/>
        <w:bottom w:val="none" w:sz="0" w:space="0" w:color="auto"/>
        <w:right w:val="none" w:sz="0" w:space="0" w:color="auto"/>
      </w:divBdr>
      <w:divsChild>
        <w:div w:id="706806148">
          <w:marLeft w:val="288"/>
          <w:marRight w:val="0"/>
          <w:marTop w:val="240"/>
          <w:marBottom w:val="0"/>
          <w:divBdr>
            <w:top w:val="none" w:sz="0" w:space="0" w:color="auto"/>
            <w:left w:val="none" w:sz="0" w:space="0" w:color="auto"/>
            <w:bottom w:val="none" w:sz="0" w:space="0" w:color="auto"/>
            <w:right w:val="none" w:sz="0" w:space="0" w:color="auto"/>
          </w:divBdr>
        </w:div>
      </w:divsChild>
    </w:div>
    <w:div w:id="461965951">
      <w:bodyDiv w:val="1"/>
      <w:marLeft w:val="0"/>
      <w:marRight w:val="0"/>
      <w:marTop w:val="0"/>
      <w:marBottom w:val="0"/>
      <w:divBdr>
        <w:top w:val="none" w:sz="0" w:space="0" w:color="auto"/>
        <w:left w:val="none" w:sz="0" w:space="0" w:color="auto"/>
        <w:bottom w:val="none" w:sz="0" w:space="0" w:color="auto"/>
        <w:right w:val="none" w:sz="0" w:space="0" w:color="auto"/>
      </w:divBdr>
    </w:div>
    <w:div w:id="480465209">
      <w:bodyDiv w:val="1"/>
      <w:marLeft w:val="0"/>
      <w:marRight w:val="0"/>
      <w:marTop w:val="0"/>
      <w:marBottom w:val="0"/>
      <w:divBdr>
        <w:top w:val="none" w:sz="0" w:space="0" w:color="auto"/>
        <w:left w:val="none" w:sz="0" w:space="0" w:color="auto"/>
        <w:bottom w:val="none" w:sz="0" w:space="0" w:color="auto"/>
        <w:right w:val="none" w:sz="0" w:space="0" w:color="auto"/>
      </w:divBdr>
      <w:divsChild>
        <w:div w:id="742414970">
          <w:marLeft w:val="446"/>
          <w:marRight w:val="0"/>
          <w:marTop w:val="0"/>
          <w:marBottom w:val="0"/>
          <w:divBdr>
            <w:top w:val="none" w:sz="0" w:space="0" w:color="auto"/>
            <w:left w:val="none" w:sz="0" w:space="0" w:color="auto"/>
            <w:bottom w:val="none" w:sz="0" w:space="0" w:color="auto"/>
            <w:right w:val="none" w:sz="0" w:space="0" w:color="auto"/>
          </w:divBdr>
        </w:div>
      </w:divsChild>
    </w:div>
    <w:div w:id="524948146">
      <w:bodyDiv w:val="1"/>
      <w:marLeft w:val="0"/>
      <w:marRight w:val="0"/>
      <w:marTop w:val="0"/>
      <w:marBottom w:val="0"/>
      <w:divBdr>
        <w:top w:val="none" w:sz="0" w:space="0" w:color="auto"/>
        <w:left w:val="none" w:sz="0" w:space="0" w:color="auto"/>
        <w:bottom w:val="none" w:sz="0" w:space="0" w:color="auto"/>
        <w:right w:val="none" w:sz="0" w:space="0" w:color="auto"/>
      </w:divBdr>
      <w:divsChild>
        <w:div w:id="186917274">
          <w:marLeft w:val="288"/>
          <w:marRight w:val="0"/>
          <w:marTop w:val="240"/>
          <w:marBottom w:val="0"/>
          <w:divBdr>
            <w:top w:val="none" w:sz="0" w:space="0" w:color="auto"/>
            <w:left w:val="none" w:sz="0" w:space="0" w:color="auto"/>
            <w:bottom w:val="none" w:sz="0" w:space="0" w:color="auto"/>
            <w:right w:val="none" w:sz="0" w:space="0" w:color="auto"/>
          </w:divBdr>
        </w:div>
      </w:divsChild>
    </w:div>
    <w:div w:id="551311544">
      <w:bodyDiv w:val="1"/>
      <w:marLeft w:val="0"/>
      <w:marRight w:val="0"/>
      <w:marTop w:val="0"/>
      <w:marBottom w:val="0"/>
      <w:divBdr>
        <w:top w:val="none" w:sz="0" w:space="0" w:color="auto"/>
        <w:left w:val="none" w:sz="0" w:space="0" w:color="auto"/>
        <w:bottom w:val="none" w:sz="0" w:space="0" w:color="auto"/>
        <w:right w:val="none" w:sz="0" w:space="0" w:color="auto"/>
      </w:divBdr>
      <w:divsChild>
        <w:div w:id="1404110068">
          <w:marLeft w:val="806"/>
          <w:marRight w:val="0"/>
          <w:marTop w:val="240"/>
          <w:marBottom w:val="0"/>
          <w:divBdr>
            <w:top w:val="none" w:sz="0" w:space="0" w:color="auto"/>
            <w:left w:val="none" w:sz="0" w:space="0" w:color="auto"/>
            <w:bottom w:val="none" w:sz="0" w:space="0" w:color="auto"/>
            <w:right w:val="none" w:sz="0" w:space="0" w:color="auto"/>
          </w:divBdr>
        </w:div>
        <w:div w:id="1871721703">
          <w:marLeft w:val="806"/>
          <w:marRight w:val="0"/>
          <w:marTop w:val="240"/>
          <w:marBottom w:val="0"/>
          <w:divBdr>
            <w:top w:val="none" w:sz="0" w:space="0" w:color="auto"/>
            <w:left w:val="none" w:sz="0" w:space="0" w:color="auto"/>
            <w:bottom w:val="none" w:sz="0" w:space="0" w:color="auto"/>
            <w:right w:val="none" w:sz="0" w:space="0" w:color="auto"/>
          </w:divBdr>
        </w:div>
        <w:div w:id="1303192784">
          <w:marLeft w:val="806"/>
          <w:marRight w:val="0"/>
          <w:marTop w:val="240"/>
          <w:marBottom w:val="0"/>
          <w:divBdr>
            <w:top w:val="none" w:sz="0" w:space="0" w:color="auto"/>
            <w:left w:val="none" w:sz="0" w:space="0" w:color="auto"/>
            <w:bottom w:val="none" w:sz="0" w:space="0" w:color="auto"/>
            <w:right w:val="none" w:sz="0" w:space="0" w:color="auto"/>
          </w:divBdr>
        </w:div>
        <w:div w:id="307905858">
          <w:marLeft w:val="806"/>
          <w:marRight w:val="0"/>
          <w:marTop w:val="240"/>
          <w:marBottom w:val="0"/>
          <w:divBdr>
            <w:top w:val="none" w:sz="0" w:space="0" w:color="auto"/>
            <w:left w:val="none" w:sz="0" w:space="0" w:color="auto"/>
            <w:bottom w:val="none" w:sz="0" w:space="0" w:color="auto"/>
            <w:right w:val="none" w:sz="0" w:space="0" w:color="auto"/>
          </w:divBdr>
        </w:div>
        <w:div w:id="1045329015">
          <w:marLeft w:val="806"/>
          <w:marRight w:val="0"/>
          <w:marTop w:val="240"/>
          <w:marBottom w:val="0"/>
          <w:divBdr>
            <w:top w:val="none" w:sz="0" w:space="0" w:color="auto"/>
            <w:left w:val="none" w:sz="0" w:space="0" w:color="auto"/>
            <w:bottom w:val="none" w:sz="0" w:space="0" w:color="auto"/>
            <w:right w:val="none" w:sz="0" w:space="0" w:color="auto"/>
          </w:divBdr>
        </w:div>
      </w:divsChild>
    </w:div>
    <w:div w:id="569198612">
      <w:bodyDiv w:val="1"/>
      <w:marLeft w:val="0"/>
      <w:marRight w:val="0"/>
      <w:marTop w:val="0"/>
      <w:marBottom w:val="0"/>
      <w:divBdr>
        <w:top w:val="none" w:sz="0" w:space="0" w:color="auto"/>
        <w:left w:val="none" w:sz="0" w:space="0" w:color="auto"/>
        <w:bottom w:val="none" w:sz="0" w:space="0" w:color="auto"/>
        <w:right w:val="none" w:sz="0" w:space="0" w:color="auto"/>
      </w:divBdr>
    </w:div>
    <w:div w:id="589629252">
      <w:bodyDiv w:val="1"/>
      <w:marLeft w:val="0"/>
      <w:marRight w:val="0"/>
      <w:marTop w:val="0"/>
      <w:marBottom w:val="0"/>
      <w:divBdr>
        <w:top w:val="none" w:sz="0" w:space="0" w:color="auto"/>
        <w:left w:val="none" w:sz="0" w:space="0" w:color="auto"/>
        <w:bottom w:val="none" w:sz="0" w:space="0" w:color="auto"/>
        <w:right w:val="none" w:sz="0" w:space="0" w:color="auto"/>
      </w:divBdr>
    </w:div>
    <w:div w:id="653411491">
      <w:bodyDiv w:val="1"/>
      <w:marLeft w:val="0"/>
      <w:marRight w:val="0"/>
      <w:marTop w:val="0"/>
      <w:marBottom w:val="0"/>
      <w:divBdr>
        <w:top w:val="none" w:sz="0" w:space="0" w:color="auto"/>
        <w:left w:val="none" w:sz="0" w:space="0" w:color="auto"/>
        <w:bottom w:val="none" w:sz="0" w:space="0" w:color="auto"/>
        <w:right w:val="none" w:sz="0" w:space="0" w:color="auto"/>
      </w:divBdr>
    </w:div>
    <w:div w:id="656686122">
      <w:bodyDiv w:val="1"/>
      <w:marLeft w:val="0"/>
      <w:marRight w:val="0"/>
      <w:marTop w:val="0"/>
      <w:marBottom w:val="0"/>
      <w:divBdr>
        <w:top w:val="none" w:sz="0" w:space="0" w:color="auto"/>
        <w:left w:val="none" w:sz="0" w:space="0" w:color="auto"/>
        <w:bottom w:val="none" w:sz="0" w:space="0" w:color="auto"/>
        <w:right w:val="none" w:sz="0" w:space="0" w:color="auto"/>
      </w:divBdr>
    </w:div>
    <w:div w:id="662243667">
      <w:bodyDiv w:val="1"/>
      <w:marLeft w:val="0"/>
      <w:marRight w:val="0"/>
      <w:marTop w:val="0"/>
      <w:marBottom w:val="0"/>
      <w:divBdr>
        <w:top w:val="none" w:sz="0" w:space="0" w:color="auto"/>
        <w:left w:val="none" w:sz="0" w:space="0" w:color="auto"/>
        <w:bottom w:val="none" w:sz="0" w:space="0" w:color="auto"/>
        <w:right w:val="none" w:sz="0" w:space="0" w:color="auto"/>
      </w:divBdr>
      <w:divsChild>
        <w:div w:id="549420305">
          <w:marLeft w:val="547"/>
          <w:marRight w:val="0"/>
          <w:marTop w:val="0"/>
          <w:marBottom w:val="0"/>
          <w:divBdr>
            <w:top w:val="none" w:sz="0" w:space="0" w:color="auto"/>
            <w:left w:val="none" w:sz="0" w:space="0" w:color="auto"/>
            <w:bottom w:val="none" w:sz="0" w:space="0" w:color="auto"/>
            <w:right w:val="none" w:sz="0" w:space="0" w:color="auto"/>
          </w:divBdr>
        </w:div>
      </w:divsChild>
    </w:div>
    <w:div w:id="665861141">
      <w:bodyDiv w:val="1"/>
      <w:marLeft w:val="0"/>
      <w:marRight w:val="0"/>
      <w:marTop w:val="0"/>
      <w:marBottom w:val="0"/>
      <w:divBdr>
        <w:top w:val="none" w:sz="0" w:space="0" w:color="auto"/>
        <w:left w:val="none" w:sz="0" w:space="0" w:color="auto"/>
        <w:bottom w:val="none" w:sz="0" w:space="0" w:color="auto"/>
        <w:right w:val="none" w:sz="0" w:space="0" w:color="auto"/>
      </w:divBdr>
      <w:divsChild>
        <w:div w:id="278996889">
          <w:marLeft w:val="274"/>
          <w:marRight w:val="0"/>
          <w:marTop w:val="120"/>
          <w:marBottom w:val="0"/>
          <w:divBdr>
            <w:top w:val="none" w:sz="0" w:space="0" w:color="auto"/>
            <w:left w:val="none" w:sz="0" w:space="0" w:color="auto"/>
            <w:bottom w:val="none" w:sz="0" w:space="0" w:color="auto"/>
            <w:right w:val="none" w:sz="0" w:space="0" w:color="auto"/>
          </w:divBdr>
        </w:div>
        <w:div w:id="302740203">
          <w:marLeft w:val="274"/>
          <w:marRight w:val="0"/>
          <w:marTop w:val="120"/>
          <w:marBottom w:val="0"/>
          <w:divBdr>
            <w:top w:val="none" w:sz="0" w:space="0" w:color="auto"/>
            <w:left w:val="none" w:sz="0" w:space="0" w:color="auto"/>
            <w:bottom w:val="none" w:sz="0" w:space="0" w:color="auto"/>
            <w:right w:val="none" w:sz="0" w:space="0" w:color="auto"/>
          </w:divBdr>
        </w:div>
        <w:div w:id="356857712">
          <w:marLeft w:val="274"/>
          <w:marRight w:val="0"/>
          <w:marTop w:val="120"/>
          <w:marBottom w:val="0"/>
          <w:divBdr>
            <w:top w:val="none" w:sz="0" w:space="0" w:color="auto"/>
            <w:left w:val="none" w:sz="0" w:space="0" w:color="auto"/>
            <w:bottom w:val="none" w:sz="0" w:space="0" w:color="auto"/>
            <w:right w:val="none" w:sz="0" w:space="0" w:color="auto"/>
          </w:divBdr>
        </w:div>
        <w:div w:id="757946871">
          <w:marLeft w:val="562"/>
          <w:marRight w:val="0"/>
          <w:marTop w:val="67"/>
          <w:marBottom w:val="0"/>
          <w:divBdr>
            <w:top w:val="none" w:sz="0" w:space="0" w:color="auto"/>
            <w:left w:val="none" w:sz="0" w:space="0" w:color="auto"/>
            <w:bottom w:val="none" w:sz="0" w:space="0" w:color="auto"/>
            <w:right w:val="none" w:sz="0" w:space="0" w:color="auto"/>
          </w:divBdr>
        </w:div>
        <w:div w:id="800150805">
          <w:marLeft w:val="562"/>
          <w:marRight w:val="0"/>
          <w:marTop w:val="67"/>
          <w:marBottom w:val="0"/>
          <w:divBdr>
            <w:top w:val="none" w:sz="0" w:space="0" w:color="auto"/>
            <w:left w:val="none" w:sz="0" w:space="0" w:color="auto"/>
            <w:bottom w:val="none" w:sz="0" w:space="0" w:color="auto"/>
            <w:right w:val="none" w:sz="0" w:space="0" w:color="auto"/>
          </w:divBdr>
        </w:div>
        <w:div w:id="1099982681">
          <w:marLeft w:val="562"/>
          <w:marRight w:val="0"/>
          <w:marTop w:val="67"/>
          <w:marBottom w:val="0"/>
          <w:divBdr>
            <w:top w:val="none" w:sz="0" w:space="0" w:color="auto"/>
            <w:left w:val="none" w:sz="0" w:space="0" w:color="auto"/>
            <w:bottom w:val="none" w:sz="0" w:space="0" w:color="auto"/>
            <w:right w:val="none" w:sz="0" w:space="0" w:color="auto"/>
          </w:divBdr>
        </w:div>
        <w:div w:id="1689796635">
          <w:marLeft w:val="274"/>
          <w:marRight w:val="0"/>
          <w:marTop w:val="120"/>
          <w:marBottom w:val="0"/>
          <w:divBdr>
            <w:top w:val="none" w:sz="0" w:space="0" w:color="auto"/>
            <w:left w:val="none" w:sz="0" w:space="0" w:color="auto"/>
            <w:bottom w:val="none" w:sz="0" w:space="0" w:color="auto"/>
            <w:right w:val="none" w:sz="0" w:space="0" w:color="auto"/>
          </w:divBdr>
        </w:div>
        <w:div w:id="1814180657">
          <w:marLeft w:val="274"/>
          <w:marRight w:val="0"/>
          <w:marTop w:val="120"/>
          <w:marBottom w:val="0"/>
          <w:divBdr>
            <w:top w:val="none" w:sz="0" w:space="0" w:color="auto"/>
            <w:left w:val="none" w:sz="0" w:space="0" w:color="auto"/>
            <w:bottom w:val="none" w:sz="0" w:space="0" w:color="auto"/>
            <w:right w:val="none" w:sz="0" w:space="0" w:color="auto"/>
          </w:divBdr>
        </w:div>
        <w:div w:id="1912424526">
          <w:marLeft w:val="562"/>
          <w:marRight w:val="0"/>
          <w:marTop w:val="67"/>
          <w:marBottom w:val="0"/>
          <w:divBdr>
            <w:top w:val="none" w:sz="0" w:space="0" w:color="auto"/>
            <w:left w:val="none" w:sz="0" w:space="0" w:color="auto"/>
            <w:bottom w:val="none" w:sz="0" w:space="0" w:color="auto"/>
            <w:right w:val="none" w:sz="0" w:space="0" w:color="auto"/>
          </w:divBdr>
        </w:div>
      </w:divsChild>
    </w:div>
    <w:div w:id="686911115">
      <w:bodyDiv w:val="1"/>
      <w:marLeft w:val="0"/>
      <w:marRight w:val="0"/>
      <w:marTop w:val="0"/>
      <w:marBottom w:val="0"/>
      <w:divBdr>
        <w:top w:val="none" w:sz="0" w:space="0" w:color="auto"/>
        <w:left w:val="none" w:sz="0" w:space="0" w:color="auto"/>
        <w:bottom w:val="none" w:sz="0" w:space="0" w:color="auto"/>
        <w:right w:val="none" w:sz="0" w:space="0" w:color="auto"/>
      </w:divBdr>
    </w:div>
    <w:div w:id="708384256">
      <w:bodyDiv w:val="1"/>
      <w:marLeft w:val="0"/>
      <w:marRight w:val="0"/>
      <w:marTop w:val="0"/>
      <w:marBottom w:val="0"/>
      <w:divBdr>
        <w:top w:val="none" w:sz="0" w:space="0" w:color="auto"/>
        <w:left w:val="none" w:sz="0" w:space="0" w:color="auto"/>
        <w:bottom w:val="none" w:sz="0" w:space="0" w:color="auto"/>
        <w:right w:val="none" w:sz="0" w:space="0" w:color="auto"/>
      </w:divBdr>
      <w:divsChild>
        <w:div w:id="254361108">
          <w:marLeft w:val="547"/>
          <w:marRight w:val="0"/>
          <w:marTop w:val="0"/>
          <w:marBottom w:val="0"/>
          <w:divBdr>
            <w:top w:val="none" w:sz="0" w:space="0" w:color="auto"/>
            <w:left w:val="none" w:sz="0" w:space="0" w:color="auto"/>
            <w:bottom w:val="none" w:sz="0" w:space="0" w:color="auto"/>
            <w:right w:val="none" w:sz="0" w:space="0" w:color="auto"/>
          </w:divBdr>
        </w:div>
      </w:divsChild>
    </w:div>
    <w:div w:id="712270947">
      <w:bodyDiv w:val="1"/>
      <w:marLeft w:val="0"/>
      <w:marRight w:val="0"/>
      <w:marTop w:val="0"/>
      <w:marBottom w:val="0"/>
      <w:divBdr>
        <w:top w:val="none" w:sz="0" w:space="0" w:color="auto"/>
        <w:left w:val="none" w:sz="0" w:space="0" w:color="auto"/>
        <w:bottom w:val="none" w:sz="0" w:space="0" w:color="auto"/>
        <w:right w:val="none" w:sz="0" w:space="0" w:color="auto"/>
      </w:divBdr>
      <w:divsChild>
        <w:div w:id="1642929222">
          <w:marLeft w:val="1166"/>
          <w:marRight w:val="0"/>
          <w:marTop w:val="0"/>
          <w:marBottom w:val="0"/>
          <w:divBdr>
            <w:top w:val="none" w:sz="0" w:space="0" w:color="auto"/>
            <w:left w:val="none" w:sz="0" w:space="0" w:color="auto"/>
            <w:bottom w:val="none" w:sz="0" w:space="0" w:color="auto"/>
            <w:right w:val="none" w:sz="0" w:space="0" w:color="auto"/>
          </w:divBdr>
        </w:div>
      </w:divsChild>
    </w:div>
    <w:div w:id="746197572">
      <w:bodyDiv w:val="1"/>
      <w:marLeft w:val="0"/>
      <w:marRight w:val="0"/>
      <w:marTop w:val="0"/>
      <w:marBottom w:val="0"/>
      <w:divBdr>
        <w:top w:val="none" w:sz="0" w:space="0" w:color="auto"/>
        <w:left w:val="none" w:sz="0" w:space="0" w:color="auto"/>
        <w:bottom w:val="none" w:sz="0" w:space="0" w:color="auto"/>
        <w:right w:val="none" w:sz="0" w:space="0" w:color="auto"/>
      </w:divBdr>
      <w:divsChild>
        <w:div w:id="408842576">
          <w:marLeft w:val="274"/>
          <w:marRight w:val="0"/>
          <w:marTop w:val="120"/>
          <w:marBottom w:val="0"/>
          <w:divBdr>
            <w:top w:val="none" w:sz="0" w:space="0" w:color="auto"/>
            <w:left w:val="none" w:sz="0" w:space="0" w:color="auto"/>
            <w:bottom w:val="none" w:sz="0" w:space="0" w:color="auto"/>
            <w:right w:val="none" w:sz="0" w:space="0" w:color="auto"/>
          </w:divBdr>
        </w:div>
        <w:div w:id="528875964">
          <w:marLeft w:val="274"/>
          <w:marRight w:val="0"/>
          <w:marTop w:val="120"/>
          <w:marBottom w:val="0"/>
          <w:divBdr>
            <w:top w:val="none" w:sz="0" w:space="0" w:color="auto"/>
            <w:left w:val="none" w:sz="0" w:space="0" w:color="auto"/>
            <w:bottom w:val="none" w:sz="0" w:space="0" w:color="auto"/>
            <w:right w:val="none" w:sz="0" w:space="0" w:color="auto"/>
          </w:divBdr>
        </w:div>
        <w:div w:id="1909222634">
          <w:marLeft w:val="274"/>
          <w:marRight w:val="0"/>
          <w:marTop w:val="120"/>
          <w:marBottom w:val="0"/>
          <w:divBdr>
            <w:top w:val="none" w:sz="0" w:space="0" w:color="auto"/>
            <w:left w:val="none" w:sz="0" w:space="0" w:color="auto"/>
            <w:bottom w:val="none" w:sz="0" w:space="0" w:color="auto"/>
            <w:right w:val="none" w:sz="0" w:space="0" w:color="auto"/>
          </w:divBdr>
        </w:div>
      </w:divsChild>
    </w:div>
    <w:div w:id="750128101">
      <w:marLeft w:val="0"/>
      <w:marRight w:val="0"/>
      <w:marTop w:val="0"/>
      <w:marBottom w:val="0"/>
      <w:divBdr>
        <w:top w:val="none" w:sz="0" w:space="0" w:color="auto"/>
        <w:left w:val="none" w:sz="0" w:space="0" w:color="auto"/>
        <w:bottom w:val="none" w:sz="0" w:space="0" w:color="auto"/>
        <w:right w:val="none" w:sz="0" w:space="0" w:color="auto"/>
      </w:divBdr>
    </w:div>
    <w:div w:id="750128102">
      <w:marLeft w:val="0"/>
      <w:marRight w:val="0"/>
      <w:marTop w:val="0"/>
      <w:marBottom w:val="0"/>
      <w:divBdr>
        <w:top w:val="none" w:sz="0" w:space="0" w:color="auto"/>
        <w:left w:val="none" w:sz="0" w:space="0" w:color="auto"/>
        <w:bottom w:val="none" w:sz="0" w:space="0" w:color="auto"/>
        <w:right w:val="none" w:sz="0" w:space="0" w:color="auto"/>
      </w:divBdr>
    </w:div>
    <w:div w:id="750128103">
      <w:marLeft w:val="0"/>
      <w:marRight w:val="0"/>
      <w:marTop w:val="0"/>
      <w:marBottom w:val="0"/>
      <w:divBdr>
        <w:top w:val="none" w:sz="0" w:space="0" w:color="auto"/>
        <w:left w:val="none" w:sz="0" w:space="0" w:color="auto"/>
        <w:bottom w:val="none" w:sz="0" w:space="0" w:color="auto"/>
        <w:right w:val="none" w:sz="0" w:space="0" w:color="auto"/>
      </w:divBdr>
    </w:div>
    <w:div w:id="750128106">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750128108">
      <w:marLeft w:val="0"/>
      <w:marRight w:val="0"/>
      <w:marTop w:val="0"/>
      <w:marBottom w:val="0"/>
      <w:divBdr>
        <w:top w:val="none" w:sz="0" w:space="0" w:color="auto"/>
        <w:left w:val="none" w:sz="0" w:space="0" w:color="auto"/>
        <w:bottom w:val="none" w:sz="0" w:space="0" w:color="auto"/>
        <w:right w:val="none" w:sz="0" w:space="0" w:color="auto"/>
      </w:divBdr>
    </w:div>
    <w:div w:id="750128109">
      <w:marLeft w:val="0"/>
      <w:marRight w:val="0"/>
      <w:marTop w:val="0"/>
      <w:marBottom w:val="0"/>
      <w:divBdr>
        <w:top w:val="none" w:sz="0" w:space="0" w:color="auto"/>
        <w:left w:val="none" w:sz="0" w:space="0" w:color="auto"/>
        <w:bottom w:val="none" w:sz="0" w:space="0" w:color="auto"/>
        <w:right w:val="none" w:sz="0" w:space="0" w:color="auto"/>
      </w:divBdr>
    </w:div>
    <w:div w:id="750128112">
      <w:marLeft w:val="0"/>
      <w:marRight w:val="0"/>
      <w:marTop w:val="0"/>
      <w:marBottom w:val="0"/>
      <w:divBdr>
        <w:top w:val="none" w:sz="0" w:space="0" w:color="auto"/>
        <w:left w:val="none" w:sz="0" w:space="0" w:color="auto"/>
        <w:bottom w:val="none" w:sz="0" w:space="0" w:color="auto"/>
        <w:right w:val="none" w:sz="0" w:space="0" w:color="auto"/>
      </w:divBdr>
    </w:div>
    <w:div w:id="750128113">
      <w:marLeft w:val="0"/>
      <w:marRight w:val="0"/>
      <w:marTop w:val="0"/>
      <w:marBottom w:val="0"/>
      <w:divBdr>
        <w:top w:val="none" w:sz="0" w:space="0" w:color="auto"/>
        <w:left w:val="none" w:sz="0" w:space="0" w:color="auto"/>
        <w:bottom w:val="none" w:sz="0" w:space="0" w:color="auto"/>
        <w:right w:val="none" w:sz="0" w:space="0" w:color="auto"/>
      </w:divBdr>
    </w:div>
    <w:div w:id="750128114">
      <w:marLeft w:val="0"/>
      <w:marRight w:val="0"/>
      <w:marTop w:val="0"/>
      <w:marBottom w:val="0"/>
      <w:divBdr>
        <w:top w:val="none" w:sz="0" w:space="0" w:color="auto"/>
        <w:left w:val="none" w:sz="0" w:space="0" w:color="auto"/>
        <w:bottom w:val="none" w:sz="0" w:space="0" w:color="auto"/>
        <w:right w:val="none" w:sz="0" w:space="0" w:color="auto"/>
      </w:divBdr>
    </w:div>
    <w:div w:id="750128116">
      <w:marLeft w:val="0"/>
      <w:marRight w:val="0"/>
      <w:marTop w:val="0"/>
      <w:marBottom w:val="0"/>
      <w:divBdr>
        <w:top w:val="none" w:sz="0" w:space="0" w:color="auto"/>
        <w:left w:val="none" w:sz="0" w:space="0" w:color="auto"/>
        <w:bottom w:val="none" w:sz="0" w:space="0" w:color="auto"/>
        <w:right w:val="none" w:sz="0" w:space="0" w:color="auto"/>
      </w:divBdr>
    </w:div>
    <w:div w:id="750128118">
      <w:marLeft w:val="0"/>
      <w:marRight w:val="0"/>
      <w:marTop w:val="0"/>
      <w:marBottom w:val="0"/>
      <w:divBdr>
        <w:top w:val="none" w:sz="0" w:space="0" w:color="auto"/>
        <w:left w:val="none" w:sz="0" w:space="0" w:color="auto"/>
        <w:bottom w:val="none" w:sz="0" w:space="0" w:color="auto"/>
        <w:right w:val="none" w:sz="0" w:space="0" w:color="auto"/>
      </w:divBdr>
      <w:divsChild>
        <w:div w:id="750128105">
          <w:marLeft w:val="547"/>
          <w:marRight w:val="0"/>
          <w:marTop w:val="0"/>
          <w:marBottom w:val="0"/>
          <w:divBdr>
            <w:top w:val="none" w:sz="0" w:space="0" w:color="auto"/>
            <w:left w:val="none" w:sz="0" w:space="0" w:color="auto"/>
            <w:bottom w:val="none" w:sz="0" w:space="0" w:color="auto"/>
            <w:right w:val="none" w:sz="0" w:space="0" w:color="auto"/>
          </w:divBdr>
        </w:div>
      </w:divsChild>
    </w:div>
    <w:div w:id="750128119">
      <w:marLeft w:val="0"/>
      <w:marRight w:val="0"/>
      <w:marTop w:val="0"/>
      <w:marBottom w:val="0"/>
      <w:divBdr>
        <w:top w:val="none" w:sz="0" w:space="0" w:color="auto"/>
        <w:left w:val="none" w:sz="0" w:space="0" w:color="auto"/>
        <w:bottom w:val="none" w:sz="0" w:space="0" w:color="auto"/>
        <w:right w:val="none" w:sz="0" w:space="0" w:color="auto"/>
      </w:divBdr>
    </w:div>
    <w:div w:id="750128120">
      <w:marLeft w:val="0"/>
      <w:marRight w:val="0"/>
      <w:marTop w:val="0"/>
      <w:marBottom w:val="0"/>
      <w:divBdr>
        <w:top w:val="none" w:sz="0" w:space="0" w:color="auto"/>
        <w:left w:val="none" w:sz="0" w:space="0" w:color="auto"/>
        <w:bottom w:val="none" w:sz="0" w:space="0" w:color="auto"/>
        <w:right w:val="none" w:sz="0" w:space="0" w:color="auto"/>
      </w:divBdr>
    </w:div>
    <w:div w:id="750128121">
      <w:marLeft w:val="0"/>
      <w:marRight w:val="0"/>
      <w:marTop w:val="0"/>
      <w:marBottom w:val="0"/>
      <w:divBdr>
        <w:top w:val="none" w:sz="0" w:space="0" w:color="auto"/>
        <w:left w:val="none" w:sz="0" w:space="0" w:color="auto"/>
        <w:bottom w:val="none" w:sz="0" w:space="0" w:color="auto"/>
        <w:right w:val="none" w:sz="0" w:space="0" w:color="auto"/>
      </w:divBdr>
    </w:div>
    <w:div w:id="750128123">
      <w:marLeft w:val="0"/>
      <w:marRight w:val="0"/>
      <w:marTop w:val="0"/>
      <w:marBottom w:val="0"/>
      <w:divBdr>
        <w:top w:val="none" w:sz="0" w:space="0" w:color="auto"/>
        <w:left w:val="none" w:sz="0" w:space="0" w:color="auto"/>
        <w:bottom w:val="none" w:sz="0" w:space="0" w:color="auto"/>
        <w:right w:val="none" w:sz="0" w:space="0" w:color="auto"/>
      </w:divBdr>
      <w:divsChild>
        <w:div w:id="750128131">
          <w:marLeft w:val="547"/>
          <w:marRight w:val="0"/>
          <w:marTop w:val="0"/>
          <w:marBottom w:val="0"/>
          <w:divBdr>
            <w:top w:val="none" w:sz="0" w:space="0" w:color="auto"/>
            <w:left w:val="none" w:sz="0" w:space="0" w:color="auto"/>
            <w:bottom w:val="none" w:sz="0" w:space="0" w:color="auto"/>
            <w:right w:val="none" w:sz="0" w:space="0" w:color="auto"/>
          </w:divBdr>
        </w:div>
      </w:divsChild>
    </w:div>
    <w:div w:id="750128125">
      <w:marLeft w:val="0"/>
      <w:marRight w:val="0"/>
      <w:marTop w:val="0"/>
      <w:marBottom w:val="0"/>
      <w:divBdr>
        <w:top w:val="none" w:sz="0" w:space="0" w:color="auto"/>
        <w:left w:val="none" w:sz="0" w:space="0" w:color="auto"/>
        <w:bottom w:val="none" w:sz="0" w:space="0" w:color="auto"/>
        <w:right w:val="none" w:sz="0" w:space="0" w:color="auto"/>
      </w:divBdr>
      <w:divsChild>
        <w:div w:id="750128111">
          <w:marLeft w:val="0"/>
          <w:marRight w:val="0"/>
          <w:marTop w:val="0"/>
          <w:marBottom w:val="0"/>
          <w:divBdr>
            <w:top w:val="none" w:sz="0" w:space="0" w:color="auto"/>
            <w:left w:val="none" w:sz="0" w:space="0" w:color="auto"/>
            <w:bottom w:val="none" w:sz="0" w:space="0" w:color="auto"/>
            <w:right w:val="none" w:sz="0" w:space="0" w:color="auto"/>
          </w:divBdr>
          <w:divsChild>
            <w:div w:id="750128122">
              <w:marLeft w:val="0"/>
              <w:marRight w:val="0"/>
              <w:marTop w:val="0"/>
              <w:marBottom w:val="0"/>
              <w:divBdr>
                <w:top w:val="none" w:sz="0" w:space="0" w:color="auto"/>
                <w:left w:val="none" w:sz="0" w:space="0" w:color="auto"/>
                <w:bottom w:val="none" w:sz="0" w:space="0" w:color="auto"/>
                <w:right w:val="none" w:sz="0" w:space="0" w:color="auto"/>
              </w:divBdr>
              <w:divsChild>
                <w:div w:id="750128117">
                  <w:marLeft w:val="0"/>
                  <w:marRight w:val="0"/>
                  <w:marTop w:val="0"/>
                  <w:marBottom w:val="0"/>
                  <w:divBdr>
                    <w:top w:val="none" w:sz="0" w:space="0" w:color="auto"/>
                    <w:left w:val="none" w:sz="0" w:space="0" w:color="auto"/>
                    <w:bottom w:val="none" w:sz="0" w:space="0" w:color="auto"/>
                    <w:right w:val="none" w:sz="0" w:space="0" w:color="auto"/>
                  </w:divBdr>
                  <w:divsChild>
                    <w:div w:id="750128110">
                      <w:marLeft w:val="0"/>
                      <w:marRight w:val="0"/>
                      <w:marTop w:val="0"/>
                      <w:marBottom w:val="0"/>
                      <w:divBdr>
                        <w:top w:val="none" w:sz="0" w:space="0" w:color="auto"/>
                        <w:left w:val="none" w:sz="0" w:space="0" w:color="auto"/>
                        <w:bottom w:val="none" w:sz="0" w:space="0" w:color="auto"/>
                        <w:right w:val="none" w:sz="0" w:space="0" w:color="auto"/>
                      </w:divBdr>
                      <w:divsChild>
                        <w:div w:id="750128124">
                          <w:marLeft w:val="0"/>
                          <w:marRight w:val="0"/>
                          <w:marTop w:val="0"/>
                          <w:marBottom w:val="0"/>
                          <w:divBdr>
                            <w:top w:val="none" w:sz="0" w:space="0" w:color="auto"/>
                            <w:left w:val="none" w:sz="0" w:space="0" w:color="auto"/>
                            <w:bottom w:val="none" w:sz="0" w:space="0" w:color="auto"/>
                            <w:right w:val="none" w:sz="0" w:space="0" w:color="auto"/>
                          </w:divBdr>
                          <w:divsChild>
                            <w:div w:id="750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28126">
      <w:marLeft w:val="0"/>
      <w:marRight w:val="0"/>
      <w:marTop w:val="0"/>
      <w:marBottom w:val="0"/>
      <w:divBdr>
        <w:top w:val="none" w:sz="0" w:space="0" w:color="auto"/>
        <w:left w:val="none" w:sz="0" w:space="0" w:color="auto"/>
        <w:bottom w:val="none" w:sz="0" w:space="0" w:color="auto"/>
        <w:right w:val="none" w:sz="0" w:space="0" w:color="auto"/>
      </w:divBdr>
    </w:div>
    <w:div w:id="750128127">
      <w:marLeft w:val="0"/>
      <w:marRight w:val="0"/>
      <w:marTop w:val="0"/>
      <w:marBottom w:val="0"/>
      <w:divBdr>
        <w:top w:val="none" w:sz="0" w:space="0" w:color="auto"/>
        <w:left w:val="none" w:sz="0" w:space="0" w:color="auto"/>
        <w:bottom w:val="none" w:sz="0" w:space="0" w:color="auto"/>
        <w:right w:val="none" w:sz="0" w:space="0" w:color="auto"/>
      </w:divBdr>
    </w:div>
    <w:div w:id="750128128">
      <w:marLeft w:val="0"/>
      <w:marRight w:val="0"/>
      <w:marTop w:val="0"/>
      <w:marBottom w:val="0"/>
      <w:divBdr>
        <w:top w:val="none" w:sz="0" w:space="0" w:color="auto"/>
        <w:left w:val="none" w:sz="0" w:space="0" w:color="auto"/>
        <w:bottom w:val="none" w:sz="0" w:space="0" w:color="auto"/>
        <w:right w:val="none" w:sz="0" w:space="0" w:color="auto"/>
      </w:divBdr>
    </w:div>
    <w:div w:id="750128129">
      <w:marLeft w:val="0"/>
      <w:marRight w:val="0"/>
      <w:marTop w:val="0"/>
      <w:marBottom w:val="0"/>
      <w:divBdr>
        <w:top w:val="none" w:sz="0" w:space="0" w:color="auto"/>
        <w:left w:val="none" w:sz="0" w:space="0" w:color="auto"/>
        <w:bottom w:val="none" w:sz="0" w:space="0" w:color="auto"/>
        <w:right w:val="none" w:sz="0" w:space="0" w:color="auto"/>
      </w:divBdr>
    </w:div>
    <w:div w:id="750128132">
      <w:marLeft w:val="0"/>
      <w:marRight w:val="0"/>
      <w:marTop w:val="0"/>
      <w:marBottom w:val="0"/>
      <w:divBdr>
        <w:top w:val="none" w:sz="0" w:space="0" w:color="auto"/>
        <w:left w:val="none" w:sz="0" w:space="0" w:color="auto"/>
        <w:bottom w:val="none" w:sz="0" w:space="0" w:color="auto"/>
        <w:right w:val="none" w:sz="0" w:space="0" w:color="auto"/>
      </w:divBdr>
      <w:divsChild>
        <w:div w:id="750128104">
          <w:marLeft w:val="547"/>
          <w:marRight w:val="0"/>
          <w:marTop w:val="0"/>
          <w:marBottom w:val="0"/>
          <w:divBdr>
            <w:top w:val="none" w:sz="0" w:space="0" w:color="auto"/>
            <w:left w:val="none" w:sz="0" w:space="0" w:color="auto"/>
            <w:bottom w:val="none" w:sz="0" w:space="0" w:color="auto"/>
            <w:right w:val="none" w:sz="0" w:space="0" w:color="auto"/>
          </w:divBdr>
        </w:div>
      </w:divsChild>
    </w:div>
    <w:div w:id="750128133">
      <w:marLeft w:val="0"/>
      <w:marRight w:val="0"/>
      <w:marTop w:val="0"/>
      <w:marBottom w:val="0"/>
      <w:divBdr>
        <w:top w:val="none" w:sz="0" w:space="0" w:color="auto"/>
        <w:left w:val="none" w:sz="0" w:space="0" w:color="auto"/>
        <w:bottom w:val="none" w:sz="0" w:space="0" w:color="auto"/>
        <w:right w:val="none" w:sz="0" w:space="0" w:color="auto"/>
      </w:divBdr>
      <w:divsChild>
        <w:div w:id="750128130">
          <w:marLeft w:val="0"/>
          <w:marRight w:val="0"/>
          <w:marTop w:val="0"/>
          <w:marBottom w:val="0"/>
          <w:divBdr>
            <w:top w:val="none" w:sz="0" w:space="0" w:color="auto"/>
            <w:left w:val="none" w:sz="0" w:space="0" w:color="auto"/>
            <w:bottom w:val="none" w:sz="0" w:space="0" w:color="auto"/>
            <w:right w:val="none" w:sz="0" w:space="0" w:color="auto"/>
          </w:divBdr>
        </w:div>
      </w:divsChild>
    </w:div>
    <w:div w:id="750128134">
      <w:marLeft w:val="0"/>
      <w:marRight w:val="0"/>
      <w:marTop w:val="0"/>
      <w:marBottom w:val="0"/>
      <w:divBdr>
        <w:top w:val="none" w:sz="0" w:space="0" w:color="auto"/>
        <w:left w:val="none" w:sz="0" w:space="0" w:color="auto"/>
        <w:bottom w:val="none" w:sz="0" w:space="0" w:color="auto"/>
        <w:right w:val="none" w:sz="0" w:space="0" w:color="auto"/>
      </w:divBdr>
    </w:div>
    <w:div w:id="750128135">
      <w:marLeft w:val="0"/>
      <w:marRight w:val="0"/>
      <w:marTop w:val="0"/>
      <w:marBottom w:val="0"/>
      <w:divBdr>
        <w:top w:val="none" w:sz="0" w:space="0" w:color="auto"/>
        <w:left w:val="none" w:sz="0" w:space="0" w:color="auto"/>
        <w:bottom w:val="none" w:sz="0" w:space="0" w:color="auto"/>
        <w:right w:val="none" w:sz="0" w:space="0" w:color="auto"/>
      </w:divBdr>
    </w:div>
    <w:div w:id="750128136">
      <w:marLeft w:val="0"/>
      <w:marRight w:val="0"/>
      <w:marTop w:val="0"/>
      <w:marBottom w:val="0"/>
      <w:divBdr>
        <w:top w:val="none" w:sz="0" w:space="0" w:color="auto"/>
        <w:left w:val="none" w:sz="0" w:space="0" w:color="auto"/>
        <w:bottom w:val="none" w:sz="0" w:space="0" w:color="auto"/>
        <w:right w:val="none" w:sz="0" w:space="0" w:color="auto"/>
      </w:divBdr>
    </w:div>
    <w:div w:id="750128137">
      <w:marLeft w:val="0"/>
      <w:marRight w:val="0"/>
      <w:marTop w:val="0"/>
      <w:marBottom w:val="0"/>
      <w:divBdr>
        <w:top w:val="none" w:sz="0" w:space="0" w:color="auto"/>
        <w:left w:val="none" w:sz="0" w:space="0" w:color="auto"/>
        <w:bottom w:val="none" w:sz="0" w:space="0" w:color="auto"/>
        <w:right w:val="none" w:sz="0" w:space="0" w:color="auto"/>
      </w:divBdr>
    </w:div>
    <w:div w:id="769083253">
      <w:bodyDiv w:val="1"/>
      <w:marLeft w:val="0"/>
      <w:marRight w:val="0"/>
      <w:marTop w:val="0"/>
      <w:marBottom w:val="0"/>
      <w:divBdr>
        <w:top w:val="none" w:sz="0" w:space="0" w:color="auto"/>
        <w:left w:val="none" w:sz="0" w:space="0" w:color="auto"/>
        <w:bottom w:val="none" w:sz="0" w:space="0" w:color="auto"/>
        <w:right w:val="none" w:sz="0" w:space="0" w:color="auto"/>
      </w:divBdr>
    </w:div>
    <w:div w:id="783383080">
      <w:bodyDiv w:val="1"/>
      <w:marLeft w:val="0"/>
      <w:marRight w:val="0"/>
      <w:marTop w:val="0"/>
      <w:marBottom w:val="0"/>
      <w:divBdr>
        <w:top w:val="none" w:sz="0" w:space="0" w:color="auto"/>
        <w:left w:val="none" w:sz="0" w:space="0" w:color="auto"/>
        <w:bottom w:val="none" w:sz="0" w:space="0" w:color="auto"/>
        <w:right w:val="none" w:sz="0" w:space="0" w:color="auto"/>
      </w:divBdr>
      <w:divsChild>
        <w:div w:id="1420100543">
          <w:marLeft w:val="547"/>
          <w:marRight w:val="0"/>
          <w:marTop w:val="120"/>
          <w:marBottom w:val="0"/>
          <w:divBdr>
            <w:top w:val="none" w:sz="0" w:space="0" w:color="auto"/>
            <w:left w:val="none" w:sz="0" w:space="0" w:color="auto"/>
            <w:bottom w:val="none" w:sz="0" w:space="0" w:color="auto"/>
            <w:right w:val="none" w:sz="0" w:space="0" w:color="auto"/>
          </w:divBdr>
        </w:div>
      </w:divsChild>
    </w:div>
    <w:div w:id="791483553">
      <w:bodyDiv w:val="1"/>
      <w:marLeft w:val="0"/>
      <w:marRight w:val="0"/>
      <w:marTop w:val="0"/>
      <w:marBottom w:val="0"/>
      <w:divBdr>
        <w:top w:val="none" w:sz="0" w:space="0" w:color="auto"/>
        <w:left w:val="none" w:sz="0" w:space="0" w:color="auto"/>
        <w:bottom w:val="none" w:sz="0" w:space="0" w:color="auto"/>
        <w:right w:val="none" w:sz="0" w:space="0" w:color="auto"/>
      </w:divBdr>
    </w:div>
    <w:div w:id="799224893">
      <w:bodyDiv w:val="1"/>
      <w:marLeft w:val="0"/>
      <w:marRight w:val="0"/>
      <w:marTop w:val="0"/>
      <w:marBottom w:val="0"/>
      <w:divBdr>
        <w:top w:val="none" w:sz="0" w:space="0" w:color="auto"/>
        <w:left w:val="none" w:sz="0" w:space="0" w:color="auto"/>
        <w:bottom w:val="none" w:sz="0" w:space="0" w:color="auto"/>
        <w:right w:val="none" w:sz="0" w:space="0" w:color="auto"/>
      </w:divBdr>
    </w:div>
    <w:div w:id="806092819">
      <w:bodyDiv w:val="1"/>
      <w:marLeft w:val="0"/>
      <w:marRight w:val="0"/>
      <w:marTop w:val="0"/>
      <w:marBottom w:val="0"/>
      <w:divBdr>
        <w:top w:val="none" w:sz="0" w:space="0" w:color="auto"/>
        <w:left w:val="none" w:sz="0" w:space="0" w:color="auto"/>
        <w:bottom w:val="none" w:sz="0" w:space="0" w:color="auto"/>
        <w:right w:val="none" w:sz="0" w:space="0" w:color="auto"/>
      </w:divBdr>
    </w:div>
    <w:div w:id="810632903">
      <w:bodyDiv w:val="1"/>
      <w:marLeft w:val="0"/>
      <w:marRight w:val="0"/>
      <w:marTop w:val="0"/>
      <w:marBottom w:val="0"/>
      <w:divBdr>
        <w:top w:val="none" w:sz="0" w:space="0" w:color="auto"/>
        <w:left w:val="none" w:sz="0" w:space="0" w:color="auto"/>
        <w:bottom w:val="none" w:sz="0" w:space="0" w:color="auto"/>
        <w:right w:val="none" w:sz="0" w:space="0" w:color="auto"/>
      </w:divBdr>
      <w:divsChild>
        <w:div w:id="2126651489">
          <w:marLeft w:val="1166"/>
          <w:marRight w:val="0"/>
          <w:marTop w:val="0"/>
          <w:marBottom w:val="0"/>
          <w:divBdr>
            <w:top w:val="none" w:sz="0" w:space="0" w:color="auto"/>
            <w:left w:val="none" w:sz="0" w:space="0" w:color="auto"/>
            <w:bottom w:val="none" w:sz="0" w:space="0" w:color="auto"/>
            <w:right w:val="none" w:sz="0" w:space="0" w:color="auto"/>
          </w:divBdr>
        </w:div>
      </w:divsChild>
    </w:div>
    <w:div w:id="841772173">
      <w:bodyDiv w:val="1"/>
      <w:marLeft w:val="0"/>
      <w:marRight w:val="0"/>
      <w:marTop w:val="0"/>
      <w:marBottom w:val="0"/>
      <w:divBdr>
        <w:top w:val="none" w:sz="0" w:space="0" w:color="auto"/>
        <w:left w:val="none" w:sz="0" w:space="0" w:color="auto"/>
        <w:bottom w:val="none" w:sz="0" w:space="0" w:color="auto"/>
        <w:right w:val="none" w:sz="0" w:space="0" w:color="auto"/>
      </w:divBdr>
    </w:div>
    <w:div w:id="891577134">
      <w:bodyDiv w:val="1"/>
      <w:marLeft w:val="0"/>
      <w:marRight w:val="0"/>
      <w:marTop w:val="0"/>
      <w:marBottom w:val="0"/>
      <w:divBdr>
        <w:top w:val="none" w:sz="0" w:space="0" w:color="auto"/>
        <w:left w:val="none" w:sz="0" w:space="0" w:color="auto"/>
        <w:bottom w:val="none" w:sz="0" w:space="0" w:color="auto"/>
        <w:right w:val="none" w:sz="0" w:space="0" w:color="auto"/>
      </w:divBdr>
      <w:divsChild>
        <w:div w:id="692997687">
          <w:marLeft w:val="547"/>
          <w:marRight w:val="0"/>
          <w:marTop w:val="0"/>
          <w:marBottom w:val="0"/>
          <w:divBdr>
            <w:top w:val="none" w:sz="0" w:space="0" w:color="auto"/>
            <w:left w:val="none" w:sz="0" w:space="0" w:color="auto"/>
            <w:bottom w:val="none" w:sz="0" w:space="0" w:color="auto"/>
            <w:right w:val="none" w:sz="0" w:space="0" w:color="auto"/>
          </w:divBdr>
        </w:div>
      </w:divsChild>
    </w:div>
    <w:div w:id="898593343">
      <w:bodyDiv w:val="1"/>
      <w:marLeft w:val="0"/>
      <w:marRight w:val="0"/>
      <w:marTop w:val="0"/>
      <w:marBottom w:val="0"/>
      <w:divBdr>
        <w:top w:val="none" w:sz="0" w:space="0" w:color="auto"/>
        <w:left w:val="none" w:sz="0" w:space="0" w:color="auto"/>
        <w:bottom w:val="none" w:sz="0" w:space="0" w:color="auto"/>
        <w:right w:val="none" w:sz="0" w:space="0" w:color="auto"/>
      </w:divBdr>
      <w:divsChild>
        <w:div w:id="415786052">
          <w:marLeft w:val="446"/>
          <w:marRight w:val="0"/>
          <w:marTop w:val="80"/>
          <w:marBottom w:val="0"/>
          <w:divBdr>
            <w:top w:val="none" w:sz="0" w:space="0" w:color="auto"/>
            <w:left w:val="none" w:sz="0" w:space="0" w:color="auto"/>
            <w:bottom w:val="none" w:sz="0" w:space="0" w:color="auto"/>
            <w:right w:val="none" w:sz="0" w:space="0" w:color="auto"/>
          </w:divBdr>
        </w:div>
      </w:divsChild>
    </w:div>
    <w:div w:id="911936543">
      <w:bodyDiv w:val="1"/>
      <w:marLeft w:val="0"/>
      <w:marRight w:val="0"/>
      <w:marTop w:val="0"/>
      <w:marBottom w:val="0"/>
      <w:divBdr>
        <w:top w:val="none" w:sz="0" w:space="0" w:color="auto"/>
        <w:left w:val="none" w:sz="0" w:space="0" w:color="auto"/>
        <w:bottom w:val="none" w:sz="0" w:space="0" w:color="auto"/>
        <w:right w:val="none" w:sz="0" w:space="0" w:color="auto"/>
      </w:divBdr>
    </w:div>
    <w:div w:id="939917759">
      <w:bodyDiv w:val="1"/>
      <w:marLeft w:val="0"/>
      <w:marRight w:val="0"/>
      <w:marTop w:val="0"/>
      <w:marBottom w:val="0"/>
      <w:divBdr>
        <w:top w:val="none" w:sz="0" w:space="0" w:color="auto"/>
        <w:left w:val="none" w:sz="0" w:space="0" w:color="auto"/>
        <w:bottom w:val="none" w:sz="0" w:space="0" w:color="auto"/>
        <w:right w:val="none" w:sz="0" w:space="0" w:color="auto"/>
      </w:divBdr>
    </w:div>
    <w:div w:id="948127406">
      <w:bodyDiv w:val="1"/>
      <w:marLeft w:val="0"/>
      <w:marRight w:val="0"/>
      <w:marTop w:val="0"/>
      <w:marBottom w:val="0"/>
      <w:divBdr>
        <w:top w:val="none" w:sz="0" w:space="0" w:color="auto"/>
        <w:left w:val="none" w:sz="0" w:space="0" w:color="auto"/>
        <w:bottom w:val="none" w:sz="0" w:space="0" w:color="auto"/>
        <w:right w:val="none" w:sz="0" w:space="0" w:color="auto"/>
      </w:divBdr>
      <w:divsChild>
        <w:div w:id="697777538">
          <w:marLeft w:val="547"/>
          <w:marRight w:val="0"/>
          <w:marTop w:val="0"/>
          <w:marBottom w:val="0"/>
          <w:divBdr>
            <w:top w:val="none" w:sz="0" w:space="0" w:color="auto"/>
            <w:left w:val="none" w:sz="0" w:space="0" w:color="auto"/>
            <w:bottom w:val="none" w:sz="0" w:space="0" w:color="auto"/>
            <w:right w:val="none" w:sz="0" w:space="0" w:color="auto"/>
          </w:divBdr>
        </w:div>
      </w:divsChild>
    </w:div>
    <w:div w:id="958144986">
      <w:bodyDiv w:val="1"/>
      <w:marLeft w:val="0"/>
      <w:marRight w:val="0"/>
      <w:marTop w:val="0"/>
      <w:marBottom w:val="0"/>
      <w:divBdr>
        <w:top w:val="none" w:sz="0" w:space="0" w:color="auto"/>
        <w:left w:val="none" w:sz="0" w:space="0" w:color="auto"/>
        <w:bottom w:val="none" w:sz="0" w:space="0" w:color="auto"/>
        <w:right w:val="none" w:sz="0" w:space="0" w:color="auto"/>
      </w:divBdr>
    </w:div>
    <w:div w:id="959142225">
      <w:bodyDiv w:val="1"/>
      <w:marLeft w:val="0"/>
      <w:marRight w:val="0"/>
      <w:marTop w:val="0"/>
      <w:marBottom w:val="0"/>
      <w:divBdr>
        <w:top w:val="none" w:sz="0" w:space="0" w:color="auto"/>
        <w:left w:val="none" w:sz="0" w:space="0" w:color="auto"/>
        <w:bottom w:val="none" w:sz="0" w:space="0" w:color="auto"/>
        <w:right w:val="none" w:sz="0" w:space="0" w:color="auto"/>
      </w:divBdr>
    </w:div>
    <w:div w:id="969867830">
      <w:bodyDiv w:val="1"/>
      <w:marLeft w:val="0"/>
      <w:marRight w:val="0"/>
      <w:marTop w:val="0"/>
      <w:marBottom w:val="0"/>
      <w:divBdr>
        <w:top w:val="none" w:sz="0" w:space="0" w:color="auto"/>
        <w:left w:val="none" w:sz="0" w:space="0" w:color="auto"/>
        <w:bottom w:val="none" w:sz="0" w:space="0" w:color="auto"/>
        <w:right w:val="none" w:sz="0" w:space="0" w:color="auto"/>
      </w:divBdr>
      <w:divsChild>
        <w:div w:id="451435440">
          <w:marLeft w:val="562"/>
          <w:marRight w:val="0"/>
          <w:marTop w:val="67"/>
          <w:marBottom w:val="0"/>
          <w:divBdr>
            <w:top w:val="none" w:sz="0" w:space="0" w:color="auto"/>
            <w:left w:val="none" w:sz="0" w:space="0" w:color="auto"/>
            <w:bottom w:val="none" w:sz="0" w:space="0" w:color="auto"/>
            <w:right w:val="none" w:sz="0" w:space="0" w:color="auto"/>
          </w:divBdr>
        </w:div>
        <w:div w:id="534199665">
          <w:marLeft w:val="562"/>
          <w:marRight w:val="0"/>
          <w:marTop w:val="67"/>
          <w:marBottom w:val="0"/>
          <w:divBdr>
            <w:top w:val="none" w:sz="0" w:space="0" w:color="auto"/>
            <w:left w:val="none" w:sz="0" w:space="0" w:color="auto"/>
            <w:bottom w:val="none" w:sz="0" w:space="0" w:color="auto"/>
            <w:right w:val="none" w:sz="0" w:space="0" w:color="auto"/>
          </w:divBdr>
        </w:div>
        <w:div w:id="554852944">
          <w:marLeft w:val="274"/>
          <w:marRight w:val="0"/>
          <w:marTop w:val="120"/>
          <w:marBottom w:val="0"/>
          <w:divBdr>
            <w:top w:val="none" w:sz="0" w:space="0" w:color="auto"/>
            <w:left w:val="none" w:sz="0" w:space="0" w:color="auto"/>
            <w:bottom w:val="none" w:sz="0" w:space="0" w:color="auto"/>
            <w:right w:val="none" w:sz="0" w:space="0" w:color="auto"/>
          </w:divBdr>
        </w:div>
        <w:div w:id="563027415">
          <w:marLeft w:val="274"/>
          <w:marRight w:val="0"/>
          <w:marTop w:val="120"/>
          <w:marBottom w:val="0"/>
          <w:divBdr>
            <w:top w:val="none" w:sz="0" w:space="0" w:color="auto"/>
            <w:left w:val="none" w:sz="0" w:space="0" w:color="auto"/>
            <w:bottom w:val="none" w:sz="0" w:space="0" w:color="auto"/>
            <w:right w:val="none" w:sz="0" w:space="0" w:color="auto"/>
          </w:divBdr>
        </w:div>
        <w:div w:id="1800029786">
          <w:marLeft w:val="274"/>
          <w:marRight w:val="0"/>
          <w:marTop w:val="120"/>
          <w:marBottom w:val="0"/>
          <w:divBdr>
            <w:top w:val="none" w:sz="0" w:space="0" w:color="auto"/>
            <w:left w:val="none" w:sz="0" w:space="0" w:color="auto"/>
            <w:bottom w:val="none" w:sz="0" w:space="0" w:color="auto"/>
            <w:right w:val="none" w:sz="0" w:space="0" w:color="auto"/>
          </w:divBdr>
        </w:div>
        <w:div w:id="1905874692">
          <w:marLeft w:val="274"/>
          <w:marRight w:val="0"/>
          <w:marTop w:val="120"/>
          <w:marBottom w:val="0"/>
          <w:divBdr>
            <w:top w:val="none" w:sz="0" w:space="0" w:color="auto"/>
            <w:left w:val="none" w:sz="0" w:space="0" w:color="auto"/>
            <w:bottom w:val="none" w:sz="0" w:space="0" w:color="auto"/>
            <w:right w:val="none" w:sz="0" w:space="0" w:color="auto"/>
          </w:divBdr>
        </w:div>
      </w:divsChild>
    </w:div>
    <w:div w:id="972908124">
      <w:bodyDiv w:val="1"/>
      <w:marLeft w:val="0"/>
      <w:marRight w:val="0"/>
      <w:marTop w:val="0"/>
      <w:marBottom w:val="0"/>
      <w:divBdr>
        <w:top w:val="none" w:sz="0" w:space="0" w:color="auto"/>
        <w:left w:val="none" w:sz="0" w:space="0" w:color="auto"/>
        <w:bottom w:val="none" w:sz="0" w:space="0" w:color="auto"/>
        <w:right w:val="none" w:sz="0" w:space="0" w:color="auto"/>
      </w:divBdr>
    </w:div>
    <w:div w:id="101766118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3">
          <w:marLeft w:val="562"/>
          <w:marRight w:val="0"/>
          <w:marTop w:val="67"/>
          <w:marBottom w:val="0"/>
          <w:divBdr>
            <w:top w:val="none" w:sz="0" w:space="0" w:color="auto"/>
            <w:left w:val="none" w:sz="0" w:space="0" w:color="auto"/>
            <w:bottom w:val="none" w:sz="0" w:space="0" w:color="auto"/>
            <w:right w:val="none" w:sz="0" w:space="0" w:color="auto"/>
          </w:divBdr>
        </w:div>
        <w:div w:id="978875989">
          <w:marLeft w:val="274"/>
          <w:marRight w:val="0"/>
          <w:marTop w:val="120"/>
          <w:marBottom w:val="0"/>
          <w:divBdr>
            <w:top w:val="none" w:sz="0" w:space="0" w:color="auto"/>
            <w:left w:val="none" w:sz="0" w:space="0" w:color="auto"/>
            <w:bottom w:val="none" w:sz="0" w:space="0" w:color="auto"/>
            <w:right w:val="none" w:sz="0" w:space="0" w:color="auto"/>
          </w:divBdr>
        </w:div>
        <w:div w:id="1165239638">
          <w:marLeft w:val="562"/>
          <w:marRight w:val="0"/>
          <w:marTop w:val="67"/>
          <w:marBottom w:val="0"/>
          <w:divBdr>
            <w:top w:val="none" w:sz="0" w:space="0" w:color="auto"/>
            <w:left w:val="none" w:sz="0" w:space="0" w:color="auto"/>
            <w:bottom w:val="none" w:sz="0" w:space="0" w:color="auto"/>
            <w:right w:val="none" w:sz="0" w:space="0" w:color="auto"/>
          </w:divBdr>
        </w:div>
        <w:div w:id="1258904004">
          <w:marLeft w:val="562"/>
          <w:marRight w:val="0"/>
          <w:marTop w:val="67"/>
          <w:marBottom w:val="0"/>
          <w:divBdr>
            <w:top w:val="none" w:sz="0" w:space="0" w:color="auto"/>
            <w:left w:val="none" w:sz="0" w:space="0" w:color="auto"/>
            <w:bottom w:val="none" w:sz="0" w:space="0" w:color="auto"/>
            <w:right w:val="none" w:sz="0" w:space="0" w:color="auto"/>
          </w:divBdr>
        </w:div>
        <w:div w:id="1752191546">
          <w:marLeft w:val="274"/>
          <w:marRight w:val="0"/>
          <w:marTop w:val="120"/>
          <w:marBottom w:val="0"/>
          <w:divBdr>
            <w:top w:val="none" w:sz="0" w:space="0" w:color="auto"/>
            <w:left w:val="none" w:sz="0" w:space="0" w:color="auto"/>
            <w:bottom w:val="none" w:sz="0" w:space="0" w:color="auto"/>
            <w:right w:val="none" w:sz="0" w:space="0" w:color="auto"/>
          </w:divBdr>
        </w:div>
        <w:div w:id="1878152686">
          <w:marLeft w:val="274"/>
          <w:marRight w:val="0"/>
          <w:marTop w:val="120"/>
          <w:marBottom w:val="0"/>
          <w:divBdr>
            <w:top w:val="none" w:sz="0" w:space="0" w:color="auto"/>
            <w:left w:val="none" w:sz="0" w:space="0" w:color="auto"/>
            <w:bottom w:val="none" w:sz="0" w:space="0" w:color="auto"/>
            <w:right w:val="none" w:sz="0" w:space="0" w:color="auto"/>
          </w:divBdr>
        </w:div>
        <w:div w:id="1952592060">
          <w:marLeft w:val="562"/>
          <w:marRight w:val="0"/>
          <w:marTop w:val="67"/>
          <w:marBottom w:val="0"/>
          <w:divBdr>
            <w:top w:val="none" w:sz="0" w:space="0" w:color="auto"/>
            <w:left w:val="none" w:sz="0" w:space="0" w:color="auto"/>
            <w:bottom w:val="none" w:sz="0" w:space="0" w:color="auto"/>
            <w:right w:val="none" w:sz="0" w:space="0" w:color="auto"/>
          </w:divBdr>
        </w:div>
        <w:div w:id="2095737491">
          <w:marLeft w:val="562"/>
          <w:marRight w:val="0"/>
          <w:marTop w:val="67"/>
          <w:marBottom w:val="0"/>
          <w:divBdr>
            <w:top w:val="none" w:sz="0" w:space="0" w:color="auto"/>
            <w:left w:val="none" w:sz="0" w:space="0" w:color="auto"/>
            <w:bottom w:val="none" w:sz="0" w:space="0" w:color="auto"/>
            <w:right w:val="none" w:sz="0" w:space="0" w:color="auto"/>
          </w:divBdr>
        </w:div>
      </w:divsChild>
    </w:div>
    <w:div w:id="1019939486">
      <w:bodyDiv w:val="1"/>
      <w:marLeft w:val="0"/>
      <w:marRight w:val="0"/>
      <w:marTop w:val="0"/>
      <w:marBottom w:val="0"/>
      <w:divBdr>
        <w:top w:val="none" w:sz="0" w:space="0" w:color="auto"/>
        <w:left w:val="none" w:sz="0" w:space="0" w:color="auto"/>
        <w:bottom w:val="none" w:sz="0" w:space="0" w:color="auto"/>
        <w:right w:val="none" w:sz="0" w:space="0" w:color="auto"/>
      </w:divBdr>
    </w:div>
    <w:div w:id="1032459863">
      <w:bodyDiv w:val="1"/>
      <w:marLeft w:val="0"/>
      <w:marRight w:val="0"/>
      <w:marTop w:val="0"/>
      <w:marBottom w:val="0"/>
      <w:divBdr>
        <w:top w:val="none" w:sz="0" w:space="0" w:color="auto"/>
        <w:left w:val="none" w:sz="0" w:space="0" w:color="auto"/>
        <w:bottom w:val="none" w:sz="0" w:space="0" w:color="auto"/>
        <w:right w:val="none" w:sz="0" w:space="0" w:color="auto"/>
      </w:divBdr>
      <w:divsChild>
        <w:div w:id="619999191">
          <w:marLeft w:val="446"/>
          <w:marRight w:val="0"/>
          <w:marTop w:val="0"/>
          <w:marBottom w:val="0"/>
          <w:divBdr>
            <w:top w:val="none" w:sz="0" w:space="0" w:color="auto"/>
            <w:left w:val="none" w:sz="0" w:space="0" w:color="auto"/>
            <w:bottom w:val="none" w:sz="0" w:space="0" w:color="auto"/>
            <w:right w:val="none" w:sz="0" w:space="0" w:color="auto"/>
          </w:divBdr>
        </w:div>
      </w:divsChild>
    </w:div>
    <w:div w:id="1034693820">
      <w:bodyDiv w:val="1"/>
      <w:marLeft w:val="0"/>
      <w:marRight w:val="0"/>
      <w:marTop w:val="0"/>
      <w:marBottom w:val="0"/>
      <w:divBdr>
        <w:top w:val="none" w:sz="0" w:space="0" w:color="auto"/>
        <w:left w:val="none" w:sz="0" w:space="0" w:color="auto"/>
        <w:bottom w:val="none" w:sz="0" w:space="0" w:color="auto"/>
        <w:right w:val="none" w:sz="0" w:space="0" w:color="auto"/>
      </w:divBdr>
    </w:div>
    <w:div w:id="1042830975">
      <w:bodyDiv w:val="1"/>
      <w:marLeft w:val="0"/>
      <w:marRight w:val="0"/>
      <w:marTop w:val="0"/>
      <w:marBottom w:val="0"/>
      <w:divBdr>
        <w:top w:val="none" w:sz="0" w:space="0" w:color="auto"/>
        <w:left w:val="none" w:sz="0" w:space="0" w:color="auto"/>
        <w:bottom w:val="none" w:sz="0" w:space="0" w:color="auto"/>
        <w:right w:val="none" w:sz="0" w:space="0" w:color="auto"/>
      </w:divBdr>
    </w:div>
    <w:div w:id="1166704109">
      <w:bodyDiv w:val="1"/>
      <w:marLeft w:val="0"/>
      <w:marRight w:val="0"/>
      <w:marTop w:val="0"/>
      <w:marBottom w:val="0"/>
      <w:divBdr>
        <w:top w:val="none" w:sz="0" w:space="0" w:color="auto"/>
        <w:left w:val="none" w:sz="0" w:space="0" w:color="auto"/>
        <w:bottom w:val="none" w:sz="0" w:space="0" w:color="auto"/>
        <w:right w:val="none" w:sz="0" w:space="0" w:color="auto"/>
      </w:divBdr>
      <w:divsChild>
        <w:div w:id="1673484009">
          <w:marLeft w:val="274"/>
          <w:marRight w:val="0"/>
          <w:marTop w:val="0"/>
          <w:marBottom w:val="0"/>
          <w:divBdr>
            <w:top w:val="none" w:sz="0" w:space="0" w:color="auto"/>
            <w:left w:val="none" w:sz="0" w:space="0" w:color="auto"/>
            <w:bottom w:val="none" w:sz="0" w:space="0" w:color="auto"/>
            <w:right w:val="none" w:sz="0" w:space="0" w:color="auto"/>
          </w:divBdr>
        </w:div>
      </w:divsChild>
    </w:div>
    <w:div w:id="1168790090">
      <w:bodyDiv w:val="1"/>
      <w:marLeft w:val="0"/>
      <w:marRight w:val="0"/>
      <w:marTop w:val="0"/>
      <w:marBottom w:val="0"/>
      <w:divBdr>
        <w:top w:val="none" w:sz="0" w:space="0" w:color="auto"/>
        <w:left w:val="none" w:sz="0" w:space="0" w:color="auto"/>
        <w:bottom w:val="none" w:sz="0" w:space="0" w:color="auto"/>
        <w:right w:val="none" w:sz="0" w:space="0" w:color="auto"/>
      </w:divBdr>
      <w:divsChild>
        <w:div w:id="1814561697">
          <w:marLeft w:val="547"/>
          <w:marRight w:val="0"/>
          <w:marTop w:val="0"/>
          <w:marBottom w:val="0"/>
          <w:divBdr>
            <w:top w:val="none" w:sz="0" w:space="0" w:color="auto"/>
            <w:left w:val="none" w:sz="0" w:space="0" w:color="auto"/>
            <w:bottom w:val="none" w:sz="0" w:space="0" w:color="auto"/>
            <w:right w:val="none" w:sz="0" w:space="0" w:color="auto"/>
          </w:divBdr>
        </w:div>
      </w:divsChild>
    </w:div>
    <w:div w:id="1171601887">
      <w:bodyDiv w:val="1"/>
      <w:marLeft w:val="0"/>
      <w:marRight w:val="0"/>
      <w:marTop w:val="0"/>
      <w:marBottom w:val="0"/>
      <w:divBdr>
        <w:top w:val="none" w:sz="0" w:space="0" w:color="auto"/>
        <w:left w:val="none" w:sz="0" w:space="0" w:color="auto"/>
        <w:bottom w:val="none" w:sz="0" w:space="0" w:color="auto"/>
        <w:right w:val="none" w:sz="0" w:space="0" w:color="auto"/>
      </w:divBdr>
    </w:div>
    <w:div w:id="1176765374">
      <w:bodyDiv w:val="1"/>
      <w:marLeft w:val="0"/>
      <w:marRight w:val="0"/>
      <w:marTop w:val="0"/>
      <w:marBottom w:val="0"/>
      <w:divBdr>
        <w:top w:val="none" w:sz="0" w:space="0" w:color="auto"/>
        <w:left w:val="none" w:sz="0" w:space="0" w:color="auto"/>
        <w:bottom w:val="none" w:sz="0" w:space="0" w:color="auto"/>
        <w:right w:val="none" w:sz="0" w:space="0" w:color="auto"/>
      </w:divBdr>
    </w:div>
    <w:div w:id="1199007545">
      <w:bodyDiv w:val="1"/>
      <w:marLeft w:val="0"/>
      <w:marRight w:val="0"/>
      <w:marTop w:val="0"/>
      <w:marBottom w:val="0"/>
      <w:divBdr>
        <w:top w:val="none" w:sz="0" w:space="0" w:color="auto"/>
        <w:left w:val="none" w:sz="0" w:space="0" w:color="auto"/>
        <w:bottom w:val="none" w:sz="0" w:space="0" w:color="auto"/>
        <w:right w:val="none" w:sz="0" w:space="0" w:color="auto"/>
      </w:divBdr>
      <w:divsChild>
        <w:div w:id="122232103">
          <w:marLeft w:val="547"/>
          <w:marRight w:val="0"/>
          <w:marTop w:val="0"/>
          <w:marBottom w:val="0"/>
          <w:divBdr>
            <w:top w:val="none" w:sz="0" w:space="0" w:color="auto"/>
            <w:left w:val="none" w:sz="0" w:space="0" w:color="auto"/>
            <w:bottom w:val="none" w:sz="0" w:space="0" w:color="auto"/>
            <w:right w:val="none" w:sz="0" w:space="0" w:color="auto"/>
          </w:divBdr>
        </w:div>
        <w:div w:id="794911556">
          <w:marLeft w:val="547"/>
          <w:marRight w:val="0"/>
          <w:marTop w:val="0"/>
          <w:marBottom w:val="0"/>
          <w:divBdr>
            <w:top w:val="none" w:sz="0" w:space="0" w:color="auto"/>
            <w:left w:val="none" w:sz="0" w:space="0" w:color="auto"/>
            <w:bottom w:val="none" w:sz="0" w:space="0" w:color="auto"/>
            <w:right w:val="none" w:sz="0" w:space="0" w:color="auto"/>
          </w:divBdr>
        </w:div>
      </w:divsChild>
    </w:div>
    <w:div w:id="1201238023">
      <w:bodyDiv w:val="1"/>
      <w:marLeft w:val="0"/>
      <w:marRight w:val="0"/>
      <w:marTop w:val="0"/>
      <w:marBottom w:val="0"/>
      <w:divBdr>
        <w:top w:val="none" w:sz="0" w:space="0" w:color="auto"/>
        <w:left w:val="none" w:sz="0" w:space="0" w:color="auto"/>
        <w:bottom w:val="none" w:sz="0" w:space="0" w:color="auto"/>
        <w:right w:val="none" w:sz="0" w:space="0" w:color="auto"/>
      </w:divBdr>
    </w:div>
    <w:div w:id="1235237646">
      <w:bodyDiv w:val="1"/>
      <w:marLeft w:val="0"/>
      <w:marRight w:val="0"/>
      <w:marTop w:val="0"/>
      <w:marBottom w:val="0"/>
      <w:divBdr>
        <w:top w:val="none" w:sz="0" w:space="0" w:color="auto"/>
        <w:left w:val="none" w:sz="0" w:space="0" w:color="auto"/>
        <w:bottom w:val="none" w:sz="0" w:space="0" w:color="auto"/>
        <w:right w:val="none" w:sz="0" w:space="0" w:color="auto"/>
      </w:divBdr>
    </w:div>
    <w:div w:id="1290360354">
      <w:bodyDiv w:val="1"/>
      <w:marLeft w:val="0"/>
      <w:marRight w:val="0"/>
      <w:marTop w:val="0"/>
      <w:marBottom w:val="0"/>
      <w:divBdr>
        <w:top w:val="none" w:sz="0" w:space="0" w:color="auto"/>
        <w:left w:val="none" w:sz="0" w:space="0" w:color="auto"/>
        <w:bottom w:val="none" w:sz="0" w:space="0" w:color="auto"/>
        <w:right w:val="none" w:sz="0" w:space="0" w:color="auto"/>
      </w:divBdr>
      <w:divsChild>
        <w:div w:id="1205101624">
          <w:marLeft w:val="547"/>
          <w:marRight w:val="0"/>
          <w:marTop w:val="0"/>
          <w:marBottom w:val="0"/>
          <w:divBdr>
            <w:top w:val="none" w:sz="0" w:space="0" w:color="auto"/>
            <w:left w:val="none" w:sz="0" w:space="0" w:color="auto"/>
            <w:bottom w:val="none" w:sz="0" w:space="0" w:color="auto"/>
            <w:right w:val="none" w:sz="0" w:space="0" w:color="auto"/>
          </w:divBdr>
        </w:div>
      </w:divsChild>
    </w:div>
    <w:div w:id="1325816953">
      <w:bodyDiv w:val="1"/>
      <w:marLeft w:val="0"/>
      <w:marRight w:val="0"/>
      <w:marTop w:val="0"/>
      <w:marBottom w:val="0"/>
      <w:divBdr>
        <w:top w:val="none" w:sz="0" w:space="0" w:color="auto"/>
        <w:left w:val="none" w:sz="0" w:space="0" w:color="auto"/>
        <w:bottom w:val="none" w:sz="0" w:space="0" w:color="auto"/>
        <w:right w:val="none" w:sz="0" w:space="0" w:color="auto"/>
      </w:divBdr>
    </w:div>
    <w:div w:id="1368946355">
      <w:bodyDiv w:val="1"/>
      <w:marLeft w:val="0"/>
      <w:marRight w:val="0"/>
      <w:marTop w:val="0"/>
      <w:marBottom w:val="0"/>
      <w:divBdr>
        <w:top w:val="none" w:sz="0" w:space="0" w:color="auto"/>
        <w:left w:val="none" w:sz="0" w:space="0" w:color="auto"/>
        <w:bottom w:val="none" w:sz="0" w:space="0" w:color="auto"/>
        <w:right w:val="none" w:sz="0" w:space="0" w:color="auto"/>
      </w:divBdr>
    </w:div>
    <w:div w:id="1373647447">
      <w:bodyDiv w:val="1"/>
      <w:marLeft w:val="0"/>
      <w:marRight w:val="0"/>
      <w:marTop w:val="0"/>
      <w:marBottom w:val="0"/>
      <w:divBdr>
        <w:top w:val="none" w:sz="0" w:space="0" w:color="auto"/>
        <w:left w:val="none" w:sz="0" w:space="0" w:color="auto"/>
        <w:bottom w:val="none" w:sz="0" w:space="0" w:color="auto"/>
        <w:right w:val="none" w:sz="0" w:space="0" w:color="auto"/>
      </w:divBdr>
      <w:divsChild>
        <w:div w:id="1198204736">
          <w:marLeft w:val="547"/>
          <w:marRight w:val="0"/>
          <w:marTop w:val="120"/>
          <w:marBottom w:val="0"/>
          <w:divBdr>
            <w:top w:val="none" w:sz="0" w:space="0" w:color="auto"/>
            <w:left w:val="none" w:sz="0" w:space="0" w:color="auto"/>
            <w:bottom w:val="none" w:sz="0" w:space="0" w:color="auto"/>
            <w:right w:val="none" w:sz="0" w:space="0" w:color="auto"/>
          </w:divBdr>
        </w:div>
      </w:divsChild>
    </w:div>
    <w:div w:id="1391885131">
      <w:bodyDiv w:val="1"/>
      <w:marLeft w:val="0"/>
      <w:marRight w:val="0"/>
      <w:marTop w:val="0"/>
      <w:marBottom w:val="0"/>
      <w:divBdr>
        <w:top w:val="none" w:sz="0" w:space="0" w:color="auto"/>
        <w:left w:val="none" w:sz="0" w:space="0" w:color="auto"/>
        <w:bottom w:val="none" w:sz="0" w:space="0" w:color="auto"/>
        <w:right w:val="none" w:sz="0" w:space="0" w:color="auto"/>
      </w:divBdr>
    </w:div>
    <w:div w:id="1442459042">
      <w:bodyDiv w:val="1"/>
      <w:marLeft w:val="0"/>
      <w:marRight w:val="0"/>
      <w:marTop w:val="0"/>
      <w:marBottom w:val="0"/>
      <w:divBdr>
        <w:top w:val="none" w:sz="0" w:space="0" w:color="auto"/>
        <w:left w:val="none" w:sz="0" w:space="0" w:color="auto"/>
        <w:bottom w:val="none" w:sz="0" w:space="0" w:color="auto"/>
        <w:right w:val="none" w:sz="0" w:space="0" w:color="auto"/>
      </w:divBdr>
      <w:divsChild>
        <w:div w:id="2143031993">
          <w:marLeft w:val="1166"/>
          <w:marRight w:val="0"/>
          <w:marTop w:val="240"/>
          <w:marBottom w:val="0"/>
          <w:divBdr>
            <w:top w:val="none" w:sz="0" w:space="0" w:color="auto"/>
            <w:left w:val="none" w:sz="0" w:space="0" w:color="auto"/>
            <w:bottom w:val="none" w:sz="0" w:space="0" w:color="auto"/>
            <w:right w:val="none" w:sz="0" w:space="0" w:color="auto"/>
          </w:divBdr>
        </w:div>
        <w:div w:id="544946858">
          <w:marLeft w:val="1872"/>
          <w:marRight w:val="0"/>
          <w:marTop w:val="240"/>
          <w:marBottom w:val="0"/>
          <w:divBdr>
            <w:top w:val="none" w:sz="0" w:space="0" w:color="auto"/>
            <w:left w:val="none" w:sz="0" w:space="0" w:color="auto"/>
            <w:bottom w:val="none" w:sz="0" w:space="0" w:color="auto"/>
            <w:right w:val="none" w:sz="0" w:space="0" w:color="auto"/>
          </w:divBdr>
        </w:div>
        <w:div w:id="2077431771">
          <w:marLeft w:val="1872"/>
          <w:marRight w:val="0"/>
          <w:marTop w:val="240"/>
          <w:marBottom w:val="0"/>
          <w:divBdr>
            <w:top w:val="none" w:sz="0" w:space="0" w:color="auto"/>
            <w:left w:val="none" w:sz="0" w:space="0" w:color="auto"/>
            <w:bottom w:val="none" w:sz="0" w:space="0" w:color="auto"/>
            <w:right w:val="none" w:sz="0" w:space="0" w:color="auto"/>
          </w:divBdr>
        </w:div>
        <w:div w:id="1862622825">
          <w:marLeft w:val="1872"/>
          <w:marRight w:val="0"/>
          <w:marTop w:val="240"/>
          <w:marBottom w:val="0"/>
          <w:divBdr>
            <w:top w:val="none" w:sz="0" w:space="0" w:color="auto"/>
            <w:left w:val="none" w:sz="0" w:space="0" w:color="auto"/>
            <w:bottom w:val="none" w:sz="0" w:space="0" w:color="auto"/>
            <w:right w:val="none" w:sz="0" w:space="0" w:color="auto"/>
          </w:divBdr>
        </w:div>
        <w:div w:id="109403163">
          <w:marLeft w:val="1166"/>
          <w:marRight w:val="0"/>
          <w:marTop w:val="240"/>
          <w:marBottom w:val="0"/>
          <w:divBdr>
            <w:top w:val="none" w:sz="0" w:space="0" w:color="auto"/>
            <w:left w:val="none" w:sz="0" w:space="0" w:color="auto"/>
            <w:bottom w:val="none" w:sz="0" w:space="0" w:color="auto"/>
            <w:right w:val="none" w:sz="0" w:space="0" w:color="auto"/>
          </w:divBdr>
        </w:div>
        <w:div w:id="888537981">
          <w:marLeft w:val="1872"/>
          <w:marRight w:val="0"/>
          <w:marTop w:val="240"/>
          <w:marBottom w:val="0"/>
          <w:divBdr>
            <w:top w:val="none" w:sz="0" w:space="0" w:color="auto"/>
            <w:left w:val="none" w:sz="0" w:space="0" w:color="auto"/>
            <w:bottom w:val="none" w:sz="0" w:space="0" w:color="auto"/>
            <w:right w:val="none" w:sz="0" w:space="0" w:color="auto"/>
          </w:divBdr>
        </w:div>
        <w:div w:id="859318513">
          <w:marLeft w:val="1872"/>
          <w:marRight w:val="0"/>
          <w:marTop w:val="240"/>
          <w:marBottom w:val="0"/>
          <w:divBdr>
            <w:top w:val="none" w:sz="0" w:space="0" w:color="auto"/>
            <w:left w:val="none" w:sz="0" w:space="0" w:color="auto"/>
            <w:bottom w:val="none" w:sz="0" w:space="0" w:color="auto"/>
            <w:right w:val="none" w:sz="0" w:space="0" w:color="auto"/>
          </w:divBdr>
        </w:div>
        <w:div w:id="275478882">
          <w:marLeft w:val="1166"/>
          <w:marRight w:val="0"/>
          <w:marTop w:val="240"/>
          <w:marBottom w:val="0"/>
          <w:divBdr>
            <w:top w:val="none" w:sz="0" w:space="0" w:color="auto"/>
            <w:left w:val="none" w:sz="0" w:space="0" w:color="auto"/>
            <w:bottom w:val="none" w:sz="0" w:space="0" w:color="auto"/>
            <w:right w:val="none" w:sz="0" w:space="0" w:color="auto"/>
          </w:divBdr>
        </w:div>
        <w:div w:id="752969723">
          <w:marLeft w:val="1454"/>
          <w:marRight w:val="0"/>
          <w:marTop w:val="240"/>
          <w:marBottom w:val="0"/>
          <w:divBdr>
            <w:top w:val="none" w:sz="0" w:space="0" w:color="auto"/>
            <w:left w:val="none" w:sz="0" w:space="0" w:color="auto"/>
            <w:bottom w:val="none" w:sz="0" w:space="0" w:color="auto"/>
            <w:right w:val="none" w:sz="0" w:space="0" w:color="auto"/>
          </w:divBdr>
        </w:div>
        <w:div w:id="1556356594">
          <w:marLeft w:val="1454"/>
          <w:marRight w:val="0"/>
          <w:marTop w:val="240"/>
          <w:marBottom w:val="0"/>
          <w:divBdr>
            <w:top w:val="none" w:sz="0" w:space="0" w:color="auto"/>
            <w:left w:val="none" w:sz="0" w:space="0" w:color="auto"/>
            <w:bottom w:val="none" w:sz="0" w:space="0" w:color="auto"/>
            <w:right w:val="none" w:sz="0" w:space="0" w:color="auto"/>
          </w:divBdr>
        </w:div>
      </w:divsChild>
    </w:div>
    <w:div w:id="1463116162">
      <w:bodyDiv w:val="1"/>
      <w:marLeft w:val="0"/>
      <w:marRight w:val="0"/>
      <w:marTop w:val="0"/>
      <w:marBottom w:val="0"/>
      <w:divBdr>
        <w:top w:val="none" w:sz="0" w:space="0" w:color="auto"/>
        <w:left w:val="none" w:sz="0" w:space="0" w:color="auto"/>
        <w:bottom w:val="none" w:sz="0" w:space="0" w:color="auto"/>
        <w:right w:val="none" w:sz="0" w:space="0" w:color="auto"/>
      </w:divBdr>
    </w:div>
    <w:div w:id="1484154835">
      <w:bodyDiv w:val="1"/>
      <w:marLeft w:val="0"/>
      <w:marRight w:val="0"/>
      <w:marTop w:val="0"/>
      <w:marBottom w:val="0"/>
      <w:divBdr>
        <w:top w:val="none" w:sz="0" w:space="0" w:color="auto"/>
        <w:left w:val="none" w:sz="0" w:space="0" w:color="auto"/>
        <w:bottom w:val="none" w:sz="0" w:space="0" w:color="auto"/>
        <w:right w:val="none" w:sz="0" w:space="0" w:color="auto"/>
      </w:divBdr>
    </w:div>
    <w:div w:id="1529563212">
      <w:bodyDiv w:val="1"/>
      <w:marLeft w:val="0"/>
      <w:marRight w:val="0"/>
      <w:marTop w:val="0"/>
      <w:marBottom w:val="0"/>
      <w:divBdr>
        <w:top w:val="none" w:sz="0" w:space="0" w:color="auto"/>
        <w:left w:val="none" w:sz="0" w:space="0" w:color="auto"/>
        <w:bottom w:val="none" w:sz="0" w:space="0" w:color="auto"/>
        <w:right w:val="none" w:sz="0" w:space="0" w:color="auto"/>
      </w:divBdr>
    </w:div>
    <w:div w:id="1537813742">
      <w:bodyDiv w:val="1"/>
      <w:marLeft w:val="0"/>
      <w:marRight w:val="0"/>
      <w:marTop w:val="0"/>
      <w:marBottom w:val="0"/>
      <w:divBdr>
        <w:top w:val="none" w:sz="0" w:space="0" w:color="auto"/>
        <w:left w:val="none" w:sz="0" w:space="0" w:color="auto"/>
        <w:bottom w:val="none" w:sz="0" w:space="0" w:color="auto"/>
        <w:right w:val="none" w:sz="0" w:space="0" w:color="auto"/>
      </w:divBdr>
      <w:divsChild>
        <w:div w:id="98575336">
          <w:marLeft w:val="274"/>
          <w:marRight w:val="0"/>
          <w:marTop w:val="0"/>
          <w:marBottom w:val="60"/>
          <w:divBdr>
            <w:top w:val="none" w:sz="0" w:space="0" w:color="auto"/>
            <w:left w:val="none" w:sz="0" w:space="0" w:color="auto"/>
            <w:bottom w:val="none" w:sz="0" w:space="0" w:color="auto"/>
            <w:right w:val="none" w:sz="0" w:space="0" w:color="auto"/>
          </w:divBdr>
        </w:div>
        <w:div w:id="160240964">
          <w:marLeft w:val="274"/>
          <w:marRight w:val="0"/>
          <w:marTop w:val="0"/>
          <w:marBottom w:val="60"/>
          <w:divBdr>
            <w:top w:val="none" w:sz="0" w:space="0" w:color="auto"/>
            <w:left w:val="none" w:sz="0" w:space="0" w:color="auto"/>
            <w:bottom w:val="none" w:sz="0" w:space="0" w:color="auto"/>
            <w:right w:val="none" w:sz="0" w:space="0" w:color="auto"/>
          </w:divBdr>
        </w:div>
      </w:divsChild>
    </w:div>
    <w:div w:id="1540584825">
      <w:bodyDiv w:val="1"/>
      <w:marLeft w:val="0"/>
      <w:marRight w:val="0"/>
      <w:marTop w:val="0"/>
      <w:marBottom w:val="0"/>
      <w:divBdr>
        <w:top w:val="none" w:sz="0" w:space="0" w:color="auto"/>
        <w:left w:val="none" w:sz="0" w:space="0" w:color="auto"/>
        <w:bottom w:val="none" w:sz="0" w:space="0" w:color="auto"/>
        <w:right w:val="none" w:sz="0" w:space="0" w:color="auto"/>
      </w:divBdr>
    </w:div>
    <w:div w:id="1567104803">
      <w:bodyDiv w:val="1"/>
      <w:marLeft w:val="0"/>
      <w:marRight w:val="0"/>
      <w:marTop w:val="0"/>
      <w:marBottom w:val="0"/>
      <w:divBdr>
        <w:top w:val="none" w:sz="0" w:space="0" w:color="auto"/>
        <w:left w:val="none" w:sz="0" w:space="0" w:color="auto"/>
        <w:bottom w:val="none" w:sz="0" w:space="0" w:color="auto"/>
        <w:right w:val="none" w:sz="0" w:space="0" w:color="auto"/>
      </w:divBdr>
      <w:divsChild>
        <w:div w:id="756942294">
          <w:marLeft w:val="446"/>
          <w:marRight w:val="0"/>
          <w:marTop w:val="0"/>
          <w:marBottom w:val="0"/>
          <w:divBdr>
            <w:top w:val="none" w:sz="0" w:space="0" w:color="auto"/>
            <w:left w:val="none" w:sz="0" w:space="0" w:color="auto"/>
            <w:bottom w:val="none" w:sz="0" w:space="0" w:color="auto"/>
            <w:right w:val="none" w:sz="0" w:space="0" w:color="auto"/>
          </w:divBdr>
        </w:div>
      </w:divsChild>
    </w:div>
    <w:div w:id="1592351313">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1">
          <w:marLeft w:val="1166"/>
          <w:marRight w:val="0"/>
          <w:marTop w:val="0"/>
          <w:marBottom w:val="0"/>
          <w:divBdr>
            <w:top w:val="none" w:sz="0" w:space="0" w:color="auto"/>
            <w:left w:val="none" w:sz="0" w:space="0" w:color="auto"/>
            <w:bottom w:val="none" w:sz="0" w:space="0" w:color="auto"/>
            <w:right w:val="none" w:sz="0" w:space="0" w:color="auto"/>
          </w:divBdr>
        </w:div>
      </w:divsChild>
    </w:div>
    <w:div w:id="1632709434">
      <w:bodyDiv w:val="1"/>
      <w:marLeft w:val="0"/>
      <w:marRight w:val="0"/>
      <w:marTop w:val="0"/>
      <w:marBottom w:val="0"/>
      <w:divBdr>
        <w:top w:val="none" w:sz="0" w:space="0" w:color="auto"/>
        <w:left w:val="none" w:sz="0" w:space="0" w:color="auto"/>
        <w:bottom w:val="none" w:sz="0" w:space="0" w:color="auto"/>
        <w:right w:val="none" w:sz="0" w:space="0" w:color="auto"/>
      </w:divBdr>
    </w:div>
    <w:div w:id="1642272242">
      <w:bodyDiv w:val="1"/>
      <w:marLeft w:val="0"/>
      <w:marRight w:val="0"/>
      <w:marTop w:val="0"/>
      <w:marBottom w:val="0"/>
      <w:divBdr>
        <w:top w:val="none" w:sz="0" w:space="0" w:color="auto"/>
        <w:left w:val="none" w:sz="0" w:space="0" w:color="auto"/>
        <w:bottom w:val="none" w:sz="0" w:space="0" w:color="auto"/>
        <w:right w:val="none" w:sz="0" w:space="0" w:color="auto"/>
      </w:divBdr>
      <w:divsChild>
        <w:div w:id="1868641566">
          <w:marLeft w:val="288"/>
          <w:marRight w:val="0"/>
          <w:marTop w:val="240"/>
          <w:marBottom w:val="0"/>
          <w:divBdr>
            <w:top w:val="none" w:sz="0" w:space="0" w:color="auto"/>
            <w:left w:val="none" w:sz="0" w:space="0" w:color="auto"/>
            <w:bottom w:val="none" w:sz="0" w:space="0" w:color="auto"/>
            <w:right w:val="none" w:sz="0" w:space="0" w:color="auto"/>
          </w:divBdr>
        </w:div>
      </w:divsChild>
    </w:div>
    <w:div w:id="1660039225">
      <w:bodyDiv w:val="1"/>
      <w:marLeft w:val="0"/>
      <w:marRight w:val="0"/>
      <w:marTop w:val="0"/>
      <w:marBottom w:val="0"/>
      <w:divBdr>
        <w:top w:val="none" w:sz="0" w:space="0" w:color="auto"/>
        <w:left w:val="none" w:sz="0" w:space="0" w:color="auto"/>
        <w:bottom w:val="none" w:sz="0" w:space="0" w:color="auto"/>
        <w:right w:val="none" w:sz="0" w:space="0" w:color="auto"/>
      </w:divBdr>
    </w:div>
    <w:div w:id="1681542986">
      <w:bodyDiv w:val="1"/>
      <w:marLeft w:val="0"/>
      <w:marRight w:val="0"/>
      <w:marTop w:val="0"/>
      <w:marBottom w:val="0"/>
      <w:divBdr>
        <w:top w:val="none" w:sz="0" w:space="0" w:color="auto"/>
        <w:left w:val="none" w:sz="0" w:space="0" w:color="auto"/>
        <w:bottom w:val="none" w:sz="0" w:space="0" w:color="auto"/>
        <w:right w:val="none" w:sz="0" w:space="0" w:color="auto"/>
      </w:divBdr>
    </w:div>
    <w:div w:id="1689788822">
      <w:bodyDiv w:val="1"/>
      <w:marLeft w:val="0"/>
      <w:marRight w:val="0"/>
      <w:marTop w:val="0"/>
      <w:marBottom w:val="0"/>
      <w:divBdr>
        <w:top w:val="none" w:sz="0" w:space="0" w:color="auto"/>
        <w:left w:val="none" w:sz="0" w:space="0" w:color="auto"/>
        <w:bottom w:val="none" w:sz="0" w:space="0" w:color="auto"/>
        <w:right w:val="none" w:sz="0" w:space="0" w:color="auto"/>
      </w:divBdr>
      <w:divsChild>
        <w:div w:id="42995481">
          <w:marLeft w:val="562"/>
          <w:marRight w:val="0"/>
          <w:marTop w:val="67"/>
          <w:marBottom w:val="0"/>
          <w:divBdr>
            <w:top w:val="none" w:sz="0" w:space="0" w:color="auto"/>
            <w:left w:val="none" w:sz="0" w:space="0" w:color="auto"/>
            <w:bottom w:val="none" w:sz="0" w:space="0" w:color="auto"/>
            <w:right w:val="none" w:sz="0" w:space="0" w:color="auto"/>
          </w:divBdr>
        </w:div>
        <w:div w:id="80105300">
          <w:marLeft w:val="562"/>
          <w:marRight w:val="0"/>
          <w:marTop w:val="67"/>
          <w:marBottom w:val="0"/>
          <w:divBdr>
            <w:top w:val="none" w:sz="0" w:space="0" w:color="auto"/>
            <w:left w:val="none" w:sz="0" w:space="0" w:color="auto"/>
            <w:bottom w:val="none" w:sz="0" w:space="0" w:color="auto"/>
            <w:right w:val="none" w:sz="0" w:space="0" w:color="auto"/>
          </w:divBdr>
        </w:div>
        <w:div w:id="147282843">
          <w:marLeft w:val="562"/>
          <w:marRight w:val="0"/>
          <w:marTop w:val="67"/>
          <w:marBottom w:val="0"/>
          <w:divBdr>
            <w:top w:val="none" w:sz="0" w:space="0" w:color="auto"/>
            <w:left w:val="none" w:sz="0" w:space="0" w:color="auto"/>
            <w:bottom w:val="none" w:sz="0" w:space="0" w:color="auto"/>
            <w:right w:val="none" w:sz="0" w:space="0" w:color="auto"/>
          </w:divBdr>
        </w:div>
        <w:div w:id="356779572">
          <w:marLeft w:val="274"/>
          <w:marRight w:val="0"/>
          <w:marTop w:val="120"/>
          <w:marBottom w:val="0"/>
          <w:divBdr>
            <w:top w:val="none" w:sz="0" w:space="0" w:color="auto"/>
            <w:left w:val="none" w:sz="0" w:space="0" w:color="auto"/>
            <w:bottom w:val="none" w:sz="0" w:space="0" w:color="auto"/>
            <w:right w:val="none" w:sz="0" w:space="0" w:color="auto"/>
          </w:divBdr>
        </w:div>
        <w:div w:id="1057511614">
          <w:marLeft w:val="562"/>
          <w:marRight w:val="0"/>
          <w:marTop w:val="67"/>
          <w:marBottom w:val="0"/>
          <w:divBdr>
            <w:top w:val="none" w:sz="0" w:space="0" w:color="auto"/>
            <w:left w:val="none" w:sz="0" w:space="0" w:color="auto"/>
            <w:bottom w:val="none" w:sz="0" w:space="0" w:color="auto"/>
            <w:right w:val="none" w:sz="0" w:space="0" w:color="auto"/>
          </w:divBdr>
        </w:div>
        <w:div w:id="1137337726">
          <w:marLeft w:val="274"/>
          <w:marRight w:val="0"/>
          <w:marTop w:val="120"/>
          <w:marBottom w:val="0"/>
          <w:divBdr>
            <w:top w:val="none" w:sz="0" w:space="0" w:color="auto"/>
            <w:left w:val="none" w:sz="0" w:space="0" w:color="auto"/>
            <w:bottom w:val="none" w:sz="0" w:space="0" w:color="auto"/>
            <w:right w:val="none" w:sz="0" w:space="0" w:color="auto"/>
          </w:divBdr>
        </w:div>
        <w:div w:id="1387101363">
          <w:marLeft w:val="274"/>
          <w:marRight w:val="0"/>
          <w:marTop w:val="120"/>
          <w:marBottom w:val="0"/>
          <w:divBdr>
            <w:top w:val="none" w:sz="0" w:space="0" w:color="auto"/>
            <w:left w:val="none" w:sz="0" w:space="0" w:color="auto"/>
            <w:bottom w:val="none" w:sz="0" w:space="0" w:color="auto"/>
            <w:right w:val="none" w:sz="0" w:space="0" w:color="auto"/>
          </w:divBdr>
        </w:div>
        <w:div w:id="1629631112">
          <w:marLeft w:val="562"/>
          <w:marRight w:val="0"/>
          <w:marTop w:val="67"/>
          <w:marBottom w:val="0"/>
          <w:divBdr>
            <w:top w:val="none" w:sz="0" w:space="0" w:color="auto"/>
            <w:left w:val="none" w:sz="0" w:space="0" w:color="auto"/>
            <w:bottom w:val="none" w:sz="0" w:space="0" w:color="auto"/>
            <w:right w:val="none" w:sz="0" w:space="0" w:color="auto"/>
          </w:divBdr>
        </w:div>
        <w:div w:id="1741365153">
          <w:marLeft w:val="274"/>
          <w:marRight w:val="0"/>
          <w:marTop w:val="120"/>
          <w:marBottom w:val="0"/>
          <w:divBdr>
            <w:top w:val="none" w:sz="0" w:space="0" w:color="auto"/>
            <w:left w:val="none" w:sz="0" w:space="0" w:color="auto"/>
            <w:bottom w:val="none" w:sz="0" w:space="0" w:color="auto"/>
            <w:right w:val="none" w:sz="0" w:space="0" w:color="auto"/>
          </w:divBdr>
        </w:div>
      </w:divsChild>
    </w:div>
    <w:div w:id="1694182219">
      <w:bodyDiv w:val="1"/>
      <w:marLeft w:val="0"/>
      <w:marRight w:val="0"/>
      <w:marTop w:val="0"/>
      <w:marBottom w:val="0"/>
      <w:divBdr>
        <w:top w:val="none" w:sz="0" w:space="0" w:color="auto"/>
        <w:left w:val="none" w:sz="0" w:space="0" w:color="auto"/>
        <w:bottom w:val="none" w:sz="0" w:space="0" w:color="auto"/>
        <w:right w:val="none" w:sz="0" w:space="0" w:color="auto"/>
      </w:divBdr>
      <w:divsChild>
        <w:div w:id="654770512">
          <w:marLeft w:val="547"/>
          <w:marRight w:val="0"/>
          <w:marTop w:val="0"/>
          <w:marBottom w:val="0"/>
          <w:divBdr>
            <w:top w:val="none" w:sz="0" w:space="0" w:color="auto"/>
            <w:left w:val="none" w:sz="0" w:space="0" w:color="auto"/>
            <w:bottom w:val="none" w:sz="0" w:space="0" w:color="auto"/>
            <w:right w:val="none" w:sz="0" w:space="0" w:color="auto"/>
          </w:divBdr>
        </w:div>
      </w:divsChild>
    </w:div>
    <w:div w:id="1714306994">
      <w:bodyDiv w:val="1"/>
      <w:marLeft w:val="0"/>
      <w:marRight w:val="0"/>
      <w:marTop w:val="0"/>
      <w:marBottom w:val="0"/>
      <w:divBdr>
        <w:top w:val="none" w:sz="0" w:space="0" w:color="auto"/>
        <w:left w:val="none" w:sz="0" w:space="0" w:color="auto"/>
        <w:bottom w:val="none" w:sz="0" w:space="0" w:color="auto"/>
        <w:right w:val="none" w:sz="0" w:space="0" w:color="auto"/>
      </w:divBdr>
    </w:div>
    <w:div w:id="1718627711">
      <w:bodyDiv w:val="1"/>
      <w:marLeft w:val="0"/>
      <w:marRight w:val="0"/>
      <w:marTop w:val="0"/>
      <w:marBottom w:val="0"/>
      <w:divBdr>
        <w:top w:val="none" w:sz="0" w:space="0" w:color="auto"/>
        <w:left w:val="none" w:sz="0" w:space="0" w:color="auto"/>
        <w:bottom w:val="none" w:sz="0" w:space="0" w:color="auto"/>
        <w:right w:val="none" w:sz="0" w:space="0" w:color="auto"/>
      </w:divBdr>
    </w:div>
    <w:div w:id="1719623536">
      <w:bodyDiv w:val="1"/>
      <w:marLeft w:val="0"/>
      <w:marRight w:val="0"/>
      <w:marTop w:val="0"/>
      <w:marBottom w:val="0"/>
      <w:divBdr>
        <w:top w:val="none" w:sz="0" w:space="0" w:color="auto"/>
        <w:left w:val="none" w:sz="0" w:space="0" w:color="auto"/>
        <w:bottom w:val="none" w:sz="0" w:space="0" w:color="auto"/>
        <w:right w:val="none" w:sz="0" w:space="0" w:color="auto"/>
      </w:divBdr>
    </w:div>
    <w:div w:id="1726949251">
      <w:bodyDiv w:val="1"/>
      <w:marLeft w:val="0"/>
      <w:marRight w:val="0"/>
      <w:marTop w:val="0"/>
      <w:marBottom w:val="0"/>
      <w:divBdr>
        <w:top w:val="none" w:sz="0" w:space="0" w:color="auto"/>
        <w:left w:val="none" w:sz="0" w:space="0" w:color="auto"/>
        <w:bottom w:val="none" w:sz="0" w:space="0" w:color="auto"/>
        <w:right w:val="none" w:sz="0" w:space="0" w:color="auto"/>
      </w:divBdr>
    </w:div>
    <w:div w:id="1735619016">
      <w:bodyDiv w:val="1"/>
      <w:marLeft w:val="0"/>
      <w:marRight w:val="0"/>
      <w:marTop w:val="0"/>
      <w:marBottom w:val="0"/>
      <w:divBdr>
        <w:top w:val="none" w:sz="0" w:space="0" w:color="auto"/>
        <w:left w:val="none" w:sz="0" w:space="0" w:color="auto"/>
        <w:bottom w:val="none" w:sz="0" w:space="0" w:color="auto"/>
        <w:right w:val="none" w:sz="0" w:space="0" w:color="auto"/>
      </w:divBdr>
    </w:div>
    <w:div w:id="1760521921">
      <w:bodyDiv w:val="1"/>
      <w:marLeft w:val="0"/>
      <w:marRight w:val="0"/>
      <w:marTop w:val="0"/>
      <w:marBottom w:val="0"/>
      <w:divBdr>
        <w:top w:val="none" w:sz="0" w:space="0" w:color="auto"/>
        <w:left w:val="none" w:sz="0" w:space="0" w:color="auto"/>
        <w:bottom w:val="none" w:sz="0" w:space="0" w:color="auto"/>
        <w:right w:val="none" w:sz="0" w:space="0" w:color="auto"/>
      </w:divBdr>
    </w:div>
    <w:div w:id="1785079335">
      <w:bodyDiv w:val="1"/>
      <w:marLeft w:val="0"/>
      <w:marRight w:val="0"/>
      <w:marTop w:val="0"/>
      <w:marBottom w:val="0"/>
      <w:divBdr>
        <w:top w:val="none" w:sz="0" w:space="0" w:color="auto"/>
        <w:left w:val="none" w:sz="0" w:space="0" w:color="auto"/>
        <w:bottom w:val="none" w:sz="0" w:space="0" w:color="auto"/>
        <w:right w:val="none" w:sz="0" w:space="0" w:color="auto"/>
      </w:divBdr>
    </w:div>
    <w:div w:id="1812819484">
      <w:bodyDiv w:val="1"/>
      <w:marLeft w:val="0"/>
      <w:marRight w:val="0"/>
      <w:marTop w:val="0"/>
      <w:marBottom w:val="0"/>
      <w:divBdr>
        <w:top w:val="none" w:sz="0" w:space="0" w:color="auto"/>
        <w:left w:val="none" w:sz="0" w:space="0" w:color="auto"/>
        <w:bottom w:val="none" w:sz="0" w:space="0" w:color="auto"/>
        <w:right w:val="none" w:sz="0" w:space="0" w:color="auto"/>
      </w:divBdr>
    </w:div>
    <w:div w:id="1828010810">
      <w:bodyDiv w:val="1"/>
      <w:marLeft w:val="0"/>
      <w:marRight w:val="0"/>
      <w:marTop w:val="0"/>
      <w:marBottom w:val="0"/>
      <w:divBdr>
        <w:top w:val="none" w:sz="0" w:space="0" w:color="auto"/>
        <w:left w:val="none" w:sz="0" w:space="0" w:color="auto"/>
        <w:bottom w:val="none" w:sz="0" w:space="0" w:color="auto"/>
        <w:right w:val="none" w:sz="0" w:space="0" w:color="auto"/>
      </w:divBdr>
    </w:div>
    <w:div w:id="1849754883">
      <w:bodyDiv w:val="1"/>
      <w:marLeft w:val="0"/>
      <w:marRight w:val="0"/>
      <w:marTop w:val="0"/>
      <w:marBottom w:val="0"/>
      <w:divBdr>
        <w:top w:val="none" w:sz="0" w:space="0" w:color="auto"/>
        <w:left w:val="none" w:sz="0" w:space="0" w:color="auto"/>
        <w:bottom w:val="none" w:sz="0" w:space="0" w:color="auto"/>
        <w:right w:val="none" w:sz="0" w:space="0" w:color="auto"/>
      </w:divBdr>
    </w:div>
    <w:div w:id="1852453361">
      <w:bodyDiv w:val="1"/>
      <w:marLeft w:val="0"/>
      <w:marRight w:val="0"/>
      <w:marTop w:val="0"/>
      <w:marBottom w:val="0"/>
      <w:divBdr>
        <w:top w:val="none" w:sz="0" w:space="0" w:color="auto"/>
        <w:left w:val="none" w:sz="0" w:space="0" w:color="auto"/>
        <w:bottom w:val="none" w:sz="0" w:space="0" w:color="auto"/>
        <w:right w:val="none" w:sz="0" w:space="0" w:color="auto"/>
      </w:divBdr>
      <w:divsChild>
        <w:div w:id="2098205643">
          <w:marLeft w:val="547"/>
          <w:marRight w:val="0"/>
          <w:marTop w:val="0"/>
          <w:marBottom w:val="0"/>
          <w:divBdr>
            <w:top w:val="none" w:sz="0" w:space="0" w:color="auto"/>
            <w:left w:val="none" w:sz="0" w:space="0" w:color="auto"/>
            <w:bottom w:val="none" w:sz="0" w:space="0" w:color="auto"/>
            <w:right w:val="none" w:sz="0" w:space="0" w:color="auto"/>
          </w:divBdr>
        </w:div>
      </w:divsChild>
    </w:div>
    <w:div w:id="1894535637">
      <w:bodyDiv w:val="1"/>
      <w:marLeft w:val="0"/>
      <w:marRight w:val="0"/>
      <w:marTop w:val="0"/>
      <w:marBottom w:val="0"/>
      <w:divBdr>
        <w:top w:val="none" w:sz="0" w:space="0" w:color="auto"/>
        <w:left w:val="none" w:sz="0" w:space="0" w:color="auto"/>
        <w:bottom w:val="none" w:sz="0" w:space="0" w:color="auto"/>
        <w:right w:val="none" w:sz="0" w:space="0" w:color="auto"/>
      </w:divBdr>
    </w:div>
    <w:div w:id="2000379712">
      <w:bodyDiv w:val="1"/>
      <w:marLeft w:val="0"/>
      <w:marRight w:val="0"/>
      <w:marTop w:val="0"/>
      <w:marBottom w:val="0"/>
      <w:divBdr>
        <w:top w:val="none" w:sz="0" w:space="0" w:color="auto"/>
        <w:left w:val="none" w:sz="0" w:space="0" w:color="auto"/>
        <w:bottom w:val="none" w:sz="0" w:space="0" w:color="auto"/>
        <w:right w:val="none" w:sz="0" w:space="0" w:color="auto"/>
      </w:divBdr>
      <w:divsChild>
        <w:div w:id="1201018024">
          <w:marLeft w:val="446"/>
          <w:marRight w:val="0"/>
          <w:marTop w:val="0"/>
          <w:marBottom w:val="0"/>
          <w:divBdr>
            <w:top w:val="none" w:sz="0" w:space="0" w:color="auto"/>
            <w:left w:val="none" w:sz="0" w:space="0" w:color="auto"/>
            <w:bottom w:val="none" w:sz="0" w:space="0" w:color="auto"/>
            <w:right w:val="none" w:sz="0" w:space="0" w:color="auto"/>
          </w:divBdr>
        </w:div>
      </w:divsChild>
    </w:div>
    <w:div w:id="2017345729">
      <w:bodyDiv w:val="1"/>
      <w:marLeft w:val="0"/>
      <w:marRight w:val="0"/>
      <w:marTop w:val="0"/>
      <w:marBottom w:val="0"/>
      <w:divBdr>
        <w:top w:val="none" w:sz="0" w:space="0" w:color="auto"/>
        <w:left w:val="none" w:sz="0" w:space="0" w:color="auto"/>
        <w:bottom w:val="none" w:sz="0" w:space="0" w:color="auto"/>
        <w:right w:val="none" w:sz="0" w:space="0" w:color="auto"/>
      </w:divBdr>
    </w:div>
    <w:div w:id="2018540154">
      <w:bodyDiv w:val="1"/>
      <w:marLeft w:val="0"/>
      <w:marRight w:val="0"/>
      <w:marTop w:val="0"/>
      <w:marBottom w:val="0"/>
      <w:divBdr>
        <w:top w:val="none" w:sz="0" w:space="0" w:color="auto"/>
        <w:left w:val="none" w:sz="0" w:space="0" w:color="auto"/>
        <w:bottom w:val="none" w:sz="0" w:space="0" w:color="auto"/>
        <w:right w:val="none" w:sz="0" w:space="0" w:color="auto"/>
      </w:divBdr>
    </w:div>
    <w:div w:id="2029671431">
      <w:bodyDiv w:val="1"/>
      <w:marLeft w:val="0"/>
      <w:marRight w:val="0"/>
      <w:marTop w:val="0"/>
      <w:marBottom w:val="0"/>
      <w:divBdr>
        <w:top w:val="none" w:sz="0" w:space="0" w:color="auto"/>
        <w:left w:val="none" w:sz="0" w:space="0" w:color="auto"/>
        <w:bottom w:val="none" w:sz="0" w:space="0" w:color="auto"/>
        <w:right w:val="none" w:sz="0" w:space="0" w:color="auto"/>
      </w:divBdr>
    </w:div>
    <w:div w:id="2038047488">
      <w:bodyDiv w:val="1"/>
      <w:marLeft w:val="0"/>
      <w:marRight w:val="0"/>
      <w:marTop w:val="0"/>
      <w:marBottom w:val="0"/>
      <w:divBdr>
        <w:top w:val="none" w:sz="0" w:space="0" w:color="auto"/>
        <w:left w:val="none" w:sz="0" w:space="0" w:color="auto"/>
        <w:bottom w:val="none" w:sz="0" w:space="0" w:color="auto"/>
        <w:right w:val="none" w:sz="0" w:space="0" w:color="auto"/>
      </w:divBdr>
    </w:div>
    <w:div w:id="2076589882">
      <w:bodyDiv w:val="1"/>
      <w:marLeft w:val="0"/>
      <w:marRight w:val="0"/>
      <w:marTop w:val="0"/>
      <w:marBottom w:val="0"/>
      <w:divBdr>
        <w:top w:val="none" w:sz="0" w:space="0" w:color="auto"/>
        <w:left w:val="none" w:sz="0" w:space="0" w:color="auto"/>
        <w:bottom w:val="none" w:sz="0" w:space="0" w:color="auto"/>
        <w:right w:val="none" w:sz="0" w:space="0" w:color="auto"/>
      </w:divBdr>
      <w:divsChild>
        <w:div w:id="238255626">
          <w:marLeft w:val="0"/>
          <w:marRight w:val="0"/>
          <w:marTop w:val="0"/>
          <w:marBottom w:val="0"/>
          <w:divBdr>
            <w:top w:val="none" w:sz="0" w:space="0" w:color="auto"/>
            <w:left w:val="none" w:sz="0" w:space="0" w:color="auto"/>
            <w:bottom w:val="none" w:sz="0" w:space="0" w:color="auto"/>
            <w:right w:val="none" w:sz="0" w:space="0" w:color="auto"/>
          </w:divBdr>
          <w:divsChild>
            <w:div w:id="1745831464">
              <w:marLeft w:val="0"/>
              <w:marRight w:val="0"/>
              <w:marTop w:val="0"/>
              <w:marBottom w:val="0"/>
              <w:divBdr>
                <w:top w:val="none" w:sz="0" w:space="0" w:color="auto"/>
                <w:left w:val="none" w:sz="0" w:space="0" w:color="auto"/>
                <w:bottom w:val="none" w:sz="0" w:space="0" w:color="auto"/>
                <w:right w:val="none" w:sz="0" w:space="0" w:color="auto"/>
              </w:divBdr>
              <w:divsChild>
                <w:div w:id="181625802">
                  <w:marLeft w:val="0"/>
                  <w:marRight w:val="0"/>
                  <w:marTop w:val="0"/>
                  <w:marBottom w:val="0"/>
                  <w:divBdr>
                    <w:top w:val="none" w:sz="0" w:space="0" w:color="auto"/>
                    <w:left w:val="none" w:sz="0" w:space="0" w:color="auto"/>
                    <w:bottom w:val="none" w:sz="0" w:space="0" w:color="auto"/>
                    <w:right w:val="none" w:sz="0" w:space="0" w:color="auto"/>
                  </w:divBdr>
                  <w:divsChild>
                    <w:div w:id="1528719908">
                      <w:marLeft w:val="0"/>
                      <w:marRight w:val="0"/>
                      <w:marTop w:val="0"/>
                      <w:marBottom w:val="0"/>
                      <w:divBdr>
                        <w:top w:val="none" w:sz="0" w:space="0" w:color="auto"/>
                        <w:left w:val="none" w:sz="0" w:space="0" w:color="auto"/>
                        <w:bottom w:val="none" w:sz="0" w:space="0" w:color="auto"/>
                        <w:right w:val="none" w:sz="0" w:space="0" w:color="auto"/>
                      </w:divBdr>
                      <w:divsChild>
                        <w:div w:id="851380270">
                          <w:marLeft w:val="0"/>
                          <w:marRight w:val="0"/>
                          <w:marTop w:val="0"/>
                          <w:marBottom w:val="0"/>
                          <w:divBdr>
                            <w:top w:val="none" w:sz="0" w:space="0" w:color="auto"/>
                            <w:left w:val="none" w:sz="0" w:space="0" w:color="auto"/>
                            <w:bottom w:val="none" w:sz="0" w:space="0" w:color="auto"/>
                            <w:right w:val="none" w:sz="0" w:space="0" w:color="auto"/>
                          </w:divBdr>
                          <w:divsChild>
                            <w:div w:id="453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7411">
      <w:bodyDiv w:val="1"/>
      <w:marLeft w:val="0"/>
      <w:marRight w:val="0"/>
      <w:marTop w:val="0"/>
      <w:marBottom w:val="0"/>
      <w:divBdr>
        <w:top w:val="none" w:sz="0" w:space="0" w:color="auto"/>
        <w:left w:val="none" w:sz="0" w:space="0" w:color="auto"/>
        <w:bottom w:val="none" w:sz="0" w:space="0" w:color="auto"/>
        <w:right w:val="none" w:sz="0" w:space="0" w:color="auto"/>
      </w:divBdr>
      <w:divsChild>
        <w:div w:id="823547716">
          <w:marLeft w:val="547"/>
          <w:marRight w:val="0"/>
          <w:marTop w:val="0"/>
          <w:marBottom w:val="0"/>
          <w:divBdr>
            <w:top w:val="none" w:sz="0" w:space="0" w:color="auto"/>
            <w:left w:val="none" w:sz="0" w:space="0" w:color="auto"/>
            <w:bottom w:val="none" w:sz="0" w:space="0" w:color="auto"/>
            <w:right w:val="none" w:sz="0" w:space="0" w:color="auto"/>
          </w:divBdr>
        </w:div>
      </w:divsChild>
    </w:div>
    <w:div w:id="2115515022">
      <w:bodyDiv w:val="1"/>
      <w:marLeft w:val="0"/>
      <w:marRight w:val="0"/>
      <w:marTop w:val="0"/>
      <w:marBottom w:val="0"/>
      <w:divBdr>
        <w:top w:val="none" w:sz="0" w:space="0" w:color="auto"/>
        <w:left w:val="none" w:sz="0" w:space="0" w:color="auto"/>
        <w:bottom w:val="none" w:sz="0" w:space="0" w:color="auto"/>
        <w:right w:val="none" w:sz="0" w:space="0" w:color="auto"/>
      </w:divBdr>
    </w:div>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atistiques.developpement-durable.gouv.fr/logement-construction/s/construction-logements.html" TargetMode="External"/><Relationship Id="rId4" Type="http://schemas.openxmlformats.org/officeDocument/2006/relationships/settings" Target="settings.xml"/><Relationship Id="rId9" Type="http://schemas.openxmlformats.org/officeDocument/2006/relationships/hyperlink" Target="http://webstat.banque-france.fr/en/browse.do?node=538432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B547-71E8-4AF4-9DDE-CE66F744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6483</Words>
  <Characters>35428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EMBARGOED UNTIL 0700 HOURS</vt:lpstr>
    </vt:vector>
  </TitlesOfParts>
  <Company>Grizli777</Company>
  <LinksUpToDate>false</LinksUpToDate>
  <CharactersWithSpaces>41828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0700 HOURS</dc:title>
  <dc:creator>woodward</dc:creator>
  <cp:lastModifiedBy>Levy, Sarah</cp:lastModifiedBy>
  <cp:revision>3</cp:revision>
  <cp:lastPrinted>2016-09-08T07:49:00Z</cp:lastPrinted>
  <dcterms:created xsi:type="dcterms:W3CDTF">2016-09-19T16:15:00Z</dcterms:created>
  <dcterms:modified xsi:type="dcterms:W3CDTF">2016-09-19T16:16:00Z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507887978</vt:i4>
  </property>
</Properties>
</file>