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54" w:rsidRPr="005F6EF2" w:rsidRDefault="002C7BD9" w:rsidP="00FB017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F6EF2">
        <w:rPr>
          <w:rFonts w:ascii="Arial" w:hAnsi="Arial" w:cs="Arial"/>
          <w:b/>
          <w:bCs/>
          <w:sz w:val="24"/>
          <w:szCs w:val="24"/>
        </w:rPr>
        <w:t xml:space="preserve">Q2 pre-close update for the 10 weeks to </w:t>
      </w:r>
      <w:r w:rsidR="0048684B">
        <w:rPr>
          <w:rFonts w:ascii="Arial" w:hAnsi="Arial" w:cs="Arial"/>
          <w:b/>
          <w:bCs/>
          <w:sz w:val="24"/>
          <w:szCs w:val="24"/>
        </w:rPr>
        <w:t>11</w:t>
      </w:r>
      <w:r w:rsidR="00A14633" w:rsidRPr="005F6E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6EF2">
        <w:rPr>
          <w:rFonts w:ascii="Arial" w:hAnsi="Arial" w:cs="Arial"/>
          <w:b/>
          <w:bCs/>
          <w:sz w:val="24"/>
          <w:szCs w:val="24"/>
        </w:rPr>
        <w:t>July 201</w:t>
      </w:r>
      <w:r w:rsidR="00A14633">
        <w:rPr>
          <w:rFonts w:ascii="Arial" w:hAnsi="Arial" w:cs="Arial"/>
          <w:b/>
          <w:bCs/>
          <w:sz w:val="24"/>
          <w:szCs w:val="24"/>
        </w:rPr>
        <w:t>5</w:t>
      </w:r>
    </w:p>
    <w:p w:rsidR="00D123A3" w:rsidRPr="005F6EF2" w:rsidRDefault="002C7BD9" w:rsidP="002C7B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EF2">
        <w:rPr>
          <w:rFonts w:ascii="Arial" w:hAnsi="Arial" w:cs="Arial"/>
          <w:b/>
          <w:bCs/>
          <w:sz w:val="24"/>
          <w:szCs w:val="24"/>
        </w:rPr>
        <w:t xml:space="preserve">Kingfisher reports total sales </w:t>
      </w:r>
      <w:r w:rsidR="009E399D" w:rsidRPr="005F6EF2">
        <w:rPr>
          <w:rFonts w:ascii="Arial" w:hAnsi="Arial" w:cs="Arial"/>
          <w:b/>
          <w:bCs/>
          <w:sz w:val="24"/>
          <w:szCs w:val="24"/>
        </w:rPr>
        <w:t>up</w:t>
      </w:r>
      <w:r w:rsidRPr="005F6EF2">
        <w:rPr>
          <w:rFonts w:ascii="Arial" w:hAnsi="Arial" w:cs="Arial"/>
          <w:b/>
          <w:bCs/>
          <w:sz w:val="24"/>
          <w:szCs w:val="24"/>
        </w:rPr>
        <w:t xml:space="preserve"> </w:t>
      </w:r>
      <w:r w:rsidR="00EE1403">
        <w:rPr>
          <w:rFonts w:ascii="Arial" w:hAnsi="Arial" w:cs="Arial"/>
          <w:b/>
          <w:bCs/>
          <w:sz w:val="24"/>
          <w:szCs w:val="24"/>
        </w:rPr>
        <w:t>4.</w:t>
      </w:r>
      <w:r w:rsidR="0029004A">
        <w:rPr>
          <w:rFonts w:ascii="Arial" w:hAnsi="Arial" w:cs="Arial"/>
          <w:b/>
          <w:bCs/>
          <w:sz w:val="24"/>
          <w:szCs w:val="24"/>
        </w:rPr>
        <w:t>8</w:t>
      </w:r>
      <w:r w:rsidRPr="005F6EF2">
        <w:rPr>
          <w:rFonts w:ascii="Arial" w:hAnsi="Arial" w:cs="Arial"/>
          <w:b/>
          <w:bCs/>
          <w:sz w:val="24"/>
          <w:szCs w:val="24"/>
        </w:rPr>
        <w:t>%</w:t>
      </w:r>
      <w:r w:rsidR="00BC07E0" w:rsidRPr="005F6EF2">
        <w:rPr>
          <w:rFonts w:ascii="Arial" w:hAnsi="Arial" w:cs="Arial"/>
          <w:b/>
          <w:bCs/>
          <w:sz w:val="24"/>
          <w:szCs w:val="24"/>
        </w:rPr>
        <w:t xml:space="preserve"> (</w:t>
      </w:r>
      <w:r w:rsidR="00BE30B8">
        <w:rPr>
          <w:rFonts w:ascii="Arial" w:hAnsi="Arial" w:cs="Arial"/>
          <w:b/>
          <w:bCs/>
          <w:sz w:val="24"/>
          <w:szCs w:val="24"/>
        </w:rPr>
        <w:t>+</w:t>
      </w:r>
      <w:r w:rsidR="00EE1403">
        <w:rPr>
          <w:rFonts w:ascii="Arial" w:hAnsi="Arial" w:cs="Arial"/>
          <w:b/>
          <w:bCs/>
          <w:sz w:val="24"/>
          <w:szCs w:val="24"/>
        </w:rPr>
        <w:t>3.5</w:t>
      </w:r>
      <w:r w:rsidR="00BC07E0" w:rsidRPr="005F6EF2">
        <w:rPr>
          <w:rFonts w:ascii="Arial" w:hAnsi="Arial" w:cs="Arial"/>
          <w:b/>
          <w:bCs/>
          <w:sz w:val="24"/>
          <w:szCs w:val="24"/>
        </w:rPr>
        <w:t>% LFL)</w:t>
      </w:r>
      <w:r w:rsidRPr="005F6EF2">
        <w:rPr>
          <w:rFonts w:ascii="Arial" w:hAnsi="Arial" w:cs="Arial"/>
          <w:b/>
          <w:bCs/>
          <w:sz w:val="24"/>
          <w:szCs w:val="24"/>
        </w:rPr>
        <w:t xml:space="preserve"> in constant currencies</w:t>
      </w:r>
      <w:r w:rsidR="00BC203D" w:rsidRPr="005F6EF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E535C" w:rsidRDefault="005E535C" w:rsidP="00B7579E">
      <w:pPr>
        <w:jc w:val="center"/>
        <w:rPr>
          <w:rFonts w:ascii="Arial" w:hAnsi="Arial" w:cs="Arial"/>
          <w:b/>
          <w:i/>
          <w:sz w:val="24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1640"/>
        <w:gridCol w:w="1643"/>
        <w:gridCol w:w="1643"/>
        <w:gridCol w:w="1643"/>
      </w:tblGrid>
      <w:tr w:rsidR="005E535C" w:rsidRPr="00AD2A62" w:rsidTr="00B53777">
        <w:trPr>
          <w:trHeight w:val="427"/>
        </w:trPr>
        <w:tc>
          <w:tcPr>
            <w:tcW w:w="1598" w:type="pct"/>
            <w:tcBorders>
              <w:left w:val="nil"/>
              <w:bottom w:val="nil"/>
            </w:tcBorders>
            <w:shd w:val="clear" w:color="auto" w:fill="auto"/>
          </w:tcPr>
          <w:p w:rsidR="00BC38B6" w:rsidRPr="00AD2A62" w:rsidRDefault="00BC38B6" w:rsidP="00F7178D">
            <w:pPr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 xml:space="preserve">Sales* </w:t>
            </w:r>
          </w:p>
          <w:p w:rsidR="005E535C" w:rsidRPr="00AD2A62" w:rsidRDefault="00BC38B6" w:rsidP="00F7178D">
            <w:pPr>
              <w:jc w:val="left"/>
              <w:rPr>
                <w:rFonts w:ascii="Arial" w:hAnsi="Arial" w:cs="Arial"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In c</w:t>
            </w:r>
            <w:r w:rsidR="005E535C" w:rsidRPr="00AD2A62">
              <w:rPr>
                <w:rFonts w:ascii="Arial" w:hAnsi="Arial" w:cs="Arial"/>
                <w:b/>
                <w:sz w:val="24"/>
                <w:szCs w:val="22"/>
              </w:rPr>
              <w:t>onstant currencies</w:t>
            </w:r>
          </w:p>
        </w:tc>
        <w:tc>
          <w:tcPr>
            <w:tcW w:w="17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8B6" w:rsidRPr="00AD2A62" w:rsidRDefault="00BC38B6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5E535C" w:rsidRPr="00AD2A62" w:rsidRDefault="005E535C" w:rsidP="004E735F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1</w:t>
            </w:r>
            <w:r w:rsidR="00C6289C" w:rsidRPr="00AD2A62">
              <w:rPr>
                <w:rFonts w:ascii="Arial" w:hAnsi="Arial" w:cs="Arial"/>
                <w:b/>
                <w:sz w:val="24"/>
                <w:szCs w:val="22"/>
              </w:rPr>
              <w:t>0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 xml:space="preserve"> weeks to </w:t>
            </w:r>
            <w:r w:rsidR="00C03E90">
              <w:rPr>
                <w:rFonts w:ascii="Arial" w:hAnsi="Arial" w:cs="Arial"/>
                <w:b/>
                <w:sz w:val="24"/>
                <w:szCs w:val="22"/>
              </w:rPr>
              <w:t>11</w:t>
            </w:r>
            <w:r w:rsidR="00C6289C" w:rsidRPr="00AD2A62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July 201</w:t>
            </w:r>
            <w:r w:rsidR="00B53777" w:rsidRPr="00AD2A62">
              <w:rPr>
                <w:rFonts w:ascii="Arial" w:hAnsi="Arial" w:cs="Arial"/>
                <w:b/>
                <w:sz w:val="24"/>
                <w:szCs w:val="22"/>
              </w:rPr>
              <w:t>5</w:t>
            </w:r>
          </w:p>
        </w:tc>
        <w:tc>
          <w:tcPr>
            <w:tcW w:w="1702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38B6" w:rsidRPr="00AD2A62" w:rsidRDefault="00BC38B6" w:rsidP="00F7178D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5E535C" w:rsidRPr="00AD2A62" w:rsidRDefault="00586BE0" w:rsidP="004E735F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2</w:t>
            </w:r>
            <w:r w:rsidR="00E52DBF" w:rsidRPr="00AD2A62">
              <w:rPr>
                <w:rFonts w:ascii="Arial" w:hAnsi="Arial" w:cs="Arial"/>
                <w:b/>
                <w:sz w:val="24"/>
                <w:szCs w:val="22"/>
              </w:rPr>
              <w:t>3</w:t>
            </w:r>
            <w:r w:rsidR="005E535C" w:rsidRPr="00AD2A62">
              <w:rPr>
                <w:rFonts w:ascii="Arial" w:hAnsi="Arial" w:cs="Arial"/>
                <w:b/>
                <w:sz w:val="24"/>
                <w:szCs w:val="22"/>
              </w:rPr>
              <w:t xml:space="preserve"> weeks to </w:t>
            </w:r>
            <w:r w:rsidR="009520E6">
              <w:rPr>
                <w:rFonts w:ascii="Arial" w:hAnsi="Arial" w:cs="Arial"/>
                <w:b/>
                <w:sz w:val="24"/>
                <w:szCs w:val="22"/>
              </w:rPr>
              <w:t>11</w:t>
            </w:r>
            <w:r w:rsidR="009C34D3" w:rsidRPr="00AD2A62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5E535C" w:rsidRPr="00AD2A62">
              <w:rPr>
                <w:rFonts w:ascii="Arial" w:hAnsi="Arial" w:cs="Arial"/>
                <w:b/>
                <w:sz w:val="24"/>
                <w:szCs w:val="22"/>
              </w:rPr>
              <w:t>July 201</w:t>
            </w:r>
            <w:r w:rsidR="00C82D48">
              <w:rPr>
                <w:rFonts w:ascii="Arial" w:hAnsi="Arial" w:cs="Arial"/>
                <w:b/>
                <w:sz w:val="24"/>
                <w:szCs w:val="22"/>
              </w:rPr>
              <w:t>5</w:t>
            </w:r>
          </w:p>
        </w:tc>
      </w:tr>
      <w:tr w:rsidR="005E535C" w:rsidRPr="00AD2A62" w:rsidTr="00B53777">
        <w:trPr>
          <w:trHeight w:val="545"/>
        </w:trPr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E535C" w:rsidRPr="00AD2A62" w:rsidRDefault="005E535C" w:rsidP="004D01DC">
            <w:pPr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</w:p>
          <w:p w:rsidR="005E535C" w:rsidRPr="00AD2A62" w:rsidRDefault="005E535C" w:rsidP="004D01DC">
            <w:pPr>
              <w:jc w:val="left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849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E535C" w:rsidRPr="00AD2A62" w:rsidRDefault="005E535C" w:rsidP="004D01DC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% Total</w:t>
            </w:r>
          </w:p>
          <w:p w:rsidR="005E535C" w:rsidRPr="00AD2A62" w:rsidRDefault="005E535C" w:rsidP="00F7178D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Change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35C" w:rsidRPr="00AD2A62" w:rsidRDefault="005E535C" w:rsidP="004D01DC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% LFL</w:t>
            </w:r>
            <w:r w:rsidR="00E80687" w:rsidRPr="00AD2A62">
              <w:rPr>
                <w:rFonts w:ascii="Arial" w:hAnsi="Arial" w:cs="Arial"/>
                <w:b/>
                <w:sz w:val="24"/>
                <w:szCs w:val="22"/>
              </w:rPr>
              <w:t>*</w:t>
            </w:r>
          </w:p>
          <w:p w:rsidR="005E535C" w:rsidRPr="00AD2A62" w:rsidRDefault="005E535C" w:rsidP="004D01DC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 xml:space="preserve"> Change</w:t>
            </w:r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E535C" w:rsidRPr="00AD2A62" w:rsidRDefault="005E535C" w:rsidP="004D01DC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% Total</w:t>
            </w:r>
          </w:p>
          <w:p w:rsidR="005E535C" w:rsidRPr="00AD2A62" w:rsidRDefault="005E535C" w:rsidP="004D01DC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 xml:space="preserve">Change </w:t>
            </w:r>
          </w:p>
        </w:tc>
        <w:tc>
          <w:tcPr>
            <w:tcW w:w="8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535C" w:rsidRPr="00AD2A62" w:rsidRDefault="005E535C" w:rsidP="004D01DC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% LFL</w:t>
            </w:r>
          </w:p>
          <w:p w:rsidR="005E535C" w:rsidRPr="00AD2A62" w:rsidRDefault="005E535C" w:rsidP="004D01DC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 xml:space="preserve">Change </w:t>
            </w:r>
          </w:p>
        </w:tc>
      </w:tr>
      <w:tr w:rsidR="005E535C" w:rsidRPr="00AD2A62" w:rsidTr="001B55B4">
        <w:trPr>
          <w:trHeight w:hRule="exact" w:val="312"/>
        </w:trPr>
        <w:tc>
          <w:tcPr>
            <w:tcW w:w="1598" w:type="pct"/>
            <w:tcBorders>
              <w:left w:val="nil"/>
              <w:bottom w:val="nil"/>
            </w:tcBorders>
            <w:shd w:val="clear" w:color="auto" w:fill="auto"/>
          </w:tcPr>
          <w:p w:rsidR="005E535C" w:rsidRPr="00AD2A62" w:rsidRDefault="005E535C" w:rsidP="004D01DC">
            <w:pPr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France</w:t>
            </w:r>
            <w:r w:rsidR="00E80687" w:rsidRPr="00AD2A62">
              <w:rPr>
                <w:rFonts w:ascii="Arial" w:hAnsi="Arial" w:cs="Arial"/>
                <w:b/>
                <w:sz w:val="24"/>
                <w:szCs w:val="22"/>
              </w:rPr>
              <w:t>*</w:t>
            </w:r>
          </w:p>
        </w:tc>
        <w:tc>
          <w:tcPr>
            <w:tcW w:w="849" w:type="pct"/>
            <w:tcBorders>
              <w:bottom w:val="nil"/>
              <w:right w:val="nil"/>
            </w:tcBorders>
            <w:shd w:val="clear" w:color="auto" w:fill="auto"/>
          </w:tcPr>
          <w:p w:rsidR="005E535C" w:rsidRPr="00AD2A62" w:rsidRDefault="00B53777" w:rsidP="000C726D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 w:rsidR="00EE1403">
              <w:rPr>
                <w:rFonts w:ascii="Arial" w:hAnsi="Arial" w:cs="Arial"/>
                <w:b/>
                <w:sz w:val="24"/>
                <w:szCs w:val="22"/>
              </w:rPr>
              <w:t>2.6</w:t>
            </w:r>
            <w:r w:rsidR="00C022E0"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535C" w:rsidRPr="00AD2A62" w:rsidRDefault="00EE1403" w:rsidP="00F4338A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+1.3%</w:t>
            </w:r>
          </w:p>
        </w:tc>
        <w:tc>
          <w:tcPr>
            <w:tcW w:w="851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535C" w:rsidRPr="00AD2A62" w:rsidRDefault="00C022E0" w:rsidP="000B436A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 w:rsidR="00B34576">
              <w:rPr>
                <w:rFonts w:ascii="Arial" w:hAnsi="Arial" w:cs="Arial"/>
                <w:b/>
                <w:sz w:val="24"/>
                <w:szCs w:val="22"/>
              </w:rPr>
              <w:t>1</w:t>
            </w:r>
            <w:r w:rsidR="000B436A">
              <w:rPr>
                <w:rFonts w:ascii="Arial" w:hAnsi="Arial" w:cs="Arial"/>
                <w:b/>
                <w:sz w:val="24"/>
                <w:szCs w:val="22"/>
              </w:rPr>
              <w:t>.</w:t>
            </w:r>
            <w:r w:rsidR="00B34576">
              <w:rPr>
                <w:rFonts w:ascii="Arial" w:hAnsi="Arial" w:cs="Arial"/>
                <w:b/>
                <w:sz w:val="24"/>
                <w:szCs w:val="22"/>
              </w:rPr>
              <w:t>4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535C" w:rsidRPr="00AD2A62" w:rsidRDefault="000B436A" w:rsidP="009D1630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(0.</w:t>
            </w:r>
            <w:r w:rsidR="00B34576">
              <w:rPr>
                <w:rFonts w:ascii="Arial" w:hAnsi="Arial" w:cs="Arial"/>
                <w:b/>
                <w:sz w:val="24"/>
                <w:szCs w:val="22"/>
              </w:rPr>
              <w:t>1</w:t>
            </w:r>
            <w:r w:rsidR="009D1630">
              <w:rPr>
                <w:rFonts w:ascii="Arial" w:hAnsi="Arial" w:cs="Arial"/>
                <w:b/>
                <w:sz w:val="24"/>
                <w:szCs w:val="22"/>
              </w:rPr>
              <w:t>)</w:t>
            </w:r>
            <w:r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</w:tr>
      <w:tr w:rsidR="00AD2A62" w:rsidRPr="004C3B62" w:rsidTr="001B55B4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4C3B62" w:rsidRDefault="00AD2A62" w:rsidP="004C3B62">
            <w:pPr>
              <w:jc w:val="left"/>
              <w:rPr>
                <w:rFonts w:ascii="Arial" w:hAnsi="Arial" w:cs="Arial"/>
                <w:iCs/>
                <w:sz w:val="24"/>
                <w:szCs w:val="22"/>
              </w:rPr>
            </w:pPr>
            <w:r w:rsidRPr="004C3B62">
              <w:rPr>
                <w:rFonts w:ascii="Arial" w:hAnsi="Arial" w:cs="Arial"/>
                <w:iCs/>
                <w:sz w:val="24"/>
                <w:szCs w:val="22"/>
              </w:rPr>
              <w:t>- Castorama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4C3B62" w:rsidRDefault="000C726D" w:rsidP="00C03E9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</w:t>
            </w:r>
            <w:r w:rsidR="00EE1403">
              <w:rPr>
                <w:rFonts w:ascii="Arial" w:hAnsi="Arial" w:cs="Arial"/>
                <w:sz w:val="24"/>
                <w:szCs w:val="22"/>
              </w:rPr>
              <w:t>1.6</w:t>
            </w:r>
            <w:r w:rsidR="00AD2A62"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4C3B62" w:rsidRDefault="00AD2A62" w:rsidP="000C726D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</w:t>
            </w:r>
            <w:r w:rsidR="00EE1403">
              <w:rPr>
                <w:rFonts w:ascii="Arial" w:hAnsi="Arial" w:cs="Arial"/>
                <w:sz w:val="24"/>
                <w:szCs w:val="22"/>
              </w:rPr>
              <w:t>1.7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4C3B62" w:rsidRDefault="00B34576" w:rsidP="00AD2A62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</w:t>
            </w:r>
            <w:r w:rsidR="000B436A">
              <w:rPr>
                <w:rFonts w:ascii="Arial" w:hAnsi="Arial" w:cs="Arial"/>
                <w:sz w:val="24"/>
                <w:szCs w:val="22"/>
              </w:rPr>
              <w:t>0.</w:t>
            </w:r>
            <w:r>
              <w:rPr>
                <w:rFonts w:ascii="Arial" w:hAnsi="Arial" w:cs="Arial"/>
                <w:sz w:val="24"/>
                <w:szCs w:val="22"/>
              </w:rPr>
              <w:t>4</w:t>
            </w:r>
            <w:r w:rsidR="000B436A"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A62" w:rsidRPr="004C3B62" w:rsidRDefault="00B34576" w:rsidP="000B436A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</w:t>
            </w:r>
            <w:r w:rsidR="000B436A">
              <w:rPr>
                <w:rFonts w:ascii="Arial" w:hAnsi="Arial" w:cs="Arial"/>
                <w:sz w:val="24"/>
                <w:szCs w:val="22"/>
              </w:rPr>
              <w:t>0.</w:t>
            </w:r>
            <w:r>
              <w:rPr>
                <w:rFonts w:ascii="Arial" w:hAnsi="Arial" w:cs="Arial"/>
                <w:sz w:val="24"/>
                <w:szCs w:val="22"/>
              </w:rPr>
              <w:t>5</w:t>
            </w:r>
            <w:r w:rsidR="000B436A"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</w:tr>
      <w:tr w:rsidR="00AD2A62" w:rsidRPr="004C3B62" w:rsidTr="001B55B4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4C3B62" w:rsidRDefault="00AD2A62" w:rsidP="004C3B62">
            <w:pPr>
              <w:jc w:val="left"/>
              <w:rPr>
                <w:rFonts w:ascii="Arial" w:hAnsi="Arial" w:cs="Arial"/>
                <w:iCs/>
                <w:sz w:val="24"/>
                <w:szCs w:val="22"/>
              </w:rPr>
            </w:pPr>
            <w:r w:rsidRPr="004C3B62">
              <w:rPr>
                <w:rFonts w:ascii="Arial" w:hAnsi="Arial" w:cs="Arial"/>
                <w:iCs/>
                <w:sz w:val="24"/>
                <w:szCs w:val="22"/>
              </w:rPr>
              <w:t>- Brico Dépôt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4C3B62" w:rsidRDefault="00AD2A62" w:rsidP="00C03E9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</w:t>
            </w:r>
            <w:r w:rsidR="00EE1403">
              <w:rPr>
                <w:rFonts w:ascii="Arial" w:hAnsi="Arial" w:cs="Arial"/>
                <w:sz w:val="24"/>
                <w:szCs w:val="22"/>
              </w:rPr>
              <w:t>4.1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4C3B62" w:rsidRDefault="00EE1403" w:rsidP="00AD2A62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+0.7</w:t>
            </w:r>
            <w:r w:rsidR="00AD2A62"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4C3B62" w:rsidRDefault="00BE30B8" w:rsidP="002F2C0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</w:t>
            </w:r>
            <w:r w:rsidR="00B34576">
              <w:rPr>
                <w:rFonts w:ascii="Arial" w:hAnsi="Arial" w:cs="Arial"/>
                <w:sz w:val="24"/>
                <w:szCs w:val="22"/>
              </w:rPr>
              <w:t>2.7</w:t>
            </w:r>
            <w:r w:rsidR="00AD2A62"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576" w:rsidRDefault="000B436A" w:rsidP="002F2C0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(</w:t>
            </w:r>
            <w:r w:rsidR="00B34576">
              <w:rPr>
                <w:rFonts w:ascii="Arial" w:hAnsi="Arial" w:cs="Arial"/>
                <w:sz w:val="24"/>
                <w:szCs w:val="22"/>
              </w:rPr>
              <w:t>0</w:t>
            </w:r>
            <w:r>
              <w:rPr>
                <w:rFonts w:ascii="Arial" w:hAnsi="Arial" w:cs="Arial"/>
                <w:sz w:val="24"/>
                <w:szCs w:val="22"/>
              </w:rPr>
              <w:t>.</w:t>
            </w:r>
            <w:r w:rsidR="00B34576">
              <w:rPr>
                <w:rFonts w:ascii="Arial" w:hAnsi="Arial" w:cs="Arial"/>
                <w:sz w:val="24"/>
                <w:szCs w:val="22"/>
              </w:rPr>
              <w:t>7</w:t>
            </w:r>
            <w:r w:rsidR="009D1630">
              <w:rPr>
                <w:rFonts w:ascii="Arial" w:hAnsi="Arial" w:cs="Arial"/>
                <w:sz w:val="24"/>
                <w:szCs w:val="22"/>
              </w:rPr>
              <w:t>)</w:t>
            </w:r>
            <w:r w:rsidR="00AD2A62" w:rsidRPr="004C3B62">
              <w:rPr>
                <w:rFonts w:ascii="Arial" w:hAnsi="Arial" w:cs="Arial"/>
                <w:sz w:val="24"/>
                <w:szCs w:val="22"/>
              </w:rPr>
              <w:t>%</w:t>
            </w:r>
            <w:r w:rsidR="00B34576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:rsidR="00AD2A62" w:rsidRPr="004C3B62" w:rsidRDefault="00AD2A62" w:rsidP="002F2C0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D2A62" w:rsidRPr="00AD2A62" w:rsidTr="00B53777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D2A62" w:rsidRPr="00AD2A62" w:rsidRDefault="00AD2A62" w:rsidP="00AD2A62">
            <w:pPr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UK &amp; Ireland*</w:t>
            </w:r>
          </w:p>
        </w:tc>
        <w:tc>
          <w:tcPr>
            <w:tcW w:w="8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A62" w:rsidRPr="00AD2A62" w:rsidRDefault="00AD2A62" w:rsidP="00C03E90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+6.</w:t>
            </w:r>
            <w:r w:rsidR="008F0BC7">
              <w:rPr>
                <w:rFonts w:ascii="Arial" w:hAnsi="Arial" w:cs="Arial"/>
                <w:b/>
                <w:sz w:val="24"/>
                <w:szCs w:val="22"/>
              </w:rPr>
              <w:t>7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AD2A62" w:rsidRDefault="00AD2A62" w:rsidP="00AD2A62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 w:rsidR="008F0BC7">
              <w:rPr>
                <w:rFonts w:ascii="Arial" w:hAnsi="Arial" w:cs="Arial"/>
                <w:b/>
                <w:sz w:val="24"/>
                <w:szCs w:val="22"/>
              </w:rPr>
              <w:t>5.5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AD2A62" w:rsidRDefault="000B436A" w:rsidP="00AD2A62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+4.7</w:t>
            </w:r>
            <w:r w:rsidR="00AD2A62"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A62" w:rsidRPr="00AD2A62" w:rsidRDefault="000B436A" w:rsidP="00AD2A62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+3.3</w:t>
            </w:r>
            <w:r w:rsidR="00AD2A62"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</w:tr>
      <w:tr w:rsidR="00AD2A62" w:rsidRPr="004C3B62" w:rsidTr="00B53777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D2A62" w:rsidRPr="004C3B62" w:rsidRDefault="00AD2A62" w:rsidP="004C3B62">
            <w:pPr>
              <w:jc w:val="left"/>
              <w:rPr>
                <w:rFonts w:ascii="Arial" w:hAnsi="Arial" w:cs="Arial"/>
                <w:iCs/>
                <w:sz w:val="24"/>
                <w:szCs w:val="22"/>
              </w:rPr>
            </w:pPr>
            <w:r w:rsidRPr="004C3B62">
              <w:rPr>
                <w:rFonts w:ascii="Arial" w:hAnsi="Arial" w:cs="Arial"/>
                <w:iCs/>
                <w:sz w:val="24"/>
                <w:szCs w:val="22"/>
              </w:rPr>
              <w:t>- B&amp;Q UK &amp; Ireland</w:t>
            </w:r>
          </w:p>
        </w:tc>
        <w:tc>
          <w:tcPr>
            <w:tcW w:w="8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A62" w:rsidRPr="004C3B62" w:rsidRDefault="00AD2A62" w:rsidP="00C03E9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</w:t>
            </w:r>
            <w:r w:rsidR="008F0BC7">
              <w:rPr>
                <w:rFonts w:ascii="Arial" w:hAnsi="Arial" w:cs="Arial"/>
                <w:sz w:val="24"/>
                <w:szCs w:val="22"/>
              </w:rPr>
              <w:t>2.6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4C3B62" w:rsidRDefault="00AD2A62" w:rsidP="008F0BC7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+3.</w:t>
            </w:r>
            <w:r w:rsidR="008F0BC7">
              <w:rPr>
                <w:rFonts w:ascii="Arial" w:hAnsi="Arial" w:cs="Arial"/>
                <w:sz w:val="24"/>
                <w:szCs w:val="22"/>
              </w:rPr>
              <w:t>4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4C3B62" w:rsidRDefault="00AD2A62" w:rsidP="00AD2A62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</w:t>
            </w:r>
            <w:r w:rsidR="000B436A">
              <w:rPr>
                <w:rFonts w:ascii="Arial" w:hAnsi="Arial" w:cs="Arial"/>
                <w:sz w:val="24"/>
                <w:szCs w:val="22"/>
              </w:rPr>
              <w:t>0.3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A62" w:rsidRPr="004C3B62" w:rsidRDefault="000B436A" w:rsidP="00AD2A62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+0.9</w:t>
            </w:r>
            <w:r w:rsidR="00AD2A62"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</w:tr>
      <w:tr w:rsidR="00AD2A62" w:rsidRPr="004C3B62" w:rsidTr="00D045E2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D2A62" w:rsidRPr="004C3B62" w:rsidRDefault="00AD2A62" w:rsidP="004C3B62">
            <w:pPr>
              <w:jc w:val="left"/>
              <w:rPr>
                <w:rFonts w:ascii="Arial" w:hAnsi="Arial" w:cs="Arial"/>
                <w:iCs/>
                <w:sz w:val="24"/>
                <w:szCs w:val="22"/>
              </w:rPr>
            </w:pPr>
            <w:r w:rsidRPr="004C3B62">
              <w:rPr>
                <w:rFonts w:ascii="Arial" w:hAnsi="Arial" w:cs="Arial"/>
                <w:iCs/>
                <w:sz w:val="24"/>
                <w:szCs w:val="22"/>
              </w:rPr>
              <w:t>- Screwfix</w:t>
            </w:r>
          </w:p>
        </w:tc>
        <w:tc>
          <w:tcPr>
            <w:tcW w:w="8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A62" w:rsidRPr="004C3B62" w:rsidRDefault="00AD2A62" w:rsidP="00C03E9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</w:t>
            </w:r>
            <w:r w:rsidR="00C03E90">
              <w:rPr>
                <w:rFonts w:ascii="Arial" w:hAnsi="Arial" w:cs="Arial"/>
                <w:sz w:val="24"/>
                <w:szCs w:val="22"/>
              </w:rPr>
              <w:t>28.3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4C3B62" w:rsidRDefault="00AD2A62" w:rsidP="00C03E9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+16.</w:t>
            </w:r>
            <w:r w:rsidR="00C03E90">
              <w:rPr>
                <w:rFonts w:ascii="Arial" w:hAnsi="Arial" w:cs="Arial"/>
                <w:sz w:val="24"/>
                <w:szCs w:val="22"/>
              </w:rPr>
              <w:t>7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4C3B62" w:rsidRDefault="00BE30B8" w:rsidP="002F2C0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</w:t>
            </w:r>
            <w:r w:rsidR="00AD2A62" w:rsidRPr="004C3B62">
              <w:rPr>
                <w:rFonts w:ascii="Arial" w:hAnsi="Arial" w:cs="Arial"/>
                <w:sz w:val="24"/>
                <w:szCs w:val="22"/>
              </w:rPr>
              <w:t>27.</w:t>
            </w:r>
            <w:r w:rsidR="002F2C00">
              <w:rPr>
                <w:rFonts w:ascii="Arial" w:hAnsi="Arial" w:cs="Arial"/>
                <w:sz w:val="24"/>
                <w:szCs w:val="22"/>
              </w:rPr>
              <w:t>5</w:t>
            </w:r>
            <w:r w:rsidR="00AD2A62"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A62" w:rsidRPr="004C3B62" w:rsidRDefault="00AD2A62" w:rsidP="002F2C0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4C3B62">
              <w:rPr>
                <w:rFonts w:ascii="Arial" w:hAnsi="Arial" w:cs="Arial"/>
                <w:sz w:val="24"/>
                <w:szCs w:val="22"/>
              </w:rPr>
              <w:t>+1</w:t>
            </w:r>
            <w:r w:rsidR="002F2C00">
              <w:rPr>
                <w:rFonts w:ascii="Arial" w:hAnsi="Arial" w:cs="Arial"/>
                <w:sz w:val="24"/>
                <w:szCs w:val="22"/>
              </w:rPr>
              <w:t>6.0</w:t>
            </w:r>
            <w:r w:rsidRPr="004C3B62">
              <w:rPr>
                <w:rFonts w:ascii="Arial" w:hAnsi="Arial" w:cs="Arial"/>
                <w:sz w:val="24"/>
                <w:szCs w:val="22"/>
              </w:rPr>
              <w:t>%</w:t>
            </w:r>
          </w:p>
        </w:tc>
      </w:tr>
      <w:tr w:rsidR="00AD2A62" w:rsidRPr="00AD2A62" w:rsidTr="00D045E2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AD2A62" w:rsidRPr="00AD2A62" w:rsidRDefault="00AD2A62" w:rsidP="00AD2A62">
            <w:pPr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iCs/>
                <w:sz w:val="24"/>
                <w:szCs w:val="22"/>
              </w:rPr>
              <w:t>Other International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*</w:t>
            </w:r>
          </w:p>
        </w:tc>
        <w:tc>
          <w:tcPr>
            <w:tcW w:w="8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AD2A62" w:rsidRPr="00AD2A62" w:rsidRDefault="00AD2A62" w:rsidP="000C726D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 w:rsidR="0029004A">
              <w:rPr>
                <w:rFonts w:ascii="Arial" w:hAnsi="Arial" w:cs="Arial"/>
                <w:b/>
                <w:sz w:val="24"/>
                <w:szCs w:val="22"/>
              </w:rPr>
              <w:t>4.3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A62" w:rsidRPr="00AD2A62" w:rsidRDefault="00AD2A62" w:rsidP="000C726D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 w:rsidR="0029004A">
              <w:rPr>
                <w:rFonts w:ascii="Arial" w:hAnsi="Arial" w:cs="Arial"/>
                <w:b/>
                <w:sz w:val="24"/>
                <w:szCs w:val="22"/>
              </w:rPr>
              <w:t>3.3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2A62" w:rsidRPr="00AD2A62" w:rsidRDefault="00AD2A62" w:rsidP="000B436A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 w:rsidR="0029004A">
              <w:rPr>
                <w:rFonts w:ascii="Arial" w:hAnsi="Arial" w:cs="Arial"/>
                <w:b/>
                <w:sz w:val="24"/>
                <w:szCs w:val="22"/>
              </w:rPr>
              <w:t>6.0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A62" w:rsidRPr="00AD2A62" w:rsidRDefault="000B436A" w:rsidP="00AD2A62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+3.</w:t>
            </w:r>
            <w:r w:rsidR="0029004A">
              <w:rPr>
                <w:rFonts w:ascii="Arial" w:hAnsi="Arial" w:cs="Arial"/>
                <w:b/>
                <w:sz w:val="24"/>
                <w:szCs w:val="22"/>
              </w:rPr>
              <w:t>7</w:t>
            </w:r>
            <w:r w:rsidR="00AD2A62"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</w:tr>
      <w:tr w:rsidR="00D045E2" w:rsidRPr="00686A27" w:rsidTr="00F4338A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045E2" w:rsidRPr="00686A27" w:rsidRDefault="00D045E2" w:rsidP="00D045E2">
            <w:pPr>
              <w:jc w:val="left"/>
              <w:rPr>
                <w:rFonts w:ascii="Arial" w:hAnsi="Arial" w:cs="Arial"/>
                <w:iCs/>
                <w:sz w:val="24"/>
              </w:rPr>
            </w:pPr>
            <w:r w:rsidRPr="00686A27">
              <w:rPr>
                <w:rFonts w:ascii="Arial" w:hAnsi="Arial" w:cs="Arial"/>
                <w:iCs/>
                <w:sz w:val="24"/>
                <w:szCs w:val="22"/>
              </w:rPr>
              <w:t>- Poland</w:t>
            </w:r>
          </w:p>
        </w:tc>
        <w:tc>
          <w:tcPr>
            <w:tcW w:w="8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045E2" w:rsidRPr="00686A27" w:rsidRDefault="00BE30B8" w:rsidP="00C03E9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686A27">
              <w:rPr>
                <w:rFonts w:ascii="Arial" w:hAnsi="Arial" w:cs="Arial"/>
                <w:sz w:val="24"/>
                <w:szCs w:val="22"/>
              </w:rPr>
              <w:t>+</w:t>
            </w:r>
            <w:r w:rsidR="00EE1403">
              <w:rPr>
                <w:rFonts w:ascii="Arial" w:hAnsi="Arial" w:cs="Arial"/>
                <w:sz w:val="24"/>
                <w:szCs w:val="22"/>
              </w:rPr>
              <w:t>3.8</w:t>
            </w:r>
            <w:r w:rsidR="00D045E2" w:rsidRPr="00686A27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45E2" w:rsidRPr="00686A27" w:rsidRDefault="00D045E2" w:rsidP="000C726D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686A27">
              <w:rPr>
                <w:rFonts w:ascii="Arial" w:hAnsi="Arial" w:cs="Arial"/>
                <w:sz w:val="24"/>
                <w:szCs w:val="22"/>
              </w:rPr>
              <w:t>+</w:t>
            </w:r>
            <w:r w:rsidR="00EE1403">
              <w:rPr>
                <w:rFonts w:ascii="Arial" w:hAnsi="Arial" w:cs="Arial"/>
                <w:sz w:val="24"/>
                <w:szCs w:val="22"/>
              </w:rPr>
              <w:t>5.3</w:t>
            </w:r>
            <w:r w:rsidRPr="00686A27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45E2" w:rsidRPr="00686A27" w:rsidRDefault="00BE30B8" w:rsidP="002F2C0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686A27">
              <w:rPr>
                <w:rFonts w:ascii="Arial" w:hAnsi="Arial" w:cs="Arial"/>
                <w:sz w:val="24"/>
                <w:szCs w:val="22"/>
              </w:rPr>
              <w:t>+1.</w:t>
            </w:r>
            <w:r w:rsidR="00B34576">
              <w:rPr>
                <w:rFonts w:ascii="Arial" w:hAnsi="Arial" w:cs="Arial"/>
                <w:sz w:val="24"/>
                <w:szCs w:val="22"/>
              </w:rPr>
              <w:t>7</w:t>
            </w:r>
            <w:r w:rsidRPr="00686A27">
              <w:rPr>
                <w:rFonts w:ascii="Arial" w:hAnsi="Arial" w:cs="Arial"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5E2" w:rsidRPr="00686A27" w:rsidRDefault="00BE30B8" w:rsidP="002F2C00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686A27">
              <w:rPr>
                <w:rFonts w:ascii="Arial" w:hAnsi="Arial" w:cs="Arial"/>
                <w:sz w:val="24"/>
                <w:szCs w:val="22"/>
              </w:rPr>
              <w:t>+2.</w:t>
            </w:r>
            <w:r w:rsidR="00B34576">
              <w:rPr>
                <w:rFonts w:ascii="Arial" w:hAnsi="Arial" w:cs="Arial"/>
                <w:sz w:val="24"/>
                <w:szCs w:val="22"/>
              </w:rPr>
              <w:t>7</w:t>
            </w:r>
            <w:r w:rsidRPr="00686A27">
              <w:rPr>
                <w:rFonts w:ascii="Arial" w:hAnsi="Arial" w:cs="Arial"/>
                <w:sz w:val="24"/>
                <w:szCs w:val="22"/>
              </w:rPr>
              <w:t>%</w:t>
            </w:r>
          </w:p>
        </w:tc>
      </w:tr>
      <w:tr w:rsidR="00D27BF8" w:rsidRPr="00686A27" w:rsidTr="00D27BF8">
        <w:trPr>
          <w:trHeight w:hRule="exact" w:val="312"/>
        </w:trPr>
        <w:tc>
          <w:tcPr>
            <w:tcW w:w="159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27BF8" w:rsidRPr="00686A27" w:rsidRDefault="00D27BF8" w:rsidP="00D27BF8">
            <w:pPr>
              <w:jc w:val="left"/>
              <w:rPr>
                <w:rFonts w:ascii="Arial" w:hAnsi="Arial" w:cs="Arial"/>
                <w:iCs/>
                <w:sz w:val="24"/>
                <w:szCs w:val="22"/>
              </w:rPr>
            </w:pPr>
            <w:r>
              <w:rPr>
                <w:rFonts w:ascii="Arial" w:hAnsi="Arial" w:cs="Arial"/>
                <w:iCs/>
                <w:sz w:val="24"/>
                <w:szCs w:val="22"/>
              </w:rPr>
              <w:t>- Russia</w:t>
            </w:r>
          </w:p>
        </w:tc>
        <w:tc>
          <w:tcPr>
            <w:tcW w:w="84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D27BF8" w:rsidRPr="00686A27" w:rsidRDefault="00D27BF8" w:rsidP="00D27BF8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 w:rsidRPr="003B0C53">
              <w:rPr>
                <w:rFonts w:ascii="Arial" w:hAnsi="Arial" w:cs="Arial"/>
                <w:sz w:val="24"/>
                <w:szCs w:val="22"/>
              </w:rPr>
              <w:t>+10.5%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7BF8" w:rsidRPr="00686A27" w:rsidRDefault="00D27BF8" w:rsidP="00D27BF8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+5.1%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7BF8" w:rsidRPr="00686A27" w:rsidRDefault="00D27BF8" w:rsidP="00D27BF8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+21.6%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BF8" w:rsidRPr="00686A27" w:rsidRDefault="00D27BF8" w:rsidP="00D27BF8">
            <w:pPr>
              <w:jc w:val="right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+15.3%</w:t>
            </w:r>
          </w:p>
        </w:tc>
      </w:tr>
      <w:tr w:rsidR="00D27BF8" w:rsidRPr="00AD2A62" w:rsidTr="00B53777">
        <w:trPr>
          <w:trHeight w:hRule="exact" w:val="312"/>
        </w:trPr>
        <w:tc>
          <w:tcPr>
            <w:tcW w:w="1598" w:type="pct"/>
            <w:tcBorders>
              <w:left w:val="nil"/>
            </w:tcBorders>
            <w:shd w:val="clear" w:color="auto" w:fill="auto"/>
          </w:tcPr>
          <w:p w:rsidR="00D27BF8" w:rsidRPr="00AD2A62" w:rsidRDefault="00D27BF8" w:rsidP="00D27BF8">
            <w:pPr>
              <w:jc w:val="lef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Total Group</w:t>
            </w:r>
          </w:p>
        </w:tc>
        <w:tc>
          <w:tcPr>
            <w:tcW w:w="849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D27BF8" w:rsidRPr="00AD2A62" w:rsidRDefault="00D27BF8" w:rsidP="00D27BF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>
              <w:rPr>
                <w:rFonts w:ascii="Arial" w:hAnsi="Arial" w:cs="Arial"/>
                <w:b/>
                <w:sz w:val="24"/>
                <w:szCs w:val="22"/>
              </w:rPr>
              <w:t>4.</w:t>
            </w:r>
            <w:r w:rsidR="0029004A">
              <w:rPr>
                <w:rFonts w:ascii="Arial" w:hAnsi="Arial" w:cs="Arial"/>
                <w:b/>
                <w:sz w:val="24"/>
                <w:szCs w:val="22"/>
              </w:rPr>
              <w:t>8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7BF8" w:rsidRPr="00AD2A62" w:rsidRDefault="00D27BF8" w:rsidP="00D27BF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+3.5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27BF8" w:rsidRPr="00AD2A62" w:rsidRDefault="00D27BF8" w:rsidP="00D27BF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+3.</w:t>
            </w:r>
            <w:r w:rsidR="0029004A">
              <w:rPr>
                <w:rFonts w:ascii="Arial" w:hAnsi="Arial" w:cs="Arial"/>
                <w:b/>
                <w:sz w:val="24"/>
                <w:szCs w:val="22"/>
              </w:rPr>
              <w:t>7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27BF8" w:rsidRPr="00AD2A62" w:rsidRDefault="00D27BF8" w:rsidP="00D27BF8">
            <w:pPr>
              <w:jc w:val="right"/>
              <w:rPr>
                <w:rFonts w:ascii="Arial" w:hAnsi="Arial" w:cs="Arial"/>
                <w:b/>
                <w:sz w:val="24"/>
                <w:szCs w:val="22"/>
              </w:rPr>
            </w:pPr>
            <w:r w:rsidRPr="00AD2A62">
              <w:rPr>
                <w:rFonts w:ascii="Arial" w:hAnsi="Arial" w:cs="Arial"/>
                <w:b/>
                <w:sz w:val="24"/>
                <w:szCs w:val="22"/>
              </w:rPr>
              <w:t>+</w:t>
            </w:r>
            <w:r>
              <w:rPr>
                <w:rFonts w:ascii="Arial" w:hAnsi="Arial" w:cs="Arial"/>
                <w:b/>
                <w:sz w:val="24"/>
                <w:szCs w:val="22"/>
              </w:rPr>
              <w:t>2.</w:t>
            </w:r>
            <w:r w:rsidR="0029004A">
              <w:rPr>
                <w:rFonts w:ascii="Arial" w:hAnsi="Arial" w:cs="Arial"/>
                <w:b/>
                <w:sz w:val="24"/>
                <w:szCs w:val="22"/>
              </w:rPr>
              <w:t>1</w:t>
            </w:r>
            <w:r w:rsidRPr="00AD2A62">
              <w:rPr>
                <w:rFonts w:ascii="Arial" w:hAnsi="Arial" w:cs="Arial"/>
                <w:b/>
                <w:sz w:val="24"/>
                <w:szCs w:val="22"/>
              </w:rPr>
              <w:t>%</w:t>
            </w:r>
          </w:p>
        </w:tc>
      </w:tr>
    </w:tbl>
    <w:p w:rsidR="005E535C" w:rsidRDefault="00B53777" w:rsidP="000849D1">
      <w:pPr>
        <w:jc w:val="left"/>
        <w:rPr>
          <w:rFonts w:ascii="Arial" w:hAnsi="Arial" w:cs="Arial"/>
          <w:i/>
          <w:sz w:val="18"/>
          <w:szCs w:val="18"/>
        </w:rPr>
      </w:pPr>
      <w:r w:rsidRPr="00B53777">
        <w:rPr>
          <w:rFonts w:ascii="Arial" w:hAnsi="Arial" w:cs="Arial"/>
          <w:i/>
          <w:sz w:val="18"/>
          <w:szCs w:val="18"/>
        </w:rPr>
        <w:t>*Throughout this release ‘*’ indicates first instance of a term defined in the 2014/15 Annual Report and Accounts (p147).</w:t>
      </w:r>
    </w:p>
    <w:p w:rsidR="00B53777" w:rsidRDefault="00B53777" w:rsidP="000849D1">
      <w:pPr>
        <w:jc w:val="left"/>
        <w:rPr>
          <w:rFonts w:ascii="Arial" w:hAnsi="Arial" w:cs="Arial"/>
          <w:b/>
          <w:sz w:val="24"/>
          <w:szCs w:val="24"/>
        </w:rPr>
      </w:pPr>
    </w:p>
    <w:p w:rsidR="00F518A2" w:rsidRDefault="00B53777" w:rsidP="001B6938">
      <w:pPr>
        <w:jc w:val="left"/>
        <w:rPr>
          <w:rFonts w:ascii="Arial" w:hAnsi="Arial" w:cs="Arial"/>
          <w:b/>
          <w:sz w:val="24"/>
          <w:szCs w:val="24"/>
        </w:rPr>
      </w:pPr>
      <w:r w:rsidRPr="00B53777">
        <w:rPr>
          <w:rFonts w:ascii="Arial" w:hAnsi="Arial" w:cs="Arial"/>
          <w:b/>
          <w:sz w:val="24"/>
          <w:szCs w:val="24"/>
        </w:rPr>
        <w:t>Véronique Laury, Kingfisher</w:t>
      </w:r>
      <w:r w:rsidR="0029004A">
        <w:rPr>
          <w:rFonts w:ascii="Arial" w:hAnsi="Arial" w:cs="Arial"/>
          <w:b/>
          <w:sz w:val="24"/>
          <w:szCs w:val="24"/>
        </w:rPr>
        <w:t>’s</w:t>
      </w:r>
      <w:r w:rsidRPr="00B53777">
        <w:rPr>
          <w:rFonts w:ascii="Arial" w:hAnsi="Arial" w:cs="Arial"/>
          <w:b/>
          <w:sz w:val="24"/>
          <w:szCs w:val="24"/>
        </w:rPr>
        <w:t xml:space="preserve"> Chief Executive Officer, said:</w:t>
      </w:r>
    </w:p>
    <w:p w:rsidR="00B53777" w:rsidRPr="00B53777" w:rsidRDefault="00B53777" w:rsidP="001B6938">
      <w:pPr>
        <w:jc w:val="left"/>
        <w:rPr>
          <w:rFonts w:ascii="Arial" w:hAnsi="Arial" w:cs="Arial"/>
          <w:sz w:val="24"/>
          <w:szCs w:val="24"/>
          <w:highlight w:val="yellow"/>
        </w:rPr>
      </w:pPr>
    </w:p>
    <w:p w:rsidR="00BC203D" w:rsidRPr="004C3B62" w:rsidRDefault="004C3B62" w:rsidP="00B53777">
      <w:pPr>
        <w:jc w:val="left"/>
        <w:rPr>
          <w:rFonts w:ascii="Arial" w:hAnsi="Arial" w:cs="Arial"/>
          <w:b/>
          <w:sz w:val="24"/>
          <w:szCs w:val="24"/>
        </w:rPr>
      </w:pPr>
      <w:r w:rsidRPr="005F6EB8">
        <w:rPr>
          <w:rFonts w:ascii="Arial" w:hAnsi="Arial" w:cs="Arial"/>
          <w:color w:val="000000"/>
          <w:sz w:val="24"/>
          <w:szCs w:val="24"/>
        </w:rPr>
        <w:t xml:space="preserve">“We </w:t>
      </w:r>
      <w:r w:rsidR="00B34576">
        <w:rPr>
          <w:rFonts w:ascii="Arial" w:hAnsi="Arial" w:cs="Arial"/>
          <w:color w:val="000000"/>
          <w:sz w:val="24"/>
          <w:szCs w:val="24"/>
        </w:rPr>
        <w:t xml:space="preserve">have </w:t>
      </w:r>
      <w:r w:rsidRPr="005F6EB8">
        <w:rPr>
          <w:rFonts w:ascii="Arial" w:hAnsi="Arial" w:cs="Arial"/>
          <w:color w:val="000000"/>
          <w:sz w:val="24"/>
          <w:szCs w:val="24"/>
        </w:rPr>
        <w:t xml:space="preserve">delivered a </w:t>
      </w:r>
      <w:r w:rsidR="000B436A">
        <w:rPr>
          <w:rFonts w:ascii="Arial" w:hAnsi="Arial" w:cs="Arial"/>
          <w:color w:val="000000"/>
          <w:sz w:val="24"/>
          <w:szCs w:val="24"/>
        </w:rPr>
        <w:t>solid</w:t>
      </w:r>
      <w:r w:rsidRPr="005F6EB8">
        <w:rPr>
          <w:rFonts w:ascii="Arial" w:hAnsi="Arial" w:cs="Arial"/>
          <w:color w:val="000000"/>
          <w:sz w:val="24"/>
          <w:szCs w:val="24"/>
        </w:rPr>
        <w:t xml:space="preserve"> </w:t>
      </w:r>
      <w:r w:rsidR="00F8368B">
        <w:rPr>
          <w:rFonts w:ascii="Arial" w:hAnsi="Arial" w:cs="Arial"/>
          <w:color w:val="000000"/>
          <w:sz w:val="24"/>
          <w:szCs w:val="24"/>
        </w:rPr>
        <w:t>Q2</w:t>
      </w:r>
      <w:r w:rsidRPr="005F6EB8">
        <w:rPr>
          <w:rFonts w:ascii="Arial" w:hAnsi="Arial" w:cs="Arial"/>
          <w:color w:val="000000"/>
          <w:sz w:val="24"/>
          <w:szCs w:val="24"/>
        </w:rPr>
        <w:t xml:space="preserve"> </w:t>
      </w:r>
      <w:r w:rsidR="00267CA9">
        <w:rPr>
          <w:rFonts w:ascii="Arial" w:hAnsi="Arial" w:cs="Arial"/>
          <w:color w:val="000000"/>
          <w:sz w:val="24"/>
          <w:szCs w:val="24"/>
        </w:rPr>
        <w:t xml:space="preserve">sales performance </w:t>
      </w:r>
      <w:r w:rsidR="00FC024F">
        <w:rPr>
          <w:rFonts w:ascii="Arial" w:hAnsi="Arial" w:cs="Arial"/>
          <w:color w:val="000000"/>
          <w:sz w:val="24"/>
          <w:szCs w:val="24"/>
        </w:rPr>
        <w:t xml:space="preserve">to date </w:t>
      </w:r>
      <w:r w:rsidR="00F8368B">
        <w:rPr>
          <w:rFonts w:ascii="Arial" w:hAnsi="Arial" w:cs="Arial"/>
          <w:color w:val="000000"/>
          <w:sz w:val="24"/>
          <w:szCs w:val="24"/>
        </w:rPr>
        <w:t xml:space="preserve">across all our major businesses, albeit </w:t>
      </w:r>
      <w:r w:rsidRPr="005F6EB8">
        <w:rPr>
          <w:rFonts w:ascii="Arial" w:hAnsi="Arial" w:cs="Arial"/>
          <w:color w:val="000000"/>
          <w:sz w:val="24"/>
          <w:szCs w:val="24"/>
        </w:rPr>
        <w:t xml:space="preserve">against softer comparatives than in </w:t>
      </w:r>
      <w:r w:rsidR="00F8368B">
        <w:rPr>
          <w:rFonts w:ascii="Arial" w:hAnsi="Arial" w:cs="Arial"/>
          <w:color w:val="000000"/>
          <w:sz w:val="24"/>
          <w:szCs w:val="24"/>
        </w:rPr>
        <w:t>Q1</w:t>
      </w:r>
      <w:r w:rsidRPr="005F6EB8">
        <w:rPr>
          <w:rFonts w:ascii="Arial" w:hAnsi="Arial" w:cs="Arial"/>
          <w:color w:val="000000"/>
          <w:sz w:val="24"/>
          <w:szCs w:val="24"/>
        </w:rPr>
        <w:t xml:space="preserve">. </w:t>
      </w:r>
      <w:r w:rsidR="00F8368B">
        <w:rPr>
          <w:rFonts w:ascii="Arial" w:hAnsi="Arial" w:cs="Arial"/>
          <w:color w:val="000000"/>
          <w:sz w:val="24"/>
          <w:szCs w:val="24"/>
        </w:rPr>
        <w:t>I</w:t>
      </w:r>
      <w:r w:rsidR="00B34576">
        <w:rPr>
          <w:rFonts w:ascii="Arial" w:hAnsi="Arial" w:cs="Arial"/>
          <w:color w:val="000000"/>
          <w:sz w:val="24"/>
          <w:szCs w:val="24"/>
        </w:rPr>
        <w:t xml:space="preserve"> am</w:t>
      </w:r>
      <w:r w:rsidR="00F8368B">
        <w:rPr>
          <w:rFonts w:ascii="Arial" w:hAnsi="Arial" w:cs="Arial"/>
          <w:color w:val="000000"/>
          <w:sz w:val="24"/>
          <w:szCs w:val="24"/>
        </w:rPr>
        <w:t xml:space="preserve"> also very pleased to report that the </w:t>
      </w:r>
      <w:r w:rsidRPr="004C3B62">
        <w:rPr>
          <w:rFonts w:ascii="Arial" w:hAnsi="Arial" w:cs="Arial"/>
          <w:color w:val="000000"/>
          <w:sz w:val="24"/>
          <w:szCs w:val="24"/>
        </w:rPr>
        <w:t xml:space="preserve">pilot of our unified IT system, </w:t>
      </w:r>
      <w:r w:rsidR="004A0778">
        <w:rPr>
          <w:rFonts w:ascii="Arial" w:hAnsi="Arial" w:cs="Arial"/>
          <w:color w:val="000000"/>
          <w:sz w:val="24"/>
          <w:szCs w:val="24"/>
        </w:rPr>
        <w:t>which is</w:t>
      </w:r>
      <w:r w:rsidR="00F8368B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4C3B62">
        <w:rPr>
          <w:rFonts w:ascii="Arial" w:hAnsi="Arial" w:cs="Arial"/>
          <w:color w:val="000000"/>
          <w:sz w:val="24"/>
          <w:szCs w:val="24"/>
        </w:rPr>
        <w:t xml:space="preserve">key enabler of our </w:t>
      </w:r>
      <w:r w:rsidR="00B551B7">
        <w:rPr>
          <w:rFonts w:ascii="Arial" w:hAnsi="Arial" w:cs="Arial"/>
          <w:color w:val="000000"/>
          <w:sz w:val="24"/>
          <w:szCs w:val="24"/>
        </w:rPr>
        <w:t xml:space="preserve">‘ONE’ Kingfisher </w:t>
      </w:r>
      <w:r w:rsidRPr="004C3B62">
        <w:rPr>
          <w:rFonts w:ascii="Arial" w:hAnsi="Arial" w:cs="Arial"/>
          <w:color w:val="000000"/>
          <w:sz w:val="24"/>
          <w:szCs w:val="24"/>
        </w:rPr>
        <w:t xml:space="preserve">plan, </w:t>
      </w:r>
      <w:r w:rsidR="00F8368B">
        <w:rPr>
          <w:rFonts w:ascii="Arial" w:hAnsi="Arial" w:cs="Arial"/>
          <w:color w:val="000000"/>
          <w:sz w:val="24"/>
          <w:szCs w:val="24"/>
        </w:rPr>
        <w:t xml:space="preserve">started on time </w:t>
      </w:r>
      <w:r w:rsidRPr="004C3B62">
        <w:rPr>
          <w:rFonts w:ascii="Arial" w:hAnsi="Arial" w:cs="Arial"/>
          <w:color w:val="000000"/>
          <w:sz w:val="24"/>
          <w:szCs w:val="24"/>
        </w:rPr>
        <w:t>in Ireland</w:t>
      </w:r>
      <w:r w:rsidR="004A0778">
        <w:rPr>
          <w:rFonts w:ascii="Arial" w:hAnsi="Arial" w:cs="Arial"/>
          <w:color w:val="000000"/>
          <w:sz w:val="24"/>
          <w:szCs w:val="24"/>
        </w:rPr>
        <w:t>. W</w:t>
      </w:r>
      <w:r w:rsidR="00B34576">
        <w:rPr>
          <w:rFonts w:ascii="Arial" w:hAnsi="Arial" w:cs="Arial"/>
          <w:color w:val="000000"/>
          <w:sz w:val="24"/>
          <w:szCs w:val="24"/>
        </w:rPr>
        <w:t xml:space="preserve">e look </w:t>
      </w:r>
      <w:r w:rsidR="00B34576" w:rsidRPr="004C3B62">
        <w:rPr>
          <w:rFonts w:ascii="Arial" w:hAnsi="Arial" w:cs="Arial"/>
          <w:color w:val="000000"/>
          <w:sz w:val="24"/>
          <w:szCs w:val="24"/>
        </w:rPr>
        <w:t xml:space="preserve">forward to </w:t>
      </w:r>
      <w:r w:rsidR="00B34576">
        <w:rPr>
          <w:rFonts w:ascii="Arial" w:hAnsi="Arial" w:cs="Arial"/>
          <w:color w:val="000000"/>
          <w:sz w:val="24"/>
          <w:szCs w:val="24"/>
        </w:rPr>
        <w:t xml:space="preserve">updating on further progress against our first ‘sharp’ decisions in September. </w:t>
      </w:r>
      <w:r w:rsidR="0030786A">
        <w:rPr>
          <w:rFonts w:ascii="Arial" w:hAnsi="Arial" w:cs="Arial"/>
          <w:color w:val="000000"/>
          <w:sz w:val="24"/>
          <w:szCs w:val="24"/>
        </w:rPr>
        <w:t>And</w:t>
      </w:r>
      <w:r w:rsidR="00B34576">
        <w:rPr>
          <w:rFonts w:ascii="Arial" w:hAnsi="Arial" w:cs="Arial"/>
          <w:color w:val="000000"/>
          <w:sz w:val="24"/>
          <w:szCs w:val="24"/>
        </w:rPr>
        <w:t xml:space="preserve"> we have to date</w:t>
      </w:r>
      <w:r w:rsidR="00686A27">
        <w:rPr>
          <w:rFonts w:ascii="Arial" w:hAnsi="Arial" w:cs="Arial"/>
          <w:color w:val="000000"/>
          <w:sz w:val="24"/>
          <w:szCs w:val="24"/>
        </w:rPr>
        <w:t xml:space="preserve"> </w:t>
      </w:r>
      <w:r w:rsidR="00BE30B8">
        <w:rPr>
          <w:rFonts w:ascii="Arial" w:hAnsi="Arial" w:cs="Arial"/>
          <w:color w:val="000000"/>
          <w:sz w:val="24"/>
          <w:szCs w:val="24"/>
        </w:rPr>
        <w:t xml:space="preserve">returned </w:t>
      </w:r>
      <w:r w:rsidR="00BE30B8" w:rsidRPr="003B4E3A">
        <w:rPr>
          <w:rFonts w:ascii="Arial" w:hAnsi="Arial" w:cs="Arial"/>
          <w:color w:val="000000"/>
          <w:sz w:val="24"/>
          <w:szCs w:val="24"/>
        </w:rPr>
        <w:t>£</w:t>
      </w:r>
      <w:r w:rsidR="00686A27" w:rsidRPr="003B4E3A">
        <w:rPr>
          <w:rFonts w:ascii="Arial" w:hAnsi="Arial" w:cs="Arial"/>
          <w:color w:val="000000"/>
          <w:sz w:val="24"/>
          <w:szCs w:val="24"/>
        </w:rPr>
        <w:t>1</w:t>
      </w:r>
      <w:r w:rsidR="003B4E3A" w:rsidRPr="003B4E3A">
        <w:rPr>
          <w:rFonts w:ascii="Arial" w:hAnsi="Arial" w:cs="Arial"/>
          <w:color w:val="000000"/>
          <w:sz w:val="24"/>
          <w:szCs w:val="24"/>
        </w:rPr>
        <w:t xml:space="preserve">38m </w:t>
      </w:r>
      <w:r w:rsidR="00F8368B" w:rsidRPr="003B4E3A">
        <w:rPr>
          <w:rFonts w:ascii="Arial" w:hAnsi="Arial" w:cs="Arial"/>
          <w:color w:val="000000"/>
          <w:sz w:val="24"/>
          <w:szCs w:val="24"/>
        </w:rPr>
        <w:t>t</w:t>
      </w:r>
      <w:r w:rsidR="00F8368B">
        <w:rPr>
          <w:rFonts w:ascii="Arial" w:hAnsi="Arial" w:cs="Arial"/>
          <w:color w:val="000000"/>
          <w:sz w:val="24"/>
          <w:szCs w:val="24"/>
        </w:rPr>
        <w:t xml:space="preserve">o shareholders </w:t>
      </w:r>
      <w:r w:rsidR="00BE30B8" w:rsidRPr="00BE30B8">
        <w:rPr>
          <w:rFonts w:ascii="Arial" w:hAnsi="Arial" w:cs="Arial"/>
          <w:color w:val="000000"/>
          <w:sz w:val="24"/>
          <w:szCs w:val="24"/>
        </w:rPr>
        <w:t xml:space="preserve">via a share </w:t>
      </w:r>
      <w:r w:rsidR="00B34576" w:rsidRPr="00BE30B8">
        <w:rPr>
          <w:rFonts w:ascii="Arial" w:hAnsi="Arial" w:cs="Arial"/>
          <w:color w:val="000000"/>
          <w:sz w:val="24"/>
          <w:szCs w:val="24"/>
        </w:rPr>
        <w:t>buy</w:t>
      </w:r>
      <w:r w:rsidR="00B34576">
        <w:rPr>
          <w:rFonts w:ascii="Arial" w:hAnsi="Arial" w:cs="Arial"/>
          <w:color w:val="000000"/>
          <w:sz w:val="24"/>
          <w:szCs w:val="24"/>
        </w:rPr>
        <w:t xml:space="preserve"> b</w:t>
      </w:r>
      <w:r w:rsidR="00B34576" w:rsidRPr="00BE30B8">
        <w:rPr>
          <w:rFonts w:ascii="Arial" w:hAnsi="Arial" w:cs="Arial"/>
          <w:color w:val="000000"/>
          <w:sz w:val="24"/>
          <w:szCs w:val="24"/>
        </w:rPr>
        <w:t>ack</w:t>
      </w:r>
      <w:r w:rsidR="00BE30B8" w:rsidRPr="00BE30B8">
        <w:rPr>
          <w:rFonts w:ascii="Arial" w:hAnsi="Arial" w:cs="Arial"/>
          <w:color w:val="000000"/>
          <w:sz w:val="24"/>
          <w:szCs w:val="24"/>
        </w:rPr>
        <w:t xml:space="preserve"> since </w:t>
      </w:r>
      <w:r w:rsidR="00B551B7">
        <w:rPr>
          <w:rFonts w:ascii="Arial" w:hAnsi="Arial" w:cs="Arial"/>
          <w:color w:val="000000"/>
          <w:sz w:val="24"/>
          <w:szCs w:val="24"/>
        </w:rPr>
        <w:t xml:space="preserve">the </w:t>
      </w:r>
      <w:r w:rsidR="00BE30B8" w:rsidRPr="00BE30B8">
        <w:rPr>
          <w:rFonts w:ascii="Arial" w:hAnsi="Arial" w:cs="Arial"/>
          <w:color w:val="000000"/>
          <w:sz w:val="24"/>
          <w:szCs w:val="24"/>
        </w:rPr>
        <w:t>year</w:t>
      </w:r>
      <w:r w:rsidR="00B34576">
        <w:rPr>
          <w:rFonts w:ascii="Arial" w:hAnsi="Arial" w:cs="Arial"/>
          <w:color w:val="000000"/>
          <w:sz w:val="24"/>
          <w:szCs w:val="24"/>
        </w:rPr>
        <w:t xml:space="preserve"> end.”</w:t>
      </w:r>
    </w:p>
    <w:p w:rsidR="00E122B6" w:rsidRPr="00B53777" w:rsidRDefault="00E122B6" w:rsidP="009633E5">
      <w:pPr>
        <w:jc w:val="left"/>
        <w:rPr>
          <w:rFonts w:ascii="Arial" w:hAnsi="Arial" w:cs="Arial"/>
          <w:b/>
          <w:caps/>
          <w:sz w:val="24"/>
          <w:szCs w:val="24"/>
          <w:highlight w:val="yellow"/>
        </w:rPr>
      </w:pPr>
    </w:p>
    <w:p w:rsidR="004F5474" w:rsidRPr="00F4338A" w:rsidRDefault="009633E5" w:rsidP="009633E5">
      <w:pPr>
        <w:jc w:val="left"/>
        <w:rPr>
          <w:rFonts w:ascii="Arial" w:hAnsi="Arial" w:cs="Arial"/>
          <w:b/>
          <w:caps/>
          <w:sz w:val="24"/>
          <w:szCs w:val="24"/>
        </w:rPr>
      </w:pPr>
      <w:r w:rsidRPr="00F4338A">
        <w:rPr>
          <w:rFonts w:ascii="Arial" w:hAnsi="Arial" w:cs="Arial"/>
          <w:b/>
          <w:caps/>
          <w:sz w:val="24"/>
          <w:szCs w:val="24"/>
        </w:rPr>
        <w:t>Trading review</w:t>
      </w:r>
      <w:r w:rsidR="00FF227C" w:rsidRPr="00F4338A">
        <w:rPr>
          <w:rFonts w:ascii="Arial" w:hAnsi="Arial" w:cs="Arial"/>
          <w:b/>
          <w:caps/>
          <w:sz w:val="24"/>
          <w:szCs w:val="24"/>
        </w:rPr>
        <w:t xml:space="preserve"> for the 10 weeks</w:t>
      </w:r>
      <w:r w:rsidR="005E01E0" w:rsidRPr="00F4338A">
        <w:rPr>
          <w:rFonts w:ascii="Arial" w:hAnsi="Arial" w:cs="Arial"/>
          <w:b/>
          <w:caps/>
          <w:sz w:val="24"/>
          <w:szCs w:val="24"/>
        </w:rPr>
        <w:t xml:space="preserve"> (in constant currencies)</w:t>
      </w:r>
      <w:r w:rsidR="004F5474" w:rsidRPr="00F4338A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4F5474" w:rsidRPr="00F4338A" w:rsidRDefault="004F5474" w:rsidP="009633E5">
      <w:pPr>
        <w:jc w:val="left"/>
        <w:rPr>
          <w:rFonts w:ascii="Arial" w:hAnsi="Arial" w:cs="Arial"/>
          <w:b/>
          <w:sz w:val="24"/>
          <w:szCs w:val="24"/>
        </w:rPr>
      </w:pPr>
    </w:p>
    <w:p w:rsidR="00427A7B" w:rsidRPr="00F4338A" w:rsidRDefault="009E3551" w:rsidP="009633E5">
      <w:pPr>
        <w:jc w:val="left"/>
        <w:rPr>
          <w:rFonts w:ascii="Arial" w:hAnsi="Arial" w:cs="Arial"/>
          <w:b/>
          <w:sz w:val="24"/>
          <w:szCs w:val="24"/>
        </w:rPr>
      </w:pPr>
      <w:r w:rsidRPr="00F4338A">
        <w:rPr>
          <w:rFonts w:ascii="Arial" w:hAnsi="Arial" w:cs="Arial"/>
          <w:b/>
          <w:sz w:val="24"/>
          <w:szCs w:val="24"/>
        </w:rPr>
        <w:t>FRANCE</w:t>
      </w:r>
    </w:p>
    <w:p w:rsidR="00D84A7D" w:rsidRPr="00F4338A" w:rsidRDefault="000C782B" w:rsidP="00F4338A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F4338A">
        <w:rPr>
          <w:rFonts w:ascii="Arial" w:hAnsi="Arial" w:cs="Arial"/>
          <w:b/>
          <w:bCs/>
          <w:sz w:val="24"/>
          <w:szCs w:val="24"/>
        </w:rPr>
        <w:t>Castorama</w:t>
      </w:r>
      <w:r w:rsidRPr="00F4338A">
        <w:rPr>
          <w:rFonts w:ascii="Arial" w:hAnsi="Arial" w:cs="Arial"/>
          <w:bCs/>
          <w:sz w:val="24"/>
          <w:szCs w:val="24"/>
        </w:rPr>
        <w:t xml:space="preserve"> </w:t>
      </w:r>
      <w:r w:rsidR="00965C04">
        <w:rPr>
          <w:rFonts w:ascii="Arial" w:hAnsi="Arial" w:cs="Arial"/>
          <w:bCs/>
          <w:sz w:val="24"/>
          <w:szCs w:val="24"/>
        </w:rPr>
        <w:t xml:space="preserve">LFL sales of seasonal products up 8.3% with LFL sales of </w:t>
      </w:r>
      <w:r w:rsidR="003119ED">
        <w:rPr>
          <w:rFonts w:ascii="Arial" w:hAnsi="Arial" w:cs="Arial"/>
          <w:bCs/>
          <w:sz w:val="24"/>
          <w:szCs w:val="24"/>
        </w:rPr>
        <w:t>non-seasonal</w:t>
      </w:r>
      <w:r w:rsidR="00965C04">
        <w:rPr>
          <w:rFonts w:ascii="Arial" w:hAnsi="Arial" w:cs="Arial"/>
          <w:bCs/>
          <w:sz w:val="24"/>
          <w:szCs w:val="24"/>
        </w:rPr>
        <w:t xml:space="preserve"> products broadly flat. </w:t>
      </w:r>
      <w:r w:rsidR="00F60DF9" w:rsidRPr="00F4338A">
        <w:rPr>
          <w:rFonts w:ascii="Arial" w:hAnsi="Arial" w:cs="Arial"/>
          <w:bCs/>
          <w:sz w:val="24"/>
          <w:szCs w:val="24"/>
        </w:rPr>
        <w:t xml:space="preserve">According to Banque de France* data, sales for the home improvement market were </w:t>
      </w:r>
      <w:r w:rsidR="004E611B" w:rsidRPr="00F4338A">
        <w:rPr>
          <w:rFonts w:ascii="Arial" w:hAnsi="Arial" w:cs="Arial"/>
          <w:bCs/>
          <w:sz w:val="24"/>
          <w:szCs w:val="24"/>
        </w:rPr>
        <w:t>up</w:t>
      </w:r>
      <w:r w:rsidR="00F60DF9" w:rsidRPr="00F4338A">
        <w:rPr>
          <w:rFonts w:ascii="Arial" w:hAnsi="Arial" w:cs="Arial"/>
          <w:bCs/>
          <w:sz w:val="24"/>
          <w:szCs w:val="24"/>
        </w:rPr>
        <w:t xml:space="preserve"> </w:t>
      </w:r>
      <w:r w:rsidR="00C03E90" w:rsidRPr="00F4338A">
        <w:rPr>
          <w:rFonts w:ascii="Arial" w:hAnsi="Arial" w:cs="Arial"/>
          <w:bCs/>
          <w:sz w:val="24"/>
          <w:szCs w:val="24"/>
        </w:rPr>
        <w:t>1.5</w:t>
      </w:r>
      <w:r w:rsidR="00F60DF9" w:rsidRPr="00F4338A">
        <w:rPr>
          <w:rFonts w:ascii="Arial" w:hAnsi="Arial" w:cs="Arial"/>
          <w:bCs/>
          <w:sz w:val="24"/>
          <w:szCs w:val="24"/>
        </w:rPr>
        <w:t>%</w:t>
      </w:r>
      <w:r w:rsidR="00D06D90" w:rsidRPr="00F4338A">
        <w:rPr>
          <w:rFonts w:ascii="Arial" w:hAnsi="Arial" w:cs="Arial"/>
          <w:bCs/>
          <w:sz w:val="24"/>
          <w:szCs w:val="24"/>
        </w:rPr>
        <w:t xml:space="preserve"> </w:t>
      </w:r>
      <w:r w:rsidR="000A1F1B">
        <w:rPr>
          <w:rFonts w:ascii="Arial" w:hAnsi="Arial" w:cs="Arial"/>
          <w:bCs/>
          <w:sz w:val="24"/>
          <w:szCs w:val="24"/>
        </w:rPr>
        <w:t>across</w:t>
      </w:r>
      <w:r w:rsidR="00C03E90" w:rsidRPr="00F4338A">
        <w:rPr>
          <w:rFonts w:ascii="Arial" w:hAnsi="Arial" w:cs="Arial"/>
          <w:bCs/>
          <w:sz w:val="24"/>
          <w:szCs w:val="24"/>
        </w:rPr>
        <w:t xml:space="preserve"> May</w:t>
      </w:r>
      <w:r w:rsidRPr="00F4338A">
        <w:rPr>
          <w:rFonts w:ascii="Arial" w:hAnsi="Arial" w:cs="Arial"/>
          <w:bCs/>
          <w:sz w:val="24"/>
          <w:szCs w:val="24"/>
        </w:rPr>
        <w:t>-</w:t>
      </w:r>
      <w:r w:rsidR="00C03E90" w:rsidRPr="00F4338A">
        <w:rPr>
          <w:rFonts w:ascii="Arial" w:hAnsi="Arial" w:cs="Arial"/>
          <w:bCs/>
          <w:sz w:val="24"/>
          <w:szCs w:val="24"/>
        </w:rPr>
        <w:t>June</w:t>
      </w:r>
      <w:r w:rsidR="00E028BD">
        <w:rPr>
          <w:rFonts w:ascii="Arial" w:hAnsi="Arial" w:cs="Arial"/>
          <w:bCs/>
          <w:sz w:val="24"/>
          <w:szCs w:val="24"/>
        </w:rPr>
        <w:t xml:space="preserve"> </w:t>
      </w:r>
    </w:p>
    <w:p w:rsidR="002158A2" w:rsidRPr="00DA4F55" w:rsidRDefault="008A084C" w:rsidP="008A084C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F4338A">
        <w:rPr>
          <w:rFonts w:ascii="Arial" w:hAnsi="Arial" w:cs="Arial"/>
          <w:b/>
          <w:bCs/>
          <w:sz w:val="24"/>
          <w:szCs w:val="24"/>
        </w:rPr>
        <w:t>Brico</w:t>
      </w:r>
      <w:r w:rsidRPr="00DA4F55">
        <w:rPr>
          <w:rFonts w:ascii="Arial" w:hAnsi="Arial" w:cs="Arial"/>
          <w:b/>
          <w:bCs/>
          <w:sz w:val="24"/>
          <w:szCs w:val="24"/>
        </w:rPr>
        <w:t xml:space="preserve"> Dépôt </w:t>
      </w:r>
      <w:r w:rsidRPr="00DA4F55">
        <w:rPr>
          <w:rFonts w:ascii="Arial" w:hAnsi="Arial" w:cs="Arial"/>
          <w:bCs/>
          <w:sz w:val="24"/>
          <w:szCs w:val="24"/>
        </w:rPr>
        <w:t>continue</w:t>
      </w:r>
      <w:r w:rsidR="00EA3D89" w:rsidRPr="00DA4F55">
        <w:rPr>
          <w:rFonts w:ascii="Arial" w:hAnsi="Arial" w:cs="Arial"/>
          <w:bCs/>
          <w:sz w:val="24"/>
          <w:szCs w:val="24"/>
        </w:rPr>
        <w:t>s</w:t>
      </w:r>
      <w:r w:rsidRPr="00DA4F55">
        <w:rPr>
          <w:rFonts w:ascii="Arial" w:hAnsi="Arial" w:cs="Arial"/>
          <w:bCs/>
          <w:sz w:val="24"/>
          <w:szCs w:val="24"/>
        </w:rPr>
        <w:t xml:space="preserve"> to be </w:t>
      </w:r>
      <w:r w:rsidR="00F8368B" w:rsidRPr="00DA4F55">
        <w:rPr>
          <w:rFonts w:ascii="Arial" w:hAnsi="Arial" w:cs="Arial"/>
          <w:bCs/>
          <w:sz w:val="24"/>
          <w:szCs w:val="24"/>
        </w:rPr>
        <w:t xml:space="preserve">impacted by </w:t>
      </w:r>
      <w:r w:rsidRPr="00DA4F55">
        <w:rPr>
          <w:rFonts w:ascii="Arial" w:hAnsi="Arial" w:cs="Arial"/>
          <w:bCs/>
          <w:sz w:val="24"/>
          <w:szCs w:val="24"/>
        </w:rPr>
        <w:t>a soft</w:t>
      </w:r>
      <w:r w:rsidR="00F8368B" w:rsidRPr="00DA4F55">
        <w:rPr>
          <w:rFonts w:ascii="Arial" w:hAnsi="Arial" w:cs="Arial"/>
          <w:bCs/>
          <w:sz w:val="24"/>
          <w:szCs w:val="24"/>
        </w:rPr>
        <w:t xml:space="preserve"> </w:t>
      </w:r>
      <w:r w:rsidRPr="00DA4F55">
        <w:rPr>
          <w:rFonts w:ascii="Arial" w:hAnsi="Arial" w:cs="Arial"/>
          <w:bCs/>
          <w:sz w:val="24"/>
          <w:szCs w:val="24"/>
        </w:rPr>
        <w:t>h</w:t>
      </w:r>
      <w:r w:rsidR="00267CA9" w:rsidRPr="00DA4F55">
        <w:rPr>
          <w:rFonts w:ascii="Arial" w:hAnsi="Arial" w:cs="Arial"/>
          <w:bCs/>
          <w:sz w:val="24"/>
          <w:szCs w:val="24"/>
        </w:rPr>
        <w:t xml:space="preserve">ouse building </w:t>
      </w:r>
      <w:r w:rsidR="00FC024F" w:rsidRPr="00DA4F55">
        <w:rPr>
          <w:rFonts w:ascii="Arial" w:hAnsi="Arial" w:cs="Arial"/>
          <w:bCs/>
          <w:sz w:val="24"/>
          <w:szCs w:val="24"/>
        </w:rPr>
        <w:t>market</w:t>
      </w:r>
      <w:r w:rsidR="00FC024F">
        <w:rPr>
          <w:rFonts w:ascii="Arial" w:hAnsi="Arial" w:cs="Arial"/>
          <w:bCs/>
          <w:sz w:val="24"/>
          <w:szCs w:val="24"/>
          <w:vertAlign w:val="superscript"/>
        </w:rPr>
        <w:t>1</w:t>
      </w:r>
      <w:r w:rsidR="00FC024F" w:rsidRPr="00DA4F55">
        <w:rPr>
          <w:rFonts w:ascii="Arial" w:hAnsi="Arial" w:cs="Arial"/>
          <w:bCs/>
          <w:sz w:val="24"/>
          <w:szCs w:val="24"/>
        </w:rPr>
        <w:t xml:space="preserve">  </w:t>
      </w:r>
    </w:p>
    <w:p w:rsidR="00F505CA" w:rsidRPr="00DA4F55" w:rsidRDefault="00F505CA" w:rsidP="009633E5">
      <w:pPr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427A7B" w:rsidRPr="00DA4F55" w:rsidRDefault="009E3551" w:rsidP="009633E5">
      <w:pPr>
        <w:jc w:val="left"/>
        <w:rPr>
          <w:rFonts w:ascii="Arial" w:hAnsi="Arial" w:cs="Arial"/>
          <w:b/>
          <w:sz w:val="24"/>
          <w:szCs w:val="24"/>
        </w:rPr>
      </w:pPr>
      <w:r w:rsidRPr="00DA4F55">
        <w:rPr>
          <w:rFonts w:ascii="Arial" w:hAnsi="Arial" w:cs="Arial"/>
          <w:b/>
          <w:sz w:val="24"/>
          <w:szCs w:val="24"/>
        </w:rPr>
        <w:t>UK &amp; IRELAND</w:t>
      </w:r>
    </w:p>
    <w:p w:rsidR="00E3405F" w:rsidRPr="00DA4F55" w:rsidRDefault="00D045E2" w:rsidP="00D045E2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DA4F55">
        <w:rPr>
          <w:rFonts w:ascii="Arial" w:hAnsi="Arial" w:cs="Arial"/>
          <w:b/>
          <w:bCs/>
          <w:sz w:val="24"/>
          <w:szCs w:val="24"/>
        </w:rPr>
        <w:t>B&amp;Q</w:t>
      </w:r>
      <w:r w:rsidR="00E43137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C03E90" w:rsidRPr="00DA4F55">
        <w:rPr>
          <w:rFonts w:ascii="Arial" w:hAnsi="Arial" w:cs="Arial"/>
          <w:bCs/>
          <w:sz w:val="24"/>
          <w:szCs w:val="24"/>
        </w:rPr>
        <w:t>LFL</w:t>
      </w:r>
      <w:r w:rsidR="00E43137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E37C58" w:rsidRPr="00DA4F55">
        <w:rPr>
          <w:rFonts w:ascii="Arial" w:hAnsi="Arial" w:cs="Arial"/>
          <w:bCs/>
          <w:sz w:val="24"/>
          <w:szCs w:val="24"/>
        </w:rPr>
        <w:t xml:space="preserve">sales of outdoor </w:t>
      </w:r>
      <w:r w:rsidR="00491B1D" w:rsidRPr="00DA4F55">
        <w:rPr>
          <w:rFonts w:ascii="Arial" w:hAnsi="Arial" w:cs="Arial"/>
          <w:bCs/>
          <w:sz w:val="24"/>
          <w:szCs w:val="24"/>
        </w:rPr>
        <w:t xml:space="preserve">and </w:t>
      </w:r>
      <w:r w:rsidR="00E37C58" w:rsidRPr="00DA4F55">
        <w:rPr>
          <w:rFonts w:ascii="Arial" w:hAnsi="Arial" w:cs="Arial"/>
          <w:bCs/>
          <w:sz w:val="24"/>
          <w:szCs w:val="24"/>
        </w:rPr>
        <w:t>seasonal products</w:t>
      </w:r>
      <w:r w:rsidR="00866C87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F7434E" w:rsidRPr="00DA4F55">
        <w:rPr>
          <w:rFonts w:ascii="Arial" w:hAnsi="Arial" w:cs="Arial"/>
          <w:bCs/>
          <w:sz w:val="24"/>
          <w:szCs w:val="24"/>
        </w:rPr>
        <w:t>up 1.3</w:t>
      </w:r>
      <w:r w:rsidR="00BE30B8" w:rsidRPr="00DA4F55">
        <w:rPr>
          <w:rFonts w:ascii="Arial" w:hAnsi="Arial" w:cs="Arial"/>
          <w:bCs/>
          <w:sz w:val="24"/>
          <w:szCs w:val="24"/>
        </w:rPr>
        <w:t>%</w:t>
      </w:r>
      <w:r w:rsidR="00972DB0" w:rsidRPr="00DA4F55">
        <w:rPr>
          <w:rFonts w:ascii="Arial" w:hAnsi="Arial" w:cs="Arial"/>
          <w:bCs/>
          <w:sz w:val="24"/>
          <w:szCs w:val="24"/>
        </w:rPr>
        <w:t xml:space="preserve">. </w:t>
      </w:r>
      <w:r w:rsidR="00DD5839" w:rsidRPr="00DA4F55">
        <w:rPr>
          <w:rFonts w:ascii="Arial" w:hAnsi="Arial" w:cs="Arial"/>
          <w:bCs/>
          <w:sz w:val="24"/>
          <w:szCs w:val="24"/>
        </w:rPr>
        <w:t xml:space="preserve">Showroom </w:t>
      </w:r>
      <w:r w:rsidR="00655F40">
        <w:rPr>
          <w:rFonts w:ascii="Arial" w:hAnsi="Arial" w:cs="Arial"/>
          <w:bCs/>
          <w:sz w:val="24"/>
          <w:szCs w:val="24"/>
        </w:rPr>
        <w:t xml:space="preserve">LFL </w:t>
      </w:r>
      <w:r w:rsidR="00DD5839" w:rsidRPr="00DA4F55">
        <w:rPr>
          <w:rFonts w:ascii="Arial" w:hAnsi="Arial" w:cs="Arial"/>
          <w:bCs/>
          <w:sz w:val="24"/>
          <w:szCs w:val="24"/>
        </w:rPr>
        <w:t>sales</w:t>
      </w:r>
      <w:r w:rsidR="00EA3D89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01673E" w:rsidRPr="00DA4F55">
        <w:rPr>
          <w:rFonts w:ascii="Arial" w:hAnsi="Arial" w:cs="Arial"/>
          <w:bCs/>
          <w:sz w:val="24"/>
          <w:szCs w:val="24"/>
        </w:rPr>
        <w:t xml:space="preserve">up </w:t>
      </w:r>
      <w:r w:rsidR="00F7434E" w:rsidRPr="00DA4F55">
        <w:rPr>
          <w:rFonts w:ascii="Arial" w:hAnsi="Arial" w:cs="Arial"/>
          <w:bCs/>
          <w:sz w:val="24"/>
          <w:szCs w:val="24"/>
        </w:rPr>
        <w:t>2.6</w:t>
      </w:r>
      <w:r w:rsidR="00DD5839" w:rsidRPr="00DA4F55">
        <w:rPr>
          <w:rFonts w:ascii="Arial" w:hAnsi="Arial" w:cs="Arial"/>
          <w:bCs/>
          <w:sz w:val="24"/>
          <w:szCs w:val="24"/>
        </w:rPr>
        <w:t xml:space="preserve">% </w:t>
      </w:r>
      <w:r w:rsidR="00DB5986" w:rsidRPr="00DA4F55">
        <w:rPr>
          <w:rFonts w:ascii="Arial" w:hAnsi="Arial" w:cs="Arial"/>
          <w:bCs/>
          <w:sz w:val="24"/>
          <w:szCs w:val="24"/>
        </w:rPr>
        <w:t>with</w:t>
      </w:r>
      <w:r w:rsidR="00DD5839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655F40">
        <w:rPr>
          <w:rFonts w:ascii="Arial" w:hAnsi="Arial" w:cs="Arial"/>
          <w:bCs/>
          <w:sz w:val="24"/>
          <w:szCs w:val="24"/>
        </w:rPr>
        <w:t xml:space="preserve">LFL </w:t>
      </w:r>
      <w:r w:rsidR="00DD5839" w:rsidRPr="00DA4F55">
        <w:rPr>
          <w:rFonts w:ascii="Arial" w:hAnsi="Arial" w:cs="Arial"/>
          <w:bCs/>
          <w:sz w:val="24"/>
          <w:szCs w:val="24"/>
        </w:rPr>
        <w:t>s</w:t>
      </w:r>
      <w:r w:rsidR="002057A1" w:rsidRPr="00DA4F55">
        <w:rPr>
          <w:rFonts w:ascii="Arial" w:hAnsi="Arial" w:cs="Arial"/>
          <w:bCs/>
          <w:sz w:val="24"/>
          <w:szCs w:val="24"/>
        </w:rPr>
        <w:t xml:space="preserve">ales of </w:t>
      </w:r>
      <w:r w:rsidR="00991F67" w:rsidRPr="00DA4F55">
        <w:rPr>
          <w:rFonts w:ascii="Arial" w:hAnsi="Arial" w:cs="Arial"/>
          <w:bCs/>
          <w:sz w:val="24"/>
          <w:szCs w:val="24"/>
        </w:rPr>
        <w:t>indoor products</w:t>
      </w:r>
      <w:r w:rsidR="009C676E" w:rsidRPr="00DA4F55">
        <w:rPr>
          <w:rFonts w:ascii="Arial" w:hAnsi="Arial" w:cs="Arial"/>
          <w:bCs/>
          <w:sz w:val="24"/>
          <w:szCs w:val="24"/>
        </w:rPr>
        <w:t>, excluding showroom</w:t>
      </w:r>
      <w:r w:rsidR="000C782B">
        <w:rPr>
          <w:rFonts w:ascii="Arial" w:hAnsi="Arial" w:cs="Arial"/>
          <w:bCs/>
          <w:sz w:val="24"/>
          <w:szCs w:val="24"/>
        </w:rPr>
        <w:t>,</w:t>
      </w:r>
      <w:r w:rsidR="00991F67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DD5839" w:rsidRPr="00DA4F55">
        <w:rPr>
          <w:rFonts w:ascii="Arial" w:hAnsi="Arial" w:cs="Arial"/>
          <w:bCs/>
          <w:sz w:val="24"/>
          <w:szCs w:val="24"/>
        </w:rPr>
        <w:t xml:space="preserve">up </w:t>
      </w:r>
      <w:r w:rsidR="0001673E" w:rsidRPr="00DA4F55">
        <w:rPr>
          <w:rFonts w:ascii="Arial" w:hAnsi="Arial" w:cs="Arial"/>
          <w:bCs/>
          <w:sz w:val="24"/>
          <w:szCs w:val="24"/>
        </w:rPr>
        <w:t>5.</w:t>
      </w:r>
      <w:r w:rsidR="00F7434E" w:rsidRPr="00DA4F55">
        <w:rPr>
          <w:rFonts w:ascii="Arial" w:hAnsi="Arial" w:cs="Arial"/>
          <w:bCs/>
          <w:sz w:val="24"/>
          <w:szCs w:val="24"/>
        </w:rPr>
        <w:t>1</w:t>
      </w:r>
      <w:r w:rsidR="004C3B62" w:rsidRPr="00DA4F55">
        <w:rPr>
          <w:rFonts w:ascii="Arial" w:hAnsi="Arial" w:cs="Arial"/>
          <w:bCs/>
          <w:sz w:val="24"/>
          <w:szCs w:val="24"/>
        </w:rPr>
        <w:t>%</w:t>
      </w:r>
      <w:r w:rsidR="00AF5DF4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DD5839" w:rsidRPr="00DA4F55">
        <w:rPr>
          <w:rFonts w:ascii="Arial" w:hAnsi="Arial" w:cs="Arial"/>
          <w:bCs/>
          <w:sz w:val="24"/>
          <w:szCs w:val="24"/>
        </w:rPr>
        <w:t xml:space="preserve"> </w:t>
      </w:r>
      <w:r w:rsidR="00991F67" w:rsidRPr="00DA4F55">
        <w:rPr>
          <w:rFonts w:ascii="Arial" w:hAnsi="Arial" w:cs="Arial"/>
          <w:bCs/>
          <w:sz w:val="24"/>
          <w:szCs w:val="24"/>
        </w:rPr>
        <w:t xml:space="preserve"> </w:t>
      </w:r>
    </w:p>
    <w:p w:rsidR="00E37C58" w:rsidRPr="00DA4F55" w:rsidRDefault="00F12E9A" w:rsidP="00D045E2">
      <w:pPr>
        <w:pStyle w:val="ListParagraph"/>
        <w:numPr>
          <w:ilvl w:val="0"/>
          <w:numId w:val="24"/>
        </w:numPr>
        <w:jc w:val="left"/>
        <w:rPr>
          <w:rFonts w:ascii="Arial" w:hAnsi="Arial" w:cs="Arial"/>
          <w:b/>
          <w:bCs/>
          <w:sz w:val="24"/>
          <w:szCs w:val="24"/>
        </w:rPr>
      </w:pPr>
      <w:r w:rsidRPr="00DA4F55">
        <w:rPr>
          <w:rFonts w:ascii="Arial" w:hAnsi="Arial" w:cs="Arial"/>
          <w:b/>
          <w:bCs/>
          <w:sz w:val="24"/>
          <w:szCs w:val="24"/>
        </w:rPr>
        <w:t xml:space="preserve">Screwfix </w:t>
      </w:r>
      <w:r w:rsidR="00D045E2" w:rsidRPr="00DA4F55">
        <w:rPr>
          <w:rFonts w:ascii="Arial" w:hAnsi="Arial" w:cs="Arial"/>
          <w:bCs/>
          <w:sz w:val="24"/>
          <w:szCs w:val="24"/>
        </w:rPr>
        <w:t>on</w:t>
      </w:r>
      <w:r w:rsidR="00E3405F" w:rsidRPr="00DA4F55">
        <w:rPr>
          <w:rFonts w:ascii="Arial" w:hAnsi="Arial" w:cs="Arial"/>
          <w:bCs/>
          <w:sz w:val="24"/>
          <w:szCs w:val="24"/>
        </w:rPr>
        <w:t xml:space="preserve"> track to have opened </w:t>
      </w:r>
      <w:r w:rsidR="00AA60A6" w:rsidRPr="00DA4F55">
        <w:rPr>
          <w:rFonts w:ascii="Arial" w:hAnsi="Arial" w:cs="Arial"/>
          <w:bCs/>
          <w:sz w:val="24"/>
          <w:szCs w:val="24"/>
        </w:rPr>
        <w:t>11</w:t>
      </w:r>
      <w:r w:rsidR="00E3405F" w:rsidRPr="00DA4F55">
        <w:rPr>
          <w:rFonts w:ascii="Arial" w:hAnsi="Arial" w:cs="Arial"/>
          <w:bCs/>
          <w:sz w:val="24"/>
          <w:szCs w:val="24"/>
        </w:rPr>
        <w:t xml:space="preserve"> new outlets during Q2, taking the total to </w:t>
      </w:r>
      <w:r w:rsidR="00AA60A6" w:rsidRPr="00DA4F55">
        <w:rPr>
          <w:rFonts w:ascii="Arial" w:hAnsi="Arial" w:cs="Arial"/>
          <w:bCs/>
          <w:sz w:val="24"/>
          <w:szCs w:val="24"/>
        </w:rPr>
        <w:t>412</w:t>
      </w:r>
    </w:p>
    <w:p w:rsidR="00267CA9" w:rsidRPr="00DA4F55" w:rsidRDefault="00267CA9" w:rsidP="009633E5">
      <w:pPr>
        <w:jc w:val="left"/>
        <w:rPr>
          <w:rFonts w:ascii="Arial" w:hAnsi="Arial" w:cs="Arial"/>
          <w:b/>
          <w:sz w:val="24"/>
          <w:szCs w:val="24"/>
        </w:rPr>
      </w:pPr>
    </w:p>
    <w:p w:rsidR="00427A7B" w:rsidRPr="00DA4F55" w:rsidRDefault="009E3551" w:rsidP="009633E5">
      <w:pPr>
        <w:jc w:val="left"/>
        <w:rPr>
          <w:rFonts w:ascii="Arial" w:hAnsi="Arial" w:cs="Arial"/>
          <w:b/>
          <w:sz w:val="24"/>
          <w:szCs w:val="24"/>
        </w:rPr>
      </w:pPr>
      <w:r w:rsidRPr="00DA4F55">
        <w:rPr>
          <w:rFonts w:ascii="Arial" w:hAnsi="Arial" w:cs="Arial"/>
          <w:b/>
          <w:sz w:val="24"/>
          <w:szCs w:val="24"/>
        </w:rPr>
        <w:t>OTHER INTERNATIONAL</w:t>
      </w:r>
    </w:p>
    <w:p w:rsidR="00D045E2" w:rsidRDefault="00E37C58" w:rsidP="00F7434E">
      <w:pPr>
        <w:pStyle w:val="ListParagraph"/>
        <w:numPr>
          <w:ilvl w:val="0"/>
          <w:numId w:val="25"/>
        </w:numPr>
        <w:ind w:left="360"/>
        <w:jc w:val="left"/>
        <w:rPr>
          <w:rFonts w:ascii="Arial" w:hAnsi="Arial" w:cs="Arial"/>
          <w:sz w:val="24"/>
          <w:szCs w:val="24"/>
        </w:rPr>
      </w:pPr>
      <w:r w:rsidRPr="00DA4F55">
        <w:rPr>
          <w:rFonts w:ascii="Arial" w:hAnsi="Arial" w:cs="Arial"/>
          <w:b/>
          <w:sz w:val="24"/>
          <w:szCs w:val="24"/>
        </w:rPr>
        <w:t xml:space="preserve">Poland </w:t>
      </w:r>
      <w:r w:rsidR="004E735F" w:rsidRPr="00DA4F55">
        <w:rPr>
          <w:rFonts w:ascii="Arial" w:hAnsi="Arial" w:cs="Arial"/>
          <w:sz w:val="24"/>
          <w:szCs w:val="24"/>
        </w:rPr>
        <w:t>LFL sales</w:t>
      </w:r>
      <w:r w:rsidR="00F7434E" w:rsidRPr="00DA4F55">
        <w:rPr>
          <w:rFonts w:ascii="Arial" w:hAnsi="Arial" w:cs="Arial"/>
          <w:sz w:val="24"/>
          <w:szCs w:val="24"/>
        </w:rPr>
        <w:t xml:space="preserve"> </w:t>
      </w:r>
      <w:r w:rsidR="002D5993">
        <w:rPr>
          <w:rFonts w:ascii="Arial" w:hAnsi="Arial" w:cs="Arial"/>
          <w:sz w:val="24"/>
          <w:szCs w:val="24"/>
        </w:rPr>
        <w:t xml:space="preserve">of </w:t>
      </w:r>
      <w:r w:rsidR="00F7434E" w:rsidRPr="00DA4F55">
        <w:rPr>
          <w:rFonts w:ascii="Arial" w:hAnsi="Arial" w:cs="Arial"/>
          <w:sz w:val="24"/>
          <w:szCs w:val="24"/>
        </w:rPr>
        <w:t xml:space="preserve">seasonal products </w:t>
      </w:r>
      <w:r w:rsidR="002D5993">
        <w:rPr>
          <w:rFonts w:ascii="Arial" w:hAnsi="Arial" w:cs="Arial"/>
          <w:sz w:val="24"/>
          <w:szCs w:val="24"/>
        </w:rPr>
        <w:t xml:space="preserve">up </w:t>
      </w:r>
      <w:r w:rsidR="00CF70AC" w:rsidRPr="00751BCB">
        <w:rPr>
          <w:rFonts w:ascii="Arial" w:hAnsi="Arial" w:cs="Arial"/>
          <w:sz w:val="24"/>
          <w:szCs w:val="24"/>
        </w:rPr>
        <w:t>16.5</w:t>
      </w:r>
      <w:r w:rsidR="002D5993" w:rsidRPr="00751BCB">
        <w:rPr>
          <w:rFonts w:ascii="Arial" w:hAnsi="Arial" w:cs="Arial"/>
          <w:sz w:val="24"/>
          <w:szCs w:val="24"/>
        </w:rPr>
        <w:t>%</w:t>
      </w:r>
      <w:r w:rsidR="002D5993">
        <w:rPr>
          <w:rFonts w:ascii="Arial" w:hAnsi="Arial" w:cs="Arial"/>
          <w:sz w:val="24"/>
          <w:szCs w:val="24"/>
        </w:rPr>
        <w:t xml:space="preserve"> with</w:t>
      </w:r>
      <w:r w:rsidR="00655F40">
        <w:rPr>
          <w:rFonts w:ascii="Arial" w:hAnsi="Arial" w:cs="Arial"/>
          <w:sz w:val="24"/>
          <w:szCs w:val="24"/>
        </w:rPr>
        <w:t xml:space="preserve"> LFL</w:t>
      </w:r>
      <w:r w:rsidR="002D5993">
        <w:rPr>
          <w:rFonts w:ascii="Arial" w:hAnsi="Arial" w:cs="Arial"/>
          <w:sz w:val="24"/>
          <w:szCs w:val="24"/>
        </w:rPr>
        <w:t xml:space="preserve"> sales of </w:t>
      </w:r>
      <w:r w:rsidR="003119ED">
        <w:rPr>
          <w:rFonts w:ascii="Arial" w:hAnsi="Arial" w:cs="Arial"/>
          <w:bCs/>
          <w:sz w:val="24"/>
          <w:szCs w:val="24"/>
        </w:rPr>
        <w:t>non-seasonal</w:t>
      </w:r>
      <w:r w:rsidR="002D5993">
        <w:rPr>
          <w:rFonts w:ascii="Arial" w:hAnsi="Arial" w:cs="Arial"/>
          <w:sz w:val="24"/>
          <w:szCs w:val="24"/>
        </w:rPr>
        <w:t xml:space="preserve"> </w:t>
      </w:r>
      <w:r w:rsidR="002D5993" w:rsidRPr="00440B20">
        <w:rPr>
          <w:rFonts w:ascii="Arial" w:hAnsi="Arial" w:cs="Arial"/>
          <w:sz w:val="24"/>
          <w:szCs w:val="24"/>
        </w:rPr>
        <w:t xml:space="preserve">products up </w:t>
      </w:r>
      <w:r w:rsidR="00CF70AC" w:rsidRPr="00751BCB">
        <w:rPr>
          <w:rFonts w:ascii="Arial" w:hAnsi="Arial" w:cs="Arial"/>
          <w:sz w:val="24"/>
          <w:szCs w:val="24"/>
        </w:rPr>
        <w:t>2.9</w:t>
      </w:r>
      <w:r w:rsidR="002D5993" w:rsidRPr="00751BCB">
        <w:rPr>
          <w:rFonts w:ascii="Arial" w:hAnsi="Arial" w:cs="Arial"/>
          <w:sz w:val="24"/>
          <w:szCs w:val="24"/>
        </w:rPr>
        <w:t>%</w:t>
      </w:r>
    </w:p>
    <w:p w:rsidR="005D4220" w:rsidRPr="005D4220" w:rsidRDefault="005D4220" w:rsidP="00F7434E">
      <w:pPr>
        <w:pStyle w:val="ListParagraph"/>
        <w:numPr>
          <w:ilvl w:val="0"/>
          <w:numId w:val="25"/>
        </w:numPr>
        <w:ind w:left="360"/>
        <w:jc w:val="left"/>
        <w:rPr>
          <w:rFonts w:ascii="Arial" w:hAnsi="Arial" w:cs="Arial"/>
          <w:sz w:val="24"/>
          <w:szCs w:val="24"/>
        </w:rPr>
      </w:pPr>
      <w:r w:rsidRPr="008D6EAC">
        <w:rPr>
          <w:rFonts w:ascii="Arial" w:hAnsi="Arial" w:cs="Arial"/>
          <w:sz w:val="24"/>
          <w:szCs w:val="24"/>
        </w:rPr>
        <w:t xml:space="preserve">Sales in </w:t>
      </w:r>
      <w:r w:rsidRPr="00751BCB">
        <w:rPr>
          <w:rFonts w:ascii="Arial" w:hAnsi="Arial" w:cs="Arial"/>
          <w:b/>
          <w:sz w:val="24"/>
          <w:szCs w:val="24"/>
        </w:rPr>
        <w:t>Russia</w:t>
      </w:r>
      <w:r w:rsidRPr="008D6EAC">
        <w:rPr>
          <w:rFonts w:ascii="Arial" w:hAnsi="Arial" w:cs="Arial"/>
          <w:sz w:val="24"/>
          <w:szCs w:val="24"/>
        </w:rPr>
        <w:t xml:space="preserve"> reflecting</w:t>
      </w:r>
      <w:r>
        <w:rPr>
          <w:rFonts w:ascii="Arial" w:hAnsi="Arial" w:cs="Arial"/>
          <w:sz w:val="24"/>
          <w:szCs w:val="24"/>
        </w:rPr>
        <w:t xml:space="preserve"> more normalised</w:t>
      </w:r>
      <w:r w:rsidRPr="008D6EAC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nsumer spending, after a strong Q1 (+31.3% LFL),</w:t>
      </w:r>
      <w:r w:rsidRPr="008D6EAC">
        <w:rPr>
          <w:rFonts w:ascii="Arial" w:hAnsi="Arial" w:cs="Arial"/>
          <w:sz w:val="24"/>
          <w:szCs w:val="24"/>
        </w:rPr>
        <w:t xml:space="preserve"> in an uncertain market</w:t>
      </w:r>
    </w:p>
    <w:p w:rsidR="00267CA9" w:rsidRPr="00DA4F55" w:rsidRDefault="00267CA9" w:rsidP="009633E5">
      <w:pPr>
        <w:jc w:val="left"/>
        <w:rPr>
          <w:rFonts w:ascii="Arial" w:hAnsi="Arial" w:cs="Arial"/>
          <w:bCs/>
          <w:sz w:val="24"/>
          <w:szCs w:val="24"/>
          <w:vertAlign w:val="superscript"/>
        </w:rPr>
      </w:pPr>
    </w:p>
    <w:p w:rsidR="005D4220" w:rsidRDefault="00FC024F" w:rsidP="00FB017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vertAlign w:val="superscript"/>
        </w:rPr>
        <w:lastRenderedPageBreak/>
        <w:t>1</w:t>
      </w:r>
      <w:r w:rsidRPr="00DA4F55">
        <w:rPr>
          <w:rFonts w:ascii="Arial" w:hAnsi="Arial" w:cs="Arial"/>
          <w:bCs/>
          <w:sz w:val="24"/>
          <w:szCs w:val="24"/>
        </w:rPr>
        <w:t xml:space="preserve"> </w:t>
      </w:r>
      <w:r w:rsidR="00FB0177" w:rsidRPr="00DA4F55">
        <w:rPr>
          <w:rFonts w:ascii="Arial" w:hAnsi="Arial" w:cs="Arial"/>
          <w:bCs/>
          <w:sz w:val="20"/>
          <w:szCs w:val="24"/>
        </w:rPr>
        <w:t>New housing starts and planning consent data* down 7% and 5% respectively during the three months to the end of May 2015</w:t>
      </w:r>
    </w:p>
    <w:p w:rsidR="002D5993" w:rsidRDefault="002D5993" w:rsidP="00B53777">
      <w:pPr>
        <w:jc w:val="left"/>
        <w:rPr>
          <w:rFonts w:ascii="Arial" w:hAnsi="Arial" w:cs="Arial"/>
          <w:b/>
          <w:sz w:val="24"/>
          <w:szCs w:val="24"/>
        </w:rPr>
      </w:pPr>
    </w:p>
    <w:p w:rsidR="00B53777" w:rsidRDefault="00B53777" w:rsidP="00B5377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ENQUIRIES:</w:t>
      </w:r>
    </w:p>
    <w:p w:rsidR="002D5993" w:rsidRDefault="002D5993" w:rsidP="00B53777">
      <w:pPr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483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06"/>
        <w:gridCol w:w="2615"/>
      </w:tblGrid>
      <w:tr w:rsidR="00B53777" w:rsidTr="00F30CD4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53777" w:rsidRDefault="00B53777" w:rsidP="00F30C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Investor Relations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53777" w:rsidRDefault="00B53777" w:rsidP="00F30C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+44 (0) 20 7644 1029</w:t>
            </w:r>
          </w:p>
        </w:tc>
      </w:tr>
      <w:tr w:rsidR="00B53777" w:rsidTr="00F30CD4">
        <w:tc>
          <w:tcPr>
            <w:tcW w:w="359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3777" w:rsidRDefault="00B53777" w:rsidP="00F30CD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3777" w:rsidRDefault="00B53777" w:rsidP="00F30CD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+44 (0) 20 7644 1030</w:t>
            </w:r>
          </w:p>
        </w:tc>
      </w:tr>
      <w:tr w:rsidR="00B53777" w:rsidTr="00F30CD4">
        <w:tc>
          <w:tcPr>
            <w:tcW w:w="35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777" w:rsidRDefault="00B53777" w:rsidP="00F30CD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Brunswick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777" w:rsidRDefault="00B53777" w:rsidP="00F30C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+44 (0) 20 7404 5959</w:t>
            </w:r>
          </w:p>
        </w:tc>
      </w:tr>
    </w:tbl>
    <w:p w:rsidR="00B53777" w:rsidRPr="00B325A7" w:rsidRDefault="00B53777" w:rsidP="00B53777">
      <w:pPr>
        <w:jc w:val="left"/>
        <w:rPr>
          <w:rFonts w:ascii="Arial" w:hAnsi="Arial" w:cs="Arial"/>
          <w:b/>
          <w:sz w:val="24"/>
          <w:szCs w:val="24"/>
        </w:rPr>
      </w:pPr>
    </w:p>
    <w:p w:rsidR="00B53777" w:rsidRDefault="00B53777" w:rsidP="00B5377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F16A72">
        <w:rPr>
          <w:rFonts w:ascii="Arial" w:hAnsi="Arial" w:cs="Arial"/>
          <w:sz w:val="24"/>
          <w:szCs w:val="24"/>
        </w:rPr>
        <w:t xml:space="preserve">his announcement can be downloaded from </w:t>
      </w:r>
      <w:hyperlink r:id="rId8" w:history="1">
        <w:r w:rsidRPr="009020B1">
          <w:rPr>
            <w:rStyle w:val="Hyperlink"/>
            <w:rFonts w:ascii="Arial" w:hAnsi="Arial" w:cs="Arial"/>
            <w:sz w:val="24"/>
            <w:szCs w:val="24"/>
          </w:rPr>
          <w:t>www.kingfisher.com</w:t>
        </w:r>
      </w:hyperlink>
      <w:r>
        <w:rPr>
          <w:rFonts w:ascii="Arial" w:hAnsi="Arial" w:cs="Arial"/>
          <w:sz w:val="24"/>
          <w:szCs w:val="24"/>
        </w:rPr>
        <w:t xml:space="preserve"> o</w:t>
      </w:r>
      <w:r w:rsidRPr="00F16A72">
        <w:rPr>
          <w:rFonts w:ascii="Arial" w:hAnsi="Arial" w:cs="Arial"/>
          <w:sz w:val="24"/>
          <w:szCs w:val="24"/>
        </w:rPr>
        <w:t>r viewed on the Kingfisher IR iPad App</w:t>
      </w:r>
      <w:r>
        <w:rPr>
          <w:rFonts w:ascii="Arial" w:hAnsi="Arial" w:cs="Arial"/>
          <w:sz w:val="24"/>
          <w:szCs w:val="24"/>
        </w:rPr>
        <w:t>.</w:t>
      </w:r>
      <w:r w:rsidRPr="00F16A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Our next announcement</w:t>
      </w:r>
      <w:r w:rsidRPr="00B325A7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</w:t>
      </w:r>
      <w:r w:rsidR="009D1630">
        <w:rPr>
          <w:rFonts w:ascii="Arial" w:hAnsi="Arial" w:cs="Arial"/>
          <w:sz w:val="24"/>
          <w:szCs w:val="24"/>
        </w:rPr>
        <w:t xml:space="preserve">be </w:t>
      </w:r>
      <w:r w:rsidRPr="00B53777">
        <w:rPr>
          <w:rFonts w:ascii="Arial" w:hAnsi="Arial" w:cs="Arial"/>
          <w:sz w:val="24"/>
          <w:szCs w:val="24"/>
        </w:rPr>
        <w:t xml:space="preserve">the interim results for the half year ended </w:t>
      </w:r>
      <w:r w:rsidR="009D1630">
        <w:rPr>
          <w:rFonts w:ascii="Arial" w:hAnsi="Arial" w:cs="Arial"/>
          <w:sz w:val="24"/>
          <w:szCs w:val="24"/>
        </w:rPr>
        <w:t xml:space="preserve">1 </w:t>
      </w:r>
      <w:r w:rsidR="00F8368B">
        <w:rPr>
          <w:rFonts w:ascii="Arial" w:hAnsi="Arial" w:cs="Arial"/>
          <w:sz w:val="24"/>
          <w:szCs w:val="24"/>
        </w:rPr>
        <w:t xml:space="preserve">August </w:t>
      </w:r>
      <w:r w:rsidRPr="00B53777">
        <w:rPr>
          <w:rFonts w:ascii="Arial" w:hAnsi="Arial" w:cs="Arial"/>
          <w:sz w:val="24"/>
          <w:szCs w:val="24"/>
        </w:rPr>
        <w:t>2015 on 15</w:t>
      </w:r>
      <w:r w:rsidRPr="00B5377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53777">
        <w:rPr>
          <w:rFonts w:ascii="Arial" w:hAnsi="Arial" w:cs="Arial"/>
          <w:sz w:val="24"/>
          <w:szCs w:val="24"/>
        </w:rPr>
        <w:t>September 2015.</w:t>
      </w:r>
    </w:p>
    <w:p w:rsidR="00B53777" w:rsidRDefault="00B53777" w:rsidP="00B53777">
      <w:pPr>
        <w:jc w:val="left"/>
        <w:rPr>
          <w:rFonts w:ascii="Arial" w:hAnsi="Arial" w:cs="Arial"/>
          <w:sz w:val="24"/>
          <w:szCs w:val="24"/>
        </w:rPr>
      </w:pPr>
    </w:p>
    <w:p w:rsidR="00B53777" w:rsidRDefault="00B53777" w:rsidP="00B53777">
      <w:pPr>
        <w:jc w:val="left"/>
        <w:rPr>
          <w:rFonts w:ascii="Arial" w:hAnsi="Arial" w:cs="Arial"/>
          <w:sz w:val="24"/>
          <w:szCs w:val="24"/>
        </w:rPr>
      </w:pPr>
      <w:r w:rsidRPr="00F16A72">
        <w:rPr>
          <w:rFonts w:ascii="Arial" w:hAnsi="Arial" w:cs="Arial"/>
          <w:sz w:val="24"/>
          <w:szCs w:val="24"/>
        </w:rPr>
        <w:t>We can be followed on twitter @kingfisherplc</w:t>
      </w:r>
      <w:r>
        <w:rPr>
          <w:rFonts w:ascii="Arial" w:hAnsi="Arial" w:cs="Arial"/>
          <w:sz w:val="24"/>
          <w:szCs w:val="24"/>
        </w:rPr>
        <w:t xml:space="preserve"> with the Q2 results tag #KGFQ2. </w:t>
      </w:r>
    </w:p>
    <w:p w:rsidR="00B53777" w:rsidRDefault="00B53777" w:rsidP="00B53777">
      <w:pPr>
        <w:jc w:val="left"/>
        <w:rPr>
          <w:rFonts w:ascii="Arial" w:hAnsi="Arial" w:cs="Arial"/>
          <w:sz w:val="24"/>
          <w:szCs w:val="24"/>
        </w:rPr>
      </w:pPr>
      <w:r w:rsidRPr="00F16A72">
        <w:rPr>
          <w:rFonts w:ascii="Arial" w:hAnsi="Arial" w:cs="Arial"/>
          <w:sz w:val="24"/>
          <w:szCs w:val="24"/>
        </w:rPr>
        <w:t>Kingfisher American Depository Receipts are traded in the US on the OTCQX platform:</w:t>
      </w:r>
      <w:r>
        <w:rPr>
          <w:rFonts w:ascii="Arial" w:hAnsi="Arial" w:cs="Arial"/>
          <w:sz w:val="24"/>
          <w:szCs w:val="24"/>
        </w:rPr>
        <w:t xml:space="preserve"> </w:t>
      </w:r>
      <w:r w:rsidRPr="00F16A72">
        <w:rPr>
          <w:rFonts w:ascii="Arial" w:hAnsi="Arial" w:cs="Arial"/>
          <w:sz w:val="24"/>
          <w:szCs w:val="24"/>
        </w:rPr>
        <w:t xml:space="preserve">(OTCQX: KGFHY) </w:t>
      </w:r>
      <w:hyperlink r:id="rId9" w:history="1">
        <w:r w:rsidRPr="009020B1">
          <w:rPr>
            <w:rStyle w:val="Hyperlink"/>
            <w:rFonts w:ascii="Arial" w:hAnsi="Arial" w:cs="Arial"/>
            <w:sz w:val="24"/>
            <w:szCs w:val="24"/>
          </w:rPr>
          <w:t>http://www.otcmarkets.com/stock/KGFHY/quote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B53777" w:rsidSect="007F12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409" w:right="1134" w:bottom="720" w:left="1134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FE" w:rsidRDefault="007D02FE">
      <w:r>
        <w:separator/>
      </w:r>
    </w:p>
  </w:endnote>
  <w:endnote w:type="continuationSeparator" w:id="0">
    <w:p w:rsidR="007D02FE" w:rsidRDefault="007D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Calligr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FE" w:rsidRDefault="007D02FE" w:rsidP="00866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7D02FE" w:rsidRDefault="007D02FE" w:rsidP="00866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FE" w:rsidRPr="00574478" w:rsidRDefault="007D02FE" w:rsidP="00574478">
    <w:pPr>
      <w:pStyle w:val="Footer"/>
      <w:jc w:val="right"/>
      <w:rPr>
        <w:rFonts w:ascii="Arial" w:hAnsi="Arial" w:cs="Arial"/>
      </w:rPr>
    </w:pPr>
    <w:r w:rsidRPr="00574478">
      <w:rPr>
        <w:rStyle w:val="PageNumber"/>
        <w:rFonts w:ascii="Arial" w:hAnsi="Arial" w:cs="Arial"/>
      </w:rPr>
      <w:fldChar w:fldCharType="begin"/>
    </w:r>
    <w:r w:rsidRPr="00574478">
      <w:rPr>
        <w:rStyle w:val="PageNumber"/>
        <w:rFonts w:ascii="Arial" w:hAnsi="Arial" w:cs="Arial"/>
      </w:rPr>
      <w:instrText xml:space="preserve"> PAGE </w:instrText>
    </w:r>
    <w:r w:rsidRPr="00574478">
      <w:rPr>
        <w:rStyle w:val="PageNumber"/>
        <w:rFonts w:ascii="Arial" w:hAnsi="Arial" w:cs="Arial"/>
      </w:rPr>
      <w:fldChar w:fldCharType="separate"/>
    </w:r>
    <w:r w:rsidR="00B26A4C">
      <w:rPr>
        <w:rStyle w:val="PageNumber"/>
        <w:rFonts w:ascii="Arial" w:hAnsi="Arial" w:cs="Arial"/>
        <w:noProof/>
      </w:rPr>
      <w:t>2</w:t>
    </w:r>
    <w:r w:rsidRPr="00574478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FA" w:rsidRDefault="00CF1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FE" w:rsidRDefault="007D02FE">
      <w:r>
        <w:separator/>
      </w:r>
    </w:p>
  </w:footnote>
  <w:footnote w:type="continuationSeparator" w:id="0">
    <w:p w:rsidR="007D02FE" w:rsidRDefault="007D0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FA" w:rsidRDefault="00CF1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FE" w:rsidRDefault="008D056C" w:rsidP="008D056C">
    <w:pPr>
      <w:pStyle w:val="Header"/>
      <w:jc w:val="center"/>
    </w:pPr>
    <w:r>
      <w:rPr>
        <w:noProof/>
      </w:rPr>
      <w:drawing>
        <wp:inline distT="0" distB="0" distL="0" distR="0" wp14:anchorId="6483C679" wp14:editId="2E61FAF5">
          <wp:extent cx="1645920" cy="607524"/>
          <wp:effectExtent l="0" t="0" r="0" b="254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723" cy="60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6BE0" w:rsidRPr="002E3B3A" w:rsidRDefault="00586BE0" w:rsidP="00586BE0">
    <w:pPr>
      <w:pStyle w:val="Header"/>
      <w:jc w:val="center"/>
      <w:rPr>
        <w:rFonts w:ascii="Arial" w:hAnsi="Arial" w:cs="Arial"/>
        <w:szCs w:val="22"/>
      </w:rPr>
    </w:pPr>
    <w:r w:rsidRPr="002E3B3A">
      <w:rPr>
        <w:rFonts w:ascii="Arial" w:hAnsi="Arial" w:cs="Arial"/>
        <w:szCs w:val="22"/>
      </w:rPr>
      <w:t>EMBARGOE</w:t>
    </w:r>
    <w:r>
      <w:rPr>
        <w:rFonts w:ascii="Arial" w:hAnsi="Arial" w:cs="Arial"/>
        <w:szCs w:val="22"/>
      </w:rPr>
      <w:t xml:space="preserve">D UNTIL 0700 HOURS – Thursday </w:t>
    </w:r>
    <w:r w:rsidR="00A14633">
      <w:rPr>
        <w:rFonts w:ascii="Arial" w:hAnsi="Arial" w:cs="Arial"/>
        <w:szCs w:val="22"/>
      </w:rPr>
      <w:t xml:space="preserve">23 </w:t>
    </w:r>
    <w:r>
      <w:rPr>
        <w:rFonts w:ascii="Arial" w:hAnsi="Arial" w:cs="Arial"/>
        <w:szCs w:val="22"/>
      </w:rPr>
      <w:t>July</w:t>
    </w:r>
    <w:r w:rsidRPr="002E3B3A">
      <w:rPr>
        <w:rFonts w:ascii="Arial" w:hAnsi="Arial" w:cs="Arial"/>
        <w:szCs w:val="22"/>
      </w:rPr>
      <w:t xml:space="preserve"> </w:t>
    </w:r>
    <w:r w:rsidR="00A14633" w:rsidRPr="002E3B3A">
      <w:rPr>
        <w:rFonts w:ascii="Arial" w:hAnsi="Arial" w:cs="Arial"/>
        <w:szCs w:val="22"/>
      </w:rPr>
      <w:t>201</w:t>
    </w:r>
    <w:r w:rsidR="00A14633">
      <w:rPr>
        <w:rFonts w:ascii="Arial" w:hAnsi="Arial" w:cs="Arial"/>
        <w:szCs w:val="22"/>
      </w:rPr>
      <w:t>5</w:t>
    </w:r>
  </w:p>
  <w:p w:rsidR="00586BE0" w:rsidRDefault="00586BE0" w:rsidP="008D056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FA" w:rsidRDefault="00CF1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9E7"/>
    <w:multiLevelType w:val="hybridMultilevel"/>
    <w:tmpl w:val="334077AC"/>
    <w:lvl w:ilvl="0" w:tplc="8794D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EEB7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1F6583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7E089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BE04E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3D38E5B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C5E49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10A70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774CC6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7D77D89"/>
    <w:multiLevelType w:val="hybridMultilevel"/>
    <w:tmpl w:val="857EC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0123F"/>
    <w:multiLevelType w:val="hybridMultilevel"/>
    <w:tmpl w:val="7CA429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3A5517"/>
    <w:multiLevelType w:val="hybridMultilevel"/>
    <w:tmpl w:val="48881700"/>
    <w:lvl w:ilvl="0" w:tplc="E054A494">
      <w:start w:val="2"/>
      <w:numFmt w:val="decimalZero"/>
      <w:lvlText w:val="%1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4C4693F"/>
    <w:multiLevelType w:val="hybridMultilevel"/>
    <w:tmpl w:val="A1F01F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9C6B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E84359"/>
    <w:multiLevelType w:val="hybridMultilevel"/>
    <w:tmpl w:val="9C68D534"/>
    <w:lvl w:ilvl="0" w:tplc="5B80BCC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2ECF"/>
    <w:multiLevelType w:val="hybridMultilevel"/>
    <w:tmpl w:val="7CA429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444193"/>
    <w:multiLevelType w:val="multilevel"/>
    <w:tmpl w:val="019A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0158D3"/>
    <w:multiLevelType w:val="hybridMultilevel"/>
    <w:tmpl w:val="1D9061F6"/>
    <w:lvl w:ilvl="0" w:tplc="6B8E7E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F43420"/>
    <w:multiLevelType w:val="hybridMultilevel"/>
    <w:tmpl w:val="4D4A9F8E"/>
    <w:lvl w:ilvl="0" w:tplc="0CA43890">
      <w:start w:val="2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C62D9"/>
    <w:multiLevelType w:val="hybridMultilevel"/>
    <w:tmpl w:val="B4ACB1B6"/>
    <w:lvl w:ilvl="0" w:tplc="1310D4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006441"/>
    <w:multiLevelType w:val="hybridMultilevel"/>
    <w:tmpl w:val="FEA259DA"/>
    <w:lvl w:ilvl="0" w:tplc="18E20D6A">
      <w:start w:val="20"/>
      <w:numFmt w:val="decimalZero"/>
      <w:lvlText w:val="%1"/>
      <w:lvlJc w:val="left"/>
      <w:pPr>
        <w:ind w:left="118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9676574"/>
    <w:multiLevelType w:val="hybridMultilevel"/>
    <w:tmpl w:val="B6B244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F6F11"/>
    <w:multiLevelType w:val="hybridMultilevel"/>
    <w:tmpl w:val="7BC0F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852C1"/>
    <w:multiLevelType w:val="hybridMultilevel"/>
    <w:tmpl w:val="1860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D7750"/>
    <w:multiLevelType w:val="hybridMultilevel"/>
    <w:tmpl w:val="CB4A9088"/>
    <w:lvl w:ilvl="0" w:tplc="FBE656C8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77040"/>
    <w:multiLevelType w:val="hybridMultilevel"/>
    <w:tmpl w:val="36DC1692"/>
    <w:lvl w:ilvl="0" w:tplc="969C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C160F9"/>
    <w:multiLevelType w:val="hybridMultilevel"/>
    <w:tmpl w:val="387C4EAE"/>
    <w:lvl w:ilvl="0" w:tplc="03AE9AB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E4799"/>
    <w:multiLevelType w:val="hybridMultilevel"/>
    <w:tmpl w:val="EF2C097C"/>
    <w:lvl w:ilvl="0" w:tplc="66B46E7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57BC8"/>
    <w:multiLevelType w:val="hybridMultilevel"/>
    <w:tmpl w:val="9C4EE822"/>
    <w:lvl w:ilvl="0" w:tplc="97BE02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F30CC1"/>
    <w:multiLevelType w:val="hybridMultilevel"/>
    <w:tmpl w:val="0E8C6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32352D"/>
    <w:multiLevelType w:val="hybridMultilevel"/>
    <w:tmpl w:val="6E2ABF0A"/>
    <w:lvl w:ilvl="0" w:tplc="969C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FA337DF"/>
    <w:multiLevelType w:val="hybridMultilevel"/>
    <w:tmpl w:val="AD309DF0"/>
    <w:lvl w:ilvl="0" w:tplc="8D44164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063A"/>
    <w:multiLevelType w:val="hybridMultilevel"/>
    <w:tmpl w:val="9838444A"/>
    <w:lvl w:ilvl="0" w:tplc="851261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F33029"/>
    <w:multiLevelType w:val="multilevel"/>
    <w:tmpl w:val="B6B244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53F62"/>
    <w:multiLevelType w:val="hybridMultilevel"/>
    <w:tmpl w:val="383A6D0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1A0B20"/>
    <w:multiLevelType w:val="hybridMultilevel"/>
    <w:tmpl w:val="F4EA742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CA70C2E"/>
    <w:multiLevelType w:val="hybridMultilevel"/>
    <w:tmpl w:val="C50A8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B1F27"/>
    <w:multiLevelType w:val="hybridMultilevel"/>
    <w:tmpl w:val="920A2616"/>
    <w:lvl w:ilvl="0" w:tplc="58FC4F8E">
      <w:start w:val="20"/>
      <w:numFmt w:val="decimalZero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B058A"/>
    <w:multiLevelType w:val="hybridMultilevel"/>
    <w:tmpl w:val="00D09708"/>
    <w:lvl w:ilvl="0" w:tplc="C8CE2C1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23"/>
  </w:num>
  <w:num w:numId="5">
    <w:abstractNumId w:val="4"/>
  </w:num>
  <w:num w:numId="6">
    <w:abstractNumId w:val="12"/>
  </w:num>
  <w:num w:numId="7">
    <w:abstractNumId w:val="24"/>
  </w:num>
  <w:num w:numId="8">
    <w:abstractNumId w:val="16"/>
  </w:num>
  <w:num w:numId="9">
    <w:abstractNumId w:val="17"/>
  </w:num>
  <w:num w:numId="10">
    <w:abstractNumId w:val="26"/>
  </w:num>
  <w:num w:numId="11">
    <w:abstractNumId w:val="1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"/>
  </w:num>
  <w:num w:numId="17">
    <w:abstractNumId w:val="6"/>
  </w:num>
  <w:num w:numId="18">
    <w:abstractNumId w:val="27"/>
  </w:num>
  <w:num w:numId="19">
    <w:abstractNumId w:val="0"/>
  </w:num>
  <w:num w:numId="20">
    <w:abstractNumId w:val="28"/>
  </w:num>
  <w:num w:numId="21">
    <w:abstractNumId w:val="9"/>
  </w:num>
  <w:num w:numId="22">
    <w:abstractNumId w:val="3"/>
  </w:num>
  <w:num w:numId="23">
    <w:abstractNumId w:val="11"/>
  </w:num>
  <w:num w:numId="24">
    <w:abstractNumId w:val="20"/>
  </w:num>
  <w:num w:numId="25">
    <w:abstractNumId w:val="14"/>
  </w:num>
  <w:num w:numId="26">
    <w:abstractNumId w:val="13"/>
  </w:num>
  <w:num w:numId="27">
    <w:abstractNumId w:val="5"/>
  </w:num>
  <w:num w:numId="28">
    <w:abstractNumId w:val="22"/>
  </w:num>
  <w:num w:numId="29">
    <w:abstractNumId w:val="15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69"/>
    <w:rsid w:val="00000C62"/>
    <w:rsid w:val="00001ABF"/>
    <w:rsid w:val="00002B9D"/>
    <w:rsid w:val="0000353E"/>
    <w:rsid w:val="00004A29"/>
    <w:rsid w:val="000077C7"/>
    <w:rsid w:val="00010672"/>
    <w:rsid w:val="00010EC9"/>
    <w:rsid w:val="00011491"/>
    <w:rsid w:val="00014846"/>
    <w:rsid w:val="0001673E"/>
    <w:rsid w:val="00017349"/>
    <w:rsid w:val="0001737F"/>
    <w:rsid w:val="000205DF"/>
    <w:rsid w:val="000206F3"/>
    <w:rsid w:val="00020F7B"/>
    <w:rsid w:val="00022842"/>
    <w:rsid w:val="00023E6F"/>
    <w:rsid w:val="0002488D"/>
    <w:rsid w:val="00027D1A"/>
    <w:rsid w:val="00027E09"/>
    <w:rsid w:val="00031334"/>
    <w:rsid w:val="00031791"/>
    <w:rsid w:val="0003183A"/>
    <w:rsid w:val="000318DF"/>
    <w:rsid w:val="00031D3D"/>
    <w:rsid w:val="00034DDC"/>
    <w:rsid w:val="00034E8B"/>
    <w:rsid w:val="00036A8B"/>
    <w:rsid w:val="00037404"/>
    <w:rsid w:val="000413C4"/>
    <w:rsid w:val="000423FF"/>
    <w:rsid w:val="000441FF"/>
    <w:rsid w:val="00044FC2"/>
    <w:rsid w:val="00045949"/>
    <w:rsid w:val="00047FD5"/>
    <w:rsid w:val="00051EBF"/>
    <w:rsid w:val="00053C95"/>
    <w:rsid w:val="000541F4"/>
    <w:rsid w:val="0005717F"/>
    <w:rsid w:val="00060049"/>
    <w:rsid w:val="000622E7"/>
    <w:rsid w:val="00062AB6"/>
    <w:rsid w:val="00063EF0"/>
    <w:rsid w:val="0006468D"/>
    <w:rsid w:val="00064E7C"/>
    <w:rsid w:val="00065175"/>
    <w:rsid w:val="00066705"/>
    <w:rsid w:val="00067EA5"/>
    <w:rsid w:val="00070120"/>
    <w:rsid w:val="00071DB4"/>
    <w:rsid w:val="00072489"/>
    <w:rsid w:val="0007285C"/>
    <w:rsid w:val="0007350D"/>
    <w:rsid w:val="000755C1"/>
    <w:rsid w:val="00076BC8"/>
    <w:rsid w:val="00080209"/>
    <w:rsid w:val="000802F8"/>
    <w:rsid w:val="000819DF"/>
    <w:rsid w:val="000837D3"/>
    <w:rsid w:val="00083BFF"/>
    <w:rsid w:val="0008488A"/>
    <w:rsid w:val="000849D1"/>
    <w:rsid w:val="00085034"/>
    <w:rsid w:val="0008651D"/>
    <w:rsid w:val="00086A2E"/>
    <w:rsid w:val="00091FD4"/>
    <w:rsid w:val="000937A5"/>
    <w:rsid w:val="000947A3"/>
    <w:rsid w:val="00096C69"/>
    <w:rsid w:val="000A1F1B"/>
    <w:rsid w:val="000A25C5"/>
    <w:rsid w:val="000A312D"/>
    <w:rsid w:val="000A554D"/>
    <w:rsid w:val="000A7504"/>
    <w:rsid w:val="000B1881"/>
    <w:rsid w:val="000B25C8"/>
    <w:rsid w:val="000B340F"/>
    <w:rsid w:val="000B3625"/>
    <w:rsid w:val="000B3FD3"/>
    <w:rsid w:val="000B436A"/>
    <w:rsid w:val="000B7971"/>
    <w:rsid w:val="000C093B"/>
    <w:rsid w:val="000C122A"/>
    <w:rsid w:val="000C1C75"/>
    <w:rsid w:val="000C3867"/>
    <w:rsid w:val="000C3AAF"/>
    <w:rsid w:val="000C3D4A"/>
    <w:rsid w:val="000C6276"/>
    <w:rsid w:val="000C6C27"/>
    <w:rsid w:val="000C726D"/>
    <w:rsid w:val="000C782B"/>
    <w:rsid w:val="000C7D42"/>
    <w:rsid w:val="000D2F02"/>
    <w:rsid w:val="000D3708"/>
    <w:rsid w:val="000D5F1B"/>
    <w:rsid w:val="000D62F9"/>
    <w:rsid w:val="000D662E"/>
    <w:rsid w:val="000E020C"/>
    <w:rsid w:val="000E0DC9"/>
    <w:rsid w:val="000E2D96"/>
    <w:rsid w:val="000E319D"/>
    <w:rsid w:val="000E566A"/>
    <w:rsid w:val="000E5899"/>
    <w:rsid w:val="000E7022"/>
    <w:rsid w:val="000E7DA1"/>
    <w:rsid w:val="000F03DD"/>
    <w:rsid w:val="000F107F"/>
    <w:rsid w:val="000F44F6"/>
    <w:rsid w:val="000F622D"/>
    <w:rsid w:val="000F6D7B"/>
    <w:rsid w:val="000F734F"/>
    <w:rsid w:val="000F7949"/>
    <w:rsid w:val="00100C84"/>
    <w:rsid w:val="0010149C"/>
    <w:rsid w:val="00102A51"/>
    <w:rsid w:val="00102B0E"/>
    <w:rsid w:val="00103157"/>
    <w:rsid w:val="00103C24"/>
    <w:rsid w:val="00103C76"/>
    <w:rsid w:val="00103FAD"/>
    <w:rsid w:val="0010662E"/>
    <w:rsid w:val="00107751"/>
    <w:rsid w:val="00110652"/>
    <w:rsid w:val="00110CDE"/>
    <w:rsid w:val="00113FDA"/>
    <w:rsid w:val="001142E7"/>
    <w:rsid w:val="00115D90"/>
    <w:rsid w:val="00116170"/>
    <w:rsid w:val="00116C71"/>
    <w:rsid w:val="00117702"/>
    <w:rsid w:val="00117870"/>
    <w:rsid w:val="00117FB6"/>
    <w:rsid w:val="00120AFF"/>
    <w:rsid w:val="00121ACC"/>
    <w:rsid w:val="00122700"/>
    <w:rsid w:val="00122AAF"/>
    <w:rsid w:val="0012388E"/>
    <w:rsid w:val="00124BFA"/>
    <w:rsid w:val="00124E71"/>
    <w:rsid w:val="00125A18"/>
    <w:rsid w:val="00125F31"/>
    <w:rsid w:val="00126C3C"/>
    <w:rsid w:val="00127E84"/>
    <w:rsid w:val="001308FC"/>
    <w:rsid w:val="00131244"/>
    <w:rsid w:val="001323D4"/>
    <w:rsid w:val="00132DA1"/>
    <w:rsid w:val="00133834"/>
    <w:rsid w:val="0013498A"/>
    <w:rsid w:val="0013557E"/>
    <w:rsid w:val="00135C09"/>
    <w:rsid w:val="00136D11"/>
    <w:rsid w:val="001374B9"/>
    <w:rsid w:val="00137D76"/>
    <w:rsid w:val="00137DED"/>
    <w:rsid w:val="00141147"/>
    <w:rsid w:val="00141725"/>
    <w:rsid w:val="00142342"/>
    <w:rsid w:val="00142B22"/>
    <w:rsid w:val="001439DD"/>
    <w:rsid w:val="00145A34"/>
    <w:rsid w:val="00150AC7"/>
    <w:rsid w:val="00153C00"/>
    <w:rsid w:val="001552F9"/>
    <w:rsid w:val="00156FEA"/>
    <w:rsid w:val="00160AF1"/>
    <w:rsid w:val="00160AFF"/>
    <w:rsid w:val="00160BFB"/>
    <w:rsid w:val="0016129B"/>
    <w:rsid w:val="00161FB0"/>
    <w:rsid w:val="00162220"/>
    <w:rsid w:val="00162398"/>
    <w:rsid w:val="00162ED2"/>
    <w:rsid w:val="00164413"/>
    <w:rsid w:val="001671D8"/>
    <w:rsid w:val="00172333"/>
    <w:rsid w:val="00172F4C"/>
    <w:rsid w:val="0017310F"/>
    <w:rsid w:val="001760CB"/>
    <w:rsid w:val="00176254"/>
    <w:rsid w:val="00176A9F"/>
    <w:rsid w:val="00177A1D"/>
    <w:rsid w:val="00180284"/>
    <w:rsid w:val="00181D91"/>
    <w:rsid w:val="001820E7"/>
    <w:rsid w:val="0018319D"/>
    <w:rsid w:val="00185741"/>
    <w:rsid w:val="0018796F"/>
    <w:rsid w:val="001907B5"/>
    <w:rsid w:val="001961E6"/>
    <w:rsid w:val="001974C1"/>
    <w:rsid w:val="001A2E65"/>
    <w:rsid w:val="001A3734"/>
    <w:rsid w:val="001A5A9E"/>
    <w:rsid w:val="001A6A19"/>
    <w:rsid w:val="001A6B97"/>
    <w:rsid w:val="001A766F"/>
    <w:rsid w:val="001B4529"/>
    <w:rsid w:val="001B55B4"/>
    <w:rsid w:val="001B6938"/>
    <w:rsid w:val="001B7B07"/>
    <w:rsid w:val="001C2A11"/>
    <w:rsid w:val="001C3044"/>
    <w:rsid w:val="001C3FF6"/>
    <w:rsid w:val="001C42C7"/>
    <w:rsid w:val="001C4699"/>
    <w:rsid w:val="001C61AF"/>
    <w:rsid w:val="001C6B19"/>
    <w:rsid w:val="001C74EC"/>
    <w:rsid w:val="001D0547"/>
    <w:rsid w:val="001D3896"/>
    <w:rsid w:val="001D3F8E"/>
    <w:rsid w:val="001D4F2A"/>
    <w:rsid w:val="001D5740"/>
    <w:rsid w:val="001D5EDD"/>
    <w:rsid w:val="001D6653"/>
    <w:rsid w:val="001E0ADF"/>
    <w:rsid w:val="001E1399"/>
    <w:rsid w:val="001E1BF0"/>
    <w:rsid w:val="001E1F68"/>
    <w:rsid w:val="001E26A5"/>
    <w:rsid w:val="001E29CA"/>
    <w:rsid w:val="001E310D"/>
    <w:rsid w:val="001E6656"/>
    <w:rsid w:val="001E6980"/>
    <w:rsid w:val="001E7C85"/>
    <w:rsid w:val="001F09F1"/>
    <w:rsid w:val="001F151F"/>
    <w:rsid w:val="001F240F"/>
    <w:rsid w:val="001F31DE"/>
    <w:rsid w:val="001F4090"/>
    <w:rsid w:val="001F4C43"/>
    <w:rsid w:val="001F64C9"/>
    <w:rsid w:val="001F6F20"/>
    <w:rsid w:val="001F79DD"/>
    <w:rsid w:val="00200BDB"/>
    <w:rsid w:val="00203083"/>
    <w:rsid w:val="0020569F"/>
    <w:rsid w:val="002057A1"/>
    <w:rsid w:val="00205A15"/>
    <w:rsid w:val="00207539"/>
    <w:rsid w:val="00207AC4"/>
    <w:rsid w:val="00211DA3"/>
    <w:rsid w:val="00212BEF"/>
    <w:rsid w:val="00212D78"/>
    <w:rsid w:val="00213517"/>
    <w:rsid w:val="00215200"/>
    <w:rsid w:val="002158A2"/>
    <w:rsid w:val="00216069"/>
    <w:rsid w:val="00216B3D"/>
    <w:rsid w:val="002243B8"/>
    <w:rsid w:val="002314C1"/>
    <w:rsid w:val="00235189"/>
    <w:rsid w:val="002363BD"/>
    <w:rsid w:val="00236424"/>
    <w:rsid w:val="002372D8"/>
    <w:rsid w:val="00242856"/>
    <w:rsid w:val="00242959"/>
    <w:rsid w:val="00243A8E"/>
    <w:rsid w:val="00244441"/>
    <w:rsid w:val="00245446"/>
    <w:rsid w:val="002516D9"/>
    <w:rsid w:val="00252497"/>
    <w:rsid w:val="0025400C"/>
    <w:rsid w:val="002552C7"/>
    <w:rsid w:val="0025641A"/>
    <w:rsid w:val="00257C2E"/>
    <w:rsid w:val="00262B01"/>
    <w:rsid w:val="002639E3"/>
    <w:rsid w:val="00264E0C"/>
    <w:rsid w:val="0026532B"/>
    <w:rsid w:val="00267CA9"/>
    <w:rsid w:val="002704FC"/>
    <w:rsid w:val="00270982"/>
    <w:rsid w:val="00270E05"/>
    <w:rsid w:val="00272C73"/>
    <w:rsid w:val="00273DE1"/>
    <w:rsid w:val="002749FB"/>
    <w:rsid w:val="00275065"/>
    <w:rsid w:val="002775F1"/>
    <w:rsid w:val="00277F5D"/>
    <w:rsid w:val="00280D90"/>
    <w:rsid w:val="00282396"/>
    <w:rsid w:val="00282EBE"/>
    <w:rsid w:val="002846D4"/>
    <w:rsid w:val="00285D1A"/>
    <w:rsid w:val="00287909"/>
    <w:rsid w:val="0029004A"/>
    <w:rsid w:val="0029040C"/>
    <w:rsid w:val="00292B39"/>
    <w:rsid w:val="002954F3"/>
    <w:rsid w:val="00297C2B"/>
    <w:rsid w:val="002A14E8"/>
    <w:rsid w:val="002A254E"/>
    <w:rsid w:val="002A3835"/>
    <w:rsid w:val="002A3B81"/>
    <w:rsid w:val="002A4138"/>
    <w:rsid w:val="002A4C6F"/>
    <w:rsid w:val="002A68DD"/>
    <w:rsid w:val="002A6AFF"/>
    <w:rsid w:val="002B0FE2"/>
    <w:rsid w:val="002B0FF7"/>
    <w:rsid w:val="002B1626"/>
    <w:rsid w:val="002B3983"/>
    <w:rsid w:val="002B3CC6"/>
    <w:rsid w:val="002B6725"/>
    <w:rsid w:val="002C08AA"/>
    <w:rsid w:val="002C0991"/>
    <w:rsid w:val="002C116D"/>
    <w:rsid w:val="002C1B83"/>
    <w:rsid w:val="002C26CF"/>
    <w:rsid w:val="002C3E7C"/>
    <w:rsid w:val="002C768B"/>
    <w:rsid w:val="002C7BD9"/>
    <w:rsid w:val="002D1185"/>
    <w:rsid w:val="002D18EA"/>
    <w:rsid w:val="002D1CCE"/>
    <w:rsid w:val="002D2823"/>
    <w:rsid w:val="002D4803"/>
    <w:rsid w:val="002D5207"/>
    <w:rsid w:val="002D5316"/>
    <w:rsid w:val="002D5993"/>
    <w:rsid w:val="002D7D23"/>
    <w:rsid w:val="002E0088"/>
    <w:rsid w:val="002E03CF"/>
    <w:rsid w:val="002E05B3"/>
    <w:rsid w:val="002E4EF9"/>
    <w:rsid w:val="002E51EF"/>
    <w:rsid w:val="002E751F"/>
    <w:rsid w:val="002E787D"/>
    <w:rsid w:val="002F2C00"/>
    <w:rsid w:val="002F4045"/>
    <w:rsid w:val="002F4A5F"/>
    <w:rsid w:val="002F6674"/>
    <w:rsid w:val="0030015E"/>
    <w:rsid w:val="0030059C"/>
    <w:rsid w:val="00300767"/>
    <w:rsid w:val="0030180A"/>
    <w:rsid w:val="00301E50"/>
    <w:rsid w:val="0030282D"/>
    <w:rsid w:val="0030786A"/>
    <w:rsid w:val="003119ED"/>
    <w:rsid w:val="00312A5D"/>
    <w:rsid w:val="003130EE"/>
    <w:rsid w:val="003146E2"/>
    <w:rsid w:val="00316D05"/>
    <w:rsid w:val="00316FAF"/>
    <w:rsid w:val="0031747B"/>
    <w:rsid w:val="00317EDE"/>
    <w:rsid w:val="00320377"/>
    <w:rsid w:val="003211C9"/>
    <w:rsid w:val="00322B58"/>
    <w:rsid w:val="00324D30"/>
    <w:rsid w:val="00326145"/>
    <w:rsid w:val="00327364"/>
    <w:rsid w:val="00327B7C"/>
    <w:rsid w:val="003313C3"/>
    <w:rsid w:val="00331CB8"/>
    <w:rsid w:val="0033273B"/>
    <w:rsid w:val="003329AF"/>
    <w:rsid w:val="003330E7"/>
    <w:rsid w:val="00333172"/>
    <w:rsid w:val="00333859"/>
    <w:rsid w:val="00334349"/>
    <w:rsid w:val="00334584"/>
    <w:rsid w:val="00335A33"/>
    <w:rsid w:val="003364FD"/>
    <w:rsid w:val="003437E5"/>
    <w:rsid w:val="003438D6"/>
    <w:rsid w:val="00343C2C"/>
    <w:rsid w:val="0034489E"/>
    <w:rsid w:val="00346B96"/>
    <w:rsid w:val="0034721F"/>
    <w:rsid w:val="003474C0"/>
    <w:rsid w:val="003507F0"/>
    <w:rsid w:val="00350F9D"/>
    <w:rsid w:val="00351478"/>
    <w:rsid w:val="00353B1E"/>
    <w:rsid w:val="0035459E"/>
    <w:rsid w:val="0035486E"/>
    <w:rsid w:val="00354A2D"/>
    <w:rsid w:val="00354CD5"/>
    <w:rsid w:val="00360651"/>
    <w:rsid w:val="00360995"/>
    <w:rsid w:val="003612BD"/>
    <w:rsid w:val="00361355"/>
    <w:rsid w:val="00364E33"/>
    <w:rsid w:val="0036583C"/>
    <w:rsid w:val="0036601D"/>
    <w:rsid w:val="0036664B"/>
    <w:rsid w:val="00366908"/>
    <w:rsid w:val="00366929"/>
    <w:rsid w:val="003702A2"/>
    <w:rsid w:val="003727B1"/>
    <w:rsid w:val="00374421"/>
    <w:rsid w:val="00374611"/>
    <w:rsid w:val="00375646"/>
    <w:rsid w:val="0037656C"/>
    <w:rsid w:val="00376FA8"/>
    <w:rsid w:val="0038053F"/>
    <w:rsid w:val="003805D4"/>
    <w:rsid w:val="00381008"/>
    <w:rsid w:val="00381FE5"/>
    <w:rsid w:val="0038240C"/>
    <w:rsid w:val="00382473"/>
    <w:rsid w:val="0038502C"/>
    <w:rsid w:val="0038510F"/>
    <w:rsid w:val="0038594B"/>
    <w:rsid w:val="003902B1"/>
    <w:rsid w:val="003938A6"/>
    <w:rsid w:val="00393C86"/>
    <w:rsid w:val="00393FBA"/>
    <w:rsid w:val="00394B3E"/>
    <w:rsid w:val="003959B3"/>
    <w:rsid w:val="0039714A"/>
    <w:rsid w:val="00397356"/>
    <w:rsid w:val="003A118F"/>
    <w:rsid w:val="003A1AA5"/>
    <w:rsid w:val="003A1DC8"/>
    <w:rsid w:val="003A2C19"/>
    <w:rsid w:val="003A331F"/>
    <w:rsid w:val="003A34BA"/>
    <w:rsid w:val="003A4BB1"/>
    <w:rsid w:val="003A4D48"/>
    <w:rsid w:val="003A64AA"/>
    <w:rsid w:val="003B1766"/>
    <w:rsid w:val="003B17FC"/>
    <w:rsid w:val="003B1F01"/>
    <w:rsid w:val="003B4294"/>
    <w:rsid w:val="003B435B"/>
    <w:rsid w:val="003B4E3A"/>
    <w:rsid w:val="003B5509"/>
    <w:rsid w:val="003B5537"/>
    <w:rsid w:val="003B6AE6"/>
    <w:rsid w:val="003B7EAB"/>
    <w:rsid w:val="003C05DF"/>
    <w:rsid w:val="003C3367"/>
    <w:rsid w:val="003C37A8"/>
    <w:rsid w:val="003C5526"/>
    <w:rsid w:val="003C71BA"/>
    <w:rsid w:val="003D00EC"/>
    <w:rsid w:val="003D132C"/>
    <w:rsid w:val="003D2025"/>
    <w:rsid w:val="003D22BB"/>
    <w:rsid w:val="003D2535"/>
    <w:rsid w:val="003D4317"/>
    <w:rsid w:val="003D497F"/>
    <w:rsid w:val="003D4B27"/>
    <w:rsid w:val="003D560B"/>
    <w:rsid w:val="003E158E"/>
    <w:rsid w:val="003E3975"/>
    <w:rsid w:val="003E484B"/>
    <w:rsid w:val="003E4D08"/>
    <w:rsid w:val="003E6298"/>
    <w:rsid w:val="003F18DB"/>
    <w:rsid w:val="003F1F48"/>
    <w:rsid w:val="003F30D9"/>
    <w:rsid w:val="003F3258"/>
    <w:rsid w:val="003F40D8"/>
    <w:rsid w:val="003F46CB"/>
    <w:rsid w:val="003F6609"/>
    <w:rsid w:val="003F6658"/>
    <w:rsid w:val="00400799"/>
    <w:rsid w:val="0040133A"/>
    <w:rsid w:val="0040192B"/>
    <w:rsid w:val="00401C0E"/>
    <w:rsid w:val="00403BFE"/>
    <w:rsid w:val="004040BF"/>
    <w:rsid w:val="00404552"/>
    <w:rsid w:val="00405113"/>
    <w:rsid w:val="00406AF9"/>
    <w:rsid w:val="00406ECC"/>
    <w:rsid w:val="00407079"/>
    <w:rsid w:val="00407879"/>
    <w:rsid w:val="00410510"/>
    <w:rsid w:val="00410AC4"/>
    <w:rsid w:val="004111FF"/>
    <w:rsid w:val="004117C3"/>
    <w:rsid w:val="00412E8F"/>
    <w:rsid w:val="00413379"/>
    <w:rsid w:val="00414597"/>
    <w:rsid w:val="00414645"/>
    <w:rsid w:val="00414961"/>
    <w:rsid w:val="004153FD"/>
    <w:rsid w:val="00415458"/>
    <w:rsid w:val="00420465"/>
    <w:rsid w:val="004224CB"/>
    <w:rsid w:val="004230FB"/>
    <w:rsid w:val="004247D7"/>
    <w:rsid w:val="004247EC"/>
    <w:rsid w:val="00424EC9"/>
    <w:rsid w:val="004272DB"/>
    <w:rsid w:val="00427A7B"/>
    <w:rsid w:val="00427C0B"/>
    <w:rsid w:val="00432B61"/>
    <w:rsid w:val="00432D36"/>
    <w:rsid w:val="004335BA"/>
    <w:rsid w:val="00434F89"/>
    <w:rsid w:val="00435F18"/>
    <w:rsid w:val="0043600C"/>
    <w:rsid w:val="00440B20"/>
    <w:rsid w:val="0044319C"/>
    <w:rsid w:val="00444ADE"/>
    <w:rsid w:val="00446518"/>
    <w:rsid w:val="00446A0F"/>
    <w:rsid w:val="00446E55"/>
    <w:rsid w:val="004511F5"/>
    <w:rsid w:val="004530A8"/>
    <w:rsid w:val="004567B3"/>
    <w:rsid w:val="00456A0C"/>
    <w:rsid w:val="00457656"/>
    <w:rsid w:val="004618A4"/>
    <w:rsid w:val="00461E1A"/>
    <w:rsid w:val="0046218A"/>
    <w:rsid w:val="004650C8"/>
    <w:rsid w:val="004662BE"/>
    <w:rsid w:val="00466666"/>
    <w:rsid w:val="004675EE"/>
    <w:rsid w:val="00467CAC"/>
    <w:rsid w:val="0047184D"/>
    <w:rsid w:val="00471B06"/>
    <w:rsid w:val="004725EB"/>
    <w:rsid w:val="00472BA8"/>
    <w:rsid w:val="00473218"/>
    <w:rsid w:val="004737D9"/>
    <w:rsid w:val="00473B7E"/>
    <w:rsid w:val="0047568E"/>
    <w:rsid w:val="00476D6D"/>
    <w:rsid w:val="00483D03"/>
    <w:rsid w:val="0048684B"/>
    <w:rsid w:val="00486D58"/>
    <w:rsid w:val="0048732D"/>
    <w:rsid w:val="004874D8"/>
    <w:rsid w:val="00490D64"/>
    <w:rsid w:val="00490EA6"/>
    <w:rsid w:val="00490F9A"/>
    <w:rsid w:val="00491B1D"/>
    <w:rsid w:val="00492A7D"/>
    <w:rsid w:val="00493E01"/>
    <w:rsid w:val="004946B6"/>
    <w:rsid w:val="00495541"/>
    <w:rsid w:val="00496B11"/>
    <w:rsid w:val="00497669"/>
    <w:rsid w:val="004A0778"/>
    <w:rsid w:val="004A1080"/>
    <w:rsid w:val="004A30DC"/>
    <w:rsid w:val="004A3887"/>
    <w:rsid w:val="004A49D1"/>
    <w:rsid w:val="004A5417"/>
    <w:rsid w:val="004A5AD6"/>
    <w:rsid w:val="004A6EF6"/>
    <w:rsid w:val="004A75E4"/>
    <w:rsid w:val="004B05AA"/>
    <w:rsid w:val="004B0F17"/>
    <w:rsid w:val="004B1BB2"/>
    <w:rsid w:val="004B5D48"/>
    <w:rsid w:val="004B6BB9"/>
    <w:rsid w:val="004B7872"/>
    <w:rsid w:val="004C07FF"/>
    <w:rsid w:val="004C1A26"/>
    <w:rsid w:val="004C27BD"/>
    <w:rsid w:val="004C2DD2"/>
    <w:rsid w:val="004C317C"/>
    <w:rsid w:val="004C3674"/>
    <w:rsid w:val="004C3A7B"/>
    <w:rsid w:val="004C3B62"/>
    <w:rsid w:val="004C4BFE"/>
    <w:rsid w:val="004C52FE"/>
    <w:rsid w:val="004C6280"/>
    <w:rsid w:val="004C6878"/>
    <w:rsid w:val="004C6D01"/>
    <w:rsid w:val="004C7BB6"/>
    <w:rsid w:val="004D01A5"/>
    <w:rsid w:val="004D01DC"/>
    <w:rsid w:val="004D0299"/>
    <w:rsid w:val="004D0E42"/>
    <w:rsid w:val="004D2BEB"/>
    <w:rsid w:val="004D3C7E"/>
    <w:rsid w:val="004D5159"/>
    <w:rsid w:val="004D5B28"/>
    <w:rsid w:val="004E01C1"/>
    <w:rsid w:val="004E11E6"/>
    <w:rsid w:val="004E1B62"/>
    <w:rsid w:val="004E3575"/>
    <w:rsid w:val="004E611B"/>
    <w:rsid w:val="004E6632"/>
    <w:rsid w:val="004E69A0"/>
    <w:rsid w:val="004E735F"/>
    <w:rsid w:val="004E75FB"/>
    <w:rsid w:val="004E7E33"/>
    <w:rsid w:val="004F2DCA"/>
    <w:rsid w:val="004F31D0"/>
    <w:rsid w:val="004F396C"/>
    <w:rsid w:val="004F3D7D"/>
    <w:rsid w:val="004F48EB"/>
    <w:rsid w:val="004F5474"/>
    <w:rsid w:val="004F63B9"/>
    <w:rsid w:val="0050064A"/>
    <w:rsid w:val="00500731"/>
    <w:rsid w:val="00500A25"/>
    <w:rsid w:val="00500DE4"/>
    <w:rsid w:val="00502906"/>
    <w:rsid w:val="00503B6F"/>
    <w:rsid w:val="00504429"/>
    <w:rsid w:val="005056EA"/>
    <w:rsid w:val="00505887"/>
    <w:rsid w:val="005076B1"/>
    <w:rsid w:val="00513CFD"/>
    <w:rsid w:val="00514394"/>
    <w:rsid w:val="0051543B"/>
    <w:rsid w:val="005156DB"/>
    <w:rsid w:val="00517855"/>
    <w:rsid w:val="0052027B"/>
    <w:rsid w:val="0052035E"/>
    <w:rsid w:val="005210F1"/>
    <w:rsid w:val="005228AC"/>
    <w:rsid w:val="00523A48"/>
    <w:rsid w:val="005240C7"/>
    <w:rsid w:val="005248DF"/>
    <w:rsid w:val="00524A72"/>
    <w:rsid w:val="00526A04"/>
    <w:rsid w:val="00526A6E"/>
    <w:rsid w:val="00527B73"/>
    <w:rsid w:val="00527CA8"/>
    <w:rsid w:val="00530E41"/>
    <w:rsid w:val="0053135F"/>
    <w:rsid w:val="00531A9F"/>
    <w:rsid w:val="00532519"/>
    <w:rsid w:val="00532A7C"/>
    <w:rsid w:val="00532B33"/>
    <w:rsid w:val="00532B5C"/>
    <w:rsid w:val="005336C1"/>
    <w:rsid w:val="00537B3C"/>
    <w:rsid w:val="00540129"/>
    <w:rsid w:val="0054095E"/>
    <w:rsid w:val="00540A37"/>
    <w:rsid w:val="00541C70"/>
    <w:rsid w:val="00541CAC"/>
    <w:rsid w:val="00541CC0"/>
    <w:rsid w:val="005422F2"/>
    <w:rsid w:val="00542A98"/>
    <w:rsid w:val="00545CC4"/>
    <w:rsid w:val="0054623A"/>
    <w:rsid w:val="0054774E"/>
    <w:rsid w:val="00550CA7"/>
    <w:rsid w:val="00551952"/>
    <w:rsid w:val="005538FA"/>
    <w:rsid w:val="00555468"/>
    <w:rsid w:val="0055548D"/>
    <w:rsid w:val="005567B3"/>
    <w:rsid w:val="005604E8"/>
    <w:rsid w:val="0056050B"/>
    <w:rsid w:val="005612CF"/>
    <w:rsid w:val="005614FF"/>
    <w:rsid w:val="00564D9D"/>
    <w:rsid w:val="00570499"/>
    <w:rsid w:val="00570E34"/>
    <w:rsid w:val="0057168E"/>
    <w:rsid w:val="00571C19"/>
    <w:rsid w:val="00571D37"/>
    <w:rsid w:val="0057214A"/>
    <w:rsid w:val="0057242C"/>
    <w:rsid w:val="0057327E"/>
    <w:rsid w:val="005732A1"/>
    <w:rsid w:val="00573CA1"/>
    <w:rsid w:val="00574478"/>
    <w:rsid w:val="00576A7F"/>
    <w:rsid w:val="00577057"/>
    <w:rsid w:val="00580049"/>
    <w:rsid w:val="00584BC4"/>
    <w:rsid w:val="0058528C"/>
    <w:rsid w:val="00586BE0"/>
    <w:rsid w:val="005911A0"/>
    <w:rsid w:val="005A2CAB"/>
    <w:rsid w:val="005A7722"/>
    <w:rsid w:val="005A7A82"/>
    <w:rsid w:val="005B02D8"/>
    <w:rsid w:val="005B049C"/>
    <w:rsid w:val="005B1271"/>
    <w:rsid w:val="005B33E4"/>
    <w:rsid w:val="005B42B6"/>
    <w:rsid w:val="005B4611"/>
    <w:rsid w:val="005B5483"/>
    <w:rsid w:val="005B6E3C"/>
    <w:rsid w:val="005B6EE0"/>
    <w:rsid w:val="005B77E5"/>
    <w:rsid w:val="005C029C"/>
    <w:rsid w:val="005C036F"/>
    <w:rsid w:val="005C04B5"/>
    <w:rsid w:val="005C05EE"/>
    <w:rsid w:val="005C19AF"/>
    <w:rsid w:val="005C35A3"/>
    <w:rsid w:val="005C4A51"/>
    <w:rsid w:val="005C4DA4"/>
    <w:rsid w:val="005C50C7"/>
    <w:rsid w:val="005C6160"/>
    <w:rsid w:val="005C698F"/>
    <w:rsid w:val="005C76D8"/>
    <w:rsid w:val="005C7F24"/>
    <w:rsid w:val="005D25A2"/>
    <w:rsid w:val="005D2A11"/>
    <w:rsid w:val="005D402A"/>
    <w:rsid w:val="005D4220"/>
    <w:rsid w:val="005D4C7E"/>
    <w:rsid w:val="005D5187"/>
    <w:rsid w:val="005D7524"/>
    <w:rsid w:val="005D772F"/>
    <w:rsid w:val="005E01E0"/>
    <w:rsid w:val="005E1B68"/>
    <w:rsid w:val="005E2EFA"/>
    <w:rsid w:val="005E3F5A"/>
    <w:rsid w:val="005E4208"/>
    <w:rsid w:val="005E4B9E"/>
    <w:rsid w:val="005E4F89"/>
    <w:rsid w:val="005E535C"/>
    <w:rsid w:val="005F0889"/>
    <w:rsid w:val="005F0A5B"/>
    <w:rsid w:val="005F32F1"/>
    <w:rsid w:val="005F529A"/>
    <w:rsid w:val="005F55E4"/>
    <w:rsid w:val="005F57F3"/>
    <w:rsid w:val="005F6BEE"/>
    <w:rsid w:val="005F6EB8"/>
    <w:rsid w:val="005F6EF2"/>
    <w:rsid w:val="005F711B"/>
    <w:rsid w:val="00601311"/>
    <w:rsid w:val="0060245E"/>
    <w:rsid w:val="006040A0"/>
    <w:rsid w:val="00605EF3"/>
    <w:rsid w:val="00605F0B"/>
    <w:rsid w:val="00606309"/>
    <w:rsid w:val="00606D64"/>
    <w:rsid w:val="006100DA"/>
    <w:rsid w:val="00613C30"/>
    <w:rsid w:val="0061453A"/>
    <w:rsid w:val="00616E46"/>
    <w:rsid w:val="00617F61"/>
    <w:rsid w:val="00620261"/>
    <w:rsid w:val="0062080B"/>
    <w:rsid w:val="00623681"/>
    <w:rsid w:val="00624B90"/>
    <w:rsid w:val="00624E3F"/>
    <w:rsid w:val="006250F2"/>
    <w:rsid w:val="00625543"/>
    <w:rsid w:val="00625E6C"/>
    <w:rsid w:val="00630212"/>
    <w:rsid w:val="00632538"/>
    <w:rsid w:val="00632A68"/>
    <w:rsid w:val="00633D09"/>
    <w:rsid w:val="00633D90"/>
    <w:rsid w:val="00636DFB"/>
    <w:rsid w:val="0063706E"/>
    <w:rsid w:val="00637B1E"/>
    <w:rsid w:val="00640422"/>
    <w:rsid w:val="006415CE"/>
    <w:rsid w:val="00641B70"/>
    <w:rsid w:val="00642176"/>
    <w:rsid w:val="0064223B"/>
    <w:rsid w:val="0064377C"/>
    <w:rsid w:val="00643A4C"/>
    <w:rsid w:val="00644999"/>
    <w:rsid w:val="00645274"/>
    <w:rsid w:val="00645392"/>
    <w:rsid w:val="006460B9"/>
    <w:rsid w:val="00647294"/>
    <w:rsid w:val="00650B75"/>
    <w:rsid w:val="00652585"/>
    <w:rsid w:val="00653C89"/>
    <w:rsid w:val="00654D77"/>
    <w:rsid w:val="00655F40"/>
    <w:rsid w:val="00656C3B"/>
    <w:rsid w:val="0065771D"/>
    <w:rsid w:val="00657F59"/>
    <w:rsid w:val="00660AC8"/>
    <w:rsid w:val="00661D2E"/>
    <w:rsid w:val="00663D7A"/>
    <w:rsid w:val="00664524"/>
    <w:rsid w:val="0066710F"/>
    <w:rsid w:val="0066756D"/>
    <w:rsid w:val="006677DD"/>
    <w:rsid w:val="00667E54"/>
    <w:rsid w:val="006710C3"/>
    <w:rsid w:val="00672697"/>
    <w:rsid w:val="00672D2C"/>
    <w:rsid w:val="00674AA4"/>
    <w:rsid w:val="00674C99"/>
    <w:rsid w:val="00675C6D"/>
    <w:rsid w:val="0067703E"/>
    <w:rsid w:val="0068196C"/>
    <w:rsid w:val="00681D2B"/>
    <w:rsid w:val="00681E86"/>
    <w:rsid w:val="00685114"/>
    <w:rsid w:val="00685D32"/>
    <w:rsid w:val="00686474"/>
    <w:rsid w:val="00686A27"/>
    <w:rsid w:val="006918D1"/>
    <w:rsid w:val="00696699"/>
    <w:rsid w:val="006A5358"/>
    <w:rsid w:val="006A5F66"/>
    <w:rsid w:val="006A685A"/>
    <w:rsid w:val="006A6BD2"/>
    <w:rsid w:val="006A6D34"/>
    <w:rsid w:val="006A6F9A"/>
    <w:rsid w:val="006A7978"/>
    <w:rsid w:val="006B108C"/>
    <w:rsid w:val="006B12B9"/>
    <w:rsid w:val="006B55FC"/>
    <w:rsid w:val="006B65A1"/>
    <w:rsid w:val="006B67E9"/>
    <w:rsid w:val="006C5368"/>
    <w:rsid w:val="006C57B9"/>
    <w:rsid w:val="006C7ADC"/>
    <w:rsid w:val="006D1223"/>
    <w:rsid w:val="006D201B"/>
    <w:rsid w:val="006D23C8"/>
    <w:rsid w:val="006D287B"/>
    <w:rsid w:val="006D3ADC"/>
    <w:rsid w:val="006D4A03"/>
    <w:rsid w:val="006D513D"/>
    <w:rsid w:val="006D51FC"/>
    <w:rsid w:val="006D5A60"/>
    <w:rsid w:val="006D77D7"/>
    <w:rsid w:val="006D7993"/>
    <w:rsid w:val="006E1495"/>
    <w:rsid w:val="006E182A"/>
    <w:rsid w:val="006E36A3"/>
    <w:rsid w:val="006E4F99"/>
    <w:rsid w:val="006E7F4A"/>
    <w:rsid w:val="006F06AF"/>
    <w:rsid w:val="006F1141"/>
    <w:rsid w:val="006F11C5"/>
    <w:rsid w:val="006F2306"/>
    <w:rsid w:val="006F2581"/>
    <w:rsid w:val="006F2EA0"/>
    <w:rsid w:val="006F32C3"/>
    <w:rsid w:val="006F77A2"/>
    <w:rsid w:val="006F7CE7"/>
    <w:rsid w:val="0070276D"/>
    <w:rsid w:val="00703183"/>
    <w:rsid w:val="0070448F"/>
    <w:rsid w:val="00705315"/>
    <w:rsid w:val="00706AA6"/>
    <w:rsid w:val="00706CCB"/>
    <w:rsid w:val="00710770"/>
    <w:rsid w:val="00711FD2"/>
    <w:rsid w:val="007124A8"/>
    <w:rsid w:val="00712C24"/>
    <w:rsid w:val="00714633"/>
    <w:rsid w:val="00716777"/>
    <w:rsid w:val="00717221"/>
    <w:rsid w:val="00717704"/>
    <w:rsid w:val="00721F8F"/>
    <w:rsid w:val="00724D5B"/>
    <w:rsid w:val="0072534F"/>
    <w:rsid w:val="0072710D"/>
    <w:rsid w:val="0072775B"/>
    <w:rsid w:val="007278F1"/>
    <w:rsid w:val="007301C9"/>
    <w:rsid w:val="0073026D"/>
    <w:rsid w:val="0073091E"/>
    <w:rsid w:val="00730DB0"/>
    <w:rsid w:val="0073196E"/>
    <w:rsid w:val="00732DBA"/>
    <w:rsid w:val="0073386D"/>
    <w:rsid w:val="00734BDC"/>
    <w:rsid w:val="00734D3A"/>
    <w:rsid w:val="00734E12"/>
    <w:rsid w:val="007354D4"/>
    <w:rsid w:val="00735A89"/>
    <w:rsid w:val="0073635F"/>
    <w:rsid w:val="007403BB"/>
    <w:rsid w:val="00740D99"/>
    <w:rsid w:val="00740EF5"/>
    <w:rsid w:val="00742660"/>
    <w:rsid w:val="007440A5"/>
    <w:rsid w:val="007451E8"/>
    <w:rsid w:val="00745C19"/>
    <w:rsid w:val="007461DD"/>
    <w:rsid w:val="00747DEA"/>
    <w:rsid w:val="0075084A"/>
    <w:rsid w:val="00751B2D"/>
    <w:rsid w:val="00751BCB"/>
    <w:rsid w:val="00754BAF"/>
    <w:rsid w:val="00754F37"/>
    <w:rsid w:val="0075689E"/>
    <w:rsid w:val="00760678"/>
    <w:rsid w:val="007606FE"/>
    <w:rsid w:val="007614B4"/>
    <w:rsid w:val="0076257D"/>
    <w:rsid w:val="0076423A"/>
    <w:rsid w:val="007646D4"/>
    <w:rsid w:val="00765675"/>
    <w:rsid w:val="007658EF"/>
    <w:rsid w:val="00766192"/>
    <w:rsid w:val="007727BA"/>
    <w:rsid w:val="007736C8"/>
    <w:rsid w:val="0077388C"/>
    <w:rsid w:val="00774CE1"/>
    <w:rsid w:val="007763EE"/>
    <w:rsid w:val="007800AC"/>
    <w:rsid w:val="00782840"/>
    <w:rsid w:val="00782E22"/>
    <w:rsid w:val="00782F98"/>
    <w:rsid w:val="00790012"/>
    <w:rsid w:val="007901C8"/>
    <w:rsid w:val="0079163F"/>
    <w:rsid w:val="00791B66"/>
    <w:rsid w:val="00792064"/>
    <w:rsid w:val="00795572"/>
    <w:rsid w:val="00795ADF"/>
    <w:rsid w:val="00796947"/>
    <w:rsid w:val="00796EDF"/>
    <w:rsid w:val="0079701C"/>
    <w:rsid w:val="0079752B"/>
    <w:rsid w:val="007A1E70"/>
    <w:rsid w:val="007A2858"/>
    <w:rsid w:val="007A3A40"/>
    <w:rsid w:val="007A5230"/>
    <w:rsid w:val="007A7391"/>
    <w:rsid w:val="007B0EC5"/>
    <w:rsid w:val="007B25CB"/>
    <w:rsid w:val="007B596F"/>
    <w:rsid w:val="007B68A9"/>
    <w:rsid w:val="007B6E59"/>
    <w:rsid w:val="007B6EE6"/>
    <w:rsid w:val="007C1EAC"/>
    <w:rsid w:val="007C2AD9"/>
    <w:rsid w:val="007C3B39"/>
    <w:rsid w:val="007C3D38"/>
    <w:rsid w:val="007C582F"/>
    <w:rsid w:val="007C742B"/>
    <w:rsid w:val="007D02FE"/>
    <w:rsid w:val="007D125B"/>
    <w:rsid w:val="007D1788"/>
    <w:rsid w:val="007D180F"/>
    <w:rsid w:val="007D1CAD"/>
    <w:rsid w:val="007D232F"/>
    <w:rsid w:val="007D376C"/>
    <w:rsid w:val="007D500C"/>
    <w:rsid w:val="007D7DF5"/>
    <w:rsid w:val="007E0159"/>
    <w:rsid w:val="007E13D2"/>
    <w:rsid w:val="007E1441"/>
    <w:rsid w:val="007E1667"/>
    <w:rsid w:val="007E29D6"/>
    <w:rsid w:val="007E36EE"/>
    <w:rsid w:val="007E47E2"/>
    <w:rsid w:val="007E5D7D"/>
    <w:rsid w:val="007E5F0B"/>
    <w:rsid w:val="007F127E"/>
    <w:rsid w:val="007F1495"/>
    <w:rsid w:val="007F2C8D"/>
    <w:rsid w:val="007F2CDE"/>
    <w:rsid w:val="007F4727"/>
    <w:rsid w:val="008013F4"/>
    <w:rsid w:val="00803E71"/>
    <w:rsid w:val="00804E37"/>
    <w:rsid w:val="00805660"/>
    <w:rsid w:val="008060E4"/>
    <w:rsid w:val="00806B6A"/>
    <w:rsid w:val="0080708F"/>
    <w:rsid w:val="0080719A"/>
    <w:rsid w:val="00811537"/>
    <w:rsid w:val="00811735"/>
    <w:rsid w:val="00811A69"/>
    <w:rsid w:val="00811D3A"/>
    <w:rsid w:val="0081319F"/>
    <w:rsid w:val="00813399"/>
    <w:rsid w:val="00813A4F"/>
    <w:rsid w:val="0081669F"/>
    <w:rsid w:val="00817C23"/>
    <w:rsid w:val="00822429"/>
    <w:rsid w:val="0082268B"/>
    <w:rsid w:val="00823227"/>
    <w:rsid w:val="00824608"/>
    <w:rsid w:val="00827FF1"/>
    <w:rsid w:val="008325B9"/>
    <w:rsid w:val="008332E9"/>
    <w:rsid w:val="0083379C"/>
    <w:rsid w:val="00833D09"/>
    <w:rsid w:val="00833FA4"/>
    <w:rsid w:val="0083638A"/>
    <w:rsid w:val="008370FD"/>
    <w:rsid w:val="008407D7"/>
    <w:rsid w:val="00841578"/>
    <w:rsid w:val="00842931"/>
    <w:rsid w:val="0084450E"/>
    <w:rsid w:val="00844F62"/>
    <w:rsid w:val="0084527F"/>
    <w:rsid w:val="008457C6"/>
    <w:rsid w:val="00846DFB"/>
    <w:rsid w:val="008473EB"/>
    <w:rsid w:val="00847BE7"/>
    <w:rsid w:val="008512B1"/>
    <w:rsid w:val="00851F84"/>
    <w:rsid w:val="00853274"/>
    <w:rsid w:val="00853FEC"/>
    <w:rsid w:val="00854476"/>
    <w:rsid w:val="0085535C"/>
    <w:rsid w:val="008570A8"/>
    <w:rsid w:val="00860B7E"/>
    <w:rsid w:val="008622BC"/>
    <w:rsid w:val="008628DC"/>
    <w:rsid w:val="00862FED"/>
    <w:rsid w:val="008646ED"/>
    <w:rsid w:val="00864E6E"/>
    <w:rsid w:val="00865600"/>
    <w:rsid w:val="00866A20"/>
    <w:rsid w:val="00866ADF"/>
    <w:rsid w:val="00866C87"/>
    <w:rsid w:val="00867C78"/>
    <w:rsid w:val="00870AF9"/>
    <w:rsid w:val="00871B6A"/>
    <w:rsid w:val="00871E23"/>
    <w:rsid w:val="00873491"/>
    <w:rsid w:val="0087355E"/>
    <w:rsid w:val="0087488F"/>
    <w:rsid w:val="00874DEB"/>
    <w:rsid w:val="0087597D"/>
    <w:rsid w:val="0087667E"/>
    <w:rsid w:val="008778C9"/>
    <w:rsid w:val="00883BBA"/>
    <w:rsid w:val="00884702"/>
    <w:rsid w:val="00884C50"/>
    <w:rsid w:val="00885692"/>
    <w:rsid w:val="00885AA8"/>
    <w:rsid w:val="00885D7C"/>
    <w:rsid w:val="008866B7"/>
    <w:rsid w:val="008871D3"/>
    <w:rsid w:val="00887CE6"/>
    <w:rsid w:val="00890BD6"/>
    <w:rsid w:val="00890C76"/>
    <w:rsid w:val="00893A47"/>
    <w:rsid w:val="00894178"/>
    <w:rsid w:val="0089442E"/>
    <w:rsid w:val="00894E5E"/>
    <w:rsid w:val="008A084C"/>
    <w:rsid w:val="008A1113"/>
    <w:rsid w:val="008A132F"/>
    <w:rsid w:val="008A1DDB"/>
    <w:rsid w:val="008A2D19"/>
    <w:rsid w:val="008A6F12"/>
    <w:rsid w:val="008B076E"/>
    <w:rsid w:val="008B0A2B"/>
    <w:rsid w:val="008B0E89"/>
    <w:rsid w:val="008B1C42"/>
    <w:rsid w:val="008B23A4"/>
    <w:rsid w:val="008B2545"/>
    <w:rsid w:val="008B42E0"/>
    <w:rsid w:val="008B5B28"/>
    <w:rsid w:val="008B5C3D"/>
    <w:rsid w:val="008B5D93"/>
    <w:rsid w:val="008B5FA5"/>
    <w:rsid w:val="008B6E23"/>
    <w:rsid w:val="008B7BC1"/>
    <w:rsid w:val="008C13D2"/>
    <w:rsid w:val="008C25BA"/>
    <w:rsid w:val="008C323C"/>
    <w:rsid w:val="008C48EB"/>
    <w:rsid w:val="008C650C"/>
    <w:rsid w:val="008C788B"/>
    <w:rsid w:val="008D036B"/>
    <w:rsid w:val="008D056C"/>
    <w:rsid w:val="008D0E98"/>
    <w:rsid w:val="008D353B"/>
    <w:rsid w:val="008D6EAC"/>
    <w:rsid w:val="008E2BDF"/>
    <w:rsid w:val="008E3C38"/>
    <w:rsid w:val="008E49A9"/>
    <w:rsid w:val="008E7544"/>
    <w:rsid w:val="008F0BC7"/>
    <w:rsid w:val="008F18E8"/>
    <w:rsid w:val="008F3508"/>
    <w:rsid w:val="008F4D32"/>
    <w:rsid w:val="008F5D45"/>
    <w:rsid w:val="008F5E4F"/>
    <w:rsid w:val="008F60FF"/>
    <w:rsid w:val="008F6565"/>
    <w:rsid w:val="008F66CE"/>
    <w:rsid w:val="008F6B96"/>
    <w:rsid w:val="008F6D3B"/>
    <w:rsid w:val="009010C9"/>
    <w:rsid w:val="00902BF6"/>
    <w:rsid w:val="00902C0E"/>
    <w:rsid w:val="0090306D"/>
    <w:rsid w:val="009045A0"/>
    <w:rsid w:val="0090599F"/>
    <w:rsid w:val="00911553"/>
    <w:rsid w:val="0091243D"/>
    <w:rsid w:val="00914B18"/>
    <w:rsid w:val="00916626"/>
    <w:rsid w:val="009168DC"/>
    <w:rsid w:val="00916A29"/>
    <w:rsid w:val="00917603"/>
    <w:rsid w:val="009209D7"/>
    <w:rsid w:val="00921676"/>
    <w:rsid w:val="009216CE"/>
    <w:rsid w:val="009225E6"/>
    <w:rsid w:val="0092417F"/>
    <w:rsid w:val="00926D56"/>
    <w:rsid w:val="00926ED0"/>
    <w:rsid w:val="00926FC5"/>
    <w:rsid w:val="00927DA4"/>
    <w:rsid w:val="0093078A"/>
    <w:rsid w:val="00933C8C"/>
    <w:rsid w:val="0093576F"/>
    <w:rsid w:val="0093641D"/>
    <w:rsid w:val="00940ACC"/>
    <w:rsid w:val="009414DB"/>
    <w:rsid w:val="00941D38"/>
    <w:rsid w:val="009432D8"/>
    <w:rsid w:val="009442E3"/>
    <w:rsid w:val="00944516"/>
    <w:rsid w:val="00945E9B"/>
    <w:rsid w:val="00946AEF"/>
    <w:rsid w:val="0094776D"/>
    <w:rsid w:val="009477CA"/>
    <w:rsid w:val="00947EE9"/>
    <w:rsid w:val="00950094"/>
    <w:rsid w:val="00951DAE"/>
    <w:rsid w:val="009520E6"/>
    <w:rsid w:val="00952EB4"/>
    <w:rsid w:val="009534ED"/>
    <w:rsid w:val="00953BBB"/>
    <w:rsid w:val="00955229"/>
    <w:rsid w:val="00955F74"/>
    <w:rsid w:val="00956C1E"/>
    <w:rsid w:val="00957196"/>
    <w:rsid w:val="00961DAE"/>
    <w:rsid w:val="009633E5"/>
    <w:rsid w:val="00964046"/>
    <w:rsid w:val="00965341"/>
    <w:rsid w:val="00965C04"/>
    <w:rsid w:val="00965EB5"/>
    <w:rsid w:val="0096715D"/>
    <w:rsid w:val="00972D30"/>
    <w:rsid w:val="00972DB0"/>
    <w:rsid w:val="00973247"/>
    <w:rsid w:val="00973C3A"/>
    <w:rsid w:val="0097448B"/>
    <w:rsid w:val="00975088"/>
    <w:rsid w:val="00975B6A"/>
    <w:rsid w:val="009764EF"/>
    <w:rsid w:val="0097669C"/>
    <w:rsid w:val="00983726"/>
    <w:rsid w:val="00985858"/>
    <w:rsid w:val="00990623"/>
    <w:rsid w:val="00991532"/>
    <w:rsid w:val="00991F67"/>
    <w:rsid w:val="0099469B"/>
    <w:rsid w:val="009954CF"/>
    <w:rsid w:val="00995513"/>
    <w:rsid w:val="009955F4"/>
    <w:rsid w:val="00996FC3"/>
    <w:rsid w:val="009A0160"/>
    <w:rsid w:val="009A2816"/>
    <w:rsid w:val="009A468D"/>
    <w:rsid w:val="009A4D67"/>
    <w:rsid w:val="009B0A8D"/>
    <w:rsid w:val="009B10D7"/>
    <w:rsid w:val="009B1236"/>
    <w:rsid w:val="009B2DA1"/>
    <w:rsid w:val="009B40E0"/>
    <w:rsid w:val="009B4AFA"/>
    <w:rsid w:val="009B53E8"/>
    <w:rsid w:val="009B640A"/>
    <w:rsid w:val="009B6E95"/>
    <w:rsid w:val="009C3477"/>
    <w:rsid w:val="009C34D3"/>
    <w:rsid w:val="009C3842"/>
    <w:rsid w:val="009C656B"/>
    <w:rsid w:val="009C676E"/>
    <w:rsid w:val="009C6C0E"/>
    <w:rsid w:val="009C6F9A"/>
    <w:rsid w:val="009D1630"/>
    <w:rsid w:val="009D17C1"/>
    <w:rsid w:val="009D17DB"/>
    <w:rsid w:val="009D2B8D"/>
    <w:rsid w:val="009D38F3"/>
    <w:rsid w:val="009D4447"/>
    <w:rsid w:val="009D5555"/>
    <w:rsid w:val="009D69D8"/>
    <w:rsid w:val="009D6FB8"/>
    <w:rsid w:val="009D7C81"/>
    <w:rsid w:val="009E0983"/>
    <w:rsid w:val="009E20B6"/>
    <w:rsid w:val="009E2E6D"/>
    <w:rsid w:val="009E3551"/>
    <w:rsid w:val="009E399D"/>
    <w:rsid w:val="009E4CBE"/>
    <w:rsid w:val="009E5663"/>
    <w:rsid w:val="009E7999"/>
    <w:rsid w:val="009F0828"/>
    <w:rsid w:val="009F0D42"/>
    <w:rsid w:val="009F1475"/>
    <w:rsid w:val="009F155C"/>
    <w:rsid w:val="009F16FA"/>
    <w:rsid w:val="009F33AF"/>
    <w:rsid w:val="009F71CD"/>
    <w:rsid w:val="00A003A8"/>
    <w:rsid w:val="00A01515"/>
    <w:rsid w:val="00A02FE7"/>
    <w:rsid w:val="00A04BEA"/>
    <w:rsid w:val="00A05A3F"/>
    <w:rsid w:val="00A067E0"/>
    <w:rsid w:val="00A1026C"/>
    <w:rsid w:val="00A12F8E"/>
    <w:rsid w:val="00A1370E"/>
    <w:rsid w:val="00A1438B"/>
    <w:rsid w:val="00A14633"/>
    <w:rsid w:val="00A14671"/>
    <w:rsid w:val="00A14AF2"/>
    <w:rsid w:val="00A165C4"/>
    <w:rsid w:val="00A16A45"/>
    <w:rsid w:val="00A2082C"/>
    <w:rsid w:val="00A21362"/>
    <w:rsid w:val="00A22F06"/>
    <w:rsid w:val="00A22F44"/>
    <w:rsid w:val="00A249C9"/>
    <w:rsid w:val="00A255A2"/>
    <w:rsid w:val="00A32E99"/>
    <w:rsid w:val="00A33956"/>
    <w:rsid w:val="00A3514D"/>
    <w:rsid w:val="00A3520A"/>
    <w:rsid w:val="00A358C0"/>
    <w:rsid w:val="00A361FE"/>
    <w:rsid w:val="00A36758"/>
    <w:rsid w:val="00A37CA1"/>
    <w:rsid w:val="00A406B7"/>
    <w:rsid w:val="00A43EB8"/>
    <w:rsid w:val="00A446A7"/>
    <w:rsid w:val="00A452CC"/>
    <w:rsid w:val="00A45F98"/>
    <w:rsid w:val="00A5115F"/>
    <w:rsid w:val="00A53BB9"/>
    <w:rsid w:val="00A55864"/>
    <w:rsid w:val="00A56FE3"/>
    <w:rsid w:val="00A576D3"/>
    <w:rsid w:val="00A6091A"/>
    <w:rsid w:val="00A61181"/>
    <w:rsid w:val="00A62FB3"/>
    <w:rsid w:val="00A64FE9"/>
    <w:rsid w:val="00A659C8"/>
    <w:rsid w:val="00A65A41"/>
    <w:rsid w:val="00A6702C"/>
    <w:rsid w:val="00A675FF"/>
    <w:rsid w:val="00A676A0"/>
    <w:rsid w:val="00A67C49"/>
    <w:rsid w:val="00A7711C"/>
    <w:rsid w:val="00A80BFB"/>
    <w:rsid w:val="00A8125A"/>
    <w:rsid w:val="00A81D28"/>
    <w:rsid w:val="00A8334E"/>
    <w:rsid w:val="00A83846"/>
    <w:rsid w:val="00A84D71"/>
    <w:rsid w:val="00A853F0"/>
    <w:rsid w:val="00A86D22"/>
    <w:rsid w:val="00A86E62"/>
    <w:rsid w:val="00A8709D"/>
    <w:rsid w:val="00A8754D"/>
    <w:rsid w:val="00A90D08"/>
    <w:rsid w:val="00A91301"/>
    <w:rsid w:val="00A92186"/>
    <w:rsid w:val="00A92C8E"/>
    <w:rsid w:val="00A935AA"/>
    <w:rsid w:val="00A95425"/>
    <w:rsid w:val="00A9568C"/>
    <w:rsid w:val="00A97BA6"/>
    <w:rsid w:val="00AA065B"/>
    <w:rsid w:val="00AA23A3"/>
    <w:rsid w:val="00AA34D0"/>
    <w:rsid w:val="00AA4BD1"/>
    <w:rsid w:val="00AA5F33"/>
    <w:rsid w:val="00AA60A6"/>
    <w:rsid w:val="00AA61BF"/>
    <w:rsid w:val="00AA7834"/>
    <w:rsid w:val="00AB026D"/>
    <w:rsid w:val="00AB4D48"/>
    <w:rsid w:val="00AB504D"/>
    <w:rsid w:val="00AB54A4"/>
    <w:rsid w:val="00AC13E8"/>
    <w:rsid w:val="00AC19EA"/>
    <w:rsid w:val="00AC1C70"/>
    <w:rsid w:val="00AC2F71"/>
    <w:rsid w:val="00AC3FFD"/>
    <w:rsid w:val="00AC4A20"/>
    <w:rsid w:val="00AD02FE"/>
    <w:rsid w:val="00AD267B"/>
    <w:rsid w:val="00AD2A62"/>
    <w:rsid w:val="00AD4F5E"/>
    <w:rsid w:val="00AD7197"/>
    <w:rsid w:val="00AD7411"/>
    <w:rsid w:val="00AE054E"/>
    <w:rsid w:val="00AE350F"/>
    <w:rsid w:val="00AE3D45"/>
    <w:rsid w:val="00AE484A"/>
    <w:rsid w:val="00AE6BB4"/>
    <w:rsid w:val="00AE726A"/>
    <w:rsid w:val="00AE7C36"/>
    <w:rsid w:val="00AF28BF"/>
    <w:rsid w:val="00AF2E6C"/>
    <w:rsid w:val="00AF49D6"/>
    <w:rsid w:val="00AF57ED"/>
    <w:rsid w:val="00AF5DF4"/>
    <w:rsid w:val="00AF6969"/>
    <w:rsid w:val="00AF7F5F"/>
    <w:rsid w:val="00B018E0"/>
    <w:rsid w:val="00B02F4C"/>
    <w:rsid w:val="00B03946"/>
    <w:rsid w:val="00B05955"/>
    <w:rsid w:val="00B1001E"/>
    <w:rsid w:val="00B12AE5"/>
    <w:rsid w:val="00B12F69"/>
    <w:rsid w:val="00B13BC5"/>
    <w:rsid w:val="00B156C3"/>
    <w:rsid w:val="00B176DB"/>
    <w:rsid w:val="00B17E8A"/>
    <w:rsid w:val="00B208D1"/>
    <w:rsid w:val="00B214B7"/>
    <w:rsid w:val="00B21524"/>
    <w:rsid w:val="00B217D7"/>
    <w:rsid w:val="00B2223C"/>
    <w:rsid w:val="00B22364"/>
    <w:rsid w:val="00B2260E"/>
    <w:rsid w:val="00B24BC2"/>
    <w:rsid w:val="00B25BF0"/>
    <w:rsid w:val="00B26141"/>
    <w:rsid w:val="00B26206"/>
    <w:rsid w:val="00B26A4C"/>
    <w:rsid w:val="00B30A6F"/>
    <w:rsid w:val="00B317A9"/>
    <w:rsid w:val="00B31B5D"/>
    <w:rsid w:val="00B32CB6"/>
    <w:rsid w:val="00B333EB"/>
    <w:rsid w:val="00B33E16"/>
    <w:rsid w:val="00B34576"/>
    <w:rsid w:val="00B35520"/>
    <w:rsid w:val="00B361B3"/>
    <w:rsid w:val="00B4106C"/>
    <w:rsid w:val="00B41B89"/>
    <w:rsid w:val="00B43128"/>
    <w:rsid w:val="00B4319A"/>
    <w:rsid w:val="00B44132"/>
    <w:rsid w:val="00B4571B"/>
    <w:rsid w:val="00B461D8"/>
    <w:rsid w:val="00B506BB"/>
    <w:rsid w:val="00B51176"/>
    <w:rsid w:val="00B527CA"/>
    <w:rsid w:val="00B52DE0"/>
    <w:rsid w:val="00B53777"/>
    <w:rsid w:val="00B539DB"/>
    <w:rsid w:val="00B551B7"/>
    <w:rsid w:val="00B563CB"/>
    <w:rsid w:val="00B570B9"/>
    <w:rsid w:val="00B57298"/>
    <w:rsid w:val="00B6162C"/>
    <w:rsid w:val="00B7252B"/>
    <w:rsid w:val="00B7579E"/>
    <w:rsid w:val="00B76243"/>
    <w:rsid w:val="00B76549"/>
    <w:rsid w:val="00B81307"/>
    <w:rsid w:val="00B81613"/>
    <w:rsid w:val="00B81E79"/>
    <w:rsid w:val="00B83CC1"/>
    <w:rsid w:val="00B840D5"/>
    <w:rsid w:val="00B841B8"/>
    <w:rsid w:val="00B8430A"/>
    <w:rsid w:val="00B84418"/>
    <w:rsid w:val="00B84C8D"/>
    <w:rsid w:val="00B87077"/>
    <w:rsid w:val="00B910C5"/>
    <w:rsid w:val="00B9168A"/>
    <w:rsid w:val="00B91E0D"/>
    <w:rsid w:val="00B929BF"/>
    <w:rsid w:val="00B9396A"/>
    <w:rsid w:val="00B940BD"/>
    <w:rsid w:val="00B949C4"/>
    <w:rsid w:val="00B96B15"/>
    <w:rsid w:val="00B972F1"/>
    <w:rsid w:val="00B979B3"/>
    <w:rsid w:val="00BA0910"/>
    <w:rsid w:val="00BA174F"/>
    <w:rsid w:val="00BA2473"/>
    <w:rsid w:val="00BA5B25"/>
    <w:rsid w:val="00BA6BD9"/>
    <w:rsid w:val="00BA6E68"/>
    <w:rsid w:val="00BA7919"/>
    <w:rsid w:val="00BB1340"/>
    <w:rsid w:val="00BB4275"/>
    <w:rsid w:val="00BB70CB"/>
    <w:rsid w:val="00BC07E0"/>
    <w:rsid w:val="00BC1F4F"/>
    <w:rsid w:val="00BC203D"/>
    <w:rsid w:val="00BC2A67"/>
    <w:rsid w:val="00BC2F8A"/>
    <w:rsid w:val="00BC38B6"/>
    <w:rsid w:val="00BC3F2B"/>
    <w:rsid w:val="00BC5644"/>
    <w:rsid w:val="00BC572A"/>
    <w:rsid w:val="00BC5835"/>
    <w:rsid w:val="00BC5848"/>
    <w:rsid w:val="00BC79BC"/>
    <w:rsid w:val="00BD243D"/>
    <w:rsid w:val="00BD3584"/>
    <w:rsid w:val="00BD385A"/>
    <w:rsid w:val="00BD4C57"/>
    <w:rsid w:val="00BD6688"/>
    <w:rsid w:val="00BE0B26"/>
    <w:rsid w:val="00BE30B8"/>
    <w:rsid w:val="00BE31A3"/>
    <w:rsid w:val="00BE65DA"/>
    <w:rsid w:val="00BE6E92"/>
    <w:rsid w:val="00BE74E1"/>
    <w:rsid w:val="00BF2050"/>
    <w:rsid w:val="00BF388B"/>
    <w:rsid w:val="00BF661B"/>
    <w:rsid w:val="00BF6F4C"/>
    <w:rsid w:val="00C00005"/>
    <w:rsid w:val="00C002B5"/>
    <w:rsid w:val="00C00A75"/>
    <w:rsid w:val="00C022E0"/>
    <w:rsid w:val="00C02D5D"/>
    <w:rsid w:val="00C02FEB"/>
    <w:rsid w:val="00C03DF0"/>
    <w:rsid w:val="00C03E90"/>
    <w:rsid w:val="00C0726C"/>
    <w:rsid w:val="00C10F0B"/>
    <w:rsid w:val="00C14158"/>
    <w:rsid w:val="00C16ED3"/>
    <w:rsid w:val="00C170B0"/>
    <w:rsid w:val="00C171F4"/>
    <w:rsid w:val="00C176E2"/>
    <w:rsid w:val="00C17B89"/>
    <w:rsid w:val="00C206FD"/>
    <w:rsid w:val="00C20F45"/>
    <w:rsid w:val="00C216E0"/>
    <w:rsid w:val="00C21CA5"/>
    <w:rsid w:val="00C24ED5"/>
    <w:rsid w:val="00C312B8"/>
    <w:rsid w:val="00C31B1F"/>
    <w:rsid w:val="00C325C0"/>
    <w:rsid w:val="00C3285B"/>
    <w:rsid w:val="00C3315A"/>
    <w:rsid w:val="00C337FC"/>
    <w:rsid w:val="00C3416D"/>
    <w:rsid w:val="00C346FB"/>
    <w:rsid w:val="00C357A4"/>
    <w:rsid w:val="00C40B38"/>
    <w:rsid w:val="00C43846"/>
    <w:rsid w:val="00C45010"/>
    <w:rsid w:val="00C45DFD"/>
    <w:rsid w:val="00C46365"/>
    <w:rsid w:val="00C472EB"/>
    <w:rsid w:val="00C4736F"/>
    <w:rsid w:val="00C474AE"/>
    <w:rsid w:val="00C4781F"/>
    <w:rsid w:val="00C50E52"/>
    <w:rsid w:val="00C54FD0"/>
    <w:rsid w:val="00C5592A"/>
    <w:rsid w:val="00C56878"/>
    <w:rsid w:val="00C6289C"/>
    <w:rsid w:val="00C63341"/>
    <w:rsid w:val="00C63901"/>
    <w:rsid w:val="00C640BF"/>
    <w:rsid w:val="00C663F0"/>
    <w:rsid w:val="00C6674B"/>
    <w:rsid w:val="00C66E40"/>
    <w:rsid w:val="00C66FEC"/>
    <w:rsid w:val="00C70324"/>
    <w:rsid w:val="00C7060E"/>
    <w:rsid w:val="00C71FC3"/>
    <w:rsid w:val="00C7212A"/>
    <w:rsid w:val="00C73BB4"/>
    <w:rsid w:val="00C744B4"/>
    <w:rsid w:val="00C74E78"/>
    <w:rsid w:val="00C758C8"/>
    <w:rsid w:val="00C76CE5"/>
    <w:rsid w:val="00C77F86"/>
    <w:rsid w:val="00C81441"/>
    <w:rsid w:val="00C819C5"/>
    <w:rsid w:val="00C81FC8"/>
    <w:rsid w:val="00C82D0E"/>
    <w:rsid w:val="00C82D48"/>
    <w:rsid w:val="00C830C8"/>
    <w:rsid w:val="00C84262"/>
    <w:rsid w:val="00C8542D"/>
    <w:rsid w:val="00C871FB"/>
    <w:rsid w:val="00C872C2"/>
    <w:rsid w:val="00C9224B"/>
    <w:rsid w:val="00C9367C"/>
    <w:rsid w:val="00C93D34"/>
    <w:rsid w:val="00C95686"/>
    <w:rsid w:val="00C96095"/>
    <w:rsid w:val="00C9640B"/>
    <w:rsid w:val="00C96FD2"/>
    <w:rsid w:val="00CA01D6"/>
    <w:rsid w:val="00CA025C"/>
    <w:rsid w:val="00CA24C3"/>
    <w:rsid w:val="00CA2DCF"/>
    <w:rsid w:val="00CA391C"/>
    <w:rsid w:val="00CA43A5"/>
    <w:rsid w:val="00CA5396"/>
    <w:rsid w:val="00CA5B1E"/>
    <w:rsid w:val="00CA5C15"/>
    <w:rsid w:val="00CA7961"/>
    <w:rsid w:val="00CA7E67"/>
    <w:rsid w:val="00CB0273"/>
    <w:rsid w:val="00CB15A5"/>
    <w:rsid w:val="00CB1B2F"/>
    <w:rsid w:val="00CB2FE9"/>
    <w:rsid w:val="00CB33FE"/>
    <w:rsid w:val="00CB41AE"/>
    <w:rsid w:val="00CB450F"/>
    <w:rsid w:val="00CB46FA"/>
    <w:rsid w:val="00CB6E9E"/>
    <w:rsid w:val="00CB6F76"/>
    <w:rsid w:val="00CB7BF1"/>
    <w:rsid w:val="00CC0A9C"/>
    <w:rsid w:val="00CC152C"/>
    <w:rsid w:val="00CC2842"/>
    <w:rsid w:val="00CC3878"/>
    <w:rsid w:val="00CC5E86"/>
    <w:rsid w:val="00CC7DA8"/>
    <w:rsid w:val="00CD01B3"/>
    <w:rsid w:val="00CD0A76"/>
    <w:rsid w:val="00CD16B8"/>
    <w:rsid w:val="00CD19C4"/>
    <w:rsid w:val="00CD27DE"/>
    <w:rsid w:val="00CD4734"/>
    <w:rsid w:val="00CD67B3"/>
    <w:rsid w:val="00CD704A"/>
    <w:rsid w:val="00CD72DA"/>
    <w:rsid w:val="00CE1E70"/>
    <w:rsid w:val="00CE6F08"/>
    <w:rsid w:val="00CE726F"/>
    <w:rsid w:val="00CF049F"/>
    <w:rsid w:val="00CF19FA"/>
    <w:rsid w:val="00CF382C"/>
    <w:rsid w:val="00CF4604"/>
    <w:rsid w:val="00CF66A3"/>
    <w:rsid w:val="00CF6ED9"/>
    <w:rsid w:val="00CF70AC"/>
    <w:rsid w:val="00CF7E8E"/>
    <w:rsid w:val="00D026D2"/>
    <w:rsid w:val="00D03FEE"/>
    <w:rsid w:val="00D04361"/>
    <w:rsid w:val="00D045E2"/>
    <w:rsid w:val="00D04A1B"/>
    <w:rsid w:val="00D05583"/>
    <w:rsid w:val="00D05B80"/>
    <w:rsid w:val="00D06644"/>
    <w:rsid w:val="00D06D90"/>
    <w:rsid w:val="00D11B92"/>
    <w:rsid w:val="00D11DED"/>
    <w:rsid w:val="00D123A3"/>
    <w:rsid w:val="00D12943"/>
    <w:rsid w:val="00D15D85"/>
    <w:rsid w:val="00D1792E"/>
    <w:rsid w:val="00D21517"/>
    <w:rsid w:val="00D21736"/>
    <w:rsid w:val="00D2336E"/>
    <w:rsid w:val="00D23404"/>
    <w:rsid w:val="00D23EF4"/>
    <w:rsid w:val="00D257EA"/>
    <w:rsid w:val="00D27B2A"/>
    <w:rsid w:val="00D27BF8"/>
    <w:rsid w:val="00D3129E"/>
    <w:rsid w:val="00D331DA"/>
    <w:rsid w:val="00D3488A"/>
    <w:rsid w:val="00D34D77"/>
    <w:rsid w:val="00D34FF2"/>
    <w:rsid w:val="00D36E4F"/>
    <w:rsid w:val="00D3720C"/>
    <w:rsid w:val="00D41B77"/>
    <w:rsid w:val="00D41C90"/>
    <w:rsid w:val="00D43605"/>
    <w:rsid w:val="00D44794"/>
    <w:rsid w:val="00D456CD"/>
    <w:rsid w:val="00D476C0"/>
    <w:rsid w:val="00D47ACE"/>
    <w:rsid w:val="00D47D03"/>
    <w:rsid w:val="00D47F15"/>
    <w:rsid w:val="00D5026A"/>
    <w:rsid w:val="00D514A7"/>
    <w:rsid w:val="00D51BB0"/>
    <w:rsid w:val="00D53276"/>
    <w:rsid w:val="00D53EE4"/>
    <w:rsid w:val="00D54804"/>
    <w:rsid w:val="00D5634F"/>
    <w:rsid w:val="00D563FD"/>
    <w:rsid w:val="00D601FA"/>
    <w:rsid w:val="00D604A6"/>
    <w:rsid w:val="00D605BD"/>
    <w:rsid w:val="00D6061D"/>
    <w:rsid w:val="00D609F0"/>
    <w:rsid w:val="00D62FC0"/>
    <w:rsid w:val="00D6320A"/>
    <w:rsid w:val="00D63C0E"/>
    <w:rsid w:val="00D647B3"/>
    <w:rsid w:val="00D65351"/>
    <w:rsid w:val="00D65462"/>
    <w:rsid w:val="00D667B4"/>
    <w:rsid w:val="00D67CFF"/>
    <w:rsid w:val="00D705DB"/>
    <w:rsid w:val="00D706D7"/>
    <w:rsid w:val="00D72A60"/>
    <w:rsid w:val="00D74E8F"/>
    <w:rsid w:val="00D766E8"/>
    <w:rsid w:val="00D76807"/>
    <w:rsid w:val="00D77869"/>
    <w:rsid w:val="00D77F79"/>
    <w:rsid w:val="00D81464"/>
    <w:rsid w:val="00D82E22"/>
    <w:rsid w:val="00D833B4"/>
    <w:rsid w:val="00D84014"/>
    <w:rsid w:val="00D84A7D"/>
    <w:rsid w:val="00D8514F"/>
    <w:rsid w:val="00D87043"/>
    <w:rsid w:val="00D87414"/>
    <w:rsid w:val="00D90ADB"/>
    <w:rsid w:val="00D959C2"/>
    <w:rsid w:val="00DA0FF7"/>
    <w:rsid w:val="00DA4F55"/>
    <w:rsid w:val="00DA722C"/>
    <w:rsid w:val="00DA7843"/>
    <w:rsid w:val="00DB0FF6"/>
    <w:rsid w:val="00DB1015"/>
    <w:rsid w:val="00DB55CE"/>
    <w:rsid w:val="00DB5986"/>
    <w:rsid w:val="00DB5F4E"/>
    <w:rsid w:val="00DB652E"/>
    <w:rsid w:val="00DB67E9"/>
    <w:rsid w:val="00DB6A5C"/>
    <w:rsid w:val="00DB6CA1"/>
    <w:rsid w:val="00DC1E55"/>
    <w:rsid w:val="00DC22EB"/>
    <w:rsid w:val="00DC3B45"/>
    <w:rsid w:val="00DD0D38"/>
    <w:rsid w:val="00DD0D67"/>
    <w:rsid w:val="00DD16E2"/>
    <w:rsid w:val="00DD2543"/>
    <w:rsid w:val="00DD51F6"/>
    <w:rsid w:val="00DD5332"/>
    <w:rsid w:val="00DD5839"/>
    <w:rsid w:val="00DD612C"/>
    <w:rsid w:val="00DD69A2"/>
    <w:rsid w:val="00DE0E44"/>
    <w:rsid w:val="00DE45EC"/>
    <w:rsid w:val="00DE5E98"/>
    <w:rsid w:val="00DE66D7"/>
    <w:rsid w:val="00DF0775"/>
    <w:rsid w:val="00DF19E6"/>
    <w:rsid w:val="00DF2EBC"/>
    <w:rsid w:val="00DF39CD"/>
    <w:rsid w:val="00DF3D97"/>
    <w:rsid w:val="00DF4271"/>
    <w:rsid w:val="00DF61F5"/>
    <w:rsid w:val="00DF6CE3"/>
    <w:rsid w:val="00DF6DDC"/>
    <w:rsid w:val="00DF6E29"/>
    <w:rsid w:val="00DF7107"/>
    <w:rsid w:val="00DF785E"/>
    <w:rsid w:val="00DF7966"/>
    <w:rsid w:val="00E002C6"/>
    <w:rsid w:val="00E00556"/>
    <w:rsid w:val="00E013EB"/>
    <w:rsid w:val="00E015E4"/>
    <w:rsid w:val="00E01757"/>
    <w:rsid w:val="00E028BD"/>
    <w:rsid w:val="00E02A18"/>
    <w:rsid w:val="00E0421F"/>
    <w:rsid w:val="00E07183"/>
    <w:rsid w:val="00E071DA"/>
    <w:rsid w:val="00E07D10"/>
    <w:rsid w:val="00E106FE"/>
    <w:rsid w:val="00E113D1"/>
    <w:rsid w:val="00E11FFD"/>
    <w:rsid w:val="00E122B6"/>
    <w:rsid w:val="00E13807"/>
    <w:rsid w:val="00E150FE"/>
    <w:rsid w:val="00E15900"/>
    <w:rsid w:val="00E172B8"/>
    <w:rsid w:val="00E17528"/>
    <w:rsid w:val="00E17DEA"/>
    <w:rsid w:val="00E20B63"/>
    <w:rsid w:val="00E20C45"/>
    <w:rsid w:val="00E223F5"/>
    <w:rsid w:val="00E22F18"/>
    <w:rsid w:val="00E2369E"/>
    <w:rsid w:val="00E25BB7"/>
    <w:rsid w:val="00E27B2D"/>
    <w:rsid w:val="00E32442"/>
    <w:rsid w:val="00E333DD"/>
    <w:rsid w:val="00E3405F"/>
    <w:rsid w:val="00E352C2"/>
    <w:rsid w:val="00E35CA9"/>
    <w:rsid w:val="00E36E71"/>
    <w:rsid w:val="00E37AE1"/>
    <w:rsid w:val="00E37C58"/>
    <w:rsid w:val="00E419AE"/>
    <w:rsid w:val="00E4243A"/>
    <w:rsid w:val="00E4268B"/>
    <w:rsid w:val="00E43137"/>
    <w:rsid w:val="00E43189"/>
    <w:rsid w:val="00E439D0"/>
    <w:rsid w:val="00E4450F"/>
    <w:rsid w:val="00E4501A"/>
    <w:rsid w:val="00E4511B"/>
    <w:rsid w:val="00E465B8"/>
    <w:rsid w:val="00E46DC7"/>
    <w:rsid w:val="00E47164"/>
    <w:rsid w:val="00E475ED"/>
    <w:rsid w:val="00E516C1"/>
    <w:rsid w:val="00E5195C"/>
    <w:rsid w:val="00E51B5E"/>
    <w:rsid w:val="00E52DBF"/>
    <w:rsid w:val="00E531F6"/>
    <w:rsid w:val="00E56AC0"/>
    <w:rsid w:val="00E57A8D"/>
    <w:rsid w:val="00E57D01"/>
    <w:rsid w:val="00E602D4"/>
    <w:rsid w:val="00E60D1A"/>
    <w:rsid w:val="00E60D3F"/>
    <w:rsid w:val="00E610A5"/>
    <w:rsid w:val="00E62755"/>
    <w:rsid w:val="00E62780"/>
    <w:rsid w:val="00E62F7F"/>
    <w:rsid w:val="00E633D9"/>
    <w:rsid w:val="00E65505"/>
    <w:rsid w:val="00E6684C"/>
    <w:rsid w:val="00E6702F"/>
    <w:rsid w:val="00E71578"/>
    <w:rsid w:val="00E71A03"/>
    <w:rsid w:val="00E71EBE"/>
    <w:rsid w:val="00E74E4C"/>
    <w:rsid w:val="00E75470"/>
    <w:rsid w:val="00E7553C"/>
    <w:rsid w:val="00E75AEE"/>
    <w:rsid w:val="00E80569"/>
    <w:rsid w:val="00E80687"/>
    <w:rsid w:val="00E80EBF"/>
    <w:rsid w:val="00E862BE"/>
    <w:rsid w:val="00E87363"/>
    <w:rsid w:val="00E874B8"/>
    <w:rsid w:val="00E914AE"/>
    <w:rsid w:val="00E930C0"/>
    <w:rsid w:val="00E93B50"/>
    <w:rsid w:val="00E9577E"/>
    <w:rsid w:val="00E96E4C"/>
    <w:rsid w:val="00E97887"/>
    <w:rsid w:val="00EA1680"/>
    <w:rsid w:val="00EA2086"/>
    <w:rsid w:val="00EA2A02"/>
    <w:rsid w:val="00EA2B08"/>
    <w:rsid w:val="00EA3D89"/>
    <w:rsid w:val="00EA61EC"/>
    <w:rsid w:val="00EA6233"/>
    <w:rsid w:val="00EA6457"/>
    <w:rsid w:val="00EA7048"/>
    <w:rsid w:val="00EA7A50"/>
    <w:rsid w:val="00EB1F96"/>
    <w:rsid w:val="00EB229C"/>
    <w:rsid w:val="00EB2481"/>
    <w:rsid w:val="00EB271B"/>
    <w:rsid w:val="00EB325C"/>
    <w:rsid w:val="00EB6614"/>
    <w:rsid w:val="00EB6FE2"/>
    <w:rsid w:val="00EC1CAC"/>
    <w:rsid w:val="00EC4DE4"/>
    <w:rsid w:val="00EC6EDD"/>
    <w:rsid w:val="00EC706B"/>
    <w:rsid w:val="00ED0998"/>
    <w:rsid w:val="00ED0DAF"/>
    <w:rsid w:val="00ED29E9"/>
    <w:rsid w:val="00ED4263"/>
    <w:rsid w:val="00ED4B78"/>
    <w:rsid w:val="00ED577E"/>
    <w:rsid w:val="00ED6061"/>
    <w:rsid w:val="00EE1403"/>
    <w:rsid w:val="00EE1660"/>
    <w:rsid w:val="00EE22A9"/>
    <w:rsid w:val="00EE2A7D"/>
    <w:rsid w:val="00EE2DC8"/>
    <w:rsid w:val="00EE540A"/>
    <w:rsid w:val="00EE6240"/>
    <w:rsid w:val="00EE7505"/>
    <w:rsid w:val="00EF11CB"/>
    <w:rsid w:val="00EF1C38"/>
    <w:rsid w:val="00EF2D18"/>
    <w:rsid w:val="00EF389E"/>
    <w:rsid w:val="00EF6619"/>
    <w:rsid w:val="00EF6D4E"/>
    <w:rsid w:val="00F009D3"/>
    <w:rsid w:val="00F00A16"/>
    <w:rsid w:val="00F029DE"/>
    <w:rsid w:val="00F03363"/>
    <w:rsid w:val="00F03393"/>
    <w:rsid w:val="00F04A19"/>
    <w:rsid w:val="00F06F37"/>
    <w:rsid w:val="00F0786B"/>
    <w:rsid w:val="00F11BE7"/>
    <w:rsid w:val="00F12E9A"/>
    <w:rsid w:val="00F141A8"/>
    <w:rsid w:val="00F14879"/>
    <w:rsid w:val="00F15F70"/>
    <w:rsid w:val="00F16BAD"/>
    <w:rsid w:val="00F1719A"/>
    <w:rsid w:val="00F17A9A"/>
    <w:rsid w:val="00F17E67"/>
    <w:rsid w:val="00F22D51"/>
    <w:rsid w:val="00F2362D"/>
    <w:rsid w:val="00F238D1"/>
    <w:rsid w:val="00F24CC7"/>
    <w:rsid w:val="00F25EF9"/>
    <w:rsid w:val="00F275DF"/>
    <w:rsid w:val="00F3065F"/>
    <w:rsid w:val="00F311E8"/>
    <w:rsid w:val="00F31596"/>
    <w:rsid w:val="00F32BE4"/>
    <w:rsid w:val="00F331EE"/>
    <w:rsid w:val="00F338ED"/>
    <w:rsid w:val="00F33B83"/>
    <w:rsid w:val="00F34C9C"/>
    <w:rsid w:val="00F35166"/>
    <w:rsid w:val="00F36576"/>
    <w:rsid w:val="00F36A74"/>
    <w:rsid w:val="00F372E2"/>
    <w:rsid w:val="00F4114A"/>
    <w:rsid w:val="00F417EF"/>
    <w:rsid w:val="00F42337"/>
    <w:rsid w:val="00F428C0"/>
    <w:rsid w:val="00F4338A"/>
    <w:rsid w:val="00F4478C"/>
    <w:rsid w:val="00F477B9"/>
    <w:rsid w:val="00F505CA"/>
    <w:rsid w:val="00F509FE"/>
    <w:rsid w:val="00F518A2"/>
    <w:rsid w:val="00F52363"/>
    <w:rsid w:val="00F54208"/>
    <w:rsid w:val="00F552E0"/>
    <w:rsid w:val="00F56AD8"/>
    <w:rsid w:val="00F57717"/>
    <w:rsid w:val="00F60DF9"/>
    <w:rsid w:val="00F60EB2"/>
    <w:rsid w:val="00F62780"/>
    <w:rsid w:val="00F637BB"/>
    <w:rsid w:val="00F656DB"/>
    <w:rsid w:val="00F6600C"/>
    <w:rsid w:val="00F675CA"/>
    <w:rsid w:val="00F715F1"/>
    <w:rsid w:val="00F7178D"/>
    <w:rsid w:val="00F722E7"/>
    <w:rsid w:val="00F7434E"/>
    <w:rsid w:val="00F75095"/>
    <w:rsid w:val="00F77689"/>
    <w:rsid w:val="00F80AEA"/>
    <w:rsid w:val="00F82763"/>
    <w:rsid w:val="00F832D6"/>
    <w:rsid w:val="00F8368B"/>
    <w:rsid w:val="00F86635"/>
    <w:rsid w:val="00F908E9"/>
    <w:rsid w:val="00F93CDA"/>
    <w:rsid w:val="00F947E6"/>
    <w:rsid w:val="00F94F3E"/>
    <w:rsid w:val="00F94F58"/>
    <w:rsid w:val="00F96D0D"/>
    <w:rsid w:val="00FA0D03"/>
    <w:rsid w:val="00FA2779"/>
    <w:rsid w:val="00FA29C9"/>
    <w:rsid w:val="00FA59FC"/>
    <w:rsid w:val="00FA6CEB"/>
    <w:rsid w:val="00FB0177"/>
    <w:rsid w:val="00FB2D0D"/>
    <w:rsid w:val="00FB33B3"/>
    <w:rsid w:val="00FB57F7"/>
    <w:rsid w:val="00FB6911"/>
    <w:rsid w:val="00FB72B1"/>
    <w:rsid w:val="00FC024F"/>
    <w:rsid w:val="00FC09EF"/>
    <w:rsid w:val="00FC10AB"/>
    <w:rsid w:val="00FC12A2"/>
    <w:rsid w:val="00FC1DEC"/>
    <w:rsid w:val="00FC5057"/>
    <w:rsid w:val="00FC521F"/>
    <w:rsid w:val="00FC533C"/>
    <w:rsid w:val="00FC5AC5"/>
    <w:rsid w:val="00FC6E57"/>
    <w:rsid w:val="00FD2E0A"/>
    <w:rsid w:val="00FD4095"/>
    <w:rsid w:val="00FE1B68"/>
    <w:rsid w:val="00FE2660"/>
    <w:rsid w:val="00FE3D61"/>
    <w:rsid w:val="00FE5846"/>
    <w:rsid w:val="00FE71FE"/>
    <w:rsid w:val="00FF227C"/>
    <w:rsid w:val="00FF4C0D"/>
    <w:rsid w:val="00FF7388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5:docId w15:val="{C4B8DFF1-7750-44D7-9425-6D2CC20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98"/>
    <w:pPr>
      <w:jc w:val="both"/>
    </w:pPr>
    <w:rPr>
      <w:rFonts w:ascii="ZapfCalligr BT" w:hAnsi="ZapfCalligr BT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6ADF"/>
    <w:pPr>
      <w:keepNext/>
      <w:shd w:val="clear" w:color="auto" w:fill="3366FF"/>
      <w:outlineLvl w:val="0"/>
    </w:pPr>
    <w:rPr>
      <w:rFonts w:ascii="Arial" w:hAnsi="Arial"/>
      <w:b/>
      <w:bCs/>
      <w:color w:val="FFCC0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6ADF"/>
    <w:pPr>
      <w:keepNext/>
      <w:shd w:val="clear" w:color="auto" w:fill="99CCFF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jc w:val="center"/>
      <w:outlineLvl w:val="2"/>
    </w:pPr>
    <w:rPr>
      <w:b/>
      <w:sz w:val="28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jc w:val="center"/>
      <w:outlineLvl w:val="3"/>
    </w:pPr>
    <w:rPr>
      <w:b/>
      <w:sz w:val="26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6ADF"/>
    <w:pPr>
      <w:keepNext/>
      <w:tabs>
        <w:tab w:val="left" w:pos="1560"/>
        <w:tab w:val="left" w:pos="2410"/>
        <w:tab w:val="decimal" w:leader="dot" w:pos="8732"/>
      </w:tabs>
      <w:outlineLvl w:val="4"/>
    </w:pPr>
    <w:rPr>
      <w:b/>
      <w:sz w:val="28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6ADF"/>
    <w:p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6AD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6ADF"/>
    <w:pPr>
      <w:keepNext/>
      <w:outlineLvl w:val="7"/>
    </w:pPr>
    <w:rPr>
      <w:sz w:val="26"/>
      <w:u w:val="single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6ADF"/>
    <w:pPr>
      <w:keepNext/>
      <w:outlineLvl w:val="8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49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49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49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49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49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498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49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49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498A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ED0998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099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09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0499"/>
    <w:rPr>
      <w:rFonts w:ascii="ZapfCalligr BT" w:hAnsi="ZapfCalligr BT" w:cs="Times New Roman"/>
      <w:sz w:val="22"/>
    </w:rPr>
  </w:style>
  <w:style w:type="character" w:styleId="PageNumber">
    <w:name w:val="page number"/>
    <w:basedOn w:val="DefaultParagraphFont"/>
    <w:uiPriority w:val="99"/>
    <w:rsid w:val="00ED09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D09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498A"/>
    <w:rPr>
      <w:rFonts w:ascii="ZapfCalligr BT" w:hAnsi="ZapfCalligr BT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2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98A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866ADF"/>
    <w:rPr>
      <w:rFonts w:cs="ZapfCalligr BT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498A"/>
    <w:rPr>
      <w:rFonts w:ascii="ZapfCalligr BT" w:hAnsi="ZapfCalligr BT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66ADF"/>
    <w:pPr>
      <w:spacing w:after="120" w:line="480" w:lineRule="auto"/>
      <w:ind w:left="283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3498A"/>
    <w:rPr>
      <w:rFonts w:ascii="ZapfCalligr BT" w:hAnsi="ZapfCalligr BT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6ADF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498A"/>
    <w:rPr>
      <w:rFonts w:ascii="ZapfCalligr BT" w:hAnsi="ZapfCalligr BT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66ADF"/>
    <w:pPr>
      <w:spacing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3498A"/>
    <w:rPr>
      <w:rFonts w:ascii="ZapfCalligr BT" w:hAnsi="ZapfCalligr BT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66ADF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66ADF"/>
    <w:pPr>
      <w:tabs>
        <w:tab w:val="left" w:pos="567"/>
        <w:tab w:val="decimal" w:pos="4537"/>
        <w:tab w:val="left" w:pos="5245"/>
        <w:tab w:val="left" w:pos="6804"/>
      </w:tabs>
      <w:ind w:left="540" w:hanging="54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498A"/>
    <w:rPr>
      <w:rFonts w:ascii="ZapfCalligr BT" w:hAnsi="ZapfCalligr BT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66ADF"/>
    <w:pPr>
      <w:ind w:left="180" w:hanging="180"/>
    </w:pPr>
    <w:rPr>
      <w:sz w:val="2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3498A"/>
    <w:rPr>
      <w:rFonts w:ascii="ZapfCalligr BT" w:hAnsi="ZapfCalligr BT" w:cs="Times New Roman"/>
      <w:sz w:val="16"/>
      <w:szCs w:val="16"/>
    </w:rPr>
  </w:style>
  <w:style w:type="paragraph" w:styleId="NormalWeb">
    <w:name w:val="Normal (Web)"/>
    <w:basedOn w:val="Normal"/>
    <w:uiPriority w:val="99"/>
    <w:rsid w:val="005911A0"/>
    <w:pPr>
      <w:spacing w:before="75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B6E3C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044FC2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4FC2"/>
    <w:rPr>
      <w:rFonts w:ascii="Consolas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6289C"/>
    <w:pPr>
      <w:ind w:left="720"/>
    </w:pPr>
    <w:rPr>
      <w:rFonts w:cs="ZapfCalligr BT"/>
      <w:szCs w:val="22"/>
    </w:rPr>
  </w:style>
  <w:style w:type="character" w:styleId="Strong">
    <w:name w:val="Strong"/>
    <w:basedOn w:val="DefaultParagraphFont"/>
    <w:uiPriority w:val="22"/>
    <w:qFormat/>
    <w:locked/>
    <w:rsid w:val="005D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258">
              <w:marLeft w:val="150"/>
              <w:marRight w:val="150"/>
              <w:marTop w:val="225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cmarkets.com/stock/KGFHY/quot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8F5-4426-4C18-8826-A58F6022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EMBARGOED UNTIL 0700 HOURS</vt:lpstr>
    </vt:vector>
  </TitlesOfParts>
  <Company>Kingfisher plc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EMBARGOED UNTIL 0700 HOURS</dc:title>
  <dc:subject/>
  <dc:creator>heath</dc:creator>
  <cp:keywords/>
  <dc:description/>
  <cp:lastModifiedBy>Levy, Sarah</cp:lastModifiedBy>
  <cp:revision>3</cp:revision>
  <cp:lastPrinted>2015-07-22T07:30:00Z</cp:lastPrinted>
  <dcterms:created xsi:type="dcterms:W3CDTF">2015-07-22T15:42:00Z</dcterms:created>
  <dcterms:modified xsi:type="dcterms:W3CDTF">2015-07-22T15:42:00Z</dcterms:modified>
</cp:coreProperties>
</file>